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charts/chart1.xml" ContentType="application/vnd.openxmlformats-officedocument.drawingml.chart+xml"/>
  <Override PartName="/word/footer22.xml" ContentType="application/vnd.openxmlformats-officedocument.wordprocessingml.footer+xml"/>
  <Override PartName="/word/footer23.xml" ContentType="application/vnd.openxmlformats-officedocument.wordprocessingml.footer+xml"/>
  <Override PartName="/word/charts/chart2.xml" ContentType="application/vnd.openxmlformats-officedocument.drawingml.chart+xml"/>
  <Override PartName="/word/footer24.xml" ContentType="application/vnd.openxmlformats-officedocument.wordprocessingml.footer+xml"/>
  <Override PartName="/word/footer25.xml" ContentType="application/vnd.openxmlformats-officedocument.wordprocessingml.footer+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8.xml" ContentType="application/vnd.openxmlformats-officedocument.wordprocessingml.footer+xml"/>
  <Override PartName="/word/footer29.xml" ContentType="application/vnd.openxmlformats-officedocument.wordprocessingml.footer+xml"/>
  <Override PartName="/word/charts/chart7.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charts/chart8.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footer36.xml" ContentType="application/vnd.openxmlformats-officedocument.wordprocessingml.footer+xml"/>
  <Override PartName="/word/footer37.xml" ContentType="application/vnd.openxmlformats-officedocument.wordprocessingml.footer+xml"/>
  <Override PartName="/word/charts/chart11.xml" ContentType="application/vnd.openxmlformats-officedocument.drawingml.chart+xml"/>
  <Override PartName="/word/footer38.xml" ContentType="application/vnd.openxmlformats-officedocument.wordprocessingml.footer+xml"/>
  <Override PartName="/word/footer39.xml" ContentType="application/vnd.openxmlformats-officedocument.wordprocessingml.footer+xml"/>
  <Override PartName="/word/charts/chart12.xml" ContentType="application/vnd.openxmlformats-officedocument.drawingml.chart+xml"/>
  <Override PartName="/word/footer40.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footer41.xml" ContentType="application/vnd.openxmlformats-officedocument.wordprocessingml.footer+xml"/>
  <Override PartName="/word/footer4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45.xml" ContentType="application/vnd.openxmlformats-officedocument.wordprocessingml.footer+xml"/>
  <Override PartName="/word/footer4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53.xml" ContentType="application/vnd.openxmlformats-officedocument.wordprocessingml.footer+xml"/>
  <Override PartName="/word/footer5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charts/chart29.xml" ContentType="application/vnd.openxmlformats-officedocument.drawingml.chart+xml"/>
  <Override PartName="/word/footer5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charts/chart35.xml" ContentType="application/vnd.openxmlformats-officedocument.drawingml.chart+xml"/>
  <Override PartName="/word/theme/themeOverride3.xml" ContentType="application/vnd.openxmlformats-officedocument.themeOverride+xml"/>
  <Override PartName="/word/footer72.xml" ContentType="application/vnd.openxmlformats-officedocument.wordprocessingml.footer+xml"/>
  <Override PartName="/word/footer7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charts/chart36.xml" ContentType="application/vnd.openxmlformats-officedocument.drawingml.chart+xml"/>
  <Override PartName="/word/theme/themeOverride4.xml" ContentType="application/vnd.openxmlformats-officedocument.themeOverride+xml"/>
  <Override PartName="/word/footer76.xml" ContentType="application/vnd.openxmlformats-officedocument.wordprocessingml.footer+xml"/>
  <Override PartName="/word/footer77.xml" ContentType="application/vnd.openxmlformats-officedocument.wordprocessingml.footer+xml"/>
  <Override PartName="/word/charts/chart37.xml" ContentType="application/vnd.openxmlformats-officedocument.drawingml.chart+xml"/>
  <Override PartName="/word/theme/themeOverride5.xml" ContentType="application/vnd.openxmlformats-officedocument.themeOverride+xml"/>
  <Override PartName="/word/charts/chart38.xml" ContentType="application/vnd.openxmlformats-officedocument.drawingml.chart+xml"/>
  <Override PartName="/word/footer78.xml" ContentType="application/vnd.openxmlformats-officedocument.wordprocessingml.footer+xml"/>
  <Override PartName="/word/footer7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charts/chart39.xml" ContentType="application/vnd.openxmlformats-officedocument.drawingml.chart+xml"/>
  <Override PartName="/word/theme/themeOverride6.xml" ContentType="application/vnd.openxmlformats-officedocument.themeOverride+xml"/>
  <Override PartName="/word/footer82.xml" ContentType="application/vnd.openxmlformats-officedocument.wordprocessingml.footer+xml"/>
  <Override PartName="/word/footer8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charts/chart40.xml" ContentType="application/vnd.openxmlformats-officedocument.drawingml.chart+xml"/>
  <Override PartName="/word/charts/chart41.xml" ContentType="application/vnd.openxmlformats-officedocument.drawingml.chart+xml"/>
  <Override PartName="/word/theme/themeOverride7.xml" ContentType="application/vnd.openxmlformats-officedocument.themeOverride+xml"/>
  <Override PartName="/word/charts/chart42.xml" ContentType="application/vnd.openxmlformats-officedocument.drawingml.chart+xml"/>
  <Override PartName="/word/theme/themeOverride8.xml" ContentType="application/vnd.openxmlformats-officedocument.themeOverride+xml"/>
  <Override PartName="/word/footer86.xml" ContentType="application/vnd.openxmlformats-officedocument.wordprocessingml.footer+xml"/>
  <Override PartName="/word/footer87.xml" ContentType="application/vnd.openxmlformats-officedocument.wordprocessingml.footer+xml"/>
  <Override PartName="/word/charts/chart43.xml" ContentType="application/vnd.openxmlformats-officedocument.drawingml.chart+xml"/>
  <Override PartName="/word/charts/chart44.xml" ContentType="application/vnd.openxmlformats-officedocument.drawingml.chart+xml"/>
  <Override PartName="/word/footer88.xml" ContentType="application/vnd.openxmlformats-officedocument.wordprocessingml.footer+xml"/>
  <Override PartName="/word/footer8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oter92.xml" ContentType="application/vnd.openxmlformats-officedocument.wordprocessingml.footer+xml"/>
  <Override PartName="/word/footer9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footer96.xml" ContentType="application/vnd.openxmlformats-officedocument.wordprocessingml.footer+xml"/>
  <Override PartName="/word/footer9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footer100.xml" ContentType="application/vnd.openxmlformats-officedocument.wordprocessingml.footer+xml"/>
  <Override PartName="/word/footer10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oter104.xml" ContentType="application/vnd.openxmlformats-officedocument.wordprocessingml.footer+xml"/>
  <Override PartName="/word/footer10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charts/chart62.xml" ContentType="application/vnd.openxmlformats-officedocument.drawingml.chart+xml"/>
  <Override PartName="/word/charts/chart63.xml" ContentType="application/vnd.openxmlformats-officedocument.drawingml.chart+xml"/>
  <Override PartName="/word/footer108.xml" ContentType="application/vnd.openxmlformats-officedocument.wordprocessingml.footer+xml"/>
  <Override PartName="/word/footer10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oter112.xml" ContentType="application/vnd.openxmlformats-officedocument.wordprocessingml.footer+xml"/>
  <Override PartName="/word/footer11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charts/chart67.xml" ContentType="application/vnd.openxmlformats-officedocument.drawingml.chart+xml"/>
  <Override PartName="/word/footer116.xml" ContentType="application/vnd.openxmlformats-officedocument.wordprocessingml.footer+xml"/>
  <Override PartName="/word/footer117.xml" ContentType="application/vnd.openxmlformats-officedocument.wordprocessingml.footer+xml"/>
  <Override PartName="/word/charts/chart68.xml" ContentType="application/vnd.openxmlformats-officedocument.drawingml.chart+xml"/>
  <Override PartName="/word/header46.xml" ContentType="application/vnd.openxmlformats-officedocument.wordprocessingml.header+xml"/>
  <Override PartName="/word/header4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charts/chart69.xml" ContentType="application/vnd.openxmlformats-officedocument.drawingml.chart+xml"/>
  <Override PartName="/word/header48.xml" ContentType="application/vnd.openxmlformats-officedocument.wordprocessingml.header+xml"/>
  <Override PartName="/word/header49.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charts/chart70.xml" ContentType="application/vnd.openxmlformats-officedocument.drawingml.chart+xml"/>
  <Override PartName="/word/charts/chart71.xml" ContentType="application/vnd.openxmlformats-officedocument.drawingml.chart+xml"/>
  <Override PartName="/word/footer124.xml" ContentType="application/vnd.openxmlformats-officedocument.wordprocessingml.footer+xml"/>
  <Override PartName="/word/footer125.xml" ContentType="application/vnd.openxmlformats-officedocument.wordprocessingml.footer+xml"/>
  <Override PartName="/word/charts/chart72.xml" ContentType="application/vnd.openxmlformats-officedocument.drawingml.chart+xml"/>
  <Override PartName="/word/header50.xml" ContentType="application/vnd.openxmlformats-officedocument.wordprocessingml.header+xml"/>
  <Override PartName="/word/header5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charts/chart73.xml" ContentType="application/vnd.openxmlformats-officedocument.drawingml.chart+xml"/>
  <Override PartName="/word/charts/chart74.xml" ContentType="application/vnd.openxmlformats-officedocument.drawingml.chart+xml"/>
  <Override PartName="/word/footer128.xml" ContentType="application/vnd.openxmlformats-officedocument.wordprocessingml.footer+xml"/>
  <Override PartName="/word/footer12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charts/chart75.xml" ContentType="application/vnd.openxmlformats-officedocument.drawingml.chart+xml"/>
  <Override PartName="/word/charts/chart76.xml" ContentType="application/vnd.openxmlformats-officedocument.drawingml.chart+xml"/>
  <Override PartName="/word/footer132.xml" ContentType="application/vnd.openxmlformats-officedocument.wordprocessingml.footer+xml"/>
  <Override PartName="/word/footer133.xml" ContentType="application/vnd.openxmlformats-officedocument.wordprocessingml.footer+xml"/>
  <Override PartName="/word/charts/chart77.xml" ContentType="application/vnd.openxmlformats-officedocument.drawingml.chart+xml"/>
  <Override PartName="/word/header54.xml" ContentType="application/vnd.openxmlformats-officedocument.wordprocessingml.header+xml"/>
  <Override PartName="/word/header5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charts/chart78.xml" ContentType="application/vnd.openxmlformats-officedocument.drawingml.chart+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56.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062" w:rsidRPr="005B0796" w:rsidRDefault="00A85062" w:rsidP="00462A0C">
      <w:bookmarkStart w:id="0" w:name="_GoBack"/>
      <w:bookmarkEnd w:id="0"/>
    </w:p>
    <w:p w:rsidR="007A7F0B" w:rsidRPr="005B0796" w:rsidRDefault="007A7F0B"/>
    <w:p w:rsidR="007A7F0B" w:rsidRPr="005B0796" w:rsidRDefault="007A7F0B"/>
    <w:p w:rsidR="007A7F0B" w:rsidRPr="005B0796" w:rsidRDefault="007A7F0B"/>
    <w:p w:rsidR="00841699" w:rsidRPr="005B0796" w:rsidRDefault="00841699"/>
    <w:p w:rsidR="00841699" w:rsidRPr="005B0796" w:rsidRDefault="00841699"/>
    <w:p w:rsidR="007A7F0B" w:rsidRPr="005B0796" w:rsidRDefault="007A7F0B" w:rsidP="00746525">
      <w:pPr>
        <w:spacing w:after="240" w:line="201" w:lineRule="atLeast"/>
        <w:ind w:left="1152"/>
        <w:rPr>
          <w:b/>
          <w:color w:val="720829"/>
          <w:sz w:val="25"/>
          <w:szCs w:val="25"/>
        </w:rPr>
      </w:pPr>
      <w:r w:rsidRPr="005B0796">
        <w:rPr>
          <w:b/>
          <w:color w:val="720829"/>
          <w:sz w:val="25"/>
        </w:rPr>
        <w:t>TRANSITION AND WELLBEING RESEARCH PROGRAMME</w:t>
      </w:r>
    </w:p>
    <w:p w:rsidR="007A7F0B" w:rsidRPr="005B0796" w:rsidRDefault="007A7F0B" w:rsidP="00746525">
      <w:pPr>
        <w:spacing w:after="240"/>
        <w:ind w:left="1152"/>
        <w:rPr>
          <w:b/>
          <w:color w:val="002561"/>
          <w:sz w:val="25"/>
        </w:rPr>
      </w:pPr>
      <w:r w:rsidRPr="005B0796">
        <w:rPr>
          <w:b/>
          <w:color w:val="002561"/>
          <w:sz w:val="25"/>
        </w:rPr>
        <w:t>MENTAL HEALTH AND WELLBEING TRANSITION STUDY</w:t>
      </w:r>
    </w:p>
    <w:p w:rsidR="008F5D9B" w:rsidRPr="005B0796" w:rsidRDefault="008F5D9B" w:rsidP="008F5D9B"/>
    <w:p w:rsidR="007A7F0B" w:rsidRPr="005B0796" w:rsidRDefault="007A7F0B" w:rsidP="00002629">
      <w:pPr>
        <w:spacing w:before="240" w:after="0" w:line="240" w:lineRule="auto"/>
        <w:ind w:right="259"/>
        <w:jc w:val="right"/>
        <w:rPr>
          <w:color w:val="002561"/>
          <w:sz w:val="50"/>
          <w:szCs w:val="50"/>
        </w:rPr>
      </w:pPr>
      <w:r w:rsidRPr="005B0796">
        <w:rPr>
          <w:color w:val="002561"/>
          <w:sz w:val="50"/>
          <w:szCs w:val="50"/>
        </w:rPr>
        <w:t xml:space="preserve">Mental </w:t>
      </w:r>
      <w:r w:rsidR="007C4D86" w:rsidRPr="005B0796">
        <w:rPr>
          <w:color w:val="002561"/>
          <w:sz w:val="50"/>
          <w:szCs w:val="50"/>
        </w:rPr>
        <w:t>Health Prevalence</w:t>
      </w:r>
    </w:p>
    <w:p w:rsidR="00002629" w:rsidRPr="005B0796" w:rsidRDefault="00002629" w:rsidP="00002629">
      <w:pPr>
        <w:spacing w:after="240" w:line="240" w:lineRule="auto"/>
        <w:ind w:right="259"/>
        <w:jc w:val="right"/>
        <w:rPr>
          <w:color w:val="002561"/>
          <w:sz w:val="50"/>
          <w:szCs w:val="50"/>
        </w:rPr>
      </w:pPr>
      <w:r w:rsidRPr="005B0796">
        <w:rPr>
          <w:noProof/>
          <w:color w:val="002561"/>
          <w:sz w:val="50"/>
          <w:szCs w:val="50"/>
          <w:lang w:eastAsia="en-AU"/>
        </w:rPr>
        <mc:AlternateContent>
          <mc:Choice Requires="wpg">
            <w:drawing>
              <wp:inline distT="0" distB="0" distL="0" distR="0" wp14:anchorId="5E392693" wp14:editId="5189AD38">
                <wp:extent cx="3291840" cy="161925"/>
                <wp:effectExtent l="0" t="38100" r="3810" b="47625"/>
                <wp:docPr id="6" name="Group 6" descr="Coloured band"/>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301CFD" id="Group 6" o:spid="_x0000_s1026" alt="Coloured band" style="width:259.2pt;height:12.75pt;mso-position-horizontal-relative:char;mso-position-vertical-relative:line"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w10:anchorlock/>
              </v:group>
            </w:pict>
          </mc:Fallback>
        </mc:AlternateContent>
      </w:r>
    </w:p>
    <w:p w:rsidR="007A7F0B" w:rsidRPr="005B0796" w:rsidRDefault="007A7F0B"/>
    <w:p w:rsidR="007A7F0B" w:rsidRPr="005B0796" w:rsidRDefault="007A7F0B"/>
    <w:p w:rsidR="007A7F0B" w:rsidRPr="005B0796" w:rsidRDefault="007A7F0B"/>
    <w:p w:rsidR="007A7F0B" w:rsidRPr="005B0796" w:rsidRDefault="007A7F0B"/>
    <w:p w:rsidR="007A7F0B" w:rsidRPr="005B0796" w:rsidRDefault="007A7F0B"/>
    <w:p w:rsidR="007A7F0B" w:rsidRPr="005B0796" w:rsidRDefault="007A7F0B"/>
    <w:p w:rsidR="007A7F0B" w:rsidRPr="005B0796" w:rsidRDefault="007A7F0B"/>
    <w:p w:rsidR="007A7F0B" w:rsidRPr="005B0796" w:rsidRDefault="00B10759" w:rsidP="00B10759">
      <w:pPr>
        <w:jc w:val="center"/>
        <w:rPr>
          <w:b/>
          <w:color w:val="002561"/>
          <w:sz w:val="24"/>
        </w:rPr>
      </w:pPr>
      <w:r>
        <w:rPr>
          <w:b/>
          <w:color w:val="002561"/>
          <w:sz w:val="24"/>
        </w:rPr>
        <w:t>2018</w:t>
      </w:r>
    </w:p>
    <w:p w:rsidR="00C64763" w:rsidRPr="005B0796" w:rsidRDefault="00C64763">
      <w:pPr>
        <w:spacing w:after="0" w:line="240" w:lineRule="auto"/>
      </w:pPr>
      <w:r w:rsidRPr="005B0796">
        <w:br w:type="page"/>
      </w:r>
    </w:p>
    <w:p w:rsidR="00A53009" w:rsidRPr="00A53009" w:rsidRDefault="00A53009" w:rsidP="00A53009">
      <w:pPr>
        <w:spacing w:line="240" w:lineRule="auto"/>
        <w:rPr>
          <w:sz w:val="18"/>
          <w:szCs w:val="18"/>
        </w:rPr>
      </w:pPr>
      <w:r w:rsidRPr="00A53009">
        <w:rPr>
          <w:sz w:val="18"/>
          <w:szCs w:val="18"/>
        </w:rPr>
        <w:lastRenderedPageBreak/>
        <w:t>ISBN 978-0-6481608-0-9 (PDF)</w:t>
      </w:r>
      <w:r w:rsidRPr="00A53009">
        <w:rPr>
          <w:sz w:val="18"/>
          <w:szCs w:val="18"/>
        </w:rPr>
        <w:br/>
        <w:t>ISBN  978-0-6481608-1-6 (Print)</w:t>
      </w:r>
    </w:p>
    <w:p w:rsidR="00A53009" w:rsidRPr="00A53009" w:rsidRDefault="00B10759" w:rsidP="00A53009">
      <w:pPr>
        <w:spacing w:line="240" w:lineRule="auto"/>
        <w:rPr>
          <w:sz w:val="18"/>
          <w:szCs w:val="18"/>
        </w:rPr>
      </w:pPr>
      <w:r>
        <w:rPr>
          <w:sz w:val="18"/>
          <w:szCs w:val="18"/>
        </w:rPr>
        <w:t>© Commonwealth of Australia 2018</w:t>
      </w:r>
    </w:p>
    <w:p w:rsidR="00A53009" w:rsidRPr="00A53009" w:rsidRDefault="00A53009" w:rsidP="00A53009">
      <w:pPr>
        <w:spacing w:line="240" w:lineRule="auto"/>
        <w:rPr>
          <w:spacing w:val="-2"/>
          <w:sz w:val="18"/>
          <w:szCs w:val="18"/>
        </w:rPr>
      </w:pPr>
      <w:r w:rsidRPr="00A53009">
        <w:rPr>
          <w:spacing w:val="-2"/>
          <w:sz w:val="18"/>
          <w:szCs w:val="18"/>
        </w:rPr>
        <w:t>Unless otherwise noted, copyright (and other intellectual property rights, if any) in this publication is owned by the Commonwealth of Australia.</w:t>
      </w:r>
    </w:p>
    <w:p w:rsidR="00A53009" w:rsidRPr="00A53009" w:rsidRDefault="00A53009" w:rsidP="00A53009">
      <w:pPr>
        <w:spacing w:line="240" w:lineRule="auto"/>
        <w:rPr>
          <w:spacing w:val="-2"/>
          <w:sz w:val="18"/>
          <w:szCs w:val="18"/>
        </w:rPr>
      </w:pPr>
      <w:r w:rsidRPr="00A53009">
        <w:rPr>
          <w:spacing w:val="-2"/>
          <w:sz w:val="18"/>
          <w:szCs w:val="18"/>
        </w:rPr>
        <w:t>With the exception of the Coat of Arms and all photographs and graphics, this publication is licensed under a Creative Commons Attribution 3.0 Australia Licence. The Creative Commons 3.0 Australia Licence is a standard form licence agreement that allows you to copy, distribute, transmit and adapt this publication provided that you attribute the work.</w:t>
      </w:r>
    </w:p>
    <w:p w:rsidR="00A53009" w:rsidRPr="00A53009" w:rsidRDefault="00A53009" w:rsidP="00A53009">
      <w:pPr>
        <w:spacing w:line="240" w:lineRule="auto"/>
        <w:rPr>
          <w:spacing w:val="-2"/>
          <w:sz w:val="18"/>
          <w:szCs w:val="18"/>
        </w:rPr>
      </w:pPr>
      <w:r w:rsidRPr="00A53009">
        <w:rPr>
          <w:spacing w:val="-2"/>
          <w:sz w:val="18"/>
          <w:szCs w:val="18"/>
        </w:rPr>
        <w:t xml:space="preserve">The full licence terms are available from </w:t>
      </w:r>
      <w:hyperlink r:id="rId7" w:history="1">
        <w:r w:rsidRPr="00A53009">
          <w:rPr>
            <w:rStyle w:val="Hyperlink"/>
            <w:spacing w:val="-2"/>
            <w:sz w:val="18"/>
            <w:szCs w:val="18"/>
          </w:rPr>
          <w:t>www.creativecommons.org/licenses/by/3.0/au/legalcode</w:t>
        </w:r>
      </w:hyperlink>
    </w:p>
    <w:p w:rsidR="00A53009" w:rsidRPr="00A53009" w:rsidRDefault="00A53009" w:rsidP="00A53009">
      <w:pPr>
        <w:spacing w:line="240" w:lineRule="auto"/>
        <w:rPr>
          <w:spacing w:val="-2"/>
          <w:sz w:val="18"/>
          <w:szCs w:val="18"/>
        </w:rPr>
      </w:pPr>
      <w:r w:rsidRPr="00A53009">
        <w:rPr>
          <w:spacing w:val="-2"/>
          <w:sz w:val="18"/>
          <w:szCs w:val="18"/>
        </w:rPr>
        <w:t>Requests and enquiries concerning reproduction and rights should be addressed to:</w:t>
      </w:r>
    </w:p>
    <w:p w:rsidR="00A53009" w:rsidRPr="00A53009" w:rsidRDefault="003531FE" w:rsidP="00A53009">
      <w:pPr>
        <w:spacing w:line="240" w:lineRule="auto"/>
        <w:ind w:left="360"/>
        <w:rPr>
          <w:spacing w:val="-2"/>
          <w:sz w:val="18"/>
          <w:szCs w:val="18"/>
        </w:rPr>
      </w:pPr>
      <w:r>
        <w:rPr>
          <w:spacing w:val="-2"/>
          <w:sz w:val="18"/>
          <w:szCs w:val="18"/>
        </w:rPr>
        <w:t xml:space="preserve">The </w:t>
      </w:r>
      <w:r w:rsidRPr="00A53009">
        <w:rPr>
          <w:spacing w:val="-2"/>
          <w:sz w:val="18"/>
          <w:szCs w:val="18"/>
        </w:rPr>
        <w:t>Department of Veterans</w:t>
      </w:r>
      <w:r>
        <w:rPr>
          <w:spacing w:val="-2"/>
          <w:sz w:val="18"/>
          <w:szCs w:val="18"/>
        </w:rPr>
        <w:t>’</w:t>
      </w:r>
      <w:r w:rsidRPr="00A53009">
        <w:rPr>
          <w:spacing w:val="-2"/>
          <w:sz w:val="18"/>
          <w:szCs w:val="18"/>
        </w:rPr>
        <w:t xml:space="preserve"> Affairs</w:t>
      </w:r>
      <w:r w:rsidRPr="00A53009">
        <w:rPr>
          <w:spacing w:val="-2"/>
          <w:sz w:val="18"/>
          <w:szCs w:val="18"/>
        </w:rPr>
        <w:br/>
        <w:t>GPO Box 9998</w:t>
      </w:r>
      <w:r w:rsidRPr="00A53009">
        <w:rPr>
          <w:spacing w:val="-2"/>
          <w:sz w:val="18"/>
          <w:szCs w:val="18"/>
        </w:rPr>
        <w:br/>
      </w:r>
      <w:r>
        <w:rPr>
          <w:spacing w:val="-2"/>
          <w:sz w:val="18"/>
          <w:szCs w:val="18"/>
        </w:rPr>
        <w:t>Brisbane</w:t>
      </w:r>
      <w:r w:rsidRPr="00A53009">
        <w:rPr>
          <w:spacing w:val="-2"/>
          <w:sz w:val="18"/>
          <w:szCs w:val="18"/>
        </w:rPr>
        <w:t xml:space="preserve"> </w:t>
      </w:r>
      <w:r>
        <w:rPr>
          <w:spacing w:val="-2"/>
          <w:sz w:val="18"/>
          <w:szCs w:val="18"/>
        </w:rPr>
        <w:t>QLD</w:t>
      </w:r>
      <w:r w:rsidRPr="00A53009">
        <w:rPr>
          <w:spacing w:val="-2"/>
          <w:sz w:val="18"/>
          <w:szCs w:val="18"/>
        </w:rPr>
        <w:t xml:space="preserve"> </w:t>
      </w:r>
      <w:r>
        <w:rPr>
          <w:spacing w:val="-2"/>
          <w:sz w:val="18"/>
          <w:szCs w:val="18"/>
        </w:rPr>
        <w:t>400</w:t>
      </w:r>
      <w:r w:rsidRPr="00A53009">
        <w:rPr>
          <w:spacing w:val="-2"/>
          <w:sz w:val="18"/>
          <w:szCs w:val="18"/>
        </w:rPr>
        <w:t>1</w:t>
      </w:r>
    </w:p>
    <w:p w:rsidR="00A53009" w:rsidRPr="00A53009" w:rsidRDefault="00A53009" w:rsidP="00A53009">
      <w:pPr>
        <w:spacing w:line="240" w:lineRule="auto"/>
        <w:ind w:left="360"/>
        <w:rPr>
          <w:sz w:val="18"/>
          <w:szCs w:val="18"/>
        </w:rPr>
      </w:pPr>
      <w:r w:rsidRPr="00A53009">
        <w:rPr>
          <w:spacing w:val="-2"/>
          <w:sz w:val="18"/>
          <w:szCs w:val="18"/>
        </w:rPr>
        <w:t xml:space="preserve">or emailed to </w:t>
      </w:r>
      <w:hyperlink r:id="rId8" w:history="1">
        <w:r w:rsidRPr="00A53009">
          <w:rPr>
            <w:rStyle w:val="Hyperlink"/>
            <w:spacing w:val="-2"/>
            <w:sz w:val="18"/>
            <w:szCs w:val="18"/>
          </w:rPr>
          <w:t>publications@dva.gov.au</w:t>
        </w:r>
      </w:hyperlink>
    </w:p>
    <w:p w:rsidR="00A53009" w:rsidRPr="00A53009" w:rsidRDefault="00A53009" w:rsidP="00A53009">
      <w:pPr>
        <w:spacing w:line="240" w:lineRule="auto"/>
        <w:rPr>
          <w:sz w:val="18"/>
          <w:szCs w:val="18"/>
        </w:rPr>
      </w:pPr>
      <w:r w:rsidRPr="00A53009">
        <w:rPr>
          <w:sz w:val="18"/>
          <w:szCs w:val="18"/>
        </w:rPr>
        <w:t>Suggested reference:</w:t>
      </w:r>
    </w:p>
    <w:p w:rsidR="004E26AA" w:rsidRPr="004E26AA" w:rsidRDefault="00342DC9" w:rsidP="004E26AA">
      <w:pPr>
        <w:spacing w:line="240" w:lineRule="auto"/>
        <w:rPr>
          <w:sz w:val="18"/>
          <w:szCs w:val="18"/>
        </w:rPr>
      </w:pPr>
      <w:r w:rsidRPr="00342DC9">
        <w:rPr>
          <w:sz w:val="18"/>
          <w:szCs w:val="18"/>
        </w:rPr>
        <w:t xml:space="preserve">Van Hooff M, Lawrence-Wood E, Hodson S, Sadler N, Benassi H, Hansen C, Grace B, Avery J, Searle A, Iannos M, Abraham M, Baur J, McFarlane A, 2018, </w:t>
      </w:r>
      <w:r w:rsidRPr="000660AA">
        <w:rPr>
          <w:i/>
          <w:sz w:val="18"/>
          <w:szCs w:val="18"/>
        </w:rPr>
        <w:t>Mental Health Prevalence,</w:t>
      </w:r>
      <w:r w:rsidRPr="00342DC9">
        <w:rPr>
          <w:sz w:val="18"/>
          <w:szCs w:val="18"/>
        </w:rPr>
        <w:t xml:space="preserve"> </w:t>
      </w:r>
      <w:r w:rsidRPr="00342DC9">
        <w:rPr>
          <w:i/>
          <w:sz w:val="18"/>
          <w:szCs w:val="18"/>
        </w:rPr>
        <w:t>Mental Health and Wellbeing Transition Study</w:t>
      </w:r>
      <w:r w:rsidRPr="00342DC9">
        <w:rPr>
          <w:sz w:val="18"/>
          <w:szCs w:val="18"/>
        </w:rPr>
        <w:t>, the Department of Defence and the Department of Veterans’ Affairs, Canberra.</w:t>
      </w:r>
    </w:p>
    <w:p w:rsidR="00A53009" w:rsidRPr="00A53009" w:rsidRDefault="00A53009" w:rsidP="00A53009">
      <w:pPr>
        <w:spacing w:line="240" w:lineRule="auto"/>
        <w:rPr>
          <w:sz w:val="18"/>
          <w:szCs w:val="18"/>
        </w:rPr>
      </w:pPr>
      <w:r w:rsidRPr="00A53009">
        <w:rPr>
          <w:sz w:val="18"/>
          <w:szCs w:val="18"/>
        </w:rPr>
        <w:t>This report is available from:</w:t>
      </w:r>
    </w:p>
    <w:p w:rsidR="000660AA" w:rsidRDefault="000660AA" w:rsidP="000660AA">
      <w:pPr>
        <w:spacing w:line="240" w:lineRule="auto"/>
        <w:ind w:left="360"/>
        <w:rPr>
          <w:rFonts w:eastAsia="Times New Roman"/>
          <w:sz w:val="18"/>
          <w:szCs w:val="18"/>
          <w:lang w:val="en" w:eastAsia="en-AU"/>
        </w:rPr>
      </w:pPr>
      <w:r w:rsidRPr="000660AA">
        <w:rPr>
          <w:rFonts w:eastAsia="Times New Roman"/>
          <w:sz w:val="18"/>
          <w:szCs w:val="18"/>
          <w:lang w:val="en" w:eastAsia="en-AU"/>
        </w:rPr>
        <w:t>The Department of Defence</w:t>
      </w:r>
      <w:r>
        <w:rPr>
          <w:rFonts w:eastAsia="Times New Roman"/>
          <w:sz w:val="18"/>
          <w:szCs w:val="18"/>
          <w:lang w:val="en" w:eastAsia="en-AU"/>
        </w:rPr>
        <w:br/>
      </w:r>
      <w:hyperlink r:id="rId9" w:history="1">
        <w:r w:rsidRPr="000660AA">
          <w:rPr>
            <w:rStyle w:val="Hyperlink"/>
            <w:sz w:val="18"/>
            <w:szCs w:val="18"/>
          </w:rPr>
          <w:t>http://www.defence.gov.au/Health/DMH/ResearchSurveillancePlan.asp</w:t>
        </w:r>
      </w:hyperlink>
    </w:p>
    <w:p w:rsidR="00A53009" w:rsidRPr="000660AA" w:rsidRDefault="000660AA" w:rsidP="000660AA">
      <w:pPr>
        <w:spacing w:line="240" w:lineRule="auto"/>
        <w:ind w:left="360"/>
        <w:rPr>
          <w:sz w:val="18"/>
          <w:szCs w:val="18"/>
        </w:rPr>
      </w:pPr>
      <w:r>
        <w:rPr>
          <w:rFonts w:eastAsia="Times New Roman"/>
          <w:sz w:val="18"/>
          <w:szCs w:val="18"/>
          <w:lang w:val="en" w:eastAsia="en-AU"/>
        </w:rPr>
        <w:t xml:space="preserve">The </w:t>
      </w:r>
      <w:r w:rsidR="00A53009" w:rsidRPr="00A53009">
        <w:rPr>
          <w:rFonts w:eastAsia="Times New Roman"/>
          <w:sz w:val="18"/>
          <w:szCs w:val="18"/>
          <w:lang w:val="en" w:eastAsia="en-AU"/>
        </w:rPr>
        <w:t>Department of Veterans</w:t>
      </w:r>
      <w:r w:rsidR="005B681B">
        <w:rPr>
          <w:rFonts w:eastAsia="Times New Roman"/>
          <w:sz w:val="18"/>
          <w:szCs w:val="18"/>
          <w:lang w:val="en" w:eastAsia="en-AU"/>
        </w:rPr>
        <w:t>’</w:t>
      </w:r>
      <w:r w:rsidR="00A53009" w:rsidRPr="00A53009">
        <w:rPr>
          <w:rFonts w:eastAsia="Times New Roman"/>
          <w:sz w:val="18"/>
          <w:szCs w:val="18"/>
          <w:lang w:val="en" w:eastAsia="en-AU"/>
        </w:rPr>
        <w:t xml:space="preserve"> Affairs</w:t>
      </w:r>
      <w:r w:rsidR="00A53009" w:rsidRPr="00A53009">
        <w:rPr>
          <w:rFonts w:eastAsia="Times New Roman"/>
          <w:sz w:val="18"/>
          <w:szCs w:val="18"/>
          <w:lang w:val="en" w:eastAsia="en-AU"/>
        </w:rPr>
        <w:br/>
      </w:r>
      <w:hyperlink r:id="rId10" w:history="1">
        <w:r w:rsidRPr="000660AA">
          <w:rPr>
            <w:rStyle w:val="Hyperlink"/>
            <w:sz w:val="18"/>
            <w:szCs w:val="18"/>
          </w:rPr>
          <w:t>www.dva.gov.au/mental-health-prevalence-report</w:t>
        </w:r>
      </w:hyperlink>
    </w:p>
    <w:p w:rsidR="001171B3" w:rsidRDefault="001171B3" w:rsidP="004E26AA">
      <w:pPr>
        <w:spacing w:line="240" w:lineRule="auto"/>
        <w:rPr>
          <w:sz w:val="18"/>
          <w:szCs w:val="18"/>
        </w:rPr>
      </w:pPr>
    </w:p>
    <w:p w:rsidR="004E26AA" w:rsidRPr="00F85A07" w:rsidRDefault="004E26AA" w:rsidP="004E26AA">
      <w:pPr>
        <w:spacing w:line="240" w:lineRule="auto"/>
        <w:rPr>
          <w:sz w:val="18"/>
          <w:szCs w:val="18"/>
        </w:rPr>
      </w:pPr>
      <w:r w:rsidRPr="00F85A07">
        <w:rPr>
          <w:sz w:val="18"/>
          <w:szCs w:val="18"/>
        </w:rPr>
        <w:t>Published by the Department of Veterans’ Affairs, Canberra</w:t>
      </w:r>
    </w:p>
    <w:p w:rsidR="00C64763" w:rsidRPr="00A53009" w:rsidRDefault="00A53009" w:rsidP="00A53009">
      <w:pPr>
        <w:spacing w:line="240" w:lineRule="auto"/>
        <w:rPr>
          <w:sz w:val="18"/>
          <w:szCs w:val="18"/>
        </w:rPr>
      </w:pPr>
      <w:r w:rsidRPr="00A53009">
        <w:rPr>
          <w:sz w:val="18"/>
          <w:szCs w:val="18"/>
        </w:rPr>
        <w:t>Publication no: P03371</w:t>
      </w:r>
    </w:p>
    <w:p w:rsidR="00191932" w:rsidRDefault="00191932"/>
    <w:p w:rsidR="00A53009" w:rsidRPr="005B0796" w:rsidRDefault="00A53009">
      <w:pPr>
        <w:sectPr w:rsidR="00A53009" w:rsidRPr="005B0796" w:rsidSect="00452191">
          <w:footerReference w:type="even" r:id="rId11"/>
          <w:footerReference w:type="default" r:id="rId12"/>
          <w:pgSz w:w="9979" w:h="14170" w:code="243"/>
          <w:pgMar w:top="1440" w:right="1152" w:bottom="1440" w:left="1728" w:header="576" w:footer="576" w:gutter="0"/>
          <w:pgNumType w:fmt="lowerRoman"/>
          <w:cols w:space="708"/>
          <w:docGrid w:linePitch="360"/>
        </w:sectPr>
      </w:pPr>
    </w:p>
    <w:p w:rsidR="00F94CE8" w:rsidRDefault="00F94CE8" w:rsidP="00F94CE8">
      <w:pPr>
        <w:pStyle w:val="Heading1"/>
        <w:numPr>
          <w:ilvl w:val="0"/>
          <w:numId w:val="0"/>
        </w:numPr>
      </w:pPr>
      <w:bookmarkStart w:id="1" w:name="_Toc511900252"/>
      <w:r>
        <w:lastRenderedPageBreak/>
        <w:t>Key findings</w:t>
      </w:r>
      <w:bookmarkEnd w:id="1"/>
    </w:p>
    <w:p w:rsidR="00F94CE8" w:rsidRPr="000A203C" w:rsidRDefault="00F94CE8" w:rsidP="00F94CE8">
      <w:bookmarkStart w:id="2" w:name="here"/>
      <w:bookmarkEnd w:id="2"/>
      <w:r w:rsidRPr="000A203C">
        <w:t xml:space="preserve">This </w:t>
      </w:r>
      <w:r w:rsidRPr="000A203C">
        <w:rPr>
          <w:i/>
        </w:rPr>
        <w:t>Mental Health Prevalence</w:t>
      </w:r>
      <w:r w:rsidRPr="000A203C">
        <w:t xml:space="preserve"> </w:t>
      </w:r>
      <w:r w:rsidRPr="000A203C">
        <w:rPr>
          <w:i/>
        </w:rPr>
        <w:t>Report</w:t>
      </w:r>
      <w:r w:rsidRPr="000A203C">
        <w:t xml:space="preserve"> is the first of eight reports and two papers that comprise the Transition and Wellbeing Research Programme (the Programme). The Programme is the most comprehensive study undertaken in Australia on the impact of military service on the mental, physical and social health of Transitioned and 2015 Regular Australian Defence Force (ADF) members and their families (the study populations). </w:t>
      </w:r>
    </w:p>
    <w:p w:rsidR="00F94CE8" w:rsidRPr="000A203C" w:rsidRDefault="00F94CE8" w:rsidP="00F94CE8">
      <w:r w:rsidRPr="000A203C">
        <w:t>This report investigates the prevalence of 12-month and lifetime mental disorders, trauma exposure, suicidal ideation and self-reported mental health symptoms among Transitioned ADF members. Comparisons are also made between the self-reported mental health symptoms in Transitioned ADF with 2015 Regular ADF members and where possible, with the Australian Community.</w:t>
      </w:r>
    </w:p>
    <w:p w:rsidR="00F94CE8" w:rsidRPr="000A203C" w:rsidRDefault="00F94CE8" w:rsidP="00F94CE8">
      <w:r w:rsidRPr="000A203C">
        <w:t xml:space="preserve">The second report in the Programme, </w:t>
      </w:r>
      <w:r w:rsidRPr="000A203C">
        <w:rPr>
          <w:i/>
        </w:rPr>
        <w:t>Pathways to Care</w:t>
      </w:r>
      <w:r w:rsidRPr="000A203C">
        <w:t xml:space="preserve">, tells the next phase in the ADF mental health story by investigating how Transitioned ADF and 2015 Regular ADF members access, use and value mental health care services. </w:t>
      </w:r>
    </w:p>
    <w:p w:rsidR="00F94CE8" w:rsidRPr="000A203C" w:rsidRDefault="00F94CE8" w:rsidP="00F94CE8">
      <w:r w:rsidRPr="000A203C">
        <w:t>The study populations for both reports are:</w:t>
      </w:r>
    </w:p>
    <w:p w:rsidR="00F94CE8" w:rsidRPr="000A203C" w:rsidRDefault="00F94CE8" w:rsidP="00F94CE8">
      <w:pPr>
        <w:pStyle w:val="Bullet"/>
      </w:pPr>
      <w:r w:rsidRPr="000A203C">
        <w:t xml:space="preserve">ADF members who transitioned from the Regular ADF between 2010 and 2014 (including Ex-Serving, Active and Inactive Reservists) </w:t>
      </w:r>
    </w:p>
    <w:p w:rsidR="00F94CE8" w:rsidRPr="000A203C" w:rsidRDefault="00F94CE8" w:rsidP="00F94CE8">
      <w:pPr>
        <w:pStyle w:val="Bullet"/>
      </w:pPr>
      <w:r w:rsidRPr="000A203C">
        <w:t>a random sample of Regular ADF members serving in 2015</w:t>
      </w:r>
    </w:p>
    <w:p w:rsidR="00F94CE8" w:rsidRPr="000A203C" w:rsidRDefault="00F94CE8" w:rsidP="00F94CE8">
      <w:pPr>
        <w:pStyle w:val="Bullet"/>
      </w:pPr>
      <w:r w:rsidRPr="000A203C">
        <w:t>2015 Regular ADF and Transitioned ADF members who participated in the 2010 Military Health Outcomes Program or MilHOP.</w:t>
      </w:r>
    </w:p>
    <w:p w:rsidR="00F94CE8" w:rsidRPr="000A203C" w:rsidRDefault="00F94CE8" w:rsidP="00F94CE8">
      <w:r w:rsidRPr="000A203C">
        <w:rPr>
          <w:rFonts w:eastAsia="MS ??"/>
        </w:rPr>
        <w:t xml:space="preserve">Furthermore, a </w:t>
      </w:r>
      <w:r w:rsidRPr="000A203C">
        <w:t>comparison of the self-reported psychological distress and alcohol consumption of the Transitioned ADF in 2015 with the contemporaneous data collected by the Australian Bureau of Statistics in 2014 -2015 as part of the National Health Survey was performed.</w:t>
      </w:r>
      <w:r>
        <w:t xml:space="preserve"> </w:t>
      </w:r>
      <w:r w:rsidRPr="000A203C">
        <w:t>In relation to these two mental health outcomes, psychological distress and alcohol consumption, this comparison situates the Transitioned ADF in the context of the civilian population using the most contemporary (and temporally equivalent) Australian data available.</w:t>
      </w:r>
    </w:p>
    <w:p w:rsidR="00F94CE8" w:rsidRPr="000A203C" w:rsidRDefault="00F94CE8" w:rsidP="00F94CE8">
      <w:r w:rsidRPr="000A203C">
        <w:t xml:space="preserve">Results from the </w:t>
      </w:r>
      <w:r w:rsidRPr="000A203C">
        <w:rPr>
          <w:i/>
        </w:rPr>
        <w:t>Mental Health Prevalence Report</w:t>
      </w:r>
      <w:r w:rsidRPr="000A203C">
        <w:t xml:space="preserve"> show ADF members transitioning from full-time military service represent a group at particular risk for mental disorder who would benefit from proactive strategies that aim to lessen the burden of mental </w:t>
      </w:r>
      <w:r w:rsidRPr="000A203C">
        <w:lastRenderedPageBreak/>
        <w:t>illness and assist the transition process. An estimated 46% of ADF members who had transitioned from full-time service within the past five years met 12-month diagnostic criteria for a mental disorder using a structured diagnostic interview. This level of 12</w:t>
      </w:r>
      <w:r w:rsidRPr="000A203C">
        <w:noBreakHyphen/>
        <w:t xml:space="preserve">month disorder combined with the significantly greater severity of current self-reported symptoms of psychological distress, depression anxiety, anger, suicidality and alcohol use, particularly at subthreshold levels in the Transitioned ADF compared to the 2015 Regular ADF, places this population at significant risk of impairment and disability, highlighting the challenges of transitioning out of full-time military service. Despite these levels of disorder, the levels of engagement in employment and socially connected roles among the Transitioned ADF is encouraging. For example, when the spectrum of roles, including studying were taken into account, approximately 84% of the Transitioned ADF were either working or engaged in some purposeful activity, suggesting a degree of social engagement. </w:t>
      </w:r>
    </w:p>
    <w:p w:rsidR="00F94CE8" w:rsidRPr="000A203C" w:rsidRDefault="00F94CE8" w:rsidP="00F94CE8">
      <w:r w:rsidRPr="000A203C">
        <w:t xml:space="preserve">We suggest reading these reports chronologically to obtain a full understanding of the status of Transitioned and Regular ADF mental health. While reading the findings below, it is important to remember that references to the ‘… last 12 months …’ is referring to the 12 months prior to the date of participation in the study with all data collection undertaken between 1 June and 31 December 2015. </w:t>
      </w:r>
    </w:p>
    <w:p w:rsidR="00F94CE8" w:rsidRPr="000A203C" w:rsidRDefault="00F94CE8" w:rsidP="00F94CE8">
      <w:pPr>
        <w:pStyle w:val="Heading3a"/>
      </w:pPr>
      <w:r w:rsidRPr="000A203C">
        <w:t>Definitions of key terms used in this report</w:t>
      </w:r>
    </w:p>
    <w:p w:rsidR="00F94CE8" w:rsidRPr="000A203C" w:rsidRDefault="00F94CE8" w:rsidP="00F94CE8">
      <w:pPr>
        <w:rPr>
          <w:b/>
        </w:rPr>
      </w:pPr>
      <w:r w:rsidRPr="000A203C">
        <w:rPr>
          <w:b/>
          <w:lang w:eastAsia="en-GB"/>
        </w:rPr>
        <w:t>Transitioned ADF members</w:t>
      </w:r>
      <w:r w:rsidRPr="000A203C">
        <w:rPr>
          <w:lang w:eastAsia="en-GB"/>
        </w:rPr>
        <w:t xml:space="preserve"> – </w:t>
      </w:r>
      <w:r w:rsidRPr="000A203C">
        <w:rPr>
          <w:lang w:eastAsia="en-AU"/>
        </w:rPr>
        <w:t>Population of</w:t>
      </w:r>
      <w:r w:rsidRPr="000A203C">
        <w:t xml:space="preserve"> ADF members who transitioned from full-time ADF service between 2010 and 2014, including those who transitioned into the Active and Inactive Reserves and those who had discharged completely (Ex-Serving).</w:t>
      </w:r>
    </w:p>
    <w:p w:rsidR="00F94CE8" w:rsidRPr="000A203C" w:rsidRDefault="00F94CE8" w:rsidP="00F94CE8">
      <w:pPr>
        <w:rPr>
          <w:rFonts w:eastAsia="MS ??"/>
          <w:b/>
        </w:rPr>
      </w:pPr>
      <w:r w:rsidRPr="000A203C">
        <w:rPr>
          <w:b/>
        </w:rPr>
        <w:t>2015 Regular ADF</w:t>
      </w:r>
      <w:r w:rsidRPr="000A203C">
        <w:t xml:space="preserve"> – ADF members who were serving full-time in the ADF in 2015</w:t>
      </w:r>
    </w:p>
    <w:p w:rsidR="00F94CE8" w:rsidRPr="000A203C" w:rsidRDefault="00F94CE8" w:rsidP="00F94CE8">
      <w:pPr>
        <w:rPr>
          <w:b/>
        </w:rPr>
      </w:pPr>
      <w:r w:rsidRPr="000A203C">
        <w:rPr>
          <w:b/>
        </w:rPr>
        <w:t>Lifetime prevalence</w:t>
      </w:r>
      <w:r w:rsidRPr="000A203C">
        <w:t xml:space="preserve"> – A prevalence that meets diagnostic criteria for a mental disorder at any point in the respondent’s lifetime.</w:t>
      </w:r>
    </w:p>
    <w:p w:rsidR="00F94CE8" w:rsidRPr="000A203C" w:rsidRDefault="00F94CE8" w:rsidP="00F94CE8">
      <w:r w:rsidRPr="000A203C">
        <w:rPr>
          <w:b/>
        </w:rPr>
        <w:t>12-month prevalence</w:t>
      </w:r>
      <w:r w:rsidRPr="000A203C">
        <w:t xml:space="preserve"> – Meeting the diagnostic criteria for a lifetime ICD-10 mental disorder and having reported symptoms in the 12 months before the interview. </w:t>
      </w:r>
    </w:p>
    <w:p w:rsidR="00F94CE8" w:rsidRPr="000A203C" w:rsidRDefault="00F94CE8" w:rsidP="00F94CE8">
      <w:r w:rsidRPr="000A203C">
        <w:rPr>
          <w:bCs/>
        </w:rPr>
        <w:t>R</w:t>
      </w:r>
      <w:r w:rsidRPr="000A203C">
        <w:t>efer to the Glossary of terms for definitions of other key terms in this section.</w:t>
      </w:r>
    </w:p>
    <w:p w:rsidR="00F94CE8" w:rsidRPr="000A203C" w:rsidRDefault="00F94CE8" w:rsidP="00F94CE8">
      <w:pPr>
        <w:pStyle w:val="FindingsHeading"/>
      </w:pPr>
      <w:r w:rsidRPr="000A203C">
        <w:t>Demographics</w:t>
      </w:r>
    </w:p>
    <w:p w:rsidR="00FD1711" w:rsidRDefault="00FD1711" w:rsidP="00FD1711">
      <w:pPr>
        <w:pStyle w:val="FindingsBullet"/>
        <w:keepNext/>
        <w:numPr>
          <w:ilvl w:val="0"/>
          <w:numId w:val="2"/>
        </w:numPr>
        <w:ind w:left="360"/>
      </w:pPr>
      <w:r w:rsidRPr="000A203C">
        <w:t>More than half of Transitioned ADF members remained in the ADF as Reservists (55.8%). Of these, 25.7% were Active Reservists.</w:t>
      </w:r>
    </w:p>
    <w:p w:rsidR="00FD1711" w:rsidRDefault="00FD1711" w:rsidP="00F94CE8">
      <w:pPr>
        <w:pStyle w:val="FindingsBullet"/>
        <w:numPr>
          <w:ilvl w:val="0"/>
          <w:numId w:val="2"/>
        </w:numPr>
        <w:ind w:left="360"/>
      </w:pPr>
      <w:r w:rsidRPr="000A203C">
        <w:t>Approximately, 84% of the Transitioned ADF were either working or engaged in some purposeful activity with 62.8% being employed. Just over 5.5% of the Transitioned ADF had retired.</w:t>
      </w:r>
    </w:p>
    <w:p w:rsidR="00F94CE8" w:rsidRDefault="00F94CE8" w:rsidP="00F94CE8">
      <w:pPr>
        <w:pStyle w:val="FindingsBullet"/>
        <w:numPr>
          <w:ilvl w:val="0"/>
          <w:numId w:val="2"/>
        </w:numPr>
        <w:ind w:left="360"/>
      </w:pPr>
      <w:r w:rsidRPr="000A203C">
        <w:t>More than 43% of Transitioned ADF members reported accessing DVA-funded treatment through either a DVA White Card (39.4%) or DVA Gold Card (4.2%).</w:t>
      </w:r>
    </w:p>
    <w:p w:rsidR="00FD1711" w:rsidRDefault="00FD1711" w:rsidP="00F94CE8">
      <w:pPr>
        <w:pStyle w:val="FindingsBullet"/>
        <w:numPr>
          <w:ilvl w:val="0"/>
          <w:numId w:val="2"/>
        </w:numPr>
        <w:ind w:left="360"/>
      </w:pPr>
      <w:r w:rsidRPr="000A203C">
        <w:t>Just over one-fifth of the Transitioned ADF were estimated to have been medically discharged.</w:t>
      </w:r>
    </w:p>
    <w:p w:rsidR="00FD1711" w:rsidRDefault="00FD1711" w:rsidP="00F94CE8">
      <w:pPr>
        <w:pStyle w:val="FindingsBullet"/>
        <w:numPr>
          <w:ilvl w:val="0"/>
          <w:numId w:val="2"/>
        </w:numPr>
        <w:ind w:left="360"/>
      </w:pPr>
      <w:r w:rsidRPr="000A203C">
        <w:t>The most commonly reported reasons for transition were ‘impact of service life on family’ (10.2%), ‘better employment prospects in civilian life’ (7.2%), ‘mental health problems’ (6.5%) and ‘physical health problems’ (4.3%).</w:t>
      </w:r>
    </w:p>
    <w:p w:rsidR="00FD1711" w:rsidRDefault="00FD1711" w:rsidP="00F94CE8">
      <w:pPr>
        <w:pStyle w:val="FindingsBullet"/>
        <w:numPr>
          <w:ilvl w:val="0"/>
          <w:numId w:val="2"/>
        </w:numPr>
        <w:ind w:left="360"/>
      </w:pPr>
      <w:r w:rsidRPr="000A203C">
        <w:t>There were no significant differences in housing stability between the Transitioned ADF and the 2015 Regular ADF, with more than 93% estimated to have been in stable housing in the previous two months.</w:t>
      </w:r>
    </w:p>
    <w:p w:rsidR="00FD1711" w:rsidRDefault="00FD1711" w:rsidP="00F94CE8">
      <w:pPr>
        <w:pStyle w:val="FindingsBullet"/>
        <w:numPr>
          <w:ilvl w:val="0"/>
          <w:numId w:val="2"/>
        </w:numPr>
        <w:ind w:left="360"/>
      </w:pPr>
      <w:r w:rsidRPr="000A203C">
        <w:t>Just over 40% of the Transitioned ADF and 36% of the 2015 Regular ADF reported having a diploma or university qualification.</w:t>
      </w:r>
    </w:p>
    <w:p w:rsidR="00FD1711" w:rsidRPr="000A203C" w:rsidRDefault="00FD1711" w:rsidP="00F94CE8">
      <w:pPr>
        <w:pStyle w:val="FindingsBullet"/>
        <w:numPr>
          <w:ilvl w:val="0"/>
          <w:numId w:val="2"/>
        </w:numPr>
        <w:ind w:left="360"/>
      </w:pPr>
      <w:r w:rsidRPr="000A203C">
        <w:t>Twice as many members of the Transitioned ADF were classified as medically unfit compared to the 2015 Regular ADF.</w:t>
      </w:r>
    </w:p>
    <w:p w:rsidR="00F94CE8" w:rsidRPr="000A203C" w:rsidRDefault="00F94CE8" w:rsidP="00F94CE8">
      <w:pPr>
        <w:spacing w:after="0" w:line="240" w:lineRule="auto"/>
      </w:pPr>
    </w:p>
    <w:p w:rsidR="00F94CE8" w:rsidRPr="000A203C" w:rsidRDefault="00F94CE8" w:rsidP="00F94CE8">
      <w:pPr>
        <w:pStyle w:val="FindingsHeading"/>
      </w:pPr>
      <w:r w:rsidRPr="000A203C">
        <w:t>Estimated prevalence of lifetime mental disorder in Transitioned ADF</w:t>
      </w:r>
    </w:p>
    <w:p w:rsidR="00F94CE8" w:rsidRPr="000A203C" w:rsidRDefault="00F94CE8" w:rsidP="00F94CE8">
      <w:pPr>
        <w:pStyle w:val="FindingsBullet"/>
        <w:numPr>
          <w:ilvl w:val="0"/>
          <w:numId w:val="2"/>
        </w:numPr>
        <w:ind w:left="360"/>
      </w:pPr>
      <w:r w:rsidRPr="000A203C">
        <w:t xml:space="preserve">Almost three in four Transitioned ADF members are estimated to have met criteria for a mental disorder at some stage in their lifetime that is either, prior to, during or after their military career. </w:t>
      </w:r>
    </w:p>
    <w:p w:rsidR="00F94CE8" w:rsidRPr="000A203C" w:rsidRDefault="00F94CE8" w:rsidP="00F94CE8">
      <w:pPr>
        <w:pStyle w:val="FindingsBullet"/>
        <w:numPr>
          <w:ilvl w:val="0"/>
          <w:numId w:val="2"/>
        </w:numPr>
        <w:ind w:left="360"/>
      </w:pPr>
      <w:r w:rsidRPr="000A203C">
        <w:t>Anxiety and (46.1%) Alcohol disorders (47.5%) were the most common classes of lifetime disorder.</w:t>
      </w:r>
    </w:p>
    <w:p w:rsidR="00F94CE8" w:rsidRPr="000A203C" w:rsidRDefault="00F94CE8" w:rsidP="00F94CE8">
      <w:pPr>
        <w:pStyle w:val="FindingsBullet"/>
        <w:numPr>
          <w:ilvl w:val="0"/>
          <w:numId w:val="2"/>
        </w:numPr>
        <w:ind w:left="360"/>
      </w:pPr>
      <w:r w:rsidRPr="000A203C">
        <w:t>One quarter of Transitioned ADF members were estimated to have met criteria for posttraumatic stress disorder (PTSD) in their lifetime (24.9%).</w:t>
      </w:r>
    </w:p>
    <w:p w:rsidR="00F94CE8" w:rsidRPr="000A203C" w:rsidRDefault="00F94CE8" w:rsidP="00F94CE8">
      <w:pPr>
        <w:spacing w:after="0" w:line="240" w:lineRule="auto"/>
      </w:pPr>
    </w:p>
    <w:p w:rsidR="00F94CE8" w:rsidRPr="000A203C" w:rsidRDefault="00F94CE8" w:rsidP="00F94CE8">
      <w:pPr>
        <w:pStyle w:val="FindingsHeading"/>
      </w:pPr>
      <w:r w:rsidRPr="000A203C">
        <w:t xml:space="preserve">Estimated prevalence of 12-month mental disorder in Transitioned </w:t>
      </w:r>
      <w:r>
        <w:t>ADF</w:t>
      </w:r>
    </w:p>
    <w:p w:rsidR="00F94CE8" w:rsidRPr="000A203C" w:rsidRDefault="00F94CE8" w:rsidP="00F94CE8">
      <w:pPr>
        <w:pStyle w:val="FindingsBullet"/>
        <w:numPr>
          <w:ilvl w:val="0"/>
          <w:numId w:val="2"/>
        </w:numPr>
        <w:ind w:left="360"/>
      </w:pPr>
      <w:r w:rsidRPr="000A203C">
        <w:t>Just over half of the Transitioned ADF had not experienced a mental disorder in the previous 12 months.</w:t>
      </w:r>
    </w:p>
    <w:p w:rsidR="00F94CE8" w:rsidRPr="000A203C" w:rsidRDefault="00F94CE8" w:rsidP="00F94CE8">
      <w:pPr>
        <w:pStyle w:val="FindingsBullet"/>
        <w:numPr>
          <w:ilvl w:val="0"/>
          <w:numId w:val="2"/>
        </w:numPr>
        <w:ind w:left="360"/>
      </w:pPr>
      <w:r w:rsidRPr="000A203C">
        <w:t>46.4% of Transitioned ADF members are estimated to have experienced a mental disorder in the previous 12 months.</w:t>
      </w:r>
    </w:p>
    <w:p w:rsidR="00F94CE8" w:rsidRPr="000A203C" w:rsidRDefault="00F94CE8" w:rsidP="00F94CE8">
      <w:pPr>
        <w:pStyle w:val="FindingsSubheading"/>
      </w:pPr>
      <w:r w:rsidRPr="000A203C">
        <w:t>Anxiety disorders</w:t>
      </w:r>
    </w:p>
    <w:p w:rsidR="00F94CE8" w:rsidRPr="000A203C" w:rsidRDefault="00F94CE8" w:rsidP="00F94CE8">
      <w:pPr>
        <w:pStyle w:val="FindingsBullet"/>
        <w:numPr>
          <w:ilvl w:val="0"/>
          <w:numId w:val="2"/>
        </w:numPr>
        <w:ind w:left="360"/>
      </w:pPr>
      <w:r w:rsidRPr="000A203C">
        <w:t xml:space="preserve">Anxiety disorders were the most common type of 12-month mental disorder among the Transitioned ADF with over one in three (37.0%) experiencing an anxiety disorder in the last 12 months. </w:t>
      </w:r>
    </w:p>
    <w:p w:rsidR="00F94CE8" w:rsidRPr="000A203C" w:rsidRDefault="00F94CE8" w:rsidP="00F94CE8">
      <w:pPr>
        <w:pStyle w:val="FindingsBullet"/>
        <w:numPr>
          <w:ilvl w:val="0"/>
          <w:numId w:val="2"/>
        </w:numPr>
        <w:ind w:left="360"/>
      </w:pPr>
      <w:r w:rsidRPr="000A203C">
        <w:t>PTSD (17.7%), panic attacks (17.0%), agoraphobia (11.9%) and social phobia (11.0%) were the most common types of anxiety disorders in the Transitioned ADF.</w:t>
      </w:r>
    </w:p>
    <w:p w:rsidR="00F94CE8" w:rsidRPr="000A203C" w:rsidRDefault="00F94CE8" w:rsidP="00F94CE8">
      <w:pPr>
        <w:pStyle w:val="FindingsSubheading"/>
      </w:pPr>
      <w:r w:rsidRPr="000A203C">
        <w:t>Affective disorders</w:t>
      </w:r>
    </w:p>
    <w:p w:rsidR="00F94CE8" w:rsidRPr="000A203C" w:rsidRDefault="00F94CE8" w:rsidP="00F94CE8">
      <w:pPr>
        <w:pStyle w:val="FindingsBullet"/>
        <w:numPr>
          <w:ilvl w:val="0"/>
          <w:numId w:val="2"/>
        </w:numPr>
        <w:ind w:left="360"/>
      </w:pPr>
      <w:r w:rsidRPr="000A203C">
        <w:t>One in five (23.1%) Transitioned ADF are estimated to have experienced an affective disorder in the last 12 months.</w:t>
      </w:r>
    </w:p>
    <w:p w:rsidR="00F94CE8" w:rsidRPr="000A203C" w:rsidRDefault="00F94CE8" w:rsidP="00F94CE8">
      <w:pPr>
        <w:pStyle w:val="FindingsBullet"/>
        <w:numPr>
          <w:ilvl w:val="0"/>
          <w:numId w:val="2"/>
        </w:numPr>
        <w:ind w:left="360"/>
      </w:pPr>
      <w:r w:rsidRPr="000A203C">
        <w:t>The most common affective disorder type in Transitioned ADF was depressive episodes (11.2%).</w:t>
      </w:r>
    </w:p>
    <w:p w:rsidR="00F94CE8" w:rsidRPr="000A203C" w:rsidRDefault="00F94CE8" w:rsidP="00F94CE8">
      <w:pPr>
        <w:pStyle w:val="FindingsSubheading"/>
      </w:pPr>
      <w:r w:rsidRPr="000A203C">
        <w:t>Alcohol disorders</w:t>
      </w:r>
    </w:p>
    <w:p w:rsidR="00F94CE8" w:rsidRPr="000A203C" w:rsidRDefault="00F94CE8" w:rsidP="00F94CE8">
      <w:pPr>
        <w:pStyle w:val="FindingsBullet"/>
        <w:numPr>
          <w:ilvl w:val="0"/>
          <w:numId w:val="2"/>
        </w:numPr>
        <w:ind w:left="360"/>
      </w:pPr>
      <w:r w:rsidRPr="000A203C">
        <w:t>12.9% of the Transitioned ADF met criteria for an alcohol disorder in the last 12 months.</w:t>
      </w:r>
    </w:p>
    <w:p w:rsidR="00F94CE8" w:rsidRPr="000A203C" w:rsidRDefault="00F94CE8" w:rsidP="00536233">
      <w:pPr>
        <w:pStyle w:val="FindingsSubheading"/>
      </w:pPr>
      <w:r w:rsidRPr="000A203C">
        <w:t>Occurrence of more than one disorder at the same time (comorbidity) in Transitioned ADF</w:t>
      </w:r>
    </w:p>
    <w:p w:rsidR="00F94CE8" w:rsidRPr="000A203C" w:rsidRDefault="00F94CE8" w:rsidP="00F94CE8">
      <w:pPr>
        <w:pStyle w:val="FindingsBullet"/>
        <w:numPr>
          <w:ilvl w:val="0"/>
          <w:numId w:val="2"/>
        </w:numPr>
        <w:ind w:left="360"/>
      </w:pPr>
      <w:r w:rsidRPr="000A203C">
        <w:t>Of the Transitioned ADF with a 12-month mental disorder more than half (55.2%) had at least one comorbid or co-existing mental disorder.</w:t>
      </w:r>
    </w:p>
    <w:p w:rsidR="00F94CE8" w:rsidRPr="000A203C" w:rsidRDefault="00F94CE8" w:rsidP="00F94CE8">
      <w:pPr>
        <w:spacing w:after="0" w:line="240" w:lineRule="auto"/>
        <w:rPr>
          <w:rFonts w:cs="Arial"/>
          <w:szCs w:val="22"/>
          <w:lang w:eastAsia="en-AU"/>
        </w:rPr>
      </w:pPr>
    </w:p>
    <w:p w:rsidR="00F94CE8" w:rsidRPr="000A203C" w:rsidRDefault="00F94CE8" w:rsidP="00F94CE8">
      <w:pPr>
        <w:pStyle w:val="FindingsHeading"/>
      </w:pPr>
      <w:r w:rsidRPr="000A203C">
        <w:t>Estimated prevalence of suicidality (ideation, planning, attempting) in Transitioned ADF</w:t>
      </w:r>
    </w:p>
    <w:p w:rsidR="00F94CE8" w:rsidRPr="000A203C" w:rsidRDefault="00F94CE8" w:rsidP="00F94CE8">
      <w:pPr>
        <w:pStyle w:val="FindingsBullet"/>
        <w:numPr>
          <w:ilvl w:val="0"/>
          <w:numId w:val="2"/>
        </w:numPr>
        <w:ind w:left="360"/>
      </w:pPr>
      <w:r w:rsidRPr="000A203C">
        <w:t>Just over 20 per</w:t>
      </w:r>
      <w:r w:rsidR="00C4632A">
        <w:t xml:space="preserve"> </w:t>
      </w:r>
      <w:r w:rsidRPr="000A203C">
        <w:t>cent of Transitioned ADF experienced suicidal ideation, plans or attempts in the last 12 months.</w:t>
      </w:r>
    </w:p>
    <w:p w:rsidR="00F94CE8" w:rsidRPr="000A203C" w:rsidRDefault="00F94CE8" w:rsidP="00F94CE8">
      <w:pPr>
        <w:pStyle w:val="FindingsBullet"/>
        <w:numPr>
          <w:ilvl w:val="0"/>
          <w:numId w:val="2"/>
        </w:numPr>
        <w:ind w:left="360"/>
      </w:pPr>
      <w:r w:rsidRPr="000A203C">
        <w:t xml:space="preserve">28.9% of Transitioned ADF had felt that their life was not worth living. </w:t>
      </w:r>
    </w:p>
    <w:p w:rsidR="00F94CE8" w:rsidRPr="000A203C" w:rsidRDefault="00F94CE8" w:rsidP="00F94CE8">
      <w:pPr>
        <w:pStyle w:val="FindingsBullet"/>
        <w:numPr>
          <w:ilvl w:val="0"/>
          <w:numId w:val="2"/>
        </w:numPr>
        <w:ind w:left="360"/>
      </w:pPr>
      <w:r w:rsidRPr="000A203C">
        <w:t xml:space="preserve">21.2% had felt so low that they thought about taking their own life. </w:t>
      </w:r>
    </w:p>
    <w:p w:rsidR="00F94CE8" w:rsidRPr="000A203C" w:rsidRDefault="00F94CE8" w:rsidP="00F94CE8">
      <w:pPr>
        <w:pStyle w:val="FindingsBullet"/>
        <w:numPr>
          <w:ilvl w:val="0"/>
          <w:numId w:val="2"/>
        </w:numPr>
        <w:ind w:left="360"/>
      </w:pPr>
      <w:r w:rsidRPr="000A203C">
        <w:t xml:space="preserve">7.9% of Transitioned ADF had made a suicide plan. </w:t>
      </w:r>
    </w:p>
    <w:p w:rsidR="00F94CE8" w:rsidRPr="000A203C" w:rsidRDefault="00F94CE8" w:rsidP="00F94CE8">
      <w:pPr>
        <w:pStyle w:val="FindingsBullet"/>
        <w:numPr>
          <w:ilvl w:val="0"/>
          <w:numId w:val="2"/>
        </w:numPr>
        <w:ind w:left="360"/>
      </w:pPr>
      <w:r w:rsidRPr="000A203C">
        <w:t xml:space="preserve">2.0% of Transitioned ADF reported having attempted suicide. </w:t>
      </w:r>
    </w:p>
    <w:p w:rsidR="00F94CE8" w:rsidRPr="000A203C" w:rsidRDefault="00F94CE8" w:rsidP="00F94CE8">
      <w:pPr>
        <w:spacing w:after="0" w:line="240" w:lineRule="auto"/>
        <w:rPr>
          <w:lang w:eastAsia="en-AU"/>
        </w:rPr>
      </w:pPr>
    </w:p>
    <w:p w:rsidR="00F94CE8" w:rsidRPr="000A203C" w:rsidRDefault="00F94CE8" w:rsidP="00F94CE8">
      <w:pPr>
        <w:pStyle w:val="FindingsHeading"/>
      </w:pPr>
      <w:r w:rsidRPr="000A203C">
        <w:t>Transition factors associated with 12-month mental disorder and suicidality in Transitioned ADF</w:t>
      </w:r>
    </w:p>
    <w:p w:rsidR="00F94CE8" w:rsidRPr="000A203C" w:rsidRDefault="00F94CE8" w:rsidP="00F94CE8">
      <w:pPr>
        <w:pStyle w:val="FindingsSubheading"/>
        <w:rPr>
          <w:rFonts w:eastAsia="Calibri"/>
          <w:lang w:eastAsia="en-GB"/>
        </w:rPr>
      </w:pPr>
      <w:r w:rsidRPr="000A203C">
        <w:rPr>
          <w:rFonts w:eastAsia="Calibri"/>
          <w:lang w:eastAsia="en-GB"/>
        </w:rPr>
        <w:t>Transition status</w:t>
      </w:r>
    </w:p>
    <w:p w:rsidR="00F94CE8" w:rsidRPr="000A203C" w:rsidRDefault="00F94CE8" w:rsidP="00F94CE8">
      <w:pPr>
        <w:pStyle w:val="FindingsBullet"/>
        <w:numPr>
          <w:ilvl w:val="0"/>
          <w:numId w:val="2"/>
        </w:numPr>
        <w:ind w:left="360"/>
        <w:rPr>
          <w:lang w:eastAsia="en-GB"/>
        </w:rPr>
      </w:pPr>
      <w:r w:rsidRPr="000A203C">
        <w:rPr>
          <w:lang w:eastAsia="en-GB"/>
        </w:rPr>
        <w:t>Transitioned ADF, who were Ex-Serving, had significantly greater rates of anxiety disorders, affective disorders, alcohol disorders and suicidality compared to both Inactive and Active Reservists indicating poorer mental health outcomes for those who are most disengaged with Defence.</w:t>
      </w:r>
    </w:p>
    <w:p w:rsidR="00F94CE8" w:rsidRPr="000A203C" w:rsidRDefault="00F94CE8" w:rsidP="00F94CE8">
      <w:pPr>
        <w:pStyle w:val="FindingsSubheading"/>
        <w:rPr>
          <w:rFonts w:eastAsia="Calibri"/>
          <w:lang w:eastAsia="en-GB"/>
        </w:rPr>
      </w:pPr>
      <w:r w:rsidRPr="000A203C">
        <w:rPr>
          <w:rFonts w:eastAsia="Calibri"/>
          <w:lang w:eastAsia="en-GB"/>
        </w:rPr>
        <w:t>Years since transition</w:t>
      </w:r>
    </w:p>
    <w:p w:rsidR="00F94CE8" w:rsidRPr="000A203C" w:rsidRDefault="00F94CE8" w:rsidP="00F94CE8">
      <w:pPr>
        <w:pStyle w:val="FindingsBullet"/>
        <w:numPr>
          <w:ilvl w:val="0"/>
          <w:numId w:val="2"/>
        </w:numPr>
        <w:ind w:left="360"/>
      </w:pPr>
      <w:r w:rsidRPr="000A203C">
        <w:t>The estimated rates of 12-month mental disorder were lowest in Transitioned ADF who had transitioned less than one year ago, increasing at one year or more post-transition. This may inform the timing of possible mental health surveillance activities.</w:t>
      </w:r>
    </w:p>
    <w:p w:rsidR="00F94CE8" w:rsidRPr="000A203C" w:rsidRDefault="00F94CE8" w:rsidP="00F94CE8">
      <w:pPr>
        <w:pStyle w:val="FindingsSubheading"/>
        <w:rPr>
          <w:rFonts w:eastAsia="Calibri"/>
          <w:lang w:eastAsia="en-GB"/>
        </w:rPr>
      </w:pPr>
      <w:r w:rsidRPr="000A203C">
        <w:rPr>
          <w:rFonts w:eastAsia="Calibri"/>
          <w:lang w:eastAsia="en-GB"/>
        </w:rPr>
        <w:t>Reason for discharge</w:t>
      </w:r>
    </w:p>
    <w:p w:rsidR="00F94CE8" w:rsidRPr="000A203C" w:rsidRDefault="00F94CE8" w:rsidP="00F94CE8">
      <w:pPr>
        <w:pStyle w:val="FindingsBullet"/>
        <w:numPr>
          <w:ilvl w:val="0"/>
          <w:numId w:val="2"/>
        </w:numPr>
        <w:ind w:left="360"/>
        <w:rPr>
          <w:lang w:eastAsia="en-GB"/>
        </w:rPr>
      </w:pPr>
      <w:r w:rsidRPr="000A203C">
        <w:rPr>
          <w:lang w:eastAsia="en-GB"/>
        </w:rPr>
        <w:t xml:space="preserve">Transitioned ADF who had been medically discharged had significantly higher rates of affective, anxiety and alcohol disorders and suicidality than those who discharged for other reasons. </w:t>
      </w:r>
    </w:p>
    <w:p w:rsidR="00F94CE8" w:rsidRPr="000A203C" w:rsidRDefault="00F94CE8" w:rsidP="00F94CE8">
      <w:pPr>
        <w:pStyle w:val="FindingsSubheading"/>
        <w:rPr>
          <w:rFonts w:eastAsia="Calibri"/>
          <w:lang w:eastAsia="en-GB"/>
        </w:rPr>
      </w:pPr>
      <w:r w:rsidRPr="000A203C">
        <w:rPr>
          <w:rFonts w:eastAsia="Calibri"/>
          <w:lang w:eastAsia="en-GB"/>
        </w:rPr>
        <w:t>DVA Status</w:t>
      </w:r>
    </w:p>
    <w:p w:rsidR="00F94CE8" w:rsidRPr="000A203C" w:rsidRDefault="00F94CE8" w:rsidP="00F94CE8">
      <w:pPr>
        <w:pStyle w:val="FindingsBullet"/>
        <w:numPr>
          <w:ilvl w:val="0"/>
          <w:numId w:val="2"/>
        </w:numPr>
        <w:ind w:left="360"/>
        <w:rPr>
          <w:lang w:eastAsia="en-AU"/>
        </w:rPr>
      </w:pPr>
      <w:r w:rsidRPr="000A203C">
        <w:rPr>
          <w:lang w:eastAsia="en-GB"/>
        </w:rPr>
        <w:t>Affective, anxiety and alcohol disorders and suicidality were more commonly observed in those Transitioned ADF who were in contact with or receiving services from DVA.</w:t>
      </w:r>
      <w:r w:rsidRPr="000A203C">
        <w:t xml:space="preserve"> This is expected given DVA is the primary conduit to care and assistance for ex-serving members.</w:t>
      </w:r>
    </w:p>
    <w:p w:rsidR="00F94CE8" w:rsidRPr="000A203C" w:rsidRDefault="00F94CE8" w:rsidP="00F94CE8">
      <w:pPr>
        <w:spacing w:after="0" w:line="240" w:lineRule="auto"/>
      </w:pPr>
    </w:p>
    <w:p w:rsidR="00F94CE8" w:rsidRPr="000A203C" w:rsidRDefault="00F94CE8" w:rsidP="00F94CE8">
      <w:pPr>
        <w:pStyle w:val="FindingsHeading"/>
      </w:pPr>
      <w:r w:rsidRPr="000A203C">
        <w:t>Self-reported mental health in Transitioned ADF compared to the 2015 Regular ADF</w:t>
      </w:r>
    </w:p>
    <w:p w:rsidR="00F94CE8" w:rsidRPr="000A203C" w:rsidRDefault="00F94CE8" w:rsidP="00F94CE8">
      <w:pPr>
        <w:pStyle w:val="FindingsBullet"/>
        <w:keepNext/>
        <w:numPr>
          <w:ilvl w:val="0"/>
          <w:numId w:val="2"/>
        </w:numPr>
        <w:ind w:left="360"/>
      </w:pPr>
      <w:r w:rsidRPr="000A203C">
        <w:t>Compared to 2015 Regular ADF, the Transitioned ADF reported significantly higher current mental health symptoms across all domains measured.</w:t>
      </w:r>
    </w:p>
    <w:p w:rsidR="00F94CE8" w:rsidRPr="000A203C" w:rsidRDefault="00F94CE8" w:rsidP="00F94CE8">
      <w:pPr>
        <w:pStyle w:val="FindingsSubheading"/>
      </w:pPr>
      <w:r w:rsidRPr="000A203C">
        <w:t>Psychological distress</w:t>
      </w:r>
    </w:p>
    <w:p w:rsidR="00F94CE8" w:rsidRPr="000A203C" w:rsidRDefault="00F94CE8" w:rsidP="00F94CE8">
      <w:pPr>
        <w:pStyle w:val="FindingsBullet"/>
        <w:numPr>
          <w:ilvl w:val="0"/>
          <w:numId w:val="2"/>
        </w:numPr>
        <w:ind w:left="360"/>
      </w:pPr>
      <w:r w:rsidRPr="000A203C">
        <w:t>Compared to 2015 Regular ADF, nearly twice as many Transitioned ADF had high to very high psychological distress (33.1% vs 18.7%).</w:t>
      </w:r>
    </w:p>
    <w:p w:rsidR="00F94CE8" w:rsidRPr="000A203C" w:rsidRDefault="00F94CE8" w:rsidP="00F94CE8">
      <w:pPr>
        <w:pStyle w:val="FindingsSubheading"/>
        <w:rPr>
          <w:lang w:eastAsia="en-AU"/>
        </w:rPr>
      </w:pPr>
      <w:r w:rsidRPr="000A203C">
        <w:t xml:space="preserve">Posttraumatic stress symptoms </w:t>
      </w:r>
    </w:p>
    <w:p w:rsidR="00F94CE8" w:rsidRPr="000A203C" w:rsidRDefault="00F94CE8" w:rsidP="00F94CE8">
      <w:pPr>
        <w:pStyle w:val="FindingsBullet"/>
        <w:numPr>
          <w:ilvl w:val="0"/>
          <w:numId w:val="2"/>
        </w:numPr>
        <w:ind w:left="360"/>
      </w:pPr>
      <w:r w:rsidRPr="000A203C">
        <w:t>Compared to 2015 Regular ADF, nearly three times as many Transitioned ADF had high to very high posttraumatic stress symptoms (24.3% vs 8.7%).</w:t>
      </w:r>
    </w:p>
    <w:p w:rsidR="00F94CE8" w:rsidRPr="000A203C" w:rsidRDefault="00F94CE8" w:rsidP="00F94CE8">
      <w:pPr>
        <w:pStyle w:val="FindingsSubheading"/>
      </w:pPr>
      <w:r w:rsidRPr="000A203C">
        <w:t>Alcohol use</w:t>
      </w:r>
    </w:p>
    <w:p w:rsidR="00F94CE8" w:rsidRPr="000A203C" w:rsidRDefault="00F94CE8" w:rsidP="00F94CE8">
      <w:pPr>
        <w:pStyle w:val="FindingsBullet"/>
        <w:numPr>
          <w:ilvl w:val="0"/>
          <w:numId w:val="2"/>
        </w:numPr>
        <w:ind w:left="360"/>
      </w:pPr>
      <w:r w:rsidRPr="000A203C">
        <w:t xml:space="preserve">Compared to 2015 Regular ADF, nearly four times as many Transitioned ADF reported alcohol use at levels which suggest the need for further assessment. </w:t>
      </w:r>
    </w:p>
    <w:p w:rsidR="00F94CE8" w:rsidRPr="000A203C" w:rsidRDefault="00F94CE8" w:rsidP="00F94CE8">
      <w:pPr>
        <w:pStyle w:val="FindingsBullet"/>
        <w:numPr>
          <w:ilvl w:val="0"/>
          <w:numId w:val="2"/>
        </w:numPr>
        <w:ind w:left="360"/>
      </w:pPr>
      <w:r w:rsidRPr="000A203C">
        <w:t>Compared to the 2015 Regular ADF, the Transitioned ADF were significantly more likely to report higher alcohol consumption and problems with drinking.</w:t>
      </w:r>
    </w:p>
    <w:p w:rsidR="00F94CE8" w:rsidRPr="000A203C" w:rsidRDefault="00F94CE8" w:rsidP="00F94CE8">
      <w:pPr>
        <w:pStyle w:val="FindingsSubheading"/>
      </w:pPr>
      <w:r w:rsidRPr="000A203C">
        <w:t>Depressive symptoms</w:t>
      </w:r>
    </w:p>
    <w:p w:rsidR="00F94CE8" w:rsidRPr="000A203C" w:rsidRDefault="00F94CE8" w:rsidP="00F94CE8">
      <w:pPr>
        <w:pStyle w:val="FindingsBullet"/>
        <w:numPr>
          <w:ilvl w:val="0"/>
          <w:numId w:val="2"/>
        </w:numPr>
        <w:ind w:left="360"/>
      </w:pPr>
      <w:r w:rsidRPr="000A203C">
        <w:t>Compared to 2015 Regular ADF, nearly three times as many Transitioned ADF had moderately severe to severe depressive symptoms (19.5% vs 7.4%).</w:t>
      </w:r>
    </w:p>
    <w:p w:rsidR="00F94CE8" w:rsidRPr="000A203C" w:rsidRDefault="00F94CE8" w:rsidP="00F94CE8">
      <w:pPr>
        <w:pStyle w:val="FindingsSubheading"/>
      </w:pPr>
      <w:r w:rsidRPr="000A203C">
        <w:t>Anxiety symptoms</w:t>
      </w:r>
    </w:p>
    <w:p w:rsidR="00F94CE8" w:rsidRPr="000A203C" w:rsidRDefault="00F94CE8" w:rsidP="00F94CE8">
      <w:pPr>
        <w:pStyle w:val="FindingsBullet"/>
        <w:numPr>
          <w:ilvl w:val="0"/>
          <w:numId w:val="2"/>
        </w:numPr>
        <w:ind w:left="360"/>
      </w:pPr>
      <w:r w:rsidRPr="000A203C">
        <w:t>Compared to 2015 Regular ADF, more than twice as many Transitioned ADF had moderate to severe general anxiety disorder symptoms (22.3% vs 9.6%).</w:t>
      </w:r>
    </w:p>
    <w:p w:rsidR="00F94CE8" w:rsidRPr="000A203C" w:rsidRDefault="00F94CE8" w:rsidP="00F94CE8">
      <w:pPr>
        <w:pStyle w:val="FindingsSubheading"/>
      </w:pPr>
      <w:r w:rsidRPr="000A203C">
        <w:t>Suicidality</w:t>
      </w:r>
    </w:p>
    <w:p w:rsidR="00F94CE8" w:rsidRPr="000A203C" w:rsidRDefault="00F94CE8" w:rsidP="00F94CE8">
      <w:pPr>
        <w:pStyle w:val="FindingsBullet"/>
        <w:numPr>
          <w:ilvl w:val="0"/>
          <w:numId w:val="2"/>
        </w:numPr>
        <w:ind w:left="360"/>
      </w:pPr>
      <w:r w:rsidRPr="000A203C">
        <w:t xml:space="preserve">The Transitioned ADF had significantly higher rates of suicidal ideation, plans and attempts compared to 2015 Regular ADF. </w:t>
      </w:r>
    </w:p>
    <w:p w:rsidR="00F94CE8" w:rsidRPr="000A203C" w:rsidRDefault="00F94CE8" w:rsidP="00F94CE8">
      <w:pPr>
        <w:pStyle w:val="FindingsSubheading"/>
      </w:pPr>
      <w:r w:rsidRPr="000A203C">
        <w:t>Anger</w:t>
      </w:r>
    </w:p>
    <w:p w:rsidR="00F94CE8" w:rsidRPr="000A203C" w:rsidRDefault="00F94CE8" w:rsidP="00F94CE8">
      <w:pPr>
        <w:pStyle w:val="FindingsBullet"/>
        <w:numPr>
          <w:ilvl w:val="0"/>
          <w:numId w:val="2"/>
        </w:numPr>
        <w:ind w:left="360"/>
      </w:pPr>
      <w:r w:rsidRPr="000A203C">
        <w:t xml:space="preserve">Transitioned ADF members experienced significantly greater levels of anger than the 2015 Regular ADF. </w:t>
      </w:r>
    </w:p>
    <w:p w:rsidR="00F94CE8" w:rsidRPr="000A203C" w:rsidRDefault="00F94CE8" w:rsidP="00F94CE8">
      <w:pPr>
        <w:pStyle w:val="FindingsSubheading"/>
        <w:rPr>
          <w:rFonts w:eastAsia="Calibri"/>
          <w:lang w:eastAsia="en-GB"/>
        </w:rPr>
      </w:pPr>
      <w:r w:rsidRPr="000A203C">
        <w:t>Self-reported t</w:t>
      </w:r>
      <w:r w:rsidRPr="000A203C">
        <w:rPr>
          <w:rFonts w:eastAsia="Calibri"/>
          <w:lang w:eastAsia="en-GB"/>
        </w:rPr>
        <w:t>rauma exposure</w:t>
      </w:r>
    </w:p>
    <w:p w:rsidR="00F94CE8" w:rsidRPr="000A203C" w:rsidRDefault="00F94CE8" w:rsidP="00F94CE8">
      <w:pPr>
        <w:pStyle w:val="FindingsBullet"/>
        <w:keepNext/>
        <w:keepLines/>
        <w:numPr>
          <w:ilvl w:val="0"/>
          <w:numId w:val="2"/>
        </w:numPr>
        <w:ind w:left="360"/>
        <w:rPr>
          <w:lang w:eastAsia="en-GB"/>
        </w:rPr>
      </w:pPr>
      <w:r w:rsidRPr="000A203C">
        <w:rPr>
          <w:lang w:eastAsia="en-GB"/>
        </w:rPr>
        <w:t>An estimated 85% or more of the entire Transitioned ADF and 2015 Regular ADF have experienced a potentially adverse deployment exposure.</w:t>
      </w:r>
    </w:p>
    <w:p w:rsidR="00F94CE8" w:rsidRPr="000A203C" w:rsidRDefault="00F94CE8" w:rsidP="00F94CE8">
      <w:pPr>
        <w:pStyle w:val="FindingsBullet"/>
        <w:keepNext/>
        <w:keepLines/>
        <w:numPr>
          <w:ilvl w:val="0"/>
          <w:numId w:val="2"/>
        </w:numPr>
        <w:ind w:left="360"/>
      </w:pPr>
      <w:r w:rsidRPr="000A203C">
        <w:rPr>
          <w:lang w:eastAsia="en-GB"/>
        </w:rPr>
        <w:t>Exposure to toxins were the most common deployment exposure type with over 50% of Transitioned ADF and 2015 Regular ADF reporting potentially toxic/environmental exposures (smoke, fumes, chemicals, and local food and water).</w:t>
      </w:r>
    </w:p>
    <w:p w:rsidR="00F94CE8" w:rsidRPr="000A203C" w:rsidRDefault="00F94CE8" w:rsidP="00F94CE8">
      <w:pPr>
        <w:spacing w:after="0" w:line="240" w:lineRule="auto"/>
        <w:rPr>
          <w:lang w:eastAsia="en-AU"/>
        </w:rPr>
      </w:pPr>
    </w:p>
    <w:p w:rsidR="00F94CE8" w:rsidRPr="000A203C" w:rsidRDefault="00F94CE8" w:rsidP="00F94CE8">
      <w:pPr>
        <w:pStyle w:val="FindingsHeading"/>
      </w:pPr>
      <w:r w:rsidRPr="000A203C">
        <w:t>Self-reported mental health in the Transitioned ADF compared to the Australian Community</w:t>
      </w:r>
    </w:p>
    <w:p w:rsidR="00F94CE8" w:rsidRPr="000A203C" w:rsidRDefault="00F94CE8" w:rsidP="00F94CE8">
      <w:pPr>
        <w:pStyle w:val="FindingsSubheading"/>
      </w:pPr>
      <w:r w:rsidRPr="000A203C">
        <w:t>Psychological distress</w:t>
      </w:r>
    </w:p>
    <w:p w:rsidR="00F94CE8" w:rsidRPr="000A203C" w:rsidRDefault="00F94CE8" w:rsidP="00F94CE8">
      <w:pPr>
        <w:pStyle w:val="FindingsBullet"/>
        <w:numPr>
          <w:ilvl w:val="0"/>
          <w:numId w:val="2"/>
        </w:numPr>
        <w:ind w:left="360"/>
      </w:pPr>
      <w:r w:rsidRPr="000A203C">
        <w:t>Levels of psychological distress in the Transitioned ADF were significantly higher than the Australian Community, with almost three times more Transitioned ADF reporting high to very high psychological distress (33.1%) compared to the Australian Community (12.8%).</w:t>
      </w:r>
    </w:p>
    <w:p w:rsidR="00F94CE8" w:rsidRPr="000A203C" w:rsidRDefault="00F94CE8" w:rsidP="00F94CE8">
      <w:pPr>
        <w:pStyle w:val="FindingsBullet"/>
        <w:numPr>
          <w:ilvl w:val="0"/>
          <w:numId w:val="2"/>
        </w:numPr>
        <w:ind w:left="360"/>
      </w:pPr>
      <w:r w:rsidRPr="000A203C">
        <w:t>Patterns of psychological distress were similar in the Australian community and the Transitioned ADF for males and females and consistent across all age bands.</w:t>
      </w:r>
    </w:p>
    <w:p w:rsidR="00F94CE8" w:rsidRPr="000A203C" w:rsidRDefault="00F94CE8" w:rsidP="00F94CE8">
      <w:pPr>
        <w:pStyle w:val="FindingsSubheading"/>
      </w:pPr>
      <w:r w:rsidRPr="000A203C">
        <w:t>Alcohol use</w:t>
      </w:r>
    </w:p>
    <w:p w:rsidR="00F94CE8" w:rsidRPr="000A203C" w:rsidRDefault="00F94CE8" w:rsidP="00F94CE8">
      <w:pPr>
        <w:pStyle w:val="FindingsBullet"/>
        <w:numPr>
          <w:ilvl w:val="0"/>
          <w:numId w:val="2"/>
        </w:numPr>
        <w:ind w:left="360"/>
      </w:pPr>
      <w:r w:rsidRPr="000A203C">
        <w:t>Overall, the Australian Community drank more standard drinks on a single occasion in the last 12 months than the Transitioned ADF.</w:t>
      </w:r>
    </w:p>
    <w:p w:rsidR="00F94CE8" w:rsidRPr="000A203C" w:rsidRDefault="00F94CE8" w:rsidP="00F94CE8">
      <w:pPr>
        <w:pStyle w:val="FindingsBullet"/>
        <w:numPr>
          <w:ilvl w:val="0"/>
          <w:numId w:val="2"/>
        </w:numPr>
        <w:ind w:left="360"/>
      </w:pPr>
      <w:r w:rsidRPr="000A203C">
        <w:t>Frequency of alcohol consumption in the last 12 months was similar for the Transitioned ADF compared to the Australian Community, but results varied by age and sex.</w:t>
      </w:r>
    </w:p>
    <w:p w:rsidR="00F94CE8" w:rsidRPr="000A203C" w:rsidRDefault="00F94CE8" w:rsidP="00F94CE8">
      <w:pPr>
        <w:pStyle w:val="FindingsBullet"/>
        <w:numPr>
          <w:ilvl w:val="0"/>
          <w:numId w:val="2"/>
        </w:numPr>
        <w:ind w:left="360"/>
      </w:pPr>
      <w:r w:rsidRPr="000A203C">
        <w:t xml:space="preserve">A significantly higher proportion of Transitioned ADF females reported drinking daily, weekly and monthly compared to Australian Community females. </w:t>
      </w:r>
    </w:p>
    <w:p w:rsidR="00F94CE8" w:rsidRPr="000A203C" w:rsidRDefault="00F94CE8" w:rsidP="00F94CE8">
      <w:pPr>
        <w:pStyle w:val="FindingsBullet"/>
        <w:numPr>
          <w:ilvl w:val="0"/>
          <w:numId w:val="2"/>
        </w:numPr>
        <w:ind w:left="360"/>
      </w:pPr>
      <w:r w:rsidRPr="000A203C">
        <w:t>There were no differences between the Transitioned ADF and the Australian Community in the frequency of alcohol consumed in the last 12 months in the 18-27-year age group.</w:t>
      </w:r>
    </w:p>
    <w:p w:rsidR="00F94CE8" w:rsidRPr="000A203C" w:rsidRDefault="00F94CE8" w:rsidP="00F94CE8"/>
    <w:p w:rsidR="00F94CE8" w:rsidRDefault="00F94CE8" w:rsidP="00F94CE8"/>
    <w:p w:rsidR="00F94CE8" w:rsidRDefault="00F94CE8" w:rsidP="00F94CE8">
      <w:pPr>
        <w:sectPr w:rsidR="00F94CE8" w:rsidSect="00452191">
          <w:footerReference w:type="even" r:id="rId13"/>
          <w:footerReference w:type="default" r:id="rId14"/>
          <w:type w:val="oddPage"/>
          <w:pgSz w:w="9979" w:h="14170" w:code="243"/>
          <w:pgMar w:top="1440" w:right="1152" w:bottom="1440" w:left="1728" w:header="576" w:footer="576" w:gutter="0"/>
          <w:pgNumType w:fmt="lowerRoman"/>
          <w:cols w:space="708"/>
          <w:docGrid w:linePitch="360"/>
        </w:sectPr>
      </w:pPr>
    </w:p>
    <w:p w:rsidR="00191932" w:rsidRPr="005B0796" w:rsidRDefault="00191932" w:rsidP="0047223A">
      <w:pPr>
        <w:pStyle w:val="Heading1a"/>
      </w:pPr>
      <w:r w:rsidRPr="005B0796">
        <w:t>Contents</w:t>
      </w:r>
    </w:p>
    <w:p w:rsidR="00F926F5" w:rsidRDefault="001923B9">
      <w:pPr>
        <w:pStyle w:val="TOC1"/>
        <w:rPr>
          <w:rFonts w:asciiTheme="minorHAnsi" w:eastAsiaTheme="minorEastAsia" w:hAnsiTheme="minorHAnsi" w:cstheme="minorBidi"/>
          <w:b w:val="0"/>
          <w:color w:val="auto"/>
          <w:sz w:val="22"/>
          <w:szCs w:val="22"/>
          <w:lang w:eastAsia="en-AU"/>
        </w:rPr>
      </w:pPr>
      <w:r w:rsidRPr="005B0796">
        <w:rPr>
          <w:noProof w:val="0"/>
        </w:rPr>
        <w:fldChar w:fldCharType="begin"/>
      </w:r>
      <w:r w:rsidRPr="005B0796">
        <w:rPr>
          <w:noProof w:val="0"/>
        </w:rPr>
        <w:instrText xml:space="preserve"> TOC \o "1-3" \</w:instrText>
      </w:r>
      <w:r w:rsidR="00F926F5">
        <w:rPr>
          <w:noProof w:val="0"/>
        </w:rPr>
        <w:instrText>h</w:instrText>
      </w:r>
      <w:r w:rsidRPr="005B0796">
        <w:rPr>
          <w:noProof w:val="0"/>
        </w:rPr>
        <w:instrText xml:space="preserve"> </w:instrText>
      </w:r>
      <w:r w:rsidRPr="005B0796">
        <w:rPr>
          <w:noProof w:val="0"/>
        </w:rPr>
        <w:fldChar w:fldCharType="separate"/>
      </w:r>
      <w:hyperlink w:anchor="_Toc511900252" w:history="1">
        <w:r w:rsidR="00F926F5" w:rsidRPr="00E611C1">
          <w:rPr>
            <w:rStyle w:val="Hyperlink"/>
          </w:rPr>
          <w:t>Key findings</w:t>
        </w:r>
        <w:r w:rsidR="00F926F5">
          <w:tab/>
        </w:r>
        <w:r w:rsidR="00F926F5">
          <w:fldChar w:fldCharType="begin"/>
        </w:r>
        <w:r w:rsidR="00F926F5">
          <w:instrText xml:space="preserve"> PAGEREF _Toc511900252 \h </w:instrText>
        </w:r>
        <w:r w:rsidR="00F926F5">
          <w:fldChar w:fldCharType="separate"/>
        </w:r>
        <w:r w:rsidR="006E0148">
          <w:t>iii</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253" w:history="1">
        <w:r w:rsidR="00F926F5" w:rsidRPr="00E611C1">
          <w:rPr>
            <w:rStyle w:val="Hyperlink"/>
          </w:rPr>
          <w:t>Acknowledgments</w:t>
        </w:r>
        <w:r w:rsidR="00F926F5">
          <w:tab/>
        </w:r>
        <w:r w:rsidR="00F926F5">
          <w:fldChar w:fldCharType="begin"/>
        </w:r>
        <w:r w:rsidR="00F926F5">
          <w:instrText xml:space="preserve"> PAGEREF _Toc511900253 \h </w:instrText>
        </w:r>
        <w:r w:rsidR="00F926F5">
          <w:fldChar w:fldCharType="separate"/>
        </w:r>
        <w:r>
          <w:t>xxv</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254" w:history="1">
        <w:r w:rsidR="00F926F5" w:rsidRPr="00E611C1">
          <w:rPr>
            <w:rStyle w:val="Hyperlink"/>
          </w:rPr>
          <w:t>Transition and Wellbeing Research Programme—an overview</w:t>
        </w:r>
        <w:r w:rsidR="00F926F5">
          <w:tab/>
        </w:r>
        <w:r w:rsidR="00F926F5">
          <w:fldChar w:fldCharType="begin"/>
        </w:r>
        <w:r w:rsidR="00F926F5">
          <w:instrText xml:space="preserve"> PAGEREF _Toc511900254 \h </w:instrText>
        </w:r>
        <w:r w:rsidR="00F926F5">
          <w:fldChar w:fldCharType="separate"/>
        </w:r>
        <w:r>
          <w:t>xxvii</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255" w:history="1">
        <w:r w:rsidR="00F926F5" w:rsidRPr="00E611C1">
          <w:rPr>
            <w:rStyle w:val="Hyperlink"/>
          </w:rPr>
          <w:t>1</w:t>
        </w:r>
        <w:r w:rsidR="00F926F5">
          <w:rPr>
            <w:rFonts w:asciiTheme="minorHAnsi" w:eastAsiaTheme="minorEastAsia" w:hAnsiTheme="minorHAnsi" w:cstheme="minorBidi"/>
            <w:b w:val="0"/>
            <w:color w:val="auto"/>
            <w:sz w:val="22"/>
            <w:szCs w:val="22"/>
            <w:lang w:eastAsia="en-AU"/>
          </w:rPr>
          <w:tab/>
        </w:r>
        <w:r w:rsidR="00F926F5" w:rsidRPr="00E611C1">
          <w:rPr>
            <w:rStyle w:val="Hyperlink"/>
          </w:rPr>
          <w:t>Introduction</w:t>
        </w:r>
        <w:r w:rsidR="00F926F5">
          <w:tab/>
        </w:r>
        <w:r w:rsidR="00F926F5">
          <w:fldChar w:fldCharType="begin"/>
        </w:r>
        <w:r w:rsidR="00F926F5">
          <w:instrText xml:space="preserve"> PAGEREF _Toc511900255 \h </w:instrText>
        </w:r>
        <w:r w:rsidR="00F926F5">
          <w:fldChar w:fldCharType="separate"/>
        </w:r>
        <w:r>
          <w:t>1</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56" w:history="1">
        <w:r w:rsidR="00F926F5" w:rsidRPr="00E611C1">
          <w:rPr>
            <w:rStyle w:val="Hyperlink"/>
            <w:noProof/>
          </w:rPr>
          <w:t>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Mental Health and Wellbeing Transition Study</w:t>
        </w:r>
        <w:r w:rsidR="00F926F5">
          <w:rPr>
            <w:noProof/>
          </w:rPr>
          <w:tab/>
        </w:r>
        <w:r w:rsidR="00F926F5">
          <w:rPr>
            <w:noProof/>
          </w:rPr>
          <w:fldChar w:fldCharType="begin"/>
        </w:r>
        <w:r w:rsidR="00F926F5">
          <w:rPr>
            <w:noProof/>
          </w:rPr>
          <w:instrText xml:space="preserve"> PAGEREF _Toc511900256 \h </w:instrText>
        </w:r>
        <w:r w:rsidR="00F926F5">
          <w:rPr>
            <w:noProof/>
          </w:rPr>
        </w:r>
        <w:r w:rsidR="00F926F5">
          <w:rPr>
            <w:noProof/>
          </w:rPr>
          <w:fldChar w:fldCharType="separate"/>
        </w:r>
        <w:r>
          <w:rPr>
            <w:noProof/>
          </w:rPr>
          <w:t>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57" w:history="1">
        <w:r w:rsidR="00F926F5" w:rsidRPr="00E611C1">
          <w:rPr>
            <w:rStyle w:val="Hyperlink"/>
            <w:noProof/>
          </w:rPr>
          <w:t>1.2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Background to this report</w:t>
        </w:r>
        <w:r w:rsidR="00F926F5">
          <w:rPr>
            <w:noProof/>
          </w:rPr>
          <w:tab/>
        </w:r>
        <w:r w:rsidR="00F926F5">
          <w:rPr>
            <w:noProof/>
          </w:rPr>
          <w:fldChar w:fldCharType="begin"/>
        </w:r>
        <w:r w:rsidR="00F926F5">
          <w:rPr>
            <w:noProof/>
          </w:rPr>
          <w:instrText xml:space="preserve"> PAGEREF _Toc511900257 \h </w:instrText>
        </w:r>
        <w:r w:rsidR="00F926F5">
          <w:rPr>
            <w:noProof/>
          </w:rPr>
        </w:r>
        <w:r w:rsidR="00F926F5">
          <w:rPr>
            <w:noProof/>
          </w:rPr>
          <w:fldChar w:fldCharType="separate"/>
        </w:r>
        <w:r>
          <w:rPr>
            <w:noProof/>
          </w:rPr>
          <w:t>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58" w:history="1">
        <w:r w:rsidR="00F926F5" w:rsidRPr="00E611C1">
          <w:rPr>
            <w:rStyle w:val="Hyperlink"/>
            <w:noProof/>
          </w:rPr>
          <w:t>1.2.1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Mental health in the Australian Defence Force</w:t>
        </w:r>
        <w:r w:rsidR="00F926F5">
          <w:rPr>
            <w:noProof/>
          </w:rPr>
          <w:tab/>
        </w:r>
        <w:r w:rsidR="00F926F5">
          <w:rPr>
            <w:noProof/>
          </w:rPr>
          <w:fldChar w:fldCharType="begin"/>
        </w:r>
        <w:r w:rsidR="00F926F5">
          <w:rPr>
            <w:noProof/>
          </w:rPr>
          <w:instrText xml:space="preserve"> PAGEREF _Toc511900258 \h </w:instrText>
        </w:r>
        <w:r w:rsidR="00F926F5">
          <w:rPr>
            <w:noProof/>
          </w:rPr>
        </w:r>
        <w:r w:rsidR="00F926F5">
          <w:rPr>
            <w:noProof/>
          </w:rPr>
          <w:fldChar w:fldCharType="separate"/>
        </w:r>
        <w:r>
          <w:rPr>
            <w:noProof/>
          </w:rPr>
          <w:t>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59" w:history="1">
        <w:r w:rsidR="00F926F5" w:rsidRPr="00E611C1">
          <w:rPr>
            <w:rStyle w:val="Hyperlink"/>
            <w:noProof/>
          </w:rPr>
          <w:t>1.2.2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Mental health in the current Australian Defence Force</w:t>
        </w:r>
        <w:r w:rsidR="00F926F5">
          <w:rPr>
            <w:noProof/>
          </w:rPr>
          <w:tab/>
        </w:r>
        <w:r w:rsidR="00F926F5">
          <w:rPr>
            <w:noProof/>
          </w:rPr>
          <w:fldChar w:fldCharType="begin"/>
        </w:r>
        <w:r w:rsidR="00F926F5">
          <w:rPr>
            <w:noProof/>
          </w:rPr>
          <w:instrText xml:space="preserve"> PAGEREF _Toc511900259 \h </w:instrText>
        </w:r>
        <w:r w:rsidR="00F926F5">
          <w:rPr>
            <w:noProof/>
          </w:rPr>
        </w:r>
        <w:r w:rsidR="00F926F5">
          <w:rPr>
            <w:noProof/>
          </w:rPr>
          <w:fldChar w:fldCharType="separate"/>
        </w:r>
        <w:r>
          <w:rPr>
            <w:noProof/>
          </w:rPr>
          <w:t>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0" w:history="1">
        <w:r w:rsidR="00F926F5" w:rsidRPr="00E611C1">
          <w:rPr>
            <w:rStyle w:val="Hyperlink"/>
            <w:noProof/>
          </w:rPr>
          <w:t>1.2.3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Mental health in the Transitioned ADF</w:t>
        </w:r>
        <w:r w:rsidR="00F926F5">
          <w:rPr>
            <w:noProof/>
          </w:rPr>
          <w:tab/>
        </w:r>
        <w:r w:rsidR="00F926F5">
          <w:rPr>
            <w:noProof/>
          </w:rPr>
          <w:fldChar w:fldCharType="begin"/>
        </w:r>
        <w:r w:rsidR="00F926F5">
          <w:rPr>
            <w:noProof/>
          </w:rPr>
          <w:instrText xml:space="preserve"> PAGEREF _Toc511900260 \h </w:instrText>
        </w:r>
        <w:r w:rsidR="00F926F5">
          <w:rPr>
            <w:noProof/>
          </w:rPr>
        </w:r>
        <w:r w:rsidR="00F926F5">
          <w:rPr>
            <w:noProof/>
          </w:rPr>
          <w:fldChar w:fldCharType="separate"/>
        </w:r>
        <w:r>
          <w:rPr>
            <w:noProof/>
          </w:rPr>
          <w:t>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1" w:history="1">
        <w:r w:rsidR="00F926F5" w:rsidRPr="00E611C1">
          <w:rPr>
            <w:rStyle w:val="Hyperlink"/>
            <w:noProof/>
          </w:rPr>
          <w:t>1.2.4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Impact of transition from full-time military service: International literature</w:t>
        </w:r>
        <w:r w:rsidR="00F926F5">
          <w:rPr>
            <w:noProof/>
          </w:rPr>
          <w:tab/>
        </w:r>
        <w:r w:rsidR="00F926F5">
          <w:rPr>
            <w:noProof/>
          </w:rPr>
          <w:fldChar w:fldCharType="begin"/>
        </w:r>
        <w:r w:rsidR="00F926F5">
          <w:rPr>
            <w:noProof/>
          </w:rPr>
          <w:instrText xml:space="preserve"> PAGEREF _Toc511900261 \h </w:instrText>
        </w:r>
        <w:r w:rsidR="00F926F5">
          <w:rPr>
            <w:noProof/>
          </w:rPr>
        </w:r>
        <w:r w:rsidR="00F926F5">
          <w:rPr>
            <w:noProof/>
          </w:rPr>
          <w:fldChar w:fldCharType="separate"/>
        </w:r>
        <w:r>
          <w:rPr>
            <w:noProof/>
          </w:rPr>
          <w:t>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2" w:history="1">
        <w:r w:rsidR="00F926F5" w:rsidRPr="00E611C1">
          <w:rPr>
            <w:rStyle w:val="Hyperlink"/>
            <w:noProof/>
          </w:rPr>
          <w:t>1.2.5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Mental health in transitioned Canadian Forces</w:t>
        </w:r>
        <w:r w:rsidR="00F926F5">
          <w:rPr>
            <w:noProof/>
          </w:rPr>
          <w:tab/>
        </w:r>
        <w:r w:rsidR="00F926F5">
          <w:rPr>
            <w:noProof/>
          </w:rPr>
          <w:fldChar w:fldCharType="begin"/>
        </w:r>
        <w:r w:rsidR="00F926F5">
          <w:rPr>
            <w:noProof/>
          </w:rPr>
          <w:instrText xml:space="preserve"> PAGEREF _Toc511900262 \h </w:instrText>
        </w:r>
        <w:r w:rsidR="00F926F5">
          <w:rPr>
            <w:noProof/>
          </w:rPr>
        </w:r>
        <w:r w:rsidR="00F926F5">
          <w:rPr>
            <w:noProof/>
          </w:rPr>
          <w:fldChar w:fldCharType="separate"/>
        </w:r>
        <w:r>
          <w:rPr>
            <w:noProof/>
          </w:rPr>
          <w:t>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3" w:history="1">
        <w:r w:rsidR="00F926F5" w:rsidRPr="00E611C1">
          <w:rPr>
            <w:rStyle w:val="Hyperlink"/>
            <w:noProof/>
          </w:rPr>
          <w:t>1.2.6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Risk and protective factors</w:t>
        </w:r>
        <w:r w:rsidR="00F926F5">
          <w:rPr>
            <w:noProof/>
          </w:rPr>
          <w:tab/>
        </w:r>
        <w:r w:rsidR="00F926F5">
          <w:rPr>
            <w:noProof/>
          </w:rPr>
          <w:fldChar w:fldCharType="begin"/>
        </w:r>
        <w:r w:rsidR="00F926F5">
          <w:rPr>
            <w:noProof/>
          </w:rPr>
          <w:instrText xml:space="preserve"> PAGEREF _Toc511900263 \h </w:instrText>
        </w:r>
        <w:r w:rsidR="00F926F5">
          <w:rPr>
            <w:noProof/>
          </w:rPr>
        </w:r>
        <w:r w:rsidR="00F926F5">
          <w:rPr>
            <w:noProof/>
          </w:rPr>
          <w:fldChar w:fldCharType="separate"/>
        </w:r>
        <w:r>
          <w:rPr>
            <w:noProof/>
          </w:rPr>
          <w:t>11</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64" w:history="1">
        <w:r w:rsidR="00F926F5" w:rsidRPr="00E611C1">
          <w:rPr>
            <w:rStyle w:val="Hyperlink"/>
            <w:noProof/>
          </w:rPr>
          <w:t>1.3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Aims, definitions, structure and scope</w:t>
        </w:r>
        <w:r w:rsidR="00F926F5">
          <w:rPr>
            <w:noProof/>
          </w:rPr>
          <w:tab/>
        </w:r>
        <w:r w:rsidR="00F926F5">
          <w:rPr>
            <w:noProof/>
          </w:rPr>
          <w:fldChar w:fldCharType="begin"/>
        </w:r>
        <w:r w:rsidR="00F926F5">
          <w:rPr>
            <w:noProof/>
          </w:rPr>
          <w:instrText xml:space="preserve"> PAGEREF _Toc511900264 \h </w:instrText>
        </w:r>
        <w:r w:rsidR="00F926F5">
          <w:rPr>
            <w:noProof/>
          </w:rPr>
        </w:r>
        <w:r w:rsidR="00F926F5">
          <w:rPr>
            <w:noProof/>
          </w:rPr>
          <w:fldChar w:fldCharType="separate"/>
        </w:r>
        <w:r>
          <w:rPr>
            <w:noProof/>
          </w:rPr>
          <w:t>14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5" w:history="1">
        <w:r w:rsidR="00F926F5" w:rsidRPr="00E611C1">
          <w:rPr>
            <w:rStyle w:val="Hyperlink"/>
            <w:noProof/>
          </w:rPr>
          <w:t>1.3.1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Aims of this report</w:t>
        </w:r>
        <w:r w:rsidR="00F926F5">
          <w:rPr>
            <w:noProof/>
          </w:rPr>
          <w:tab/>
        </w:r>
        <w:r w:rsidR="00F926F5">
          <w:rPr>
            <w:noProof/>
          </w:rPr>
          <w:fldChar w:fldCharType="begin"/>
        </w:r>
        <w:r w:rsidR="00F926F5">
          <w:rPr>
            <w:noProof/>
          </w:rPr>
          <w:instrText xml:space="preserve"> PAGEREF _Toc511900265 \h </w:instrText>
        </w:r>
        <w:r w:rsidR="00F926F5">
          <w:rPr>
            <w:noProof/>
          </w:rPr>
        </w:r>
        <w:r w:rsidR="00F926F5">
          <w:rPr>
            <w:noProof/>
          </w:rPr>
          <w:fldChar w:fldCharType="separate"/>
        </w:r>
        <w:r>
          <w:rPr>
            <w:noProof/>
          </w:rPr>
          <w:t>14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6" w:history="1">
        <w:r w:rsidR="00F926F5" w:rsidRPr="00E611C1">
          <w:rPr>
            <w:rStyle w:val="Hyperlink"/>
            <w:noProof/>
          </w:rPr>
          <w:t>1.3.2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Structure of this report</w:t>
        </w:r>
        <w:r w:rsidR="00F926F5">
          <w:rPr>
            <w:noProof/>
          </w:rPr>
          <w:tab/>
        </w:r>
        <w:r w:rsidR="00F926F5">
          <w:rPr>
            <w:noProof/>
          </w:rPr>
          <w:fldChar w:fldCharType="begin"/>
        </w:r>
        <w:r w:rsidR="00F926F5">
          <w:rPr>
            <w:noProof/>
          </w:rPr>
          <w:instrText xml:space="preserve"> PAGEREF _Toc511900266 \h </w:instrText>
        </w:r>
        <w:r w:rsidR="00F926F5">
          <w:rPr>
            <w:noProof/>
          </w:rPr>
        </w:r>
        <w:r w:rsidR="00F926F5">
          <w:rPr>
            <w:noProof/>
          </w:rPr>
          <w:fldChar w:fldCharType="separate"/>
        </w:r>
        <w:r>
          <w:rPr>
            <w:noProof/>
          </w:rPr>
          <w:t>15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7" w:history="1">
        <w:r w:rsidR="00F926F5" w:rsidRPr="00E611C1">
          <w:rPr>
            <w:rStyle w:val="Hyperlink"/>
            <w:noProof/>
          </w:rPr>
          <w:t>1.3.3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Defining transition from regular military service</w:t>
        </w:r>
        <w:r w:rsidR="00F926F5">
          <w:rPr>
            <w:noProof/>
          </w:rPr>
          <w:tab/>
        </w:r>
        <w:r w:rsidR="00F926F5">
          <w:rPr>
            <w:noProof/>
          </w:rPr>
          <w:fldChar w:fldCharType="begin"/>
        </w:r>
        <w:r w:rsidR="00F926F5">
          <w:rPr>
            <w:noProof/>
          </w:rPr>
          <w:instrText xml:space="preserve"> PAGEREF _Toc511900267 \h </w:instrText>
        </w:r>
        <w:r w:rsidR="00F926F5">
          <w:rPr>
            <w:noProof/>
          </w:rPr>
        </w:r>
        <w:r w:rsidR="00F926F5">
          <w:rPr>
            <w:noProof/>
          </w:rPr>
          <w:fldChar w:fldCharType="separate"/>
        </w:r>
        <w:r>
          <w:rPr>
            <w:noProof/>
          </w:rPr>
          <w:t>15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8" w:history="1">
        <w:r w:rsidR="00F926F5" w:rsidRPr="00E611C1">
          <w:rPr>
            <w:rStyle w:val="Hyperlink"/>
            <w:noProof/>
          </w:rPr>
          <w:t>1.3.4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Scope of this report</w:t>
        </w:r>
        <w:r w:rsidR="00F926F5">
          <w:rPr>
            <w:noProof/>
          </w:rPr>
          <w:tab/>
        </w:r>
        <w:r w:rsidR="00F926F5">
          <w:rPr>
            <w:noProof/>
          </w:rPr>
          <w:fldChar w:fldCharType="begin"/>
        </w:r>
        <w:r w:rsidR="00F926F5">
          <w:rPr>
            <w:noProof/>
          </w:rPr>
          <w:instrText xml:space="preserve"> PAGEREF _Toc511900268 \h </w:instrText>
        </w:r>
        <w:r w:rsidR="00F926F5">
          <w:rPr>
            <w:noProof/>
          </w:rPr>
        </w:r>
        <w:r w:rsidR="00F926F5">
          <w:rPr>
            <w:noProof/>
          </w:rPr>
          <w:fldChar w:fldCharType="separate"/>
        </w:r>
        <w:r>
          <w:rPr>
            <w:noProof/>
          </w:rPr>
          <w:t>15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69" w:history="1">
        <w:r w:rsidR="00F926F5" w:rsidRPr="00E611C1">
          <w:rPr>
            <w:rStyle w:val="Hyperlink"/>
            <w:noProof/>
          </w:rPr>
          <w:t>1.3.5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Outline and interpretation of this report</w:t>
        </w:r>
        <w:r w:rsidR="00F926F5">
          <w:rPr>
            <w:noProof/>
          </w:rPr>
          <w:tab/>
        </w:r>
        <w:r w:rsidR="00F926F5">
          <w:rPr>
            <w:noProof/>
          </w:rPr>
          <w:fldChar w:fldCharType="begin"/>
        </w:r>
        <w:r w:rsidR="00F926F5">
          <w:rPr>
            <w:noProof/>
          </w:rPr>
          <w:instrText xml:space="preserve"> PAGEREF _Toc511900269 \h </w:instrText>
        </w:r>
        <w:r w:rsidR="00F926F5">
          <w:rPr>
            <w:noProof/>
          </w:rPr>
        </w:r>
        <w:r w:rsidR="00F926F5">
          <w:rPr>
            <w:noProof/>
          </w:rPr>
          <w:fldChar w:fldCharType="separate"/>
        </w:r>
        <w:r>
          <w:rPr>
            <w:noProof/>
          </w:rPr>
          <w:t>16</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270" w:history="1">
        <w:r w:rsidR="00F926F5" w:rsidRPr="00E611C1">
          <w:rPr>
            <w:rStyle w:val="Hyperlink"/>
          </w:rPr>
          <w:t>2</w:t>
        </w:r>
        <w:r w:rsidR="00F926F5">
          <w:rPr>
            <w:rFonts w:asciiTheme="minorHAnsi" w:eastAsiaTheme="minorEastAsia" w:hAnsiTheme="minorHAnsi" w:cstheme="minorBidi"/>
            <w:b w:val="0"/>
            <w:color w:val="auto"/>
            <w:sz w:val="22"/>
            <w:szCs w:val="22"/>
            <w:lang w:eastAsia="en-AU"/>
          </w:rPr>
          <w:tab/>
        </w:r>
        <w:r w:rsidR="00F926F5" w:rsidRPr="00E611C1">
          <w:rPr>
            <w:rStyle w:val="Hyperlink"/>
          </w:rPr>
          <w:t>Methodology</w:t>
        </w:r>
        <w:r w:rsidR="00F926F5">
          <w:tab/>
        </w:r>
        <w:r w:rsidR="00F926F5">
          <w:fldChar w:fldCharType="begin"/>
        </w:r>
        <w:r w:rsidR="00F926F5">
          <w:instrText xml:space="preserve"> PAGEREF _Toc511900270 \h </w:instrText>
        </w:r>
        <w:r w:rsidR="00F926F5">
          <w:fldChar w:fldCharType="separate"/>
        </w:r>
        <w:r>
          <w:t>23</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71" w:history="1">
        <w:r w:rsidR="00F926F5" w:rsidRPr="00E611C1">
          <w:rPr>
            <w:rStyle w:val="Hyperlink"/>
            <w:noProof/>
          </w:rPr>
          <w:t>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Study design</w:t>
        </w:r>
        <w:r w:rsidR="00F926F5">
          <w:rPr>
            <w:noProof/>
          </w:rPr>
          <w:tab/>
        </w:r>
        <w:r w:rsidR="00F926F5">
          <w:rPr>
            <w:noProof/>
          </w:rPr>
          <w:fldChar w:fldCharType="begin"/>
        </w:r>
        <w:r w:rsidR="00F926F5">
          <w:rPr>
            <w:noProof/>
          </w:rPr>
          <w:instrText xml:space="preserve"> PAGEREF _Toc511900271 \h </w:instrText>
        </w:r>
        <w:r w:rsidR="00F926F5">
          <w:rPr>
            <w:noProof/>
          </w:rPr>
        </w:r>
        <w:r w:rsidR="00F926F5">
          <w:rPr>
            <w:noProof/>
          </w:rPr>
          <w:fldChar w:fldCharType="separate"/>
        </w:r>
        <w:r>
          <w:rPr>
            <w:noProof/>
          </w:rPr>
          <w:t>24</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72" w:history="1">
        <w:r w:rsidR="00F926F5" w:rsidRPr="00E611C1">
          <w:rPr>
            <w:rStyle w:val="Hyperlink"/>
            <w:noProof/>
          </w:rPr>
          <w:t>2.2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Samples</w:t>
        </w:r>
        <w:r w:rsidR="00F926F5">
          <w:rPr>
            <w:noProof/>
          </w:rPr>
          <w:tab/>
        </w:r>
        <w:r w:rsidR="00F926F5">
          <w:rPr>
            <w:noProof/>
          </w:rPr>
          <w:fldChar w:fldCharType="begin"/>
        </w:r>
        <w:r w:rsidR="00F926F5">
          <w:rPr>
            <w:noProof/>
          </w:rPr>
          <w:instrText xml:space="preserve"> PAGEREF _Toc511900272 \h </w:instrText>
        </w:r>
        <w:r w:rsidR="00F926F5">
          <w:rPr>
            <w:noProof/>
          </w:rPr>
        </w:r>
        <w:r w:rsidR="00F926F5">
          <w:rPr>
            <w:noProof/>
          </w:rPr>
          <w:fldChar w:fldCharType="separate"/>
        </w:r>
        <w:r>
          <w:rPr>
            <w:noProof/>
          </w:rPr>
          <w:t>25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73" w:history="1">
        <w:r w:rsidR="00F926F5" w:rsidRPr="00E611C1">
          <w:rPr>
            <w:rStyle w:val="Hyperlink"/>
            <w:noProof/>
          </w:rPr>
          <w:t>2.2.1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Population comparison samples</w:t>
        </w:r>
        <w:r w:rsidR="00F926F5">
          <w:rPr>
            <w:noProof/>
          </w:rPr>
          <w:tab/>
        </w:r>
        <w:r w:rsidR="00F926F5">
          <w:rPr>
            <w:noProof/>
          </w:rPr>
          <w:fldChar w:fldCharType="begin"/>
        </w:r>
        <w:r w:rsidR="00F926F5">
          <w:rPr>
            <w:noProof/>
          </w:rPr>
          <w:instrText xml:space="preserve"> PAGEREF _Toc511900273 \h </w:instrText>
        </w:r>
        <w:r w:rsidR="00F926F5">
          <w:rPr>
            <w:noProof/>
          </w:rPr>
        </w:r>
        <w:r w:rsidR="00F926F5">
          <w:rPr>
            <w:noProof/>
          </w:rPr>
          <w:fldChar w:fldCharType="separate"/>
        </w:r>
        <w:r>
          <w:rPr>
            <w:noProof/>
          </w:rPr>
          <w:t>26</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74" w:history="1">
        <w:r w:rsidR="00F926F5" w:rsidRPr="00E611C1">
          <w:rPr>
            <w:rStyle w:val="Hyperlink"/>
            <w:noProof/>
          </w:rPr>
          <w:t>2.3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Response rates</w:t>
        </w:r>
        <w:r w:rsidR="00F926F5">
          <w:rPr>
            <w:noProof/>
          </w:rPr>
          <w:tab/>
        </w:r>
        <w:r w:rsidR="00F926F5">
          <w:rPr>
            <w:noProof/>
          </w:rPr>
          <w:fldChar w:fldCharType="begin"/>
        </w:r>
        <w:r w:rsidR="00F926F5">
          <w:rPr>
            <w:noProof/>
          </w:rPr>
          <w:instrText xml:space="preserve"> PAGEREF _Toc511900274 \h </w:instrText>
        </w:r>
        <w:r w:rsidR="00F926F5">
          <w:rPr>
            <w:noProof/>
          </w:rPr>
        </w:r>
        <w:r w:rsidR="00F926F5">
          <w:rPr>
            <w:noProof/>
          </w:rPr>
          <w:fldChar w:fldCharType="separate"/>
        </w:r>
        <w:r>
          <w:rPr>
            <w:noProof/>
          </w:rPr>
          <w:t>26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75" w:history="1">
        <w:r w:rsidR="00F926F5" w:rsidRPr="00E611C1">
          <w:rPr>
            <w:rStyle w:val="Hyperlink"/>
            <w:noProof/>
          </w:rPr>
          <w:t>2.3.1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Survey responders</w:t>
        </w:r>
        <w:r w:rsidR="00F926F5">
          <w:rPr>
            <w:noProof/>
          </w:rPr>
          <w:tab/>
        </w:r>
        <w:r w:rsidR="00F926F5">
          <w:rPr>
            <w:noProof/>
          </w:rPr>
          <w:fldChar w:fldCharType="begin"/>
        </w:r>
        <w:r w:rsidR="00F926F5">
          <w:rPr>
            <w:noProof/>
          </w:rPr>
          <w:instrText xml:space="preserve"> PAGEREF _Toc511900275 \h </w:instrText>
        </w:r>
        <w:r w:rsidR="00F926F5">
          <w:rPr>
            <w:noProof/>
          </w:rPr>
        </w:r>
        <w:r w:rsidR="00F926F5">
          <w:rPr>
            <w:noProof/>
          </w:rPr>
          <w:fldChar w:fldCharType="separate"/>
        </w:r>
        <w:r>
          <w:rPr>
            <w:noProof/>
          </w:rPr>
          <w:t>26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76" w:history="1">
        <w:r w:rsidR="00F926F5" w:rsidRPr="00E611C1">
          <w:rPr>
            <w:rStyle w:val="Hyperlink"/>
            <w:noProof/>
          </w:rPr>
          <w:t>2.3.2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Composite International Diagnostic Interview responders</w:t>
        </w:r>
        <w:r w:rsidR="00F926F5">
          <w:rPr>
            <w:noProof/>
          </w:rPr>
          <w:tab/>
        </w:r>
        <w:r w:rsidR="00F926F5">
          <w:rPr>
            <w:noProof/>
          </w:rPr>
          <w:fldChar w:fldCharType="begin"/>
        </w:r>
        <w:r w:rsidR="00F926F5">
          <w:rPr>
            <w:noProof/>
          </w:rPr>
          <w:instrText xml:space="preserve"> PAGEREF _Toc511900276 \h </w:instrText>
        </w:r>
        <w:r w:rsidR="00F926F5">
          <w:rPr>
            <w:noProof/>
          </w:rPr>
        </w:r>
        <w:r w:rsidR="00F926F5">
          <w:rPr>
            <w:noProof/>
          </w:rPr>
          <w:fldChar w:fldCharType="separate"/>
        </w:r>
        <w:r>
          <w:rPr>
            <w:noProof/>
          </w:rPr>
          <w:t>31</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77" w:history="1">
        <w:r w:rsidR="00F926F5" w:rsidRPr="00E611C1">
          <w:rPr>
            <w:rStyle w:val="Hyperlink"/>
            <w:noProof/>
          </w:rPr>
          <w:t>2.4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Statistical analysis</w:t>
        </w:r>
        <w:r w:rsidR="00F926F5">
          <w:rPr>
            <w:noProof/>
          </w:rPr>
          <w:tab/>
        </w:r>
        <w:r w:rsidR="00F926F5">
          <w:rPr>
            <w:noProof/>
          </w:rPr>
          <w:fldChar w:fldCharType="begin"/>
        </w:r>
        <w:r w:rsidR="00F926F5">
          <w:rPr>
            <w:noProof/>
          </w:rPr>
          <w:instrText xml:space="preserve"> PAGEREF _Toc511900277 \h </w:instrText>
        </w:r>
        <w:r w:rsidR="00F926F5">
          <w:rPr>
            <w:noProof/>
          </w:rPr>
        </w:r>
        <w:r w:rsidR="00F926F5">
          <w:rPr>
            <w:noProof/>
          </w:rPr>
          <w:fldChar w:fldCharType="separate"/>
        </w:r>
        <w:r>
          <w:rPr>
            <w:noProof/>
          </w:rPr>
          <w:t>32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78" w:history="1">
        <w:r w:rsidR="00F926F5" w:rsidRPr="00E611C1">
          <w:rPr>
            <w:rStyle w:val="Hyperlink"/>
            <w:noProof/>
          </w:rPr>
          <w:t>2.5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Stratification procedure</w:t>
        </w:r>
        <w:r w:rsidR="00F926F5">
          <w:rPr>
            <w:noProof/>
          </w:rPr>
          <w:tab/>
        </w:r>
        <w:r w:rsidR="00F926F5">
          <w:rPr>
            <w:noProof/>
          </w:rPr>
          <w:fldChar w:fldCharType="begin"/>
        </w:r>
        <w:r w:rsidR="00F926F5">
          <w:rPr>
            <w:noProof/>
          </w:rPr>
          <w:instrText xml:space="preserve"> PAGEREF _Toc511900278 \h </w:instrText>
        </w:r>
        <w:r w:rsidR="00F926F5">
          <w:rPr>
            <w:noProof/>
          </w:rPr>
        </w:r>
        <w:r w:rsidR="00F926F5">
          <w:rPr>
            <w:noProof/>
          </w:rPr>
          <w:fldChar w:fldCharType="separate"/>
        </w:r>
        <w:r>
          <w:rPr>
            <w:noProof/>
          </w:rPr>
          <w:t>33</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79" w:history="1">
        <w:r w:rsidR="00F926F5" w:rsidRPr="00E611C1">
          <w:rPr>
            <w:rStyle w:val="Hyperlink"/>
            <w:noProof/>
          </w:rPr>
          <w:t>2.6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Weighting</w:t>
        </w:r>
        <w:r w:rsidR="00F926F5">
          <w:rPr>
            <w:noProof/>
          </w:rPr>
          <w:tab/>
        </w:r>
        <w:r w:rsidR="00F926F5">
          <w:rPr>
            <w:noProof/>
          </w:rPr>
          <w:fldChar w:fldCharType="begin"/>
        </w:r>
        <w:r w:rsidR="00F926F5">
          <w:rPr>
            <w:noProof/>
          </w:rPr>
          <w:instrText xml:space="preserve"> PAGEREF _Toc511900279 \h </w:instrText>
        </w:r>
        <w:r w:rsidR="00F926F5">
          <w:rPr>
            <w:noProof/>
          </w:rPr>
        </w:r>
        <w:r w:rsidR="00F926F5">
          <w:rPr>
            <w:noProof/>
          </w:rPr>
          <w:fldChar w:fldCharType="separate"/>
        </w:r>
        <w:r>
          <w:rPr>
            <w:noProof/>
          </w:rPr>
          <w:t>36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80" w:history="1">
        <w:r w:rsidR="00F926F5" w:rsidRPr="00E611C1">
          <w:rPr>
            <w:rStyle w:val="Hyperlink"/>
            <w:noProof/>
          </w:rPr>
          <w:t>2.6.1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Estimates from survey</w:t>
        </w:r>
        <w:r w:rsidR="00F926F5">
          <w:rPr>
            <w:noProof/>
          </w:rPr>
          <w:tab/>
        </w:r>
        <w:r w:rsidR="00F926F5">
          <w:rPr>
            <w:noProof/>
          </w:rPr>
          <w:fldChar w:fldCharType="begin"/>
        </w:r>
        <w:r w:rsidR="00F926F5">
          <w:rPr>
            <w:noProof/>
          </w:rPr>
          <w:instrText xml:space="preserve"> PAGEREF _Toc511900280 \h </w:instrText>
        </w:r>
        <w:r w:rsidR="00F926F5">
          <w:rPr>
            <w:noProof/>
          </w:rPr>
        </w:r>
        <w:r w:rsidR="00F926F5">
          <w:rPr>
            <w:noProof/>
          </w:rPr>
          <w:fldChar w:fldCharType="separate"/>
        </w:r>
        <w:r>
          <w:rPr>
            <w:noProof/>
          </w:rPr>
          <w:t>37</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81" w:history="1">
        <w:r w:rsidR="00F926F5" w:rsidRPr="00E611C1">
          <w:rPr>
            <w:rStyle w:val="Hyperlink"/>
            <w:noProof/>
          </w:rPr>
          <w:t>2.6.2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Estimates from the Composite International Diagnostic Interview</w:t>
        </w:r>
        <w:r w:rsidR="00F926F5">
          <w:rPr>
            <w:noProof/>
          </w:rPr>
          <w:tab/>
        </w:r>
        <w:r w:rsidR="00F926F5">
          <w:rPr>
            <w:noProof/>
          </w:rPr>
          <w:fldChar w:fldCharType="begin"/>
        </w:r>
        <w:r w:rsidR="00F926F5">
          <w:rPr>
            <w:noProof/>
          </w:rPr>
          <w:instrText xml:space="preserve"> PAGEREF _Toc511900281 \h </w:instrText>
        </w:r>
        <w:r w:rsidR="00F926F5">
          <w:rPr>
            <w:noProof/>
          </w:rPr>
        </w:r>
        <w:r w:rsidR="00F926F5">
          <w:rPr>
            <w:noProof/>
          </w:rPr>
          <w:fldChar w:fldCharType="separate"/>
        </w:r>
        <w:r>
          <w:rPr>
            <w:noProof/>
          </w:rPr>
          <w:t>37</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82" w:history="1">
        <w:r w:rsidR="00F926F5" w:rsidRPr="00E611C1">
          <w:rPr>
            <w:rStyle w:val="Hyperlink"/>
            <w:noProof/>
          </w:rPr>
          <w:t>2.7</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Measures used in this report</w:t>
        </w:r>
        <w:r w:rsidR="00F926F5">
          <w:rPr>
            <w:noProof/>
          </w:rPr>
          <w:tab/>
        </w:r>
        <w:r w:rsidR="00F926F5">
          <w:rPr>
            <w:noProof/>
          </w:rPr>
          <w:fldChar w:fldCharType="begin"/>
        </w:r>
        <w:r w:rsidR="00F926F5">
          <w:rPr>
            <w:noProof/>
          </w:rPr>
          <w:instrText xml:space="preserve"> PAGEREF _Toc511900282 \h </w:instrText>
        </w:r>
        <w:r w:rsidR="00F926F5">
          <w:rPr>
            <w:noProof/>
          </w:rPr>
        </w:r>
        <w:r w:rsidR="00F926F5">
          <w:rPr>
            <w:noProof/>
          </w:rPr>
          <w:fldChar w:fldCharType="separate"/>
        </w:r>
        <w:r>
          <w:rPr>
            <w:noProof/>
          </w:rPr>
          <w:t>38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83" w:history="1">
        <w:r w:rsidR="00F926F5" w:rsidRPr="00E611C1">
          <w:rPr>
            <w:rStyle w:val="Hyperlink"/>
            <w:noProof/>
          </w:rPr>
          <w:t>2.7.1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Self-report survey</w:t>
        </w:r>
        <w:r w:rsidR="00F926F5">
          <w:rPr>
            <w:noProof/>
          </w:rPr>
          <w:tab/>
        </w:r>
        <w:r w:rsidR="00F926F5">
          <w:rPr>
            <w:noProof/>
          </w:rPr>
          <w:fldChar w:fldCharType="begin"/>
        </w:r>
        <w:r w:rsidR="00F926F5">
          <w:rPr>
            <w:noProof/>
          </w:rPr>
          <w:instrText xml:space="preserve"> PAGEREF _Toc511900283 \h </w:instrText>
        </w:r>
        <w:r w:rsidR="00F926F5">
          <w:rPr>
            <w:noProof/>
          </w:rPr>
        </w:r>
        <w:r w:rsidR="00F926F5">
          <w:rPr>
            <w:noProof/>
          </w:rPr>
          <w:fldChar w:fldCharType="separate"/>
        </w:r>
        <w:r>
          <w:rPr>
            <w:noProof/>
          </w:rPr>
          <w:t>38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84" w:history="1">
        <w:r w:rsidR="00F926F5" w:rsidRPr="00E611C1">
          <w:rPr>
            <w:rStyle w:val="Hyperlink"/>
            <w:noProof/>
          </w:rPr>
          <w:t>2.7.2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Composite International Diagnostic Interview</w:t>
        </w:r>
        <w:r w:rsidR="00F926F5">
          <w:rPr>
            <w:noProof/>
          </w:rPr>
          <w:tab/>
        </w:r>
        <w:r w:rsidR="00F926F5">
          <w:rPr>
            <w:noProof/>
          </w:rPr>
          <w:fldChar w:fldCharType="begin"/>
        </w:r>
        <w:r w:rsidR="00F926F5">
          <w:rPr>
            <w:noProof/>
          </w:rPr>
          <w:instrText xml:space="preserve"> PAGEREF _Toc511900284 \h </w:instrText>
        </w:r>
        <w:r w:rsidR="00F926F5">
          <w:rPr>
            <w:noProof/>
          </w:rPr>
        </w:r>
        <w:r w:rsidR="00F926F5">
          <w:rPr>
            <w:noProof/>
          </w:rPr>
          <w:fldChar w:fldCharType="separate"/>
        </w:r>
        <w:r>
          <w:rPr>
            <w:noProof/>
          </w:rPr>
          <w:t>39</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285" w:history="1">
        <w:r w:rsidR="00F926F5" w:rsidRPr="00E611C1">
          <w:rPr>
            <w:rStyle w:val="Hyperlink"/>
          </w:rPr>
          <w:t>3</w:t>
        </w:r>
        <w:r w:rsidR="00F926F5">
          <w:rPr>
            <w:rFonts w:asciiTheme="minorHAnsi" w:eastAsiaTheme="minorEastAsia" w:hAnsiTheme="minorHAnsi" w:cstheme="minorBidi"/>
            <w:b w:val="0"/>
            <w:color w:val="auto"/>
            <w:sz w:val="22"/>
            <w:szCs w:val="22"/>
            <w:lang w:eastAsia="en-AU"/>
          </w:rPr>
          <w:tab/>
        </w:r>
        <w:r w:rsidR="00F926F5" w:rsidRPr="00E611C1">
          <w:rPr>
            <w:rStyle w:val="Hyperlink"/>
          </w:rPr>
          <w:t>Demographic characteristics in Transitioned ADF and 2015 Regular ADF</w:t>
        </w:r>
        <w:r w:rsidR="00F926F5">
          <w:tab/>
        </w:r>
        <w:r w:rsidR="00F926F5">
          <w:fldChar w:fldCharType="begin"/>
        </w:r>
        <w:r w:rsidR="00F926F5">
          <w:instrText xml:space="preserve"> PAGEREF _Toc511900285 \h </w:instrText>
        </w:r>
        <w:r w:rsidR="00F926F5">
          <w:fldChar w:fldCharType="separate"/>
        </w:r>
        <w:r>
          <w:t>41</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86" w:history="1">
        <w:r w:rsidR="00F926F5" w:rsidRPr="00E611C1">
          <w:rPr>
            <w:rStyle w:val="Hyperlink"/>
            <w:noProof/>
          </w:rPr>
          <w:t>3.1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Demographic characteristics of the Transitioned ADF and 2015 Regular ADF</w:t>
        </w:r>
        <w:r w:rsidR="00F926F5">
          <w:rPr>
            <w:noProof/>
          </w:rPr>
          <w:tab/>
        </w:r>
        <w:r w:rsidR="00F926F5">
          <w:rPr>
            <w:noProof/>
          </w:rPr>
          <w:fldChar w:fldCharType="begin"/>
        </w:r>
        <w:r w:rsidR="00F926F5">
          <w:rPr>
            <w:noProof/>
          </w:rPr>
          <w:instrText xml:space="preserve"> PAGEREF _Toc511900286 \h </w:instrText>
        </w:r>
        <w:r w:rsidR="00F926F5">
          <w:rPr>
            <w:noProof/>
          </w:rPr>
        </w:r>
        <w:r w:rsidR="00F926F5">
          <w:rPr>
            <w:noProof/>
          </w:rPr>
          <w:fldChar w:fldCharType="separate"/>
        </w:r>
        <w:r>
          <w:rPr>
            <w:noProof/>
          </w:rPr>
          <w:t>42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87" w:history="1">
        <w:r w:rsidR="00F926F5" w:rsidRPr="00E611C1">
          <w:rPr>
            <w:rStyle w:val="Hyperlink"/>
            <w:noProof/>
          </w:rPr>
          <w:t>3.2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Demographic characteristics of the Transitioned ADF</w:t>
        </w:r>
        <w:r w:rsidR="00F926F5">
          <w:rPr>
            <w:noProof/>
          </w:rPr>
          <w:tab/>
        </w:r>
        <w:r w:rsidR="00F926F5">
          <w:rPr>
            <w:noProof/>
          </w:rPr>
          <w:fldChar w:fldCharType="begin"/>
        </w:r>
        <w:r w:rsidR="00F926F5">
          <w:rPr>
            <w:noProof/>
          </w:rPr>
          <w:instrText xml:space="preserve"> PAGEREF _Toc511900287 \h </w:instrText>
        </w:r>
        <w:r w:rsidR="00F926F5">
          <w:rPr>
            <w:noProof/>
          </w:rPr>
        </w:r>
        <w:r w:rsidR="00F926F5">
          <w:rPr>
            <w:noProof/>
          </w:rPr>
          <w:fldChar w:fldCharType="separate"/>
        </w:r>
        <w:r>
          <w:rPr>
            <w:noProof/>
          </w:rPr>
          <w:t>43</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288" w:history="1">
        <w:r w:rsidR="00F926F5" w:rsidRPr="00E611C1">
          <w:rPr>
            <w:rStyle w:val="Hyperlink"/>
          </w:rPr>
          <w:t>4</w:t>
        </w:r>
        <w:r w:rsidR="00F926F5">
          <w:rPr>
            <w:rFonts w:asciiTheme="minorHAnsi" w:eastAsiaTheme="minorEastAsia" w:hAnsiTheme="minorHAnsi" w:cstheme="minorBidi"/>
            <w:b w:val="0"/>
            <w:color w:val="auto"/>
            <w:sz w:val="22"/>
            <w:szCs w:val="22"/>
            <w:lang w:eastAsia="en-AU"/>
          </w:rPr>
          <w:tab/>
        </w:r>
        <w:r w:rsidR="00F926F5" w:rsidRPr="00E611C1">
          <w:rPr>
            <w:rStyle w:val="Hyperlink"/>
          </w:rPr>
          <w:t>Estimated prevalence of mental disorders</w:t>
        </w:r>
        <w:r w:rsidR="00F926F5">
          <w:tab/>
        </w:r>
        <w:r w:rsidR="00F926F5">
          <w:fldChar w:fldCharType="begin"/>
        </w:r>
        <w:r w:rsidR="00F926F5">
          <w:instrText xml:space="preserve"> PAGEREF _Toc511900288 \h </w:instrText>
        </w:r>
        <w:r w:rsidR="00F926F5">
          <w:fldChar w:fldCharType="separate"/>
        </w:r>
        <w:r>
          <w:t>51</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89" w:history="1">
        <w:r w:rsidR="00F926F5" w:rsidRPr="00E611C1">
          <w:rPr>
            <w:rStyle w:val="Hyperlink"/>
            <w:noProof/>
          </w:rPr>
          <w:t>4.1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Estimated prevalence of anxiety disorders in Transitioned ADF</w:t>
        </w:r>
        <w:r w:rsidR="00F926F5">
          <w:rPr>
            <w:noProof/>
          </w:rPr>
          <w:tab/>
        </w:r>
        <w:r w:rsidR="00F926F5">
          <w:rPr>
            <w:noProof/>
          </w:rPr>
          <w:fldChar w:fldCharType="begin"/>
        </w:r>
        <w:r w:rsidR="00F926F5">
          <w:rPr>
            <w:noProof/>
          </w:rPr>
          <w:instrText xml:space="preserve"> PAGEREF _Toc511900289 \h </w:instrText>
        </w:r>
        <w:r w:rsidR="00F926F5">
          <w:rPr>
            <w:noProof/>
          </w:rPr>
        </w:r>
        <w:r w:rsidR="00F926F5">
          <w:rPr>
            <w:noProof/>
          </w:rPr>
          <w:fldChar w:fldCharType="separate"/>
        </w:r>
        <w:r>
          <w:rPr>
            <w:noProof/>
          </w:rPr>
          <w:t>54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0" w:history="1">
        <w:r w:rsidR="00F926F5" w:rsidRPr="00E611C1">
          <w:rPr>
            <w:rStyle w:val="Hyperlink"/>
            <w:noProof/>
          </w:rPr>
          <w:t>4.1.1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Transitioned ADF population</w:t>
        </w:r>
        <w:r w:rsidR="00F926F5">
          <w:rPr>
            <w:noProof/>
          </w:rPr>
          <w:tab/>
        </w:r>
        <w:r w:rsidR="00F926F5">
          <w:rPr>
            <w:noProof/>
          </w:rPr>
          <w:fldChar w:fldCharType="begin"/>
        </w:r>
        <w:r w:rsidR="00F926F5">
          <w:rPr>
            <w:noProof/>
          </w:rPr>
          <w:instrText xml:space="preserve"> PAGEREF _Toc511900290 \h </w:instrText>
        </w:r>
        <w:r w:rsidR="00F926F5">
          <w:rPr>
            <w:noProof/>
          </w:rPr>
        </w:r>
        <w:r w:rsidR="00F926F5">
          <w:rPr>
            <w:noProof/>
          </w:rPr>
          <w:fldChar w:fldCharType="separate"/>
        </w:r>
        <w:r>
          <w:rPr>
            <w:noProof/>
          </w:rPr>
          <w:t>56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1" w:history="1">
        <w:r w:rsidR="00F926F5" w:rsidRPr="00E611C1">
          <w:rPr>
            <w:rStyle w:val="Hyperlink"/>
            <w:rFonts w:eastAsia="Times New Roman"/>
            <w:noProof/>
          </w:rPr>
          <w:t>4.1.2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Demographic factors</w:t>
        </w:r>
        <w:r w:rsidR="00F926F5">
          <w:rPr>
            <w:noProof/>
          </w:rPr>
          <w:tab/>
        </w:r>
        <w:r w:rsidR="00F926F5">
          <w:rPr>
            <w:noProof/>
          </w:rPr>
          <w:fldChar w:fldCharType="begin"/>
        </w:r>
        <w:r w:rsidR="00F926F5">
          <w:rPr>
            <w:noProof/>
          </w:rPr>
          <w:instrText xml:space="preserve"> PAGEREF _Toc511900291 \h </w:instrText>
        </w:r>
        <w:r w:rsidR="00F926F5">
          <w:rPr>
            <w:noProof/>
          </w:rPr>
        </w:r>
        <w:r w:rsidR="00F926F5">
          <w:rPr>
            <w:noProof/>
          </w:rPr>
          <w:fldChar w:fldCharType="separate"/>
        </w:r>
        <w:r>
          <w:rPr>
            <w:noProof/>
          </w:rPr>
          <w:t>59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2" w:history="1">
        <w:r w:rsidR="00F926F5" w:rsidRPr="00E611C1">
          <w:rPr>
            <w:rStyle w:val="Hyperlink"/>
            <w:rFonts w:eastAsia="Times New Roman"/>
            <w:noProof/>
          </w:rPr>
          <w:t>4.1.3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Service factors</w:t>
        </w:r>
        <w:r w:rsidR="00F926F5">
          <w:rPr>
            <w:noProof/>
          </w:rPr>
          <w:tab/>
        </w:r>
        <w:r w:rsidR="00F926F5">
          <w:rPr>
            <w:noProof/>
          </w:rPr>
          <w:fldChar w:fldCharType="begin"/>
        </w:r>
        <w:r w:rsidR="00F926F5">
          <w:rPr>
            <w:noProof/>
          </w:rPr>
          <w:instrText xml:space="preserve"> PAGEREF _Toc511900292 \h </w:instrText>
        </w:r>
        <w:r w:rsidR="00F926F5">
          <w:rPr>
            <w:noProof/>
          </w:rPr>
        </w:r>
        <w:r w:rsidR="00F926F5">
          <w:rPr>
            <w:noProof/>
          </w:rPr>
          <w:fldChar w:fldCharType="separate"/>
        </w:r>
        <w:r>
          <w:rPr>
            <w:noProof/>
          </w:rPr>
          <w:t>63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3" w:history="1">
        <w:r w:rsidR="00F926F5" w:rsidRPr="00E611C1">
          <w:rPr>
            <w:rStyle w:val="Hyperlink"/>
            <w:rFonts w:eastAsia="Times New Roman"/>
            <w:noProof/>
          </w:rPr>
          <w:t>4.1.4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 factors</w:t>
        </w:r>
        <w:r w:rsidR="00F926F5">
          <w:rPr>
            <w:noProof/>
          </w:rPr>
          <w:tab/>
        </w:r>
        <w:r w:rsidR="00F926F5">
          <w:rPr>
            <w:noProof/>
          </w:rPr>
          <w:fldChar w:fldCharType="begin"/>
        </w:r>
        <w:r w:rsidR="00F926F5">
          <w:rPr>
            <w:noProof/>
          </w:rPr>
          <w:instrText xml:space="preserve"> PAGEREF _Toc511900293 \h </w:instrText>
        </w:r>
        <w:r w:rsidR="00F926F5">
          <w:rPr>
            <w:noProof/>
          </w:rPr>
        </w:r>
        <w:r w:rsidR="00F926F5">
          <w:rPr>
            <w:noProof/>
          </w:rPr>
          <w:fldChar w:fldCharType="separate"/>
        </w:r>
        <w:r>
          <w:rPr>
            <w:noProof/>
          </w:rPr>
          <w:t>70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4" w:history="1">
        <w:r w:rsidR="00F926F5" w:rsidRPr="00E611C1">
          <w:rPr>
            <w:rStyle w:val="Hyperlink"/>
            <w:rFonts w:eastAsia="Times New Roman"/>
            <w:noProof/>
          </w:rPr>
          <w:t>4.1.5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Posttraumatic stress disorder</w:t>
        </w:r>
        <w:r w:rsidR="00F926F5">
          <w:rPr>
            <w:noProof/>
          </w:rPr>
          <w:tab/>
        </w:r>
        <w:r w:rsidR="00F926F5">
          <w:rPr>
            <w:noProof/>
          </w:rPr>
          <w:fldChar w:fldCharType="begin"/>
        </w:r>
        <w:r w:rsidR="00F926F5">
          <w:rPr>
            <w:noProof/>
          </w:rPr>
          <w:instrText xml:space="preserve"> PAGEREF _Toc511900294 \h </w:instrText>
        </w:r>
        <w:r w:rsidR="00F926F5">
          <w:rPr>
            <w:noProof/>
          </w:rPr>
        </w:r>
        <w:r w:rsidR="00F926F5">
          <w:rPr>
            <w:noProof/>
          </w:rPr>
          <w:fldChar w:fldCharType="separate"/>
        </w:r>
        <w:r>
          <w:rPr>
            <w:noProof/>
          </w:rPr>
          <w:t>76</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295" w:history="1">
        <w:r w:rsidR="00F926F5" w:rsidRPr="00E611C1">
          <w:rPr>
            <w:rStyle w:val="Hyperlink"/>
            <w:noProof/>
          </w:rPr>
          <w:t>4.2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Estimated prevalence of affective disorders in Transitioned ADF</w:t>
        </w:r>
        <w:r w:rsidR="00F926F5">
          <w:rPr>
            <w:noProof/>
          </w:rPr>
          <w:tab/>
        </w:r>
        <w:r w:rsidR="00F926F5">
          <w:rPr>
            <w:noProof/>
          </w:rPr>
          <w:fldChar w:fldCharType="begin"/>
        </w:r>
        <w:r w:rsidR="00F926F5">
          <w:rPr>
            <w:noProof/>
          </w:rPr>
          <w:instrText xml:space="preserve"> PAGEREF _Toc511900295 \h </w:instrText>
        </w:r>
        <w:r w:rsidR="00F926F5">
          <w:rPr>
            <w:noProof/>
          </w:rPr>
        </w:r>
        <w:r w:rsidR="00F926F5">
          <w:rPr>
            <w:noProof/>
          </w:rPr>
          <w:fldChar w:fldCharType="separate"/>
        </w:r>
        <w:r>
          <w:rPr>
            <w:noProof/>
          </w:rPr>
          <w:t>82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6" w:history="1">
        <w:r w:rsidR="00F926F5" w:rsidRPr="00E611C1">
          <w:rPr>
            <w:rStyle w:val="Hyperlink"/>
            <w:noProof/>
          </w:rPr>
          <w:t>4.2.1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Transitioned ADF population</w:t>
        </w:r>
        <w:r w:rsidR="00F926F5">
          <w:rPr>
            <w:noProof/>
          </w:rPr>
          <w:tab/>
        </w:r>
        <w:r w:rsidR="00F926F5">
          <w:rPr>
            <w:noProof/>
          </w:rPr>
          <w:fldChar w:fldCharType="begin"/>
        </w:r>
        <w:r w:rsidR="00F926F5">
          <w:rPr>
            <w:noProof/>
          </w:rPr>
          <w:instrText xml:space="preserve"> PAGEREF _Toc511900296 \h </w:instrText>
        </w:r>
        <w:r w:rsidR="00F926F5">
          <w:rPr>
            <w:noProof/>
          </w:rPr>
        </w:r>
        <w:r w:rsidR="00F926F5">
          <w:rPr>
            <w:noProof/>
          </w:rPr>
          <w:fldChar w:fldCharType="separate"/>
        </w:r>
        <w:r>
          <w:rPr>
            <w:noProof/>
          </w:rPr>
          <w:t>83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7" w:history="1">
        <w:r w:rsidR="00F926F5" w:rsidRPr="00E611C1">
          <w:rPr>
            <w:rStyle w:val="Hyperlink"/>
            <w:noProof/>
          </w:rPr>
          <w:t>4.2.2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 status</w:t>
        </w:r>
        <w:r w:rsidR="00F926F5">
          <w:rPr>
            <w:noProof/>
          </w:rPr>
          <w:tab/>
        </w:r>
        <w:r w:rsidR="00F926F5">
          <w:rPr>
            <w:noProof/>
          </w:rPr>
          <w:fldChar w:fldCharType="begin"/>
        </w:r>
        <w:r w:rsidR="00F926F5">
          <w:rPr>
            <w:noProof/>
          </w:rPr>
          <w:instrText xml:space="preserve"> PAGEREF _Toc511900297 \h </w:instrText>
        </w:r>
        <w:r w:rsidR="00F926F5">
          <w:rPr>
            <w:noProof/>
          </w:rPr>
        </w:r>
        <w:r w:rsidR="00F926F5">
          <w:rPr>
            <w:noProof/>
          </w:rPr>
          <w:fldChar w:fldCharType="separate"/>
        </w:r>
        <w:r>
          <w:rPr>
            <w:noProof/>
          </w:rPr>
          <w:t>84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8" w:history="1">
        <w:r w:rsidR="00F926F5" w:rsidRPr="00E611C1">
          <w:rPr>
            <w:rStyle w:val="Hyperlink"/>
            <w:noProof/>
          </w:rPr>
          <w:t>4.2.3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Demographic factors</w:t>
        </w:r>
        <w:r w:rsidR="00F926F5">
          <w:rPr>
            <w:noProof/>
          </w:rPr>
          <w:tab/>
        </w:r>
        <w:r w:rsidR="00F926F5">
          <w:rPr>
            <w:noProof/>
          </w:rPr>
          <w:fldChar w:fldCharType="begin"/>
        </w:r>
        <w:r w:rsidR="00F926F5">
          <w:rPr>
            <w:noProof/>
          </w:rPr>
          <w:instrText xml:space="preserve"> PAGEREF _Toc511900298 \h </w:instrText>
        </w:r>
        <w:r w:rsidR="00F926F5">
          <w:rPr>
            <w:noProof/>
          </w:rPr>
        </w:r>
        <w:r w:rsidR="00F926F5">
          <w:rPr>
            <w:noProof/>
          </w:rPr>
          <w:fldChar w:fldCharType="separate"/>
        </w:r>
        <w:r>
          <w:rPr>
            <w:noProof/>
          </w:rPr>
          <w:t>85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299" w:history="1">
        <w:r w:rsidR="00F926F5" w:rsidRPr="00E611C1">
          <w:rPr>
            <w:rStyle w:val="Hyperlink"/>
            <w:noProof/>
          </w:rPr>
          <w:t>4.2.4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Service factors</w:t>
        </w:r>
        <w:r w:rsidR="00F926F5">
          <w:rPr>
            <w:noProof/>
          </w:rPr>
          <w:tab/>
        </w:r>
        <w:r w:rsidR="00F926F5">
          <w:rPr>
            <w:noProof/>
          </w:rPr>
          <w:fldChar w:fldCharType="begin"/>
        </w:r>
        <w:r w:rsidR="00F926F5">
          <w:rPr>
            <w:noProof/>
          </w:rPr>
          <w:instrText xml:space="preserve"> PAGEREF _Toc511900299 \h </w:instrText>
        </w:r>
        <w:r w:rsidR="00F926F5">
          <w:rPr>
            <w:noProof/>
          </w:rPr>
        </w:r>
        <w:r w:rsidR="00F926F5">
          <w:rPr>
            <w:noProof/>
          </w:rPr>
          <w:fldChar w:fldCharType="separate"/>
        </w:r>
        <w:r>
          <w:rPr>
            <w:noProof/>
          </w:rPr>
          <w:t>88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0" w:history="1">
        <w:r w:rsidR="00F926F5" w:rsidRPr="00E611C1">
          <w:rPr>
            <w:rStyle w:val="Hyperlink"/>
            <w:rFonts w:eastAsia="Times New Roman"/>
            <w:noProof/>
          </w:rPr>
          <w:t>4.2.5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 factors</w:t>
        </w:r>
        <w:r w:rsidR="00F926F5">
          <w:rPr>
            <w:noProof/>
          </w:rPr>
          <w:tab/>
        </w:r>
        <w:r w:rsidR="00F926F5">
          <w:rPr>
            <w:noProof/>
          </w:rPr>
          <w:fldChar w:fldCharType="begin"/>
        </w:r>
        <w:r w:rsidR="00F926F5">
          <w:rPr>
            <w:noProof/>
          </w:rPr>
          <w:instrText xml:space="preserve"> PAGEREF _Toc511900300 \h </w:instrText>
        </w:r>
        <w:r w:rsidR="00F926F5">
          <w:rPr>
            <w:noProof/>
          </w:rPr>
        </w:r>
        <w:r w:rsidR="00F926F5">
          <w:rPr>
            <w:noProof/>
          </w:rPr>
          <w:fldChar w:fldCharType="separate"/>
        </w:r>
        <w:r>
          <w:rPr>
            <w:noProof/>
          </w:rPr>
          <w:t>92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01" w:history="1">
        <w:r w:rsidR="00F926F5" w:rsidRPr="00E611C1">
          <w:rPr>
            <w:rStyle w:val="Hyperlink"/>
            <w:noProof/>
          </w:rPr>
          <w:t>4.3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Estimated prevalence of alcohol disorders in Transitioned ADF</w:t>
        </w:r>
        <w:r w:rsidR="00F926F5">
          <w:rPr>
            <w:noProof/>
          </w:rPr>
          <w:tab/>
        </w:r>
        <w:r w:rsidR="00F926F5">
          <w:rPr>
            <w:noProof/>
          </w:rPr>
          <w:fldChar w:fldCharType="begin"/>
        </w:r>
        <w:r w:rsidR="00F926F5">
          <w:rPr>
            <w:noProof/>
          </w:rPr>
          <w:instrText xml:space="preserve"> PAGEREF _Toc511900301 \h </w:instrText>
        </w:r>
        <w:r w:rsidR="00F926F5">
          <w:rPr>
            <w:noProof/>
          </w:rPr>
        </w:r>
        <w:r w:rsidR="00F926F5">
          <w:rPr>
            <w:noProof/>
          </w:rPr>
          <w:fldChar w:fldCharType="separate"/>
        </w:r>
        <w:r>
          <w:rPr>
            <w:noProof/>
          </w:rPr>
          <w:t>99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2" w:history="1">
        <w:r w:rsidR="00F926F5" w:rsidRPr="00E611C1">
          <w:rPr>
            <w:rStyle w:val="Hyperlink"/>
            <w:noProof/>
          </w:rPr>
          <w:t>4.3.1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Transitioned ADF</w:t>
        </w:r>
        <w:r w:rsidR="00F926F5">
          <w:rPr>
            <w:noProof/>
          </w:rPr>
          <w:tab/>
        </w:r>
        <w:r w:rsidR="00F926F5">
          <w:rPr>
            <w:noProof/>
          </w:rPr>
          <w:fldChar w:fldCharType="begin"/>
        </w:r>
        <w:r w:rsidR="00F926F5">
          <w:rPr>
            <w:noProof/>
          </w:rPr>
          <w:instrText xml:space="preserve"> PAGEREF _Toc511900302 \h </w:instrText>
        </w:r>
        <w:r w:rsidR="00F926F5">
          <w:rPr>
            <w:noProof/>
          </w:rPr>
        </w:r>
        <w:r w:rsidR="00F926F5">
          <w:rPr>
            <w:noProof/>
          </w:rPr>
          <w:fldChar w:fldCharType="separate"/>
        </w:r>
        <w:r>
          <w:rPr>
            <w:noProof/>
          </w:rPr>
          <w:t>100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3" w:history="1">
        <w:r w:rsidR="00F926F5" w:rsidRPr="00E611C1">
          <w:rPr>
            <w:rStyle w:val="Hyperlink"/>
            <w:noProof/>
          </w:rPr>
          <w:t>4.3.2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Demographic factors</w:t>
        </w:r>
        <w:r w:rsidR="00F926F5">
          <w:rPr>
            <w:noProof/>
          </w:rPr>
          <w:tab/>
        </w:r>
        <w:r w:rsidR="00F926F5">
          <w:rPr>
            <w:noProof/>
          </w:rPr>
          <w:fldChar w:fldCharType="begin"/>
        </w:r>
        <w:r w:rsidR="00F926F5">
          <w:rPr>
            <w:noProof/>
          </w:rPr>
          <w:instrText xml:space="preserve"> PAGEREF _Toc511900303 \h </w:instrText>
        </w:r>
        <w:r w:rsidR="00F926F5">
          <w:rPr>
            <w:noProof/>
          </w:rPr>
        </w:r>
        <w:r w:rsidR="00F926F5">
          <w:rPr>
            <w:noProof/>
          </w:rPr>
          <w:fldChar w:fldCharType="separate"/>
        </w:r>
        <w:r>
          <w:rPr>
            <w:noProof/>
          </w:rPr>
          <w:t>102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4" w:history="1">
        <w:r w:rsidR="00F926F5" w:rsidRPr="00E611C1">
          <w:rPr>
            <w:rStyle w:val="Hyperlink"/>
            <w:rFonts w:eastAsia="Times New Roman"/>
            <w:noProof/>
          </w:rPr>
          <w:t>4.3.3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Service factors</w:t>
        </w:r>
        <w:r w:rsidR="00F926F5">
          <w:rPr>
            <w:noProof/>
          </w:rPr>
          <w:tab/>
        </w:r>
        <w:r w:rsidR="00F926F5">
          <w:rPr>
            <w:noProof/>
          </w:rPr>
          <w:fldChar w:fldCharType="begin"/>
        </w:r>
        <w:r w:rsidR="00F926F5">
          <w:rPr>
            <w:noProof/>
          </w:rPr>
          <w:instrText xml:space="preserve"> PAGEREF _Toc511900304 \h </w:instrText>
        </w:r>
        <w:r w:rsidR="00F926F5">
          <w:rPr>
            <w:noProof/>
          </w:rPr>
        </w:r>
        <w:r w:rsidR="00F926F5">
          <w:rPr>
            <w:noProof/>
          </w:rPr>
          <w:fldChar w:fldCharType="separate"/>
        </w:r>
        <w:r>
          <w:rPr>
            <w:noProof/>
          </w:rPr>
          <w:t>105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5" w:history="1">
        <w:r w:rsidR="00F926F5" w:rsidRPr="00E611C1">
          <w:rPr>
            <w:rStyle w:val="Hyperlink"/>
            <w:rFonts w:eastAsia="Times New Roman"/>
            <w:noProof/>
          </w:rPr>
          <w:t>4.3.4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 factors</w:t>
        </w:r>
        <w:r w:rsidR="00F926F5">
          <w:rPr>
            <w:noProof/>
          </w:rPr>
          <w:tab/>
        </w:r>
        <w:r w:rsidR="00F926F5">
          <w:rPr>
            <w:noProof/>
          </w:rPr>
          <w:fldChar w:fldCharType="begin"/>
        </w:r>
        <w:r w:rsidR="00F926F5">
          <w:rPr>
            <w:noProof/>
          </w:rPr>
          <w:instrText xml:space="preserve"> PAGEREF _Toc511900305 \h </w:instrText>
        </w:r>
        <w:r w:rsidR="00F926F5">
          <w:rPr>
            <w:noProof/>
          </w:rPr>
        </w:r>
        <w:r w:rsidR="00F926F5">
          <w:rPr>
            <w:noProof/>
          </w:rPr>
          <w:fldChar w:fldCharType="separate"/>
        </w:r>
        <w:r>
          <w:rPr>
            <w:noProof/>
          </w:rPr>
          <w:t>111</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06" w:history="1">
        <w:r w:rsidR="00F926F5" w:rsidRPr="00E611C1">
          <w:rPr>
            <w:rStyle w:val="Hyperlink"/>
            <w:noProof/>
          </w:rPr>
          <w:t>4.4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Estimated prevalence of comorbid mental health conditions in the Transitioned ADF</w:t>
        </w:r>
        <w:r w:rsidR="00F926F5">
          <w:rPr>
            <w:noProof/>
          </w:rPr>
          <w:tab/>
        </w:r>
        <w:r w:rsidR="00F926F5">
          <w:rPr>
            <w:noProof/>
          </w:rPr>
          <w:fldChar w:fldCharType="begin"/>
        </w:r>
        <w:r w:rsidR="00F926F5">
          <w:rPr>
            <w:noProof/>
          </w:rPr>
          <w:instrText xml:space="preserve"> PAGEREF _Toc511900306 \h </w:instrText>
        </w:r>
        <w:r w:rsidR="00F926F5">
          <w:rPr>
            <w:noProof/>
          </w:rPr>
        </w:r>
        <w:r w:rsidR="00F926F5">
          <w:rPr>
            <w:noProof/>
          </w:rPr>
          <w:fldChar w:fldCharType="separate"/>
        </w:r>
        <w:r>
          <w:rPr>
            <w:noProof/>
          </w:rPr>
          <w:t>115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7" w:history="1">
        <w:r w:rsidR="00F926F5" w:rsidRPr="00E611C1">
          <w:rPr>
            <w:rStyle w:val="Hyperlink"/>
            <w:noProof/>
          </w:rPr>
          <w:t>4.4.1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Transitioned ADF population</w:t>
        </w:r>
        <w:r w:rsidR="00F926F5">
          <w:rPr>
            <w:noProof/>
          </w:rPr>
          <w:tab/>
        </w:r>
        <w:r w:rsidR="00F926F5">
          <w:rPr>
            <w:noProof/>
          </w:rPr>
          <w:fldChar w:fldCharType="begin"/>
        </w:r>
        <w:r w:rsidR="00F926F5">
          <w:rPr>
            <w:noProof/>
          </w:rPr>
          <w:instrText xml:space="preserve"> PAGEREF _Toc511900307 \h </w:instrText>
        </w:r>
        <w:r w:rsidR="00F926F5">
          <w:rPr>
            <w:noProof/>
          </w:rPr>
        </w:r>
        <w:r w:rsidR="00F926F5">
          <w:rPr>
            <w:noProof/>
          </w:rPr>
          <w:fldChar w:fldCharType="separate"/>
        </w:r>
        <w:r>
          <w:rPr>
            <w:noProof/>
          </w:rPr>
          <w:t>116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08" w:history="1">
        <w:r w:rsidR="00F926F5" w:rsidRPr="00E611C1">
          <w:rPr>
            <w:rStyle w:val="Hyperlink"/>
            <w:noProof/>
          </w:rPr>
          <w:t>4.4.2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 status</w:t>
        </w:r>
        <w:r w:rsidR="00F926F5">
          <w:rPr>
            <w:noProof/>
          </w:rPr>
          <w:tab/>
        </w:r>
        <w:r w:rsidR="00F926F5">
          <w:rPr>
            <w:noProof/>
          </w:rPr>
          <w:fldChar w:fldCharType="begin"/>
        </w:r>
        <w:r w:rsidR="00F926F5">
          <w:rPr>
            <w:noProof/>
          </w:rPr>
          <w:instrText xml:space="preserve"> PAGEREF _Toc511900308 \h </w:instrText>
        </w:r>
        <w:r w:rsidR="00F926F5">
          <w:rPr>
            <w:noProof/>
          </w:rPr>
        </w:r>
        <w:r w:rsidR="00F926F5">
          <w:rPr>
            <w:noProof/>
          </w:rPr>
          <w:fldChar w:fldCharType="separate"/>
        </w:r>
        <w:r>
          <w:rPr>
            <w:noProof/>
          </w:rPr>
          <w:t>117</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09" w:history="1">
        <w:r w:rsidR="00F926F5" w:rsidRPr="00E611C1">
          <w:rPr>
            <w:rStyle w:val="Hyperlink"/>
            <w:noProof/>
          </w:rPr>
          <w:t>4.5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Estimated prevalence of suicidality in Transitioned ADF</w:t>
        </w:r>
        <w:r w:rsidR="00F926F5">
          <w:rPr>
            <w:noProof/>
          </w:rPr>
          <w:tab/>
        </w:r>
        <w:r w:rsidR="00F926F5">
          <w:rPr>
            <w:noProof/>
          </w:rPr>
          <w:fldChar w:fldCharType="begin"/>
        </w:r>
        <w:r w:rsidR="00F926F5">
          <w:rPr>
            <w:noProof/>
          </w:rPr>
          <w:instrText xml:space="preserve"> PAGEREF _Toc511900309 \h </w:instrText>
        </w:r>
        <w:r w:rsidR="00F926F5">
          <w:rPr>
            <w:noProof/>
          </w:rPr>
        </w:r>
        <w:r w:rsidR="00F926F5">
          <w:rPr>
            <w:noProof/>
          </w:rPr>
          <w:fldChar w:fldCharType="separate"/>
        </w:r>
        <w:r>
          <w:rPr>
            <w:noProof/>
          </w:rPr>
          <w:t>119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0" w:history="1">
        <w:r w:rsidR="00F926F5" w:rsidRPr="00E611C1">
          <w:rPr>
            <w:rStyle w:val="Hyperlink"/>
            <w:noProof/>
          </w:rPr>
          <w:t>4.5.1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w:t>
        </w:r>
        <w:r w:rsidR="00F926F5">
          <w:rPr>
            <w:noProof/>
          </w:rPr>
          <w:tab/>
        </w:r>
        <w:r w:rsidR="00F926F5">
          <w:rPr>
            <w:noProof/>
          </w:rPr>
          <w:fldChar w:fldCharType="begin"/>
        </w:r>
        <w:r w:rsidR="00F926F5">
          <w:rPr>
            <w:noProof/>
          </w:rPr>
          <w:instrText xml:space="preserve"> PAGEREF _Toc511900310 \h </w:instrText>
        </w:r>
        <w:r w:rsidR="00F926F5">
          <w:rPr>
            <w:noProof/>
          </w:rPr>
        </w:r>
        <w:r w:rsidR="00F926F5">
          <w:rPr>
            <w:noProof/>
          </w:rPr>
          <w:fldChar w:fldCharType="separate"/>
        </w:r>
        <w:r>
          <w:rPr>
            <w:noProof/>
          </w:rPr>
          <w:t>119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1" w:history="1">
        <w:r w:rsidR="00F926F5" w:rsidRPr="00E611C1">
          <w:rPr>
            <w:rStyle w:val="Hyperlink"/>
            <w:rFonts w:eastAsia="Times New Roman"/>
            <w:noProof/>
          </w:rPr>
          <w:t>4.5.2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 demographic factors</w:t>
        </w:r>
        <w:r w:rsidR="00F926F5">
          <w:rPr>
            <w:noProof/>
          </w:rPr>
          <w:tab/>
        </w:r>
        <w:r w:rsidR="00F926F5">
          <w:rPr>
            <w:noProof/>
          </w:rPr>
          <w:fldChar w:fldCharType="begin"/>
        </w:r>
        <w:r w:rsidR="00F926F5">
          <w:rPr>
            <w:noProof/>
          </w:rPr>
          <w:instrText xml:space="preserve"> PAGEREF _Toc511900311 \h </w:instrText>
        </w:r>
        <w:r w:rsidR="00F926F5">
          <w:rPr>
            <w:noProof/>
          </w:rPr>
        </w:r>
        <w:r w:rsidR="00F926F5">
          <w:rPr>
            <w:noProof/>
          </w:rPr>
          <w:fldChar w:fldCharType="separate"/>
        </w:r>
        <w:r>
          <w:rPr>
            <w:noProof/>
          </w:rPr>
          <w:t>122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2" w:history="1">
        <w:r w:rsidR="00F926F5" w:rsidRPr="00E611C1">
          <w:rPr>
            <w:rStyle w:val="Hyperlink"/>
            <w:noProof/>
          </w:rPr>
          <w:t>4.5.3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 service factors</w:t>
        </w:r>
        <w:r w:rsidR="00F926F5">
          <w:rPr>
            <w:noProof/>
          </w:rPr>
          <w:tab/>
        </w:r>
        <w:r w:rsidR="00F926F5">
          <w:rPr>
            <w:noProof/>
          </w:rPr>
          <w:fldChar w:fldCharType="begin"/>
        </w:r>
        <w:r w:rsidR="00F926F5">
          <w:rPr>
            <w:noProof/>
          </w:rPr>
          <w:instrText xml:space="preserve"> PAGEREF _Toc511900312 \h </w:instrText>
        </w:r>
        <w:r w:rsidR="00F926F5">
          <w:rPr>
            <w:noProof/>
          </w:rPr>
        </w:r>
        <w:r w:rsidR="00F926F5">
          <w:rPr>
            <w:noProof/>
          </w:rPr>
          <w:fldChar w:fldCharType="separate"/>
        </w:r>
        <w:r>
          <w:rPr>
            <w:noProof/>
          </w:rPr>
          <w:t>125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3" w:history="1">
        <w:r w:rsidR="00F926F5" w:rsidRPr="00E611C1">
          <w:rPr>
            <w:rStyle w:val="Hyperlink"/>
            <w:noProof/>
          </w:rPr>
          <w:t>4.5.4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 transition factors</w:t>
        </w:r>
        <w:r w:rsidR="00F926F5">
          <w:rPr>
            <w:noProof/>
          </w:rPr>
          <w:tab/>
        </w:r>
        <w:r w:rsidR="00F926F5">
          <w:rPr>
            <w:noProof/>
          </w:rPr>
          <w:fldChar w:fldCharType="begin"/>
        </w:r>
        <w:r w:rsidR="00F926F5">
          <w:rPr>
            <w:noProof/>
          </w:rPr>
          <w:instrText xml:space="preserve"> PAGEREF _Toc511900313 \h </w:instrText>
        </w:r>
        <w:r w:rsidR="00F926F5">
          <w:rPr>
            <w:noProof/>
          </w:rPr>
        </w:r>
        <w:r w:rsidR="00F926F5">
          <w:rPr>
            <w:noProof/>
          </w:rPr>
          <w:fldChar w:fldCharType="separate"/>
        </w:r>
        <w:r>
          <w:rPr>
            <w:noProof/>
          </w:rPr>
          <w:t>132</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14" w:history="1">
        <w:r w:rsidR="00F926F5" w:rsidRPr="00E611C1">
          <w:rPr>
            <w:rStyle w:val="Hyperlink"/>
          </w:rPr>
          <w:t>5</w:t>
        </w:r>
        <w:r w:rsidR="00F926F5">
          <w:rPr>
            <w:rFonts w:asciiTheme="minorHAnsi" w:eastAsiaTheme="minorEastAsia" w:hAnsiTheme="minorHAnsi" w:cstheme="minorBidi"/>
            <w:b w:val="0"/>
            <w:color w:val="auto"/>
            <w:sz w:val="22"/>
            <w:szCs w:val="22"/>
            <w:lang w:eastAsia="en-AU"/>
          </w:rPr>
          <w:tab/>
        </w:r>
        <w:r w:rsidR="00F926F5" w:rsidRPr="00E611C1">
          <w:rPr>
            <w:rStyle w:val="Hyperlink"/>
          </w:rPr>
          <w:t>Self-reported current mental health symptoms, and trauma exposure among Transitioned ADF and 2015 Regular ADF members</w:t>
        </w:r>
        <w:r w:rsidR="00F926F5">
          <w:tab/>
        </w:r>
        <w:r w:rsidR="00F926F5">
          <w:fldChar w:fldCharType="begin"/>
        </w:r>
        <w:r w:rsidR="00F926F5">
          <w:instrText xml:space="preserve"> PAGEREF _Toc511900314 \h </w:instrText>
        </w:r>
        <w:r w:rsidR="00F926F5">
          <w:fldChar w:fldCharType="separate"/>
        </w:r>
        <w:r>
          <w:t>139</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15" w:history="1">
        <w:r w:rsidR="00F926F5" w:rsidRPr="00E611C1">
          <w:rPr>
            <w:rStyle w:val="Hyperlink"/>
            <w:noProof/>
          </w:rPr>
          <w:t>5.1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 (K10)</w:t>
        </w:r>
        <w:r w:rsidR="00F926F5">
          <w:rPr>
            <w:noProof/>
          </w:rPr>
          <w:tab/>
        </w:r>
        <w:r w:rsidR="00F926F5">
          <w:rPr>
            <w:noProof/>
          </w:rPr>
          <w:fldChar w:fldCharType="begin"/>
        </w:r>
        <w:r w:rsidR="00F926F5">
          <w:rPr>
            <w:noProof/>
          </w:rPr>
          <w:instrText xml:space="preserve"> PAGEREF _Toc511900315 \h </w:instrText>
        </w:r>
        <w:r w:rsidR="00F926F5">
          <w:rPr>
            <w:noProof/>
          </w:rPr>
        </w:r>
        <w:r w:rsidR="00F926F5">
          <w:rPr>
            <w:noProof/>
          </w:rPr>
          <w:fldChar w:fldCharType="separate"/>
        </w:r>
        <w:r>
          <w:rPr>
            <w:noProof/>
          </w:rPr>
          <w:t>143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6" w:history="1">
        <w:r w:rsidR="00F926F5" w:rsidRPr="00E611C1">
          <w:rPr>
            <w:rStyle w:val="Hyperlink"/>
            <w:noProof/>
          </w:rPr>
          <w:t>5.1.1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in Transitioned ADF compared to entire 2010 and 2015 Regular ADF</w:t>
        </w:r>
        <w:r w:rsidR="00F926F5">
          <w:rPr>
            <w:noProof/>
          </w:rPr>
          <w:tab/>
        </w:r>
        <w:r w:rsidR="00F926F5">
          <w:rPr>
            <w:noProof/>
          </w:rPr>
          <w:fldChar w:fldCharType="begin"/>
        </w:r>
        <w:r w:rsidR="00F926F5">
          <w:rPr>
            <w:noProof/>
          </w:rPr>
          <w:instrText xml:space="preserve"> PAGEREF _Toc511900316 \h </w:instrText>
        </w:r>
        <w:r w:rsidR="00F926F5">
          <w:rPr>
            <w:noProof/>
          </w:rPr>
        </w:r>
        <w:r w:rsidR="00F926F5">
          <w:rPr>
            <w:noProof/>
          </w:rPr>
          <w:fldChar w:fldCharType="separate"/>
        </w:r>
        <w:r>
          <w:rPr>
            <w:noProof/>
          </w:rPr>
          <w:t>144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7" w:history="1">
        <w:r w:rsidR="00F926F5" w:rsidRPr="00E611C1">
          <w:rPr>
            <w:rStyle w:val="Hyperlink"/>
            <w:noProof/>
          </w:rPr>
          <w:t>5.1.2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in different transition population subgroups</w:t>
        </w:r>
        <w:r w:rsidR="00F926F5">
          <w:rPr>
            <w:noProof/>
          </w:rPr>
          <w:tab/>
        </w:r>
        <w:r w:rsidR="00F926F5">
          <w:rPr>
            <w:noProof/>
          </w:rPr>
          <w:fldChar w:fldCharType="begin"/>
        </w:r>
        <w:r w:rsidR="00F926F5">
          <w:rPr>
            <w:noProof/>
          </w:rPr>
          <w:instrText xml:space="preserve"> PAGEREF _Toc511900317 \h </w:instrText>
        </w:r>
        <w:r w:rsidR="00F926F5">
          <w:rPr>
            <w:noProof/>
          </w:rPr>
        </w:r>
        <w:r w:rsidR="00F926F5">
          <w:rPr>
            <w:noProof/>
          </w:rPr>
          <w:fldChar w:fldCharType="separate"/>
        </w:r>
        <w:r>
          <w:rPr>
            <w:noProof/>
          </w:rPr>
          <w:t>146</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18" w:history="1">
        <w:r w:rsidR="00F926F5" w:rsidRPr="00E611C1">
          <w:rPr>
            <w:rStyle w:val="Hyperlink"/>
            <w:noProof/>
          </w:rPr>
          <w:t>5.2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Posttraumatic stress symptoms (PCL)</w:t>
        </w:r>
        <w:r w:rsidR="00F926F5">
          <w:rPr>
            <w:noProof/>
          </w:rPr>
          <w:tab/>
        </w:r>
        <w:r w:rsidR="00F926F5">
          <w:rPr>
            <w:noProof/>
          </w:rPr>
          <w:fldChar w:fldCharType="begin"/>
        </w:r>
        <w:r w:rsidR="00F926F5">
          <w:rPr>
            <w:noProof/>
          </w:rPr>
          <w:instrText xml:space="preserve"> PAGEREF _Toc511900318 \h </w:instrText>
        </w:r>
        <w:r w:rsidR="00F926F5">
          <w:rPr>
            <w:noProof/>
          </w:rPr>
        </w:r>
        <w:r w:rsidR="00F926F5">
          <w:rPr>
            <w:noProof/>
          </w:rPr>
          <w:fldChar w:fldCharType="separate"/>
        </w:r>
        <w:r>
          <w:rPr>
            <w:noProof/>
          </w:rPr>
          <w:t>149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19" w:history="1">
        <w:r w:rsidR="00F926F5" w:rsidRPr="00E611C1">
          <w:rPr>
            <w:rStyle w:val="Hyperlink"/>
            <w:noProof/>
          </w:rPr>
          <w:t>5.2.1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Posttraumatic stress symptoms in Transitioned ADF members compared to the entire ADF in 2010 and 2015</w:t>
        </w:r>
        <w:r w:rsidR="00F926F5">
          <w:rPr>
            <w:noProof/>
          </w:rPr>
          <w:tab/>
        </w:r>
        <w:r w:rsidR="00F926F5">
          <w:rPr>
            <w:noProof/>
          </w:rPr>
          <w:fldChar w:fldCharType="begin"/>
        </w:r>
        <w:r w:rsidR="00F926F5">
          <w:rPr>
            <w:noProof/>
          </w:rPr>
          <w:instrText xml:space="preserve"> PAGEREF _Toc511900319 \h </w:instrText>
        </w:r>
        <w:r w:rsidR="00F926F5">
          <w:rPr>
            <w:noProof/>
          </w:rPr>
        </w:r>
        <w:r w:rsidR="00F926F5">
          <w:rPr>
            <w:noProof/>
          </w:rPr>
          <w:fldChar w:fldCharType="separate"/>
        </w:r>
        <w:r>
          <w:rPr>
            <w:noProof/>
          </w:rPr>
          <w:t>150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0" w:history="1">
        <w:r w:rsidR="00F926F5" w:rsidRPr="00E611C1">
          <w:rPr>
            <w:rStyle w:val="Hyperlink"/>
            <w:noProof/>
          </w:rPr>
          <w:t>5.2.2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Posttraumatic symptoms in different transition population subgroups</w:t>
        </w:r>
        <w:r w:rsidR="00F926F5">
          <w:rPr>
            <w:noProof/>
          </w:rPr>
          <w:tab/>
        </w:r>
        <w:r w:rsidR="00F926F5">
          <w:rPr>
            <w:noProof/>
          </w:rPr>
          <w:fldChar w:fldCharType="begin"/>
        </w:r>
        <w:r w:rsidR="00F926F5">
          <w:rPr>
            <w:noProof/>
          </w:rPr>
          <w:instrText xml:space="preserve"> PAGEREF _Toc511900320 \h </w:instrText>
        </w:r>
        <w:r w:rsidR="00F926F5">
          <w:rPr>
            <w:noProof/>
          </w:rPr>
        </w:r>
        <w:r w:rsidR="00F926F5">
          <w:rPr>
            <w:noProof/>
          </w:rPr>
          <w:fldChar w:fldCharType="separate"/>
        </w:r>
        <w:r>
          <w:rPr>
            <w:noProof/>
          </w:rPr>
          <w:t>152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21" w:history="1">
        <w:r w:rsidR="00F926F5" w:rsidRPr="00E611C1">
          <w:rPr>
            <w:rStyle w:val="Hyperlink"/>
            <w:noProof/>
          </w:rPr>
          <w:t>5.3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Alcohol use and problem drinking (AUDIT)</w:t>
        </w:r>
        <w:r w:rsidR="00F926F5">
          <w:rPr>
            <w:noProof/>
          </w:rPr>
          <w:tab/>
        </w:r>
        <w:r w:rsidR="00F926F5">
          <w:rPr>
            <w:noProof/>
          </w:rPr>
          <w:fldChar w:fldCharType="begin"/>
        </w:r>
        <w:r w:rsidR="00F926F5">
          <w:rPr>
            <w:noProof/>
          </w:rPr>
          <w:instrText xml:space="preserve"> PAGEREF _Toc511900321 \h </w:instrText>
        </w:r>
        <w:r w:rsidR="00F926F5">
          <w:rPr>
            <w:noProof/>
          </w:rPr>
        </w:r>
        <w:r w:rsidR="00F926F5">
          <w:rPr>
            <w:noProof/>
          </w:rPr>
          <w:fldChar w:fldCharType="separate"/>
        </w:r>
        <w:r>
          <w:rPr>
            <w:noProof/>
          </w:rPr>
          <w:t>155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2" w:history="1">
        <w:r w:rsidR="00F926F5" w:rsidRPr="00E611C1">
          <w:rPr>
            <w:rStyle w:val="Hyperlink"/>
            <w:noProof/>
          </w:rPr>
          <w:t>5.3.1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Alcohol use and problem drinking in Transitioned ADF members compared to entire 2010 and 2015 Regular ADF</w:t>
        </w:r>
        <w:r w:rsidR="00F926F5">
          <w:rPr>
            <w:noProof/>
          </w:rPr>
          <w:tab/>
        </w:r>
        <w:r w:rsidR="00F926F5">
          <w:rPr>
            <w:noProof/>
          </w:rPr>
          <w:fldChar w:fldCharType="begin"/>
        </w:r>
        <w:r w:rsidR="00F926F5">
          <w:rPr>
            <w:noProof/>
          </w:rPr>
          <w:instrText xml:space="preserve"> PAGEREF _Toc511900322 \h </w:instrText>
        </w:r>
        <w:r w:rsidR="00F926F5">
          <w:rPr>
            <w:noProof/>
          </w:rPr>
        </w:r>
        <w:r w:rsidR="00F926F5">
          <w:rPr>
            <w:noProof/>
          </w:rPr>
          <w:fldChar w:fldCharType="separate"/>
        </w:r>
        <w:r>
          <w:rPr>
            <w:noProof/>
          </w:rPr>
          <w:t>157</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3" w:history="1">
        <w:r w:rsidR="00F926F5" w:rsidRPr="00E611C1">
          <w:rPr>
            <w:rStyle w:val="Hyperlink"/>
            <w:noProof/>
          </w:rPr>
          <w:t>5.3.2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Frequency of alcohol consumption</w:t>
        </w:r>
        <w:r w:rsidR="00F926F5">
          <w:rPr>
            <w:noProof/>
          </w:rPr>
          <w:tab/>
        </w:r>
        <w:r w:rsidR="00F926F5">
          <w:rPr>
            <w:noProof/>
          </w:rPr>
          <w:fldChar w:fldCharType="begin"/>
        </w:r>
        <w:r w:rsidR="00F926F5">
          <w:rPr>
            <w:noProof/>
          </w:rPr>
          <w:instrText xml:space="preserve"> PAGEREF _Toc511900323 \h </w:instrText>
        </w:r>
        <w:r w:rsidR="00F926F5">
          <w:rPr>
            <w:noProof/>
          </w:rPr>
        </w:r>
        <w:r w:rsidR="00F926F5">
          <w:rPr>
            <w:noProof/>
          </w:rPr>
          <w:fldChar w:fldCharType="separate"/>
        </w:r>
        <w:r>
          <w:rPr>
            <w:noProof/>
          </w:rPr>
          <w:t>158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4" w:history="1">
        <w:r w:rsidR="00F926F5" w:rsidRPr="00E611C1">
          <w:rPr>
            <w:rStyle w:val="Hyperlink"/>
            <w:noProof/>
          </w:rPr>
          <w:t>5.3.3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Quantity of alcohol consumed</w:t>
        </w:r>
        <w:r w:rsidR="00F926F5">
          <w:rPr>
            <w:noProof/>
          </w:rPr>
          <w:tab/>
        </w:r>
        <w:r w:rsidR="00F926F5">
          <w:rPr>
            <w:noProof/>
          </w:rPr>
          <w:fldChar w:fldCharType="begin"/>
        </w:r>
        <w:r w:rsidR="00F926F5">
          <w:rPr>
            <w:noProof/>
          </w:rPr>
          <w:instrText xml:space="preserve"> PAGEREF _Toc511900324 \h </w:instrText>
        </w:r>
        <w:r w:rsidR="00F926F5">
          <w:rPr>
            <w:noProof/>
          </w:rPr>
        </w:r>
        <w:r w:rsidR="00F926F5">
          <w:rPr>
            <w:noProof/>
          </w:rPr>
          <w:fldChar w:fldCharType="separate"/>
        </w:r>
        <w:r>
          <w:rPr>
            <w:noProof/>
          </w:rPr>
          <w:t>160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5" w:history="1">
        <w:r w:rsidR="00F926F5" w:rsidRPr="00E611C1">
          <w:rPr>
            <w:rStyle w:val="Hyperlink"/>
            <w:noProof/>
          </w:rPr>
          <w:t>5.3.4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Self-reported drinking problem</w:t>
        </w:r>
        <w:r w:rsidR="00F926F5">
          <w:rPr>
            <w:noProof/>
          </w:rPr>
          <w:tab/>
        </w:r>
        <w:r w:rsidR="00F926F5">
          <w:rPr>
            <w:noProof/>
          </w:rPr>
          <w:fldChar w:fldCharType="begin"/>
        </w:r>
        <w:r w:rsidR="00F926F5">
          <w:rPr>
            <w:noProof/>
          </w:rPr>
          <w:instrText xml:space="preserve"> PAGEREF _Toc511900325 \h </w:instrText>
        </w:r>
        <w:r w:rsidR="00F926F5">
          <w:rPr>
            <w:noProof/>
          </w:rPr>
        </w:r>
        <w:r w:rsidR="00F926F5">
          <w:rPr>
            <w:noProof/>
          </w:rPr>
          <w:fldChar w:fldCharType="separate"/>
        </w:r>
        <w:r>
          <w:rPr>
            <w:noProof/>
          </w:rPr>
          <w:t>161</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6" w:history="1">
        <w:r w:rsidR="00F926F5" w:rsidRPr="00E611C1">
          <w:rPr>
            <w:rStyle w:val="Hyperlink"/>
            <w:noProof/>
          </w:rPr>
          <w:t>5.3.5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Self-reported difficulties reducing alcohol consumption</w:t>
        </w:r>
        <w:r w:rsidR="00F926F5">
          <w:rPr>
            <w:noProof/>
          </w:rPr>
          <w:tab/>
        </w:r>
        <w:r w:rsidR="00F926F5">
          <w:rPr>
            <w:noProof/>
          </w:rPr>
          <w:fldChar w:fldCharType="begin"/>
        </w:r>
        <w:r w:rsidR="00F926F5">
          <w:rPr>
            <w:noProof/>
          </w:rPr>
          <w:instrText xml:space="preserve"> PAGEREF _Toc511900326 \h </w:instrText>
        </w:r>
        <w:r w:rsidR="00F926F5">
          <w:rPr>
            <w:noProof/>
          </w:rPr>
        </w:r>
        <w:r w:rsidR="00F926F5">
          <w:rPr>
            <w:noProof/>
          </w:rPr>
          <w:fldChar w:fldCharType="separate"/>
        </w:r>
        <w:r>
          <w:rPr>
            <w:noProof/>
          </w:rPr>
          <w:t>162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7" w:history="1">
        <w:r w:rsidR="00F926F5" w:rsidRPr="00E611C1">
          <w:rPr>
            <w:rStyle w:val="Hyperlink"/>
            <w:noProof/>
          </w:rPr>
          <w:t>5.3.6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Alcohol use and problem drinking in different transition population subgroups</w:t>
        </w:r>
        <w:r w:rsidR="00F926F5">
          <w:rPr>
            <w:noProof/>
          </w:rPr>
          <w:tab/>
        </w:r>
        <w:r w:rsidR="00F926F5">
          <w:rPr>
            <w:noProof/>
          </w:rPr>
          <w:fldChar w:fldCharType="begin"/>
        </w:r>
        <w:r w:rsidR="00F926F5">
          <w:rPr>
            <w:noProof/>
          </w:rPr>
          <w:instrText xml:space="preserve"> PAGEREF _Toc511900327 \h </w:instrText>
        </w:r>
        <w:r w:rsidR="00F926F5">
          <w:rPr>
            <w:noProof/>
          </w:rPr>
        </w:r>
        <w:r w:rsidR="00F926F5">
          <w:rPr>
            <w:noProof/>
          </w:rPr>
          <w:fldChar w:fldCharType="separate"/>
        </w:r>
        <w:r>
          <w:rPr>
            <w:noProof/>
          </w:rPr>
          <w:t>164</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28" w:history="1">
        <w:r w:rsidR="00F926F5" w:rsidRPr="00E611C1">
          <w:rPr>
            <w:rStyle w:val="Hyperlink"/>
            <w:noProof/>
          </w:rPr>
          <w:t>5.4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Depressive symptoms (PHQ-9)</w:t>
        </w:r>
        <w:r w:rsidR="00F926F5">
          <w:rPr>
            <w:noProof/>
          </w:rPr>
          <w:tab/>
        </w:r>
        <w:r w:rsidR="00F926F5">
          <w:rPr>
            <w:noProof/>
          </w:rPr>
          <w:fldChar w:fldCharType="begin"/>
        </w:r>
        <w:r w:rsidR="00F926F5">
          <w:rPr>
            <w:noProof/>
          </w:rPr>
          <w:instrText xml:space="preserve"> PAGEREF _Toc511900328 \h </w:instrText>
        </w:r>
        <w:r w:rsidR="00F926F5">
          <w:rPr>
            <w:noProof/>
          </w:rPr>
        </w:r>
        <w:r w:rsidR="00F926F5">
          <w:rPr>
            <w:noProof/>
          </w:rPr>
          <w:fldChar w:fldCharType="separate"/>
        </w:r>
        <w:r>
          <w:rPr>
            <w:noProof/>
          </w:rPr>
          <w:t>167</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29" w:history="1">
        <w:r w:rsidR="00F926F5" w:rsidRPr="00E611C1">
          <w:rPr>
            <w:rStyle w:val="Hyperlink"/>
            <w:noProof/>
          </w:rPr>
          <w:t>5.4.1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Depressive symptoms in the Transitioned ADF</w:t>
        </w:r>
        <w:r w:rsidR="00F926F5">
          <w:rPr>
            <w:noProof/>
          </w:rPr>
          <w:tab/>
        </w:r>
        <w:r w:rsidR="00F926F5">
          <w:rPr>
            <w:noProof/>
          </w:rPr>
          <w:fldChar w:fldCharType="begin"/>
        </w:r>
        <w:r w:rsidR="00F926F5">
          <w:rPr>
            <w:noProof/>
          </w:rPr>
          <w:instrText xml:space="preserve"> PAGEREF _Toc511900329 \h </w:instrText>
        </w:r>
        <w:r w:rsidR="00F926F5">
          <w:rPr>
            <w:noProof/>
          </w:rPr>
        </w:r>
        <w:r w:rsidR="00F926F5">
          <w:rPr>
            <w:noProof/>
          </w:rPr>
          <w:fldChar w:fldCharType="separate"/>
        </w:r>
        <w:r>
          <w:rPr>
            <w:noProof/>
          </w:rPr>
          <w:t>168</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30" w:history="1">
        <w:r w:rsidR="00F926F5" w:rsidRPr="00E611C1">
          <w:rPr>
            <w:rStyle w:val="Hyperlink"/>
            <w:noProof/>
          </w:rPr>
          <w:t>5.5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Anger symptoms (DAR-5)</w:t>
        </w:r>
        <w:r w:rsidR="00F926F5">
          <w:rPr>
            <w:noProof/>
          </w:rPr>
          <w:tab/>
        </w:r>
        <w:r w:rsidR="00F926F5">
          <w:rPr>
            <w:noProof/>
          </w:rPr>
          <w:fldChar w:fldCharType="begin"/>
        </w:r>
        <w:r w:rsidR="00F926F5">
          <w:rPr>
            <w:noProof/>
          </w:rPr>
          <w:instrText xml:space="preserve"> PAGEREF _Toc511900330 \h </w:instrText>
        </w:r>
        <w:r w:rsidR="00F926F5">
          <w:rPr>
            <w:noProof/>
          </w:rPr>
        </w:r>
        <w:r w:rsidR="00F926F5">
          <w:rPr>
            <w:noProof/>
          </w:rPr>
          <w:fldChar w:fldCharType="separate"/>
        </w:r>
        <w:r>
          <w:rPr>
            <w:noProof/>
          </w:rPr>
          <w:t>173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31" w:history="1">
        <w:r w:rsidR="00F926F5" w:rsidRPr="00E611C1">
          <w:rPr>
            <w:rStyle w:val="Hyperlink"/>
            <w:noProof/>
          </w:rPr>
          <w:t>5.5.1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Anger symptoms in Transitioned ADF compared to 2010 and 2015 Regular ADF</w:t>
        </w:r>
        <w:r w:rsidR="00F926F5">
          <w:rPr>
            <w:noProof/>
          </w:rPr>
          <w:tab/>
        </w:r>
        <w:r w:rsidR="00F926F5">
          <w:rPr>
            <w:noProof/>
          </w:rPr>
          <w:fldChar w:fldCharType="begin"/>
        </w:r>
        <w:r w:rsidR="00F926F5">
          <w:rPr>
            <w:noProof/>
          </w:rPr>
          <w:instrText xml:space="preserve"> PAGEREF _Toc511900331 \h </w:instrText>
        </w:r>
        <w:r w:rsidR="00F926F5">
          <w:rPr>
            <w:noProof/>
          </w:rPr>
        </w:r>
        <w:r w:rsidR="00F926F5">
          <w:rPr>
            <w:noProof/>
          </w:rPr>
          <w:fldChar w:fldCharType="separate"/>
        </w:r>
        <w:r>
          <w:rPr>
            <w:noProof/>
          </w:rPr>
          <w:t>174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32" w:history="1">
        <w:r w:rsidR="00F926F5" w:rsidRPr="00E611C1">
          <w:rPr>
            <w:rStyle w:val="Hyperlink"/>
            <w:noProof/>
          </w:rPr>
          <w:t>5.5.2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Anger symptoms in different transition population subgroups</w:t>
        </w:r>
        <w:r w:rsidR="00F926F5">
          <w:rPr>
            <w:noProof/>
          </w:rPr>
          <w:tab/>
        </w:r>
        <w:r w:rsidR="00F926F5">
          <w:rPr>
            <w:noProof/>
          </w:rPr>
          <w:fldChar w:fldCharType="begin"/>
        </w:r>
        <w:r w:rsidR="00F926F5">
          <w:rPr>
            <w:noProof/>
          </w:rPr>
          <w:instrText xml:space="preserve"> PAGEREF _Toc511900332 \h </w:instrText>
        </w:r>
        <w:r w:rsidR="00F926F5">
          <w:rPr>
            <w:noProof/>
          </w:rPr>
        </w:r>
        <w:r w:rsidR="00F926F5">
          <w:rPr>
            <w:noProof/>
          </w:rPr>
          <w:fldChar w:fldCharType="separate"/>
        </w:r>
        <w:r>
          <w:rPr>
            <w:noProof/>
          </w:rPr>
          <w:t>175</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33" w:history="1">
        <w:r w:rsidR="00F926F5" w:rsidRPr="00E611C1">
          <w:rPr>
            <w:rStyle w:val="Hyperlink"/>
            <w:noProof/>
          </w:rPr>
          <w:t>5.6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 ideation, plans and attempts</w:t>
        </w:r>
        <w:r w:rsidR="00F926F5">
          <w:rPr>
            <w:noProof/>
          </w:rPr>
          <w:tab/>
        </w:r>
        <w:r w:rsidR="00F926F5">
          <w:rPr>
            <w:noProof/>
          </w:rPr>
          <w:fldChar w:fldCharType="begin"/>
        </w:r>
        <w:r w:rsidR="00F926F5">
          <w:rPr>
            <w:noProof/>
          </w:rPr>
          <w:instrText xml:space="preserve"> PAGEREF _Toc511900333 \h </w:instrText>
        </w:r>
        <w:r w:rsidR="00F926F5">
          <w:rPr>
            <w:noProof/>
          </w:rPr>
        </w:r>
        <w:r w:rsidR="00F926F5">
          <w:rPr>
            <w:noProof/>
          </w:rPr>
          <w:fldChar w:fldCharType="separate"/>
        </w:r>
        <w:r>
          <w:rPr>
            <w:noProof/>
          </w:rPr>
          <w:t>179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34" w:history="1">
        <w:r w:rsidR="00F926F5" w:rsidRPr="00E611C1">
          <w:rPr>
            <w:rStyle w:val="Hyperlink"/>
            <w:noProof/>
          </w:rPr>
          <w:t>5.6.1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 in Transitioned ADF compared to the 2010 and 2015 Regular ADF</w:t>
        </w:r>
        <w:r w:rsidR="00F926F5">
          <w:rPr>
            <w:noProof/>
          </w:rPr>
          <w:tab/>
        </w:r>
        <w:r w:rsidR="00F926F5">
          <w:rPr>
            <w:noProof/>
          </w:rPr>
          <w:fldChar w:fldCharType="begin"/>
        </w:r>
        <w:r w:rsidR="00F926F5">
          <w:rPr>
            <w:noProof/>
          </w:rPr>
          <w:instrText xml:space="preserve"> PAGEREF _Toc511900334 \h </w:instrText>
        </w:r>
        <w:r w:rsidR="00F926F5">
          <w:rPr>
            <w:noProof/>
          </w:rPr>
        </w:r>
        <w:r w:rsidR="00F926F5">
          <w:rPr>
            <w:noProof/>
          </w:rPr>
          <w:fldChar w:fldCharType="separate"/>
        </w:r>
        <w:r>
          <w:rPr>
            <w:noProof/>
          </w:rPr>
          <w:t>179</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35" w:history="1">
        <w:r w:rsidR="00F926F5" w:rsidRPr="00E611C1">
          <w:rPr>
            <w:rStyle w:val="Hyperlink"/>
            <w:noProof/>
          </w:rPr>
          <w:t>5.7</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Drug use (illicit and the use of prescription drugs for non-medical purposes) in Transitioned ADF</w:t>
        </w:r>
        <w:r w:rsidR="00F926F5">
          <w:rPr>
            <w:noProof/>
          </w:rPr>
          <w:tab/>
        </w:r>
        <w:r w:rsidR="00F926F5">
          <w:rPr>
            <w:noProof/>
          </w:rPr>
          <w:fldChar w:fldCharType="begin"/>
        </w:r>
        <w:r w:rsidR="00F926F5">
          <w:rPr>
            <w:noProof/>
          </w:rPr>
          <w:instrText xml:space="preserve"> PAGEREF _Toc511900335 \h </w:instrText>
        </w:r>
        <w:r w:rsidR="00F926F5">
          <w:rPr>
            <w:noProof/>
          </w:rPr>
        </w:r>
        <w:r w:rsidR="00F926F5">
          <w:rPr>
            <w:noProof/>
          </w:rPr>
          <w:fldChar w:fldCharType="separate"/>
        </w:r>
        <w:r>
          <w:rPr>
            <w:noProof/>
          </w:rPr>
          <w:t>181</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36" w:history="1">
        <w:r w:rsidR="00F926F5" w:rsidRPr="00E611C1">
          <w:rPr>
            <w:rStyle w:val="Hyperlink"/>
            <w:noProof/>
          </w:rPr>
          <w:t>5.7.1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Drug use in different transition population subgroups</w:t>
        </w:r>
        <w:r w:rsidR="00F926F5">
          <w:rPr>
            <w:noProof/>
          </w:rPr>
          <w:tab/>
        </w:r>
        <w:r w:rsidR="00F926F5">
          <w:rPr>
            <w:noProof/>
          </w:rPr>
          <w:fldChar w:fldCharType="begin"/>
        </w:r>
        <w:r w:rsidR="00F926F5">
          <w:rPr>
            <w:noProof/>
          </w:rPr>
          <w:instrText xml:space="preserve"> PAGEREF _Toc511900336 \h </w:instrText>
        </w:r>
        <w:r w:rsidR="00F926F5">
          <w:rPr>
            <w:noProof/>
          </w:rPr>
        </w:r>
        <w:r w:rsidR="00F926F5">
          <w:rPr>
            <w:noProof/>
          </w:rPr>
          <w:fldChar w:fldCharType="separate"/>
        </w:r>
        <w:r>
          <w:rPr>
            <w:noProof/>
          </w:rPr>
          <w:t>182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37" w:history="1">
        <w:r w:rsidR="00F926F5" w:rsidRPr="00E611C1">
          <w:rPr>
            <w:rStyle w:val="Hyperlink"/>
            <w:noProof/>
          </w:rPr>
          <w:t>5.8</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Generalised anxiety (GAD-7)</w:t>
        </w:r>
        <w:r w:rsidR="00F926F5">
          <w:rPr>
            <w:noProof/>
          </w:rPr>
          <w:tab/>
        </w:r>
        <w:r w:rsidR="00F926F5">
          <w:rPr>
            <w:noProof/>
          </w:rPr>
          <w:fldChar w:fldCharType="begin"/>
        </w:r>
        <w:r w:rsidR="00F926F5">
          <w:rPr>
            <w:noProof/>
          </w:rPr>
          <w:instrText xml:space="preserve"> PAGEREF _Toc511900337 \h </w:instrText>
        </w:r>
        <w:r w:rsidR="00F926F5">
          <w:rPr>
            <w:noProof/>
          </w:rPr>
        </w:r>
        <w:r w:rsidR="00F926F5">
          <w:rPr>
            <w:noProof/>
          </w:rPr>
          <w:fldChar w:fldCharType="separate"/>
        </w:r>
        <w:r>
          <w:rPr>
            <w:noProof/>
          </w:rPr>
          <w:t>185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38" w:history="1">
        <w:r w:rsidR="00F926F5" w:rsidRPr="00E611C1">
          <w:rPr>
            <w:rStyle w:val="Hyperlink"/>
            <w:noProof/>
          </w:rPr>
          <w:t>5.8.1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Generalised anxiety symptoms in Transitioned ADF and 2015 Regular ADF</w:t>
        </w:r>
        <w:r w:rsidR="00F926F5">
          <w:rPr>
            <w:noProof/>
          </w:rPr>
          <w:tab/>
        </w:r>
        <w:r w:rsidR="00F926F5">
          <w:rPr>
            <w:noProof/>
          </w:rPr>
          <w:fldChar w:fldCharType="begin"/>
        </w:r>
        <w:r w:rsidR="00F926F5">
          <w:rPr>
            <w:noProof/>
          </w:rPr>
          <w:instrText xml:space="preserve"> PAGEREF _Toc511900338 \h </w:instrText>
        </w:r>
        <w:r w:rsidR="00F926F5">
          <w:rPr>
            <w:noProof/>
          </w:rPr>
        </w:r>
        <w:r w:rsidR="00F926F5">
          <w:rPr>
            <w:noProof/>
          </w:rPr>
          <w:fldChar w:fldCharType="separate"/>
        </w:r>
        <w:r>
          <w:rPr>
            <w:noProof/>
          </w:rPr>
          <w:t>186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39" w:history="1">
        <w:r w:rsidR="00F926F5" w:rsidRPr="00E611C1">
          <w:rPr>
            <w:rStyle w:val="Hyperlink"/>
            <w:rFonts w:eastAsia="Times New Roman"/>
            <w:noProof/>
          </w:rPr>
          <w:t>5.8.2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Generalised anxiety symptoms in different transition population subgroups</w:t>
        </w:r>
        <w:r w:rsidR="00F926F5">
          <w:rPr>
            <w:noProof/>
          </w:rPr>
          <w:tab/>
        </w:r>
        <w:r w:rsidR="00F926F5">
          <w:rPr>
            <w:noProof/>
          </w:rPr>
          <w:fldChar w:fldCharType="begin"/>
        </w:r>
        <w:r w:rsidR="00F926F5">
          <w:rPr>
            <w:noProof/>
          </w:rPr>
          <w:instrText xml:space="preserve"> PAGEREF _Toc511900339 \h </w:instrText>
        </w:r>
        <w:r w:rsidR="00F926F5">
          <w:rPr>
            <w:noProof/>
          </w:rPr>
        </w:r>
        <w:r w:rsidR="00F926F5">
          <w:rPr>
            <w:noProof/>
          </w:rPr>
          <w:fldChar w:fldCharType="separate"/>
        </w:r>
        <w:r>
          <w:rPr>
            <w:noProof/>
          </w:rPr>
          <w:t>187</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40" w:history="1">
        <w:r w:rsidR="00F926F5" w:rsidRPr="00E611C1">
          <w:rPr>
            <w:rStyle w:val="Hyperlink"/>
            <w:noProof/>
          </w:rPr>
          <w:t>5.9</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Deployment exposures</w:t>
        </w:r>
        <w:r w:rsidR="00F926F5">
          <w:rPr>
            <w:noProof/>
          </w:rPr>
          <w:tab/>
        </w:r>
        <w:r w:rsidR="00F926F5">
          <w:rPr>
            <w:noProof/>
          </w:rPr>
          <w:fldChar w:fldCharType="begin"/>
        </w:r>
        <w:r w:rsidR="00F926F5">
          <w:rPr>
            <w:noProof/>
          </w:rPr>
          <w:instrText xml:space="preserve"> PAGEREF _Toc511900340 \h </w:instrText>
        </w:r>
        <w:r w:rsidR="00F926F5">
          <w:rPr>
            <w:noProof/>
          </w:rPr>
        </w:r>
        <w:r w:rsidR="00F926F5">
          <w:rPr>
            <w:noProof/>
          </w:rPr>
          <w:fldChar w:fldCharType="separate"/>
        </w:r>
        <w:r>
          <w:rPr>
            <w:noProof/>
          </w:rPr>
          <w:t>190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41" w:history="1">
        <w:r w:rsidR="00F926F5" w:rsidRPr="00E611C1">
          <w:rPr>
            <w:rStyle w:val="Hyperlink"/>
            <w:noProof/>
          </w:rPr>
          <w:t>5.9.1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Deployment exposures in Transitioned ADF and 2015 Regular ADF</w:t>
        </w:r>
        <w:r w:rsidR="00F926F5">
          <w:rPr>
            <w:noProof/>
          </w:rPr>
          <w:tab/>
        </w:r>
        <w:r w:rsidR="00F926F5">
          <w:rPr>
            <w:noProof/>
          </w:rPr>
          <w:fldChar w:fldCharType="begin"/>
        </w:r>
        <w:r w:rsidR="00F926F5">
          <w:rPr>
            <w:noProof/>
          </w:rPr>
          <w:instrText xml:space="preserve"> PAGEREF _Toc511900341 \h </w:instrText>
        </w:r>
        <w:r w:rsidR="00F926F5">
          <w:rPr>
            <w:noProof/>
          </w:rPr>
        </w:r>
        <w:r w:rsidR="00F926F5">
          <w:rPr>
            <w:noProof/>
          </w:rPr>
          <w:fldChar w:fldCharType="separate"/>
        </w:r>
        <w:r>
          <w:rPr>
            <w:noProof/>
          </w:rPr>
          <w:t>191</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42" w:history="1">
        <w:r w:rsidR="00F926F5" w:rsidRPr="00E611C1">
          <w:rPr>
            <w:rStyle w:val="Hyperlink"/>
            <w:smallCaps/>
            <w:noProof/>
          </w:rPr>
          <w:t>5.10</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Self-reported lifetime trauma</w:t>
        </w:r>
        <w:r w:rsidR="00F926F5">
          <w:rPr>
            <w:noProof/>
          </w:rPr>
          <w:tab/>
        </w:r>
        <w:r w:rsidR="00F926F5">
          <w:rPr>
            <w:noProof/>
          </w:rPr>
          <w:fldChar w:fldCharType="begin"/>
        </w:r>
        <w:r w:rsidR="00F926F5">
          <w:rPr>
            <w:noProof/>
          </w:rPr>
          <w:instrText xml:space="preserve"> PAGEREF _Toc511900342 \h </w:instrText>
        </w:r>
        <w:r w:rsidR="00F926F5">
          <w:rPr>
            <w:noProof/>
          </w:rPr>
        </w:r>
        <w:r w:rsidR="00F926F5">
          <w:rPr>
            <w:noProof/>
          </w:rPr>
          <w:fldChar w:fldCharType="separate"/>
        </w:r>
        <w:r>
          <w:rPr>
            <w:noProof/>
          </w:rPr>
          <w:t>194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43" w:history="1">
        <w:r w:rsidR="00F926F5" w:rsidRPr="00E611C1">
          <w:rPr>
            <w:rStyle w:val="Hyperlink"/>
            <w:noProof/>
          </w:rPr>
          <w:t>5.10.1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Lifetime trauma exposure in Transitioned ADF and the 2015 Regular ADF</w:t>
        </w:r>
        <w:r w:rsidR="00F926F5">
          <w:rPr>
            <w:noProof/>
          </w:rPr>
          <w:tab/>
        </w:r>
        <w:r w:rsidR="00F926F5">
          <w:rPr>
            <w:noProof/>
          </w:rPr>
          <w:fldChar w:fldCharType="begin"/>
        </w:r>
        <w:r w:rsidR="00F926F5">
          <w:rPr>
            <w:noProof/>
          </w:rPr>
          <w:instrText xml:space="preserve"> PAGEREF _Toc511900343 \h </w:instrText>
        </w:r>
        <w:r w:rsidR="00F926F5">
          <w:rPr>
            <w:noProof/>
          </w:rPr>
        </w:r>
        <w:r w:rsidR="00F926F5">
          <w:rPr>
            <w:noProof/>
          </w:rPr>
          <w:fldChar w:fldCharType="separate"/>
        </w:r>
        <w:r>
          <w:rPr>
            <w:noProof/>
          </w:rPr>
          <w:t>194</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44" w:history="1">
        <w:r w:rsidR="00F926F5" w:rsidRPr="00E611C1">
          <w:rPr>
            <w:rStyle w:val="Hyperlink"/>
          </w:rPr>
          <w:t>6</w:t>
        </w:r>
        <w:r w:rsidR="00F926F5">
          <w:rPr>
            <w:rFonts w:asciiTheme="minorHAnsi" w:eastAsiaTheme="minorEastAsia" w:hAnsiTheme="minorHAnsi" w:cstheme="minorBidi"/>
            <w:b w:val="0"/>
            <w:color w:val="auto"/>
            <w:sz w:val="22"/>
            <w:szCs w:val="22"/>
            <w:lang w:eastAsia="en-AU"/>
          </w:rPr>
          <w:tab/>
        </w:r>
        <w:r w:rsidR="00F926F5" w:rsidRPr="00E611C1">
          <w:rPr>
            <w:rStyle w:val="Hyperlink"/>
          </w:rPr>
          <w:t>Comparison of the mental health of Transitioned ADF with the Australian Community in 2015</w:t>
        </w:r>
        <w:r w:rsidR="00F926F5">
          <w:tab/>
        </w:r>
        <w:r w:rsidR="00F926F5">
          <w:fldChar w:fldCharType="begin"/>
        </w:r>
        <w:r w:rsidR="00F926F5">
          <w:instrText xml:space="preserve"> PAGEREF _Toc511900344 \h </w:instrText>
        </w:r>
        <w:r w:rsidR="00F926F5">
          <w:fldChar w:fldCharType="separate"/>
        </w:r>
        <w:r>
          <w:t>199</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45" w:history="1">
        <w:r w:rsidR="00F926F5" w:rsidRPr="00E611C1">
          <w:rPr>
            <w:rStyle w:val="Hyperlink"/>
            <w:noProof/>
          </w:rPr>
          <w:t>6.1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(K10) in Transitioned ADF compared to the Australian Community in 2015</w:t>
        </w:r>
        <w:r w:rsidR="00F926F5">
          <w:rPr>
            <w:noProof/>
          </w:rPr>
          <w:tab/>
        </w:r>
        <w:r w:rsidR="00F926F5">
          <w:rPr>
            <w:noProof/>
          </w:rPr>
          <w:fldChar w:fldCharType="begin"/>
        </w:r>
        <w:r w:rsidR="00F926F5">
          <w:rPr>
            <w:noProof/>
          </w:rPr>
          <w:instrText xml:space="preserve"> PAGEREF _Toc511900345 \h </w:instrText>
        </w:r>
        <w:r w:rsidR="00F926F5">
          <w:rPr>
            <w:noProof/>
          </w:rPr>
        </w:r>
        <w:r w:rsidR="00F926F5">
          <w:rPr>
            <w:noProof/>
          </w:rPr>
          <w:fldChar w:fldCharType="separate"/>
        </w:r>
        <w:r>
          <w:rPr>
            <w:noProof/>
          </w:rPr>
          <w:t>201</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46" w:history="1">
        <w:r w:rsidR="00F926F5" w:rsidRPr="00E611C1">
          <w:rPr>
            <w:rStyle w:val="Hyperlink"/>
            <w:noProof/>
          </w:rPr>
          <w:t>6.1.1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in the Transitioned ADF compared to the Australian Community</w:t>
        </w:r>
        <w:r w:rsidR="00F926F5">
          <w:rPr>
            <w:noProof/>
          </w:rPr>
          <w:tab/>
        </w:r>
        <w:r w:rsidR="00F926F5">
          <w:rPr>
            <w:noProof/>
          </w:rPr>
          <w:fldChar w:fldCharType="begin"/>
        </w:r>
        <w:r w:rsidR="00F926F5">
          <w:rPr>
            <w:noProof/>
          </w:rPr>
          <w:instrText xml:space="preserve"> PAGEREF _Toc511900346 \h </w:instrText>
        </w:r>
        <w:r w:rsidR="00F926F5">
          <w:rPr>
            <w:noProof/>
          </w:rPr>
        </w:r>
        <w:r w:rsidR="00F926F5">
          <w:rPr>
            <w:noProof/>
          </w:rPr>
          <w:fldChar w:fldCharType="separate"/>
        </w:r>
        <w:r>
          <w:rPr>
            <w:noProof/>
          </w:rPr>
          <w:t>202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47" w:history="1">
        <w:r w:rsidR="00F926F5" w:rsidRPr="00E611C1">
          <w:rPr>
            <w:rStyle w:val="Hyperlink"/>
            <w:noProof/>
          </w:rPr>
          <w:t>6.1.2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by sex</w:t>
        </w:r>
        <w:r w:rsidR="00F926F5">
          <w:rPr>
            <w:noProof/>
          </w:rPr>
          <w:tab/>
        </w:r>
        <w:r w:rsidR="00F926F5">
          <w:rPr>
            <w:noProof/>
          </w:rPr>
          <w:fldChar w:fldCharType="begin"/>
        </w:r>
        <w:r w:rsidR="00F926F5">
          <w:rPr>
            <w:noProof/>
          </w:rPr>
          <w:instrText xml:space="preserve"> PAGEREF _Toc511900347 \h </w:instrText>
        </w:r>
        <w:r w:rsidR="00F926F5">
          <w:rPr>
            <w:noProof/>
          </w:rPr>
        </w:r>
        <w:r w:rsidR="00F926F5">
          <w:rPr>
            <w:noProof/>
          </w:rPr>
          <w:fldChar w:fldCharType="separate"/>
        </w:r>
        <w:r>
          <w:rPr>
            <w:noProof/>
          </w:rPr>
          <w:t>203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48" w:history="1">
        <w:r w:rsidR="00F926F5" w:rsidRPr="00E611C1">
          <w:rPr>
            <w:rStyle w:val="Hyperlink"/>
            <w:noProof/>
          </w:rPr>
          <w:t>6.1.3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 by age</w:t>
        </w:r>
        <w:r w:rsidR="00F926F5">
          <w:rPr>
            <w:noProof/>
          </w:rPr>
          <w:tab/>
        </w:r>
        <w:r w:rsidR="00F926F5">
          <w:rPr>
            <w:noProof/>
          </w:rPr>
          <w:fldChar w:fldCharType="begin"/>
        </w:r>
        <w:r w:rsidR="00F926F5">
          <w:rPr>
            <w:noProof/>
          </w:rPr>
          <w:instrText xml:space="preserve"> PAGEREF _Toc511900348 \h </w:instrText>
        </w:r>
        <w:r w:rsidR="00F926F5">
          <w:rPr>
            <w:noProof/>
          </w:rPr>
        </w:r>
        <w:r w:rsidR="00F926F5">
          <w:rPr>
            <w:noProof/>
          </w:rPr>
          <w:fldChar w:fldCharType="separate"/>
        </w:r>
        <w:r>
          <w:rPr>
            <w:noProof/>
          </w:rPr>
          <w:t>204</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49" w:history="1">
        <w:r w:rsidR="00F926F5" w:rsidRPr="00E611C1">
          <w:rPr>
            <w:rStyle w:val="Hyperlink"/>
            <w:noProof/>
          </w:rPr>
          <w:t>6.2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Alcohol use and problem drinking in the Transitioned ADF compared to the Australian Community in 2015</w:t>
        </w:r>
        <w:r w:rsidR="00F926F5">
          <w:rPr>
            <w:noProof/>
          </w:rPr>
          <w:tab/>
        </w:r>
        <w:r w:rsidR="00F926F5">
          <w:rPr>
            <w:noProof/>
          </w:rPr>
          <w:fldChar w:fldCharType="begin"/>
        </w:r>
        <w:r w:rsidR="00F926F5">
          <w:rPr>
            <w:noProof/>
          </w:rPr>
          <w:instrText xml:space="preserve"> PAGEREF _Toc511900349 \h </w:instrText>
        </w:r>
        <w:r w:rsidR="00F926F5">
          <w:rPr>
            <w:noProof/>
          </w:rPr>
        </w:r>
        <w:r w:rsidR="00F926F5">
          <w:rPr>
            <w:noProof/>
          </w:rPr>
          <w:fldChar w:fldCharType="separate"/>
        </w:r>
        <w:r>
          <w:rPr>
            <w:noProof/>
          </w:rPr>
          <w:t>208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0" w:history="1">
        <w:r w:rsidR="00F926F5" w:rsidRPr="00E611C1">
          <w:rPr>
            <w:rStyle w:val="Hyperlink"/>
            <w:noProof/>
          </w:rPr>
          <w:t>6.2.1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Frequency of alcohol consumption in the last 12 months in the Transitioned ADF compared to the Australian Community</w:t>
        </w:r>
        <w:r w:rsidR="00F926F5">
          <w:rPr>
            <w:noProof/>
          </w:rPr>
          <w:tab/>
        </w:r>
        <w:r w:rsidR="00F926F5">
          <w:rPr>
            <w:noProof/>
          </w:rPr>
          <w:fldChar w:fldCharType="begin"/>
        </w:r>
        <w:r w:rsidR="00F926F5">
          <w:rPr>
            <w:noProof/>
          </w:rPr>
          <w:instrText xml:space="preserve"> PAGEREF _Toc511900350 \h </w:instrText>
        </w:r>
        <w:r w:rsidR="00F926F5">
          <w:rPr>
            <w:noProof/>
          </w:rPr>
        </w:r>
        <w:r w:rsidR="00F926F5">
          <w:rPr>
            <w:noProof/>
          </w:rPr>
          <w:fldChar w:fldCharType="separate"/>
        </w:r>
        <w:r>
          <w:rPr>
            <w:noProof/>
          </w:rPr>
          <w:t>210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1" w:history="1">
        <w:r w:rsidR="00F926F5" w:rsidRPr="00E611C1">
          <w:rPr>
            <w:rStyle w:val="Hyperlink"/>
            <w:noProof/>
          </w:rPr>
          <w:t>6.2.2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Maximum number of standard alcoholic drinks consumed on a single occasion in the last 12 months in the Transitioned ADF compared to the Australian Community</w:t>
        </w:r>
        <w:r w:rsidR="00F926F5">
          <w:rPr>
            <w:noProof/>
          </w:rPr>
          <w:tab/>
        </w:r>
        <w:r w:rsidR="00F926F5">
          <w:rPr>
            <w:noProof/>
          </w:rPr>
          <w:fldChar w:fldCharType="begin"/>
        </w:r>
        <w:r w:rsidR="00F926F5">
          <w:rPr>
            <w:noProof/>
          </w:rPr>
          <w:instrText xml:space="preserve"> PAGEREF _Toc511900351 \h </w:instrText>
        </w:r>
        <w:r w:rsidR="00F926F5">
          <w:rPr>
            <w:noProof/>
          </w:rPr>
        </w:r>
        <w:r w:rsidR="00F926F5">
          <w:rPr>
            <w:noProof/>
          </w:rPr>
          <w:fldChar w:fldCharType="separate"/>
        </w:r>
        <w:r>
          <w:rPr>
            <w:noProof/>
          </w:rPr>
          <w:t>211</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2" w:history="1">
        <w:r w:rsidR="00F926F5" w:rsidRPr="00E611C1">
          <w:rPr>
            <w:rStyle w:val="Hyperlink"/>
            <w:noProof/>
          </w:rPr>
          <w:t>6.2.3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Frequency of alcohol consumption in last 12 months in the Transitioned ADF compared to the Australian Community, by sex</w:t>
        </w:r>
        <w:r w:rsidR="00F926F5">
          <w:rPr>
            <w:noProof/>
          </w:rPr>
          <w:tab/>
        </w:r>
        <w:r w:rsidR="00F926F5">
          <w:rPr>
            <w:noProof/>
          </w:rPr>
          <w:fldChar w:fldCharType="begin"/>
        </w:r>
        <w:r w:rsidR="00F926F5">
          <w:rPr>
            <w:noProof/>
          </w:rPr>
          <w:instrText xml:space="preserve"> PAGEREF _Toc511900352 \h </w:instrText>
        </w:r>
        <w:r w:rsidR="00F926F5">
          <w:rPr>
            <w:noProof/>
          </w:rPr>
        </w:r>
        <w:r w:rsidR="00F926F5">
          <w:rPr>
            <w:noProof/>
          </w:rPr>
          <w:fldChar w:fldCharType="separate"/>
        </w:r>
        <w:r>
          <w:rPr>
            <w:noProof/>
          </w:rPr>
          <w:t>212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3" w:history="1">
        <w:r w:rsidR="00F926F5" w:rsidRPr="00E611C1">
          <w:rPr>
            <w:rStyle w:val="Hyperlink"/>
            <w:noProof/>
          </w:rPr>
          <w:t>6.2.4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Maximum number of standard alcoholic drinks consumed on a single occasion in the last 12 months in Transitioned ADF compared to Australian Community, by sex</w:t>
        </w:r>
        <w:r w:rsidR="00F926F5">
          <w:rPr>
            <w:noProof/>
          </w:rPr>
          <w:tab/>
        </w:r>
        <w:r w:rsidR="00F926F5">
          <w:rPr>
            <w:noProof/>
          </w:rPr>
          <w:fldChar w:fldCharType="begin"/>
        </w:r>
        <w:r w:rsidR="00F926F5">
          <w:rPr>
            <w:noProof/>
          </w:rPr>
          <w:instrText xml:space="preserve"> PAGEREF _Toc511900353 \h </w:instrText>
        </w:r>
        <w:r w:rsidR="00F926F5">
          <w:rPr>
            <w:noProof/>
          </w:rPr>
        </w:r>
        <w:r w:rsidR="00F926F5">
          <w:rPr>
            <w:noProof/>
          </w:rPr>
          <w:fldChar w:fldCharType="separate"/>
        </w:r>
        <w:r>
          <w:rPr>
            <w:noProof/>
          </w:rPr>
          <w:t>214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4" w:history="1">
        <w:r w:rsidR="00F926F5" w:rsidRPr="00E611C1">
          <w:rPr>
            <w:rStyle w:val="Hyperlink"/>
            <w:noProof/>
          </w:rPr>
          <w:t>6.2.5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Frequency of alcohol consumption in the last 12 months in the Transitioned ADF compared to the Australian Community, by age</w:t>
        </w:r>
        <w:r w:rsidR="00F926F5">
          <w:rPr>
            <w:noProof/>
          </w:rPr>
          <w:tab/>
        </w:r>
        <w:r w:rsidR="00F926F5">
          <w:rPr>
            <w:noProof/>
          </w:rPr>
          <w:fldChar w:fldCharType="begin"/>
        </w:r>
        <w:r w:rsidR="00F926F5">
          <w:rPr>
            <w:noProof/>
          </w:rPr>
          <w:instrText xml:space="preserve"> PAGEREF _Toc511900354 \h </w:instrText>
        </w:r>
        <w:r w:rsidR="00F926F5">
          <w:rPr>
            <w:noProof/>
          </w:rPr>
        </w:r>
        <w:r w:rsidR="00F926F5">
          <w:rPr>
            <w:noProof/>
          </w:rPr>
          <w:fldChar w:fldCharType="separate"/>
        </w:r>
        <w:r>
          <w:rPr>
            <w:noProof/>
          </w:rPr>
          <w:t>216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5" w:history="1">
        <w:r w:rsidR="00F926F5" w:rsidRPr="00E611C1">
          <w:rPr>
            <w:rStyle w:val="Hyperlink"/>
            <w:noProof/>
          </w:rPr>
          <w:t>6.2.6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Maximum number of standard alcoholic drinks consumed on a single occasion in the last 12 months in the Transitioned ADF compared to the Australian Community, by age</w:t>
        </w:r>
        <w:r w:rsidR="00F926F5">
          <w:rPr>
            <w:noProof/>
          </w:rPr>
          <w:tab/>
        </w:r>
        <w:r w:rsidR="00F926F5">
          <w:rPr>
            <w:noProof/>
          </w:rPr>
          <w:fldChar w:fldCharType="begin"/>
        </w:r>
        <w:r w:rsidR="00F926F5">
          <w:rPr>
            <w:noProof/>
          </w:rPr>
          <w:instrText xml:space="preserve"> PAGEREF _Toc511900355 \h </w:instrText>
        </w:r>
        <w:r w:rsidR="00F926F5">
          <w:rPr>
            <w:noProof/>
          </w:rPr>
        </w:r>
        <w:r w:rsidR="00F926F5">
          <w:rPr>
            <w:noProof/>
          </w:rPr>
          <w:fldChar w:fldCharType="separate"/>
        </w:r>
        <w:r>
          <w:rPr>
            <w:noProof/>
          </w:rPr>
          <w:t>216</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56" w:history="1">
        <w:r w:rsidR="00F926F5" w:rsidRPr="00E611C1">
          <w:rPr>
            <w:rStyle w:val="Hyperlink"/>
          </w:rPr>
          <w:t>7</w:t>
        </w:r>
        <w:r w:rsidR="00F926F5">
          <w:rPr>
            <w:rFonts w:asciiTheme="minorHAnsi" w:eastAsiaTheme="minorEastAsia" w:hAnsiTheme="minorHAnsi" w:cstheme="minorBidi"/>
            <w:b w:val="0"/>
            <w:color w:val="auto"/>
            <w:sz w:val="22"/>
            <w:szCs w:val="22"/>
            <w:lang w:eastAsia="en-AU"/>
          </w:rPr>
          <w:tab/>
        </w:r>
        <w:r w:rsidR="00F926F5" w:rsidRPr="00E611C1">
          <w:rPr>
            <w:rStyle w:val="Hyperlink"/>
          </w:rPr>
          <w:t>Discussion</w:t>
        </w:r>
        <w:r w:rsidR="00F926F5">
          <w:tab/>
        </w:r>
        <w:r w:rsidR="00F926F5">
          <w:fldChar w:fldCharType="begin"/>
        </w:r>
        <w:r w:rsidR="00F926F5">
          <w:instrText xml:space="preserve"> PAGEREF _Toc511900356 \h </w:instrText>
        </w:r>
        <w:r w:rsidR="00F926F5">
          <w:fldChar w:fldCharType="separate"/>
        </w:r>
        <w:r>
          <w:t>221</w:t>
        </w:r>
        <w:r w:rsidR="00F926F5">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57" w:history="1">
        <w:r w:rsidR="00F926F5" w:rsidRPr="00E611C1">
          <w:rPr>
            <w:rStyle w:val="Hyperlink"/>
            <w:noProof/>
          </w:rPr>
          <w:t>7.1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The Transitioned ADF</w:t>
        </w:r>
        <w:r w:rsidR="00F926F5">
          <w:rPr>
            <w:noProof/>
          </w:rPr>
          <w:tab/>
        </w:r>
        <w:r w:rsidR="00F926F5">
          <w:rPr>
            <w:noProof/>
          </w:rPr>
          <w:fldChar w:fldCharType="begin"/>
        </w:r>
        <w:r w:rsidR="00F926F5">
          <w:rPr>
            <w:noProof/>
          </w:rPr>
          <w:instrText xml:space="preserve"> PAGEREF _Toc511900357 \h </w:instrText>
        </w:r>
        <w:r w:rsidR="00F926F5">
          <w:rPr>
            <w:noProof/>
          </w:rPr>
        </w:r>
        <w:r w:rsidR="00F926F5">
          <w:rPr>
            <w:noProof/>
          </w:rPr>
          <w:fldChar w:fldCharType="separate"/>
        </w:r>
        <w:r>
          <w:rPr>
            <w:noProof/>
          </w:rPr>
          <w:t>222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8" w:history="1">
        <w:r w:rsidR="00F926F5" w:rsidRPr="00E611C1">
          <w:rPr>
            <w:rStyle w:val="Hyperlink"/>
            <w:noProof/>
            <w:lang w:eastAsia="en-AU"/>
          </w:rPr>
          <w:t>7.1.1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lang w:eastAsia="en-AU"/>
          </w:rPr>
          <w:t>Socio-demographic characteristics</w:t>
        </w:r>
        <w:r w:rsidR="00F926F5">
          <w:rPr>
            <w:noProof/>
          </w:rPr>
          <w:tab/>
        </w:r>
        <w:r w:rsidR="00F926F5">
          <w:rPr>
            <w:noProof/>
          </w:rPr>
          <w:fldChar w:fldCharType="begin"/>
        </w:r>
        <w:r w:rsidR="00F926F5">
          <w:rPr>
            <w:noProof/>
          </w:rPr>
          <w:instrText xml:space="preserve"> PAGEREF _Toc511900358 \h </w:instrText>
        </w:r>
        <w:r w:rsidR="00F926F5">
          <w:rPr>
            <w:noProof/>
          </w:rPr>
        </w:r>
        <w:r w:rsidR="00F926F5">
          <w:rPr>
            <w:noProof/>
          </w:rPr>
          <w:fldChar w:fldCharType="separate"/>
        </w:r>
        <w:r>
          <w:rPr>
            <w:noProof/>
          </w:rPr>
          <w:t>222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59" w:history="1">
        <w:r w:rsidR="00F926F5" w:rsidRPr="00E611C1">
          <w:rPr>
            <w:rStyle w:val="Hyperlink"/>
            <w:noProof/>
          </w:rPr>
          <w:t>7.1.2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The prevalence of ICD-10 mental disorder</w:t>
        </w:r>
        <w:r w:rsidR="00F926F5">
          <w:rPr>
            <w:noProof/>
          </w:rPr>
          <w:tab/>
        </w:r>
        <w:r w:rsidR="00F926F5">
          <w:rPr>
            <w:noProof/>
          </w:rPr>
          <w:fldChar w:fldCharType="begin"/>
        </w:r>
        <w:r w:rsidR="00F926F5">
          <w:rPr>
            <w:noProof/>
          </w:rPr>
          <w:instrText xml:space="preserve"> PAGEREF _Toc511900359 \h </w:instrText>
        </w:r>
        <w:r w:rsidR="00F926F5">
          <w:rPr>
            <w:noProof/>
          </w:rPr>
        </w:r>
        <w:r w:rsidR="00F926F5">
          <w:rPr>
            <w:noProof/>
          </w:rPr>
          <w:fldChar w:fldCharType="separate"/>
        </w:r>
        <w:r>
          <w:rPr>
            <w:noProof/>
          </w:rPr>
          <w:t>224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0" w:history="1">
        <w:r w:rsidR="00F926F5" w:rsidRPr="00E611C1">
          <w:rPr>
            <w:rStyle w:val="Hyperlink"/>
            <w:noProof/>
          </w:rPr>
          <w:t>7.1.3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Anxiety disorders</w:t>
        </w:r>
        <w:r w:rsidR="00F926F5">
          <w:rPr>
            <w:noProof/>
          </w:rPr>
          <w:tab/>
        </w:r>
        <w:r w:rsidR="00F926F5">
          <w:rPr>
            <w:noProof/>
          </w:rPr>
          <w:fldChar w:fldCharType="begin"/>
        </w:r>
        <w:r w:rsidR="00F926F5">
          <w:rPr>
            <w:noProof/>
          </w:rPr>
          <w:instrText xml:space="preserve"> PAGEREF _Toc511900360 \h </w:instrText>
        </w:r>
        <w:r w:rsidR="00F926F5">
          <w:rPr>
            <w:noProof/>
          </w:rPr>
        </w:r>
        <w:r w:rsidR="00F926F5">
          <w:rPr>
            <w:noProof/>
          </w:rPr>
          <w:fldChar w:fldCharType="separate"/>
        </w:r>
        <w:r>
          <w:rPr>
            <w:noProof/>
          </w:rPr>
          <w:t>225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1" w:history="1">
        <w:r w:rsidR="00F926F5" w:rsidRPr="00E611C1">
          <w:rPr>
            <w:rStyle w:val="Hyperlink"/>
            <w:noProof/>
          </w:rPr>
          <w:t>7.1.4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Posttraumatic stress disorder</w:t>
        </w:r>
        <w:r w:rsidR="00F926F5">
          <w:rPr>
            <w:noProof/>
          </w:rPr>
          <w:tab/>
        </w:r>
        <w:r w:rsidR="00F926F5">
          <w:rPr>
            <w:noProof/>
          </w:rPr>
          <w:fldChar w:fldCharType="begin"/>
        </w:r>
        <w:r w:rsidR="00F926F5">
          <w:rPr>
            <w:noProof/>
          </w:rPr>
          <w:instrText xml:space="preserve"> PAGEREF _Toc511900361 \h </w:instrText>
        </w:r>
        <w:r w:rsidR="00F926F5">
          <w:rPr>
            <w:noProof/>
          </w:rPr>
        </w:r>
        <w:r w:rsidR="00F926F5">
          <w:rPr>
            <w:noProof/>
          </w:rPr>
          <w:fldChar w:fldCharType="separate"/>
        </w:r>
        <w:r>
          <w:rPr>
            <w:noProof/>
          </w:rPr>
          <w:t>227</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2" w:history="1">
        <w:r w:rsidR="00F926F5" w:rsidRPr="00E611C1">
          <w:rPr>
            <w:rStyle w:val="Hyperlink"/>
            <w:noProof/>
          </w:rPr>
          <w:t>7.1.5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Affective disorders</w:t>
        </w:r>
        <w:r w:rsidR="00F926F5">
          <w:rPr>
            <w:noProof/>
          </w:rPr>
          <w:tab/>
        </w:r>
        <w:r w:rsidR="00F926F5">
          <w:rPr>
            <w:noProof/>
          </w:rPr>
          <w:fldChar w:fldCharType="begin"/>
        </w:r>
        <w:r w:rsidR="00F926F5">
          <w:rPr>
            <w:noProof/>
          </w:rPr>
          <w:instrText xml:space="preserve"> PAGEREF _Toc511900362 \h </w:instrText>
        </w:r>
        <w:r w:rsidR="00F926F5">
          <w:rPr>
            <w:noProof/>
          </w:rPr>
        </w:r>
        <w:r w:rsidR="00F926F5">
          <w:rPr>
            <w:noProof/>
          </w:rPr>
          <w:fldChar w:fldCharType="separate"/>
        </w:r>
        <w:r>
          <w:rPr>
            <w:noProof/>
          </w:rPr>
          <w:t>228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3" w:history="1">
        <w:r w:rsidR="00F926F5" w:rsidRPr="00E611C1">
          <w:rPr>
            <w:rStyle w:val="Hyperlink"/>
            <w:noProof/>
          </w:rPr>
          <w:t>7.1.6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Alcohol disorders</w:t>
        </w:r>
        <w:r w:rsidR="00F926F5">
          <w:rPr>
            <w:noProof/>
          </w:rPr>
          <w:tab/>
        </w:r>
        <w:r w:rsidR="00F926F5">
          <w:rPr>
            <w:noProof/>
          </w:rPr>
          <w:fldChar w:fldCharType="begin"/>
        </w:r>
        <w:r w:rsidR="00F926F5">
          <w:rPr>
            <w:noProof/>
          </w:rPr>
          <w:instrText xml:space="preserve"> PAGEREF _Toc511900363 \h </w:instrText>
        </w:r>
        <w:r w:rsidR="00F926F5">
          <w:rPr>
            <w:noProof/>
          </w:rPr>
        </w:r>
        <w:r w:rsidR="00F926F5">
          <w:rPr>
            <w:noProof/>
          </w:rPr>
          <w:fldChar w:fldCharType="separate"/>
        </w:r>
        <w:r>
          <w:rPr>
            <w:noProof/>
          </w:rPr>
          <w:t>231</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4" w:history="1">
        <w:r w:rsidR="00F926F5" w:rsidRPr="00E611C1">
          <w:rPr>
            <w:rStyle w:val="Hyperlink"/>
            <w:noProof/>
          </w:rPr>
          <w:t>7.1.7</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Comorbidity</w:t>
        </w:r>
        <w:r w:rsidR="00F926F5">
          <w:rPr>
            <w:noProof/>
          </w:rPr>
          <w:tab/>
        </w:r>
        <w:r w:rsidR="00F926F5">
          <w:rPr>
            <w:noProof/>
          </w:rPr>
          <w:fldChar w:fldCharType="begin"/>
        </w:r>
        <w:r w:rsidR="00F926F5">
          <w:rPr>
            <w:noProof/>
          </w:rPr>
          <w:instrText xml:space="preserve"> PAGEREF _Toc511900364 \h </w:instrText>
        </w:r>
        <w:r w:rsidR="00F926F5">
          <w:rPr>
            <w:noProof/>
          </w:rPr>
        </w:r>
        <w:r w:rsidR="00F926F5">
          <w:rPr>
            <w:noProof/>
          </w:rPr>
          <w:fldChar w:fldCharType="separate"/>
        </w:r>
        <w:r>
          <w:rPr>
            <w:noProof/>
          </w:rPr>
          <w:t>232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5" w:history="1">
        <w:r w:rsidR="00F926F5" w:rsidRPr="00E611C1">
          <w:rPr>
            <w:rStyle w:val="Hyperlink"/>
            <w:noProof/>
          </w:rPr>
          <w:t>7.1.8</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w:t>
        </w:r>
        <w:r w:rsidR="00F926F5">
          <w:rPr>
            <w:noProof/>
          </w:rPr>
          <w:tab/>
        </w:r>
        <w:r w:rsidR="00F926F5">
          <w:rPr>
            <w:noProof/>
          </w:rPr>
          <w:fldChar w:fldCharType="begin"/>
        </w:r>
        <w:r w:rsidR="00F926F5">
          <w:rPr>
            <w:noProof/>
          </w:rPr>
          <w:instrText xml:space="preserve"> PAGEREF _Toc511900365 \h </w:instrText>
        </w:r>
        <w:r w:rsidR="00F926F5">
          <w:rPr>
            <w:noProof/>
          </w:rPr>
        </w:r>
        <w:r w:rsidR="00F926F5">
          <w:rPr>
            <w:noProof/>
          </w:rPr>
          <w:fldChar w:fldCharType="separate"/>
        </w:r>
        <w:r>
          <w:rPr>
            <w:noProof/>
          </w:rPr>
          <w:t>233</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6" w:history="1">
        <w:r w:rsidR="00F926F5" w:rsidRPr="00E611C1">
          <w:rPr>
            <w:rStyle w:val="Hyperlink"/>
            <w:noProof/>
          </w:rPr>
          <w:t>7.1.9</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Risk and protective factors for ICD-10 mental disorder and suicidality</w:t>
        </w:r>
        <w:r w:rsidR="00F926F5">
          <w:rPr>
            <w:noProof/>
          </w:rPr>
          <w:tab/>
        </w:r>
        <w:r w:rsidR="00F926F5">
          <w:rPr>
            <w:noProof/>
          </w:rPr>
          <w:fldChar w:fldCharType="begin"/>
        </w:r>
        <w:r w:rsidR="00F926F5">
          <w:rPr>
            <w:noProof/>
          </w:rPr>
          <w:instrText xml:space="preserve"> PAGEREF _Toc511900366 \h </w:instrText>
        </w:r>
        <w:r w:rsidR="00F926F5">
          <w:rPr>
            <w:noProof/>
          </w:rPr>
        </w:r>
        <w:r w:rsidR="00F926F5">
          <w:rPr>
            <w:noProof/>
          </w:rPr>
          <w:fldChar w:fldCharType="separate"/>
        </w:r>
        <w:r>
          <w:rPr>
            <w:noProof/>
          </w:rPr>
          <w:t>234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7" w:history="1">
        <w:r w:rsidR="00F926F5" w:rsidRPr="00E611C1">
          <w:rPr>
            <w:rStyle w:val="Hyperlink"/>
            <w:noProof/>
          </w:rPr>
          <w:t>7.1.10</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Demographic factors</w:t>
        </w:r>
        <w:r w:rsidR="00F926F5">
          <w:rPr>
            <w:noProof/>
          </w:rPr>
          <w:tab/>
        </w:r>
        <w:r w:rsidR="00F926F5">
          <w:rPr>
            <w:noProof/>
          </w:rPr>
          <w:fldChar w:fldCharType="begin"/>
        </w:r>
        <w:r w:rsidR="00F926F5">
          <w:rPr>
            <w:noProof/>
          </w:rPr>
          <w:instrText xml:space="preserve"> PAGEREF _Toc511900367 \h </w:instrText>
        </w:r>
        <w:r w:rsidR="00F926F5">
          <w:rPr>
            <w:noProof/>
          </w:rPr>
        </w:r>
        <w:r w:rsidR="00F926F5">
          <w:rPr>
            <w:noProof/>
          </w:rPr>
          <w:fldChar w:fldCharType="separate"/>
        </w:r>
        <w:r>
          <w:rPr>
            <w:noProof/>
          </w:rPr>
          <w:t>234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8" w:history="1">
        <w:r w:rsidR="00F926F5" w:rsidRPr="00E611C1">
          <w:rPr>
            <w:rStyle w:val="Hyperlink"/>
            <w:noProof/>
          </w:rPr>
          <w:t>7.1.11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Service factors</w:t>
        </w:r>
        <w:r w:rsidR="00F926F5">
          <w:rPr>
            <w:noProof/>
          </w:rPr>
          <w:tab/>
        </w:r>
        <w:r w:rsidR="00F926F5">
          <w:rPr>
            <w:noProof/>
          </w:rPr>
          <w:fldChar w:fldCharType="begin"/>
        </w:r>
        <w:r w:rsidR="00F926F5">
          <w:rPr>
            <w:noProof/>
          </w:rPr>
          <w:instrText xml:space="preserve"> PAGEREF _Toc511900368 \h </w:instrText>
        </w:r>
        <w:r w:rsidR="00F926F5">
          <w:rPr>
            <w:noProof/>
          </w:rPr>
        </w:r>
        <w:r w:rsidR="00F926F5">
          <w:rPr>
            <w:noProof/>
          </w:rPr>
          <w:fldChar w:fldCharType="separate"/>
        </w:r>
        <w:r>
          <w:rPr>
            <w:noProof/>
          </w:rPr>
          <w:t>234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69" w:history="1">
        <w:r w:rsidR="00F926F5" w:rsidRPr="00E611C1">
          <w:rPr>
            <w:rStyle w:val="Hyperlink"/>
            <w:noProof/>
          </w:rPr>
          <w:t>7.1.12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Transition factors</w:t>
        </w:r>
        <w:r w:rsidR="00F926F5">
          <w:rPr>
            <w:noProof/>
          </w:rPr>
          <w:tab/>
        </w:r>
        <w:r w:rsidR="00F926F5">
          <w:rPr>
            <w:noProof/>
          </w:rPr>
          <w:fldChar w:fldCharType="begin"/>
        </w:r>
        <w:r w:rsidR="00F926F5">
          <w:rPr>
            <w:noProof/>
          </w:rPr>
          <w:instrText xml:space="preserve"> PAGEREF _Toc511900369 \h </w:instrText>
        </w:r>
        <w:r w:rsidR="00F926F5">
          <w:rPr>
            <w:noProof/>
          </w:rPr>
        </w:r>
        <w:r w:rsidR="00F926F5">
          <w:rPr>
            <w:noProof/>
          </w:rPr>
          <w:fldChar w:fldCharType="separate"/>
        </w:r>
        <w:r>
          <w:rPr>
            <w:noProof/>
          </w:rPr>
          <w:t>236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0" w:history="1">
        <w:r w:rsidR="00F926F5" w:rsidRPr="00E611C1">
          <w:rPr>
            <w:rStyle w:val="Hyperlink"/>
            <w:noProof/>
          </w:rPr>
          <w:t>7.1.13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Risk and protective factors</w:t>
        </w:r>
        <w:r w:rsidR="00F926F5">
          <w:rPr>
            <w:noProof/>
          </w:rPr>
          <w:tab/>
        </w:r>
        <w:r w:rsidR="00F926F5">
          <w:rPr>
            <w:noProof/>
          </w:rPr>
          <w:fldChar w:fldCharType="begin"/>
        </w:r>
        <w:r w:rsidR="00F926F5">
          <w:rPr>
            <w:noProof/>
          </w:rPr>
          <w:instrText xml:space="preserve"> PAGEREF _Toc511900370 \h </w:instrText>
        </w:r>
        <w:r w:rsidR="00F926F5">
          <w:rPr>
            <w:noProof/>
          </w:rPr>
        </w:r>
        <w:r w:rsidR="00F926F5">
          <w:rPr>
            <w:noProof/>
          </w:rPr>
          <w:fldChar w:fldCharType="separate"/>
        </w:r>
        <w:r>
          <w:rPr>
            <w:noProof/>
          </w:rPr>
          <w:t>237</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1" w:history="1">
        <w:r w:rsidR="00F926F5" w:rsidRPr="00E611C1">
          <w:rPr>
            <w:rStyle w:val="Hyperlink"/>
            <w:noProof/>
          </w:rPr>
          <w:t>7.1.14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Comparisons with the 2010 ADF Mental Health Prevalence and Wellbeing Study</w:t>
        </w:r>
        <w:r w:rsidR="00F926F5">
          <w:rPr>
            <w:noProof/>
          </w:rPr>
          <w:tab/>
        </w:r>
        <w:r w:rsidR="00F926F5">
          <w:rPr>
            <w:noProof/>
          </w:rPr>
          <w:fldChar w:fldCharType="begin"/>
        </w:r>
        <w:r w:rsidR="00F926F5">
          <w:rPr>
            <w:noProof/>
          </w:rPr>
          <w:instrText xml:space="preserve"> PAGEREF _Toc511900371 \h </w:instrText>
        </w:r>
        <w:r w:rsidR="00F926F5">
          <w:rPr>
            <w:noProof/>
          </w:rPr>
        </w:r>
        <w:r w:rsidR="00F926F5">
          <w:rPr>
            <w:noProof/>
          </w:rPr>
          <w:fldChar w:fldCharType="separate"/>
        </w:r>
        <w:r>
          <w:rPr>
            <w:noProof/>
          </w:rPr>
          <w:t>238</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72" w:history="1">
        <w:r w:rsidR="00F926F5" w:rsidRPr="00E611C1">
          <w:rPr>
            <w:rStyle w:val="Hyperlink"/>
            <w:noProof/>
          </w:rPr>
          <w:t>7.2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The Transitioned ADF compared to the 2015 Regular ADF</w:t>
        </w:r>
        <w:r w:rsidR="00F926F5">
          <w:rPr>
            <w:noProof/>
          </w:rPr>
          <w:tab/>
        </w:r>
        <w:r w:rsidR="00F926F5">
          <w:rPr>
            <w:noProof/>
          </w:rPr>
          <w:fldChar w:fldCharType="begin"/>
        </w:r>
        <w:r w:rsidR="00F926F5">
          <w:rPr>
            <w:noProof/>
          </w:rPr>
          <w:instrText xml:space="preserve"> PAGEREF _Toc511900372 \h </w:instrText>
        </w:r>
        <w:r w:rsidR="00F926F5">
          <w:rPr>
            <w:noProof/>
          </w:rPr>
        </w:r>
        <w:r w:rsidR="00F926F5">
          <w:rPr>
            <w:noProof/>
          </w:rPr>
          <w:fldChar w:fldCharType="separate"/>
        </w:r>
        <w:r>
          <w:rPr>
            <w:noProof/>
          </w:rPr>
          <w:t>239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3" w:history="1">
        <w:r w:rsidR="00F926F5" w:rsidRPr="00E611C1">
          <w:rPr>
            <w:rStyle w:val="Hyperlink"/>
            <w:noProof/>
          </w:rPr>
          <w:t>7.2.1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The rationale for using self-report measures</w:t>
        </w:r>
        <w:r w:rsidR="00F926F5">
          <w:rPr>
            <w:noProof/>
          </w:rPr>
          <w:tab/>
        </w:r>
        <w:r w:rsidR="00F926F5">
          <w:rPr>
            <w:noProof/>
          </w:rPr>
          <w:fldChar w:fldCharType="begin"/>
        </w:r>
        <w:r w:rsidR="00F926F5">
          <w:rPr>
            <w:noProof/>
          </w:rPr>
          <w:instrText xml:space="preserve"> PAGEREF _Toc511900373 \h </w:instrText>
        </w:r>
        <w:r w:rsidR="00F926F5">
          <w:rPr>
            <w:noProof/>
          </w:rPr>
        </w:r>
        <w:r w:rsidR="00F926F5">
          <w:rPr>
            <w:noProof/>
          </w:rPr>
          <w:fldChar w:fldCharType="separate"/>
        </w:r>
        <w:r>
          <w:rPr>
            <w:noProof/>
          </w:rPr>
          <w:t>239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4" w:history="1">
        <w:r w:rsidR="00F926F5" w:rsidRPr="00E611C1">
          <w:rPr>
            <w:rStyle w:val="Hyperlink"/>
            <w:noProof/>
          </w:rPr>
          <w:t>7.2.2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Psychological distress</w:t>
        </w:r>
        <w:r w:rsidR="00F926F5">
          <w:rPr>
            <w:noProof/>
          </w:rPr>
          <w:tab/>
        </w:r>
        <w:r w:rsidR="00F926F5">
          <w:rPr>
            <w:noProof/>
          </w:rPr>
          <w:fldChar w:fldCharType="begin"/>
        </w:r>
        <w:r w:rsidR="00F926F5">
          <w:rPr>
            <w:noProof/>
          </w:rPr>
          <w:instrText xml:space="preserve"> PAGEREF _Toc511900374 \h </w:instrText>
        </w:r>
        <w:r w:rsidR="00F926F5">
          <w:rPr>
            <w:noProof/>
          </w:rPr>
        </w:r>
        <w:r w:rsidR="00F926F5">
          <w:rPr>
            <w:noProof/>
          </w:rPr>
          <w:fldChar w:fldCharType="separate"/>
        </w:r>
        <w:r>
          <w:rPr>
            <w:noProof/>
          </w:rPr>
          <w:t>240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5" w:history="1">
        <w:r w:rsidR="00F926F5" w:rsidRPr="00E611C1">
          <w:rPr>
            <w:rStyle w:val="Hyperlink"/>
            <w:noProof/>
          </w:rPr>
          <w:t>7.2.3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Posttraumatic stress symptoms</w:t>
        </w:r>
        <w:r w:rsidR="00F926F5">
          <w:rPr>
            <w:noProof/>
          </w:rPr>
          <w:tab/>
        </w:r>
        <w:r w:rsidR="00F926F5">
          <w:rPr>
            <w:noProof/>
          </w:rPr>
          <w:fldChar w:fldCharType="begin"/>
        </w:r>
        <w:r w:rsidR="00F926F5">
          <w:rPr>
            <w:noProof/>
          </w:rPr>
          <w:instrText xml:space="preserve"> PAGEREF _Toc511900375 \h </w:instrText>
        </w:r>
        <w:r w:rsidR="00F926F5">
          <w:rPr>
            <w:noProof/>
          </w:rPr>
        </w:r>
        <w:r w:rsidR="00F926F5">
          <w:rPr>
            <w:noProof/>
          </w:rPr>
          <w:fldChar w:fldCharType="separate"/>
        </w:r>
        <w:r>
          <w:rPr>
            <w:noProof/>
          </w:rPr>
          <w:t>242</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6" w:history="1">
        <w:r w:rsidR="00F926F5" w:rsidRPr="00E611C1">
          <w:rPr>
            <w:rStyle w:val="Hyperlink"/>
            <w:noProof/>
          </w:rPr>
          <w:t>7.2.4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Alcohol usage</w:t>
        </w:r>
        <w:r w:rsidR="00F926F5">
          <w:rPr>
            <w:noProof/>
          </w:rPr>
          <w:tab/>
        </w:r>
        <w:r w:rsidR="00F926F5">
          <w:rPr>
            <w:noProof/>
          </w:rPr>
          <w:fldChar w:fldCharType="begin"/>
        </w:r>
        <w:r w:rsidR="00F926F5">
          <w:rPr>
            <w:noProof/>
          </w:rPr>
          <w:instrText xml:space="preserve"> PAGEREF _Toc511900376 \h </w:instrText>
        </w:r>
        <w:r w:rsidR="00F926F5">
          <w:rPr>
            <w:noProof/>
          </w:rPr>
        </w:r>
        <w:r w:rsidR="00F926F5">
          <w:rPr>
            <w:noProof/>
          </w:rPr>
          <w:fldChar w:fldCharType="separate"/>
        </w:r>
        <w:r>
          <w:rPr>
            <w:noProof/>
          </w:rPr>
          <w:t>244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7" w:history="1">
        <w:r w:rsidR="00F926F5" w:rsidRPr="00E611C1">
          <w:rPr>
            <w:rStyle w:val="Hyperlink"/>
            <w:noProof/>
          </w:rPr>
          <w:t>7.2.5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Depressive symptoms</w:t>
        </w:r>
        <w:r w:rsidR="00F926F5">
          <w:rPr>
            <w:noProof/>
          </w:rPr>
          <w:tab/>
        </w:r>
        <w:r w:rsidR="00F926F5">
          <w:rPr>
            <w:noProof/>
          </w:rPr>
          <w:fldChar w:fldCharType="begin"/>
        </w:r>
        <w:r w:rsidR="00F926F5">
          <w:rPr>
            <w:noProof/>
          </w:rPr>
          <w:instrText xml:space="preserve"> PAGEREF _Toc511900377 \h </w:instrText>
        </w:r>
        <w:r w:rsidR="00F926F5">
          <w:rPr>
            <w:noProof/>
          </w:rPr>
        </w:r>
        <w:r w:rsidR="00F926F5">
          <w:rPr>
            <w:noProof/>
          </w:rPr>
          <w:fldChar w:fldCharType="separate"/>
        </w:r>
        <w:r>
          <w:rPr>
            <w:noProof/>
          </w:rPr>
          <w:t>245</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8" w:history="1">
        <w:r w:rsidR="00F926F5" w:rsidRPr="00E611C1">
          <w:rPr>
            <w:rStyle w:val="Hyperlink"/>
            <w:noProof/>
          </w:rPr>
          <w:t>7.2.6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Anger symptoms</w:t>
        </w:r>
        <w:r w:rsidR="00F926F5">
          <w:rPr>
            <w:noProof/>
          </w:rPr>
          <w:tab/>
        </w:r>
        <w:r w:rsidR="00F926F5">
          <w:rPr>
            <w:noProof/>
          </w:rPr>
          <w:fldChar w:fldCharType="begin"/>
        </w:r>
        <w:r w:rsidR="00F926F5">
          <w:rPr>
            <w:noProof/>
          </w:rPr>
          <w:instrText xml:space="preserve"> PAGEREF _Toc511900378 \h </w:instrText>
        </w:r>
        <w:r w:rsidR="00F926F5">
          <w:rPr>
            <w:noProof/>
          </w:rPr>
        </w:r>
        <w:r w:rsidR="00F926F5">
          <w:rPr>
            <w:noProof/>
          </w:rPr>
          <w:fldChar w:fldCharType="separate"/>
        </w:r>
        <w:r>
          <w:rPr>
            <w:noProof/>
          </w:rPr>
          <w:t>246</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79" w:history="1">
        <w:r w:rsidR="00F926F5" w:rsidRPr="00E611C1">
          <w:rPr>
            <w:rStyle w:val="Hyperlink"/>
            <w:noProof/>
          </w:rPr>
          <w:t>7.2.7</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Suicidality</w:t>
        </w:r>
        <w:r w:rsidR="00F926F5">
          <w:rPr>
            <w:noProof/>
          </w:rPr>
          <w:tab/>
        </w:r>
        <w:r w:rsidR="00F926F5">
          <w:rPr>
            <w:noProof/>
          </w:rPr>
          <w:fldChar w:fldCharType="begin"/>
        </w:r>
        <w:r w:rsidR="00F926F5">
          <w:rPr>
            <w:noProof/>
          </w:rPr>
          <w:instrText xml:space="preserve"> PAGEREF _Toc511900379 \h </w:instrText>
        </w:r>
        <w:r w:rsidR="00F926F5">
          <w:rPr>
            <w:noProof/>
          </w:rPr>
        </w:r>
        <w:r w:rsidR="00F926F5">
          <w:rPr>
            <w:noProof/>
          </w:rPr>
          <w:fldChar w:fldCharType="separate"/>
        </w:r>
        <w:r>
          <w:rPr>
            <w:noProof/>
          </w:rPr>
          <w:t>247</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80" w:history="1">
        <w:r w:rsidR="00F926F5" w:rsidRPr="00E611C1">
          <w:rPr>
            <w:rStyle w:val="Hyperlink"/>
            <w:noProof/>
          </w:rPr>
          <w:t>7.2.8</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Anxiety symptoms</w:t>
        </w:r>
        <w:r w:rsidR="00F926F5">
          <w:rPr>
            <w:noProof/>
          </w:rPr>
          <w:tab/>
        </w:r>
        <w:r w:rsidR="00F926F5">
          <w:rPr>
            <w:noProof/>
          </w:rPr>
          <w:fldChar w:fldCharType="begin"/>
        </w:r>
        <w:r w:rsidR="00F926F5">
          <w:rPr>
            <w:noProof/>
          </w:rPr>
          <w:instrText xml:space="preserve"> PAGEREF _Toc511900380 \h </w:instrText>
        </w:r>
        <w:r w:rsidR="00F926F5">
          <w:rPr>
            <w:noProof/>
          </w:rPr>
        </w:r>
        <w:r w:rsidR="00F926F5">
          <w:rPr>
            <w:noProof/>
          </w:rPr>
          <w:fldChar w:fldCharType="separate"/>
        </w:r>
        <w:r>
          <w:rPr>
            <w:noProof/>
          </w:rPr>
          <w:t>248</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81" w:history="1">
        <w:r w:rsidR="00F926F5" w:rsidRPr="00E611C1">
          <w:rPr>
            <w:rStyle w:val="Hyperlink"/>
            <w:noProof/>
          </w:rPr>
          <w:t>7.2.9</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Deployment and non-deployment traumatic exposures</w:t>
        </w:r>
        <w:r w:rsidR="00F926F5">
          <w:rPr>
            <w:noProof/>
          </w:rPr>
          <w:tab/>
        </w:r>
        <w:r w:rsidR="00F926F5">
          <w:rPr>
            <w:noProof/>
          </w:rPr>
          <w:fldChar w:fldCharType="begin"/>
        </w:r>
        <w:r w:rsidR="00F926F5">
          <w:rPr>
            <w:noProof/>
          </w:rPr>
          <w:instrText xml:space="preserve"> PAGEREF _Toc511900381 \h </w:instrText>
        </w:r>
        <w:r w:rsidR="00F926F5">
          <w:rPr>
            <w:noProof/>
          </w:rPr>
        </w:r>
        <w:r w:rsidR="00F926F5">
          <w:rPr>
            <w:noProof/>
          </w:rPr>
          <w:fldChar w:fldCharType="separate"/>
        </w:r>
        <w:r>
          <w:rPr>
            <w:noProof/>
          </w:rPr>
          <w:t>249</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82" w:history="1">
        <w:r w:rsidR="00F926F5" w:rsidRPr="00E611C1">
          <w:rPr>
            <w:rStyle w:val="Hyperlink"/>
            <w:noProof/>
          </w:rPr>
          <w:t>7.2.10</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Drug use in the Transitioned ADF</w:t>
        </w:r>
        <w:r w:rsidR="00F926F5">
          <w:rPr>
            <w:noProof/>
          </w:rPr>
          <w:tab/>
        </w:r>
        <w:r w:rsidR="00F926F5">
          <w:rPr>
            <w:noProof/>
          </w:rPr>
          <w:fldChar w:fldCharType="begin"/>
        </w:r>
        <w:r w:rsidR="00F926F5">
          <w:rPr>
            <w:noProof/>
          </w:rPr>
          <w:instrText xml:space="preserve"> PAGEREF _Toc511900382 \h </w:instrText>
        </w:r>
        <w:r w:rsidR="00F926F5">
          <w:rPr>
            <w:noProof/>
          </w:rPr>
        </w:r>
        <w:r w:rsidR="00F926F5">
          <w:rPr>
            <w:noProof/>
          </w:rPr>
          <w:fldChar w:fldCharType="separate"/>
        </w:r>
        <w:r>
          <w:rPr>
            <w:noProof/>
          </w:rPr>
          <w:t>250</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83" w:history="1">
        <w:r w:rsidR="00F926F5" w:rsidRPr="00E611C1">
          <w:rPr>
            <w:rStyle w:val="Hyperlink"/>
            <w:noProof/>
          </w:rPr>
          <w:t>7.2.11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Implications of the dimensional data analyses</w:t>
        </w:r>
        <w:r w:rsidR="00F926F5">
          <w:rPr>
            <w:noProof/>
          </w:rPr>
          <w:tab/>
        </w:r>
        <w:r w:rsidR="00F926F5">
          <w:rPr>
            <w:noProof/>
          </w:rPr>
          <w:fldChar w:fldCharType="begin"/>
        </w:r>
        <w:r w:rsidR="00F926F5">
          <w:rPr>
            <w:noProof/>
          </w:rPr>
          <w:instrText xml:space="preserve"> PAGEREF _Toc511900383 \h </w:instrText>
        </w:r>
        <w:r w:rsidR="00F926F5">
          <w:rPr>
            <w:noProof/>
          </w:rPr>
        </w:r>
        <w:r w:rsidR="00F926F5">
          <w:rPr>
            <w:noProof/>
          </w:rPr>
          <w:fldChar w:fldCharType="separate"/>
        </w:r>
        <w:r>
          <w:rPr>
            <w:noProof/>
          </w:rPr>
          <w:t>252</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84" w:history="1">
        <w:r w:rsidR="00F926F5" w:rsidRPr="00E611C1">
          <w:rPr>
            <w:rStyle w:val="Hyperlink"/>
            <w:noProof/>
          </w:rPr>
          <w:t>7.3</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The Transitioned ADF compared to the Australian Community</w:t>
        </w:r>
        <w:r w:rsidR="00F926F5">
          <w:rPr>
            <w:noProof/>
          </w:rPr>
          <w:tab/>
        </w:r>
        <w:r w:rsidR="00F926F5">
          <w:rPr>
            <w:noProof/>
          </w:rPr>
          <w:fldChar w:fldCharType="begin"/>
        </w:r>
        <w:r w:rsidR="00F926F5">
          <w:rPr>
            <w:noProof/>
          </w:rPr>
          <w:instrText xml:space="preserve"> PAGEREF _Toc511900384 \h </w:instrText>
        </w:r>
        <w:r w:rsidR="00F926F5">
          <w:rPr>
            <w:noProof/>
          </w:rPr>
        </w:r>
        <w:r w:rsidR="00F926F5">
          <w:rPr>
            <w:noProof/>
          </w:rPr>
          <w:fldChar w:fldCharType="separate"/>
        </w:r>
        <w:r>
          <w:rPr>
            <w:noProof/>
          </w:rPr>
          <w:t>253</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85" w:history="1">
        <w:r w:rsidR="00F926F5" w:rsidRPr="00E611C1">
          <w:rPr>
            <w:rStyle w:val="Hyperlink"/>
            <w:noProof/>
          </w:rPr>
          <w:t>7.4</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Strengths and limitations of the study</w:t>
        </w:r>
        <w:r w:rsidR="00F926F5">
          <w:rPr>
            <w:noProof/>
          </w:rPr>
          <w:tab/>
        </w:r>
        <w:r w:rsidR="00F926F5">
          <w:rPr>
            <w:noProof/>
          </w:rPr>
          <w:fldChar w:fldCharType="begin"/>
        </w:r>
        <w:r w:rsidR="00F926F5">
          <w:rPr>
            <w:noProof/>
          </w:rPr>
          <w:instrText xml:space="preserve"> PAGEREF _Toc511900385 \h </w:instrText>
        </w:r>
        <w:r w:rsidR="00F926F5">
          <w:rPr>
            <w:noProof/>
          </w:rPr>
        </w:r>
        <w:r w:rsidR="00F926F5">
          <w:rPr>
            <w:noProof/>
          </w:rPr>
          <w:fldChar w:fldCharType="separate"/>
        </w:r>
        <w:r>
          <w:rPr>
            <w:noProof/>
          </w:rPr>
          <w:t>254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86" w:history="1">
        <w:r w:rsidR="00F926F5" w:rsidRPr="00E611C1">
          <w:rPr>
            <w:rStyle w:val="Hyperlink"/>
            <w:noProof/>
          </w:rPr>
          <w:t>7.4.1</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lang w:eastAsia="en-AU"/>
          </w:rPr>
          <w:t>Limitations and caveats</w:t>
        </w:r>
        <w:r w:rsidR="00F926F5">
          <w:rPr>
            <w:noProof/>
          </w:rPr>
          <w:tab/>
        </w:r>
        <w:r w:rsidR="00F926F5">
          <w:rPr>
            <w:noProof/>
          </w:rPr>
          <w:fldChar w:fldCharType="begin"/>
        </w:r>
        <w:r w:rsidR="00F926F5">
          <w:rPr>
            <w:noProof/>
          </w:rPr>
          <w:instrText xml:space="preserve"> PAGEREF _Toc511900386 \h </w:instrText>
        </w:r>
        <w:r w:rsidR="00F926F5">
          <w:rPr>
            <w:noProof/>
          </w:rPr>
        </w:r>
        <w:r w:rsidR="00F926F5">
          <w:rPr>
            <w:noProof/>
          </w:rPr>
          <w:fldChar w:fldCharType="separate"/>
        </w:r>
        <w:r>
          <w:rPr>
            <w:noProof/>
          </w:rPr>
          <w:t>254</w:t>
        </w:r>
        <w:r w:rsidR="00F926F5">
          <w:rPr>
            <w:noProof/>
          </w:rPr>
          <w:fldChar w:fldCharType="end"/>
        </w:r>
      </w:hyperlink>
    </w:p>
    <w:p w:rsidR="00F926F5" w:rsidRDefault="006E0148">
      <w:pPr>
        <w:pStyle w:val="TOC3"/>
        <w:rPr>
          <w:rFonts w:asciiTheme="minorHAnsi" w:eastAsiaTheme="minorEastAsia" w:hAnsiTheme="minorHAnsi" w:cstheme="minorBidi"/>
          <w:noProof/>
          <w:color w:val="auto"/>
          <w:sz w:val="22"/>
          <w:szCs w:val="22"/>
          <w:lang w:eastAsia="en-AU"/>
        </w:rPr>
      </w:pPr>
      <w:hyperlink w:anchor="_Toc511900387" w:history="1">
        <w:r w:rsidR="00F926F5" w:rsidRPr="00E611C1">
          <w:rPr>
            <w:rStyle w:val="Hyperlink"/>
            <w:noProof/>
            <w:lang w:eastAsia="en-GB"/>
          </w:rPr>
          <w:t>7.4.2</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lang w:eastAsia="en-GB"/>
          </w:rPr>
          <w:t>Strengths of the study</w:t>
        </w:r>
        <w:r w:rsidR="00F926F5">
          <w:rPr>
            <w:noProof/>
          </w:rPr>
          <w:tab/>
        </w:r>
        <w:r w:rsidR="00F926F5">
          <w:rPr>
            <w:noProof/>
          </w:rPr>
          <w:fldChar w:fldCharType="begin"/>
        </w:r>
        <w:r w:rsidR="00F926F5">
          <w:rPr>
            <w:noProof/>
          </w:rPr>
          <w:instrText xml:space="preserve"> PAGEREF _Toc511900387 \h </w:instrText>
        </w:r>
        <w:r w:rsidR="00F926F5">
          <w:rPr>
            <w:noProof/>
          </w:rPr>
        </w:r>
        <w:r w:rsidR="00F926F5">
          <w:rPr>
            <w:noProof/>
          </w:rPr>
          <w:fldChar w:fldCharType="separate"/>
        </w:r>
        <w:r>
          <w:rPr>
            <w:noProof/>
          </w:rPr>
          <w:t>256</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88" w:history="1">
        <w:r w:rsidR="00F926F5" w:rsidRPr="00E611C1">
          <w:rPr>
            <w:rStyle w:val="Hyperlink"/>
            <w:noProof/>
          </w:rPr>
          <w:t>7.5</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Implications and future directions</w:t>
        </w:r>
        <w:r w:rsidR="00F926F5">
          <w:rPr>
            <w:noProof/>
          </w:rPr>
          <w:tab/>
        </w:r>
        <w:r w:rsidR="00F926F5">
          <w:rPr>
            <w:noProof/>
          </w:rPr>
          <w:fldChar w:fldCharType="begin"/>
        </w:r>
        <w:r w:rsidR="00F926F5">
          <w:rPr>
            <w:noProof/>
          </w:rPr>
          <w:instrText xml:space="preserve"> PAGEREF _Toc511900388 \h </w:instrText>
        </w:r>
        <w:r w:rsidR="00F926F5">
          <w:rPr>
            <w:noProof/>
          </w:rPr>
        </w:r>
        <w:r w:rsidR="00F926F5">
          <w:rPr>
            <w:noProof/>
          </w:rPr>
          <w:fldChar w:fldCharType="separate"/>
        </w:r>
        <w:r>
          <w:rPr>
            <w:noProof/>
          </w:rPr>
          <w:t>257</w:t>
        </w:r>
        <w:r w:rsidR="00F926F5">
          <w:rPr>
            <w:noProof/>
          </w:rPr>
          <w:fldChar w:fldCharType="end"/>
        </w:r>
      </w:hyperlink>
    </w:p>
    <w:p w:rsidR="00F926F5" w:rsidRDefault="006E0148">
      <w:pPr>
        <w:pStyle w:val="TOC2"/>
        <w:rPr>
          <w:rFonts w:asciiTheme="minorHAnsi" w:eastAsiaTheme="minorEastAsia" w:hAnsiTheme="minorHAnsi" w:cstheme="minorBidi"/>
          <w:noProof/>
          <w:color w:val="auto"/>
          <w:sz w:val="22"/>
          <w:szCs w:val="22"/>
          <w:lang w:eastAsia="en-AU"/>
        </w:rPr>
      </w:pPr>
      <w:hyperlink w:anchor="_Toc511900389" w:history="1">
        <w:r w:rsidR="00F926F5" w:rsidRPr="00E611C1">
          <w:rPr>
            <w:rStyle w:val="Hyperlink"/>
            <w:noProof/>
          </w:rPr>
          <w:t>7.6</w:t>
        </w:r>
        <w:r w:rsidR="00F926F5">
          <w:rPr>
            <w:rFonts w:asciiTheme="minorHAnsi" w:eastAsiaTheme="minorEastAsia" w:hAnsiTheme="minorHAnsi" w:cstheme="minorBidi"/>
            <w:noProof/>
            <w:color w:val="auto"/>
            <w:sz w:val="22"/>
            <w:szCs w:val="22"/>
            <w:lang w:eastAsia="en-AU"/>
          </w:rPr>
          <w:tab/>
        </w:r>
        <w:r w:rsidR="00F926F5" w:rsidRPr="00E611C1">
          <w:rPr>
            <w:rStyle w:val="Hyperlink"/>
            <w:noProof/>
          </w:rPr>
          <w:t>Conclusion</w:t>
        </w:r>
        <w:r w:rsidR="00F926F5">
          <w:rPr>
            <w:noProof/>
          </w:rPr>
          <w:tab/>
        </w:r>
        <w:r w:rsidR="00F926F5">
          <w:rPr>
            <w:noProof/>
          </w:rPr>
          <w:fldChar w:fldCharType="begin"/>
        </w:r>
        <w:r w:rsidR="00F926F5">
          <w:rPr>
            <w:noProof/>
          </w:rPr>
          <w:instrText xml:space="preserve"> PAGEREF _Toc511900389 \h </w:instrText>
        </w:r>
        <w:r w:rsidR="00F926F5">
          <w:rPr>
            <w:noProof/>
          </w:rPr>
        </w:r>
        <w:r w:rsidR="00F926F5">
          <w:rPr>
            <w:noProof/>
          </w:rPr>
          <w:fldChar w:fldCharType="separate"/>
        </w:r>
        <w:r>
          <w:rPr>
            <w:noProof/>
          </w:rPr>
          <w:t>262</w:t>
        </w:r>
        <w:r w:rsidR="00F926F5">
          <w:rPr>
            <w:noProof/>
          </w:rPr>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90" w:history="1">
        <w:r w:rsidR="00F926F5" w:rsidRPr="00E611C1">
          <w:rPr>
            <w:rStyle w:val="Hyperlink"/>
          </w:rPr>
          <w:t>Annex A</w:t>
        </w:r>
        <w:r w:rsidR="00F926F5">
          <w:rPr>
            <w:rFonts w:asciiTheme="minorHAnsi" w:eastAsiaTheme="minorEastAsia" w:hAnsiTheme="minorHAnsi" w:cstheme="minorBidi"/>
            <w:b w:val="0"/>
            <w:color w:val="auto"/>
            <w:sz w:val="22"/>
            <w:szCs w:val="22"/>
            <w:lang w:eastAsia="en-AU"/>
          </w:rPr>
          <w:tab/>
        </w:r>
        <w:r w:rsidR="00F926F5" w:rsidRPr="00E611C1">
          <w:rPr>
            <w:rStyle w:val="Hyperlink"/>
          </w:rPr>
          <w:t>Mental Health and Wellbeing Transition Study method</w:t>
        </w:r>
        <w:r w:rsidR="00F926F5">
          <w:tab/>
        </w:r>
        <w:r w:rsidR="00F926F5">
          <w:fldChar w:fldCharType="begin"/>
        </w:r>
        <w:r w:rsidR="00F926F5">
          <w:instrText xml:space="preserve"> PAGEREF _Toc511900390 \h </w:instrText>
        </w:r>
        <w:r w:rsidR="00F926F5">
          <w:fldChar w:fldCharType="separate"/>
        </w:r>
        <w:r>
          <w:t>265</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91" w:history="1">
        <w:r w:rsidR="00F926F5" w:rsidRPr="00E611C1">
          <w:rPr>
            <w:rStyle w:val="Hyperlink"/>
          </w:rPr>
          <w:t>Annex B</w:t>
        </w:r>
        <w:r w:rsidR="00F926F5">
          <w:rPr>
            <w:rFonts w:asciiTheme="minorHAnsi" w:eastAsiaTheme="minorEastAsia" w:hAnsiTheme="minorHAnsi" w:cstheme="minorBidi"/>
            <w:b w:val="0"/>
            <w:color w:val="auto"/>
            <w:sz w:val="22"/>
            <w:szCs w:val="22"/>
            <w:lang w:eastAsia="en-AU"/>
          </w:rPr>
          <w:tab/>
        </w:r>
        <w:r w:rsidR="00F926F5" w:rsidRPr="00E611C1">
          <w:rPr>
            <w:rStyle w:val="Hyperlink"/>
          </w:rPr>
          <w:t>Detailed tables</w:t>
        </w:r>
        <w:r w:rsidR="00F926F5">
          <w:tab/>
        </w:r>
        <w:r w:rsidR="00F926F5">
          <w:fldChar w:fldCharType="begin"/>
        </w:r>
        <w:r w:rsidR="00F926F5">
          <w:instrText xml:space="preserve"> PAGEREF _Toc511900391 \h </w:instrText>
        </w:r>
        <w:r w:rsidR="00F926F5">
          <w:fldChar w:fldCharType="separate"/>
        </w:r>
        <w:r>
          <w:t>313</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92" w:history="1">
        <w:r w:rsidR="00F926F5" w:rsidRPr="00E611C1">
          <w:rPr>
            <w:rStyle w:val="Hyperlink"/>
          </w:rPr>
          <w:t>Acronyms</w:t>
        </w:r>
        <w:r w:rsidR="00F926F5">
          <w:tab/>
        </w:r>
        <w:r w:rsidR="00F926F5">
          <w:fldChar w:fldCharType="begin"/>
        </w:r>
        <w:r w:rsidR="00F926F5">
          <w:instrText xml:space="preserve"> PAGEREF _Toc511900392 \h </w:instrText>
        </w:r>
        <w:r w:rsidR="00F926F5">
          <w:fldChar w:fldCharType="separate"/>
        </w:r>
        <w:r>
          <w:t>323</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93" w:history="1">
        <w:r w:rsidR="00F926F5" w:rsidRPr="00E611C1">
          <w:rPr>
            <w:rStyle w:val="Hyperlink"/>
          </w:rPr>
          <w:t>Glossary of terms</w:t>
        </w:r>
        <w:r w:rsidR="00F926F5">
          <w:tab/>
        </w:r>
        <w:r w:rsidR="00F926F5">
          <w:fldChar w:fldCharType="begin"/>
        </w:r>
        <w:r w:rsidR="00F926F5">
          <w:instrText xml:space="preserve"> PAGEREF _Toc511900393 \h </w:instrText>
        </w:r>
        <w:r w:rsidR="00F926F5">
          <w:fldChar w:fldCharType="separate"/>
        </w:r>
        <w:r>
          <w:t>325</w:t>
        </w:r>
        <w:r w:rsidR="00F926F5">
          <w:fldChar w:fldCharType="end"/>
        </w:r>
      </w:hyperlink>
    </w:p>
    <w:p w:rsidR="00F926F5" w:rsidRDefault="006E0148">
      <w:pPr>
        <w:pStyle w:val="TOC1"/>
        <w:rPr>
          <w:rFonts w:asciiTheme="minorHAnsi" w:eastAsiaTheme="minorEastAsia" w:hAnsiTheme="minorHAnsi" w:cstheme="minorBidi"/>
          <w:b w:val="0"/>
          <w:color w:val="auto"/>
          <w:sz w:val="22"/>
          <w:szCs w:val="22"/>
          <w:lang w:eastAsia="en-AU"/>
        </w:rPr>
      </w:pPr>
      <w:hyperlink w:anchor="_Toc511900394" w:history="1">
        <w:r w:rsidR="00F926F5" w:rsidRPr="00E611C1">
          <w:rPr>
            <w:rStyle w:val="Hyperlink"/>
          </w:rPr>
          <w:t>References</w:t>
        </w:r>
        <w:r w:rsidR="00F926F5">
          <w:tab/>
        </w:r>
        <w:r w:rsidR="00F926F5">
          <w:fldChar w:fldCharType="begin"/>
        </w:r>
        <w:r w:rsidR="00F926F5">
          <w:instrText xml:space="preserve"> PAGEREF _Toc511900394 \h </w:instrText>
        </w:r>
        <w:r w:rsidR="00F926F5">
          <w:fldChar w:fldCharType="separate"/>
        </w:r>
        <w:r>
          <w:t>339</w:t>
        </w:r>
        <w:r w:rsidR="00F926F5">
          <w:fldChar w:fldCharType="end"/>
        </w:r>
      </w:hyperlink>
    </w:p>
    <w:p w:rsidR="00191932" w:rsidRPr="005B0796" w:rsidRDefault="001923B9">
      <w:r w:rsidRPr="005B0796">
        <w:fldChar w:fldCharType="end"/>
      </w:r>
    </w:p>
    <w:p w:rsidR="0047223A" w:rsidRPr="005B0796" w:rsidRDefault="000E0B73" w:rsidP="000E0B73">
      <w:pPr>
        <w:pStyle w:val="Heading2a"/>
      </w:pPr>
      <w:r w:rsidRPr="005B0796">
        <w:t>Tables</w:t>
      </w:r>
    </w:p>
    <w:p w:rsidR="00F926F5" w:rsidRDefault="000E0B73">
      <w:pPr>
        <w:pStyle w:val="TOC4"/>
        <w:rPr>
          <w:rFonts w:asciiTheme="minorHAnsi" w:eastAsiaTheme="minorEastAsia" w:hAnsiTheme="minorHAnsi" w:cstheme="minorBidi"/>
          <w:noProof/>
          <w:color w:val="auto"/>
          <w:sz w:val="22"/>
          <w:szCs w:val="22"/>
          <w:lang w:eastAsia="en-AU"/>
        </w:rPr>
      </w:pPr>
      <w:r w:rsidRPr="005B0796">
        <w:fldChar w:fldCharType="begin"/>
      </w:r>
      <w:r w:rsidRPr="005B0796">
        <w:instrText xml:space="preserve"> TOC \t "TableName,4" </w:instrText>
      </w:r>
      <w:r w:rsidR="00F926F5">
        <w:instrText xml:space="preserve">\h </w:instrText>
      </w:r>
      <w:r w:rsidRPr="005B0796">
        <w:fldChar w:fldCharType="separate"/>
      </w:r>
      <w:hyperlink w:anchor="_Toc511900395" w:history="1">
        <w:r w:rsidR="00F926F5" w:rsidRPr="005F6BCC">
          <w:rPr>
            <w:rStyle w:val="Hyperlink"/>
            <w:noProof/>
          </w:rPr>
          <w:t>Table 2.1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Survey response rates, by Service for the Transitioned ADF and the 2015 Regular ADF</w:t>
        </w:r>
        <w:r w:rsidR="00F926F5">
          <w:rPr>
            <w:noProof/>
          </w:rPr>
          <w:tab/>
        </w:r>
        <w:r w:rsidR="00F926F5">
          <w:rPr>
            <w:noProof/>
          </w:rPr>
          <w:fldChar w:fldCharType="begin"/>
        </w:r>
        <w:r w:rsidR="00F926F5">
          <w:rPr>
            <w:noProof/>
          </w:rPr>
          <w:instrText xml:space="preserve"> PAGEREF _Toc511900395 \h </w:instrText>
        </w:r>
        <w:r w:rsidR="00F926F5">
          <w:rPr>
            <w:noProof/>
          </w:rPr>
        </w:r>
        <w:r w:rsidR="00F926F5">
          <w:rPr>
            <w:noProof/>
          </w:rPr>
          <w:fldChar w:fldCharType="separate"/>
        </w:r>
        <w:r w:rsidR="006E0148">
          <w:rPr>
            <w:noProof/>
          </w:rPr>
          <w:t>27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396" w:history="1">
        <w:r w:rsidR="00F926F5" w:rsidRPr="005F6BCC">
          <w:rPr>
            <w:rStyle w:val="Hyperlink"/>
            <w:noProof/>
          </w:rPr>
          <w:t>Table 2.2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Unweighted demographic characteristics of responders, by Transitioned ADF and Regular ADF</w:t>
        </w:r>
        <w:r w:rsidR="00F926F5">
          <w:rPr>
            <w:noProof/>
          </w:rPr>
          <w:tab/>
        </w:r>
        <w:r w:rsidR="00F926F5">
          <w:rPr>
            <w:noProof/>
          </w:rPr>
          <w:fldChar w:fldCharType="begin"/>
        </w:r>
        <w:r w:rsidR="00F926F5">
          <w:rPr>
            <w:noProof/>
          </w:rPr>
          <w:instrText xml:space="preserve"> PAGEREF _Toc511900396 \h </w:instrText>
        </w:r>
        <w:r w:rsidR="00F926F5">
          <w:rPr>
            <w:noProof/>
          </w:rPr>
        </w:r>
        <w:r w:rsidR="00F926F5">
          <w:rPr>
            <w:noProof/>
          </w:rPr>
          <w:fldChar w:fldCharType="separate"/>
        </w:r>
        <w:r>
          <w:rPr>
            <w:noProof/>
          </w:rPr>
          <w:t>30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397" w:history="1">
        <w:r w:rsidR="00F926F5" w:rsidRPr="005F6BCC">
          <w:rPr>
            <w:rStyle w:val="Hyperlink"/>
            <w:noProof/>
          </w:rPr>
          <w:t>Table 2.3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CIDI response rates for Transitioned ADF, by Service, sex, rank and MEC status</w:t>
        </w:r>
        <w:r w:rsidR="00F926F5">
          <w:rPr>
            <w:noProof/>
          </w:rPr>
          <w:tab/>
        </w:r>
        <w:r w:rsidR="00F926F5">
          <w:rPr>
            <w:noProof/>
          </w:rPr>
          <w:fldChar w:fldCharType="begin"/>
        </w:r>
        <w:r w:rsidR="00F926F5">
          <w:rPr>
            <w:noProof/>
          </w:rPr>
          <w:instrText xml:space="preserve"> PAGEREF _Toc511900397 \h </w:instrText>
        </w:r>
        <w:r w:rsidR="00F926F5">
          <w:rPr>
            <w:noProof/>
          </w:rPr>
        </w:r>
        <w:r w:rsidR="00F926F5">
          <w:rPr>
            <w:noProof/>
          </w:rPr>
          <w:fldChar w:fldCharType="separate"/>
        </w:r>
        <w:r>
          <w:rPr>
            <w:noProof/>
          </w:rPr>
          <w:t>31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398" w:history="1">
        <w:r w:rsidR="00F926F5" w:rsidRPr="005F6BCC">
          <w:rPr>
            <w:rStyle w:val="Hyperlink"/>
            <w:noProof/>
          </w:rPr>
          <w:t>Table 2.4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Stratification characteristics of entire Transitioned ADF CIDI sample</w:t>
        </w:r>
        <w:r w:rsidR="00F926F5">
          <w:rPr>
            <w:noProof/>
          </w:rPr>
          <w:tab/>
        </w:r>
        <w:r w:rsidR="00F926F5">
          <w:rPr>
            <w:noProof/>
          </w:rPr>
          <w:fldChar w:fldCharType="begin"/>
        </w:r>
        <w:r w:rsidR="00F926F5">
          <w:rPr>
            <w:noProof/>
          </w:rPr>
          <w:instrText xml:space="preserve"> PAGEREF _Toc511900398 \h </w:instrText>
        </w:r>
        <w:r w:rsidR="00F926F5">
          <w:rPr>
            <w:noProof/>
          </w:rPr>
        </w:r>
        <w:r w:rsidR="00F926F5">
          <w:rPr>
            <w:noProof/>
          </w:rPr>
          <w:fldChar w:fldCharType="separate"/>
        </w:r>
        <w:r>
          <w:rPr>
            <w:noProof/>
          </w:rPr>
          <w:t>35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399" w:history="1">
        <w:r w:rsidR="00F926F5" w:rsidRPr="005F6BCC">
          <w:rPr>
            <w:rStyle w:val="Hyperlink"/>
            <w:noProof/>
          </w:rPr>
          <w:t>Table 3.1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Weighted demographic characteristics in the Transitioned and 2015 Regular ADF</w:t>
        </w:r>
        <w:r w:rsidR="00F926F5">
          <w:rPr>
            <w:noProof/>
          </w:rPr>
          <w:tab/>
        </w:r>
        <w:r w:rsidR="00F926F5">
          <w:rPr>
            <w:noProof/>
          </w:rPr>
          <w:fldChar w:fldCharType="begin"/>
        </w:r>
        <w:r w:rsidR="00F926F5">
          <w:rPr>
            <w:noProof/>
          </w:rPr>
          <w:instrText xml:space="preserve"> PAGEREF _Toc511900399 \h </w:instrText>
        </w:r>
        <w:r w:rsidR="00F926F5">
          <w:rPr>
            <w:noProof/>
          </w:rPr>
        </w:r>
        <w:r w:rsidR="00F926F5">
          <w:rPr>
            <w:noProof/>
          </w:rPr>
          <w:fldChar w:fldCharType="separate"/>
        </w:r>
        <w:r>
          <w:rPr>
            <w:noProof/>
          </w:rPr>
          <w:t>44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0" w:history="1">
        <w:r w:rsidR="00F926F5" w:rsidRPr="005F6BCC">
          <w:rPr>
            <w:rStyle w:val="Hyperlink"/>
            <w:noProof/>
          </w:rPr>
          <w:t>Table 3.2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Weighted Service characteristics in the Transitioned ADF and 2015 Regular ADF</w:t>
        </w:r>
        <w:r w:rsidR="00F926F5">
          <w:rPr>
            <w:noProof/>
          </w:rPr>
          <w:tab/>
        </w:r>
        <w:r w:rsidR="00F926F5">
          <w:rPr>
            <w:noProof/>
          </w:rPr>
          <w:fldChar w:fldCharType="begin"/>
        </w:r>
        <w:r w:rsidR="00F926F5">
          <w:rPr>
            <w:noProof/>
          </w:rPr>
          <w:instrText xml:space="preserve"> PAGEREF _Toc511900400 \h </w:instrText>
        </w:r>
        <w:r w:rsidR="00F926F5">
          <w:rPr>
            <w:noProof/>
          </w:rPr>
        </w:r>
        <w:r w:rsidR="00F926F5">
          <w:rPr>
            <w:noProof/>
          </w:rPr>
          <w:fldChar w:fldCharType="separate"/>
        </w:r>
        <w:r>
          <w:rPr>
            <w:noProof/>
          </w:rPr>
          <w:t>46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1" w:history="1">
        <w:r w:rsidR="00F926F5" w:rsidRPr="005F6BCC">
          <w:rPr>
            <w:rStyle w:val="Hyperlink"/>
            <w:noProof/>
          </w:rPr>
          <w:t>Table 3.3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Weighted transition characteristics in the Transitioned ADF</w:t>
        </w:r>
        <w:r w:rsidR="00F926F5">
          <w:rPr>
            <w:noProof/>
          </w:rPr>
          <w:tab/>
        </w:r>
        <w:r w:rsidR="00F926F5">
          <w:rPr>
            <w:noProof/>
          </w:rPr>
          <w:fldChar w:fldCharType="begin"/>
        </w:r>
        <w:r w:rsidR="00F926F5">
          <w:rPr>
            <w:noProof/>
          </w:rPr>
          <w:instrText xml:space="preserve"> PAGEREF _Toc511900401 \h </w:instrText>
        </w:r>
        <w:r w:rsidR="00F926F5">
          <w:rPr>
            <w:noProof/>
          </w:rPr>
        </w:r>
        <w:r w:rsidR="00F926F5">
          <w:rPr>
            <w:noProof/>
          </w:rPr>
          <w:fldChar w:fldCharType="separate"/>
        </w:r>
        <w:r>
          <w:rPr>
            <w:noProof/>
          </w:rPr>
          <w:t>47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2" w:history="1">
        <w:r w:rsidR="00F926F5" w:rsidRPr="005F6BCC">
          <w:rPr>
            <w:rStyle w:val="Hyperlink"/>
            <w:noProof/>
          </w:rPr>
          <w:t>Table 3.4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Weighted civilian employment and DVA support in the Transitioned ADF</w:t>
        </w:r>
        <w:r w:rsidR="00F926F5">
          <w:rPr>
            <w:noProof/>
          </w:rPr>
          <w:tab/>
        </w:r>
        <w:r w:rsidR="00F926F5">
          <w:rPr>
            <w:noProof/>
          </w:rPr>
          <w:fldChar w:fldCharType="begin"/>
        </w:r>
        <w:r w:rsidR="00F926F5">
          <w:rPr>
            <w:noProof/>
          </w:rPr>
          <w:instrText xml:space="preserve"> PAGEREF _Toc511900402 \h </w:instrText>
        </w:r>
        <w:r w:rsidR="00F926F5">
          <w:rPr>
            <w:noProof/>
          </w:rPr>
        </w:r>
        <w:r w:rsidR="00F926F5">
          <w:rPr>
            <w:noProof/>
          </w:rPr>
          <w:fldChar w:fldCharType="separate"/>
        </w:r>
        <w:r>
          <w:rPr>
            <w:noProof/>
          </w:rPr>
          <w:t>49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3" w:history="1">
        <w:r w:rsidR="00F926F5" w:rsidRPr="005F6BCC">
          <w:rPr>
            <w:rStyle w:val="Hyperlink"/>
            <w:noProof/>
          </w:rPr>
          <w:t>Table 3.5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Weighted ESO engagement and incarcerations in Transitioned ADF</w:t>
        </w:r>
        <w:r w:rsidR="00F926F5">
          <w:rPr>
            <w:noProof/>
          </w:rPr>
          <w:tab/>
        </w:r>
        <w:r w:rsidR="00F926F5">
          <w:rPr>
            <w:noProof/>
          </w:rPr>
          <w:fldChar w:fldCharType="begin"/>
        </w:r>
        <w:r w:rsidR="00F926F5">
          <w:rPr>
            <w:noProof/>
          </w:rPr>
          <w:instrText xml:space="preserve"> PAGEREF _Toc511900403 \h </w:instrText>
        </w:r>
        <w:r w:rsidR="00F926F5">
          <w:rPr>
            <w:noProof/>
          </w:rPr>
        </w:r>
        <w:r w:rsidR="00F926F5">
          <w:rPr>
            <w:noProof/>
          </w:rPr>
          <w:fldChar w:fldCharType="separate"/>
        </w:r>
        <w:r>
          <w:rPr>
            <w:noProof/>
          </w:rPr>
          <w:t>50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4" w:history="1">
        <w:r w:rsidR="00F926F5" w:rsidRPr="005F6BCC">
          <w:rPr>
            <w:rStyle w:val="Hyperlink"/>
            <w:noProof/>
          </w:rPr>
          <w:t>Table 4.1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lifetime ICD-10 anxiety, affective, alcohol and any disorder in Transitioned ADF</w:t>
        </w:r>
        <w:r w:rsidR="00F926F5">
          <w:rPr>
            <w:noProof/>
          </w:rPr>
          <w:tab/>
        </w:r>
        <w:r w:rsidR="00F926F5">
          <w:rPr>
            <w:noProof/>
          </w:rPr>
          <w:fldChar w:fldCharType="begin"/>
        </w:r>
        <w:r w:rsidR="00F926F5">
          <w:rPr>
            <w:noProof/>
          </w:rPr>
          <w:instrText xml:space="preserve"> PAGEREF _Toc511900404 \h </w:instrText>
        </w:r>
        <w:r w:rsidR="00F926F5">
          <w:rPr>
            <w:noProof/>
          </w:rPr>
        </w:r>
        <w:r w:rsidR="00F926F5">
          <w:rPr>
            <w:noProof/>
          </w:rPr>
          <w:fldChar w:fldCharType="separate"/>
        </w:r>
        <w:r>
          <w:rPr>
            <w:noProof/>
          </w:rPr>
          <w:t>54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5" w:history="1">
        <w:r w:rsidR="00F926F5" w:rsidRPr="005F6BCC">
          <w:rPr>
            <w:rStyle w:val="Hyperlink"/>
            <w:noProof/>
          </w:rPr>
          <w:t>Table 4.2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affective, alcohol and any disorder, and PTSD in Transitioned ADF</w:t>
        </w:r>
        <w:r w:rsidR="00F926F5">
          <w:rPr>
            <w:noProof/>
          </w:rPr>
          <w:tab/>
        </w:r>
        <w:r w:rsidR="00F926F5">
          <w:rPr>
            <w:noProof/>
          </w:rPr>
          <w:fldChar w:fldCharType="begin"/>
        </w:r>
        <w:r w:rsidR="00F926F5">
          <w:rPr>
            <w:noProof/>
          </w:rPr>
          <w:instrText xml:space="preserve"> PAGEREF _Toc511900405 \h </w:instrText>
        </w:r>
        <w:r w:rsidR="00F926F5">
          <w:rPr>
            <w:noProof/>
          </w:rPr>
        </w:r>
        <w:r w:rsidR="00F926F5">
          <w:rPr>
            <w:noProof/>
          </w:rPr>
          <w:fldChar w:fldCharType="separate"/>
        </w:r>
        <w:r>
          <w:rPr>
            <w:noProof/>
          </w:rPr>
          <w:t>54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6" w:history="1">
        <w:r w:rsidR="00F926F5" w:rsidRPr="005F6BCC">
          <w:rPr>
            <w:rStyle w:val="Hyperlink"/>
            <w:noProof/>
          </w:rPr>
          <w:t>Table 4.3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w:t>
        </w:r>
        <w:r w:rsidR="00F926F5">
          <w:rPr>
            <w:noProof/>
          </w:rPr>
          <w:tab/>
        </w:r>
        <w:r w:rsidR="00F926F5">
          <w:rPr>
            <w:noProof/>
          </w:rPr>
          <w:fldChar w:fldCharType="begin"/>
        </w:r>
        <w:r w:rsidR="00F926F5">
          <w:rPr>
            <w:noProof/>
          </w:rPr>
          <w:instrText xml:space="preserve"> PAGEREF _Toc511900406 \h </w:instrText>
        </w:r>
        <w:r w:rsidR="00F926F5">
          <w:rPr>
            <w:noProof/>
          </w:rPr>
        </w:r>
        <w:r w:rsidR="00F926F5">
          <w:rPr>
            <w:noProof/>
          </w:rPr>
          <w:fldChar w:fldCharType="separate"/>
        </w:r>
        <w:r>
          <w:rPr>
            <w:noProof/>
          </w:rPr>
          <w:t>56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7" w:history="1">
        <w:r w:rsidR="00F926F5" w:rsidRPr="005F6BCC">
          <w:rPr>
            <w:rStyle w:val="Hyperlink"/>
            <w:noProof/>
          </w:rPr>
          <w:t>Table 4.4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by transition status</w:t>
        </w:r>
        <w:r w:rsidR="00F926F5">
          <w:rPr>
            <w:noProof/>
          </w:rPr>
          <w:tab/>
        </w:r>
        <w:r w:rsidR="00F926F5">
          <w:rPr>
            <w:noProof/>
          </w:rPr>
          <w:fldChar w:fldCharType="begin"/>
        </w:r>
        <w:r w:rsidR="00F926F5">
          <w:rPr>
            <w:noProof/>
          </w:rPr>
          <w:instrText xml:space="preserve"> PAGEREF _Toc511900407 \h </w:instrText>
        </w:r>
        <w:r w:rsidR="00F926F5">
          <w:rPr>
            <w:noProof/>
          </w:rPr>
        </w:r>
        <w:r w:rsidR="00F926F5">
          <w:rPr>
            <w:noProof/>
          </w:rPr>
          <w:fldChar w:fldCharType="separate"/>
        </w:r>
        <w:r>
          <w:rPr>
            <w:noProof/>
          </w:rPr>
          <w:t>58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8" w:history="1">
        <w:r w:rsidR="00F926F5" w:rsidRPr="005F6BCC">
          <w:rPr>
            <w:rStyle w:val="Hyperlink"/>
            <w:noProof/>
          </w:rPr>
          <w:t>Table 4.5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sex</w:t>
        </w:r>
        <w:r w:rsidR="00F926F5">
          <w:rPr>
            <w:noProof/>
          </w:rPr>
          <w:tab/>
        </w:r>
        <w:r w:rsidR="00F926F5">
          <w:rPr>
            <w:noProof/>
          </w:rPr>
          <w:fldChar w:fldCharType="begin"/>
        </w:r>
        <w:r w:rsidR="00F926F5">
          <w:rPr>
            <w:noProof/>
          </w:rPr>
          <w:instrText xml:space="preserve"> PAGEREF _Toc511900408 \h </w:instrText>
        </w:r>
        <w:r w:rsidR="00F926F5">
          <w:rPr>
            <w:noProof/>
          </w:rPr>
        </w:r>
        <w:r w:rsidR="00F926F5">
          <w:rPr>
            <w:noProof/>
          </w:rPr>
          <w:fldChar w:fldCharType="separate"/>
        </w:r>
        <w:r>
          <w:rPr>
            <w:noProof/>
          </w:rPr>
          <w:t>59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09" w:history="1">
        <w:r w:rsidR="00F926F5" w:rsidRPr="005F6BCC">
          <w:rPr>
            <w:rStyle w:val="Hyperlink"/>
            <w:noProof/>
          </w:rPr>
          <w:t>Table 4.6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anxiety disorder type and age</w:t>
        </w:r>
        <w:r w:rsidR="00F926F5">
          <w:rPr>
            <w:noProof/>
          </w:rPr>
          <w:tab/>
        </w:r>
        <w:r w:rsidR="00F926F5">
          <w:rPr>
            <w:noProof/>
          </w:rPr>
          <w:fldChar w:fldCharType="begin"/>
        </w:r>
        <w:r w:rsidR="00F926F5">
          <w:rPr>
            <w:noProof/>
          </w:rPr>
          <w:instrText xml:space="preserve"> PAGEREF _Toc511900409 \h </w:instrText>
        </w:r>
        <w:r w:rsidR="00F926F5">
          <w:rPr>
            <w:noProof/>
          </w:rPr>
        </w:r>
        <w:r w:rsidR="00F926F5">
          <w:rPr>
            <w:noProof/>
          </w:rPr>
          <w:fldChar w:fldCharType="separate"/>
        </w:r>
        <w:r>
          <w:rPr>
            <w:noProof/>
          </w:rPr>
          <w:t>61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0" w:history="1">
        <w:r w:rsidR="00F926F5" w:rsidRPr="005F6BCC">
          <w:rPr>
            <w:rStyle w:val="Hyperlink"/>
            <w:noProof/>
          </w:rPr>
          <w:t>Table 4.7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lang w:eastAsia="en-AU"/>
          </w:rPr>
          <w:t>Estimated prevalence of 12-month ICD-10 anxiety disorders in Transitioned ADF members (Navy, Army and Air Force)</w:t>
        </w:r>
        <w:r w:rsidR="00F926F5">
          <w:rPr>
            <w:noProof/>
          </w:rPr>
          <w:tab/>
        </w:r>
        <w:r w:rsidR="00F926F5">
          <w:rPr>
            <w:noProof/>
          </w:rPr>
          <w:fldChar w:fldCharType="begin"/>
        </w:r>
        <w:r w:rsidR="00F926F5">
          <w:rPr>
            <w:noProof/>
          </w:rPr>
          <w:instrText xml:space="preserve"> PAGEREF _Toc511900410 \h </w:instrText>
        </w:r>
        <w:r w:rsidR="00F926F5">
          <w:rPr>
            <w:noProof/>
          </w:rPr>
        </w:r>
        <w:r w:rsidR="00F926F5">
          <w:rPr>
            <w:noProof/>
          </w:rPr>
          <w:fldChar w:fldCharType="separate"/>
        </w:r>
        <w:r>
          <w:rPr>
            <w:noProof/>
          </w:rPr>
          <w:t>63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1" w:history="1">
        <w:r w:rsidR="00F926F5" w:rsidRPr="005F6BCC">
          <w:rPr>
            <w:rStyle w:val="Hyperlink"/>
            <w:noProof/>
          </w:rPr>
          <w:t>Table 4.8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anxiety disorder type and rank at transition</w:t>
        </w:r>
        <w:r w:rsidR="00F926F5">
          <w:rPr>
            <w:noProof/>
          </w:rPr>
          <w:tab/>
        </w:r>
        <w:r w:rsidR="00F926F5">
          <w:rPr>
            <w:noProof/>
          </w:rPr>
          <w:fldChar w:fldCharType="begin"/>
        </w:r>
        <w:r w:rsidR="00F926F5">
          <w:rPr>
            <w:noProof/>
          </w:rPr>
          <w:instrText xml:space="preserve"> PAGEREF _Toc511900411 \h </w:instrText>
        </w:r>
        <w:r w:rsidR="00F926F5">
          <w:rPr>
            <w:noProof/>
          </w:rPr>
        </w:r>
        <w:r w:rsidR="00F926F5">
          <w:rPr>
            <w:noProof/>
          </w:rPr>
          <w:fldChar w:fldCharType="separate"/>
        </w:r>
        <w:r>
          <w:rPr>
            <w:noProof/>
          </w:rPr>
          <w:t>64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2" w:history="1">
        <w:r w:rsidR="00F926F5" w:rsidRPr="005F6BCC">
          <w:rPr>
            <w:rStyle w:val="Hyperlink"/>
            <w:noProof/>
          </w:rPr>
          <w:t>Table 4.9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the ADF, by anxiety disorder type and deployment status</w:t>
        </w:r>
        <w:r w:rsidR="00F926F5">
          <w:rPr>
            <w:noProof/>
          </w:rPr>
          <w:tab/>
        </w:r>
        <w:r w:rsidR="00F926F5">
          <w:rPr>
            <w:noProof/>
          </w:rPr>
          <w:fldChar w:fldCharType="begin"/>
        </w:r>
        <w:r w:rsidR="00F926F5">
          <w:rPr>
            <w:noProof/>
          </w:rPr>
          <w:instrText xml:space="preserve"> PAGEREF _Toc511900412 \h </w:instrText>
        </w:r>
        <w:r w:rsidR="00F926F5">
          <w:rPr>
            <w:noProof/>
          </w:rPr>
        </w:r>
        <w:r w:rsidR="00F926F5">
          <w:rPr>
            <w:noProof/>
          </w:rPr>
          <w:fldChar w:fldCharType="separate"/>
        </w:r>
        <w:r>
          <w:rPr>
            <w:noProof/>
          </w:rPr>
          <w:t>66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3" w:history="1">
        <w:r w:rsidR="00F926F5" w:rsidRPr="005F6BCC">
          <w:rPr>
            <w:rStyle w:val="Hyperlink"/>
            <w:noProof/>
          </w:rPr>
          <w:t>Table 4.10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years of service in the Regular ADF</w:t>
        </w:r>
        <w:r w:rsidR="00F926F5">
          <w:rPr>
            <w:noProof/>
          </w:rPr>
          <w:tab/>
        </w:r>
        <w:r w:rsidR="00F926F5">
          <w:rPr>
            <w:noProof/>
          </w:rPr>
          <w:fldChar w:fldCharType="begin"/>
        </w:r>
        <w:r w:rsidR="00F926F5">
          <w:rPr>
            <w:noProof/>
          </w:rPr>
          <w:instrText xml:space="preserve"> PAGEREF _Toc511900413 \h </w:instrText>
        </w:r>
        <w:r w:rsidR="00F926F5">
          <w:rPr>
            <w:noProof/>
          </w:rPr>
        </w:r>
        <w:r w:rsidR="00F926F5">
          <w:rPr>
            <w:noProof/>
          </w:rPr>
          <w:fldChar w:fldCharType="separate"/>
        </w:r>
        <w:r>
          <w:rPr>
            <w:noProof/>
          </w:rPr>
          <w:t>68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4" w:history="1">
        <w:r w:rsidR="00F926F5" w:rsidRPr="005F6BCC">
          <w:rPr>
            <w:rStyle w:val="Hyperlink"/>
            <w:noProof/>
          </w:rPr>
          <w:t>Table 4.11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anxiety disorder type and years since transition</w:t>
        </w:r>
        <w:r w:rsidR="00F926F5">
          <w:rPr>
            <w:noProof/>
          </w:rPr>
          <w:tab/>
        </w:r>
        <w:r w:rsidR="00F926F5">
          <w:rPr>
            <w:noProof/>
          </w:rPr>
          <w:fldChar w:fldCharType="begin"/>
        </w:r>
        <w:r w:rsidR="00F926F5">
          <w:rPr>
            <w:noProof/>
          </w:rPr>
          <w:instrText xml:space="preserve"> PAGEREF _Toc511900414 \h </w:instrText>
        </w:r>
        <w:r w:rsidR="00F926F5">
          <w:rPr>
            <w:noProof/>
          </w:rPr>
        </w:r>
        <w:r w:rsidR="00F926F5">
          <w:rPr>
            <w:noProof/>
          </w:rPr>
          <w:fldChar w:fldCharType="separate"/>
        </w:r>
        <w:r>
          <w:rPr>
            <w:noProof/>
          </w:rPr>
          <w:t>71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5" w:history="1">
        <w:r w:rsidR="00F926F5" w:rsidRPr="005F6BCC">
          <w:rPr>
            <w:rStyle w:val="Hyperlink"/>
            <w:noProof/>
          </w:rPr>
          <w:t>Table 4.12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anxiety disorder type and reason for discharge</w:t>
        </w:r>
        <w:r w:rsidR="00F926F5">
          <w:rPr>
            <w:noProof/>
          </w:rPr>
          <w:tab/>
        </w:r>
        <w:r w:rsidR="00F926F5">
          <w:rPr>
            <w:noProof/>
          </w:rPr>
          <w:fldChar w:fldCharType="begin"/>
        </w:r>
        <w:r w:rsidR="00F926F5">
          <w:rPr>
            <w:noProof/>
          </w:rPr>
          <w:instrText xml:space="preserve"> PAGEREF _Toc511900415 \h </w:instrText>
        </w:r>
        <w:r w:rsidR="00F926F5">
          <w:rPr>
            <w:noProof/>
          </w:rPr>
        </w:r>
        <w:r w:rsidR="00F926F5">
          <w:rPr>
            <w:noProof/>
          </w:rPr>
          <w:fldChar w:fldCharType="separate"/>
        </w:r>
        <w:r>
          <w:rPr>
            <w:noProof/>
          </w:rPr>
          <w:t>73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6" w:history="1">
        <w:r w:rsidR="00F926F5" w:rsidRPr="005F6BCC">
          <w:rPr>
            <w:rStyle w:val="Hyperlink"/>
            <w:noProof/>
          </w:rPr>
          <w:t>Table 4.13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anxiety disorders in Transitioned ADF members, by anxiety disorder type and DVA status</w:t>
        </w:r>
        <w:r w:rsidR="00F926F5">
          <w:rPr>
            <w:noProof/>
          </w:rPr>
          <w:tab/>
        </w:r>
        <w:r w:rsidR="00F926F5">
          <w:rPr>
            <w:noProof/>
          </w:rPr>
          <w:fldChar w:fldCharType="begin"/>
        </w:r>
        <w:r w:rsidR="00F926F5">
          <w:rPr>
            <w:noProof/>
          </w:rPr>
          <w:instrText xml:space="preserve"> PAGEREF _Toc511900416 \h </w:instrText>
        </w:r>
        <w:r w:rsidR="00F926F5">
          <w:rPr>
            <w:noProof/>
          </w:rPr>
        </w:r>
        <w:r w:rsidR="00F926F5">
          <w:rPr>
            <w:noProof/>
          </w:rPr>
          <w:fldChar w:fldCharType="separate"/>
        </w:r>
        <w:r>
          <w:rPr>
            <w:noProof/>
          </w:rPr>
          <w:t>75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7" w:history="1">
        <w:r w:rsidR="00F926F5" w:rsidRPr="005F6BCC">
          <w:rPr>
            <w:rStyle w:val="Hyperlink"/>
            <w:noProof/>
          </w:rPr>
          <w:t>Table 4.14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lifetime trauma exposure in Transitioned ADF members</w:t>
        </w:r>
        <w:r w:rsidR="00F926F5">
          <w:rPr>
            <w:noProof/>
          </w:rPr>
          <w:tab/>
        </w:r>
        <w:r w:rsidR="00F926F5">
          <w:rPr>
            <w:noProof/>
          </w:rPr>
          <w:fldChar w:fldCharType="begin"/>
        </w:r>
        <w:r w:rsidR="00F926F5">
          <w:rPr>
            <w:noProof/>
          </w:rPr>
          <w:instrText xml:space="preserve"> PAGEREF _Toc511900417 \h </w:instrText>
        </w:r>
        <w:r w:rsidR="00F926F5">
          <w:rPr>
            <w:noProof/>
          </w:rPr>
        </w:r>
        <w:r w:rsidR="00F926F5">
          <w:rPr>
            <w:noProof/>
          </w:rPr>
          <w:fldChar w:fldCharType="separate"/>
        </w:r>
        <w:r>
          <w:rPr>
            <w:noProof/>
          </w:rPr>
          <w:t>78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8" w:history="1">
        <w:r w:rsidR="00F926F5" w:rsidRPr="005F6BCC">
          <w:rPr>
            <w:rStyle w:val="Hyperlink"/>
            <w:noProof/>
          </w:rPr>
          <w:t>Table 4.15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posttraumatic stress disorder from specific event types in Transitioned ADF</w:t>
        </w:r>
        <w:r w:rsidR="00F926F5">
          <w:rPr>
            <w:noProof/>
          </w:rPr>
          <w:tab/>
        </w:r>
        <w:r w:rsidR="00F926F5">
          <w:rPr>
            <w:noProof/>
          </w:rPr>
          <w:fldChar w:fldCharType="begin"/>
        </w:r>
        <w:r w:rsidR="00F926F5">
          <w:rPr>
            <w:noProof/>
          </w:rPr>
          <w:instrText xml:space="preserve"> PAGEREF _Toc511900418 \h </w:instrText>
        </w:r>
        <w:r w:rsidR="00F926F5">
          <w:rPr>
            <w:noProof/>
          </w:rPr>
        </w:r>
        <w:r w:rsidR="00F926F5">
          <w:rPr>
            <w:noProof/>
          </w:rPr>
          <w:fldChar w:fldCharType="separate"/>
        </w:r>
        <w:r>
          <w:rPr>
            <w:noProof/>
          </w:rPr>
          <w:t>80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19" w:history="1">
        <w:r w:rsidR="00F926F5" w:rsidRPr="005F6BCC">
          <w:rPr>
            <w:rStyle w:val="Hyperlink"/>
            <w:noProof/>
          </w:rPr>
          <w:t>Table 4.16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w:t>
        </w:r>
        <w:r w:rsidR="00F926F5">
          <w:rPr>
            <w:noProof/>
          </w:rPr>
          <w:tab/>
        </w:r>
        <w:r w:rsidR="00F926F5">
          <w:rPr>
            <w:noProof/>
          </w:rPr>
          <w:fldChar w:fldCharType="begin"/>
        </w:r>
        <w:r w:rsidR="00F926F5">
          <w:rPr>
            <w:noProof/>
          </w:rPr>
          <w:instrText xml:space="preserve"> PAGEREF _Toc511900419 \h </w:instrText>
        </w:r>
        <w:r w:rsidR="00F926F5">
          <w:rPr>
            <w:noProof/>
          </w:rPr>
        </w:r>
        <w:r w:rsidR="00F926F5">
          <w:rPr>
            <w:noProof/>
          </w:rPr>
          <w:fldChar w:fldCharType="separate"/>
        </w:r>
        <w:r>
          <w:rPr>
            <w:noProof/>
          </w:rPr>
          <w:t>84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0" w:history="1">
        <w:r w:rsidR="00F926F5" w:rsidRPr="005F6BCC">
          <w:rPr>
            <w:rStyle w:val="Hyperlink"/>
            <w:noProof/>
          </w:rPr>
          <w:t>Table 4.17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transition status</w:t>
        </w:r>
        <w:r w:rsidR="00F926F5">
          <w:rPr>
            <w:noProof/>
          </w:rPr>
          <w:tab/>
        </w:r>
        <w:r w:rsidR="00F926F5">
          <w:rPr>
            <w:noProof/>
          </w:rPr>
          <w:fldChar w:fldCharType="begin"/>
        </w:r>
        <w:r w:rsidR="00F926F5">
          <w:rPr>
            <w:noProof/>
          </w:rPr>
          <w:instrText xml:space="preserve"> PAGEREF _Toc511900420 \h </w:instrText>
        </w:r>
        <w:r w:rsidR="00F926F5">
          <w:rPr>
            <w:noProof/>
          </w:rPr>
        </w:r>
        <w:r w:rsidR="00F926F5">
          <w:rPr>
            <w:noProof/>
          </w:rPr>
          <w:fldChar w:fldCharType="separate"/>
        </w:r>
        <w:r>
          <w:rPr>
            <w:noProof/>
          </w:rPr>
          <w:t>84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1" w:history="1">
        <w:r w:rsidR="00F926F5" w:rsidRPr="005F6BCC">
          <w:rPr>
            <w:rStyle w:val="Hyperlink"/>
            <w:noProof/>
          </w:rPr>
          <w:t>Table 4.18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affective disorders in Transitioned ADF members, by affective disorder type and sex</w:t>
        </w:r>
        <w:r w:rsidR="00F926F5">
          <w:rPr>
            <w:noProof/>
          </w:rPr>
          <w:tab/>
        </w:r>
        <w:r w:rsidR="00F926F5">
          <w:rPr>
            <w:noProof/>
          </w:rPr>
          <w:fldChar w:fldCharType="begin"/>
        </w:r>
        <w:r w:rsidR="00F926F5">
          <w:rPr>
            <w:noProof/>
          </w:rPr>
          <w:instrText xml:space="preserve"> PAGEREF _Toc511900421 \h </w:instrText>
        </w:r>
        <w:r w:rsidR="00F926F5">
          <w:rPr>
            <w:noProof/>
          </w:rPr>
        </w:r>
        <w:r w:rsidR="00F926F5">
          <w:rPr>
            <w:noProof/>
          </w:rPr>
          <w:fldChar w:fldCharType="separate"/>
        </w:r>
        <w:r>
          <w:rPr>
            <w:noProof/>
          </w:rPr>
          <w:t>85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2" w:history="1">
        <w:r w:rsidR="00F926F5" w:rsidRPr="005F6BCC">
          <w:rPr>
            <w:rStyle w:val="Hyperlink"/>
            <w:noProof/>
          </w:rPr>
          <w:t>Table 4.19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age</w:t>
        </w:r>
        <w:r w:rsidR="00F926F5">
          <w:rPr>
            <w:noProof/>
          </w:rPr>
          <w:tab/>
        </w:r>
        <w:r w:rsidR="00F926F5">
          <w:rPr>
            <w:noProof/>
          </w:rPr>
          <w:fldChar w:fldCharType="begin"/>
        </w:r>
        <w:r w:rsidR="00F926F5">
          <w:rPr>
            <w:noProof/>
          </w:rPr>
          <w:instrText xml:space="preserve"> PAGEREF _Toc511900422 \h </w:instrText>
        </w:r>
        <w:r w:rsidR="00F926F5">
          <w:rPr>
            <w:noProof/>
          </w:rPr>
        </w:r>
        <w:r w:rsidR="00F926F5">
          <w:rPr>
            <w:noProof/>
          </w:rPr>
          <w:fldChar w:fldCharType="separate"/>
        </w:r>
        <w:r>
          <w:rPr>
            <w:noProof/>
          </w:rPr>
          <w:t>87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3" w:history="1">
        <w:r w:rsidR="00F926F5" w:rsidRPr="005F6BCC">
          <w:rPr>
            <w:rStyle w:val="Hyperlink"/>
            <w:noProof/>
          </w:rPr>
          <w:t>Table 4.20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by Service at time of transition from Regular ADF into Transitioned ADF</w:t>
        </w:r>
        <w:r w:rsidR="00F926F5">
          <w:rPr>
            <w:noProof/>
          </w:rPr>
          <w:tab/>
        </w:r>
        <w:r w:rsidR="00F926F5">
          <w:rPr>
            <w:noProof/>
          </w:rPr>
          <w:fldChar w:fldCharType="begin"/>
        </w:r>
        <w:r w:rsidR="00F926F5">
          <w:rPr>
            <w:noProof/>
          </w:rPr>
          <w:instrText xml:space="preserve"> PAGEREF _Toc511900423 \h </w:instrText>
        </w:r>
        <w:r w:rsidR="00F926F5">
          <w:rPr>
            <w:noProof/>
          </w:rPr>
        </w:r>
        <w:r w:rsidR="00F926F5">
          <w:rPr>
            <w:noProof/>
          </w:rPr>
          <w:fldChar w:fldCharType="separate"/>
        </w:r>
        <w:r>
          <w:rPr>
            <w:noProof/>
          </w:rPr>
          <w:t>88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4" w:history="1">
        <w:r w:rsidR="00F926F5" w:rsidRPr="005F6BCC">
          <w:rPr>
            <w:rStyle w:val="Hyperlink"/>
            <w:noProof/>
          </w:rPr>
          <w:t>Table 4.21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by rank at time of transition from Regular ADF into Transitioned ADF</w:t>
        </w:r>
        <w:r w:rsidR="00F926F5">
          <w:rPr>
            <w:noProof/>
          </w:rPr>
          <w:tab/>
        </w:r>
        <w:r w:rsidR="00F926F5">
          <w:rPr>
            <w:noProof/>
          </w:rPr>
          <w:fldChar w:fldCharType="begin"/>
        </w:r>
        <w:r w:rsidR="00F926F5">
          <w:rPr>
            <w:noProof/>
          </w:rPr>
          <w:instrText xml:space="preserve"> PAGEREF _Toc511900424 \h </w:instrText>
        </w:r>
        <w:r w:rsidR="00F926F5">
          <w:rPr>
            <w:noProof/>
          </w:rPr>
        </w:r>
        <w:r w:rsidR="00F926F5">
          <w:rPr>
            <w:noProof/>
          </w:rPr>
          <w:fldChar w:fldCharType="separate"/>
        </w:r>
        <w:r>
          <w:rPr>
            <w:noProof/>
          </w:rPr>
          <w:t>90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5" w:history="1">
        <w:r w:rsidR="00F926F5" w:rsidRPr="005F6BCC">
          <w:rPr>
            <w:rStyle w:val="Hyperlink"/>
            <w:noProof/>
          </w:rPr>
          <w:t>Table 4.22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deployment status</w:t>
        </w:r>
        <w:r w:rsidR="00F926F5">
          <w:rPr>
            <w:noProof/>
          </w:rPr>
          <w:tab/>
        </w:r>
        <w:r w:rsidR="00F926F5">
          <w:rPr>
            <w:noProof/>
          </w:rPr>
          <w:fldChar w:fldCharType="begin"/>
        </w:r>
        <w:r w:rsidR="00F926F5">
          <w:rPr>
            <w:noProof/>
          </w:rPr>
          <w:instrText xml:space="preserve"> PAGEREF _Toc511900425 \h </w:instrText>
        </w:r>
        <w:r w:rsidR="00F926F5">
          <w:rPr>
            <w:noProof/>
          </w:rPr>
        </w:r>
        <w:r w:rsidR="00F926F5">
          <w:rPr>
            <w:noProof/>
          </w:rPr>
          <w:fldChar w:fldCharType="separate"/>
        </w:r>
        <w:r>
          <w:rPr>
            <w:noProof/>
          </w:rPr>
          <w:t>91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6" w:history="1">
        <w:r w:rsidR="00F926F5" w:rsidRPr="005F6BCC">
          <w:rPr>
            <w:rStyle w:val="Hyperlink"/>
            <w:noProof/>
          </w:rPr>
          <w:t>Table 4.23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years of service in Regular ADF</w:t>
        </w:r>
        <w:r w:rsidR="00F926F5">
          <w:rPr>
            <w:noProof/>
          </w:rPr>
          <w:tab/>
        </w:r>
        <w:r w:rsidR="00F926F5">
          <w:rPr>
            <w:noProof/>
          </w:rPr>
          <w:fldChar w:fldCharType="begin"/>
        </w:r>
        <w:r w:rsidR="00F926F5">
          <w:rPr>
            <w:noProof/>
          </w:rPr>
          <w:instrText xml:space="preserve"> PAGEREF _Toc511900426 \h </w:instrText>
        </w:r>
        <w:r w:rsidR="00F926F5">
          <w:rPr>
            <w:noProof/>
          </w:rPr>
        </w:r>
        <w:r w:rsidR="00F926F5">
          <w:rPr>
            <w:noProof/>
          </w:rPr>
          <w:fldChar w:fldCharType="separate"/>
        </w:r>
        <w:r>
          <w:rPr>
            <w:noProof/>
          </w:rPr>
          <w:t>94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7" w:history="1">
        <w:r w:rsidR="00F926F5" w:rsidRPr="005F6BCC">
          <w:rPr>
            <w:rStyle w:val="Hyperlink"/>
            <w:noProof/>
          </w:rPr>
          <w:t>Table 4.24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years since transition</w:t>
        </w:r>
        <w:r w:rsidR="00F926F5">
          <w:rPr>
            <w:noProof/>
          </w:rPr>
          <w:tab/>
        </w:r>
        <w:r w:rsidR="00F926F5">
          <w:rPr>
            <w:noProof/>
          </w:rPr>
          <w:fldChar w:fldCharType="begin"/>
        </w:r>
        <w:r w:rsidR="00F926F5">
          <w:rPr>
            <w:noProof/>
          </w:rPr>
          <w:instrText xml:space="preserve"> PAGEREF _Toc511900427 \h </w:instrText>
        </w:r>
        <w:r w:rsidR="00F926F5">
          <w:rPr>
            <w:noProof/>
          </w:rPr>
        </w:r>
        <w:r w:rsidR="00F926F5">
          <w:rPr>
            <w:noProof/>
          </w:rPr>
          <w:fldChar w:fldCharType="separate"/>
        </w:r>
        <w:r>
          <w:rPr>
            <w:noProof/>
          </w:rPr>
          <w:t>95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8" w:history="1">
        <w:r w:rsidR="00F926F5" w:rsidRPr="005F6BCC">
          <w:rPr>
            <w:rStyle w:val="Hyperlink"/>
            <w:noProof/>
          </w:rPr>
          <w:t>Table 4.25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reason for discharge</w:t>
        </w:r>
        <w:r w:rsidR="00F926F5">
          <w:rPr>
            <w:noProof/>
          </w:rPr>
          <w:tab/>
        </w:r>
        <w:r w:rsidR="00F926F5">
          <w:rPr>
            <w:noProof/>
          </w:rPr>
          <w:fldChar w:fldCharType="begin"/>
        </w:r>
        <w:r w:rsidR="00F926F5">
          <w:rPr>
            <w:noProof/>
          </w:rPr>
          <w:instrText xml:space="preserve"> PAGEREF _Toc511900428 \h </w:instrText>
        </w:r>
        <w:r w:rsidR="00F926F5">
          <w:rPr>
            <w:noProof/>
          </w:rPr>
        </w:r>
        <w:r w:rsidR="00F926F5">
          <w:rPr>
            <w:noProof/>
          </w:rPr>
          <w:fldChar w:fldCharType="separate"/>
        </w:r>
        <w:r>
          <w:rPr>
            <w:noProof/>
          </w:rPr>
          <w:t>96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29" w:history="1">
        <w:r w:rsidR="00F926F5" w:rsidRPr="005F6BCC">
          <w:rPr>
            <w:rStyle w:val="Hyperlink"/>
            <w:noProof/>
          </w:rPr>
          <w:t>Table 4.26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affective disorders in Transitioned ADF, by affective disorder type and DVA status</w:t>
        </w:r>
        <w:r w:rsidR="00F926F5">
          <w:rPr>
            <w:noProof/>
          </w:rPr>
          <w:tab/>
        </w:r>
        <w:r w:rsidR="00F926F5">
          <w:rPr>
            <w:noProof/>
          </w:rPr>
          <w:fldChar w:fldCharType="begin"/>
        </w:r>
        <w:r w:rsidR="00F926F5">
          <w:rPr>
            <w:noProof/>
          </w:rPr>
          <w:instrText xml:space="preserve"> PAGEREF _Toc511900429 \h </w:instrText>
        </w:r>
        <w:r w:rsidR="00F926F5">
          <w:rPr>
            <w:noProof/>
          </w:rPr>
        </w:r>
        <w:r w:rsidR="00F926F5">
          <w:rPr>
            <w:noProof/>
          </w:rPr>
          <w:fldChar w:fldCharType="separate"/>
        </w:r>
        <w:r>
          <w:rPr>
            <w:noProof/>
          </w:rPr>
          <w:t>98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0" w:history="1">
        <w:r w:rsidR="00F926F5" w:rsidRPr="005F6BCC">
          <w:rPr>
            <w:rStyle w:val="Hyperlink"/>
            <w:noProof/>
          </w:rPr>
          <w:t>Table 4.27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w:t>
        </w:r>
        <w:r w:rsidR="00F926F5">
          <w:rPr>
            <w:noProof/>
          </w:rPr>
          <w:tab/>
        </w:r>
        <w:r w:rsidR="00F926F5">
          <w:rPr>
            <w:noProof/>
          </w:rPr>
          <w:fldChar w:fldCharType="begin"/>
        </w:r>
        <w:r w:rsidR="00F926F5">
          <w:rPr>
            <w:noProof/>
          </w:rPr>
          <w:instrText xml:space="preserve"> PAGEREF _Toc511900430 \h </w:instrText>
        </w:r>
        <w:r w:rsidR="00F926F5">
          <w:rPr>
            <w:noProof/>
          </w:rPr>
        </w:r>
        <w:r w:rsidR="00F926F5">
          <w:rPr>
            <w:noProof/>
          </w:rPr>
          <w:fldChar w:fldCharType="separate"/>
        </w:r>
        <w:r>
          <w:rPr>
            <w:noProof/>
          </w:rPr>
          <w:t>100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1" w:history="1">
        <w:r w:rsidR="00F926F5" w:rsidRPr="005F6BCC">
          <w:rPr>
            <w:rStyle w:val="Hyperlink"/>
            <w:noProof/>
          </w:rPr>
          <w:t>Table 4.28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transition status (Ex-Serving, Inactive Reservist and Active Reservist)</w:t>
        </w:r>
        <w:r w:rsidR="00F926F5">
          <w:rPr>
            <w:noProof/>
          </w:rPr>
          <w:tab/>
        </w:r>
        <w:r w:rsidR="00F926F5">
          <w:rPr>
            <w:noProof/>
          </w:rPr>
          <w:fldChar w:fldCharType="begin"/>
        </w:r>
        <w:r w:rsidR="00F926F5">
          <w:rPr>
            <w:noProof/>
          </w:rPr>
          <w:instrText xml:space="preserve"> PAGEREF _Toc511900431 \h </w:instrText>
        </w:r>
        <w:r w:rsidR="00F926F5">
          <w:rPr>
            <w:noProof/>
          </w:rPr>
        </w:r>
        <w:r w:rsidR="00F926F5">
          <w:rPr>
            <w:noProof/>
          </w:rPr>
          <w:fldChar w:fldCharType="separate"/>
        </w:r>
        <w:r>
          <w:rPr>
            <w:noProof/>
          </w:rPr>
          <w:t>101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2" w:history="1">
        <w:r w:rsidR="00F926F5" w:rsidRPr="005F6BCC">
          <w:rPr>
            <w:rStyle w:val="Hyperlink"/>
            <w:noProof/>
          </w:rPr>
          <w:t>Table 4.29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sex</w:t>
        </w:r>
        <w:r w:rsidR="00F926F5">
          <w:rPr>
            <w:noProof/>
          </w:rPr>
          <w:tab/>
        </w:r>
        <w:r w:rsidR="00F926F5">
          <w:rPr>
            <w:noProof/>
          </w:rPr>
          <w:fldChar w:fldCharType="begin"/>
        </w:r>
        <w:r w:rsidR="00F926F5">
          <w:rPr>
            <w:noProof/>
          </w:rPr>
          <w:instrText xml:space="preserve"> PAGEREF _Toc511900432 \h </w:instrText>
        </w:r>
        <w:r w:rsidR="00F926F5">
          <w:rPr>
            <w:noProof/>
          </w:rPr>
        </w:r>
        <w:r w:rsidR="00F926F5">
          <w:rPr>
            <w:noProof/>
          </w:rPr>
          <w:fldChar w:fldCharType="separate"/>
        </w:r>
        <w:r>
          <w:rPr>
            <w:noProof/>
          </w:rPr>
          <w:t>102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3" w:history="1">
        <w:r w:rsidR="00F926F5" w:rsidRPr="005F6BCC">
          <w:rPr>
            <w:rStyle w:val="Hyperlink"/>
            <w:noProof/>
          </w:rPr>
          <w:t>Table 4.30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age</w:t>
        </w:r>
        <w:r w:rsidR="00F926F5">
          <w:rPr>
            <w:noProof/>
          </w:rPr>
          <w:tab/>
        </w:r>
        <w:r w:rsidR="00F926F5">
          <w:rPr>
            <w:noProof/>
          </w:rPr>
          <w:fldChar w:fldCharType="begin"/>
        </w:r>
        <w:r w:rsidR="00F926F5">
          <w:rPr>
            <w:noProof/>
          </w:rPr>
          <w:instrText xml:space="preserve"> PAGEREF _Toc511900433 \h </w:instrText>
        </w:r>
        <w:r w:rsidR="00F926F5">
          <w:rPr>
            <w:noProof/>
          </w:rPr>
        </w:r>
        <w:r w:rsidR="00F926F5">
          <w:rPr>
            <w:noProof/>
          </w:rPr>
          <w:fldChar w:fldCharType="separate"/>
        </w:r>
        <w:r>
          <w:rPr>
            <w:noProof/>
          </w:rPr>
          <w:t>104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4" w:history="1">
        <w:r w:rsidR="00F926F5" w:rsidRPr="005F6BCC">
          <w:rPr>
            <w:rStyle w:val="Hyperlink"/>
            <w:noProof/>
          </w:rPr>
          <w:t>Table 4.31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(Navy, Army and Air Force)</w:t>
        </w:r>
        <w:r w:rsidR="00F926F5">
          <w:rPr>
            <w:noProof/>
          </w:rPr>
          <w:tab/>
        </w:r>
        <w:r w:rsidR="00F926F5">
          <w:rPr>
            <w:noProof/>
          </w:rPr>
          <w:fldChar w:fldCharType="begin"/>
        </w:r>
        <w:r w:rsidR="00F926F5">
          <w:rPr>
            <w:noProof/>
          </w:rPr>
          <w:instrText xml:space="preserve"> PAGEREF _Toc511900434 \h </w:instrText>
        </w:r>
        <w:r w:rsidR="00F926F5">
          <w:rPr>
            <w:noProof/>
          </w:rPr>
        </w:r>
        <w:r w:rsidR="00F926F5">
          <w:rPr>
            <w:noProof/>
          </w:rPr>
          <w:fldChar w:fldCharType="separate"/>
        </w:r>
        <w:r>
          <w:rPr>
            <w:noProof/>
          </w:rPr>
          <w:t>106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5" w:history="1">
        <w:r w:rsidR="00F926F5" w:rsidRPr="005F6BCC">
          <w:rPr>
            <w:rStyle w:val="Hyperlink"/>
            <w:noProof/>
          </w:rPr>
          <w:t>Table 4.32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ADF rank/rank at time of transition from service in Regular ADF</w:t>
        </w:r>
        <w:r w:rsidR="00F926F5">
          <w:rPr>
            <w:noProof/>
          </w:rPr>
          <w:tab/>
        </w:r>
        <w:r w:rsidR="00F926F5">
          <w:rPr>
            <w:noProof/>
          </w:rPr>
          <w:fldChar w:fldCharType="begin"/>
        </w:r>
        <w:r w:rsidR="00F926F5">
          <w:rPr>
            <w:noProof/>
          </w:rPr>
          <w:instrText xml:space="preserve"> PAGEREF _Toc511900435 \h </w:instrText>
        </w:r>
        <w:r w:rsidR="00F926F5">
          <w:rPr>
            <w:noProof/>
          </w:rPr>
        </w:r>
        <w:r w:rsidR="00F926F5">
          <w:rPr>
            <w:noProof/>
          </w:rPr>
          <w:fldChar w:fldCharType="separate"/>
        </w:r>
        <w:r>
          <w:rPr>
            <w:noProof/>
          </w:rPr>
          <w:t>107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6" w:history="1">
        <w:r w:rsidR="00F926F5" w:rsidRPr="005F6BCC">
          <w:rPr>
            <w:rStyle w:val="Hyperlink"/>
            <w:noProof/>
          </w:rPr>
          <w:t>Table 4.33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by alcohol disorder type and deployment status</w:t>
        </w:r>
        <w:r w:rsidR="00F926F5">
          <w:rPr>
            <w:noProof/>
          </w:rPr>
          <w:tab/>
        </w:r>
        <w:r w:rsidR="00F926F5">
          <w:rPr>
            <w:noProof/>
          </w:rPr>
          <w:fldChar w:fldCharType="begin"/>
        </w:r>
        <w:r w:rsidR="00F926F5">
          <w:rPr>
            <w:noProof/>
          </w:rPr>
          <w:instrText xml:space="preserve"> PAGEREF _Toc511900436 \h </w:instrText>
        </w:r>
        <w:r w:rsidR="00F926F5">
          <w:rPr>
            <w:noProof/>
          </w:rPr>
        </w:r>
        <w:r w:rsidR="00F926F5">
          <w:rPr>
            <w:noProof/>
          </w:rPr>
          <w:fldChar w:fldCharType="separate"/>
        </w:r>
        <w:r>
          <w:rPr>
            <w:noProof/>
          </w:rPr>
          <w:t>108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7" w:history="1">
        <w:r w:rsidR="00F926F5" w:rsidRPr="005F6BCC">
          <w:rPr>
            <w:rStyle w:val="Hyperlink"/>
            <w:noProof/>
          </w:rPr>
          <w:t>Table 4.34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by years of servicer in the Regular ADF*</w:t>
        </w:r>
        <w:r w:rsidR="00F926F5">
          <w:rPr>
            <w:noProof/>
          </w:rPr>
          <w:tab/>
        </w:r>
        <w:r w:rsidR="00F926F5">
          <w:rPr>
            <w:noProof/>
          </w:rPr>
          <w:fldChar w:fldCharType="begin"/>
        </w:r>
        <w:r w:rsidR="00F926F5">
          <w:rPr>
            <w:noProof/>
          </w:rPr>
          <w:instrText xml:space="preserve"> PAGEREF _Toc511900437 \h </w:instrText>
        </w:r>
        <w:r w:rsidR="00F926F5">
          <w:rPr>
            <w:noProof/>
          </w:rPr>
        </w:r>
        <w:r w:rsidR="00F926F5">
          <w:rPr>
            <w:noProof/>
          </w:rPr>
          <w:fldChar w:fldCharType="separate"/>
        </w:r>
        <w:r>
          <w:rPr>
            <w:noProof/>
          </w:rPr>
          <w:t>110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8" w:history="1">
        <w:r w:rsidR="00F926F5" w:rsidRPr="005F6BCC">
          <w:rPr>
            <w:rStyle w:val="Hyperlink"/>
            <w:noProof/>
          </w:rPr>
          <w:t>Table 4.35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years since transition</w:t>
        </w:r>
        <w:r w:rsidR="00F926F5">
          <w:rPr>
            <w:noProof/>
          </w:rPr>
          <w:tab/>
        </w:r>
        <w:r w:rsidR="00F926F5">
          <w:rPr>
            <w:noProof/>
          </w:rPr>
          <w:fldChar w:fldCharType="begin"/>
        </w:r>
        <w:r w:rsidR="00F926F5">
          <w:rPr>
            <w:noProof/>
          </w:rPr>
          <w:instrText xml:space="preserve"> PAGEREF _Toc511900438 \h </w:instrText>
        </w:r>
        <w:r w:rsidR="00F926F5">
          <w:rPr>
            <w:noProof/>
          </w:rPr>
        </w:r>
        <w:r w:rsidR="00F926F5">
          <w:rPr>
            <w:noProof/>
          </w:rPr>
          <w:fldChar w:fldCharType="separate"/>
        </w:r>
        <w:r>
          <w:rPr>
            <w:noProof/>
          </w:rPr>
          <w:t>112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39" w:history="1">
        <w:r w:rsidR="00F926F5" w:rsidRPr="005F6BCC">
          <w:rPr>
            <w:rStyle w:val="Hyperlink"/>
            <w:noProof/>
          </w:rPr>
          <w:t>Table 4.36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reason for discharge</w:t>
        </w:r>
        <w:r w:rsidR="00F926F5">
          <w:rPr>
            <w:noProof/>
          </w:rPr>
          <w:tab/>
        </w:r>
        <w:r w:rsidR="00F926F5">
          <w:rPr>
            <w:noProof/>
          </w:rPr>
          <w:fldChar w:fldCharType="begin"/>
        </w:r>
        <w:r w:rsidR="00F926F5">
          <w:rPr>
            <w:noProof/>
          </w:rPr>
          <w:instrText xml:space="preserve"> PAGEREF _Toc511900439 \h </w:instrText>
        </w:r>
        <w:r w:rsidR="00F926F5">
          <w:rPr>
            <w:noProof/>
          </w:rPr>
        </w:r>
        <w:r w:rsidR="00F926F5">
          <w:rPr>
            <w:noProof/>
          </w:rPr>
          <w:fldChar w:fldCharType="separate"/>
        </w:r>
        <w:r>
          <w:rPr>
            <w:noProof/>
          </w:rPr>
          <w:t>113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0" w:history="1">
        <w:r w:rsidR="00F926F5" w:rsidRPr="005F6BCC">
          <w:rPr>
            <w:rStyle w:val="Hyperlink"/>
            <w:noProof/>
          </w:rPr>
          <w:t>Table 4.37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ICD-10 alcohol disorders in Transitioned ADF members, by alcohol disorder type and DVA status</w:t>
        </w:r>
        <w:r w:rsidR="00F926F5">
          <w:rPr>
            <w:noProof/>
          </w:rPr>
          <w:tab/>
        </w:r>
        <w:r w:rsidR="00F926F5">
          <w:rPr>
            <w:noProof/>
          </w:rPr>
          <w:fldChar w:fldCharType="begin"/>
        </w:r>
        <w:r w:rsidR="00F926F5">
          <w:rPr>
            <w:noProof/>
          </w:rPr>
          <w:instrText xml:space="preserve"> PAGEREF _Toc511900440 \h </w:instrText>
        </w:r>
        <w:r w:rsidR="00F926F5">
          <w:rPr>
            <w:noProof/>
          </w:rPr>
        </w:r>
        <w:r w:rsidR="00F926F5">
          <w:rPr>
            <w:noProof/>
          </w:rPr>
          <w:fldChar w:fldCharType="separate"/>
        </w:r>
        <w:r>
          <w:rPr>
            <w:noProof/>
          </w:rPr>
          <w:t>114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1" w:history="1">
        <w:r w:rsidR="00F926F5" w:rsidRPr="005F6BCC">
          <w:rPr>
            <w:rStyle w:val="Hyperlink"/>
            <w:noProof/>
          </w:rPr>
          <w:t>Table 4.38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n (%) of single and comorbid affective, anxiety (excluding PTSD), PTSD and alcohol disorder in the Transitioned ADF in the last 12 months, using ICD-10 criteria</w:t>
        </w:r>
        <w:r w:rsidR="00F926F5">
          <w:rPr>
            <w:noProof/>
          </w:rPr>
          <w:tab/>
        </w:r>
        <w:r w:rsidR="00F926F5">
          <w:rPr>
            <w:noProof/>
          </w:rPr>
          <w:fldChar w:fldCharType="begin"/>
        </w:r>
        <w:r w:rsidR="00F926F5">
          <w:rPr>
            <w:noProof/>
          </w:rPr>
          <w:instrText xml:space="preserve"> PAGEREF _Toc511900441 \h </w:instrText>
        </w:r>
        <w:r w:rsidR="00F926F5">
          <w:rPr>
            <w:noProof/>
          </w:rPr>
        </w:r>
        <w:r w:rsidR="00F926F5">
          <w:rPr>
            <w:noProof/>
          </w:rPr>
          <w:fldChar w:fldCharType="separate"/>
        </w:r>
        <w:r>
          <w:rPr>
            <w:noProof/>
          </w:rPr>
          <w:t>117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2" w:history="1">
        <w:r w:rsidR="00F926F5" w:rsidRPr="005F6BCC">
          <w:rPr>
            <w:rStyle w:val="Hyperlink"/>
            <w:noProof/>
          </w:rPr>
          <w:t>Table 4.39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comorbidity for the subgroups of the Transitioned ADF</w:t>
        </w:r>
        <w:r w:rsidR="00F926F5">
          <w:rPr>
            <w:noProof/>
          </w:rPr>
          <w:tab/>
        </w:r>
        <w:r w:rsidR="00F926F5">
          <w:rPr>
            <w:noProof/>
          </w:rPr>
          <w:fldChar w:fldCharType="begin"/>
        </w:r>
        <w:r w:rsidR="00F926F5">
          <w:rPr>
            <w:noProof/>
          </w:rPr>
          <w:instrText xml:space="preserve"> PAGEREF _Toc511900442 \h </w:instrText>
        </w:r>
        <w:r w:rsidR="00F926F5">
          <w:rPr>
            <w:noProof/>
          </w:rPr>
        </w:r>
        <w:r w:rsidR="00F926F5">
          <w:rPr>
            <w:noProof/>
          </w:rPr>
          <w:fldChar w:fldCharType="separate"/>
        </w:r>
        <w:r>
          <w:rPr>
            <w:noProof/>
          </w:rPr>
          <w:t>118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3" w:history="1">
        <w:r w:rsidR="00F926F5" w:rsidRPr="005F6BCC">
          <w:rPr>
            <w:rStyle w:val="Hyperlink"/>
            <w:noProof/>
          </w:rPr>
          <w:t>Table 4.40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Self-reported suicidal ideation, and suicide plans and attempts in the Transitioned ADF</w:t>
        </w:r>
        <w:r w:rsidR="00F926F5">
          <w:rPr>
            <w:noProof/>
          </w:rPr>
          <w:tab/>
        </w:r>
        <w:r w:rsidR="00F926F5">
          <w:rPr>
            <w:noProof/>
          </w:rPr>
          <w:fldChar w:fldCharType="begin"/>
        </w:r>
        <w:r w:rsidR="00F926F5">
          <w:rPr>
            <w:noProof/>
          </w:rPr>
          <w:instrText xml:space="preserve"> PAGEREF _Toc511900443 \h </w:instrText>
        </w:r>
        <w:r w:rsidR="00F926F5">
          <w:rPr>
            <w:noProof/>
          </w:rPr>
        </w:r>
        <w:r w:rsidR="00F926F5">
          <w:rPr>
            <w:noProof/>
          </w:rPr>
          <w:fldChar w:fldCharType="separate"/>
        </w:r>
        <w:r>
          <w:rPr>
            <w:noProof/>
          </w:rPr>
          <w:t>120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4" w:history="1">
        <w:r w:rsidR="00F926F5" w:rsidRPr="005F6BCC">
          <w:rPr>
            <w:rStyle w:val="Hyperlink"/>
            <w:noProof/>
          </w:rPr>
          <w:t>Table 4.41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in Transitioned ADF members, by transition status (Ex-Serving, Inactive Reservists, and Active Reservists)</w:t>
        </w:r>
        <w:r w:rsidR="00F926F5">
          <w:rPr>
            <w:noProof/>
          </w:rPr>
          <w:tab/>
        </w:r>
        <w:r w:rsidR="00F926F5">
          <w:rPr>
            <w:noProof/>
          </w:rPr>
          <w:fldChar w:fldCharType="begin"/>
        </w:r>
        <w:r w:rsidR="00F926F5">
          <w:rPr>
            <w:noProof/>
          </w:rPr>
          <w:instrText xml:space="preserve"> PAGEREF _Toc511900444 \h </w:instrText>
        </w:r>
        <w:r w:rsidR="00F926F5">
          <w:rPr>
            <w:noProof/>
          </w:rPr>
        </w:r>
        <w:r w:rsidR="00F926F5">
          <w:rPr>
            <w:noProof/>
          </w:rPr>
          <w:fldChar w:fldCharType="separate"/>
        </w:r>
        <w:r>
          <w:rPr>
            <w:noProof/>
          </w:rPr>
          <w:t>121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5" w:history="1">
        <w:r w:rsidR="00F926F5" w:rsidRPr="005F6BCC">
          <w:rPr>
            <w:rStyle w:val="Hyperlink"/>
            <w:noProof/>
          </w:rPr>
          <w:t>Table 4.42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in Transitioned ADF members, by sex</w:t>
        </w:r>
        <w:r w:rsidR="00F926F5">
          <w:rPr>
            <w:noProof/>
          </w:rPr>
          <w:tab/>
        </w:r>
        <w:r w:rsidR="00F926F5">
          <w:rPr>
            <w:noProof/>
          </w:rPr>
          <w:fldChar w:fldCharType="begin"/>
        </w:r>
        <w:r w:rsidR="00F926F5">
          <w:rPr>
            <w:noProof/>
          </w:rPr>
          <w:instrText xml:space="preserve"> PAGEREF _Toc511900445 \h </w:instrText>
        </w:r>
        <w:r w:rsidR="00F926F5">
          <w:rPr>
            <w:noProof/>
          </w:rPr>
        </w:r>
        <w:r w:rsidR="00F926F5">
          <w:rPr>
            <w:noProof/>
          </w:rPr>
          <w:fldChar w:fldCharType="separate"/>
        </w:r>
        <w:r>
          <w:rPr>
            <w:noProof/>
          </w:rPr>
          <w:t>122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6" w:history="1">
        <w:r w:rsidR="00F926F5" w:rsidRPr="005F6BCC">
          <w:rPr>
            <w:rStyle w:val="Hyperlink"/>
            <w:noProof/>
          </w:rPr>
          <w:t>Table 4.43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in Transitioned ADF members, by age</w:t>
        </w:r>
        <w:r w:rsidR="00F926F5">
          <w:rPr>
            <w:noProof/>
          </w:rPr>
          <w:tab/>
        </w:r>
        <w:r w:rsidR="00F926F5">
          <w:rPr>
            <w:noProof/>
          </w:rPr>
          <w:fldChar w:fldCharType="begin"/>
        </w:r>
        <w:r w:rsidR="00F926F5">
          <w:rPr>
            <w:noProof/>
          </w:rPr>
          <w:instrText xml:space="preserve"> PAGEREF _Toc511900446 \h </w:instrText>
        </w:r>
        <w:r w:rsidR="00F926F5">
          <w:rPr>
            <w:noProof/>
          </w:rPr>
        </w:r>
        <w:r w:rsidR="00F926F5">
          <w:rPr>
            <w:noProof/>
          </w:rPr>
          <w:fldChar w:fldCharType="separate"/>
        </w:r>
        <w:r>
          <w:rPr>
            <w:noProof/>
          </w:rPr>
          <w:t>124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7" w:history="1">
        <w:r w:rsidR="00F926F5" w:rsidRPr="005F6BCC">
          <w:rPr>
            <w:rStyle w:val="Hyperlink"/>
            <w:noProof/>
          </w:rPr>
          <w:t>Table 4.44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by Service at transition from Regular ADF into Transitioned ADF (Navy, Army, Air Force)</w:t>
        </w:r>
        <w:r w:rsidR="00F926F5">
          <w:rPr>
            <w:noProof/>
          </w:rPr>
          <w:tab/>
        </w:r>
        <w:r w:rsidR="00F926F5">
          <w:rPr>
            <w:noProof/>
          </w:rPr>
          <w:fldChar w:fldCharType="begin"/>
        </w:r>
        <w:r w:rsidR="00F926F5">
          <w:rPr>
            <w:noProof/>
          </w:rPr>
          <w:instrText xml:space="preserve"> PAGEREF _Toc511900447 \h </w:instrText>
        </w:r>
        <w:r w:rsidR="00F926F5">
          <w:rPr>
            <w:noProof/>
          </w:rPr>
        </w:r>
        <w:r w:rsidR="00F926F5">
          <w:rPr>
            <w:noProof/>
          </w:rPr>
          <w:fldChar w:fldCharType="separate"/>
        </w:r>
        <w:r>
          <w:rPr>
            <w:noProof/>
          </w:rPr>
          <w:t>126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8" w:history="1">
        <w:r w:rsidR="00F926F5" w:rsidRPr="005F6BCC">
          <w:rPr>
            <w:rStyle w:val="Hyperlink"/>
            <w:noProof/>
          </w:rPr>
          <w:t>Table 4.45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by rank at transition from Regular ADF into Transitioned ADF</w:t>
        </w:r>
        <w:r w:rsidR="00F926F5">
          <w:rPr>
            <w:noProof/>
          </w:rPr>
          <w:tab/>
        </w:r>
        <w:r w:rsidR="00F926F5">
          <w:rPr>
            <w:noProof/>
          </w:rPr>
          <w:fldChar w:fldCharType="begin"/>
        </w:r>
        <w:r w:rsidR="00F926F5">
          <w:rPr>
            <w:noProof/>
          </w:rPr>
          <w:instrText xml:space="preserve"> PAGEREF _Toc511900448 \h </w:instrText>
        </w:r>
        <w:r w:rsidR="00F926F5">
          <w:rPr>
            <w:noProof/>
          </w:rPr>
        </w:r>
        <w:r w:rsidR="00F926F5">
          <w:rPr>
            <w:noProof/>
          </w:rPr>
          <w:fldChar w:fldCharType="separate"/>
        </w:r>
        <w:r>
          <w:rPr>
            <w:noProof/>
          </w:rPr>
          <w:t>128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49" w:history="1">
        <w:r w:rsidR="00F926F5" w:rsidRPr="005F6BCC">
          <w:rPr>
            <w:rStyle w:val="Hyperlink"/>
            <w:noProof/>
          </w:rPr>
          <w:t>Table 4.46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12-month suicidality in the Transitioned ADF by deployment status</w:t>
        </w:r>
        <w:r w:rsidR="00F926F5">
          <w:rPr>
            <w:noProof/>
          </w:rPr>
          <w:tab/>
        </w:r>
        <w:r w:rsidR="00F926F5">
          <w:rPr>
            <w:noProof/>
          </w:rPr>
          <w:fldChar w:fldCharType="begin"/>
        </w:r>
        <w:r w:rsidR="00F926F5">
          <w:rPr>
            <w:noProof/>
          </w:rPr>
          <w:instrText xml:space="preserve"> PAGEREF _Toc511900449 \h </w:instrText>
        </w:r>
        <w:r w:rsidR="00F926F5">
          <w:rPr>
            <w:noProof/>
          </w:rPr>
        </w:r>
        <w:r w:rsidR="00F926F5">
          <w:rPr>
            <w:noProof/>
          </w:rPr>
          <w:fldChar w:fldCharType="separate"/>
        </w:r>
        <w:r>
          <w:rPr>
            <w:noProof/>
          </w:rPr>
          <w:t>129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0" w:history="1">
        <w:r w:rsidR="00F926F5" w:rsidRPr="005F6BCC">
          <w:rPr>
            <w:rStyle w:val="Hyperlink"/>
            <w:noProof/>
          </w:rPr>
          <w:t>Table 4.47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in Transitioned ADF members by years of service in Regular ADF</w:t>
        </w:r>
        <w:r w:rsidR="00F926F5">
          <w:rPr>
            <w:noProof/>
          </w:rPr>
          <w:tab/>
        </w:r>
        <w:r w:rsidR="00F926F5">
          <w:rPr>
            <w:noProof/>
          </w:rPr>
          <w:fldChar w:fldCharType="begin"/>
        </w:r>
        <w:r w:rsidR="00F926F5">
          <w:rPr>
            <w:noProof/>
          </w:rPr>
          <w:instrText xml:space="preserve"> PAGEREF _Toc511900450 \h </w:instrText>
        </w:r>
        <w:r w:rsidR="00F926F5">
          <w:rPr>
            <w:noProof/>
          </w:rPr>
        </w:r>
        <w:r w:rsidR="00F926F5">
          <w:rPr>
            <w:noProof/>
          </w:rPr>
          <w:fldChar w:fldCharType="separate"/>
        </w:r>
        <w:r>
          <w:rPr>
            <w:noProof/>
          </w:rPr>
          <w:t>131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1" w:history="1">
        <w:r w:rsidR="00F926F5" w:rsidRPr="005F6BCC">
          <w:rPr>
            <w:rStyle w:val="Hyperlink"/>
            <w:noProof/>
          </w:rPr>
          <w:t>Table 4.48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by number of years since transition from the Regular ADF into Transitioned ADF</w:t>
        </w:r>
        <w:r w:rsidR="00F926F5">
          <w:rPr>
            <w:noProof/>
          </w:rPr>
          <w:tab/>
        </w:r>
        <w:r w:rsidR="00F926F5">
          <w:rPr>
            <w:noProof/>
          </w:rPr>
          <w:fldChar w:fldCharType="begin"/>
        </w:r>
        <w:r w:rsidR="00F926F5">
          <w:rPr>
            <w:noProof/>
          </w:rPr>
          <w:instrText xml:space="preserve"> PAGEREF _Toc511900451 \h </w:instrText>
        </w:r>
        <w:r w:rsidR="00F926F5">
          <w:rPr>
            <w:noProof/>
          </w:rPr>
        </w:r>
        <w:r w:rsidR="00F926F5">
          <w:rPr>
            <w:noProof/>
          </w:rPr>
          <w:fldChar w:fldCharType="separate"/>
        </w:r>
        <w:r>
          <w:rPr>
            <w:noProof/>
          </w:rPr>
          <w:t>133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2" w:history="1">
        <w:r w:rsidR="00F926F5" w:rsidRPr="005F6BCC">
          <w:rPr>
            <w:rStyle w:val="Hyperlink"/>
            <w:noProof/>
          </w:rPr>
          <w:t>Table 4.49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in Transitioned ADF members, by medical versus other reason for discharge</w:t>
        </w:r>
        <w:r w:rsidR="00F926F5">
          <w:rPr>
            <w:noProof/>
          </w:rPr>
          <w:tab/>
        </w:r>
        <w:r w:rsidR="00F926F5">
          <w:rPr>
            <w:noProof/>
          </w:rPr>
          <w:fldChar w:fldCharType="begin"/>
        </w:r>
        <w:r w:rsidR="00F926F5">
          <w:rPr>
            <w:noProof/>
          </w:rPr>
          <w:instrText xml:space="preserve"> PAGEREF _Toc511900452 \h </w:instrText>
        </w:r>
        <w:r w:rsidR="00F926F5">
          <w:rPr>
            <w:noProof/>
          </w:rPr>
        </w:r>
        <w:r w:rsidR="00F926F5">
          <w:rPr>
            <w:noProof/>
          </w:rPr>
          <w:fldChar w:fldCharType="separate"/>
        </w:r>
        <w:r>
          <w:rPr>
            <w:noProof/>
          </w:rPr>
          <w:t>135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3" w:history="1">
        <w:r w:rsidR="00F926F5" w:rsidRPr="005F6BCC">
          <w:rPr>
            <w:rStyle w:val="Hyperlink"/>
            <w:noProof/>
          </w:rPr>
          <w:t>Table 4.50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suicidality in Transitioned ADF members, by DVA status</w:t>
        </w:r>
        <w:r w:rsidR="00F926F5">
          <w:rPr>
            <w:noProof/>
          </w:rPr>
          <w:tab/>
        </w:r>
        <w:r w:rsidR="00F926F5">
          <w:rPr>
            <w:noProof/>
          </w:rPr>
          <w:fldChar w:fldCharType="begin"/>
        </w:r>
        <w:r w:rsidR="00F926F5">
          <w:rPr>
            <w:noProof/>
          </w:rPr>
          <w:instrText xml:space="preserve"> PAGEREF _Toc511900453 \h </w:instrText>
        </w:r>
        <w:r w:rsidR="00F926F5">
          <w:rPr>
            <w:noProof/>
          </w:rPr>
        </w:r>
        <w:r w:rsidR="00F926F5">
          <w:rPr>
            <w:noProof/>
          </w:rPr>
          <w:fldChar w:fldCharType="separate"/>
        </w:r>
        <w:r>
          <w:rPr>
            <w:noProof/>
          </w:rPr>
          <w:t>136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4" w:history="1">
        <w:r w:rsidR="00F926F5" w:rsidRPr="005F6BCC">
          <w:rPr>
            <w:rStyle w:val="Hyperlink"/>
            <w:noProof/>
          </w:rPr>
          <w:t>Table 5.1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2010 and 2015 Regular ADF in each of the four K10 scoring bands for psychological distress</w:t>
        </w:r>
        <w:r w:rsidR="00F926F5">
          <w:rPr>
            <w:noProof/>
          </w:rPr>
          <w:tab/>
        </w:r>
        <w:r w:rsidR="00F926F5">
          <w:rPr>
            <w:noProof/>
          </w:rPr>
          <w:fldChar w:fldCharType="begin"/>
        </w:r>
        <w:r w:rsidR="00F926F5">
          <w:rPr>
            <w:noProof/>
          </w:rPr>
          <w:instrText xml:space="preserve"> PAGEREF _Toc511900454 \h </w:instrText>
        </w:r>
        <w:r w:rsidR="00F926F5">
          <w:rPr>
            <w:noProof/>
          </w:rPr>
        </w:r>
        <w:r w:rsidR="00F926F5">
          <w:rPr>
            <w:noProof/>
          </w:rPr>
          <w:fldChar w:fldCharType="separate"/>
        </w:r>
        <w:r>
          <w:rPr>
            <w:noProof/>
          </w:rPr>
          <w:t>145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5" w:history="1">
        <w:r w:rsidR="00F926F5" w:rsidRPr="005F6BCC">
          <w:rPr>
            <w:rStyle w:val="Hyperlink"/>
            <w:noProof/>
          </w:rPr>
          <w:t>Table 5.2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scoring in each of the K10 bands for psychological distress, by transition status</w:t>
        </w:r>
        <w:r w:rsidR="00F926F5">
          <w:rPr>
            <w:noProof/>
          </w:rPr>
          <w:tab/>
        </w:r>
        <w:r w:rsidR="00F926F5">
          <w:rPr>
            <w:noProof/>
          </w:rPr>
          <w:fldChar w:fldCharType="begin"/>
        </w:r>
        <w:r w:rsidR="00F926F5">
          <w:rPr>
            <w:noProof/>
          </w:rPr>
          <w:instrText xml:space="preserve"> PAGEREF _Toc511900455 \h </w:instrText>
        </w:r>
        <w:r w:rsidR="00F926F5">
          <w:rPr>
            <w:noProof/>
          </w:rPr>
        </w:r>
        <w:r w:rsidR="00F926F5">
          <w:rPr>
            <w:noProof/>
          </w:rPr>
          <w:fldChar w:fldCharType="separate"/>
        </w:r>
        <w:r>
          <w:rPr>
            <w:noProof/>
          </w:rPr>
          <w:t>147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6" w:history="1">
        <w:r w:rsidR="00F926F5" w:rsidRPr="005F6BCC">
          <w:rPr>
            <w:rStyle w:val="Hyperlink"/>
            <w:noProof/>
          </w:rPr>
          <w:t>Table 5.3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members in each year of transition, scoring in each of the four K10 bands for psychological distress</w:t>
        </w:r>
        <w:r w:rsidR="00F926F5">
          <w:rPr>
            <w:noProof/>
          </w:rPr>
          <w:tab/>
        </w:r>
        <w:r w:rsidR="00F926F5">
          <w:rPr>
            <w:noProof/>
          </w:rPr>
          <w:fldChar w:fldCharType="begin"/>
        </w:r>
        <w:r w:rsidR="00F926F5">
          <w:rPr>
            <w:noProof/>
          </w:rPr>
          <w:instrText xml:space="preserve"> PAGEREF _Toc511900456 \h </w:instrText>
        </w:r>
        <w:r w:rsidR="00F926F5">
          <w:rPr>
            <w:noProof/>
          </w:rPr>
        </w:r>
        <w:r w:rsidR="00F926F5">
          <w:rPr>
            <w:noProof/>
          </w:rPr>
          <w:fldChar w:fldCharType="separate"/>
        </w:r>
        <w:r>
          <w:rPr>
            <w:noProof/>
          </w:rPr>
          <w:t>148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7" w:history="1">
        <w:r w:rsidR="00F926F5" w:rsidRPr="005F6BCC">
          <w:rPr>
            <w:rStyle w:val="Hyperlink"/>
            <w:noProof/>
          </w:rPr>
          <w:t>Table 5.4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2010 and 2015 Regular ADF members in each of the four PCL bands for posttraumatic stress</w:t>
        </w:r>
        <w:r w:rsidR="00F926F5">
          <w:rPr>
            <w:noProof/>
          </w:rPr>
          <w:tab/>
        </w:r>
        <w:r w:rsidR="00F926F5">
          <w:rPr>
            <w:noProof/>
          </w:rPr>
          <w:fldChar w:fldCharType="begin"/>
        </w:r>
        <w:r w:rsidR="00F926F5">
          <w:rPr>
            <w:noProof/>
          </w:rPr>
          <w:instrText xml:space="preserve"> PAGEREF _Toc511900457 \h </w:instrText>
        </w:r>
        <w:r w:rsidR="00F926F5">
          <w:rPr>
            <w:noProof/>
          </w:rPr>
        </w:r>
        <w:r w:rsidR="00F926F5">
          <w:rPr>
            <w:noProof/>
          </w:rPr>
          <w:fldChar w:fldCharType="separate"/>
        </w:r>
        <w:r>
          <w:rPr>
            <w:noProof/>
          </w:rPr>
          <w:t>151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8" w:history="1">
        <w:r w:rsidR="00F926F5" w:rsidRPr="005F6BCC">
          <w:rPr>
            <w:rStyle w:val="Hyperlink"/>
            <w:noProof/>
          </w:rPr>
          <w:t>Table 5.5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scoring in each of the PCL bands for posttraumatic stress, by transition status</w:t>
        </w:r>
        <w:r w:rsidR="00F926F5">
          <w:rPr>
            <w:noProof/>
          </w:rPr>
          <w:tab/>
        </w:r>
        <w:r w:rsidR="00F926F5">
          <w:rPr>
            <w:noProof/>
          </w:rPr>
          <w:fldChar w:fldCharType="begin"/>
        </w:r>
        <w:r w:rsidR="00F926F5">
          <w:rPr>
            <w:noProof/>
          </w:rPr>
          <w:instrText xml:space="preserve"> PAGEREF _Toc511900458 \h </w:instrText>
        </w:r>
        <w:r w:rsidR="00F926F5">
          <w:rPr>
            <w:noProof/>
          </w:rPr>
        </w:r>
        <w:r w:rsidR="00F926F5">
          <w:rPr>
            <w:noProof/>
          </w:rPr>
          <w:fldChar w:fldCharType="separate"/>
        </w:r>
        <w:r>
          <w:rPr>
            <w:noProof/>
          </w:rPr>
          <w:t>153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59" w:history="1">
        <w:r w:rsidR="00F926F5" w:rsidRPr="005F6BCC">
          <w:rPr>
            <w:rStyle w:val="Hyperlink"/>
            <w:noProof/>
          </w:rPr>
          <w:t>Table 5.6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members scoring in each of the four PCL bands for posttraumatic stress, by years since transition</w:t>
        </w:r>
        <w:r w:rsidR="00F926F5">
          <w:rPr>
            <w:noProof/>
          </w:rPr>
          <w:tab/>
        </w:r>
        <w:r w:rsidR="00F926F5">
          <w:rPr>
            <w:noProof/>
          </w:rPr>
          <w:fldChar w:fldCharType="begin"/>
        </w:r>
        <w:r w:rsidR="00F926F5">
          <w:rPr>
            <w:noProof/>
          </w:rPr>
          <w:instrText xml:space="preserve"> PAGEREF _Toc511900459 \h </w:instrText>
        </w:r>
        <w:r w:rsidR="00F926F5">
          <w:rPr>
            <w:noProof/>
          </w:rPr>
        </w:r>
        <w:r w:rsidR="00F926F5">
          <w:rPr>
            <w:noProof/>
          </w:rPr>
          <w:fldChar w:fldCharType="separate"/>
        </w:r>
        <w:r>
          <w:rPr>
            <w:noProof/>
          </w:rPr>
          <w:t>154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0" w:history="1">
        <w:r w:rsidR="00F926F5" w:rsidRPr="005F6BCC">
          <w:rPr>
            <w:rStyle w:val="Hyperlink"/>
            <w:noProof/>
          </w:rPr>
          <w:t>Table 5.7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2010 and 2015 Regular ADF members in each of the four AUDIT scoring bands for problem alcohol use</w:t>
        </w:r>
        <w:r w:rsidR="00F926F5">
          <w:rPr>
            <w:noProof/>
          </w:rPr>
          <w:tab/>
        </w:r>
        <w:r w:rsidR="00F926F5">
          <w:rPr>
            <w:noProof/>
          </w:rPr>
          <w:fldChar w:fldCharType="begin"/>
        </w:r>
        <w:r w:rsidR="00F926F5">
          <w:rPr>
            <w:noProof/>
          </w:rPr>
          <w:instrText xml:space="preserve"> PAGEREF _Toc511900460 \h </w:instrText>
        </w:r>
        <w:r w:rsidR="00F926F5">
          <w:rPr>
            <w:noProof/>
          </w:rPr>
        </w:r>
        <w:r w:rsidR="00F926F5">
          <w:rPr>
            <w:noProof/>
          </w:rPr>
          <w:fldChar w:fldCharType="separate"/>
        </w:r>
        <w:r>
          <w:rPr>
            <w:noProof/>
          </w:rPr>
          <w:t>158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1" w:history="1">
        <w:r w:rsidR="00F926F5" w:rsidRPr="005F6BCC">
          <w:rPr>
            <w:rStyle w:val="Hyperlink"/>
            <w:noProof/>
          </w:rPr>
          <w:t>Table 5.8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members of Transitioned ADF, and 2010 and 2015 Regular ADF, by AUDIT, for frequency of alcohol consumption</w:t>
        </w:r>
        <w:r w:rsidR="00F926F5">
          <w:rPr>
            <w:noProof/>
          </w:rPr>
          <w:tab/>
        </w:r>
        <w:r w:rsidR="00F926F5">
          <w:rPr>
            <w:noProof/>
          </w:rPr>
          <w:fldChar w:fldCharType="begin"/>
        </w:r>
        <w:r w:rsidR="00F926F5">
          <w:rPr>
            <w:noProof/>
          </w:rPr>
          <w:instrText xml:space="preserve"> PAGEREF _Toc511900461 \h </w:instrText>
        </w:r>
        <w:r w:rsidR="00F926F5">
          <w:rPr>
            <w:noProof/>
          </w:rPr>
        </w:r>
        <w:r w:rsidR="00F926F5">
          <w:rPr>
            <w:noProof/>
          </w:rPr>
          <w:fldChar w:fldCharType="separate"/>
        </w:r>
        <w:r>
          <w:rPr>
            <w:noProof/>
          </w:rPr>
          <w:t>159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2" w:history="1">
        <w:r w:rsidR="00F926F5" w:rsidRPr="005F6BCC">
          <w:rPr>
            <w:rStyle w:val="Hyperlink"/>
            <w:noProof/>
          </w:rPr>
          <w:t>Table 5.9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2010 and 2015 Regular ADF, by number of standard alcoholic drinks consumed on a typical day</w:t>
        </w:r>
        <w:r w:rsidR="00F926F5">
          <w:rPr>
            <w:noProof/>
          </w:rPr>
          <w:tab/>
        </w:r>
        <w:r w:rsidR="00F926F5">
          <w:rPr>
            <w:noProof/>
          </w:rPr>
          <w:fldChar w:fldCharType="begin"/>
        </w:r>
        <w:r w:rsidR="00F926F5">
          <w:rPr>
            <w:noProof/>
          </w:rPr>
          <w:instrText xml:space="preserve"> PAGEREF _Toc511900462 \h </w:instrText>
        </w:r>
        <w:r w:rsidR="00F926F5">
          <w:rPr>
            <w:noProof/>
          </w:rPr>
        </w:r>
        <w:r w:rsidR="00F926F5">
          <w:rPr>
            <w:noProof/>
          </w:rPr>
          <w:fldChar w:fldCharType="separate"/>
        </w:r>
        <w:r>
          <w:rPr>
            <w:noProof/>
          </w:rPr>
          <w:t>161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3" w:history="1">
        <w:r w:rsidR="00F926F5" w:rsidRPr="005F6BCC">
          <w:rPr>
            <w:rStyle w:val="Hyperlink"/>
            <w:noProof/>
          </w:rPr>
          <w:t>Table 5.10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2010 and 2015 Regular ADF with self-reported drinking problem</w:t>
        </w:r>
        <w:r w:rsidR="00F926F5">
          <w:rPr>
            <w:noProof/>
          </w:rPr>
          <w:tab/>
        </w:r>
        <w:r w:rsidR="00F926F5">
          <w:rPr>
            <w:noProof/>
          </w:rPr>
          <w:fldChar w:fldCharType="begin"/>
        </w:r>
        <w:r w:rsidR="00F926F5">
          <w:rPr>
            <w:noProof/>
          </w:rPr>
          <w:instrText xml:space="preserve"> PAGEREF _Toc511900463 \h </w:instrText>
        </w:r>
        <w:r w:rsidR="00F926F5">
          <w:rPr>
            <w:noProof/>
          </w:rPr>
        </w:r>
        <w:r w:rsidR="00F926F5">
          <w:rPr>
            <w:noProof/>
          </w:rPr>
          <w:fldChar w:fldCharType="separate"/>
        </w:r>
        <w:r>
          <w:rPr>
            <w:noProof/>
          </w:rPr>
          <w:t>162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4" w:history="1">
        <w:r w:rsidR="00F926F5" w:rsidRPr="005F6BCC">
          <w:rPr>
            <w:rStyle w:val="Hyperlink"/>
            <w:noProof/>
          </w:rPr>
          <w:t>Table 5.11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2010 and 2015 Regular ADF who anticipate difficulty reducing their alcohol intake over the next three months</w:t>
        </w:r>
        <w:r w:rsidR="00F926F5">
          <w:rPr>
            <w:noProof/>
          </w:rPr>
          <w:tab/>
        </w:r>
        <w:r w:rsidR="00F926F5">
          <w:rPr>
            <w:noProof/>
          </w:rPr>
          <w:fldChar w:fldCharType="begin"/>
        </w:r>
        <w:r w:rsidR="00F926F5">
          <w:rPr>
            <w:noProof/>
          </w:rPr>
          <w:instrText xml:space="preserve"> PAGEREF _Toc511900464 \h </w:instrText>
        </w:r>
        <w:r w:rsidR="00F926F5">
          <w:rPr>
            <w:noProof/>
          </w:rPr>
        </w:r>
        <w:r w:rsidR="00F926F5">
          <w:rPr>
            <w:noProof/>
          </w:rPr>
          <w:fldChar w:fldCharType="separate"/>
        </w:r>
        <w:r>
          <w:rPr>
            <w:noProof/>
          </w:rPr>
          <w:t>163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5" w:history="1">
        <w:r w:rsidR="00F926F5" w:rsidRPr="005F6BCC">
          <w:rPr>
            <w:rStyle w:val="Hyperlink"/>
            <w:noProof/>
          </w:rPr>
          <w:t>Table 5.12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using AUDIT scoring bands, for problem alcohol use, by transition status</w:t>
        </w:r>
        <w:r w:rsidR="00F926F5">
          <w:rPr>
            <w:noProof/>
          </w:rPr>
          <w:tab/>
        </w:r>
        <w:r w:rsidR="00F926F5">
          <w:rPr>
            <w:noProof/>
          </w:rPr>
          <w:fldChar w:fldCharType="begin"/>
        </w:r>
        <w:r w:rsidR="00F926F5">
          <w:rPr>
            <w:noProof/>
          </w:rPr>
          <w:instrText xml:space="preserve"> PAGEREF _Toc511900465 \h </w:instrText>
        </w:r>
        <w:r w:rsidR="00F926F5">
          <w:rPr>
            <w:noProof/>
          </w:rPr>
        </w:r>
        <w:r w:rsidR="00F926F5">
          <w:rPr>
            <w:noProof/>
          </w:rPr>
          <w:fldChar w:fldCharType="separate"/>
        </w:r>
        <w:r>
          <w:rPr>
            <w:noProof/>
          </w:rPr>
          <w:t>165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6" w:history="1">
        <w:r w:rsidR="00F926F5" w:rsidRPr="005F6BCC">
          <w:rPr>
            <w:rStyle w:val="Hyperlink"/>
            <w:noProof/>
          </w:rPr>
          <w:t>Table 5.13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 of Transitioned ADF members scoring in each of the four AUDIT scoring bands for problem alcohol use, by years since transition</w:t>
        </w:r>
        <w:r w:rsidR="00F926F5">
          <w:rPr>
            <w:noProof/>
          </w:rPr>
          <w:tab/>
        </w:r>
        <w:r w:rsidR="00F926F5">
          <w:rPr>
            <w:noProof/>
          </w:rPr>
          <w:fldChar w:fldCharType="begin"/>
        </w:r>
        <w:r w:rsidR="00F926F5">
          <w:rPr>
            <w:noProof/>
          </w:rPr>
          <w:instrText xml:space="preserve"> PAGEREF _Toc511900466 \h </w:instrText>
        </w:r>
        <w:r w:rsidR="00F926F5">
          <w:rPr>
            <w:noProof/>
          </w:rPr>
        </w:r>
        <w:r w:rsidR="00F926F5">
          <w:rPr>
            <w:noProof/>
          </w:rPr>
          <w:fldChar w:fldCharType="separate"/>
        </w:r>
        <w:r>
          <w:rPr>
            <w:noProof/>
          </w:rPr>
          <w:t>166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7" w:history="1">
        <w:r w:rsidR="00F926F5" w:rsidRPr="005F6BCC">
          <w:rPr>
            <w:rStyle w:val="Hyperlink"/>
            <w:noProof/>
          </w:rPr>
          <w:t>Table 5.14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2010 and 2015 Regular ADF in each PHQ-9 scoring band for depressive symptoms</w:t>
        </w:r>
        <w:r w:rsidR="00F926F5">
          <w:rPr>
            <w:noProof/>
          </w:rPr>
          <w:tab/>
        </w:r>
        <w:r w:rsidR="00F926F5">
          <w:rPr>
            <w:noProof/>
          </w:rPr>
          <w:fldChar w:fldCharType="begin"/>
        </w:r>
        <w:r w:rsidR="00F926F5">
          <w:rPr>
            <w:noProof/>
          </w:rPr>
          <w:instrText xml:space="preserve"> PAGEREF _Toc511900467 \h </w:instrText>
        </w:r>
        <w:r w:rsidR="00F926F5">
          <w:rPr>
            <w:noProof/>
          </w:rPr>
        </w:r>
        <w:r w:rsidR="00F926F5">
          <w:rPr>
            <w:noProof/>
          </w:rPr>
          <w:fldChar w:fldCharType="separate"/>
        </w:r>
        <w:r>
          <w:rPr>
            <w:noProof/>
          </w:rPr>
          <w:t>169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8" w:history="1">
        <w:r w:rsidR="00F926F5" w:rsidRPr="005F6BCC">
          <w:rPr>
            <w:rStyle w:val="Hyperlink"/>
            <w:noProof/>
          </w:rPr>
          <w:t>Table 5.15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for PHQ-9 scoring bands for depressive symptoms by transition status</w:t>
        </w:r>
        <w:r w:rsidR="00F926F5">
          <w:rPr>
            <w:noProof/>
          </w:rPr>
          <w:tab/>
        </w:r>
        <w:r w:rsidR="00F926F5">
          <w:rPr>
            <w:noProof/>
          </w:rPr>
          <w:fldChar w:fldCharType="begin"/>
        </w:r>
        <w:r w:rsidR="00F926F5">
          <w:rPr>
            <w:noProof/>
          </w:rPr>
          <w:instrText xml:space="preserve"> PAGEREF _Toc511900468 \h </w:instrText>
        </w:r>
        <w:r w:rsidR="00F926F5">
          <w:rPr>
            <w:noProof/>
          </w:rPr>
        </w:r>
        <w:r w:rsidR="00F926F5">
          <w:rPr>
            <w:noProof/>
          </w:rPr>
          <w:fldChar w:fldCharType="separate"/>
        </w:r>
        <w:r>
          <w:rPr>
            <w:noProof/>
          </w:rPr>
          <w:t>171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69" w:history="1">
        <w:r w:rsidR="00F926F5" w:rsidRPr="005F6BCC">
          <w:rPr>
            <w:rStyle w:val="Hyperlink"/>
            <w:noProof/>
          </w:rPr>
          <w:t>Table 5.16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members in PHQ-9 scoring bands for depressive symptoms, by years since transition</w:t>
        </w:r>
        <w:r w:rsidR="00F926F5">
          <w:rPr>
            <w:noProof/>
          </w:rPr>
          <w:tab/>
        </w:r>
        <w:r w:rsidR="00F926F5">
          <w:rPr>
            <w:noProof/>
          </w:rPr>
          <w:fldChar w:fldCharType="begin"/>
        </w:r>
        <w:r w:rsidR="00F926F5">
          <w:rPr>
            <w:noProof/>
          </w:rPr>
          <w:instrText xml:space="preserve"> PAGEREF _Toc511900469 \h </w:instrText>
        </w:r>
        <w:r w:rsidR="00F926F5">
          <w:rPr>
            <w:noProof/>
          </w:rPr>
        </w:r>
        <w:r w:rsidR="00F926F5">
          <w:rPr>
            <w:noProof/>
          </w:rPr>
          <w:fldChar w:fldCharType="separate"/>
        </w:r>
        <w:r>
          <w:rPr>
            <w:noProof/>
          </w:rPr>
          <w:t>172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0" w:history="1">
        <w:r w:rsidR="00F926F5" w:rsidRPr="005F6BCC">
          <w:rPr>
            <w:rStyle w:val="Hyperlink"/>
            <w:noProof/>
          </w:rPr>
          <w:t>Table 5.17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anger symptoms among Transitioned ADF, and 2010 and 2015 Regular ADF, by symptoms</w:t>
        </w:r>
        <w:r w:rsidR="00F926F5">
          <w:rPr>
            <w:noProof/>
          </w:rPr>
          <w:tab/>
        </w:r>
        <w:r w:rsidR="00F926F5">
          <w:rPr>
            <w:noProof/>
          </w:rPr>
          <w:fldChar w:fldCharType="begin"/>
        </w:r>
        <w:r w:rsidR="00F926F5">
          <w:rPr>
            <w:noProof/>
          </w:rPr>
          <w:instrText xml:space="preserve"> PAGEREF _Toc511900470 \h </w:instrText>
        </w:r>
        <w:r w:rsidR="00F926F5">
          <w:rPr>
            <w:noProof/>
          </w:rPr>
        </w:r>
        <w:r w:rsidR="00F926F5">
          <w:rPr>
            <w:noProof/>
          </w:rPr>
          <w:fldChar w:fldCharType="separate"/>
        </w:r>
        <w:r>
          <w:rPr>
            <w:noProof/>
          </w:rPr>
          <w:t>175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1" w:history="1">
        <w:r w:rsidR="00F926F5" w:rsidRPr="005F6BCC">
          <w:rPr>
            <w:rStyle w:val="Hyperlink"/>
            <w:noProof/>
          </w:rPr>
          <w:t>Table 5.18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anger symptoms in Transitioned ADF, by transition status</w:t>
        </w:r>
        <w:r w:rsidR="00F926F5">
          <w:rPr>
            <w:noProof/>
          </w:rPr>
          <w:tab/>
        </w:r>
        <w:r w:rsidR="00F926F5">
          <w:rPr>
            <w:noProof/>
          </w:rPr>
          <w:fldChar w:fldCharType="begin"/>
        </w:r>
        <w:r w:rsidR="00F926F5">
          <w:rPr>
            <w:noProof/>
          </w:rPr>
          <w:instrText xml:space="preserve"> PAGEREF _Toc511900471 \h </w:instrText>
        </w:r>
        <w:r w:rsidR="00F926F5">
          <w:rPr>
            <w:noProof/>
          </w:rPr>
        </w:r>
        <w:r w:rsidR="00F926F5">
          <w:rPr>
            <w:noProof/>
          </w:rPr>
          <w:fldChar w:fldCharType="separate"/>
        </w:r>
        <w:r>
          <w:rPr>
            <w:noProof/>
          </w:rPr>
          <w:t>176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2" w:history="1">
        <w:r w:rsidR="00F926F5" w:rsidRPr="005F6BCC">
          <w:rPr>
            <w:rStyle w:val="Hyperlink"/>
            <w:noProof/>
          </w:rPr>
          <w:t>Table 5.19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anger symptoms in Transitioned ADF, by years since transition</w:t>
        </w:r>
        <w:r w:rsidR="00F926F5">
          <w:rPr>
            <w:noProof/>
          </w:rPr>
          <w:tab/>
        </w:r>
        <w:r w:rsidR="00F926F5">
          <w:rPr>
            <w:noProof/>
          </w:rPr>
          <w:fldChar w:fldCharType="begin"/>
        </w:r>
        <w:r w:rsidR="00F926F5">
          <w:rPr>
            <w:noProof/>
          </w:rPr>
          <w:instrText xml:space="preserve"> PAGEREF _Toc511900472 \h </w:instrText>
        </w:r>
        <w:r w:rsidR="00F926F5">
          <w:rPr>
            <w:noProof/>
          </w:rPr>
        </w:r>
        <w:r w:rsidR="00F926F5">
          <w:rPr>
            <w:noProof/>
          </w:rPr>
          <w:fldChar w:fldCharType="separate"/>
        </w:r>
        <w:r>
          <w:rPr>
            <w:noProof/>
          </w:rPr>
          <w:t>178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3" w:history="1">
        <w:r w:rsidR="00F926F5" w:rsidRPr="005F6BCC">
          <w:rPr>
            <w:rStyle w:val="Hyperlink"/>
            <w:noProof/>
          </w:rPr>
          <w:t>Table 5.20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suicidality in Transitioned ADF and entire 2010 and 2015 Regular ADF</w:t>
        </w:r>
        <w:r w:rsidR="00F926F5">
          <w:rPr>
            <w:noProof/>
          </w:rPr>
          <w:tab/>
        </w:r>
        <w:r w:rsidR="00F926F5">
          <w:rPr>
            <w:noProof/>
          </w:rPr>
          <w:fldChar w:fldCharType="begin"/>
        </w:r>
        <w:r w:rsidR="00F926F5">
          <w:rPr>
            <w:noProof/>
          </w:rPr>
          <w:instrText xml:space="preserve"> PAGEREF _Toc511900473 \h </w:instrText>
        </w:r>
        <w:r w:rsidR="00F926F5">
          <w:rPr>
            <w:noProof/>
          </w:rPr>
        </w:r>
        <w:r w:rsidR="00F926F5">
          <w:rPr>
            <w:noProof/>
          </w:rPr>
          <w:fldChar w:fldCharType="separate"/>
        </w:r>
        <w:r>
          <w:rPr>
            <w:noProof/>
          </w:rPr>
          <w:t>180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4" w:history="1">
        <w:r w:rsidR="00F926F5" w:rsidRPr="005F6BCC">
          <w:rPr>
            <w:rStyle w:val="Hyperlink"/>
            <w:noProof/>
          </w:rPr>
          <w:t>Table 5.21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who have used drugs, by transition status</w:t>
        </w:r>
        <w:r w:rsidR="00F926F5">
          <w:rPr>
            <w:noProof/>
          </w:rPr>
          <w:tab/>
        </w:r>
        <w:r w:rsidR="00F926F5">
          <w:rPr>
            <w:noProof/>
          </w:rPr>
          <w:fldChar w:fldCharType="begin"/>
        </w:r>
        <w:r w:rsidR="00F926F5">
          <w:rPr>
            <w:noProof/>
          </w:rPr>
          <w:instrText xml:space="preserve"> PAGEREF _Toc511900474 \h </w:instrText>
        </w:r>
        <w:r w:rsidR="00F926F5">
          <w:rPr>
            <w:noProof/>
          </w:rPr>
        </w:r>
        <w:r w:rsidR="00F926F5">
          <w:rPr>
            <w:noProof/>
          </w:rPr>
          <w:fldChar w:fldCharType="separate"/>
        </w:r>
        <w:r>
          <w:rPr>
            <w:noProof/>
          </w:rPr>
          <w:t>182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5" w:history="1">
        <w:r w:rsidR="00F926F5" w:rsidRPr="005F6BCC">
          <w:rPr>
            <w:rStyle w:val="Hyperlink"/>
            <w:noProof/>
          </w:rPr>
          <w:t>Table 5.22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reporting 12-month drug use, by years since transition</w:t>
        </w:r>
        <w:r w:rsidR="00F926F5">
          <w:rPr>
            <w:noProof/>
          </w:rPr>
          <w:tab/>
        </w:r>
        <w:r w:rsidR="00F926F5">
          <w:rPr>
            <w:noProof/>
          </w:rPr>
          <w:fldChar w:fldCharType="begin"/>
        </w:r>
        <w:r w:rsidR="00F926F5">
          <w:rPr>
            <w:noProof/>
          </w:rPr>
          <w:instrText xml:space="preserve"> PAGEREF _Toc511900475 \h </w:instrText>
        </w:r>
        <w:r w:rsidR="00F926F5">
          <w:rPr>
            <w:noProof/>
          </w:rPr>
        </w:r>
        <w:r w:rsidR="00F926F5">
          <w:rPr>
            <w:noProof/>
          </w:rPr>
          <w:fldChar w:fldCharType="separate"/>
        </w:r>
        <w:r>
          <w:rPr>
            <w:noProof/>
          </w:rPr>
          <w:t>184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6" w:history="1">
        <w:r w:rsidR="00F926F5" w:rsidRPr="005F6BCC">
          <w:rPr>
            <w:rStyle w:val="Hyperlink"/>
            <w:noProof/>
          </w:rPr>
          <w:t>Table 5.23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entire 2015 Regular ADF for GAD-7 scoring bands for generalised anxiety disorder symptoms</w:t>
        </w:r>
        <w:r w:rsidR="00F926F5">
          <w:rPr>
            <w:noProof/>
          </w:rPr>
          <w:tab/>
        </w:r>
        <w:r w:rsidR="00F926F5">
          <w:rPr>
            <w:noProof/>
          </w:rPr>
          <w:fldChar w:fldCharType="begin"/>
        </w:r>
        <w:r w:rsidR="00F926F5">
          <w:rPr>
            <w:noProof/>
          </w:rPr>
          <w:instrText xml:space="preserve"> PAGEREF _Toc511900476 \h </w:instrText>
        </w:r>
        <w:r w:rsidR="00F926F5">
          <w:rPr>
            <w:noProof/>
          </w:rPr>
        </w:r>
        <w:r w:rsidR="00F926F5">
          <w:rPr>
            <w:noProof/>
          </w:rPr>
          <w:fldChar w:fldCharType="separate"/>
        </w:r>
        <w:r>
          <w:rPr>
            <w:noProof/>
          </w:rPr>
          <w:t>187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7" w:history="1">
        <w:r w:rsidR="00F926F5" w:rsidRPr="005F6BCC">
          <w:rPr>
            <w:rStyle w:val="Hyperlink"/>
            <w:noProof/>
          </w:rPr>
          <w:t>Table 5.24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for GAD-7 scoring bands, by transition status</w:t>
        </w:r>
        <w:r w:rsidR="00F926F5">
          <w:rPr>
            <w:noProof/>
          </w:rPr>
          <w:tab/>
        </w:r>
        <w:r w:rsidR="00F926F5">
          <w:rPr>
            <w:noProof/>
          </w:rPr>
          <w:fldChar w:fldCharType="begin"/>
        </w:r>
        <w:r w:rsidR="00F926F5">
          <w:rPr>
            <w:noProof/>
          </w:rPr>
          <w:instrText xml:space="preserve"> PAGEREF _Toc511900477 \h </w:instrText>
        </w:r>
        <w:r w:rsidR="00F926F5">
          <w:rPr>
            <w:noProof/>
          </w:rPr>
        </w:r>
        <w:r w:rsidR="00F926F5">
          <w:rPr>
            <w:noProof/>
          </w:rPr>
          <w:fldChar w:fldCharType="separate"/>
        </w:r>
        <w:r>
          <w:rPr>
            <w:noProof/>
          </w:rPr>
          <w:t>188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8" w:history="1">
        <w:r w:rsidR="00F926F5" w:rsidRPr="005F6BCC">
          <w:rPr>
            <w:rStyle w:val="Hyperlink"/>
            <w:noProof/>
          </w:rPr>
          <w:t>Table 5.25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Proportion of Transitioned ADF in each of the GAD-7 scoring bands for GAD symptoms, by years since transition</w:t>
        </w:r>
        <w:r w:rsidR="00F926F5">
          <w:rPr>
            <w:noProof/>
          </w:rPr>
          <w:tab/>
        </w:r>
        <w:r w:rsidR="00F926F5">
          <w:rPr>
            <w:noProof/>
          </w:rPr>
          <w:fldChar w:fldCharType="begin"/>
        </w:r>
        <w:r w:rsidR="00F926F5">
          <w:rPr>
            <w:noProof/>
          </w:rPr>
          <w:instrText xml:space="preserve"> PAGEREF _Toc511900478 \h </w:instrText>
        </w:r>
        <w:r w:rsidR="00F926F5">
          <w:rPr>
            <w:noProof/>
          </w:rPr>
        </w:r>
        <w:r w:rsidR="00F926F5">
          <w:rPr>
            <w:noProof/>
          </w:rPr>
          <w:fldChar w:fldCharType="separate"/>
        </w:r>
        <w:r>
          <w:rPr>
            <w:noProof/>
          </w:rPr>
          <w:t>189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79" w:history="1">
        <w:r w:rsidR="00F926F5" w:rsidRPr="005F6BCC">
          <w:rPr>
            <w:rStyle w:val="Hyperlink"/>
            <w:noProof/>
          </w:rPr>
          <w:t>Table 5.26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deployment exposures in Transitioned ADF and 2015 Regular ADF</w:t>
        </w:r>
        <w:r w:rsidR="00F926F5">
          <w:rPr>
            <w:noProof/>
          </w:rPr>
          <w:tab/>
        </w:r>
        <w:r w:rsidR="00F926F5">
          <w:rPr>
            <w:noProof/>
          </w:rPr>
          <w:fldChar w:fldCharType="begin"/>
        </w:r>
        <w:r w:rsidR="00F926F5">
          <w:rPr>
            <w:noProof/>
          </w:rPr>
          <w:instrText xml:space="preserve"> PAGEREF _Toc511900479 \h </w:instrText>
        </w:r>
        <w:r w:rsidR="00F926F5">
          <w:rPr>
            <w:noProof/>
          </w:rPr>
        </w:r>
        <w:r w:rsidR="00F926F5">
          <w:rPr>
            <w:noProof/>
          </w:rPr>
          <w:fldChar w:fldCharType="separate"/>
        </w:r>
        <w:r>
          <w:rPr>
            <w:noProof/>
          </w:rPr>
          <w:t>192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0" w:history="1">
        <w:r w:rsidR="00F926F5" w:rsidRPr="005F6BCC">
          <w:rPr>
            <w:rStyle w:val="Hyperlink"/>
            <w:noProof/>
          </w:rPr>
          <w:t>Table 5.27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and 2015 Regular ADF who have experienced lifetime trauma</w:t>
        </w:r>
        <w:r w:rsidR="00F926F5">
          <w:rPr>
            <w:noProof/>
          </w:rPr>
          <w:tab/>
        </w:r>
        <w:r w:rsidR="00F926F5">
          <w:rPr>
            <w:noProof/>
          </w:rPr>
          <w:fldChar w:fldCharType="begin"/>
        </w:r>
        <w:r w:rsidR="00F926F5">
          <w:rPr>
            <w:noProof/>
          </w:rPr>
          <w:instrText xml:space="preserve"> PAGEREF _Toc511900480 \h </w:instrText>
        </w:r>
        <w:r w:rsidR="00F926F5">
          <w:rPr>
            <w:noProof/>
          </w:rPr>
        </w:r>
        <w:r w:rsidR="00F926F5">
          <w:rPr>
            <w:noProof/>
          </w:rPr>
          <w:fldChar w:fldCharType="separate"/>
        </w:r>
        <w:r>
          <w:rPr>
            <w:noProof/>
          </w:rPr>
          <w:t>196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1" w:history="1">
        <w:r w:rsidR="00F926F5" w:rsidRPr="005F6BCC">
          <w:rPr>
            <w:rStyle w:val="Hyperlink"/>
            <w:noProof/>
          </w:rPr>
          <w:t>Table 6.1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psychological distress in the Transitioned ADF compared to the Australian Community using K10 scoring bands</w:t>
        </w:r>
        <w:r w:rsidR="00F926F5">
          <w:rPr>
            <w:noProof/>
          </w:rPr>
          <w:tab/>
        </w:r>
        <w:r w:rsidR="00F926F5">
          <w:rPr>
            <w:noProof/>
          </w:rPr>
          <w:fldChar w:fldCharType="begin"/>
        </w:r>
        <w:r w:rsidR="00F926F5">
          <w:rPr>
            <w:noProof/>
          </w:rPr>
          <w:instrText xml:space="preserve"> PAGEREF _Toc511900481 \h </w:instrText>
        </w:r>
        <w:r w:rsidR="00F926F5">
          <w:rPr>
            <w:noProof/>
          </w:rPr>
        </w:r>
        <w:r w:rsidR="00F926F5">
          <w:rPr>
            <w:noProof/>
          </w:rPr>
          <w:fldChar w:fldCharType="separate"/>
        </w:r>
        <w:r>
          <w:rPr>
            <w:noProof/>
          </w:rPr>
          <w:t>203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2" w:history="1">
        <w:r w:rsidR="00F926F5" w:rsidRPr="005F6BCC">
          <w:rPr>
            <w:rStyle w:val="Hyperlink"/>
            <w:noProof/>
          </w:rPr>
          <w:t>Table 6.2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of Transitioned ADF compared to the Australian Community in the K10 scoring bands for psychological distress, by sex</w:t>
        </w:r>
        <w:r w:rsidR="00F926F5">
          <w:rPr>
            <w:noProof/>
          </w:rPr>
          <w:tab/>
        </w:r>
        <w:r w:rsidR="00F926F5">
          <w:rPr>
            <w:noProof/>
          </w:rPr>
          <w:fldChar w:fldCharType="begin"/>
        </w:r>
        <w:r w:rsidR="00F926F5">
          <w:rPr>
            <w:noProof/>
          </w:rPr>
          <w:instrText xml:space="preserve"> PAGEREF _Toc511900482 \h </w:instrText>
        </w:r>
        <w:r w:rsidR="00F926F5">
          <w:rPr>
            <w:noProof/>
          </w:rPr>
        </w:r>
        <w:r w:rsidR="00F926F5">
          <w:rPr>
            <w:noProof/>
          </w:rPr>
          <w:fldChar w:fldCharType="separate"/>
        </w:r>
        <w:r>
          <w:rPr>
            <w:noProof/>
          </w:rPr>
          <w:t>205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3" w:history="1">
        <w:r w:rsidR="00F926F5" w:rsidRPr="005F6BCC">
          <w:rPr>
            <w:rStyle w:val="Hyperlink"/>
            <w:noProof/>
          </w:rPr>
          <w:t>Table 6.3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Transitioned ADF compared to the Australian Community in the K10 scoring bands for psychological distress, by age</w:t>
        </w:r>
        <w:r w:rsidR="00F926F5">
          <w:rPr>
            <w:noProof/>
          </w:rPr>
          <w:tab/>
        </w:r>
        <w:r w:rsidR="00F926F5">
          <w:rPr>
            <w:noProof/>
          </w:rPr>
          <w:fldChar w:fldCharType="begin"/>
        </w:r>
        <w:r w:rsidR="00F926F5">
          <w:rPr>
            <w:noProof/>
          </w:rPr>
          <w:instrText xml:space="preserve"> PAGEREF _Toc511900483 \h </w:instrText>
        </w:r>
        <w:r w:rsidR="00F926F5">
          <w:rPr>
            <w:noProof/>
          </w:rPr>
        </w:r>
        <w:r w:rsidR="00F926F5">
          <w:rPr>
            <w:noProof/>
          </w:rPr>
          <w:fldChar w:fldCharType="separate"/>
        </w:r>
        <w:r>
          <w:rPr>
            <w:noProof/>
          </w:rPr>
          <w:t>206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4" w:history="1">
        <w:r w:rsidR="00F926F5" w:rsidRPr="005F6BCC">
          <w:rPr>
            <w:rStyle w:val="Hyperlink"/>
            <w:noProof/>
          </w:rPr>
          <w:t>Table 6.4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for frequency of alcohol consumption in Transitioned ADF compared to the Australian Community in the last 12 months</w:t>
        </w:r>
        <w:r w:rsidR="00F926F5">
          <w:rPr>
            <w:noProof/>
          </w:rPr>
          <w:tab/>
        </w:r>
        <w:r w:rsidR="00F926F5">
          <w:rPr>
            <w:noProof/>
          </w:rPr>
          <w:fldChar w:fldCharType="begin"/>
        </w:r>
        <w:r w:rsidR="00F926F5">
          <w:rPr>
            <w:noProof/>
          </w:rPr>
          <w:instrText xml:space="preserve"> PAGEREF _Toc511900484 \h </w:instrText>
        </w:r>
        <w:r w:rsidR="00F926F5">
          <w:rPr>
            <w:noProof/>
          </w:rPr>
        </w:r>
        <w:r w:rsidR="00F926F5">
          <w:rPr>
            <w:noProof/>
          </w:rPr>
          <w:fldChar w:fldCharType="separate"/>
        </w:r>
        <w:r>
          <w:rPr>
            <w:noProof/>
          </w:rPr>
          <w:t>210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5" w:history="1">
        <w:r w:rsidR="00F926F5" w:rsidRPr="005F6BCC">
          <w:rPr>
            <w:rStyle w:val="Hyperlink"/>
            <w:noProof/>
          </w:rPr>
          <w:t>Table 6.5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for maximum number of standard drinks consumed on a single occasion in the last 12 months in Transitioned ADF compared to Australian Community</w:t>
        </w:r>
        <w:r w:rsidR="00F926F5">
          <w:rPr>
            <w:noProof/>
          </w:rPr>
          <w:tab/>
        </w:r>
        <w:r w:rsidR="00F926F5">
          <w:rPr>
            <w:noProof/>
          </w:rPr>
          <w:fldChar w:fldCharType="begin"/>
        </w:r>
        <w:r w:rsidR="00F926F5">
          <w:rPr>
            <w:noProof/>
          </w:rPr>
          <w:instrText xml:space="preserve"> PAGEREF _Toc511900485 \h </w:instrText>
        </w:r>
        <w:r w:rsidR="00F926F5">
          <w:rPr>
            <w:noProof/>
          </w:rPr>
        </w:r>
        <w:r w:rsidR="00F926F5">
          <w:rPr>
            <w:noProof/>
          </w:rPr>
          <w:fldChar w:fldCharType="separate"/>
        </w:r>
        <w:r>
          <w:rPr>
            <w:noProof/>
          </w:rPr>
          <w:t>211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6" w:history="1">
        <w:r w:rsidR="00F926F5" w:rsidRPr="005F6BCC">
          <w:rPr>
            <w:rStyle w:val="Hyperlink"/>
            <w:noProof/>
          </w:rPr>
          <w:t>Table 6.6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for frequency of alcohol consumption in Transitioned ADF compared to the Australian Community in the last 12 months, by sex</w:t>
        </w:r>
        <w:r w:rsidR="00F926F5">
          <w:rPr>
            <w:noProof/>
          </w:rPr>
          <w:tab/>
        </w:r>
        <w:r w:rsidR="00F926F5">
          <w:rPr>
            <w:noProof/>
          </w:rPr>
          <w:fldChar w:fldCharType="begin"/>
        </w:r>
        <w:r w:rsidR="00F926F5">
          <w:rPr>
            <w:noProof/>
          </w:rPr>
          <w:instrText xml:space="preserve"> PAGEREF _Toc511900486 \h </w:instrText>
        </w:r>
        <w:r w:rsidR="00F926F5">
          <w:rPr>
            <w:noProof/>
          </w:rPr>
        </w:r>
        <w:r w:rsidR="00F926F5">
          <w:rPr>
            <w:noProof/>
          </w:rPr>
          <w:fldChar w:fldCharType="separate"/>
        </w:r>
        <w:r>
          <w:rPr>
            <w:noProof/>
          </w:rPr>
          <w:t>213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7" w:history="1">
        <w:r w:rsidR="00F926F5" w:rsidRPr="005F6BCC">
          <w:rPr>
            <w:rStyle w:val="Hyperlink"/>
            <w:noProof/>
          </w:rPr>
          <w:t>Table 6.7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for maximum number of standard drinks on a single occasion in the last 12 months in Transitioned ADF compared to the Australian Community, by sex</w:t>
        </w:r>
        <w:r w:rsidR="00F926F5">
          <w:rPr>
            <w:noProof/>
          </w:rPr>
          <w:tab/>
        </w:r>
        <w:r w:rsidR="00F926F5">
          <w:rPr>
            <w:noProof/>
          </w:rPr>
          <w:fldChar w:fldCharType="begin"/>
        </w:r>
        <w:r w:rsidR="00F926F5">
          <w:rPr>
            <w:noProof/>
          </w:rPr>
          <w:instrText xml:space="preserve"> PAGEREF _Toc511900487 \h </w:instrText>
        </w:r>
        <w:r w:rsidR="00F926F5">
          <w:rPr>
            <w:noProof/>
          </w:rPr>
        </w:r>
        <w:r w:rsidR="00F926F5">
          <w:rPr>
            <w:noProof/>
          </w:rPr>
          <w:fldChar w:fldCharType="separate"/>
        </w:r>
        <w:r>
          <w:rPr>
            <w:noProof/>
          </w:rPr>
          <w:t>215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8" w:history="1">
        <w:r w:rsidR="00F926F5" w:rsidRPr="005F6BCC">
          <w:rPr>
            <w:rStyle w:val="Hyperlink"/>
            <w:noProof/>
          </w:rPr>
          <w:t>Table 6.8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for frequency of alcohol consumption in Transitioned ADF compared to the Australian Community in the last 12 months, by age</w:t>
        </w:r>
        <w:r w:rsidR="00F926F5">
          <w:rPr>
            <w:noProof/>
          </w:rPr>
          <w:tab/>
        </w:r>
        <w:r w:rsidR="00F926F5">
          <w:rPr>
            <w:noProof/>
          </w:rPr>
          <w:fldChar w:fldCharType="begin"/>
        </w:r>
        <w:r w:rsidR="00F926F5">
          <w:rPr>
            <w:noProof/>
          </w:rPr>
          <w:instrText xml:space="preserve"> PAGEREF _Toc511900488 \h </w:instrText>
        </w:r>
        <w:r w:rsidR="00F926F5">
          <w:rPr>
            <w:noProof/>
          </w:rPr>
        </w:r>
        <w:r w:rsidR="00F926F5">
          <w:rPr>
            <w:noProof/>
          </w:rPr>
          <w:fldChar w:fldCharType="separate"/>
        </w:r>
        <w:r>
          <w:rPr>
            <w:noProof/>
          </w:rPr>
          <w:t>217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89" w:history="1">
        <w:r w:rsidR="00F926F5" w:rsidRPr="005F6BCC">
          <w:rPr>
            <w:rStyle w:val="Hyperlink"/>
            <w:noProof/>
          </w:rPr>
          <w:t>Table 6.9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proportions for maximum number of standard drinks consumed on a single occasion in the last 12 months in Transitioned ADF compared to the Australian Community, by age</w:t>
        </w:r>
        <w:r w:rsidR="00F926F5">
          <w:rPr>
            <w:noProof/>
          </w:rPr>
          <w:tab/>
        </w:r>
        <w:r w:rsidR="00F926F5">
          <w:rPr>
            <w:noProof/>
          </w:rPr>
          <w:fldChar w:fldCharType="begin"/>
        </w:r>
        <w:r w:rsidR="00F926F5">
          <w:rPr>
            <w:noProof/>
          </w:rPr>
          <w:instrText xml:space="preserve"> PAGEREF _Toc511900489 \h </w:instrText>
        </w:r>
        <w:r w:rsidR="00F926F5">
          <w:rPr>
            <w:noProof/>
          </w:rPr>
        </w:r>
        <w:r w:rsidR="00F926F5">
          <w:rPr>
            <w:noProof/>
          </w:rPr>
          <w:fldChar w:fldCharType="separate"/>
        </w:r>
        <w:r>
          <w:rPr>
            <w:noProof/>
          </w:rPr>
          <w:t>219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0" w:history="1">
        <w:r w:rsidR="00F926F5" w:rsidRPr="005F6BCC">
          <w:rPr>
            <w:rStyle w:val="Hyperlink"/>
            <w:noProof/>
          </w:rPr>
          <w:t>Table A.1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Commissioned reports</w:t>
        </w:r>
        <w:r w:rsidR="00F926F5">
          <w:rPr>
            <w:noProof/>
          </w:rPr>
          <w:tab/>
        </w:r>
        <w:r w:rsidR="00F926F5">
          <w:rPr>
            <w:noProof/>
          </w:rPr>
          <w:fldChar w:fldCharType="begin"/>
        </w:r>
        <w:r w:rsidR="00F926F5">
          <w:rPr>
            <w:noProof/>
          </w:rPr>
          <w:instrText xml:space="preserve"> PAGEREF _Toc511900490 \h </w:instrText>
        </w:r>
        <w:r w:rsidR="00F926F5">
          <w:rPr>
            <w:noProof/>
          </w:rPr>
        </w:r>
        <w:r w:rsidR="00F926F5">
          <w:rPr>
            <w:noProof/>
          </w:rPr>
          <w:fldChar w:fldCharType="separate"/>
        </w:r>
        <w:r>
          <w:rPr>
            <w:noProof/>
          </w:rPr>
          <w:t>269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1" w:history="1">
        <w:r w:rsidR="00F926F5" w:rsidRPr="005F6BCC">
          <w:rPr>
            <w:rStyle w:val="Hyperlink"/>
            <w:noProof/>
          </w:rPr>
          <w:t>Table A.2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Survey response rates by Service, sex, rank and medical fitness for the Transitioned ADF and the 2015 Regular ADF</w:t>
        </w:r>
        <w:r w:rsidR="00F926F5">
          <w:rPr>
            <w:noProof/>
          </w:rPr>
          <w:tab/>
        </w:r>
        <w:r w:rsidR="00F926F5">
          <w:rPr>
            <w:noProof/>
          </w:rPr>
          <w:fldChar w:fldCharType="begin"/>
        </w:r>
        <w:r w:rsidR="00F926F5">
          <w:rPr>
            <w:noProof/>
          </w:rPr>
          <w:instrText xml:space="preserve"> PAGEREF _Toc511900491 \h </w:instrText>
        </w:r>
        <w:r w:rsidR="00F926F5">
          <w:rPr>
            <w:noProof/>
          </w:rPr>
        </w:r>
        <w:r w:rsidR="00F926F5">
          <w:rPr>
            <w:noProof/>
          </w:rPr>
          <w:fldChar w:fldCharType="separate"/>
        </w:r>
        <w:r>
          <w:rPr>
            <w:noProof/>
          </w:rPr>
          <w:t>270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2" w:history="1">
        <w:r w:rsidR="00F926F5" w:rsidRPr="005F6BCC">
          <w:rPr>
            <w:rStyle w:val="Hyperlink"/>
            <w:noProof/>
          </w:rPr>
          <w:t>Table A.3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Unweighted demographic characteristics of responders by Transitioned ADF and 2015 Regular ADF</w:t>
        </w:r>
        <w:r w:rsidR="00F926F5">
          <w:rPr>
            <w:noProof/>
          </w:rPr>
          <w:tab/>
        </w:r>
        <w:r w:rsidR="00F926F5">
          <w:rPr>
            <w:noProof/>
          </w:rPr>
          <w:fldChar w:fldCharType="begin"/>
        </w:r>
        <w:r w:rsidR="00F926F5">
          <w:rPr>
            <w:noProof/>
          </w:rPr>
          <w:instrText xml:space="preserve"> PAGEREF _Toc511900492 \h </w:instrText>
        </w:r>
        <w:r w:rsidR="00F926F5">
          <w:rPr>
            <w:noProof/>
          </w:rPr>
        </w:r>
        <w:r w:rsidR="00F926F5">
          <w:rPr>
            <w:noProof/>
          </w:rPr>
          <w:fldChar w:fldCharType="separate"/>
        </w:r>
        <w:r>
          <w:rPr>
            <w:noProof/>
          </w:rPr>
          <w:t>273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3" w:history="1">
        <w:r w:rsidR="00F926F5" w:rsidRPr="005F6BCC">
          <w:rPr>
            <w:rStyle w:val="Hyperlink"/>
            <w:noProof/>
          </w:rPr>
          <w:t>Table A.4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CIDI response rates for stratified Transitioned ADF by Service, sex, rank and MEC status</w:t>
        </w:r>
        <w:r w:rsidR="00F926F5">
          <w:rPr>
            <w:noProof/>
          </w:rPr>
          <w:tab/>
        </w:r>
        <w:r w:rsidR="00F926F5">
          <w:rPr>
            <w:noProof/>
          </w:rPr>
          <w:fldChar w:fldCharType="begin"/>
        </w:r>
        <w:r w:rsidR="00F926F5">
          <w:rPr>
            <w:noProof/>
          </w:rPr>
          <w:instrText xml:space="preserve"> PAGEREF _Toc511900493 \h </w:instrText>
        </w:r>
        <w:r w:rsidR="00F926F5">
          <w:rPr>
            <w:noProof/>
          </w:rPr>
        </w:r>
        <w:r w:rsidR="00F926F5">
          <w:rPr>
            <w:noProof/>
          </w:rPr>
          <w:fldChar w:fldCharType="separate"/>
        </w:r>
        <w:r>
          <w:rPr>
            <w:noProof/>
          </w:rPr>
          <w:t>274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4" w:history="1">
        <w:r w:rsidR="00F926F5" w:rsidRPr="005F6BCC">
          <w:rPr>
            <w:rStyle w:val="Hyperlink"/>
            <w:noProof/>
          </w:rPr>
          <w:t>Table A.5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Demographic characteristics of stratified Transitioned ADF CIDI responders</w:t>
        </w:r>
        <w:r w:rsidR="00F926F5">
          <w:rPr>
            <w:noProof/>
          </w:rPr>
          <w:tab/>
        </w:r>
        <w:r w:rsidR="00F926F5">
          <w:rPr>
            <w:noProof/>
          </w:rPr>
          <w:fldChar w:fldCharType="begin"/>
        </w:r>
        <w:r w:rsidR="00F926F5">
          <w:rPr>
            <w:noProof/>
          </w:rPr>
          <w:instrText xml:space="preserve"> PAGEREF _Toc511900494 \h </w:instrText>
        </w:r>
        <w:r w:rsidR="00F926F5">
          <w:rPr>
            <w:noProof/>
          </w:rPr>
        </w:r>
        <w:r w:rsidR="00F926F5">
          <w:rPr>
            <w:noProof/>
          </w:rPr>
          <w:fldChar w:fldCharType="separate"/>
        </w:r>
        <w:r>
          <w:rPr>
            <w:noProof/>
          </w:rPr>
          <w:t>275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5" w:history="1">
        <w:r w:rsidR="00F926F5" w:rsidRPr="005F6BCC">
          <w:rPr>
            <w:rStyle w:val="Hyperlink"/>
            <w:noProof/>
          </w:rPr>
          <w:t>Table A.6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CIDI response rates for the MHPWS group, by Service, sex, rank and Medical Employment Classification status</w:t>
        </w:r>
        <w:r w:rsidR="00F926F5">
          <w:rPr>
            <w:noProof/>
          </w:rPr>
          <w:tab/>
        </w:r>
        <w:r w:rsidR="00F926F5">
          <w:rPr>
            <w:noProof/>
          </w:rPr>
          <w:fldChar w:fldCharType="begin"/>
        </w:r>
        <w:r w:rsidR="00F926F5">
          <w:rPr>
            <w:noProof/>
          </w:rPr>
          <w:instrText xml:space="preserve"> PAGEREF _Toc511900495 \h </w:instrText>
        </w:r>
        <w:r w:rsidR="00F926F5">
          <w:rPr>
            <w:noProof/>
          </w:rPr>
        </w:r>
        <w:r w:rsidR="00F926F5">
          <w:rPr>
            <w:noProof/>
          </w:rPr>
          <w:fldChar w:fldCharType="separate"/>
        </w:r>
        <w:r>
          <w:rPr>
            <w:noProof/>
          </w:rPr>
          <w:t>276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6" w:history="1">
        <w:r w:rsidR="00F926F5" w:rsidRPr="005F6BCC">
          <w:rPr>
            <w:rStyle w:val="Hyperlink"/>
            <w:noProof/>
          </w:rPr>
          <w:t>Table A.7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CIDI response rates for the Combat Zone group, by Service, sex, rank and Medical Employment Classification status</w:t>
        </w:r>
        <w:r w:rsidR="00F926F5">
          <w:rPr>
            <w:noProof/>
          </w:rPr>
          <w:tab/>
        </w:r>
        <w:r w:rsidR="00F926F5">
          <w:rPr>
            <w:noProof/>
          </w:rPr>
          <w:fldChar w:fldCharType="begin"/>
        </w:r>
        <w:r w:rsidR="00F926F5">
          <w:rPr>
            <w:noProof/>
          </w:rPr>
          <w:instrText xml:space="preserve"> PAGEREF _Toc511900496 \h </w:instrText>
        </w:r>
        <w:r w:rsidR="00F926F5">
          <w:rPr>
            <w:noProof/>
          </w:rPr>
        </w:r>
        <w:r w:rsidR="00F926F5">
          <w:rPr>
            <w:noProof/>
          </w:rPr>
          <w:fldChar w:fldCharType="separate"/>
        </w:r>
        <w:r>
          <w:rPr>
            <w:noProof/>
          </w:rPr>
          <w:t>277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7" w:history="1">
        <w:r w:rsidR="00F926F5" w:rsidRPr="005F6BCC">
          <w:rPr>
            <w:rStyle w:val="Hyperlink"/>
            <w:noProof/>
          </w:rPr>
          <w:t>Table A.8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Stratification characteristics of Transitioned ADF CIDI sample</w:t>
        </w:r>
        <w:r w:rsidR="00F926F5">
          <w:rPr>
            <w:noProof/>
          </w:rPr>
          <w:tab/>
        </w:r>
        <w:r w:rsidR="00F926F5">
          <w:rPr>
            <w:noProof/>
          </w:rPr>
          <w:fldChar w:fldCharType="begin"/>
        </w:r>
        <w:r w:rsidR="00F926F5">
          <w:rPr>
            <w:noProof/>
          </w:rPr>
          <w:instrText xml:space="preserve"> PAGEREF _Toc511900497 \h </w:instrText>
        </w:r>
        <w:r w:rsidR="00F926F5">
          <w:rPr>
            <w:noProof/>
          </w:rPr>
        </w:r>
        <w:r w:rsidR="00F926F5">
          <w:rPr>
            <w:noProof/>
          </w:rPr>
          <w:fldChar w:fldCharType="separate"/>
        </w:r>
        <w:r>
          <w:rPr>
            <w:noProof/>
          </w:rPr>
          <w:t>298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8" w:history="1">
        <w:r w:rsidR="00F926F5" w:rsidRPr="005F6BCC">
          <w:rPr>
            <w:rStyle w:val="Hyperlink"/>
            <w:noProof/>
          </w:rPr>
          <w:t>Table A.9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Counts of categories by source</w:t>
        </w:r>
        <w:r w:rsidR="00F926F5">
          <w:rPr>
            <w:noProof/>
          </w:rPr>
          <w:tab/>
        </w:r>
        <w:r w:rsidR="00F926F5">
          <w:rPr>
            <w:noProof/>
          </w:rPr>
          <w:fldChar w:fldCharType="begin"/>
        </w:r>
        <w:r w:rsidR="00F926F5">
          <w:rPr>
            <w:noProof/>
          </w:rPr>
          <w:instrText xml:space="preserve"> PAGEREF _Toc511900498 \h </w:instrText>
        </w:r>
        <w:r w:rsidR="00F926F5">
          <w:rPr>
            <w:noProof/>
          </w:rPr>
        </w:r>
        <w:r w:rsidR="00F926F5">
          <w:rPr>
            <w:noProof/>
          </w:rPr>
          <w:fldChar w:fldCharType="separate"/>
        </w:r>
        <w:r>
          <w:rPr>
            <w:noProof/>
          </w:rPr>
          <w:t>302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499" w:history="1">
        <w:r w:rsidR="00F926F5" w:rsidRPr="005F6BCC">
          <w:rPr>
            <w:rStyle w:val="Hyperlink"/>
            <w:noProof/>
          </w:rPr>
          <w:t>Table A.10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Counts of categories by service type</w:t>
        </w:r>
        <w:r w:rsidR="00F926F5">
          <w:rPr>
            <w:noProof/>
          </w:rPr>
          <w:tab/>
        </w:r>
        <w:r w:rsidR="00F926F5">
          <w:rPr>
            <w:noProof/>
          </w:rPr>
          <w:fldChar w:fldCharType="begin"/>
        </w:r>
        <w:r w:rsidR="00F926F5">
          <w:rPr>
            <w:noProof/>
          </w:rPr>
          <w:instrText xml:space="preserve"> PAGEREF _Toc511900499 \h </w:instrText>
        </w:r>
        <w:r w:rsidR="00F926F5">
          <w:rPr>
            <w:noProof/>
          </w:rPr>
        </w:r>
        <w:r w:rsidR="00F926F5">
          <w:rPr>
            <w:noProof/>
          </w:rPr>
          <w:fldChar w:fldCharType="separate"/>
        </w:r>
        <w:r>
          <w:rPr>
            <w:noProof/>
          </w:rPr>
          <w:t>302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0" w:history="1">
        <w:r w:rsidR="00F926F5" w:rsidRPr="005F6BCC">
          <w:rPr>
            <w:rStyle w:val="Hyperlink"/>
            <w:noProof/>
          </w:rPr>
          <w:t>Table B.1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Estimated prevalence of lifetime and 12-month ICD-10 anxiety disorder in Transitioned ADF using the ABS definition</w:t>
        </w:r>
        <w:r w:rsidR="00F926F5">
          <w:rPr>
            <w:noProof/>
          </w:rPr>
          <w:tab/>
        </w:r>
        <w:r w:rsidR="00F926F5">
          <w:rPr>
            <w:noProof/>
          </w:rPr>
          <w:fldChar w:fldCharType="begin"/>
        </w:r>
        <w:r w:rsidR="00F926F5">
          <w:rPr>
            <w:noProof/>
          </w:rPr>
          <w:instrText xml:space="preserve"> PAGEREF _Toc511900500 \h </w:instrText>
        </w:r>
        <w:r w:rsidR="00F926F5">
          <w:rPr>
            <w:noProof/>
          </w:rPr>
        </w:r>
        <w:r w:rsidR="00F926F5">
          <w:rPr>
            <w:noProof/>
          </w:rPr>
          <w:fldChar w:fldCharType="separate"/>
        </w:r>
        <w:r>
          <w:rPr>
            <w:noProof/>
          </w:rPr>
          <w:t>313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1" w:history="1">
        <w:r w:rsidR="00F926F5" w:rsidRPr="005F6BCC">
          <w:rPr>
            <w:rStyle w:val="Hyperlink"/>
            <w:noProof/>
          </w:rPr>
          <w:t>Table B.2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Regression coefficients comparing mean DAR-5 anger in Transitioned vs 2015 Regular ADF</w:t>
        </w:r>
        <w:r w:rsidR="00F926F5">
          <w:rPr>
            <w:noProof/>
          </w:rPr>
          <w:tab/>
        </w:r>
        <w:r w:rsidR="00F926F5">
          <w:rPr>
            <w:noProof/>
          </w:rPr>
          <w:fldChar w:fldCharType="begin"/>
        </w:r>
        <w:r w:rsidR="00F926F5">
          <w:rPr>
            <w:noProof/>
          </w:rPr>
          <w:instrText xml:space="preserve"> PAGEREF _Toc511900501 \h </w:instrText>
        </w:r>
        <w:r w:rsidR="00F926F5">
          <w:rPr>
            <w:noProof/>
          </w:rPr>
        </w:r>
        <w:r w:rsidR="00F926F5">
          <w:rPr>
            <w:noProof/>
          </w:rPr>
          <w:fldChar w:fldCharType="separate"/>
        </w:r>
        <w:r>
          <w:rPr>
            <w:noProof/>
          </w:rPr>
          <w:t>313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2" w:history="1">
        <w:r w:rsidR="00F926F5" w:rsidRPr="005F6BCC">
          <w:rPr>
            <w:rStyle w:val="Hyperlink"/>
            <w:noProof/>
          </w:rPr>
          <w:t>Table B.3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A comparison of DAR-5 anger in 2015 Regular ADF vs 2010 Regular ADF</w:t>
        </w:r>
        <w:r w:rsidR="00F926F5">
          <w:rPr>
            <w:noProof/>
          </w:rPr>
          <w:tab/>
        </w:r>
        <w:r w:rsidR="00F926F5">
          <w:rPr>
            <w:noProof/>
          </w:rPr>
          <w:fldChar w:fldCharType="begin"/>
        </w:r>
        <w:r w:rsidR="00F926F5">
          <w:rPr>
            <w:noProof/>
          </w:rPr>
          <w:instrText xml:space="preserve"> PAGEREF _Toc511900502 \h </w:instrText>
        </w:r>
        <w:r w:rsidR="00F926F5">
          <w:rPr>
            <w:noProof/>
          </w:rPr>
        </w:r>
        <w:r w:rsidR="00F926F5">
          <w:rPr>
            <w:noProof/>
          </w:rPr>
          <w:fldChar w:fldCharType="separate"/>
        </w:r>
        <w:r>
          <w:rPr>
            <w:noProof/>
          </w:rPr>
          <w:t>313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3" w:history="1">
        <w:r w:rsidR="00F926F5" w:rsidRPr="005F6BCC">
          <w:rPr>
            <w:rStyle w:val="Hyperlink"/>
            <w:noProof/>
          </w:rPr>
          <w:t>Table B.4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ratios comparing 12month suicidal ideation, plans and attempts in Transitioned ADF who were Ex-Serving, Inactive or Active Reservists</w:t>
        </w:r>
        <w:r w:rsidR="00F926F5">
          <w:rPr>
            <w:noProof/>
          </w:rPr>
          <w:tab/>
        </w:r>
        <w:r w:rsidR="00F926F5">
          <w:rPr>
            <w:noProof/>
          </w:rPr>
          <w:fldChar w:fldCharType="begin"/>
        </w:r>
        <w:r w:rsidR="00F926F5">
          <w:rPr>
            <w:noProof/>
          </w:rPr>
          <w:instrText xml:space="preserve"> PAGEREF _Toc511900503 \h </w:instrText>
        </w:r>
        <w:r w:rsidR="00F926F5">
          <w:rPr>
            <w:noProof/>
          </w:rPr>
        </w:r>
        <w:r w:rsidR="00F926F5">
          <w:rPr>
            <w:noProof/>
          </w:rPr>
          <w:fldChar w:fldCharType="separate"/>
        </w:r>
        <w:r>
          <w:rPr>
            <w:noProof/>
          </w:rPr>
          <w:t>314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4" w:history="1">
        <w:r w:rsidR="00F926F5" w:rsidRPr="005F6BCC">
          <w:rPr>
            <w:rStyle w:val="Hyperlink"/>
            <w:noProof/>
          </w:rPr>
          <w:t>Table B.5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 comparing proportion of Transitioned ADF endorsing suicide question 1: felt life was not worth living for each year since transition (compared to 0: 1–11 months post transition)</w:t>
        </w:r>
        <w:r w:rsidR="00F926F5">
          <w:rPr>
            <w:noProof/>
          </w:rPr>
          <w:tab/>
        </w:r>
        <w:r w:rsidR="00F926F5">
          <w:rPr>
            <w:noProof/>
          </w:rPr>
          <w:fldChar w:fldCharType="begin"/>
        </w:r>
        <w:r w:rsidR="00F926F5">
          <w:rPr>
            <w:noProof/>
          </w:rPr>
          <w:instrText xml:space="preserve"> PAGEREF _Toc511900504 \h </w:instrText>
        </w:r>
        <w:r w:rsidR="00F926F5">
          <w:rPr>
            <w:noProof/>
          </w:rPr>
        </w:r>
        <w:r w:rsidR="00F926F5">
          <w:rPr>
            <w:noProof/>
          </w:rPr>
          <w:fldChar w:fldCharType="separate"/>
        </w:r>
        <w:r>
          <w:rPr>
            <w:noProof/>
          </w:rPr>
          <w:t>315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5" w:history="1">
        <w:r w:rsidR="00F926F5" w:rsidRPr="005F6BCC">
          <w:rPr>
            <w:rStyle w:val="Hyperlink"/>
            <w:noProof/>
          </w:rPr>
          <w:t>Table B.6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 comparing proportion of Transitioned ADF endorsing suicide question 2: felt so low thought about committing suicide for each year since transition (compared to 0: 1- 11 months post transition)</w:t>
        </w:r>
        <w:r w:rsidR="00F926F5">
          <w:rPr>
            <w:noProof/>
          </w:rPr>
          <w:tab/>
        </w:r>
        <w:r w:rsidR="00F926F5">
          <w:rPr>
            <w:noProof/>
          </w:rPr>
          <w:fldChar w:fldCharType="begin"/>
        </w:r>
        <w:r w:rsidR="00F926F5">
          <w:rPr>
            <w:noProof/>
          </w:rPr>
          <w:instrText xml:space="preserve"> PAGEREF _Toc511900505 \h </w:instrText>
        </w:r>
        <w:r w:rsidR="00F926F5">
          <w:rPr>
            <w:noProof/>
          </w:rPr>
        </w:r>
        <w:r w:rsidR="00F926F5">
          <w:rPr>
            <w:noProof/>
          </w:rPr>
          <w:fldChar w:fldCharType="separate"/>
        </w:r>
        <w:r>
          <w:rPr>
            <w:noProof/>
          </w:rPr>
          <w:t>315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6" w:history="1">
        <w:r w:rsidR="00F926F5" w:rsidRPr="005F6BCC">
          <w:rPr>
            <w:rStyle w:val="Hyperlink"/>
            <w:noProof/>
          </w:rPr>
          <w:t>Table B.7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 comparing proportion of Transitioned ADF endorsing suicide question 3: made a suicide plan for each year since transition (compared to 0: 1–11 months post transition)</w:t>
        </w:r>
        <w:r w:rsidR="00F926F5">
          <w:rPr>
            <w:noProof/>
          </w:rPr>
          <w:tab/>
        </w:r>
        <w:r w:rsidR="00F926F5">
          <w:rPr>
            <w:noProof/>
          </w:rPr>
          <w:fldChar w:fldCharType="begin"/>
        </w:r>
        <w:r w:rsidR="00F926F5">
          <w:rPr>
            <w:noProof/>
          </w:rPr>
          <w:instrText xml:space="preserve"> PAGEREF _Toc511900506 \h </w:instrText>
        </w:r>
        <w:r w:rsidR="00F926F5">
          <w:rPr>
            <w:noProof/>
          </w:rPr>
        </w:r>
        <w:r w:rsidR="00F926F5">
          <w:rPr>
            <w:noProof/>
          </w:rPr>
          <w:fldChar w:fldCharType="separate"/>
        </w:r>
        <w:r>
          <w:rPr>
            <w:noProof/>
          </w:rPr>
          <w:t>315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7" w:history="1">
        <w:r w:rsidR="00F926F5" w:rsidRPr="005F6BCC">
          <w:rPr>
            <w:rStyle w:val="Hyperlink"/>
            <w:noProof/>
          </w:rPr>
          <w:t>Table B.8</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 comparing proportion of Transitioned ADF endorsing yes to suicide questions 2, 3, 4 (any suicidality) for each year since transition (compared to 0: 1–11 months post transition)</w:t>
        </w:r>
        <w:r w:rsidR="00F926F5">
          <w:rPr>
            <w:noProof/>
          </w:rPr>
          <w:tab/>
        </w:r>
        <w:r w:rsidR="00F926F5">
          <w:rPr>
            <w:noProof/>
          </w:rPr>
          <w:fldChar w:fldCharType="begin"/>
        </w:r>
        <w:r w:rsidR="00F926F5">
          <w:rPr>
            <w:noProof/>
          </w:rPr>
          <w:instrText xml:space="preserve"> PAGEREF _Toc511900507 \h </w:instrText>
        </w:r>
        <w:r w:rsidR="00F926F5">
          <w:rPr>
            <w:noProof/>
          </w:rPr>
        </w:r>
        <w:r w:rsidR="00F926F5">
          <w:rPr>
            <w:noProof/>
          </w:rPr>
          <w:fldChar w:fldCharType="separate"/>
        </w:r>
        <w:r>
          <w:rPr>
            <w:noProof/>
          </w:rPr>
          <w:t>316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8" w:history="1">
        <w:r w:rsidR="00F926F5" w:rsidRPr="005F6BCC">
          <w:rPr>
            <w:rStyle w:val="Hyperlink"/>
            <w:noProof/>
          </w:rPr>
          <w:t>Table B.9</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ratios comparing 12-month suicidal ideation, plans and attempts in Transitioned ADF and 2015 Regular ADF</w:t>
        </w:r>
        <w:r w:rsidR="00F926F5">
          <w:rPr>
            <w:noProof/>
          </w:rPr>
          <w:tab/>
        </w:r>
        <w:r w:rsidR="00F926F5">
          <w:rPr>
            <w:noProof/>
          </w:rPr>
          <w:fldChar w:fldCharType="begin"/>
        </w:r>
        <w:r w:rsidR="00F926F5">
          <w:rPr>
            <w:noProof/>
          </w:rPr>
          <w:instrText xml:space="preserve"> PAGEREF _Toc511900508 \h </w:instrText>
        </w:r>
        <w:r w:rsidR="00F926F5">
          <w:rPr>
            <w:noProof/>
          </w:rPr>
        </w:r>
        <w:r w:rsidR="00F926F5">
          <w:rPr>
            <w:noProof/>
          </w:rPr>
          <w:fldChar w:fldCharType="separate"/>
        </w:r>
        <w:r>
          <w:rPr>
            <w:noProof/>
          </w:rPr>
          <w:t>316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09" w:history="1">
        <w:r w:rsidR="00F926F5" w:rsidRPr="005F6BCC">
          <w:rPr>
            <w:rStyle w:val="Hyperlink"/>
            <w:noProof/>
          </w:rPr>
          <w:t>Table B.10</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Odds ratios comparing 12-month, and lifetime drug use in transitioned ADF who were Ex-Serving, Inactive or Active Reservists</w:t>
        </w:r>
        <w:r w:rsidR="00F926F5">
          <w:rPr>
            <w:noProof/>
          </w:rPr>
          <w:tab/>
        </w:r>
        <w:r w:rsidR="00F926F5">
          <w:rPr>
            <w:noProof/>
          </w:rPr>
          <w:fldChar w:fldCharType="begin"/>
        </w:r>
        <w:r w:rsidR="00F926F5">
          <w:rPr>
            <w:noProof/>
          </w:rPr>
          <w:instrText xml:space="preserve"> PAGEREF _Toc511900509 \h </w:instrText>
        </w:r>
        <w:r w:rsidR="00F926F5">
          <w:rPr>
            <w:noProof/>
          </w:rPr>
        </w:r>
        <w:r w:rsidR="00F926F5">
          <w:rPr>
            <w:noProof/>
          </w:rPr>
          <w:fldChar w:fldCharType="separate"/>
        </w:r>
        <w:r>
          <w:rPr>
            <w:noProof/>
          </w:rPr>
          <w:t>316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0" w:history="1">
        <w:r w:rsidR="00F926F5" w:rsidRPr="005F6BCC">
          <w:rPr>
            <w:rStyle w:val="Hyperlink"/>
            <w:noProof/>
          </w:rPr>
          <w:t>Table B.11</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A comparison of 12-month suicidal ideation, plans and attempts in 2015 ADF and 2010 ADF</w:t>
        </w:r>
        <w:r w:rsidR="00F926F5">
          <w:rPr>
            <w:noProof/>
          </w:rPr>
          <w:tab/>
        </w:r>
        <w:r w:rsidR="00F926F5">
          <w:rPr>
            <w:noProof/>
          </w:rPr>
          <w:fldChar w:fldCharType="begin"/>
        </w:r>
        <w:r w:rsidR="00F926F5">
          <w:rPr>
            <w:noProof/>
          </w:rPr>
          <w:instrText xml:space="preserve"> PAGEREF _Toc511900510 \h </w:instrText>
        </w:r>
        <w:r w:rsidR="00F926F5">
          <w:rPr>
            <w:noProof/>
          </w:rPr>
        </w:r>
        <w:r w:rsidR="00F926F5">
          <w:rPr>
            <w:noProof/>
          </w:rPr>
          <w:fldChar w:fldCharType="separate"/>
        </w:r>
        <w:r>
          <w:rPr>
            <w:noProof/>
          </w:rPr>
          <w:t>317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1" w:history="1">
        <w:r w:rsidR="00F926F5" w:rsidRPr="005F6BCC">
          <w:rPr>
            <w:rStyle w:val="Hyperlink"/>
            <w:noProof/>
          </w:rPr>
          <w:t>Table B.12</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A Comparison of the proportion of Transitioned ADF versus 2015 ADF reporting each lifetime deployment exposure type</w:t>
        </w:r>
        <w:r w:rsidR="00F926F5">
          <w:rPr>
            <w:noProof/>
          </w:rPr>
          <w:tab/>
        </w:r>
        <w:r w:rsidR="00F926F5">
          <w:rPr>
            <w:noProof/>
          </w:rPr>
          <w:fldChar w:fldCharType="begin"/>
        </w:r>
        <w:r w:rsidR="00F926F5">
          <w:rPr>
            <w:noProof/>
          </w:rPr>
          <w:instrText xml:space="preserve"> PAGEREF _Toc511900511 \h </w:instrText>
        </w:r>
        <w:r w:rsidR="00F926F5">
          <w:rPr>
            <w:noProof/>
          </w:rPr>
        </w:r>
        <w:r w:rsidR="00F926F5">
          <w:rPr>
            <w:noProof/>
          </w:rPr>
          <w:fldChar w:fldCharType="separate"/>
        </w:r>
        <w:r>
          <w:rPr>
            <w:noProof/>
          </w:rPr>
          <w:t>317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2" w:history="1">
        <w:r w:rsidR="00F926F5" w:rsidRPr="005F6BCC">
          <w:rPr>
            <w:rStyle w:val="Hyperlink"/>
            <w:noProof/>
          </w:rPr>
          <w:t>Table B.13</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A comparison of the proportion of Transitioned ADF versus 2015 ADF reporting each lifetime trauma type</w:t>
        </w:r>
        <w:r w:rsidR="00F926F5">
          <w:rPr>
            <w:noProof/>
          </w:rPr>
          <w:tab/>
        </w:r>
        <w:r w:rsidR="00F926F5">
          <w:rPr>
            <w:noProof/>
          </w:rPr>
          <w:fldChar w:fldCharType="begin"/>
        </w:r>
        <w:r w:rsidR="00F926F5">
          <w:rPr>
            <w:noProof/>
          </w:rPr>
          <w:instrText xml:space="preserve"> PAGEREF _Toc511900512 \h </w:instrText>
        </w:r>
        <w:r w:rsidR="00F926F5">
          <w:rPr>
            <w:noProof/>
          </w:rPr>
        </w:r>
        <w:r w:rsidR="00F926F5">
          <w:rPr>
            <w:noProof/>
          </w:rPr>
          <w:fldChar w:fldCharType="separate"/>
        </w:r>
        <w:r>
          <w:rPr>
            <w:noProof/>
          </w:rPr>
          <w:t>318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3" w:history="1">
        <w:r w:rsidR="00F926F5" w:rsidRPr="005F6BCC">
          <w:rPr>
            <w:rStyle w:val="Hyperlink"/>
            <w:noProof/>
          </w:rPr>
          <w:t>Table B.14</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Strata description MilHOP Regular ADF</w:t>
        </w:r>
        <w:r w:rsidR="00F926F5">
          <w:rPr>
            <w:noProof/>
          </w:rPr>
          <w:tab/>
        </w:r>
        <w:r w:rsidR="00F926F5">
          <w:rPr>
            <w:noProof/>
          </w:rPr>
          <w:fldChar w:fldCharType="begin"/>
        </w:r>
        <w:r w:rsidR="00F926F5">
          <w:rPr>
            <w:noProof/>
          </w:rPr>
          <w:instrText xml:space="preserve"> PAGEREF _Toc511900513 \h </w:instrText>
        </w:r>
        <w:r w:rsidR="00F926F5">
          <w:rPr>
            <w:noProof/>
          </w:rPr>
        </w:r>
        <w:r w:rsidR="00F926F5">
          <w:rPr>
            <w:noProof/>
          </w:rPr>
          <w:fldChar w:fldCharType="separate"/>
        </w:r>
        <w:r>
          <w:rPr>
            <w:noProof/>
          </w:rPr>
          <w:t>319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4" w:history="1">
        <w:r w:rsidR="00F926F5" w:rsidRPr="005F6BCC">
          <w:rPr>
            <w:rStyle w:val="Hyperlink"/>
            <w:noProof/>
          </w:rPr>
          <w:t>Table B.15</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Strata description mon-MiLHOP Regular ADF</w:t>
        </w:r>
        <w:r w:rsidR="00F926F5">
          <w:rPr>
            <w:noProof/>
          </w:rPr>
          <w:tab/>
        </w:r>
        <w:r w:rsidR="00F926F5">
          <w:rPr>
            <w:noProof/>
          </w:rPr>
          <w:fldChar w:fldCharType="begin"/>
        </w:r>
        <w:r w:rsidR="00F926F5">
          <w:rPr>
            <w:noProof/>
          </w:rPr>
          <w:instrText xml:space="preserve"> PAGEREF _Toc511900514 \h </w:instrText>
        </w:r>
        <w:r w:rsidR="00F926F5">
          <w:rPr>
            <w:noProof/>
          </w:rPr>
        </w:r>
        <w:r w:rsidR="00F926F5">
          <w:rPr>
            <w:noProof/>
          </w:rPr>
          <w:fldChar w:fldCharType="separate"/>
        </w:r>
        <w:r>
          <w:rPr>
            <w:noProof/>
          </w:rPr>
          <w:t>320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5" w:history="1">
        <w:r w:rsidR="00F926F5" w:rsidRPr="005F6BCC">
          <w:rPr>
            <w:rStyle w:val="Hyperlink"/>
            <w:noProof/>
          </w:rPr>
          <w:t>Table B.16</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Strata description Transitioned ADF</w:t>
        </w:r>
        <w:r w:rsidR="00F926F5">
          <w:rPr>
            <w:noProof/>
          </w:rPr>
          <w:tab/>
        </w:r>
        <w:r w:rsidR="00F926F5">
          <w:rPr>
            <w:noProof/>
          </w:rPr>
          <w:fldChar w:fldCharType="begin"/>
        </w:r>
        <w:r w:rsidR="00F926F5">
          <w:rPr>
            <w:noProof/>
          </w:rPr>
          <w:instrText xml:space="preserve"> PAGEREF _Toc511900515 \h </w:instrText>
        </w:r>
        <w:r w:rsidR="00F926F5">
          <w:rPr>
            <w:noProof/>
          </w:rPr>
        </w:r>
        <w:r w:rsidR="00F926F5">
          <w:rPr>
            <w:noProof/>
          </w:rPr>
          <w:fldChar w:fldCharType="separate"/>
        </w:r>
        <w:r>
          <w:rPr>
            <w:noProof/>
          </w:rPr>
          <w:t>321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6" w:history="1">
        <w:r w:rsidR="00F926F5" w:rsidRPr="005F6BCC">
          <w:rPr>
            <w:rStyle w:val="Hyperlink"/>
            <w:noProof/>
          </w:rPr>
          <w:t>Table B.17</w:t>
        </w:r>
        <w:r w:rsidR="00F926F5">
          <w:rPr>
            <w:rFonts w:asciiTheme="minorHAnsi" w:eastAsiaTheme="minorEastAsia" w:hAnsiTheme="minorHAnsi" w:cstheme="minorBidi"/>
            <w:noProof/>
            <w:color w:val="auto"/>
            <w:sz w:val="22"/>
            <w:szCs w:val="22"/>
            <w:lang w:eastAsia="en-AU"/>
          </w:rPr>
          <w:tab/>
        </w:r>
        <w:r w:rsidR="00F926F5" w:rsidRPr="005F6BCC">
          <w:rPr>
            <w:rStyle w:val="Hyperlink"/>
            <w:noProof/>
          </w:rPr>
          <w:t>Weighting table</w:t>
        </w:r>
        <w:r w:rsidR="00F926F5">
          <w:rPr>
            <w:noProof/>
          </w:rPr>
          <w:tab/>
        </w:r>
        <w:r w:rsidR="00F926F5">
          <w:rPr>
            <w:noProof/>
          </w:rPr>
          <w:fldChar w:fldCharType="begin"/>
        </w:r>
        <w:r w:rsidR="00F926F5">
          <w:rPr>
            <w:noProof/>
          </w:rPr>
          <w:instrText xml:space="preserve"> PAGEREF _Toc511900516 \h </w:instrText>
        </w:r>
        <w:r w:rsidR="00F926F5">
          <w:rPr>
            <w:noProof/>
          </w:rPr>
        </w:r>
        <w:r w:rsidR="00F926F5">
          <w:rPr>
            <w:noProof/>
          </w:rPr>
          <w:fldChar w:fldCharType="separate"/>
        </w:r>
        <w:r>
          <w:rPr>
            <w:noProof/>
          </w:rPr>
          <w:t>322</w:t>
        </w:r>
        <w:r w:rsidR="00F926F5">
          <w:rPr>
            <w:noProof/>
          </w:rPr>
          <w:fldChar w:fldCharType="end"/>
        </w:r>
      </w:hyperlink>
    </w:p>
    <w:p w:rsidR="000E0B73" w:rsidRPr="005B0796" w:rsidRDefault="000E0B73" w:rsidP="000E0B73">
      <w:pPr>
        <w:pStyle w:val="Heading2a"/>
      </w:pPr>
      <w:r w:rsidRPr="005B0796">
        <w:fldChar w:fldCharType="end"/>
      </w:r>
      <w:r w:rsidRPr="005B0796">
        <w:t>Figures</w:t>
      </w:r>
    </w:p>
    <w:p w:rsidR="00F926F5" w:rsidRDefault="000E0B73">
      <w:pPr>
        <w:pStyle w:val="TOC4"/>
        <w:rPr>
          <w:rFonts w:asciiTheme="minorHAnsi" w:eastAsiaTheme="minorEastAsia" w:hAnsiTheme="minorHAnsi" w:cstheme="minorBidi"/>
          <w:noProof/>
          <w:color w:val="auto"/>
          <w:sz w:val="22"/>
          <w:szCs w:val="22"/>
          <w:lang w:eastAsia="en-AU"/>
        </w:rPr>
      </w:pPr>
      <w:r w:rsidRPr="005B0796">
        <w:fldChar w:fldCharType="begin"/>
      </w:r>
      <w:r w:rsidRPr="005B0796">
        <w:instrText xml:space="preserve"> TOC \t "FigureName,4" </w:instrText>
      </w:r>
      <w:r w:rsidR="00F926F5">
        <w:instrText xml:space="preserve">\h </w:instrText>
      </w:r>
      <w:r w:rsidRPr="005B0796">
        <w:fldChar w:fldCharType="separate"/>
      </w:r>
      <w:hyperlink w:anchor="_Toc511900517" w:history="1">
        <w:r w:rsidR="00F926F5" w:rsidRPr="004F413A">
          <w:rPr>
            <w:rStyle w:val="Hyperlink"/>
            <w:noProof/>
          </w:rPr>
          <w:t>Figure 2.1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Survey response rates for the Transitioned ADF and the 2015 Regular ADF</w:t>
        </w:r>
        <w:r w:rsidR="00F926F5">
          <w:rPr>
            <w:noProof/>
          </w:rPr>
          <w:tab/>
        </w:r>
        <w:r w:rsidR="00F926F5">
          <w:rPr>
            <w:noProof/>
          </w:rPr>
          <w:fldChar w:fldCharType="begin"/>
        </w:r>
        <w:r w:rsidR="00F926F5">
          <w:rPr>
            <w:noProof/>
          </w:rPr>
          <w:instrText xml:space="preserve"> PAGEREF _Toc511900517 \h </w:instrText>
        </w:r>
        <w:r w:rsidR="00F926F5">
          <w:rPr>
            <w:noProof/>
          </w:rPr>
        </w:r>
        <w:r w:rsidR="00F926F5">
          <w:rPr>
            <w:noProof/>
          </w:rPr>
          <w:fldChar w:fldCharType="separate"/>
        </w:r>
        <w:r w:rsidR="006E0148">
          <w:rPr>
            <w:noProof/>
          </w:rPr>
          <w:t>28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8" w:history="1">
        <w:r w:rsidR="00F926F5" w:rsidRPr="004F413A">
          <w:rPr>
            <w:rStyle w:val="Hyperlink"/>
            <w:noProof/>
          </w:rPr>
          <w:t>Figure 4.1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 by transition status</w:t>
        </w:r>
        <w:r w:rsidR="00F926F5">
          <w:rPr>
            <w:noProof/>
          </w:rPr>
          <w:tab/>
        </w:r>
        <w:r w:rsidR="00F926F5">
          <w:rPr>
            <w:noProof/>
          </w:rPr>
          <w:fldChar w:fldCharType="begin"/>
        </w:r>
        <w:r w:rsidR="00F926F5">
          <w:rPr>
            <w:noProof/>
          </w:rPr>
          <w:instrText xml:space="preserve"> PAGEREF _Toc511900518 \h </w:instrText>
        </w:r>
        <w:r w:rsidR="00F926F5">
          <w:rPr>
            <w:noProof/>
          </w:rPr>
        </w:r>
        <w:r w:rsidR="00F926F5">
          <w:rPr>
            <w:noProof/>
          </w:rPr>
          <w:fldChar w:fldCharType="separate"/>
        </w:r>
        <w:r>
          <w:rPr>
            <w:noProof/>
          </w:rPr>
          <w:t>57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19" w:history="1">
        <w:r w:rsidR="00F926F5" w:rsidRPr="004F413A">
          <w:rPr>
            <w:rStyle w:val="Hyperlink"/>
            <w:noProof/>
          </w:rPr>
          <w:t>Figure 4.2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sex</w:t>
        </w:r>
        <w:r w:rsidR="00F926F5">
          <w:rPr>
            <w:noProof/>
          </w:rPr>
          <w:tab/>
        </w:r>
        <w:r w:rsidR="00F926F5">
          <w:rPr>
            <w:noProof/>
          </w:rPr>
          <w:fldChar w:fldCharType="begin"/>
        </w:r>
        <w:r w:rsidR="00F926F5">
          <w:rPr>
            <w:noProof/>
          </w:rPr>
          <w:instrText xml:space="preserve"> PAGEREF _Toc511900519 \h </w:instrText>
        </w:r>
        <w:r w:rsidR="00F926F5">
          <w:rPr>
            <w:noProof/>
          </w:rPr>
        </w:r>
        <w:r w:rsidR="00F926F5">
          <w:rPr>
            <w:noProof/>
          </w:rPr>
          <w:fldChar w:fldCharType="separate"/>
        </w:r>
        <w:r>
          <w:rPr>
            <w:noProof/>
          </w:rPr>
          <w:t>60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0" w:history="1">
        <w:r w:rsidR="00F926F5" w:rsidRPr="004F413A">
          <w:rPr>
            <w:rStyle w:val="Hyperlink"/>
            <w:noProof/>
          </w:rPr>
          <w:t>Figure 4.3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anxiety disorder type and age</w:t>
        </w:r>
        <w:r w:rsidR="00F926F5">
          <w:rPr>
            <w:noProof/>
          </w:rPr>
          <w:tab/>
        </w:r>
        <w:r w:rsidR="00F926F5">
          <w:rPr>
            <w:noProof/>
          </w:rPr>
          <w:fldChar w:fldCharType="begin"/>
        </w:r>
        <w:r w:rsidR="00F926F5">
          <w:rPr>
            <w:noProof/>
          </w:rPr>
          <w:instrText xml:space="preserve"> PAGEREF _Toc511900520 \h </w:instrText>
        </w:r>
        <w:r w:rsidR="00F926F5">
          <w:rPr>
            <w:noProof/>
          </w:rPr>
        </w:r>
        <w:r w:rsidR="00F926F5">
          <w:rPr>
            <w:noProof/>
          </w:rPr>
          <w:fldChar w:fldCharType="separate"/>
        </w:r>
        <w:r>
          <w:rPr>
            <w:noProof/>
          </w:rPr>
          <w:t>62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1" w:history="1">
        <w:r w:rsidR="00F926F5" w:rsidRPr="004F413A">
          <w:rPr>
            <w:rStyle w:val="Hyperlink"/>
            <w:noProof/>
            <w:lang w:eastAsia="en-AU"/>
          </w:rPr>
          <w:t>Figure 4.4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lang w:eastAsia="en-AU"/>
          </w:rPr>
          <w:t>Estimated prevalence of 12-month ICD-10 anxiety disorders in Transitioned ADF members (Navy, Army and Air Force)</w:t>
        </w:r>
        <w:r w:rsidR="00F926F5">
          <w:rPr>
            <w:noProof/>
          </w:rPr>
          <w:tab/>
        </w:r>
        <w:r w:rsidR="00F926F5">
          <w:rPr>
            <w:noProof/>
          </w:rPr>
          <w:fldChar w:fldCharType="begin"/>
        </w:r>
        <w:r w:rsidR="00F926F5">
          <w:rPr>
            <w:noProof/>
          </w:rPr>
          <w:instrText xml:space="preserve"> PAGEREF _Toc511900521 \h </w:instrText>
        </w:r>
        <w:r w:rsidR="00F926F5">
          <w:rPr>
            <w:noProof/>
          </w:rPr>
        </w:r>
        <w:r w:rsidR="00F926F5">
          <w:rPr>
            <w:noProof/>
          </w:rPr>
          <w:fldChar w:fldCharType="separate"/>
        </w:r>
        <w:r>
          <w:rPr>
            <w:noProof/>
          </w:rPr>
          <w:t>64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2" w:history="1">
        <w:r w:rsidR="00F926F5" w:rsidRPr="004F413A">
          <w:rPr>
            <w:rStyle w:val="Hyperlink"/>
            <w:noProof/>
          </w:rPr>
          <w:t>Figure 4.5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anxiety disorder type and rank at transition</w:t>
        </w:r>
        <w:r w:rsidR="00F926F5">
          <w:rPr>
            <w:noProof/>
          </w:rPr>
          <w:tab/>
        </w:r>
        <w:r w:rsidR="00F926F5">
          <w:rPr>
            <w:noProof/>
          </w:rPr>
          <w:fldChar w:fldCharType="begin"/>
        </w:r>
        <w:r w:rsidR="00F926F5">
          <w:rPr>
            <w:noProof/>
          </w:rPr>
          <w:instrText xml:space="preserve"> PAGEREF _Toc511900522 \h </w:instrText>
        </w:r>
        <w:r w:rsidR="00F926F5">
          <w:rPr>
            <w:noProof/>
          </w:rPr>
        </w:r>
        <w:r w:rsidR="00F926F5">
          <w:rPr>
            <w:noProof/>
          </w:rPr>
          <w:fldChar w:fldCharType="separate"/>
        </w:r>
        <w:r>
          <w:rPr>
            <w:noProof/>
          </w:rPr>
          <w:t>65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3" w:history="1">
        <w:r w:rsidR="00F926F5" w:rsidRPr="004F413A">
          <w:rPr>
            <w:rStyle w:val="Hyperlink"/>
            <w:noProof/>
          </w:rPr>
          <w:t>Figure 4.6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the ADF, by anxiety disorder type and deployment status</w:t>
        </w:r>
        <w:r w:rsidR="00F926F5">
          <w:rPr>
            <w:noProof/>
          </w:rPr>
          <w:tab/>
        </w:r>
        <w:r w:rsidR="00F926F5">
          <w:rPr>
            <w:noProof/>
          </w:rPr>
          <w:fldChar w:fldCharType="begin"/>
        </w:r>
        <w:r w:rsidR="00F926F5">
          <w:rPr>
            <w:noProof/>
          </w:rPr>
          <w:instrText xml:space="preserve"> PAGEREF _Toc511900523 \h </w:instrText>
        </w:r>
        <w:r w:rsidR="00F926F5">
          <w:rPr>
            <w:noProof/>
          </w:rPr>
        </w:r>
        <w:r w:rsidR="00F926F5">
          <w:rPr>
            <w:noProof/>
          </w:rPr>
          <w:fldChar w:fldCharType="separate"/>
        </w:r>
        <w:r>
          <w:rPr>
            <w:noProof/>
          </w:rPr>
          <w:t>66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4" w:history="1">
        <w:r w:rsidR="00F926F5" w:rsidRPr="004F413A">
          <w:rPr>
            <w:rStyle w:val="Hyperlink"/>
            <w:noProof/>
          </w:rPr>
          <w:t>Figure 4.7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years of service in the Regular ADF</w:t>
        </w:r>
        <w:r w:rsidR="00F926F5">
          <w:rPr>
            <w:noProof/>
          </w:rPr>
          <w:tab/>
        </w:r>
        <w:r w:rsidR="00F926F5">
          <w:rPr>
            <w:noProof/>
          </w:rPr>
          <w:fldChar w:fldCharType="begin"/>
        </w:r>
        <w:r w:rsidR="00F926F5">
          <w:rPr>
            <w:noProof/>
          </w:rPr>
          <w:instrText xml:space="preserve"> PAGEREF _Toc511900524 \h </w:instrText>
        </w:r>
        <w:r w:rsidR="00F926F5">
          <w:rPr>
            <w:noProof/>
          </w:rPr>
        </w:r>
        <w:r w:rsidR="00F926F5">
          <w:rPr>
            <w:noProof/>
          </w:rPr>
          <w:fldChar w:fldCharType="separate"/>
        </w:r>
        <w:r>
          <w:rPr>
            <w:noProof/>
          </w:rPr>
          <w:t>69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5" w:history="1">
        <w:r w:rsidR="00F926F5" w:rsidRPr="004F413A">
          <w:rPr>
            <w:rStyle w:val="Hyperlink"/>
            <w:noProof/>
          </w:rPr>
          <w:t>Figure 4.8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anxiety disorder type and years since transition</w:t>
        </w:r>
        <w:r w:rsidR="00F926F5">
          <w:rPr>
            <w:noProof/>
          </w:rPr>
          <w:tab/>
        </w:r>
        <w:r w:rsidR="00F926F5">
          <w:rPr>
            <w:noProof/>
          </w:rPr>
          <w:fldChar w:fldCharType="begin"/>
        </w:r>
        <w:r w:rsidR="00F926F5">
          <w:rPr>
            <w:noProof/>
          </w:rPr>
          <w:instrText xml:space="preserve"> PAGEREF _Toc511900525 \h </w:instrText>
        </w:r>
        <w:r w:rsidR="00F926F5">
          <w:rPr>
            <w:noProof/>
          </w:rPr>
        </w:r>
        <w:r w:rsidR="00F926F5">
          <w:rPr>
            <w:noProof/>
          </w:rPr>
          <w:fldChar w:fldCharType="separate"/>
        </w:r>
        <w:r>
          <w:rPr>
            <w:noProof/>
          </w:rPr>
          <w:t>72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6" w:history="1">
        <w:r w:rsidR="00F926F5" w:rsidRPr="004F413A">
          <w:rPr>
            <w:rStyle w:val="Hyperlink"/>
            <w:noProof/>
          </w:rPr>
          <w:t>Figure 4.9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anxiety disorder type and reason for discharge</w:t>
        </w:r>
        <w:r w:rsidR="00F926F5">
          <w:rPr>
            <w:noProof/>
          </w:rPr>
          <w:tab/>
        </w:r>
        <w:r w:rsidR="00F926F5">
          <w:rPr>
            <w:noProof/>
          </w:rPr>
          <w:fldChar w:fldCharType="begin"/>
        </w:r>
        <w:r w:rsidR="00F926F5">
          <w:rPr>
            <w:noProof/>
          </w:rPr>
          <w:instrText xml:space="preserve"> PAGEREF _Toc511900526 \h </w:instrText>
        </w:r>
        <w:r w:rsidR="00F926F5">
          <w:rPr>
            <w:noProof/>
          </w:rPr>
        </w:r>
        <w:r w:rsidR="00F926F5">
          <w:rPr>
            <w:noProof/>
          </w:rPr>
          <w:fldChar w:fldCharType="separate"/>
        </w:r>
        <w:r>
          <w:rPr>
            <w:noProof/>
          </w:rPr>
          <w:t>74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7" w:history="1">
        <w:r w:rsidR="00F926F5" w:rsidRPr="004F413A">
          <w:rPr>
            <w:rStyle w:val="Hyperlink"/>
            <w:noProof/>
          </w:rPr>
          <w:t>Figure 4.10</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anxiety disorders in Transitioned ADF members, by anxiety disorder type and DVA status</w:t>
        </w:r>
        <w:r w:rsidR="00F926F5">
          <w:rPr>
            <w:noProof/>
          </w:rPr>
          <w:tab/>
        </w:r>
        <w:r w:rsidR="00F926F5">
          <w:rPr>
            <w:noProof/>
          </w:rPr>
          <w:fldChar w:fldCharType="begin"/>
        </w:r>
        <w:r w:rsidR="00F926F5">
          <w:rPr>
            <w:noProof/>
          </w:rPr>
          <w:instrText xml:space="preserve"> PAGEREF _Toc511900527 \h </w:instrText>
        </w:r>
        <w:r w:rsidR="00F926F5">
          <w:rPr>
            <w:noProof/>
          </w:rPr>
        </w:r>
        <w:r w:rsidR="00F926F5">
          <w:rPr>
            <w:noProof/>
          </w:rPr>
          <w:fldChar w:fldCharType="separate"/>
        </w:r>
        <w:r>
          <w:rPr>
            <w:noProof/>
          </w:rPr>
          <w:t>76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8" w:history="1">
        <w:r w:rsidR="00F926F5" w:rsidRPr="004F413A">
          <w:rPr>
            <w:rStyle w:val="Hyperlink"/>
            <w:noProof/>
          </w:rPr>
          <w:t>Figure 4.11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lifetime trauma exposure in Transitioned ADF members</w:t>
        </w:r>
        <w:r w:rsidR="00F926F5">
          <w:rPr>
            <w:noProof/>
          </w:rPr>
          <w:tab/>
        </w:r>
        <w:r w:rsidR="00F926F5">
          <w:rPr>
            <w:noProof/>
          </w:rPr>
          <w:fldChar w:fldCharType="begin"/>
        </w:r>
        <w:r w:rsidR="00F926F5">
          <w:rPr>
            <w:noProof/>
          </w:rPr>
          <w:instrText xml:space="preserve"> PAGEREF _Toc511900528 \h </w:instrText>
        </w:r>
        <w:r w:rsidR="00F926F5">
          <w:rPr>
            <w:noProof/>
          </w:rPr>
        </w:r>
        <w:r w:rsidR="00F926F5">
          <w:rPr>
            <w:noProof/>
          </w:rPr>
          <w:fldChar w:fldCharType="separate"/>
        </w:r>
        <w:r>
          <w:rPr>
            <w:noProof/>
          </w:rPr>
          <w:t>79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29" w:history="1">
        <w:r w:rsidR="00F926F5" w:rsidRPr="004F413A">
          <w:rPr>
            <w:rStyle w:val="Hyperlink"/>
            <w:noProof/>
          </w:rPr>
          <w:t>Figure 4.12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posttraumatic stress disorder from specific event types in Transitioned ADF</w:t>
        </w:r>
        <w:r w:rsidR="00F926F5">
          <w:rPr>
            <w:noProof/>
          </w:rPr>
          <w:tab/>
        </w:r>
        <w:r w:rsidR="00F926F5">
          <w:rPr>
            <w:noProof/>
          </w:rPr>
          <w:fldChar w:fldCharType="begin"/>
        </w:r>
        <w:r w:rsidR="00F926F5">
          <w:rPr>
            <w:noProof/>
          </w:rPr>
          <w:instrText xml:space="preserve"> PAGEREF _Toc511900529 \h </w:instrText>
        </w:r>
        <w:r w:rsidR="00F926F5">
          <w:rPr>
            <w:noProof/>
          </w:rPr>
        </w:r>
        <w:r w:rsidR="00F926F5">
          <w:rPr>
            <w:noProof/>
          </w:rPr>
          <w:fldChar w:fldCharType="separate"/>
        </w:r>
        <w:r>
          <w:rPr>
            <w:noProof/>
          </w:rPr>
          <w:t>81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0" w:history="1">
        <w:r w:rsidR="00F926F5" w:rsidRPr="004F413A">
          <w:rPr>
            <w:rStyle w:val="Hyperlink"/>
            <w:noProof/>
          </w:rPr>
          <w:t>Figure 4.13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transition status</w:t>
        </w:r>
        <w:r w:rsidR="00F926F5">
          <w:rPr>
            <w:noProof/>
          </w:rPr>
          <w:tab/>
        </w:r>
        <w:r w:rsidR="00F926F5">
          <w:rPr>
            <w:noProof/>
          </w:rPr>
          <w:fldChar w:fldCharType="begin"/>
        </w:r>
        <w:r w:rsidR="00F926F5">
          <w:rPr>
            <w:noProof/>
          </w:rPr>
          <w:instrText xml:space="preserve"> PAGEREF _Toc511900530 \h </w:instrText>
        </w:r>
        <w:r w:rsidR="00F926F5">
          <w:rPr>
            <w:noProof/>
          </w:rPr>
        </w:r>
        <w:r w:rsidR="00F926F5">
          <w:rPr>
            <w:noProof/>
          </w:rPr>
          <w:fldChar w:fldCharType="separate"/>
        </w:r>
        <w:r>
          <w:rPr>
            <w:noProof/>
          </w:rPr>
          <w:t>85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1" w:history="1">
        <w:r w:rsidR="00F926F5" w:rsidRPr="004F413A">
          <w:rPr>
            <w:rStyle w:val="Hyperlink"/>
            <w:noProof/>
          </w:rPr>
          <w:t>Figure 4.14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members, by affective disorder type and sex</w:t>
        </w:r>
        <w:r w:rsidR="00F926F5">
          <w:rPr>
            <w:noProof/>
          </w:rPr>
          <w:tab/>
        </w:r>
        <w:r w:rsidR="00F926F5">
          <w:rPr>
            <w:noProof/>
          </w:rPr>
          <w:fldChar w:fldCharType="begin"/>
        </w:r>
        <w:r w:rsidR="00F926F5">
          <w:rPr>
            <w:noProof/>
          </w:rPr>
          <w:instrText xml:space="preserve"> PAGEREF _Toc511900531 \h </w:instrText>
        </w:r>
        <w:r w:rsidR="00F926F5">
          <w:rPr>
            <w:noProof/>
          </w:rPr>
        </w:r>
        <w:r w:rsidR="00F926F5">
          <w:rPr>
            <w:noProof/>
          </w:rPr>
          <w:fldChar w:fldCharType="separate"/>
        </w:r>
        <w:r>
          <w:rPr>
            <w:noProof/>
          </w:rPr>
          <w:t>86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2" w:history="1">
        <w:r w:rsidR="00F926F5" w:rsidRPr="004F413A">
          <w:rPr>
            <w:rStyle w:val="Hyperlink"/>
            <w:noProof/>
          </w:rPr>
          <w:t>Figure 4.15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age</w:t>
        </w:r>
        <w:r w:rsidR="00F926F5">
          <w:rPr>
            <w:noProof/>
          </w:rPr>
          <w:tab/>
        </w:r>
        <w:r w:rsidR="00F926F5">
          <w:rPr>
            <w:noProof/>
          </w:rPr>
          <w:fldChar w:fldCharType="begin"/>
        </w:r>
        <w:r w:rsidR="00F926F5">
          <w:rPr>
            <w:noProof/>
          </w:rPr>
          <w:instrText xml:space="preserve"> PAGEREF _Toc511900532 \h </w:instrText>
        </w:r>
        <w:r w:rsidR="00F926F5">
          <w:rPr>
            <w:noProof/>
          </w:rPr>
        </w:r>
        <w:r w:rsidR="00F926F5">
          <w:rPr>
            <w:noProof/>
          </w:rPr>
          <w:fldChar w:fldCharType="separate"/>
        </w:r>
        <w:r>
          <w:rPr>
            <w:noProof/>
          </w:rPr>
          <w:t>88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3" w:history="1">
        <w:r w:rsidR="00F926F5" w:rsidRPr="004F413A">
          <w:rPr>
            <w:rStyle w:val="Hyperlink"/>
            <w:noProof/>
          </w:rPr>
          <w:t>Figure 4.16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by Service at time of transition from Regular ADF into Transitioned ADF</w:t>
        </w:r>
        <w:r w:rsidR="00F926F5">
          <w:rPr>
            <w:noProof/>
          </w:rPr>
          <w:tab/>
        </w:r>
        <w:r w:rsidR="00F926F5">
          <w:rPr>
            <w:noProof/>
          </w:rPr>
          <w:fldChar w:fldCharType="begin"/>
        </w:r>
        <w:r w:rsidR="00F926F5">
          <w:rPr>
            <w:noProof/>
          </w:rPr>
          <w:instrText xml:space="preserve"> PAGEREF _Toc511900533 \h </w:instrText>
        </w:r>
        <w:r w:rsidR="00F926F5">
          <w:rPr>
            <w:noProof/>
          </w:rPr>
        </w:r>
        <w:r w:rsidR="00F926F5">
          <w:rPr>
            <w:noProof/>
          </w:rPr>
          <w:fldChar w:fldCharType="separate"/>
        </w:r>
        <w:r>
          <w:rPr>
            <w:noProof/>
          </w:rPr>
          <w:t>89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4" w:history="1">
        <w:r w:rsidR="00F926F5" w:rsidRPr="004F413A">
          <w:rPr>
            <w:rStyle w:val="Hyperlink"/>
            <w:noProof/>
          </w:rPr>
          <w:t>Figure 4.17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by rank at time of transition from Regular ADF into Transitioned ADF</w:t>
        </w:r>
        <w:r w:rsidR="00F926F5">
          <w:rPr>
            <w:noProof/>
          </w:rPr>
          <w:tab/>
        </w:r>
        <w:r w:rsidR="00F926F5">
          <w:rPr>
            <w:noProof/>
          </w:rPr>
          <w:fldChar w:fldCharType="begin"/>
        </w:r>
        <w:r w:rsidR="00F926F5">
          <w:rPr>
            <w:noProof/>
          </w:rPr>
          <w:instrText xml:space="preserve"> PAGEREF _Toc511900534 \h </w:instrText>
        </w:r>
        <w:r w:rsidR="00F926F5">
          <w:rPr>
            <w:noProof/>
          </w:rPr>
        </w:r>
        <w:r w:rsidR="00F926F5">
          <w:rPr>
            <w:noProof/>
          </w:rPr>
          <w:fldChar w:fldCharType="separate"/>
        </w:r>
        <w:r>
          <w:rPr>
            <w:noProof/>
          </w:rPr>
          <w:t>90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5" w:history="1">
        <w:r w:rsidR="00F926F5" w:rsidRPr="004F413A">
          <w:rPr>
            <w:rStyle w:val="Hyperlink"/>
            <w:noProof/>
          </w:rPr>
          <w:t>Figure 4.18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deployment status</w:t>
        </w:r>
        <w:r w:rsidR="00F926F5">
          <w:rPr>
            <w:noProof/>
          </w:rPr>
          <w:tab/>
        </w:r>
        <w:r w:rsidR="00F926F5">
          <w:rPr>
            <w:noProof/>
          </w:rPr>
          <w:fldChar w:fldCharType="begin"/>
        </w:r>
        <w:r w:rsidR="00F926F5">
          <w:rPr>
            <w:noProof/>
          </w:rPr>
          <w:instrText xml:space="preserve"> PAGEREF _Toc511900535 \h </w:instrText>
        </w:r>
        <w:r w:rsidR="00F926F5">
          <w:rPr>
            <w:noProof/>
          </w:rPr>
        </w:r>
        <w:r w:rsidR="00F926F5">
          <w:rPr>
            <w:noProof/>
          </w:rPr>
          <w:fldChar w:fldCharType="separate"/>
        </w:r>
        <w:r>
          <w:rPr>
            <w:noProof/>
          </w:rPr>
          <w:t>91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6" w:history="1">
        <w:r w:rsidR="00F926F5" w:rsidRPr="004F413A">
          <w:rPr>
            <w:rStyle w:val="Hyperlink"/>
            <w:noProof/>
          </w:rPr>
          <w:t>Figure 4.19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years of service in Regular ADF</w:t>
        </w:r>
        <w:r w:rsidR="00F926F5">
          <w:rPr>
            <w:noProof/>
          </w:rPr>
          <w:tab/>
        </w:r>
        <w:r w:rsidR="00F926F5">
          <w:rPr>
            <w:noProof/>
          </w:rPr>
          <w:fldChar w:fldCharType="begin"/>
        </w:r>
        <w:r w:rsidR="00F926F5">
          <w:rPr>
            <w:noProof/>
          </w:rPr>
          <w:instrText xml:space="preserve"> PAGEREF _Toc511900536 \h </w:instrText>
        </w:r>
        <w:r w:rsidR="00F926F5">
          <w:rPr>
            <w:noProof/>
          </w:rPr>
        </w:r>
        <w:r w:rsidR="00F926F5">
          <w:rPr>
            <w:noProof/>
          </w:rPr>
          <w:fldChar w:fldCharType="separate"/>
        </w:r>
        <w:r>
          <w:rPr>
            <w:noProof/>
          </w:rPr>
          <w:t>92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7" w:history="1">
        <w:r w:rsidR="00F926F5" w:rsidRPr="004F413A">
          <w:rPr>
            <w:rStyle w:val="Hyperlink"/>
            <w:noProof/>
          </w:rPr>
          <w:t>Figure 4.20</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years since transition</w:t>
        </w:r>
        <w:r w:rsidR="00F926F5">
          <w:rPr>
            <w:noProof/>
          </w:rPr>
          <w:tab/>
        </w:r>
        <w:r w:rsidR="00F926F5">
          <w:rPr>
            <w:noProof/>
          </w:rPr>
          <w:fldChar w:fldCharType="begin"/>
        </w:r>
        <w:r w:rsidR="00F926F5">
          <w:rPr>
            <w:noProof/>
          </w:rPr>
          <w:instrText xml:space="preserve"> PAGEREF _Toc511900537 \h </w:instrText>
        </w:r>
        <w:r w:rsidR="00F926F5">
          <w:rPr>
            <w:noProof/>
          </w:rPr>
        </w:r>
        <w:r w:rsidR="00F926F5">
          <w:rPr>
            <w:noProof/>
          </w:rPr>
          <w:fldChar w:fldCharType="separate"/>
        </w:r>
        <w:r>
          <w:rPr>
            <w:noProof/>
          </w:rPr>
          <w:t>93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8" w:history="1">
        <w:r w:rsidR="00F926F5" w:rsidRPr="004F413A">
          <w:rPr>
            <w:rStyle w:val="Hyperlink"/>
            <w:noProof/>
          </w:rPr>
          <w:t>Figure 4.21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reason for discharge</w:t>
        </w:r>
        <w:r w:rsidR="00F926F5">
          <w:rPr>
            <w:noProof/>
          </w:rPr>
          <w:tab/>
        </w:r>
        <w:r w:rsidR="00F926F5">
          <w:rPr>
            <w:noProof/>
          </w:rPr>
          <w:fldChar w:fldCharType="begin"/>
        </w:r>
        <w:r w:rsidR="00F926F5">
          <w:rPr>
            <w:noProof/>
          </w:rPr>
          <w:instrText xml:space="preserve"> PAGEREF _Toc511900538 \h </w:instrText>
        </w:r>
        <w:r w:rsidR="00F926F5">
          <w:rPr>
            <w:noProof/>
          </w:rPr>
        </w:r>
        <w:r w:rsidR="00F926F5">
          <w:rPr>
            <w:noProof/>
          </w:rPr>
          <w:fldChar w:fldCharType="separate"/>
        </w:r>
        <w:r>
          <w:rPr>
            <w:noProof/>
          </w:rPr>
          <w:t>97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39" w:history="1">
        <w:r w:rsidR="00F926F5" w:rsidRPr="004F413A">
          <w:rPr>
            <w:rStyle w:val="Hyperlink"/>
            <w:noProof/>
          </w:rPr>
          <w:t>Figure 4.22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affective disorders in Transitioned ADF, by affective disorder type and DVA status</w:t>
        </w:r>
        <w:r w:rsidR="00F926F5">
          <w:rPr>
            <w:noProof/>
          </w:rPr>
          <w:tab/>
        </w:r>
        <w:r w:rsidR="00F926F5">
          <w:rPr>
            <w:noProof/>
          </w:rPr>
          <w:fldChar w:fldCharType="begin"/>
        </w:r>
        <w:r w:rsidR="00F926F5">
          <w:rPr>
            <w:noProof/>
          </w:rPr>
          <w:instrText xml:space="preserve"> PAGEREF _Toc511900539 \h </w:instrText>
        </w:r>
        <w:r w:rsidR="00F926F5">
          <w:rPr>
            <w:noProof/>
          </w:rPr>
        </w:r>
        <w:r w:rsidR="00F926F5">
          <w:rPr>
            <w:noProof/>
          </w:rPr>
          <w:fldChar w:fldCharType="separate"/>
        </w:r>
        <w:r>
          <w:rPr>
            <w:noProof/>
          </w:rPr>
          <w:t>98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0" w:history="1">
        <w:r w:rsidR="00F926F5" w:rsidRPr="004F413A">
          <w:rPr>
            <w:rStyle w:val="Hyperlink"/>
            <w:noProof/>
          </w:rPr>
          <w:t>Figure 4.23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transition status (Ex-Serving, Inactive Reservist and Active Reservist)</w:t>
        </w:r>
        <w:r w:rsidR="00F926F5">
          <w:rPr>
            <w:noProof/>
          </w:rPr>
          <w:tab/>
        </w:r>
        <w:r w:rsidR="00F926F5">
          <w:rPr>
            <w:noProof/>
          </w:rPr>
          <w:fldChar w:fldCharType="begin"/>
        </w:r>
        <w:r w:rsidR="00F926F5">
          <w:rPr>
            <w:noProof/>
          </w:rPr>
          <w:instrText xml:space="preserve"> PAGEREF _Toc511900540 \h </w:instrText>
        </w:r>
        <w:r w:rsidR="00F926F5">
          <w:rPr>
            <w:noProof/>
          </w:rPr>
        </w:r>
        <w:r w:rsidR="00F926F5">
          <w:rPr>
            <w:noProof/>
          </w:rPr>
          <w:fldChar w:fldCharType="separate"/>
        </w:r>
        <w:r>
          <w:rPr>
            <w:noProof/>
          </w:rPr>
          <w:t>101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1" w:history="1">
        <w:r w:rsidR="00F926F5" w:rsidRPr="004F413A">
          <w:rPr>
            <w:rStyle w:val="Hyperlink"/>
            <w:noProof/>
          </w:rPr>
          <w:t>Figure 4.24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sex</w:t>
        </w:r>
        <w:r w:rsidR="00F926F5">
          <w:rPr>
            <w:noProof/>
          </w:rPr>
          <w:tab/>
        </w:r>
        <w:r w:rsidR="00F926F5">
          <w:rPr>
            <w:noProof/>
          </w:rPr>
          <w:fldChar w:fldCharType="begin"/>
        </w:r>
        <w:r w:rsidR="00F926F5">
          <w:rPr>
            <w:noProof/>
          </w:rPr>
          <w:instrText xml:space="preserve"> PAGEREF _Toc511900541 \h </w:instrText>
        </w:r>
        <w:r w:rsidR="00F926F5">
          <w:rPr>
            <w:noProof/>
          </w:rPr>
        </w:r>
        <w:r w:rsidR="00F926F5">
          <w:rPr>
            <w:noProof/>
          </w:rPr>
          <w:fldChar w:fldCharType="separate"/>
        </w:r>
        <w:r>
          <w:rPr>
            <w:noProof/>
          </w:rPr>
          <w:t>103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2" w:history="1">
        <w:r w:rsidR="00F926F5" w:rsidRPr="004F413A">
          <w:rPr>
            <w:rStyle w:val="Hyperlink"/>
            <w:noProof/>
          </w:rPr>
          <w:t>Figure 4.25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age</w:t>
        </w:r>
        <w:r w:rsidR="00F926F5">
          <w:rPr>
            <w:noProof/>
          </w:rPr>
          <w:tab/>
        </w:r>
        <w:r w:rsidR="00F926F5">
          <w:rPr>
            <w:noProof/>
          </w:rPr>
          <w:fldChar w:fldCharType="begin"/>
        </w:r>
        <w:r w:rsidR="00F926F5">
          <w:rPr>
            <w:noProof/>
          </w:rPr>
          <w:instrText xml:space="preserve"> PAGEREF _Toc511900542 \h </w:instrText>
        </w:r>
        <w:r w:rsidR="00F926F5">
          <w:rPr>
            <w:noProof/>
          </w:rPr>
        </w:r>
        <w:r w:rsidR="00F926F5">
          <w:rPr>
            <w:noProof/>
          </w:rPr>
          <w:fldChar w:fldCharType="separate"/>
        </w:r>
        <w:r>
          <w:rPr>
            <w:noProof/>
          </w:rPr>
          <w:t>105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3" w:history="1">
        <w:r w:rsidR="00F926F5" w:rsidRPr="004F413A">
          <w:rPr>
            <w:rStyle w:val="Hyperlink"/>
            <w:noProof/>
          </w:rPr>
          <w:t>Figure 4.26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(Navy, Army and Air Force)</w:t>
        </w:r>
        <w:r w:rsidR="00F926F5">
          <w:rPr>
            <w:noProof/>
          </w:rPr>
          <w:tab/>
        </w:r>
        <w:r w:rsidR="00F926F5">
          <w:rPr>
            <w:noProof/>
          </w:rPr>
          <w:fldChar w:fldCharType="begin"/>
        </w:r>
        <w:r w:rsidR="00F926F5">
          <w:rPr>
            <w:noProof/>
          </w:rPr>
          <w:instrText xml:space="preserve"> PAGEREF _Toc511900543 \h </w:instrText>
        </w:r>
        <w:r w:rsidR="00F926F5">
          <w:rPr>
            <w:noProof/>
          </w:rPr>
        </w:r>
        <w:r w:rsidR="00F926F5">
          <w:rPr>
            <w:noProof/>
          </w:rPr>
          <w:fldChar w:fldCharType="separate"/>
        </w:r>
        <w:r>
          <w:rPr>
            <w:noProof/>
          </w:rPr>
          <w:t>106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4" w:history="1">
        <w:r w:rsidR="00F926F5" w:rsidRPr="004F413A">
          <w:rPr>
            <w:rStyle w:val="Hyperlink"/>
            <w:noProof/>
          </w:rPr>
          <w:t>Figure 4.27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ADF rank/rank at time of transition from service in Regular ADF</w:t>
        </w:r>
        <w:r w:rsidR="00F926F5">
          <w:rPr>
            <w:noProof/>
          </w:rPr>
          <w:tab/>
        </w:r>
        <w:r w:rsidR="00F926F5">
          <w:rPr>
            <w:noProof/>
          </w:rPr>
          <w:fldChar w:fldCharType="begin"/>
        </w:r>
        <w:r w:rsidR="00F926F5">
          <w:rPr>
            <w:noProof/>
          </w:rPr>
          <w:instrText xml:space="preserve"> PAGEREF _Toc511900544 \h </w:instrText>
        </w:r>
        <w:r w:rsidR="00F926F5">
          <w:rPr>
            <w:noProof/>
          </w:rPr>
        </w:r>
        <w:r w:rsidR="00F926F5">
          <w:rPr>
            <w:noProof/>
          </w:rPr>
          <w:fldChar w:fldCharType="separate"/>
        </w:r>
        <w:r>
          <w:rPr>
            <w:noProof/>
          </w:rPr>
          <w:t>107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5" w:history="1">
        <w:r w:rsidR="00F926F5" w:rsidRPr="004F413A">
          <w:rPr>
            <w:rStyle w:val="Hyperlink"/>
            <w:noProof/>
          </w:rPr>
          <w:t>Figure 4.28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by alcohol disorder type and deployment status</w:t>
        </w:r>
        <w:r w:rsidR="00F926F5">
          <w:rPr>
            <w:noProof/>
          </w:rPr>
          <w:tab/>
        </w:r>
        <w:r w:rsidR="00F926F5">
          <w:rPr>
            <w:noProof/>
          </w:rPr>
          <w:fldChar w:fldCharType="begin"/>
        </w:r>
        <w:r w:rsidR="00F926F5">
          <w:rPr>
            <w:noProof/>
          </w:rPr>
          <w:instrText xml:space="preserve"> PAGEREF _Toc511900545 \h </w:instrText>
        </w:r>
        <w:r w:rsidR="00F926F5">
          <w:rPr>
            <w:noProof/>
          </w:rPr>
        </w:r>
        <w:r w:rsidR="00F926F5">
          <w:rPr>
            <w:noProof/>
          </w:rPr>
          <w:fldChar w:fldCharType="separate"/>
        </w:r>
        <w:r>
          <w:rPr>
            <w:noProof/>
          </w:rPr>
          <w:t>108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6" w:history="1">
        <w:r w:rsidR="00F926F5" w:rsidRPr="004F413A">
          <w:rPr>
            <w:rStyle w:val="Hyperlink"/>
            <w:noProof/>
          </w:rPr>
          <w:t>Figure 4.29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years of service in Regular ADF</w:t>
        </w:r>
        <w:r w:rsidR="00F926F5">
          <w:rPr>
            <w:noProof/>
          </w:rPr>
          <w:tab/>
        </w:r>
        <w:r w:rsidR="00F926F5">
          <w:rPr>
            <w:noProof/>
          </w:rPr>
          <w:fldChar w:fldCharType="begin"/>
        </w:r>
        <w:r w:rsidR="00F926F5">
          <w:rPr>
            <w:noProof/>
          </w:rPr>
          <w:instrText xml:space="preserve"> PAGEREF _Toc511900546 \h </w:instrText>
        </w:r>
        <w:r w:rsidR="00F926F5">
          <w:rPr>
            <w:noProof/>
          </w:rPr>
        </w:r>
        <w:r w:rsidR="00F926F5">
          <w:rPr>
            <w:noProof/>
          </w:rPr>
          <w:fldChar w:fldCharType="separate"/>
        </w:r>
        <w:r>
          <w:rPr>
            <w:noProof/>
          </w:rPr>
          <w:t>111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7" w:history="1">
        <w:r w:rsidR="00F926F5" w:rsidRPr="004F413A">
          <w:rPr>
            <w:rStyle w:val="Hyperlink"/>
            <w:noProof/>
          </w:rPr>
          <w:t>Figure 4.30</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years since transition</w:t>
        </w:r>
        <w:r w:rsidR="00F926F5">
          <w:rPr>
            <w:noProof/>
          </w:rPr>
          <w:tab/>
        </w:r>
        <w:r w:rsidR="00F926F5">
          <w:rPr>
            <w:noProof/>
          </w:rPr>
          <w:fldChar w:fldCharType="begin"/>
        </w:r>
        <w:r w:rsidR="00F926F5">
          <w:rPr>
            <w:noProof/>
          </w:rPr>
          <w:instrText xml:space="preserve"> PAGEREF _Toc511900547 \h </w:instrText>
        </w:r>
        <w:r w:rsidR="00F926F5">
          <w:rPr>
            <w:noProof/>
          </w:rPr>
        </w:r>
        <w:r w:rsidR="00F926F5">
          <w:rPr>
            <w:noProof/>
          </w:rPr>
          <w:fldChar w:fldCharType="separate"/>
        </w:r>
        <w:r>
          <w:rPr>
            <w:noProof/>
          </w:rPr>
          <w:t>113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8" w:history="1">
        <w:r w:rsidR="00F926F5" w:rsidRPr="004F413A">
          <w:rPr>
            <w:rStyle w:val="Hyperlink"/>
            <w:noProof/>
          </w:rPr>
          <w:t>Figure 4.31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reason for discharge</w:t>
        </w:r>
        <w:r w:rsidR="00F926F5">
          <w:rPr>
            <w:noProof/>
          </w:rPr>
          <w:tab/>
        </w:r>
        <w:r w:rsidR="00F926F5">
          <w:rPr>
            <w:noProof/>
          </w:rPr>
          <w:fldChar w:fldCharType="begin"/>
        </w:r>
        <w:r w:rsidR="00F926F5">
          <w:rPr>
            <w:noProof/>
          </w:rPr>
          <w:instrText xml:space="preserve"> PAGEREF _Toc511900548 \h </w:instrText>
        </w:r>
        <w:r w:rsidR="00F926F5">
          <w:rPr>
            <w:noProof/>
          </w:rPr>
        </w:r>
        <w:r w:rsidR="00F926F5">
          <w:rPr>
            <w:noProof/>
          </w:rPr>
          <w:fldChar w:fldCharType="separate"/>
        </w:r>
        <w:r>
          <w:rPr>
            <w:noProof/>
          </w:rPr>
          <w:t>114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49" w:history="1">
        <w:r w:rsidR="00F926F5" w:rsidRPr="004F413A">
          <w:rPr>
            <w:rStyle w:val="Hyperlink"/>
            <w:noProof/>
          </w:rPr>
          <w:t>Figure 4.32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ICD-10 alcohol disorders in Transitioned ADF members, by alcohol disorder type and DVA status</w:t>
        </w:r>
        <w:r w:rsidR="00F926F5">
          <w:rPr>
            <w:noProof/>
          </w:rPr>
          <w:tab/>
        </w:r>
        <w:r w:rsidR="00F926F5">
          <w:rPr>
            <w:noProof/>
          </w:rPr>
          <w:fldChar w:fldCharType="begin"/>
        </w:r>
        <w:r w:rsidR="00F926F5">
          <w:rPr>
            <w:noProof/>
          </w:rPr>
          <w:instrText xml:space="preserve"> PAGEREF _Toc511900549 \h </w:instrText>
        </w:r>
        <w:r w:rsidR="00F926F5">
          <w:rPr>
            <w:noProof/>
          </w:rPr>
        </w:r>
        <w:r w:rsidR="00F926F5">
          <w:rPr>
            <w:noProof/>
          </w:rPr>
          <w:fldChar w:fldCharType="separate"/>
        </w:r>
        <w:r>
          <w:rPr>
            <w:noProof/>
          </w:rPr>
          <w:t>115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0" w:history="1">
        <w:r w:rsidR="00F926F5" w:rsidRPr="004F413A">
          <w:rPr>
            <w:rStyle w:val="Hyperlink"/>
            <w:noProof/>
          </w:rPr>
          <w:t>Figure 4.33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transition status (Ex</w:t>
        </w:r>
        <w:r w:rsidR="00F926F5" w:rsidRPr="004F413A">
          <w:rPr>
            <w:rStyle w:val="Hyperlink"/>
            <w:noProof/>
          </w:rPr>
          <w:noBreakHyphen/>
          <w:t>Serving, Inactive Reservists and Active Reservists)</w:t>
        </w:r>
        <w:r w:rsidR="00F926F5">
          <w:rPr>
            <w:noProof/>
          </w:rPr>
          <w:tab/>
        </w:r>
        <w:r w:rsidR="00F926F5">
          <w:rPr>
            <w:noProof/>
          </w:rPr>
          <w:fldChar w:fldCharType="begin"/>
        </w:r>
        <w:r w:rsidR="00F926F5">
          <w:rPr>
            <w:noProof/>
          </w:rPr>
          <w:instrText xml:space="preserve"> PAGEREF _Toc511900550 \h </w:instrText>
        </w:r>
        <w:r w:rsidR="00F926F5">
          <w:rPr>
            <w:noProof/>
          </w:rPr>
        </w:r>
        <w:r w:rsidR="00F926F5">
          <w:rPr>
            <w:noProof/>
          </w:rPr>
          <w:fldChar w:fldCharType="separate"/>
        </w:r>
        <w:r>
          <w:rPr>
            <w:noProof/>
          </w:rPr>
          <w:t>122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1" w:history="1">
        <w:r w:rsidR="00F926F5" w:rsidRPr="004F413A">
          <w:rPr>
            <w:rStyle w:val="Hyperlink"/>
            <w:noProof/>
          </w:rPr>
          <w:t>Figure 4.34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sex</w:t>
        </w:r>
        <w:r w:rsidR="00F926F5">
          <w:rPr>
            <w:noProof/>
          </w:rPr>
          <w:tab/>
        </w:r>
        <w:r w:rsidR="00F926F5">
          <w:rPr>
            <w:noProof/>
          </w:rPr>
          <w:fldChar w:fldCharType="begin"/>
        </w:r>
        <w:r w:rsidR="00F926F5">
          <w:rPr>
            <w:noProof/>
          </w:rPr>
          <w:instrText xml:space="preserve"> PAGEREF _Toc511900551 \h </w:instrText>
        </w:r>
        <w:r w:rsidR="00F926F5">
          <w:rPr>
            <w:noProof/>
          </w:rPr>
        </w:r>
        <w:r w:rsidR="00F926F5">
          <w:rPr>
            <w:noProof/>
          </w:rPr>
          <w:fldChar w:fldCharType="separate"/>
        </w:r>
        <w:r>
          <w:rPr>
            <w:noProof/>
          </w:rPr>
          <w:t>123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2" w:history="1">
        <w:r w:rsidR="00F926F5" w:rsidRPr="004F413A">
          <w:rPr>
            <w:rStyle w:val="Hyperlink"/>
            <w:noProof/>
          </w:rPr>
          <w:t>Figure 4.35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age</w:t>
        </w:r>
        <w:r w:rsidR="00F926F5">
          <w:rPr>
            <w:noProof/>
          </w:rPr>
          <w:tab/>
        </w:r>
        <w:r w:rsidR="00F926F5">
          <w:rPr>
            <w:noProof/>
          </w:rPr>
          <w:fldChar w:fldCharType="begin"/>
        </w:r>
        <w:r w:rsidR="00F926F5">
          <w:rPr>
            <w:noProof/>
          </w:rPr>
          <w:instrText xml:space="preserve"> PAGEREF _Toc511900552 \h </w:instrText>
        </w:r>
        <w:r w:rsidR="00F926F5">
          <w:rPr>
            <w:noProof/>
          </w:rPr>
        </w:r>
        <w:r w:rsidR="00F926F5">
          <w:rPr>
            <w:noProof/>
          </w:rPr>
          <w:fldChar w:fldCharType="separate"/>
        </w:r>
        <w:r>
          <w:rPr>
            <w:noProof/>
          </w:rPr>
          <w:t>125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3" w:history="1">
        <w:r w:rsidR="00F926F5" w:rsidRPr="004F413A">
          <w:rPr>
            <w:rStyle w:val="Hyperlink"/>
            <w:noProof/>
          </w:rPr>
          <w:t>Figure 4.36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by Service at transition from Regular ADF into Transitioned ADF (Navy, Army and Air Force)</w:t>
        </w:r>
        <w:r w:rsidR="00F926F5">
          <w:rPr>
            <w:noProof/>
          </w:rPr>
          <w:tab/>
        </w:r>
        <w:r w:rsidR="00F926F5">
          <w:rPr>
            <w:noProof/>
          </w:rPr>
          <w:fldChar w:fldCharType="begin"/>
        </w:r>
        <w:r w:rsidR="00F926F5">
          <w:rPr>
            <w:noProof/>
          </w:rPr>
          <w:instrText xml:space="preserve"> PAGEREF _Toc511900553 \h </w:instrText>
        </w:r>
        <w:r w:rsidR="00F926F5">
          <w:rPr>
            <w:noProof/>
          </w:rPr>
        </w:r>
        <w:r w:rsidR="00F926F5">
          <w:rPr>
            <w:noProof/>
          </w:rPr>
          <w:fldChar w:fldCharType="separate"/>
        </w:r>
        <w:r>
          <w:rPr>
            <w:noProof/>
          </w:rPr>
          <w:t>127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4" w:history="1">
        <w:r w:rsidR="00F926F5" w:rsidRPr="004F413A">
          <w:rPr>
            <w:rStyle w:val="Hyperlink"/>
            <w:noProof/>
          </w:rPr>
          <w:t>Figure 4.37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rank at transition</w:t>
        </w:r>
        <w:r w:rsidR="00F926F5">
          <w:rPr>
            <w:noProof/>
          </w:rPr>
          <w:tab/>
        </w:r>
        <w:r w:rsidR="00F926F5">
          <w:rPr>
            <w:noProof/>
          </w:rPr>
          <w:fldChar w:fldCharType="begin"/>
        </w:r>
        <w:r w:rsidR="00F926F5">
          <w:rPr>
            <w:noProof/>
          </w:rPr>
          <w:instrText xml:space="preserve"> PAGEREF _Toc511900554 \h </w:instrText>
        </w:r>
        <w:r w:rsidR="00F926F5">
          <w:rPr>
            <w:noProof/>
          </w:rPr>
        </w:r>
        <w:r w:rsidR="00F926F5">
          <w:rPr>
            <w:noProof/>
          </w:rPr>
          <w:fldChar w:fldCharType="separate"/>
        </w:r>
        <w:r>
          <w:rPr>
            <w:noProof/>
          </w:rPr>
          <w:t>129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5" w:history="1">
        <w:r w:rsidR="00F926F5" w:rsidRPr="004F413A">
          <w:rPr>
            <w:rStyle w:val="Hyperlink"/>
            <w:noProof/>
          </w:rPr>
          <w:t>Figure 4.38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12-month suicidality in the Transitioned ADF, by deployment status</w:t>
        </w:r>
        <w:r w:rsidR="00F926F5">
          <w:rPr>
            <w:noProof/>
          </w:rPr>
          <w:tab/>
        </w:r>
        <w:r w:rsidR="00F926F5">
          <w:rPr>
            <w:noProof/>
          </w:rPr>
          <w:fldChar w:fldCharType="begin"/>
        </w:r>
        <w:r w:rsidR="00F926F5">
          <w:rPr>
            <w:noProof/>
          </w:rPr>
          <w:instrText xml:space="preserve"> PAGEREF _Toc511900555 \h </w:instrText>
        </w:r>
        <w:r w:rsidR="00F926F5">
          <w:rPr>
            <w:noProof/>
          </w:rPr>
        </w:r>
        <w:r w:rsidR="00F926F5">
          <w:rPr>
            <w:noProof/>
          </w:rPr>
          <w:fldChar w:fldCharType="separate"/>
        </w:r>
        <w:r>
          <w:rPr>
            <w:noProof/>
          </w:rPr>
          <w:t>130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6" w:history="1">
        <w:r w:rsidR="00F926F5" w:rsidRPr="004F413A">
          <w:rPr>
            <w:rStyle w:val="Hyperlink"/>
            <w:noProof/>
          </w:rPr>
          <w:t>Figure 4.39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years of service in Regular ADF</w:t>
        </w:r>
        <w:r w:rsidR="00F926F5">
          <w:rPr>
            <w:noProof/>
          </w:rPr>
          <w:tab/>
        </w:r>
        <w:r w:rsidR="00F926F5">
          <w:rPr>
            <w:noProof/>
          </w:rPr>
          <w:fldChar w:fldCharType="begin"/>
        </w:r>
        <w:r w:rsidR="00F926F5">
          <w:rPr>
            <w:noProof/>
          </w:rPr>
          <w:instrText xml:space="preserve"> PAGEREF _Toc511900556 \h </w:instrText>
        </w:r>
        <w:r w:rsidR="00F926F5">
          <w:rPr>
            <w:noProof/>
          </w:rPr>
        </w:r>
        <w:r w:rsidR="00F926F5">
          <w:rPr>
            <w:noProof/>
          </w:rPr>
          <w:fldChar w:fldCharType="separate"/>
        </w:r>
        <w:r>
          <w:rPr>
            <w:noProof/>
          </w:rPr>
          <w:t>132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7" w:history="1">
        <w:r w:rsidR="00F926F5" w:rsidRPr="004F413A">
          <w:rPr>
            <w:rStyle w:val="Hyperlink"/>
            <w:noProof/>
          </w:rPr>
          <w:t>Figure 4.40</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by number of years since transition from Regular ADF into Transitioned ADF</w:t>
        </w:r>
        <w:r w:rsidR="00F926F5">
          <w:rPr>
            <w:noProof/>
          </w:rPr>
          <w:tab/>
        </w:r>
        <w:r w:rsidR="00F926F5">
          <w:rPr>
            <w:noProof/>
          </w:rPr>
          <w:fldChar w:fldCharType="begin"/>
        </w:r>
        <w:r w:rsidR="00F926F5">
          <w:rPr>
            <w:noProof/>
          </w:rPr>
          <w:instrText xml:space="preserve"> PAGEREF _Toc511900557 \h </w:instrText>
        </w:r>
        <w:r w:rsidR="00F926F5">
          <w:rPr>
            <w:noProof/>
          </w:rPr>
        </w:r>
        <w:r w:rsidR="00F926F5">
          <w:rPr>
            <w:noProof/>
          </w:rPr>
          <w:fldChar w:fldCharType="separate"/>
        </w:r>
        <w:r>
          <w:rPr>
            <w:noProof/>
          </w:rPr>
          <w:t>134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8" w:history="1">
        <w:r w:rsidR="00F926F5" w:rsidRPr="004F413A">
          <w:rPr>
            <w:rStyle w:val="Hyperlink"/>
            <w:noProof/>
          </w:rPr>
          <w:t>Figure 4.41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medical vs other reason for discharge</w:t>
        </w:r>
        <w:r w:rsidR="00F926F5">
          <w:rPr>
            <w:noProof/>
          </w:rPr>
          <w:tab/>
        </w:r>
        <w:r w:rsidR="00F926F5">
          <w:rPr>
            <w:noProof/>
          </w:rPr>
          <w:fldChar w:fldCharType="begin"/>
        </w:r>
        <w:r w:rsidR="00F926F5">
          <w:rPr>
            <w:noProof/>
          </w:rPr>
          <w:instrText xml:space="preserve"> PAGEREF _Toc511900558 \h </w:instrText>
        </w:r>
        <w:r w:rsidR="00F926F5">
          <w:rPr>
            <w:noProof/>
          </w:rPr>
        </w:r>
        <w:r w:rsidR="00F926F5">
          <w:rPr>
            <w:noProof/>
          </w:rPr>
          <w:fldChar w:fldCharType="separate"/>
        </w:r>
        <w:r>
          <w:rPr>
            <w:noProof/>
          </w:rPr>
          <w:t>135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59" w:history="1">
        <w:r w:rsidR="00F926F5" w:rsidRPr="004F413A">
          <w:rPr>
            <w:rStyle w:val="Hyperlink"/>
            <w:noProof/>
          </w:rPr>
          <w:t>Figure 4.42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suicidality in Transitioned ADF members, by DVA status</w:t>
        </w:r>
        <w:r w:rsidR="00F926F5">
          <w:rPr>
            <w:noProof/>
          </w:rPr>
          <w:tab/>
        </w:r>
        <w:r w:rsidR="00F926F5">
          <w:rPr>
            <w:noProof/>
          </w:rPr>
          <w:fldChar w:fldCharType="begin"/>
        </w:r>
        <w:r w:rsidR="00F926F5">
          <w:rPr>
            <w:noProof/>
          </w:rPr>
          <w:instrText xml:space="preserve"> PAGEREF _Toc511900559 \h </w:instrText>
        </w:r>
        <w:r w:rsidR="00F926F5">
          <w:rPr>
            <w:noProof/>
          </w:rPr>
        </w:r>
        <w:r w:rsidR="00F926F5">
          <w:rPr>
            <w:noProof/>
          </w:rPr>
          <w:fldChar w:fldCharType="separate"/>
        </w:r>
        <w:r>
          <w:rPr>
            <w:noProof/>
          </w:rPr>
          <w:t>137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0" w:history="1">
        <w:r w:rsidR="00F926F5" w:rsidRPr="004F413A">
          <w:rPr>
            <w:rStyle w:val="Hyperlink"/>
            <w:noProof/>
          </w:rPr>
          <w:t>Figure 5.1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in each of the four K10 scoring bands for psychological distress</w:t>
        </w:r>
        <w:r w:rsidR="00F926F5">
          <w:rPr>
            <w:noProof/>
          </w:rPr>
          <w:tab/>
        </w:r>
        <w:r w:rsidR="00F926F5">
          <w:rPr>
            <w:noProof/>
          </w:rPr>
          <w:fldChar w:fldCharType="begin"/>
        </w:r>
        <w:r w:rsidR="00F926F5">
          <w:rPr>
            <w:noProof/>
          </w:rPr>
          <w:instrText xml:space="preserve"> PAGEREF _Toc511900560 \h </w:instrText>
        </w:r>
        <w:r w:rsidR="00F926F5">
          <w:rPr>
            <w:noProof/>
          </w:rPr>
        </w:r>
        <w:r w:rsidR="00F926F5">
          <w:rPr>
            <w:noProof/>
          </w:rPr>
          <w:fldChar w:fldCharType="separate"/>
        </w:r>
        <w:r>
          <w:rPr>
            <w:noProof/>
          </w:rPr>
          <w:t>146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1" w:history="1">
        <w:r w:rsidR="00F926F5" w:rsidRPr="004F413A">
          <w:rPr>
            <w:rStyle w:val="Hyperlink"/>
            <w:noProof/>
          </w:rPr>
          <w:t>Figure 5.2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scoring in each of the K10 bands for psychological distress, by transition status</w:t>
        </w:r>
        <w:r w:rsidR="00F926F5">
          <w:rPr>
            <w:noProof/>
          </w:rPr>
          <w:tab/>
        </w:r>
        <w:r w:rsidR="00F926F5">
          <w:rPr>
            <w:noProof/>
          </w:rPr>
          <w:fldChar w:fldCharType="begin"/>
        </w:r>
        <w:r w:rsidR="00F926F5">
          <w:rPr>
            <w:noProof/>
          </w:rPr>
          <w:instrText xml:space="preserve"> PAGEREF _Toc511900561 \h </w:instrText>
        </w:r>
        <w:r w:rsidR="00F926F5">
          <w:rPr>
            <w:noProof/>
          </w:rPr>
        </w:r>
        <w:r w:rsidR="00F926F5">
          <w:rPr>
            <w:noProof/>
          </w:rPr>
          <w:fldChar w:fldCharType="separate"/>
        </w:r>
        <w:r>
          <w:rPr>
            <w:noProof/>
          </w:rPr>
          <w:t>147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2" w:history="1">
        <w:r w:rsidR="00F926F5" w:rsidRPr="004F413A">
          <w:rPr>
            <w:rStyle w:val="Hyperlink"/>
            <w:noProof/>
          </w:rPr>
          <w:t>Figure 5.3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members in each year of transition, scoring in each of the four K10 bands for psychological distress</w:t>
        </w:r>
        <w:r w:rsidR="00F926F5">
          <w:rPr>
            <w:noProof/>
          </w:rPr>
          <w:tab/>
        </w:r>
        <w:r w:rsidR="00F926F5">
          <w:rPr>
            <w:noProof/>
          </w:rPr>
          <w:fldChar w:fldCharType="begin"/>
        </w:r>
        <w:r w:rsidR="00F926F5">
          <w:rPr>
            <w:noProof/>
          </w:rPr>
          <w:instrText xml:space="preserve"> PAGEREF _Toc511900562 \h </w:instrText>
        </w:r>
        <w:r w:rsidR="00F926F5">
          <w:rPr>
            <w:noProof/>
          </w:rPr>
        </w:r>
        <w:r w:rsidR="00F926F5">
          <w:rPr>
            <w:noProof/>
          </w:rPr>
          <w:fldChar w:fldCharType="separate"/>
        </w:r>
        <w:r>
          <w:rPr>
            <w:noProof/>
          </w:rPr>
          <w:t>149</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3" w:history="1">
        <w:r w:rsidR="00F926F5" w:rsidRPr="004F413A">
          <w:rPr>
            <w:rStyle w:val="Hyperlink"/>
            <w:noProof/>
          </w:rPr>
          <w:t>Figure 5.4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members in each of the four PCL scoring bands for posttraumatic stress</w:t>
        </w:r>
        <w:r w:rsidR="00F926F5">
          <w:rPr>
            <w:noProof/>
          </w:rPr>
          <w:tab/>
        </w:r>
        <w:r w:rsidR="00F926F5">
          <w:rPr>
            <w:noProof/>
          </w:rPr>
          <w:fldChar w:fldCharType="begin"/>
        </w:r>
        <w:r w:rsidR="00F926F5">
          <w:rPr>
            <w:noProof/>
          </w:rPr>
          <w:instrText xml:space="preserve"> PAGEREF _Toc511900563 \h </w:instrText>
        </w:r>
        <w:r w:rsidR="00F926F5">
          <w:rPr>
            <w:noProof/>
          </w:rPr>
        </w:r>
        <w:r w:rsidR="00F926F5">
          <w:rPr>
            <w:noProof/>
          </w:rPr>
          <w:fldChar w:fldCharType="separate"/>
        </w:r>
        <w:r>
          <w:rPr>
            <w:noProof/>
          </w:rPr>
          <w:t>152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4" w:history="1">
        <w:r w:rsidR="00F926F5" w:rsidRPr="004F413A">
          <w:rPr>
            <w:rStyle w:val="Hyperlink"/>
            <w:noProof/>
          </w:rPr>
          <w:t>Figure 5.5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scoring in each of the PCL bands for posttraumatic stress, by transition status</w:t>
        </w:r>
        <w:r w:rsidR="00F926F5">
          <w:rPr>
            <w:noProof/>
          </w:rPr>
          <w:tab/>
        </w:r>
        <w:r w:rsidR="00F926F5">
          <w:rPr>
            <w:noProof/>
          </w:rPr>
          <w:fldChar w:fldCharType="begin"/>
        </w:r>
        <w:r w:rsidR="00F926F5">
          <w:rPr>
            <w:noProof/>
          </w:rPr>
          <w:instrText xml:space="preserve"> PAGEREF _Toc511900564 \h </w:instrText>
        </w:r>
        <w:r w:rsidR="00F926F5">
          <w:rPr>
            <w:noProof/>
          </w:rPr>
        </w:r>
        <w:r w:rsidR="00F926F5">
          <w:rPr>
            <w:noProof/>
          </w:rPr>
          <w:fldChar w:fldCharType="separate"/>
        </w:r>
        <w:r>
          <w:rPr>
            <w:noProof/>
          </w:rPr>
          <w:t>153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5" w:history="1">
        <w:r w:rsidR="00F926F5" w:rsidRPr="004F413A">
          <w:rPr>
            <w:rStyle w:val="Hyperlink"/>
            <w:noProof/>
          </w:rPr>
          <w:t>Figure 5.6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members scoring in each of the four PCL bands for posttraumatic stress, by years since transition</w:t>
        </w:r>
        <w:r w:rsidR="00F926F5">
          <w:rPr>
            <w:noProof/>
          </w:rPr>
          <w:tab/>
        </w:r>
        <w:r w:rsidR="00F926F5">
          <w:rPr>
            <w:noProof/>
          </w:rPr>
          <w:fldChar w:fldCharType="begin"/>
        </w:r>
        <w:r w:rsidR="00F926F5">
          <w:rPr>
            <w:noProof/>
          </w:rPr>
          <w:instrText xml:space="preserve"> PAGEREF _Toc511900565 \h </w:instrText>
        </w:r>
        <w:r w:rsidR="00F926F5">
          <w:rPr>
            <w:noProof/>
          </w:rPr>
        </w:r>
        <w:r w:rsidR="00F926F5">
          <w:rPr>
            <w:noProof/>
          </w:rPr>
          <w:fldChar w:fldCharType="separate"/>
        </w:r>
        <w:r>
          <w:rPr>
            <w:noProof/>
          </w:rPr>
          <w:t>155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6" w:history="1">
        <w:r w:rsidR="00F926F5" w:rsidRPr="004F413A">
          <w:rPr>
            <w:rStyle w:val="Hyperlink"/>
            <w:noProof/>
          </w:rPr>
          <w:t>Figure 5.7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members in each of the four AUDIT scoring bands for problem alcohol use</w:t>
        </w:r>
        <w:r w:rsidR="00F926F5">
          <w:rPr>
            <w:noProof/>
          </w:rPr>
          <w:tab/>
        </w:r>
        <w:r w:rsidR="00F926F5">
          <w:rPr>
            <w:noProof/>
          </w:rPr>
          <w:fldChar w:fldCharType="begin"/>
        </w:r>
        <w:r w:rsidR="00F926F5">
          <w:rPr>
            <w:noProof/>
          </w:rPr>
          <w:instrText xml:space="preserve"> PAGEREF _Toc511900566 \h </w:instrText>
        </w:r>
        <w:r w:rsidR="00F926F5">
          <w:rPr>
            <w:noProof/>
          </w:rPr>
        </w:r>
        <w:r w:rsidR="00F926F5">
          <w:rPr>
            <w:noProof/>
          </w:rPr>
          <w:fldChar w:fldCharType="separate"/>
        </w:r>
        <w:r>
          <w:rPr>
            <w:noProof/>
          </w:rPr>
          <w:t>158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7" w:history="1">
        <w:r w:rsidR="00F926F5" w:rsidRPr="004F413A">
          <w:rPr>
            <w:rStyle w:val="Hyperlink"/>
            <w:noProof/>
          </w:rPr>
          <w:t>Figure 5.8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members of Transitioned ADF, and 2010 and 2015 Regular ADF, by AUDIT, for frequency of alcohol consumption</w:t>
        </w:r>
        <w:r w:rsidR="00F926F5">
          <w:rPr>
            <w:noProof/>
          </w:rPr>
          <w:tab/>
        </w:r>
        <w:r w:rsidR="00F926F5">
          <w:rPr>
            <w:noProof/>
          </w:rPr>
          <w:fldChar w:fldCharType="begin"/>
        </w:r>
        <w:r w:rsidR="00F926F5">
          <w:rPr>
            <w:noProof/>
          </w:rPr>
          <w:instrText xml:space="preserve"> PAGEREF _Toc511900567 \h </w:instrText>
        </w:r>
        <w:r w:rsidR="00F926F5">
          <w:rPr>
            <w:noProof/>
          </w:rPr>
        </w:r>
        <w:r w:rsidR="00F926F5">
          <w:rPr>
            <w:noProof/>
          </w:rPr>
          <w:fldChar w:fldCharType="separate"/>
        </w:r>
        <w:r>
          <w:rPr>
            <w:noProof/>
          </w:rPr>
          <w:t>160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8" w:history="1">
        <w:r w:rsidR="00F926F5" w:rsidRPr="004F413A">
          <w:rPr>
            <w:rStyle w:val="Hyperlink"/>
            <w:noProof/>
          </w:rPr>
          <w:t>Figure 5.9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by number of standard alcoholic drinks consumed on a typical day</w:t>
        </w:r>
        <w:r w:rsidR="00F926F5">
          <w:rPr>
            <w:noProof/>
          </w:rPr>
          <w:tab/>
        </w:r>
        <w:r w:rsidR="00F926F5">
          <w:rPr>
            <w:noProof/>
          </w:rPr>
          <w:fldChar w:fldCharType="begin"/>
        </w:r>
        <w:r w:rsidR="00F926F5">
          <w:rPr>
            <w:noProof/>
          </w:rPr>
          <w:instrText xml:space="preserve"> PAGEREF _Toc511900568 \h </w:instrText>
        </w:r>
        <w:r w:rsidR="00F926F5">
          <w:rPr>
            <w:noProof/>
          </w:rPr>
        </w:r>
        <w:r w:rsidR="00F926F5">
          <w:rPr>
            <w:noProof/>
          </w:rPr>
          <w:fldChar w:fldCharType="separate"/>
        </w:r>
        <w:r>
          <w:rPr>
            <w:noProof/>
          </w:rPr>
          <w:t>161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69" w:history="1">
        <w:r w:rsidR="00F926F5" w:rsidRPr="004F413A">
          <w:rPr>
            <w:rStyle w:val="Hyperlink"/>
            <w:noProof/>
          </w:rPr>
          <w:t>Figure 5.10</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with self-reported drinking problem</w:t>
        </w:r>
        <w:r w:rsidR="00F926F5">
          <w:rPr>
            <w:noProof/>
          </w:rPr>
          <w:tab/>
        </w:r>
        <w:r w:rsidR="00F926F5">
          <w:rPr>
            <w:noProof/>
          </w:rPr>
          <w:fldChar w:fldCharType="begin"/>
        </w:r>
        <w:r w:rsidR="00F926F5">
          <w:rPr>
            <w:noProof/>
          </w:rPr>
          <w:instrText xml:space="preserve"> PAGEREF _Toc511900569 \h </w:instrText>
        </w:r>
        <w:r w:rsidR="00F926F5">
          <w:rPr>
            <w:noProof/>
          </w:rPr>
        </w:r>
        <w:r w:rsidR="00F926F5">
          <w:rPr>
            <w:noProof/>
          </w:rPr>
          <w:fldChar w:fldCharType="separate"/>
        </w:r>
        <w:r>
          <w:rPr>
            <w:noProof/>
          </w:rPr>
          <w:t>162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0" w:history="1">
        <w:r w:rsidR="00F926F5" w:rsidRPr="004F413A">
          <w:rPr>
            <w:rStyle w:val="Hyperlink"/>
            <w:noProof/>
          </w:rPr>
          <w:t>Figure 5.11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who anticipate difficulty reducing their alcohol intake over the next three months</w:t>
        </w:r>
        <w:r w:rsidR="00F926F5">
          <w:rPr>
            <w:noProof/>
          </w:rPr>
          <w:tab/>
        </w:r>
        <w:r w:rsidR="00F926F5">
          <w:rPr>
            <w:noProof/>
          </w:rPr>
          <w:fldChar w:fldCharType="begin"/>
        </w:r>
        <w:r w:rsidR="00F926F5">
          <w:rPr>
            <w:noProof/>
          </w:rPr>
          <w:instrText xml:space="preserve"> PAGEREF _Toc511900570 \h </w:instrText>
        </w:r>
        <w:r w:rsidR="00F926F5">
          <w:rPr>
            <w:noProof/>
          </w:rPr>
        </w:r>
        <w:r w:rsidR="00F926F5">
          <w:rPr>
            <w:noProof/>
          </w:rPr>
          <w:fldChar w:fldCharType="separate"/>
        </w:r>
        <w:r>
          <w:rPr>
            <w:noProof/>
          </w:rPr>
          <w:t>164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1" w:history="1">
        <w:r w:rsidR="00F926F5" w:rsidRPr="004F413A">
          <w:rPr>
            <w:rStyle w:val="Hyperlink"/>
            <w:noProof/>
          </w:rPr>
          <w:t>Figure 5.12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using AUDIT scoring bands, for problem alcohol use, by transition status</w:t>
        </w:r>
        <w:r w:rsidR="00F926F5">
          <w:rPr>
            <w:noProof/>
          </w:rPr>
          <w:tab/>
        </w:r>
        <w:r w:rsidR="00F926F5">
          <w:rPr>
            <w:noProof/>
          </w:rPr>
          <w:fldChar w:fldCharType="begin"/>
        </w:r>
        <w:r w:rsidR="00F926F5">
          <w:rPr>
            <w:noProof/>
          </w:rPr>
          <w:instrText xml:space="preserve"> PAGEREF _Toc511900571 \h </w:instrText>
        </w:r>
        <w:r w:rsidR="00F926F5">
          <w:rPr>
            <w:noProof/>
          </w:rPr>
        </w:r>
        <w:r w:rsidR="00F926F5">
          <w:rPr>
            <w:noProof/>
          </w:rPr>
          <w:fldChar w:fldCharType="separate"/>
        </w:r>
        <w:r>
          <w:rPr>
            <w:noProof/>
          </w:rPr>
          <w:t>165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2" w:history="1">
        <w:r w:rsidR="00F926F5" w:rsidRPr="004F413A">
          <w:rPr>
            <w:rStyle w:val="Hyperlink"/>
            <w:noProof/>
          </w:rPr>
          <w:t>Figure 5.13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scoring in each of the four AUDIT scoring bands, for problem alcohol use, by years since transition</w:t>
        </w:r>
        <w:r w:rsidR="00F926F5">
          <w:rPr>
            <w:noProof/>
          </w:rPr>
          <w:tab/>
        </w:r>
        <w:r w:rsidR="00F926F5">
          <w:rPr>
            <w:noProof/>
          </w:rPr>
          <w:fldChar w:fldCharType="begin"/>
        </w:r>
        <w:r w:rsidR="00F926F5">
          <w:rPr>
            <w:noProof/>
          </w:rPr>
          <w:instrText xml:space="preserve"> PAGEREF _Toc511900572 \h </w:instrText>
        </w:r>
        <w:r w:rsidR="00F926F5">
          <w:rPr>
            <w:noProof/>
          </w:rPr>
        </w:r>
        <w:r w:rsidR="00F926F5">
          <w:rPr>
            <w:noProof/>
          </w:rPr>
          <w:fldChar w:fldCharType="separate"/>
        </w:r>
        <w:r>
          <w:rPr>
            <w:noProof/>
          </w:rPr>
          <w:t>167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3" w:history="1">
        <w:r w:rsidR="00F926F5" w:rsidRPr="004F413A">
          <w:rPr>
            <w:rStyle w:val="Hyperlink"/>
            <w:noProof/>
          </w:rPr>
          <w:t>Figure 5.14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2010 and 2015 Regular ADF in each PHQ-9 scoring band for depressive symptoms</w:t>
        </w:r>
        <w:r w:rsidR="00F926F5">
          <w:rPr>
            <w:noProof/>
          </w:rPr>
          <w:tab/>
        </w:r>
        <w:r w:rsidR="00F926F5">
          <w:rPr>
            <w:noProof/>
          </w:rPr>
          <w:fldChar w:fldCharType="begin"/>
        </w:r>
        <w:r w:rsidR="00F926F5">
          <w:rPr>
            <w:noProof/>
          </w:rPr>
          <w:instrText xml:space="preserve"> PAGEREF _Toc511900573 \h </w:instrText>
        </w:r>
        <w:r w:rsidR="00F926F5">
          <w:rPr>
            <w:noProof/>
          </w:rPr>
        </w:r>
        <w:r w:rsidR="00F926F5">
          <w:rPr>
            <w:noProof/>
          </w:rPr>
          <w:fldChar w:fldCharType="separate"/>
        </w:r>
        <w:r>
          <w:rPr>
            <w:noProof/>
          </w:rPr>
          <w:t>170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4" w:history="1">
        <w:r w:rsidR="00F926F5" w:rsidRPr="004F413A">
          <w:rPr>
            <w:rStyle w:val="Hyperlink"/>
            <w:noProof/>
          </w:rPr>
          <w:t>Figure 5.15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for PHQ-9 scoring bands for depressive symptoms by transition status</w:t>
        </w:r>
        <w:r w:rsidR="00F926F5">
          <w:rPr>
            <w:noProof/>
          </w:rPr>
          <w:tab/>
        </w:r>
        <w:r w:rsidR="00F926F5">
          <w:rPr>
            <w:noProof/>
          </w:rPr>
          <w:fldChar w:fldCharType="begin"/>
        </w:r>
        <w:r w:rsidR="00F926F5">
          <w:rPr>
            <w:noProof/>
          </w:rPr>
          <w:instrText xml:space="preserve"> PAGEREF _Toc511900574 \h </w:instrText>
        </w:r>
        <w:r w:rsidR="00F926F5">
          <w:rPr>
            <w:noProof/>
          </w:rPr>
        </w:r>
        <w:r w:rsidR="00F926F5">
          <w:rPr>
            <w:noProof/>
          </w:rPr>
          <w:fldChar w:fldCharType="separate"/>
        </w:r>
        <w:r>
          <w:rPr>
            <w:noProof/>
          </w:rPr>
          <w:t>171</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5" w:history="1">
        <w:r w:rsidR="00F926F5" w:rsidRPr="004F413A">
          <w:rPr>
            <w:rStyle w:val="Hyperlink"/>
            <w:noProof/>
          </w:rPr>
          <w:t>Figure 5.16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members in PHQ-9 scoring bands for depressive symptoms, by years since transition</w:t>
        </w:r>
        <w:r w:rsidR="00F926F5">
          <w:rPr>
            <w:noProof/>
          </w:rPr>
          <w:tab/>
        </w:r>
        <w:r w:rsidR="00F926F5">
          <w:rPr>
            <w:noProof/>
          </w:rPr>
          <w:fldChar w:fldCharType="begin"/>
        </w:r>
        <w:r w:rsidR="00F926F5">
          <w:rPr>
            <w:noProof/>
          </w:rPr>
          <w:instrText xml:space="preserve"> PAGEREF _Toc511900575 \h </w:instrText>
        </w:r>
        <w:r w:rsidR="00F926F5">
          <w:rPr>
            <w:noProof/>
          </w:rPr>
        </w:r>
        <w:r w:rsidR="00F926F5">
          <w:rPr>
            <w:noProof/>
          </w:rPr>
          <w:fldChar w:fldCharType="separate"/>
        </w:r>
        <w:r>
          <w:rPr>
            <w:noProof/>
          </w:rPr>
          <w:t>173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6" w:history="1">
        <w:r w:rsidR="00F926F5" w:rsidRPr="004F413A">
          <w:rPr>
            <w:rStyle w:val="Hyperlink"/>
            <w:noProof/>
          </w:rPr>
          <w:t>Figure 5.17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anger symptoms among Transitioned ADF, and 2010 and 2015 Regular ADF, by symptoms</w:t>
        </w:r>
        <w:r w:rsidR="00F926F5">
          <w:rPr>
            <w:noProof/>
          </w:rPr>
          <w:tab/>
        </w:r>
        <w:r w:rsidR="00F926F5">
          <w:rPr>
            <w:noProof/>
          </w:rPr>
          <w:fldChar w:fldCharType="begin"/>
        </w:r>
        <w:r w:rsidR="00F926F5">
          <w:rPr>
            <w:noProof/>
          </w:rPr>
          <w:instrText xml:space="preserve"> PAGEREF _Toc511900576 \h </w:instrText>
        </w:r>
        <w:r w:rsidR="00F926F5">
          <w:rPr>
            <w:noProof/>
          </w:rPr>
        </w:r>
        <w:r w:rsidR="00F926F5">
          <w:rPr>
            <w:noProof/>
          </w:rPr>
          <w:fldChar w:fldCharType="separate"/>
        </w:r>
        <w:r>
          <w:rPr>
            <w:noProof/>
          </w:rPr>
          <w:t>175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7" w:history="1">
        <w:r w:rsidR="00F926F5" w:rsidRPr="004F413A">
          <w:rPr>
            <w:rStyle w:val="Hyperlink"/>
            <w:noProof/>
          </w:rPr>
          <w:t>Figure 5.18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anger symptoms in Transitioned ADF, by transition status</w:t>
        </w:r>
        <w:r w:rsidR="00F926F5">
          <w:rPr>
            <w:noProof/>
          </w:rPr>
          <w:tab/>
        </w:r>
        <w:r w:rsidR="00F926F5">
          <w:rPr>
            <w:noProof/>
          </w:rPr>
          <w:fldChar w:fldCharType="begin"/>
        </w:r>
        <w:r w:rsidR="00F926F5">
          <w:rPr>
            <w:noProof/>
          </w:rPr>
          <w:instrText xml:space="preserve"> PAGEREF _Toc511900577 \h </w:instrText>
        </w:r>
        <w:r w:rsidR="00F926F5">
          <w:rPr>
            <w:noProof/>
          </w:rPr>
        </w:r>
        <w:r w:rsidR="00F926F5">
          <w:rPr>
            <w:noProof/>
          </w:rPr>
          <w:fldChar w:fldCharType="separate"/>
        </w:r>
        <w:r>
          <w:rPr>
            <w:noProof/>
          </w:rPr>
          <w:t>176</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8" w:history="1">
        <w:r w:rsidR="00F926F5" w:rsidRPr="004F413A">
          <w:rPr>
            <w:rStyle w:val="Hyperlink"/>
            <w:noProof/>
          </w:rPr>
          <w:t>Figure 5.19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anger symptoms in Transitioned ADF, by years since transition</w:t>
        </w:r>
        <w:r w:rsidR="00F926F5">
          <w:rPr>
            <w:noProof/>
          </w:rPr>
          <w:tab/>
        </w:r>
        <w:r w:rsidR="00F926F5">
          <w:rPr>
            <w:noProof/>
          </w:rPr>
          <w:fldChar w:fldCharType="begin"/>
        </w:r>
        <w:r w:rsidR="00F926F5">
          <w:rPr>
            <w:noProof/>
          </w:rPr>
          <w:instrText xml:space="preserve"> PAGEREF _Toc511900578 \h </w:instrText>
        </w:r>
        <w:r w:rsidR="00F926F5">
          <w:rPr>
            <w:noProof/>
          </w:rPr>
        </w:r>
        <w:r w:rsidR="00F926F5">
          <w:rPr>
            <w:noProof/>
          </w:rPr>
          <w:fldChar w:fldCharType="separate"/>
        </w:r>
        <w:r>
          <w:rPr>
            <w:noProof/>
          </w:rPr>
          <w:t>177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79" w:history="1">
        <w:r w:rsidR="00F926F5" w:rsidRPr="004F413A">
          <w:rPr>
            <w:rStyle w:val="Hyperlink"/>
            <w:noProof/>
          </w:rPr>
          <w:t>Figure 5.20</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suicidality in Transitioned ADF, and 2010 and 2015 Regular ADF</w:t>
        </w:r>
        <w:r w:rsidR="00F926F5">
          <w:rPr>
            <w:noProof/>
          </w:rPr>
          <w:tab/>
        </w:r>
        <w:r w:rsidR="00F926F5">
          <w:rPr>
            <w:noProof/>
          </w:rPr>
          <w:fldChar w:fldCharType="begin"/>
        </w:r>
        <w:r w:rsidR="00F926F5">
          <w:rPr>
            <w:noProof/>
          </w:rPr>
          <w:instrText xml:space="preserve"> PAGEREF _Toc511900579 \h </w:instrText>
        </w:r>
        <w:r w:rsidR="00F926F5">
          <w:rPr>
            <w:noProof/>
          </w:rPr>
        </w:r>
        <w:r w:rsidR="00F926F5">
          <w:rPr>
            <w:noProof/>
          </w:rPr>
          <w:fldChar w:fldCharType="separate"/>
        </w:r>
        <w:r>
          <w:rPr>
            <w:noProof/>
          </w:rPr>
          <w:t>180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0" w:history="1">
        <w:r w:rsidR="00F926F5" w:rsidRPr="004F413A">
          <w:rPr>
            <w:rStyle w:val="Hyperlink"/>
            <w:noProof/>
          </w:rPr>
          <w:t>Figure 5.21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who have used drugs, by transition status</w:t>
        </w:r>
        <w:r w:rsidR="00F926F5">
          <w:rPr>
            <w:noProof/>
          </w:rPr>
          <w:tab/>
        </w:r>
        <w:r w:rsidR="00F926F5">
          <w:rPr>
            <w:noProof/>
          </w:rPr>
          <w:fldChar w:fldCharType="begin"/>
        </w:r>
        <w:r w:rsidR="00F926F5">
          <w:rPr>
            <w:noProof/>
          </w:rPr>
          <w:instrText xml:space="preserve"> PAGEREF _Toc511900580 \h </w:instrText>
        </w:r>
        <w:r w:rsidR="00F926F5">
          <w:rPr>
            <w:noProof/>
          </w:rPr>
        </w:r>
        <w:r w:rsidR="00F926F5">
          <w:rPr>
            <w:noProof/>
          </w:rPr>
          <w:fldChar w:fldCharType="separate"/>
        </w:r>
        <w:r>
          <w:rPr>
            <w:noProof/>
          </w:rPr>
          <w:t>183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1" w:history="1">
        <w:r w:rsidR="00F926F5" w:rsidRPr="004F413A">
          <w:rPr>
            <w:rStyle w:val="Hyperlink"/>
            <w:noProof/>
          </w:rPr>
          <w:t>Figure 5.22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reporting 12-month drug use, by years since transition</w:t>
        </w:r>
        <w:r w:rsidR="00F926F5">
          <w:rPr>
            <w:noProof/>
          </w:rPr>
          <w:tab/>
        </w:r>
        <w:r w:rsidR="00F926F5">
          <w:rPr>
            <w:noProof/>
          </w:rPr>
          <w:fldChar w:fldCharType="begin"/>
        </w:r>
        <w:r w:rsidR="00F926F5">
          <w:rPr>
            <w:noProof/>
          </w:rPr>
          <w:instrText xml:space="preserve"> PAGEREF _Toc511900581 \h </w:instrText>
        </w:r>
        <w:r w:rsidR="00F926F5">
          <w:rPr>
            <w:noProof/>
          </w:rPr>
        </w:r>
        <w:r w:rsidR="00F926F5">
          <w:rPr>
            <w:noProof/>
          </w:rPr>
          <w:fldChar w:fldCharType="separate"/>
        </w:r>
        <w:r>
          <w:rPr>
            <w:noProof/>
          </w:rPr>
          <w:t>185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2" w:history="1">
        <w:r w:rsidR="00F926F5" w:rsidRPr="004F413A">
          <w:rPr>
            <w:rStyle w:val="Hyperlink"/>
            <w:noProof/>
          </w:rPr>
          <w:t>Figure 5.23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and entire 2015 Regular ADF for GAD-7 scoring bands for generalised anxiety disorder symptoms</w:t>
        </w:r>
        <w:r w:rsidR="00F926F5">
          <w:rPr>
            <w:noProof/>
          </w:rPr>
          <w:tab/>
        </w:r>
        <w:r w:rsidR="00F926F5">
          <w:rPr>
            <w:noProof/>
          </w:rPr>
          <w:fldChar w:fldCharType="begin"/>
        </w:r>
        <w:r w:rsidR="00F926F5">
          <w:rPr>
            <w:noProof/>
          </w:rPr>
          <w:instrText xml:space="preserve"> PAGEREF _Toc511900582 \h </w:instrText>
        </w:r>
        <w:r w:rsidR="00F926F5">
          <w:rPr>
            <w:noProof/>
          </w:rPr>
        </w:r>
        <w:r w:rsidR="00F926F5">
          <w:rPr>
            <w:noProof/>
          </w:rPr>
          <w:fldChar w:fldCharType="separate"/>
        </w:r>
        <w:r>
          <w:rPr>
            <w:noProof/>
          </w:rPr>
          <w:t>187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3" w:history="1">
        <w:r w:rsidR="00F926F5" w:rsidRPr="004F413A">
          <w:rPr>
            <w:rStyle w:val="Hyperlink"/>
            <w:noProof/>
          </w:rPr>
          <w:t>Figure 5.24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of Transitioned ADF for GAD-7 scoring bands, by transition status</w:t>
        </w:r>
        <w:r w:rsidR="00F926F5">
          <w:rPr>
            <w:noProof/>
          </w:rPr>
          <w:tab/>
        </w:r>
        <w:r w:rsidR="00F926F5">
          <w:rPr>
            <w:noProof/>
          </w:rPr>
          <w:fldChar w:fldCharType="begin"/>
        </w:r>
        <w:r w:rsidR="00F926F5">
          <w:rPr>
            <w:noProof/>
          </w:rPr>
          <w:instrText xml:space="preserve"> PAGEREF _Toc511900583 \h </w:instrText>
        </w:r>
        <w:r w:rsidR="00F926F5">
          <w:rPr>
            <w:noProof/>
          </w:rPr>
        </w:r>
        <w:r w:rsidR="00F926F5">
          <w:rPr>
            <w:noProof/>
          </w:rPr>
          <w:fldChar w:fldCharType="separate"/>
        </w:r>
        <w:r>
          <w:rPr>
            <w:noProof/>
          </w:rPr>
          <w:t>188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4" w:history="1">
        <w:r w:rsidR="00F926F5" w:rsidRPr="004F413A">
          <w:rPr>
            <w:rStyle w:val="Hyperlink"/>
            <w:noProof/>
          </w:rPr>
          <w:t>Figure 5.25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Proportion of Transitioned ADF in each of the GAD-7 scoring bands for GAD symptoms, by years since transition</w:t>
        </w:r>
        <w:r w:rsidR="00F926F5">
          <w:rPr>
            <w:noProof/>
          </w:rPr>
          <w:tab/>
        </w:r>
        <w:r w:rsidR="00F926F5">
          <w:rPr>
            <w:noProof/>
          </w:rPr>
          <w:fldChar w:fldCharType="begin"/>
        </w:r>
        <w:r w:rsidR="00F926F5">
          <w:rPr>
            <w:noProof/>
          </w:rPr>
          <w:instrText xml:space="preserve"> PAGEREF _Toc511900584 \h </w:instrText>
        </w:r>
        <w:r w:rsidR="00F926F5">
          <w:rPr>
            <w:noProof/>
          </w:rPr>
        </w:r>
        <w:r w:rsidR="00F926F5">
          <w:rPr>
            <w:noProof/>
          </w:rPr>
          <w:fldChar w:fldCharType="separate"/>
        </w:r>
        <w:r>
          <w:rPr>
            <w:noProof/>
          </w:rPr>
          <w:t>190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5" w:history="1">
        <w:r w:rsidR="00F926F5" w:rsidRPr="004F413A">
          <w:rPr>
            <w:rStyle w:val="Hyperlink"/>
            <w:noProof/>
          </w:rPr>
          <w:t>Figure 5.26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deployment exposures in Transitioned ADF, and 2015 Regular ADF</w:t>
        </w:r>
        <w:r w:rsidR="00F926F5">
          <w:rPr>
            <w:noProof/>
          </w:rPr>
          <w:tab/>
        </w:r>
        <w:r w:rsidR="00F926F5">
          <w:rPr>
            <w:noProof/>
          </w:rPr>
          <w:fldChar w:fldCharType="begin"/>
        </w:r>
        <w:r w:rsidR="00F926F5">
          <w:rPr>
            <w:noProof/>
          </w:rPr>
          <w:instrText xml:space="preserve"> PAGEREF _Toc511900585 \h </w:instrText>
        </w:r>
        <w:r w:rsidR="00F926F5">
          <w:rPr>
            <w:noProof/>
          </w:rPr>
        </w:r>
        <w:r w:rsidR="00F926F5">
          <w:rPr>
            <w:noProof/>
          </w:rPr>
          <w:fldChar w:fldCharType="separate"/>
        </w:r>
        <w:r>
          <w:rPr>
            <w:noProof/>
          </w:rPr>
          <w:t>193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6" w:history="1">
        <w:r w:rsidR="00F926F5" w:rsidRPr="004F413A">
          <w:rPr>
            <w:rStyle w:val="Hyperlink"/>
            <w:noProof/>
          </w:rPr>
          <w:t>Figure 5.27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 of Transitioned ADF and 2015 Regular ADF who have experienced lifetime trauma</w:t>
        </w:r>
        <w:r w:rsidR="00F926F5">
          <w:rPr>
            <w:noProof/>
          </w:rPr>
          <w:tab/>
        </w:r>
        <w:r w:rsidR="00F926F5">
          <w:rPr>
            <w:noProof/>
          </w:rPr>
          <w:fldChar w:fldCharType="begin"/>
        </w:r>
        <w:r w:rsidR="00F926F5">
          <w:rPr>
            <w:noProof/>
          </w:rPr>
          <w:instrText xml:space="preserve"> PAGEREF _Toc511900586 \h </w:instrText>
        </w:r>
        <w:r w:rsidR="00F926F5">
          <w:rPr>
            <w:noProof/>
          </w:rPr>
        </w:r>
        <w:r w:rsidR="00F926F5">
          <w:rPr>
            <w:noProof/>
          </w:rPr>
          <w:fldChar w:fldCharType="separate"/>
        </w:r>
        <w:r>
          <w:rPr>
            <w:noProof/>
          </w:rPr>
          <w:t>197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7" w:history="1">
        <w:r w:rsidR="00F926F5" w:rsidRPr="004F413A">
          <w:rPr>
            <w:rStyle w:val="Hyperlink"/>
            <w:noProof/>
          </w:rPr>
          <w:t>Figure 6.1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psychological distress in the Transitioned ADF compared to the Australian Community using K10 scoring bands</w:t>
        </w:r>
        <w:r w:rsidR="00F926F5">
          <w:rPr>
            <w:noProof/>
          </w:rPr>
          <w:tab/>
        </w:r>
        <w:r w:rsidR="00F926F5">
          <w:rPr>
            <w:noProof/>
          </w:rPr>
          <w:fldChar w:fldCharType="begin"/>
        </w:r>
        <w:r w:rsidR="00F926F5">
          <w:rPr>
            <w:noProof/>
          </w:rPr>
          <w:instrText xml:space="preserve"> PAGEREF _Toc511900587 \h </w:instrText>
        </w:r>
        <w:r w:rsidR="00F926F5">
          <w:rPr>
            <w:noProof/>
          </w:rPr>
        </w:r>
        <w:r w:rsidR="00F926F5">
          <w:rPr>
            <w:noProof/>
          </w:rPr>
          <w:fldChar w:fldCharType="separate"/>
        </w:r>
        <w:r>
          <w:rPr>
            <w:noProof/>
          </w:rPr>
          <w:t>203</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8" w:history="1">
        <w:r w:rsidR="00F926F5" w:rsidRPr="004F413A">
          <w:rPr>
            <w:rStyle w:val="Hyperlink"/>
            <w:noProof/>
          </w:rPr>
          <w:t>Figure 6.2</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lang w:eastAsia="en-AU"/>
          </w:rPr>
          <w:t>Estimated proportions of Transitioned ADF compared to the Australian Community in the K10 scoring bands for psychological distress, by sex</w:t>
        </w:r>
        <w:r w:rsidR="00F926F5">
          <w:rPr>
            <w:noProof/>
          </w:rPr>
          <w:tab/>
        </w:r>
        <w:r w:rsidR="00F926F5">
          <w:rPr>
            <w:noProof/>
          </w:rPr>
          <w:fldChar w:fldCharType="begin"/>
        </w:r>
        <w:r w:rsidR="00F926F5">
          <w:rPr>
            <w:noProof/>
          </w:rPr>
          <w:instrText xml:space="preserve"> PAGEREF _Toc511900588 \h </w:instrText>
        </w:r>
        <w:r w:rsidR="00F926F5">
          <w:rPr>
            <w:noProof/>
          </w:rPr>
        </w:r>
        <w:r w:rsidR="00F926F5">
          <w:rPr>
            <w:noProof/>
          </w:rPr>
          <w:fldChar w:fldCharType="separate"/>
        </w:r>
        <w:r>
          <w:rPr>
            <w:noProof/>
          </w:rPr>
          <w:t>204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89" w:history="1">
        <w:r w:rsidR="00F926F5" w:rsidRPr="004F413A">
          <w:rPr>
            <w:rStyle w:val="Hyperlink"/>
            <w:noProof/>
          </w:rPr>
          <w:t>Figure 6.3</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prevalence of psychological distress in Transitioned ADF compared to the Australian Community using the K10 scoring bands, by age</w:t>
        </w:r>
        <w:r w:rsidR="00F926F5">
          <w:rPr>
            <w:noProof/>
          </w:rPr>
          <w:tab/>
        </w:r>
        <w:r w:rsidR="00F926F5">
          <w:rPr>
            <w:noProof/>
          </w:rPr>
          <w:fldChar w:fldCharType="begin"/>
        </w:r>
        <w:r w:rsidR="00F926F5">
          <w:rPr>
            <w:noProof/>
          </w:rPr>
          <w:instrText xml:space="preserve"> PAGEREF _Toc511900589 \h </w:instrText>
        </w:r>
        <w:r w:rsidR="00F926F5">
          <w:rPr>
            <w:noProof/>
          </w:rPr>
        </w:r>
        <w:r w:rsidR="00F926F5">
          <w:rPr>
            <w:noProof/>
          </w:rPr>
          <w:fldChar w:fldCharType="separate"/>
        </w:r>
        <w:r>
          <w:rPr>
            <w:noProof/>
          </w:rPr>
          <w:t>207</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0" w:history="1">
        <w:r w:rsidR="00F926F5" w:rsidRPr="004F413A">
          <w:rPr>
            <w:rStyle w:val="Hyperlink"/>
            <w:noProof/>
          </w:rPr>
          <w:t>Figure 6.4</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for frequency of alcohol consumption in Transitioned ADF compared to the Australian Community in the last 12 months</w:t>
        </w:r>
        <w:r w:rsidR="00F926F5">
          <w:rPr>
            <w:noProof/>
          </w:rPr>
          <w:tab/>
        </w:r>
        <w:r w:rsidR="00F926F5">
          <w:rPr>
            <w:noProof/>
          </w:rPr>
          <w:fldChar w:fldCharType="begin"/>
        </w:r>
        <w:r w:rsidR="00F926F5">
          <w:rPr>
            <w:noProof/>
          </w:rPr>
          <w:instrText xml:space="preserve"> PAGEREF _Toc511900590 \h </w:instrText>
        </w:r>
        <w:r w:rsidR="00F926F5">
          <w:rPr>
            <w:noProof/>
          </w:rPr>
        </w:r>
        <w:r w:rsidR="00F926F5">
          <w:rPr>
            <w:noProof/>
          </w:rPr>
          <w:fldChar w:fldCharType="separate"/>
        </w:r>
        <w:r>
          <w:rPr>
            <w:noProof/>
          </w:rPr>
          <w:t>210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1" w:history="1">
        <w:r w:rsidR="00F926F5" w:rsidRPr="004F413A">
          <w:rPr>
            <w:rStyle w:val="Hyperlink"/>
            <w:noProof/>
          </w:rPr>
          <w:t>Figure 6.5</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for maximum number of standard drinks consumed on a single occasion in the last 12 months in Transitioned ADF compared to Australian Community</w:t>
        </w:r>
        <w:r w:rsidR="00F926F5">
          <w:rPr>
            <w:noProof/>
          </w:rPr>
          <w:tab/>
        </w:r>
        <w:r w:rsidR="00F926F5">
          <w:rPr>
            <w:noProof/>
          </w:rPr>
          <w:fldChar w:fldCharType="begin"/>
        </w:r>
        <w:r w:rsidR="00F926F5">
          <w:rPr>
            <w:noProof/>
          </w:rPr>
          <w:instrText xml:space="preserve"> PAGEREF _Toc511900591 \h </w:instrText>
        </w:r>
        <w:r w:rsidR="00F926F5">
          <w:rPr>
            <w:noProof/>
          </w:rPr>
        </w:r>
        <w:r w:rsidR="00F926F5">
          <w:rPr>
            <w:noProof/>
          </w:rPr>
          <w:fldChar w:fldCharType="separate"/>
        </w:r>
        <w:r>
          <w:rPr>
            <w:noProof/>
          </w:rPr>
          <w:t>212</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2" w:history="1">
        <w:r w:rsidR="00F926F5" w:rsidRPr="004F413A">
          <w:rPr>
            <w:rStyle w:val="Hyperlink"/>
            <w:noProof/>
          </w:rPr>
          <w:t>Figure 6.6</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for frequency of alcohol consumption in Transitioned ADF compared to Australian Community in the last 12 months, by sex</w:t>
        </w:r>
        <w:r w:rsidR="00F926F5">
          <w:rPr>
            <w:noProof/>
          </w:rPr>
          <w:tab/>
        </w:r>
        <w:r w:rsidR="00F926F5">
          <w:rPr>
            <w:noProof/>
          </w:rPr>
          <w:fldChar w:fldCharType="begin"/>
        </w:r>
        <w:r w:rsidR="00F926F5">
          <w:rPr>
            <w:noProof/>
          </w:rPr>
          <w:instrText xml:space="preserve"> PAGEREF _Toc511900592 \h </w:instrText>
        </w:r>
        <w:r w:rsidR="00F926F5">
          <w:rPr>
            <w:noProof/>
          </w:rPr>
        </w:r>
        <w:r w:rsidR="00F926F5">
          <w:rPr>
            <w:noProof/>
          </w:rPr>
          <w:fldChar w:fldCharType="separate"/>
        </w:r>
        <w:r>
          <w:rPr>
            <w:noProof/>
          </w:rPr>
          <w:t>214</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3" w:history="1">
        <w:r w:rsidR="00F926F5" w:rsidRPr="004F413A">
          <w:rPr>
            <w:rStyle w:val="Hyperlink"/>
            <w:noProof/>
          </w:rPr>
          <w:t>Figure 6.7</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for maximum number of standard drinks on a single occasion in the last 12 months in Transitioned ADF compared to the Australian Community, by sex</w:t>
        </w:r>
        <w:r w:rsidR="00F926F5">
          <w:rPr>
            <w:noProof/>
          </w:rPr>
          <w:tab/>
        </w:r>
        <w:r w:rsidR="00F926F5">
          <w:rPr>
            <w:noProof/>
          </w:rPr>
          <w:fldChar w:fldCharType="begin"/>
        </w:r>
        <w:r w:rsidR="00F926F5">
          <w:rPr>
            <w:noProof/>
          </w:rPr>
          <w:instrText xml:space="preserve"> PAGEREF _Toc511900593 \h </w:instrText>
        </w:r>
        <w:r w:rsidR="00F926F5">
          <w:rPr>
            <w:noProof/>
          </w:rPr>
        </w:r>
        <w:r w:rsidR="00F926F5">
          <w:rPr>
            <w:noProof/>
          </w:rPr>
          <w:fldChar w:fldCharType="separate"/>
        </w:r>
        <w:r>
          <w:rPr>
            <w:noProof/>
          </w:rPr>
          <w:t>215</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4" w:history="1">
        <w:r w:rsidR="00F926F5" w:rsidRPr="004F413A">
          <w:rPr>
            <w:rStyle w:val="Hyperlink"/>
            <w:noProof/>
          </w:rPr>
          <w:t>Figure 6.8</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for frequency of alcohol consumption in Transitioned ADF compared to the Australian Community in the last 12 months, by age</w:t>
        </w:r>
        <w:r w:rsidR="00F926F5">
          <w:rPr>
            <w:noProof/>
          </w:rPr>
          <w:tab/>
        </w:r>
        <w:r w:rsidR="00F926F5">
          <w:rPr>
            <w:noProof/>
          </w:rPr>
          <w:fldChar w:fldCharType="begin"/>
        </w:r>
        <w:r w:rsidR="00F926F5">
          <w:rPr>
            <w:noProof/>
          </w:rPr>
          <w:instrText xml:space="preserve"> PAGEREF _Toc511900594 \h </w:instrText>
        </w:r>
        <w:r w:rsidR="00F926F5">
          <w:rPr>
            <w:noProof/>
          </w:rPr>
        </w:r>
        <w:r w:rsidR="00F926F5">
          <w:rPr>
            <w:noProof/>
          </w:rPr>
          <w:fldChar w:fldCharType="separate"/>
        </w:r>
        <w:r>
          <w:rPr>
            <w:noProof/>
          </w:rPr>
          <w:t>218</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5" w:history="1">
        <w:r w:rsidR="00F926F5" w:rsidRPr="004F413A">
          <w:rPr>
            <w:rStyle w:val="Hyperlink"/>
            <w:noProof/>
          </w:rPr>
          <w:t>Figure 6.9</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Estimated proportions for maximum number of standard drinks consumed on a single occasion in the last 12 months in Transitioned ADF compared to the Australian Community by age</w:t>
        </w:r>
        <w:r w:rsidR="00F926F5">
          <w:rPr>
            <w:noProof/>
          </w:rPr>
          <w:tab/>
        </w:r>
        <w:r w:rsidR="00F926F5">
          <w:rPr>
            <w:noProof/>
          </w:rPr>
          <w:fldChar w:fldCharType="begin"/>
        </w:r>
        <w:r w:rsidR="00F926F5">
          <w:rPr>
            <w:noProof/>
          </w:rPr>
          <w:instrText xml:space="preserve"> PAGEREF _Toc511900595 \h </w:instrText>
        </w:r>
        <w:r w:rsidR="00F926F5">
          <w:rPr>
            <w:noProof/>
          </w:rPr>
        </w:r>
        <w:r w:rsidR="00F926F5">
          <w:rPr>
            <w:noProof/>
          </w:rPr>
          <w:fldChar w:fldCharType="separate"/>
        </w:r>
        <w:r>
          <w:rPr>
            <w:noProof/>
          </w:rPr>
          <w:t>220</w:t>
        </w:r>
        <w:r w:rsidR="00F926F5">
          <w:rPr>
            <w:noProof/>
          </w:rPr>
          <w:fldChar w:fldCharType="end"/>
        </w:r>
      </w:hyperlink>
    </w:p>
    <w:p w:rsidR="00F926F5" w:rsidRDefault="006E0148">
      <w:pPr>
        <w:pStyle w:val="TOC4"/>
        <w:rPr>
          <w:rFonts w:asciiTheme="minorHAnsi" w:eastAsiaTheme="minorEastAsia" w:hAnsiTheme="minorHAnsi" w:cstheme="minorBidi"/>
          <w:noProof/>
          <w:color w:val="auto"/>
          <w:sz w:val="22"/>
          <w:szCs w:val="22"/>
          <w:lang w:eastAsia="en-AU"/>
        </w:rPr>
      </w:pPr>
      <w:hyperlink w:anchor="_Toc511900596" w:history="1">
        <w:r w:rsidR="00F926F5" w:rsidRPr="004F413A">
          <w:rPr>
            <w:rStyle w:val="Hyperlink"/>
            <w:noProof/>
          </w:rPr>
          <w:t>Figure A.1</w:t>
        </w:r>
        <w:r w:rsidR="00F926F5">
          <w:rPr>
            <w:rFonts w:asciiTheme="minorHAnsi" w:eastAsiaTheme="minorEastAsia" w:hAnsiTheme="minorHAnsi" w:cstheme="minorBidi"/>
            <w:noProof/>
            <w:color w:val="auto"/>
            <w:sz w:val="22"/>
            <w:szCs w:val="22"/>
            <w:lang w:eastAsia="en-AU"/>
          </w:rPr>
          <w:tab/>
        </w:r>
        <w:r w:rsidR="00F926F5" w:rsidRPr="004F413A">
          <w:rPr>
            <w:rStyle w:val="Hyperlink"/>
            <w:noProof/>
          </w:rPr>
          <w:t>Survey response rates for Transitioned ADF and 2015 Regular ADF</w:t>
        </w:r>
        <w:r w:rsidR="00F926F5">
          <w:rPr>
            <w:noProof/>
          </w:rPr>
          <w:tab/>
        </w:r>
        <w:r w:rsidR="00F926F5">
          <w:rPr>
            <w:noProof/>
          </w:rPr>
          <w:fldChar w:fldCharType="begin"/>
        </w:r>
        <w:r w:rsidR="00F926F5">
          <w:rPr>
            <w:noProof/>
          </w:rPr>
          <w:instrText xml:space="preserve"> PAGEREF _Toc511900596 \h </w:instrText>
        </w:r>
        <w:r w:rsidR="00F926F5">
          <w:rPr>
            <w:noProof/>
          </w:rPr>
        </w:r>
        <w:r w:rsidR="00F926F5">
          <w:rPr>
            <w:noProof/>
          </w:rPr>
          <w:fldChar w:fldCharType="separate"/>
        </w:r>
        <w:r>
          <w:rPr>
            <w:noProof/>
          </w:rPr>
          <w:t>272</w:t>
        </w:r>
        <w:r w:rsidR="00F926F5">
          <w:rPr>
            <w:noProof/>
          </w:rPr>
          <w:fldChar w:fldCharType="end"/>
        </w:r>
      </w:hyperlink>
    </w:p>
    <w:p w:rsidR="008F5D9B" w:rsidRPr="005B0796" w:rsidRDefault="000E0B73">
      <w:r w:rsidRPr="005B0796">
        <w:fldChar w:fldCharType="end"/>
      </w:r>
    </w:p>
    <w:p w:rsidR="00E35275" w:rsidRDefault="00E35275" w:rsidP="00E35275">
      <w:pPr>
        <w:sectPr w:rsidR="00E35275" w:rsidSect="00452191">
          <w:type w:val="oddPage"/>
          <w:pgSz w:w="9979" w:h="14170" w:code="243"/>
          <w:pgMar w:top="1440" w:right="1152" w:bottom="1440" w:left="1728" w:header="576" w:footer="576" w:gutter="0"/>
          <w:pgNumType w:fmt="lowerRoman"/>
          <w:cols w:space="708"/>
          <w:docGrid w:linePitch="360"/>
        </w:sectPr>
      </w:pPr>
    </w:p>
    <w:p w:rsidR="00E35275" w:rsidRPr="00766F63" w:rsidRDefault="00E35275" w:rsidP="00E35275">
      <w:pPr>
        <w:pStyle w:val="Heading1"/>
        <w:numPr>
          <w:ilvl w:val="0"/>
          <w:numId w:val="0"/>
        </w:numPr>
      </w:pPr>
      <w:bookmarkStart w:id="3" w:name="_Toc511900253"/>
      <w:r w:rsidRPr="00766F63">
        <w:t>Acknowledgments</w:t>
      </w:r>
      <w:bookmarkEnd w:id="3"/>
    </w:p>
    <w:p w:rsidR="00A1139F" w:rsidRPr="00967FBA" w:rsidRDefault="00A1139F" w:rsidP="00A1139F">
      <w:pPr>
        <w:pStyle w:val="Heading3a"/>
      </w:pPr>
      <w:r w:rsidRPr="00967FBA">
        <w:t>Study participants</w:t>
      </w:r>
    </w:p>
    <w:p w:rsidR="00A1139F" w:rsidRPr="001D6522" w:rsidRDefault="00A1139F" w:rsidP="00A1139F">
      <w:r w:rsidRPr="001D6522">
        <w:t>First and foremost, we acknowledge all current and ex-serving ADF personnel who generously gave their time to complete the study. This research was only made possible by their efforts and commitment to the study. Other key individuals include:</w:t>
      </w:r>
    </w:p>
    <w:p w:rsidR="00342DC9" w:rsidRPr="001D6522" w:rsidRDefault="00342DC9" w:rsidP="00342DC9">
      <w:pPr>
        <w:pStyle w:val="Heading3a"/>
        <w:spacing w:before="140" w:after="40"/>
        <w:ind w:left="360"/>
      </w:pPr>
      <w:r w:rsidRPr="001D6522">
        <w:t>Principal Investigator</w:t>
      </w:r>
    </w:p>
    <w:p w:rsidR="00342DC9" w:rsidRPr="001D6522" w:rsidRDefault="00342DC9" w:rsidP="00342DC9">
      <w:pPr>
        <w:spacing w:after="120" w:line="260" w:lineRule="atLeast"/>
        <w:ind w:left="360"/>
      </w:pPr>
      <w:r w:rsidRPr="001D6522">
        <w:t>Dr Miranda Van Hooff (Lead)</w:t>
      </w:r>
      <w:r>
        <w:t>,</w:t>
      </w:r>
      <w:r w:rsidRPr="001D6522">
        <w:t xml:space="preserve"> Director of Research, Centre for Traumatic Stress Studies, University of Adelaide.</w:t>
      </w:r>
    </w:p>
    <w:p w:rsidR="00342DC9" w:rsidRPr="001D6522" w:rsidRDefault="00342DC9" w:rsidP="00342DC9">
      <w:pPr>
        <w:pStyle w:val="Heading3a"/>
        <w:spacing w:before="140" w:after="40"/>
        <w:ind w:left="360"/>
      </w:pPr>
      <w:r w:rsidRPr="001D6522">
        <w:t>Investigators</w:t>
      </w:r>
    </w:p>
    <w:p w:rsidR="00342DC9" w:rsidRPr="001D6522" w:rsidRDefault="00342DC9" w:rsidP="00342DC9">
      <w:pPr>
        <w:spacing w:after="120" w:line="260" w:lineRule="atLeast"/>
        <w:ind w:left="360"/>
      </w:pPr>
      <w:r w:rsidRPr="001D6522">
        <w:t>Dr Ellie Lawrence-Wood</w:t>
      </w:r>
      <w:r>
        <w:t>,</w:t>
      </w:r>
      <w:r w:rsidRPr="001D6522">
        <w:t xml:space="preserve"> Senior Research Fellow, Centre for Traumatic Stress Studies, University of Adelaide.</w:t>
      </w:r>
    </w:p>
    <w:p w:rsidR="00342DC9" w:rsidRPr="001D6522" w:rsidRDefault="00342DC9" w:rsidP="00342DC9">
      <w:pPr>
        <w:spacing w:after="120" w:line="260" w:lineRule="atLeast"/>
        <w:ind w:left="360"/>
      </w:pPr>
      <w:r w:rsidRPr="00967FBA">
        <w:t>Dr Stephanie Hodson, National Manager, Veterans and Veterans Families Counselling Service, Department of Veterans’ Affairs.</w:t>
      </w:r>
    </w:p>
    <w:p w:rsidR="00342DC9" w:rsidRPr="001D6522" w:rsidRDefault="00342DC9" w:rsidP="00342DC9">
      <w:pPr>
        <w:spacing w:after="120" w:line="260" w:lineRule="atLeast"/>
        <w:ind w:left="360"/>
      </w:pPr>
      <w:r>
        <w:t>COL</w:t>
      </w:r>
      <w:r w:rsidRPr="001D6522">
        <w:t xml:space="preserve"> Nicole Sadler (Reservist)</w:t>
      </w:r>
      <w:r>
        <w:t>,</w:t>
      </w:r>
      <w:r w:rsidRPr="001D6522">
        <w:t xml:space="preserve"> Senior Specialist, Military and High Risk Organisations, Phoenix Australia</w:t>
      </w:r>
      <w:r>
        <w:t>,</w:t>
      </w:r>
      <w:r w:rsidRPr="001D6522">
        <w:t xml:space="preserve"> Centre for Posttraumatic Mental Health, University of Melbourne.</w:t>
      </w:r>
    </w:p>
    <w:p w:rsidR="00342DC9" w:rsidRPr="001D6522" w:rsidRDefault="00342DC9" w:rsidP="00342DC9">
      <w:pPr>
        <w:spacing w:after="120" w:line="260" w:lineRule="atLeast"/>
        <w:ind w:left="360"/>
      </w:pPr>
      <w:r w:rsidRPr="001D6522">
        <w:t>Ms Helen Benassi</w:t>
      </w:r>
      <w:r>
        <w:t>,</w:t>
      </w:r>
      <w:r w:rsidRPr="001D6522">
        <w:t xml:space="preserve"> Mental Health, Rehabilitation and Psychology Branch</w:t>
      </w:r>
      <w:r>
        <w:t>,</w:t>
      </w:r>
      <w:r w:rsidRPr="001D6522">
        <w:t xml:space="preserve"> Joint Health Command</w:t>
      </w:r>
      <w:r>
        <w:t>,</w:t>
      </w:r>
      <w:r w:rsidRPr="001D6522">
        <w:t xml:space="preserve"> </w:t>
      </w:r>
      <w:r>
        <w:t>Department of Defence; PhD c</w:t>
      </w:r>
      <w:r w:rsidRPr="001D6522">
        <w:t>andidate, Australian National University.</w:t>
      </w:r>
    </w:p>
    <w:p w:rsidR="00342DC9" w:rsidRPr="001D6522" w:rsidRDefault="00342DC9" w:rsidP="00342DC9">
      <w:pPr>
        <w:spacing w:after="120" w:line="260" w:lineRule="atLeast"/>
        <w:ind w:left="360"/>
      </w:pPr>
      <w:r w:rsidRPr="001D6522">
        <w:t>Professor Alexander McFarlane</w:t>
      </w:r>
      <w:r>
        <w:t>,</w:t>
      </w:r>
      <w:r w:rsidRPr="001D6522">
        <w:t xml:space="preserve"> Professor of Psychiatry, Head of Centre for Traumatic Stress Studies, University of Adelaide.</w:t>
      </w:r>
    </w:p>
    <w:p w:rsidR="00342DC9" w:rsidRPr="001D6522" w:rsidRDefault="00342DC9" w:rsidP="00342DC9">
      <w:pPr>
        <w:pStyle w:val="Heading3a"/>
        <w:spacing w:before="140" w:after="40"/>
        <w:ind w:left="360"/>
      </w:pPr>
      <w:r w:rsidRPr="001D6522">
        <w:t>Lead statistician</w:t>
      </w:r>
    </w:p>
    <w:p w:rsidR="00342DC9" w:rsidRPr="001D6522" w:rsidRDefault="00342DC9" w:rsidP="00342DC9">
      <w:pPr>
        <w:spacing w:after="120" w:line="260" w:lineRule="atLeast"/>
        <w:ind w:left="360"/>
      </w:pPr>
      <w:r w:rsidRPr="001D6522">
        <w:t>Dr Craig Hansen</w:t>
      </w:r>
      <w:r>
        <w:t>,</w:t>
      </w:r>
      <w:r w:rsidRPr="001D6522">
        <w:t xml:space="preserve"> Senior Statistician and Epidemiologist, Centre for Traumatic Stress Studies, University of Adelaide.</w:t>
      </w:r>
    </w:p>
    <w:p w:rsidR="00342DC9" w:rsidRPr="001D6522" w:rsidRDefault="004A3390" w:rsidP="00342DC9">
      <w:pPr>
        <w:pStyle w:val="Heading3a"/>
        <w:spacing w:before="140" w:after="40"/>
        <w:ind w:left="360"/>
      </w:pPr>
      <w:r>
        <w:t>Statistician</w:t>
      </w:r>
    </w:p>
    <w:p w:rsidR="00342DC9" w:rsidRPr="001D6522" w:rsidRDefault="00342DC9" w:rsidP="00342DC9">
      <w:pPr>
        <w:spacing w:after="120" w:line="260" w:lineRule="atLeast"/>
        <w:ind w:left="360"/>
      </w:pPr>
      <w:r w:rsidRPr="001D6522">
        <w:t>Dr Blair Grace</w:t>
      </w:r>
      <w:r>
        <w:t>,</w:t>
      </w:r>
      <w:r w:rsidRPr="001D6522">
        <w:t xml:space="preserve"> Centre for Traumatic Stress Studies, University of Adelaide.</w:t>
      </w:r>
    </w:p>
    <w:p w:rsidR="00342DC9" w:rsidRPr="001D6522" w:rsidRDefault="00342DC9" w:rsidP="00342DC9">
      <w:pPr>
        <w:pStyle w:val="Heading3a"/>
        <w:spacing w:before="140" w:after="40"/>
        <w:ind w:left="360"/>
      </w:pPr>
      <w:r w:rsidRPr="001D6522">
        <w:t>Transition and Wellbeing Research Programme Scientific Advisory Committee</w:t>
      </w:r>
    </w:p>
    <w:p w:rsidR="00342DC9" w:rsidRPr="001D6522" w:rsidRDefault="00342DC9" w:rsidP="00342DC9">
      <w:pPr>
        <w:spacing w:after="120" w:line="260" w:lineRule="atLeast"/>
        <w:ind w:left="360"/>
      </w:pPr>
      <w:r w:rsidRPr="001D6522">
        <w:t>RADM Jenny Firman (co-chair), Dr Ian Gardner (co-chair), Professor Ian Hickie, Professor Malcolm Battersby, Professor Mark Creamer, Professor Peter Butterworth, Professor Lyndall Strazdins, Dr Paul Jelfs, Dr Duncan Wallace, GPCAPT Lisa Jackson</w:t>
      </w:r>
      <w:r w:rsidR="000660AA">
        <w:t xml:space="preserve"> </w:t>
      </w:r>
      <w:r w:rsidRPr="001D6522">
        <w:t>Pulver, Professor Tim Driscoll, Professor Kathy Griffiths, Professor Beverley Raphael, Dr</w:t>
      </w:r>
      <w:r>
        <w:t xml:space="preserve"> </w:t>
      </w:r>
      <w:r w:rsidRPr="001D6522">
        <w:t>Graeme Killer.</w:t>
      </w:r>
    </w:p>
    <w:p w:rsidR="00342DC9" w:rsidRPr="001D6522" w:rsidRDefault="00342DC9" w:rsidP="00342DC9">
      <w:pPr>
        <w:pStyle w:val="Heading3a"/>
        <w:spacing w:before="140" w:after="40"/>
        <w:ind w:left="360"/>
      </w:pPr>
      <w:r w:rsidRPr="001D6522">
        <w:t>Centre for Traumatic Stress Studies</w:t>
      </w:r>
      <w:r>
        <w:t>,</w:t>
      </w:r>
      <w:r w:rsidRPr="001D6522">
        <w:t xml:space="preserve"> University of Adelaide</w:t>
      </w:r>
    </w:p>
    <w:p w:rsidR="00342DC9" w:rsidRPr="001D6522" w:rsidRDefault="00342DC9" w:rsidP="00342DC9">
      <w:pPr>
        <w:spacing w:after="120" w:line="260" w:lineRule="atLeast"/>
        <w:ind w:left="360"/>
      </w:pPr>
      <w:r w:rsidRPr="001D6522">
        <w:t>Mr Roger Glenny, Ms Maria Abraham, Ms Jenelle Baur, Ms Ashleigh Kenny, Ms</w:t>
      </w:r>
      <w:r>
        <w:t> </w:t>
      </w:r>
      <w:r w:rsidRPr="001D6522">
        <w:t xml:space="preserve">Marie Iannos, Dr Jodie Avery, Dr Amelia Searle, Dr </w:t>
      </w:r>
      <w:r>
        <w:t xml:space="preserve">Elizabeth Saccone, Ms </w:t>
      </w:r>
      <w:r w:rsidRPr="001D6522">
        <w:t>Jane Cocks, Mr Jeremy Hamlin,</w:t>
      </w:r>
      <w:r w:rsidRPr="001D6522" w:rsidDel="00E46FD6">
        <w:t xml:space="preserve"> </w:t>
      </w:r>
      <w:r w:rsidRPr="001D6522">
        <w:t>Ms Judy Bament, Ms Dianne Stewart.</w:t>
      </w:r>
    </w:p>
    <w:p w:rsidR="00342DC9" w:rsidRPr="001D6522" w:rsidRDefault="00342DC9" w:rsidP="00342DC9">
      <w:pPr>
        <w:pStyle w:val="Heading3a"/>
        <w:spacing w:before="140" w:after="40"/>
        <w:ind w:left="360"/>
      </w:pPr>
      <w:r w:rsidRPr="001D6522">
        <w:t>Hunter Valley Foundation</w:t>
      </w:r>
    </w:p>
    <w:p w:rsidR="00342DC9" w:rsidRPr="001D6522" w:rsidRDefault="00342DC9" w:rsidP="00342DC9">
      <w:pPr>
        <w:spacing w:after="120" w:line="260" w:lineRule="atLeast"/>
        <w:ind w:left="360"/>
      </w:pPr>
      <w:r w:rsidRPr="001D6522">
        <w:t>Ms Shanti Ramanathan, Mr David Shellard, Dr Clar</w:t>
      </w:r>
      <w:r>
        <w:t>e Hogue, Ms Phyllis Hartung, Mr </w:t>
      </w:r>
      <w:r w:rsidRPr="001D6522">
        <w:t>Russ Redford and the team of CIDI interviewers.</w:t>
      </w:r>
    </w:p>
    <w:p w:rsidR="00342DC9" w:rsidRPr="001D6522" w:rsidRDefault="00342DC9" w:rsidP="00342DC9">
      <w:pPr>
        <w:pStyle w:val="Heading3a"/>
        <w:spacing w:before="140" w:after="40"/>
        <w:ind w:left="360"/>
      </w:pPr>
      <w:r w:rsidRPr="001D6522">
        <w:t>Nexview Systems</w:t>
      </w:r>
    </w:p>
    <w:p w:rsidR="00342DC9" w:rsidRPr="001D6522" w:rsidRDefault="00342DC9" w:rsidP="00342DC9">
      <w:pPr>
        <w:spacing w:after="120" w:line="260" w:lineRule="atLeast"/>
        <w:ind w:left="360"/>
      </w:pPr>
      <w:r w:rsidRPr="001D6522">
        <w:t>Mr Trevor Moyle, Ms Hong Yan.</w:t>
      </w:r>
    </w:p>
    <w:p w:rsidR="00342DC9" w:rsidRPr="001D6522" w:rsidRDefault="00342DC9" w:rsidP="00342DC9">
      <w:pPr>
        <w:pStyle w:val="Heading3a"/>
        <w:spacing w:before="140" w:after="40"/>
        <w:ind w:left="360"/>
      </w:pPr>
      <w:r w:rsidRPr="001D6522">
        <w:t>Australian Institute of Family Studies</w:t>
      </w:r>
    </w:p>
    <w:p w:rsidR="00342DC9" w:rsidRPr="001D6522" w:rsidRDefault="00342DC9" w:rsidP="00342DC9">
      <w:pPr>
        <w:spacing w:after="120" w:line="260" w:lineRule="atLeast"/>
        <w:ind w:left="360"/>
        <w:rPr>
          <w:rStyle w:val="CommentReference"/>
          <w:rFonts w:asciiTheme="minorHAnsi" w:hAnsiTheme="minorHAnsi"/>
          <w:color w:val="auto"/>
          <w:sz w:val="22"/>
          <w:szCs w:val="22"/>
        </w:rPr>
      </w:pPr>
      <w:r w:rsidRPr="001D6522">
        <w:t>Dr Galina Daraganova, Dr Jacquie Harvey.</w:t>
      </w:r>
    </w:p>
    <w:p w:rsidR="00342DC9" w:rsidRPr="001D6522" w:rsidRDefault="00342DC9" w:rsidP="00342DC9">
      <w:pPr>
        <w:pStyle w:val="Heading3a"/>
        <w:spacing w:before="140" w:after="40"/>
        <w:ind w:left="360"/>
      </w:pPr>
      <w:r w:rsidRPr="001D6522">
        <w:t>Australian Institute of Health and Welfare</w:t>
      </w:r>
    </w:p>
    <w:p w:rsidR="00342DC9" w:rsidRPr="001D6522" w:rsidRDefault="00342DC9" w:rsidP="00342DC9">
      <w:pPr>
        <w:spacing w:after="120" w:line="260" w:lineRule="atLeast"/>
        <w:ind w:left="360"/>
      </w:pPr>
      <w:r w:rsidRPr="001D6522">
        <w:t>Mr Phil Anderson, Mr Nick Von Sanden, Mr Richard Solon, Mr Tenniel Guiver.</w:t>
      </w:r>
    </w:p>
    <w:p w:rsidR="00342DC9" w:rsidRPr="001D6522" w:rsidRDefault="00342DC9" w:rsidP="00342DC9">
      <w:pPr>
        <w:pStyle w:val="Heading3a"/>
        <w:spacing w:before="140" w:after="40"/>
        <w:ind w:left="360"/>
      </w:pPr>
      <w:r w:rsidRPr="001D6522">
        <w:t>Australian Bureau of Statistics</w:t>
      </w:r>
    </w:p>
    <w:p w:rsidR="00342DC9" w:rsidRPr="001D6522" w:rsidRDefault="00342DC9" w:rsidP="00342DC9">
      <w:pPr>
        <w:spacing w:after="120" w:line="260" w:lineRule="atLeast"/>
        <w:ind w:left="360"/>
      </w:pPr>
      <w:r w:rsidRPr="001D6522">
        <w:t xml:space="preserve">Mr David Haynes, Ms Beatrix Forrest, Ms Michelle Ducat and staff from the Health and Disability Branch, Mr Barry Tynan and staff from the Communications and Dissemination Branch. </w:t>
      </w:r>
    </w:p>
    <w:p w:rsidR="00342DC9" w:rsidRPr="001D6522" w:rsidRDefault="00342DC9" w:rsidP="00342DC9">
      <w:pPr>
        <w:pStyle w:val="Heading3a"/>
        <w:spacing w:before="140" w:after="40"/>
        <w:ind w:left="360"/>
      </w:pPr>
      <w:r w:rsidRPr="001D6522">
        <w:t>Transition and Wellbeing Research Programme Management Team</w:t>
      </w:r>
    </w:p>
    <w:p w:rsidR="00342DC9" w:rsidRPr="001D6522" w:rsidRDefault="000660AA" w:rsidP="00342DC9">
      <w:pPr>
        <w:spacing w:after="120" w:line="260" w:lineRule="atLeast"/>
        <w:ind w:left="360"/>
      </w:pPr>
      <w:r w:rsidRPr="000660AA">
        <w:t>Ms Kyleigh Heggie, Ms Karen Barker, Dr Loretta Poerio, Ms Melissa Preston, Dr</w:t>
      </w:r>
      <w:r>
        <w:t> </w:t>
      </w:r>
      <w:r w:rsidRPr="000660AA">
        <w:t>Carmel Anderson, Mr Tim Cummins, Ms Olivia Mahn, Ms Rachel McNab, Mr</w:t>
      </w:r>
      <w:r>
        <w:t> </w:t>
      </w:r>
      <w:r w:rsidRPr="000660AA">
        <w:t>Christian Callisen, Department of Veterans’ Affairs.</w:t>
      </w:r>
    </w:p>
    <w:p w:rsidR="00342DC9" w:rsidRPr="001D6522" w:rsidRDefault="000660AA" w:rsidP="00342DC9">
      <w:pPr>
        <w:spacing w:after="120" w:line="260" w:lineRule="atLeast"/>
        <w:ind w:left="360"/>
      </w:pPr>
      <w:r w:rsidRPr="000660AA">
        <w:t>COL Laura Sinclair, Ms Jess Styles, Ms Kanny Tait, Department of Defence.</w:t>
      </w:r>
    </w:p>
    <w:p w:rsidR="00342DC9" w:rsidRPr="001D6522" w:rsidRDefault="00342DC9" w:rsidP="00342DC9">
      <w:pPr>
        <w:spacing w:after="120" w:line="260" w:lineRule="atLeast"/>
        <w:ind w:left="360"/>
      </w:pPr>
      <w:r w:rsidRPr="001D6522">
        <w:t>For their assistance in developing the Study Roll</w:t>
      </w:r>
      <w:r>
        <w:t>:</w:t>
      </w:r>
      <w:r w:rsidRPr="001D6522">
        <w:t xml:space="preserve"> Mr Mark Watson and Ms Megan MacDonald</w:t>
      </w:r>
      <w:r>
        <w:t>,</w:t>
      </w:r>
      <w:r w:rsidRPr="001D6522">
        <w:t xml:space="preserve"> </w:t>
      </w:r>
      <w:r w:rsidRPr="00967FBA">
        <w:t>Department of Veterans’ Affairs</w:t>
      </w:r>
      <w:r>
        <w:t>,</w:t>
      </w:r>
      <w:r w:rsidRPr="001D6522">
        <w:t xml:space="preserve"> and Ms Carolina Casetta and Warrant Officer Class One Iain Lewington, Joint Health Command</w:t>
      </w:r>
      <w:r>
        <w:t>, Department of Defence</w:t>
      </w:r>
      <w:r w:rsidRPr="001D6522">
        <w:t>.</w:t>
      </w:r>
    </w:p>
    <w:p w:rsidR="00342DC9" w:rsidRPr="001D6522" w:rsidRDefault="00342DC9" w:rsidP="00342DC9">
      <w:pPr>
        <w:pStyle w:val="Heading3a"/>
        <w:spacing w:before="140" w:after="40"/>
        <w:ind w:left="360"/>
      </w:pPr>
      <w:r w:rsidRPr="001D6522">
        <w:t>Other key organisations</w:t>
      </w:r>
    </w:p>
    <w:p w:rsidR="00342DC9" w:rsidRPr="001D6522" w:rsidRDefault="00342DC9" w:rsidP="00342DC9">
      <w:pPr>
        <w:spacing w:after="120" w:line="260" w:lineRule="atLeast"/>
        <w:ind w:left="360"/>
      </w:pPr>
      <w:r w:rsidRPr="001D6522">
        <w:t>Australia Post.</w:t>
      </w:r>
    </w:p>
    <w:p w:rsidR="00A1139F" w:rsidRPr="001D6522" w:rsidRDefault="00A1139F" w:rsidP="00342DC9"/>
    <w:p w:rsidR="00E35275" w:rsidRPr="005B0796" w:rsidRDefault="00E35275">
      <w:pPr>
        <w:sectPr w:rsidR="00E35275" w:rsidRPr="005B0796" w:rsidSect="00452191">
          <w:type w:val="oddPage"/>
          <w:pgSz w:w="9979" w:h="14170" w:code="243"/>
          <w:pgMar w:top="1440" w:right="1152" w:bottom="1440" w:left="1728" w:header="576" w:footer="576" w:gutter="0"/>
          <w:pgNumType w:fmt="lowerRoman"/>
          <w:cols w:space="708"/>
          <w:docGrid w:linePitch="360"/>
        </w:sectPr>
      </w:pPr>
    </w:p>
    <w:p w:rsidR="0047223A" w:rsidRPr="005B0796" w:rsidRDefault="008F5D9B" w:rsidP="008F5D9B">
      <w:pPr>
        <w:pStyle w:val="Heading1"/>
        <w:numPr>
          <w:ilvl w:val="0"/>
          <w:numId w:val="0"/>
        </w:numPr>
      </w:pPr>
      <w:bookmarkStart w:id="4" w:name="_Toc494449672"/>
      <w:bookmarkStart w:id="5" w:name="_Toc511900254"/>
      <w:r w:rsidRPr="005B0796">
        <w:t>Transition and Wellbeing Research Programme—an overview</w:t>
      </w:r>
      <w:bookmarkEnd w:id="4"/>
      <w:bookmarkEnd w:id="5"/>
    </w:p>
    <w:p w:rsidR="005C5710" w:rsidRPr="005B0796" w:rsidRDefault="00785264" w:rsidP="005C5710">
      <w:pPr>
        <w:spacing w:after="240"/>
      </w:pPr>
      <w:r w:rsidRPr="005B0796">
        <w:rPr>
          <w:noProof/>
          <w:lang w:eastAsia="en-AU"/>
        </w:rPr>
        <w:drawing>
          <wp:inline distT="0" distB="0" distL="0" distR="0" wp14:anchorId="2A5CB1E5" wp14:editId="41217449">
            <wp:extent cx="4505325" cy="3876675"/>
            <wp:effectExtent l="0" t="0" r="9525" b="9525"/>
            <wp:docPr id="328" name="Picture 328" descr="Transition and Wellbeing Research Programm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TWRP\sourcedocs\TWRP Diagram_Word_29_09_17 (upda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5325" cy="3876675"/>
                    </a:xfrm>
                    <a:prstGeom prst="rect">
                      <a:avLst/>
                    </a:prstGeom>
                    <a:noFill/>
                    <a:ln>
                      <a:noFill/>
                    </a:ln>
                  </pic:spPr>
                </pic:pic>
              </a:graphicData>
            </a:graphic>
          </wp:inline>
        </w:drawing>
      </w:r>
    </w:p>
    <w:p w:rsidR="00123234" w:rsidRPr="005B0796" w:rsidRDefault="00123234" w:rsidP="00123234">
      <w:r w:rsidRPr="005B0796">
        <w:t>The Transition and Wellbeing Research Programme (Programme) is the most comprehensive study undertaken in Australia that examines the impact of military service on the mental, physical and social health of:</w:t>
      </w:r>
    </w:p>
    <w:p w:rsidR="00123234" w:rsidRPr="005B0796" w:rsidRDefault="00123234" w:rsidP="00123234">
      <w:pPr>
        <w:pStyle w:val="Bullet"/>
      </w:pPr>
      <w:r w:rsidRPr="005B0796">
        <w:t xml:space="preserve">serving and ex-serving Australian Defence Force (ADF) members including those who have been deployed in contemporary conflicts, and </w:t>
      </w:r>
    </w:p>
    <w:p w:rsidR="00123234" w:rsidRPr="005B0796" w:rsidRDefault="00123234" w:rsidP="00123234">
      <w:pPr>
        <w:pStyle w:val="Bullet"/>
      </w:pPr>
      <w:r w:rsidRPr="005B0796">
        <w:t xml:space="preserve">their families. </w:t>
      </w:r>
    </w:p>
    <w:p w:rsidR="00123234" w:rsidRPr="005B0796" w:rsidRDefault="00123234" w:rsidP="00123234">
      <w:r w:rsidRPr="005B0796">
        <w:t xml:space="preserve">This research further extends and builds on the findings of the world-leading research conducted with current serving members of the ADF in the 2010 Military Health Outcomes Program (MilHOP). </w:t>
      </w:r>
    </w:p>
    <w:p w:rsidR="00123234" w:rsidRPr="005B0796" w:rsidRDefault="00123234" w:rsidP="00123234">
      <w:r w:rsidRPr="005B0796">
        <w:t>This current research, conducted in 2015, arises from the collaborative partnership between the Department of Veterans</w:t>
      </w:r>
      <w:r w:rsidR="00462A0C" w:rsidRPr="005B0796">
        <w:t>’</w:t>
      </w:r>
      <w:r w:rsidRPr="005B0796">
        <w:t xml:space="preserve"> Affairs (DVA) and Department of Defence</w:t>
      </w:r>
      <w:r w:rsidR="005B681B">
        <w:t xml:space="preserve"> (Defence)</w:t>
      </w:r>
      <w:r w:rsidRPr="005B0796">
        <w:t>. It aims to implement the Government</w:t>
      </w:r>
      <w:r w:rsidR="00462A0C" w:rsidRPr="005B0796">
        <w:t>’</w:t>
      </w:r>
      <w:r w:rsidRPr="005B0796">
        <w:t>s goal of ensuring that current and future policy, programs and services are responsive to the current and emerging health and wellbeing needs of serving and ex-serving ADF members and their families before, during and after transition from military life.</w:t>
      </w:r>
    </w:p>
    <w:p w:rsidR="00123234" w:rsidRPr="005B0796" w:rsidRDefault="00E024E8" w:rsidP="00123234">
      <w:r>
        <w:t>Ten</w:t>
      </w:r>
      <w:r w:rsidR="00123234" w:rsidRPr="005B0796">
        <w:t xml:space="preserve">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Transition and Wellbeing Research Programme Key Findings Report, which summarises the research</w:t>
      </w:r>
      <w:r w:rsidR="00123234" w:rsidRPr="005B0796">
        <w:rPr>
          <w:bCs/>
        </w:rPr>
        <w:t xml:space="preserve">, </w:t>
      </w:r>
      <w:r w:rsidR="00123234" w:rsidRPr="005B0796">
        <w:t xml:space="preserve">as the diagram above shows. The table below shows which reports deliver on the objectives. This report, the </w:t>
      </w:r>
      <w:r w:rsidR="00123234" w:rsidRPr="005B0796">
        <w:rPr>
          <w:i/>
        </w:rPr>
        <w:t>Mental Health Prevalence</w:t>
      </w:r>
      <w:r w:rsidR="00123234" w:rsidRPr="005B0796">
        <w:t xml:space="preserve"> </w:t>
      </w:r>
      <w:r w:rsidR="00123234" w:rsidRPr="005B0796">
        <w:rPr>
          <w:i/>
        </w:rPr>
        <w:t>Report</w:t>
      </w:r>
      <w:r w:rsidR="00123234" w:rsidRPr="005B0796">
        <w:t xml:space="preserve">, addresses the first two objectives, which are to: </w:t>
      </w:r>
    </w:p>
    <w:p w:rsidR="00123234" w:rsidRPr="005B0796" w:rsidRDefault="00123234" w:rsidP="00930EBB">
      <w:r w:rsidRPr="005B0796">
        <w:t xml:space="preserve">1. Determine the prevalence of mental disorders amongst ADF members who </w:t>
      </w:r>
      <w:r w:rsidR="000C15B8">
        <w:t xml:space="preserve">have </w:t>
      </w:r>
      <w:r w:rsidRPr="005B0796">
        <w:t>transitioned from Regular ADF service between 2010 and 2014.</w:t>
      </w:r>
    </w:p>
    <w:p w:rsidR="005C5710" w:rsidRPr="005B0796" w:rsidRDefault="00123234" w:rsidP="00930EBB">
      <w:r w:rsidRPr="005B0796">
        <w:t>2. Examine the self-reported mental health status of Transitioned ADF and the 2015 Regular ADF.</w:t>
      </w:r>
    </w:p>
    <w:tbl>
      <w:tblPr>
        <w:tblStyle w:val="TWRPTable"/>
        <w:tblW w:w="0" w:type="auto"/>
        <w:tblLook w:val="04A0" w:firstRow="1" w:lastRow="0" w:firstColumn="1" w:lastColumn="0" w:noHBand="0" w:noVBand="1"/>
        <w:tblDescription w:val="Programme objectives and corresponding reports and papers"/>
      </w:tblPr>
      <w:tblGrid>
        <w:gridCol w:w="4430"/>
        <w:gridCol w:w="2885"/>
      </w:tblGrid>
      <w:tr w:rsidR="00123234" w:rsidRPr="00CD1CEE" w:rsidTr="00CD1CEE">
        <w:trPr>
          <w:cnfStyle w:val="100000000000" w:firstRow="1" w:lastRow="0" w:firstColumn="0" w:lastColumn="0" w:oddVBand="0" w:evenVBand="0" w:oddHBand="0" w:evenHBand="0" w:firstRowFirstColumn="0" w:firstRowLastColumn="0" w:lastRowFirstColumn="0" w:lastRowLastColumn="0"/>
          <w:tblHeader/>
        </w:trPr>
        <w:tc>
          <w:tcPr>
            <w:tcW w:w="4433" w:type="dxa"/>
          </w:tcPr>
          <w:p w:rsidR="00123234" w:rsidRPr="00CD1CEE" w:rsidRDefault="00123234" w:rsidP="00CD1CEE">
            <w:pPr>
              <w:pStyle w:val="TableText"/>
            </w:pPr>
            <w:r w:rsidRPr="00CD1CEE">
              <w:br w:type="page"/>
              <w:t>Programme objectives</w:t>
            </w:r>
          </w:p>
        </w:tc>
        <w:tc>
          <w:tcPr>
            <w:tcW w:w="2887" w:type="dxa"/>
          </w:tcPr>
          <w:p w:rsidR="00123234" w:rsidRPr="00CD1CEE" w:rsidRDefault="00123234" w:rsidP="00CD1CEE">
            <w:pPr>
              <w:pStyle w:val="TableText"/>
            </w:pPr>
            <w:r w:rsidRPr="00CD1CEE">
              <w:t>Corresponding reports and papers</w:t>
            </w:r>
          </w:p>
        </w:tc>
      </w:tr>
      <w:tr w:rsidR="00123234" w:rsidRPr="00CD1CEE" w:rsidTr="00CD1CEE">
        <w:trPr>
          <w:cnfStyle w:val="000000100000" w:firstRow="0" w:lastRow="0" w:firstColumn="0" w:lastColumn="0" w:oddVBand="0" w:evenVBand="0" w:oddHBand="1" w:evenHBand="0" w:firstRowFirstColumn="0" w:firstRowLastColumn="0" w:lastRowFirstColumn="0" w:lastRowLastColumn="0"/>
        </w:trPr>
        <w:tc>
          <w:tcPr>
            <w:tcW w:w="4433" w:type="dxa"/>
          </w:tcPr>
          <w:p w:rsidR="00123234" w:rsidRPr="00CD1CEE" w:rsidRDefault="00123234" w:rsidP="00CD1CEE">
            <w:pPr>
              <w:pStyle w:val="TableText"/>
            </w:pPr>
            <w:r w:rsidRPr="00CD1CEE">
              <w:t xml:space="preserve">1. Determine the prevalence of mental disorders among ADF members who </w:t>
            </w:r>
            <w:r w:rsidR="000C15B8" w:rsidRPr="00CD1CEE">
              <w:t xml:space="preserve">have </w:t>
            </w:r>
            <w:r w:rsidRPr="00CD1CEE">
              <w:t>transitioned from Regular ADF service between 2010 and 2014.</w:t>
            </w:r>
          </w:p>
          <w:p w:rsidR="00123234" w:rsidRPr="00CD1CEE" w:rsidRDefault="00123234" w:rsidP="00CD1CEE">
            <w:pPr>
              <w:pStyle w:val="TableText"/>
            </w:pPr>
            <w:r w:rsidRPr="00CD1CEE">
              <w:t>2. Examine self-reported mental health status of Transitioned ADF and the 2015 Regular ADF.</w:t>
            </w:r>
          </w:p>
        </w:tc>
        <w:tc>
          <w:tcPr>
            <w:tcW w:w="2887" w:type="dxa"/>
          </w:tcPr>
          <w:p w:rsidR="00123234" w:rsidRPr="00CD1CEE" w:rsidRDefault="00123234" w:rsidP="00CD1CEE">
            <w:pPr>
              <w:pStyle w:val="TableText"/>
              <w:rPr>
                <w:i/>
              </w:rPr>
            </w:pPr>
            <w:r w:rsidRPr="00CD1CEE">
              <w:rPr>
                <w:i/>
              </w:rPr>
              <w:t xml:space="preserve">Mental Health Prevalence Report </w:t>
            </w:r>
          </w:p>
        </w:tc>
      </w:tr>
      <w:tr w:rsidR="00123234" w:rsidRPr="00CD1CEE" w:rsidTr="00CD1CEE">
        <w:tc>
          <w:tcPr>
            <w:tcW w:w="4433" w:type="dxa"/>
          </w:tcPr>
          <w:p w:rsidR="00123234" w:rsidRPr="00CD1CEE" w:rsidRDefault="00123234" w:rsidP="00343865">
            <w:pPr>
              <w:pStyle w:val="TableText"/>
            </w:pPr>
            <w:r w:rsidRPr="00CD1CEE">
              <w:t xml:space="preserve">3. Assess pathways to care for Transitioned ADF and the 2015 Regular ADF, including those with a </w:t>
            </w:r>
            <w:r w:rsidR="00B10759">
              <w:t>probabl</w:t>
            </w:r>
            <w:r w:rsidR="00343865">
              <w:t>e</w:t>
            </w:r>
            <w:r w:rsidR="00B10759">
              <w:t xml:space="preserve"> 30-day</w:t>
            </w:r>
            <w:r w:rsidRPr="00CD1CEE">
              <w:t xml:space="preserve"> mental disorder.</w:t>
            </w:r>
          </w:p>
        </w:tc>
        <w:tc>
          <w:tcPr>
            <w:tcW w:w="2887" w:type="dxa"/>
          </w:tcPr>
          <w:p w:rsidR="00123234" w:rsidRPr="00CD1CEE" w:rsidRDefault="00123234" w:rsidP="00CD1CEE">
            <w:pPr>
              <w:pStyle w:val="TableText"/>
              <w:rPr>
                <w:i/>
              </w:rPr>
            </w:pPr>
            <w:r w:rsidRPr="00CD1CEE">
              <w:rPr>
                <w:i/>
              </w:rPr>
              <w:t>Pathways to Care Report</w:t>
            </w:r>
          </w:p>
        </w:tc>
      </w:tr>
      <w:tr w:rsidR="00123234" w:rsidRPr="00CD1CEE" w:rsidTr="00CD1CEE">
        <w:trPr>
          <w:cnfStyle w:val="000000100000" w:firstRow="0" w:lastRow="0" w:firstColumn="0" w:lastColumn="0" w:oddVBand="0" w:evenVBand="0" w:oddHBand="1" w:evenHBand="0" w:firstRowFirstColumn="0" w:firstRowLastColumn="0" w:lastRowFirstColumn="0" w:lastRowLastColumn="0"/>
        </w:trPr>
        <w:tc>
          <w:tcPr>
            <w:tcW w:w="4433" w:type="dxa"/>
          </w:tcPr>
          <w:p w:rsidR="00123234" w:rsidRPr="00CD1CEE" w:rsidRDefault="00123234" w:rsidP="00CD1CEE">
            <w:pPr>
              <w:pStyle w:val="TableText"/>
            </w:pPr>
            <w:r w:rsidRPr="00CD1CEE">
              <w:t>4. Examine the physical health status of Transitioned ADF and the 2015 Regular ADF.</w:t>
            </w:r>
          </w:p>
        </w:tc>
        <w:tc>
          <w:tcPr>
            <w:tcW w:w="2887" w:type="dxa"/>
          </w:tcPr>
          <w:p w:rsidR="00123234" w:rsidRPr="00CD1CEE" w:rsidRDefault="00123234" w:rsidP="00CD1CEE">
            <w:pPr>
              <w:pStyle w:val="TableText"/>
              <w:rPr>
                <w:i/>
              </w:rPr>
            </w:pPr>
            <w:r w:rsidRPr="00CD1CEE">
              <w:rPr>
                <w:i/>
              </w:rPr>
              <w:t>Physical Health Status Report</w:t>
            </w:r>
          </w:p>
        </w:tc>
      </w:tr>
      <w:tr w:rsidR="00123234" w:rsidRPr="00CD1CEE" w:rsidTr="00CD1CEE">
        <w:tc>
          <w:tcPr>
            <w:tcW w:w="4433" w:type="dxa"/>
          </w:tcPr>
          <w:p w:rsidR="00123234" w:rsidRPr="00CD1CEE" w:rsidRDefault="00123234" w:rsidP="00CD1CEE">
            <w:pPr>
              <w:pStyle w:val="TableText"/>
            </w:pPr>
            <w:r w:rsidRPr="00CD1CEE">
              <w:t>5. Investigate technology and its utility for health and mental health programmes including implications for future health service delivery.</w:t>
            </w:r>
          </w:p>
        </w:tc>
        <w:tc>
          <w:tcPr>
            <w:tcW w:w="2887" w:type="dxa"/>
          </w:tcPr>
          <w:p w:rsidR="00123234" w:rsidRPr="00CD1CEE" w:rsidRDefault="00123234" w:rsidP="00CD1CEE">
            <w:pPr>
              <w:pStyle w:val="TableText"/>
              <w:rPr>
                <w:i/>
              </w:rPr>
            </w:pPr>
            <w:r w:rsidRPr="00CD1CEE">
              <w:rPr>
                <w:i/>
              </w:rPr>
              <w:t>Technology Use and Wellbeing Report</w:t>
            </w:r>
          </w:p>
        </w:tc>
      </w:tr>
      <w:tr w:rsidR="00123234" w:rsidRPr="00CD1CEE" w:rsidTr="00CD1CEE">
        <w:trPr>
          <w:cnfStyle w:val="000000100000" w:firstRow="0" w:lastRow="0" w:firstColumn="0" w:lastColumn="0" w:oddVBand="0" w:evenVBand="0" w:oddHBand="1" w:evenHBand="0" w:firstRowFirstColumn="0" w:firstRowLastColumn="0" w:lastRowFirstColumn="0" w:lastRowLastColumn="0"/>
        </w:trPr>
        <w:tc>
          <w:tcPr>
            <w:tcW w:w="4433" w:type="dxa"/>
          </w:tcPr>
          <w:p w:rsidR="00123234" w:rsidRPr="00CD1CEE" w:rsidRDefault="00123234" w:rsidP="00CD1CEE">
            <w:pPr>
              <w:pStyle w:val="TableText"/>
            </w:pPr>
            <w:r w:rsidRPr="00CD1CEE">
              <w:t>6. Conduct predictive modelling of the trajectory of mental health symptoms/disorder</w:t>
            </w:r>
            <w:r w:rsidR="000C15B8" w:rsidRPr="00CD1CEE">
              <w:t>s</w:t>
            </w:r>
            <w:r w:rsidRPr="00CD1CEE">
              <w:t xml:space="preserve"> of Transitioned ADF and the 2015 Regular ADF, removing the need to rely on estimated rates.</w:t>
            </w:r>
          </w:p>
        </w:tc>
        <w:tc>
          <w:tcPr>
            <w:tcW w:w="2887" w:type="dxa"/>
          </w:tcPr>
          <w:p w:rsidR="00123234" w:rsidRPr="00CD1CEE" w:rsidRDefault="00123234" w:rsidP="00CD1CEE">
            <w:pPr>
              <w:pStyle w:val="TableText"/>
              <w:rPr>
                <w:i/>
              </w:rPr>
            </w:pPr>
            <w:r w:rsidRPr="00CD1CEE">
              <w:rPr>
                <w:i/>
              </w:rPr>
              <w:t>Mental Health Changes Over Time: a Longitudinal Perspective Report</w:t>
            </w:r>
          </w:p>
        </w:tc>
      </w:tr>
      <w:tr w:rsidR="00123234" w:rsidRPr="00CD1CEE" w:rsidTr="00CD1CEE">
        <w:tc>
          <w:tcPr>
            <w:tcW w:w="4433" w:type="dxa"/>
          </w:tcPr>
          <w:p w:rsidR="00123234" w:rsidRPr="00CD1CEE" w:rsidRDefault="00123234" w:rsidP="00CD1CEE">
            <w:pPr>
              <w:pStyle w:val="TableText"/>
            </w:pPr>
            <w:r w:rsidRPr="00CD1CEE">
              <w:t>7. Investigate the mental health and wellbeing of currently serving 2015 Ab</w:t>
            </w:r>
            <w:r w:rsidR="005B681B" w:rsidRPr="00CD1CEE">
              <w:t> </w:t>
            </w:r>
            <w:r w:rsidRPr="00CD1CEE">
              <w:t>initio Reservists.</w:t>
            </w:r>
          </w:p>
        </w:tc>
        <w:tc>
          <w:tcPr>
            <w:tcW w:w="2887" w:type="dxa"/>
          </w:tcPr>
          <w:p w:rsidR="00123234" w:rsidRPr="00CD1CEE" w:rsidRDefault="00123234" w:rsidP="00CD1CEE">
            <w:pPr>
              <w:pStyle w:val="TableText"/>
              <w:rPr>
                <w:i/>
              </w:rPr>
            </w:pPr>
            <w:r w:rsidRPr="00CD1CEE">
              <w:rPr>
                <w:i/>
              </w:rPr>
              <w:t>The Health and Wellbeing of ADF Reservists Paper</w:t>
            </w:r>
          </w:p>
        </w:tc>
      </w:tr>
      <w:tr w:rsidR="00123234" w:rsidRPr="00CD1CEE" w:rsidTr="00CD1CEE">
        <w:trPr>
          <w:cnfStyle w:val="000000100000" w:firstRow="0" w:lastRow="0" w:firstColumn="0" w:lastColumn="0" w:oddVBand="0" w:evenVBand="0" w:oddHBand="1" w:evenHBand="0" w:firstRowFirstColumn="0" w:firstRowLastColumn="0" w:lastRowFirstColumn="0" w:lastRowLastColumn="0"/>
        </w:trPr>
        <w:tc>
          <w:tcPr>
            <w:tcW w:w="4433" w:type="dxa"/>
          </w:tcPr>
          <w:p w:rsidR="00123234" w:rsidRPr="00CD1CEE" w:rsidRDefault="00123234" w:rsidP="00CD1CEE">
            <w:pPr>
              <w:pStyle w:val="TableText"/>
            </w:pPr>
            <w:r w:rsidRPr="00CD1CEE">
              <w:t>8. Examine the factors that contribute to the wellbeing of Transitioned ADF and the 2015 Regular ADF.</w:t>
            </w:r>
          </w:p>
        </w:tc>
        <w:tc>
          <w:tcPr>
            <w:tcW w:w="2887" w:type="dxa"/>
          </w:tcPr>
          <w:p w:rsidR="00123234" w:rsidRPr="00CD1CEE" w:rsidRDefault="00123234" w:rsidP="00CD1CEE">
            <w:pPr>
              <w:pStyle w:val="TableText"/>
              <w:rPr>
                <w:i/>
              </w:rPr>
            </w:pPr>
            <w:r w:rsidRPr="00CD1CEE">
              <w:rPr>
                <w:i/>
              </w:rPr>
              <w:t xml:space="preserve">Psychosocial Predictors of Health Paper </w:t>
            </w:r>
          </w:p>
        </w:tc>
      </w:tr>
      <w:tr w:rsidR="00123234" w:rsidRPr="00CD1CEE" w:rsidTr="00CD1CEE">
        <w:tc>
          <w:tcPr>
            <w:tcW w:w="4433" w:type="dxa"/>
          </w:tcPr>
          <w:p w:rsidR="00123234" w:rsidRPr="00CD1CEE" w:rsidRDefault="00123234" w:rsidP="00CD1CEE">
            <w:pPr>
              <w:pStyle w:val="TableText"/>
            </w:pPr>
            <w:r w:rsidRPr="00CD1CEE">
              <w:t>9. Follow up on the mental, physical and neurocognitive health and wellbeing of participants who deployed to the Middle East Area of Operations between 2010 and 2012.</w:t>
            </w:r>
          </w:p>
        </w:tc>
        <w:tc>
          <w:tcPr>
            <w:tcW w:w="2887" w:type="dxa"/>
          </w:tcPr>
          <w:p w:rsidR="00123234" w:rsidRPr="00CD1CEE" w:rsidRDefault="00123234" w:rsidP="00CD1CEE">
            <w:pPr>
              <w:pStyle w:val="TableText"/>
              <w:rPr>
                <w:i/>
              </w:rPr>
            </w:pPr>
            <w:r w:rsidRPr="00CD1CEE">
              <w:rPr>
                <w:i/>
              </w:rPr>
              <w:t xml:space="preserve">Impact of Combat Report </w:t>
            </w:r>
          </w:p>
        </w:tc>
      </w:tr>
      <w:tr w:rsidR="00123234" w:rsidRPr="00CD1CEE" w:rsidTr="00CD1CEE">
        <w:trPr>
          <w:cnfStyle w:val="000000100000" w:firstRow="0" w:lastRow="0" w:firstColumn="0" w:lastColumn="0" w:oddVBand="0" w:evenVBand="0" w:oddHBand="1" w:evenHBand="0" w:firstRowFirstColumn="0" w:firstRowLastColumn="0" w:lastRowFirstColumn="0" w:lastRowLastColumn="0"/>
        </w:trPr>
        <w:tc>
          <w:tcPr>
            <w:tcW w:w="4433" w:type="dxa"/>
          </w:tcPr>
          <w:p w:rsidR="00123234" w:rsidRPr="00CD1CEE" w:rsidRDefault="00123234" w:rsidP="00CD1CEE">
            <w:pPr>
              <w:pStyle w:val="TableText"/>
            </w:pPr>
            <w:r w:rsidRPr="00CD1CEE">
              <w:t>10. Investigate the impact of ADF service on the health and wellbeing of the families of Transitioned ADF and the 2015 Regular ADF.</w:t>
            </w:r>
          </w:p>
        </w:tc>
        <w:tc>
          <w:tcPr>
            <w:tcW w:w="2887" w:type="dxa"/>
          </w:tcPr>
          <w:p w:rsidR="00123234" w:rsidRPr="00CD1CEE" w:rsidRDefault="00123234" w:rsidP="00CD1CEE">
            <w:pPr>
              <w:pStyle w:val="TableText"/>
              <w:rPr>
                <w:i/>
              </w:rPr>
            </w:pPr>
            <w:r w:rsidRPr="00CD1CEE">
              <w:rPr>
                <w:i/>
              </w:rPr>
              <w:t xml:space="preserve">Family Wellbeing Report </w:t>
            </w:r>
          </w:p>
        </w:tc>
      </w:tr>
      <w:tr w:rsidR="00123234" w:rsidRPr="00CD1CEE" w:rsidTr="00CD1CEE">
        <w:tc>
          <w:tcPr>
            <w:tcW w:w="4433" w:type="dxa"/>
          </w:tcPr>
          <w:p w:rsidR="00123234" w:rsidRPr="00CD1CEE" w:rsidRDefault="00123234" w:rsidP="00CD1CEE">
            <w:pPr>
              <w:pStyle w:val="TableText"/>
            </w:pPr>
            <w:r w:rsidRPr="00CD1CEE">
              <w:t>All objectives</w:t>
            </w:r>
          </w:p>
        </w:tc>
        <w:tc>
          <w:tcPr>
            <w:tcW w:w="2887" w:type="dxa"/>
          </w:tcPr>
          <w:p w:rsidR="00123234" w:rsidRPr="00CD1CEE" w:rsidRDefault="00123234" w:rsidP="00CD1CEE">
            <w:pPr>
              <w:pStyle w:val="TableText"/>
              <w:rPr>
                <w:i/>
              </w:rPr>
            </w:pPr>
            <w:r w:rsidRPr="00CD1CEE">
              <w:rPr>
                <w:i/>
              </w:rPr>
              <w:t>Transition and Wellbeing Research Programme Key Findings Report</w:t>
            </w:r>
          </w:p>
        </w:tc>
      </w:tr>
    </w:tbl>
    <w:p w:rsidR="00930EBB" w:rsidRDefault="00930EBB" w:rsidP="00123234"/>
    <w:p w:rsidR="00123234" w:rsidRPr="005B0796" w:rsidRDefault="00123234" w:rsidP="00123234">
      <w:r w:rsidRPr="005B0796">
        <w:t>Two eminent Australian research institutions, one specialising in trauma and the other in families, are leading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rsidR="00123234" w:rsidRPr="005B0796" w:rsidRDefault="00123234" w:rsidP="00123234">
      <w:r w:rsidRPr="005B0796">
        <w:t>Their research expertise is enhanced through partner institutions from Monash University, the University of New South Wales, Phoenix Australia – Centre for Posttraumatic Mental Health and, until June 2016, the Young and Well Cooperative Research Centre, the work of which is being continued through Innowell.</w:t>
      </w:r>
    </w:p>
    <w:p w:rsidR="00123234" w:rsidRPr="005B0796" w:rsidRDefault="00123234" w:rsidP="00123234">
      <w:r w:rsidRPr="005B0796">
        <w:t xml:space="preserve">Through surveys and interviews, the researchers engaged with a range of DVA clients and ADF members including: </w:t>
      </w:r>
    </w:p>
    <w:p w:rsidR="00123234" w:rsidRPr="005B0796" w:rsidRDefault="00123234" w:rsidP="00123234">
      <w:pPr>
        <w:pStyle w:val="Bullet"/>
      </w:pPr>
      <w:r w:rsidRPr="005B0796">
        <w:t xml:space="preserve">ADF members who transitioned from the Regular ADF between 2010 and 2014 (including Ex-Serving, Active and Inactive Reservists) </w:t>
      </w:r>
    </w:p>
    <w:p w:rsidR="00123234" w:rsidRPr="005B0796" w:rsidRDefault="00123234" w:rsidP="00123234">
      <w:pPr>
        <w:pStyle w:val="Bullet"/>
      </w:pPr>
      <w:r w:rsidRPr="005B0796">
        <w:t xml:space="preserve">a random sample of Regular ADF members serving in 2015 </w:t>
      </w:r>
    </w:p>
    <w:p w:rsidR="00123234" w:rsidRPr="005B0796" w:rsidRDefault="00123234" w:rsidP="00123234">
      <w:pPr>
        <w:pStyle w:val="Bullet"/>
      </w:pPr>
      <w:r w:rsidRPr="005B0796">
        <w:t>a sample of Ab</w:t>
      </w:r>
      <w:r w:rsidR="005B681B">
        <w:t> </w:t>
      </w:r>
      <w:r w:rsidRPr="005B0796">
        <w:t xml:space="preserve">initio Reservists serving in 2015 (who have never been full-time ADF members) </w:t>
      </w:r>
    </w:p>
    <w:p w:rsidR="00123234" w:rsidRPr="005B0796" w:rsidRDefault="00123234" w:rsidP="00123234">
      <w:pPr>
        <w:pStyle w:val="Bullet"/>
      </w:pPr>
      <w:r w:rsidRPr="005B0796">
        <w:t xml:space="preserve">2015 Regular ADF and Transitioned ADF members who participated in MilHOP </w:t>
      </w:r>
    </w:p>
    <w:p w:rsidR="00123234" w:rsidRPr="005B0796" w:rsidRDefault="00123234" w:rsidP="00123234">
      <w:pPr>
        <w:pStyle w:val="Bullet"/>
      </w:pPr>
      <w:r w:rsidRPr="005B0796">
        <w:t>family members nominated by the above.</w:t>
      </w:r>
    </w:p>
    <w:p w:rsidR="00F404E6" w:rsidRPr="005B0796" w:rsidRDefault="00123234" w:rsidP="008F5D9B">
      <w:r w:rsidRPr="005B0796">
        <w:t xml:space="preserve">DVA and Defence thank the current and ex-serving ADF members and their families who participated in this research, for sharing your experiences and insights. Your efforts will help inform and assist the ways you, your colleagues, friends and families, as well as those who come after you, can best be supported during and after </w:t>
      </w:r>
      <w:r w:rsidR="005B681B">
        <w:t>a</w:t>
      </w:r>
      <w:r w:rsidRPr="005B0796">
        <w:t xml:space="preserve"> military career.</w:t>
      </w:r>
    </w:p>
    <w:p w:rsidR="008F5D9B" w:rsidRPr="005B0796" w:rsidRDefault="008F5D9B">
      <w:pPr>
        <w:sectPr w:rsidR="008F5D9B" w:rsidRPr="005B0796" w:rsidSect="00452191">
          <w:type w:val="oddPage"/>
          <w:pgSz w:w="9979" w:h="14170" w:code="243"/>
          <w:pgMar w:top="1440" w:right="1152" w:bottom="1440" w:left="1728" w:header="576" w:footer="576" w:gutter="0"/>
          <w:pgNumType w:fmt="lowerRoman"/>
          <w:cols w:space="708"/>
          <w:docGrid w:linePitch="360"/>
        </w:sectPr>
      </w:pPr>
    </w:p>
    <w:p w:rsidR="00191932" w:rsidRPr="005B0796" w:rsidRDefault="00191932" w:rsidP="00191932">
      <w:pPr>
        <w:pStyle w:val="Heading1"/>
      </w:pPr>
      <w:bookmarkStart w:id="6" w:name="_Toc494449673"/>
      <w:bookmarkStart w:id="7" w:name="_Toc511900255"/>
      <w:r w:rsidRPr="005B0796">
        <w:t>Introduction</w:t>
      </w:r>
      <w:bookmarkEnd w:id="6"/>
      <w:bookmarkEnd w:id="7"/>
    </w:p>
    <w:p w:rsidR="00742BF9" w:rsidRPr="005B0796" w:rsidRDefault="00742BF9" w:rsidP="00742BF9">
      <w:pPr>
        <w:pStyle w:val="ShadedBullet"/>
      </w:pPr>
      <w:r w:rsidRPr="005B0796">
        <w:t>Approximately 5000 or 9% of serving men and women transition out of the Regular Australian Defence Force (ADF) each year. This represents a significant number of Transitioned ADF members who are in the critical early stages of adjusting to civilian life and reintegrating into their community.</w:t>
      </w:r>
    </w:p>
    <w:p w:rsidR="00742BF9" w:rsidRPr="005B0796" w:rsidRDefault="00742BF9" w:rsidP="00742BF9">
      <w:pPr>
        <w:pStyle w:val="ShadedBullet"/>
        <w:rPr>
          <w:rFonts w:asciiTheme="minorHAnsi" w:hAnsiTheme="minorHAnsi"/>
        </w:rPr>
      </w:pPr>
      <w:r w:rsidRPr="005B0796">
        <w:rPr>
          <w:rFonts w:asciiTheme="minorHAnsi" w:hAnsiTheme="minorHAnsi"/>
        </w:rPr>
        <w:t xml:space="preserve">While international literature estimates that 60–75% of transitioned military members report </w:t>
      </w:r>
      <w:r w:rsidRPr="005B0796">
        <w:t>an easy adjustment to civilian life, others, especially those who</w:t>
      </w:r>
      <w:r w:rsidR="00462A0C" w:rsidRPr="005B0796">
        <w:t xml:space="preserve"> </w:t>
      </w:r>
      <w:r w:rsidRPr="005B0796">
        <w:t>developed mental health symptoms or disorders before being discharged, may struggle.</w:t>
      </w:r>
    </w:p>
    <w:p w:rsidR="00742BF9" w:rsidRPr="005B0796" w:rsidRDefault="00742BF9" w:rsidP="00742BF9">
      <w:pPr>
        <w:pStyle w:val="ShadedBullet"/>
      </w:pPr>
      <w:r w:rsidRPr="005B0796">
        <w:t>The transition period from military to civilian life is quickly becoming recognised as one of the most significant and stressful periods in the life of military members worldwide. This is due to potential changes in identity, community, residence, social networks, status, family role, occupation, finances, routines, responsibilities, supports and culture.</w:t>
      </w:r>
    </w:p>
    <w:p w:rsidR="00742BF9" w:rsidRPr="005B0796" w:rsidRDefault="00742BF9" w:rsidP="00742BF9">
      <w:pPr>
        <w:pStyle w:val="ShadedBullet"/>
        <w:rPr>
          <w:rFonts w:eastAsia="MS Gothiw Roman"/>
        </w:rPr>
      </w:pPr>
      <w:r w:rsidRPr="005B0796">
        <w:t>Changes brought about by transition can result in the development of psychosocial adjustment issues, ranging from employment difficulties and family and/or relationship conflict to mental health problems, substance abuse problems and criminal offending.</w:t>
      </w:r>
    </w:p>
    <w:p w:rsidR="00742BF9" w:rsidRPr="005B0796" w:rsidRDefault="00742BF9" w:rsidP="00742BF9">
      <w:pPr>
        <w:pStyle w:val="ShadedBullet"/>
        <w:rPr>
          <w:rFonts w:cs="Calibri"/>
          <w:szCs w:val="22"/>
        </w:rPr>
      </w:pPr>
      <w:r w:rsidRPr="005B0796">
        <w:rPr>
          <w:bCs/>
        </w:rPr>
        <w:t>Currently,</w:t>
      </w:r>
      <w:r w:rsidRPr="005B0796">
        <w:t xml:space="preserve"> there is very little systematic research about the mental health and wellbeing of representative cohorts of transitioned military members, with most studies focusing on cohorts from specific deployments or those</w:t>
      </w:r>
      <w:r w:rsidRPr="005B0796">
        <w:rPr>
          <w:rFonts w:cs="Calibri"/>
          <w:szCs w:val="22"/>
        </w:rPr>
        <w:t xml:space="preserve"> seeking treatment or compensation from the Department of Veterans</w:t>
      </w:r>
      <w:r w:rsidR="00462A0C" w:rsidRPr="005B0796">
        <w:rPr>
          <w:rFonts w:cs="Calibri"/>
          <w:szCs w:val="22"/>
        </w:rPr>
        <w:t>’</w:t>
      </w:r>
      <w:r w:rsidRPr="005B0796">
        <w:rPr>
          <w:rFonts w:cs="Calibri"/>
          <w:szCs w:val="22"/>
        </w:rPr>
        <w:t xml:space="preserve"> Affairs (DVA) or the international equivalent. </w:t>
      </w:r>
    </w:p>
    <w:p w:rsidR="00742BF9" w:rsidRPr="005B0796" w:rsidRDefault="00742BF9" w:rsidP="00742BF9">
      <w:pPr>
        <w:pStyle w:val="ShadedBullet"/>
      </w:pPr>
      <w:r w:rsidRPr="005B0796">
        <w:t xml:space="preserve">In Australia, only one in 10 ADF members who recently transitioned out of the ADF chose to (or was able to) access veteran healthcare services; therefore, administrative data alone cannot provide an accurate snapshot of the health of the population. </w:t>
      </w:r>
    </w:p>
    <w:p w:rsidR="00742BF9" w:rsidRPr="005B0796" w:rsidRDefault="00742BF9" w:rsidP="00742BF9">
      <w:pPr>
        <w:pStyle w:val="ShadedBullet"/>
      </w:pPr>
      <w:r w:rsidRPr="005B0796">
        <w:t xml:space="preserve">Consequently, a population- or cohort-based approach is paramount to establishing accurate prevalence estimates of mental disorders in Transitioned ADF members in Australia. </w:t>
      </w:r>
    </w:p>
    <w:p w:rsidR="00742BF9" w:rsidRPr="005B0796" w:rsidRDefault="00742BF9" w:rsidP="00742BF9">
      <w:pPr>
        <w:pStyle w:val="ShadedBullet"/>
      </w:pPr>
      <w:r w:rsidRPr="005B0796">
        <w:t>The Transition and Wellbeing Research Programme – especially the Mental Health and Wellbeing Transition Study – is the first attempt in Australia to establish the prevalence of mental disorders in a representative cohort of ADF members who recently (</w:t>
      </w:r>
      <w:r w:rsidR="005B681B">
        <w:t xml:space="preserve">between </w:t>
      </w:r>
      <w:r w:rsidRPr="005B0796">
        <w:t>2010</w:t>
      </w:r>
      <w:r w:rsidR="005B681B">
        <w:t xml:space="preserve"> and </w:t>
      </w:r>
      <w:r w:rsidRPr="005B0796">
        <w:t xml:space="preserve">2014) transitioned out of the Regular ADF. </w:t>
      </w:r>
    </w:p>
    <w:p w:rsidR="00742BF9" w:rsidRPr="005B0796" w:rsidRDefault="00742BF9" w:rsidP="00742BF9">
      <w:pPr>
        <w:pStyle w:val="ShadedBullet"/>
      </w:pPr>
      <w:r w:rsidRPr="005B0796">
        <w:t>In addition to examining the differences between the mental health of Transitioned ADF and the 2015 Regular ADF, this report will also identify the key demographic, Service and transition factors that are important influences on mental health in the Transitioned ADF.</w:t>
      </w:r>
    </w:p>
    <w:p w:rsidR="00742BF9" w:rsidRPr="005B0796" w:rsidRDefault="00742BF9" w:rsidP="00742BF9">
      <w:pPr>
        <w:pStyle w:val="ShadedBoxText"/>
      </w:pPr>
      <w:r w:rsidRPr="005B0796">
        <w:rPr>
          <w:b/>
        </w:rPr>
        <w:t>Glossary:</w:t>
      </w:r>
      <w:r w:rsidRPr="005B681B">
        <w:t xml:space="preserve"> r</w:t>
      </w:r>
      <w:r w:rsidRPr="005B0796">
        <w:t xml:space="preserve">efer to the </w:t>
      </w:r>
      <w:r w:rsidR="00462A0C" w:rsidRPr="005B0796">
        <w:t>‘</w:t>
      </w:r>
      <w:r w:rsidRPr="005B0796">
        <w:t>Glossary of terms</w:t>
      </w:r>
      <w:r w:rsidR="00462A0C" w:rsidRPr="005B0796">
        <w:t>’</w:t>
      </w:r>
      <w:r w:rsidRPr="005B0796">
        <w:t xml:space="preserve"> for definitions of key terms in this section.</w:t>
      </w:r>
    </w:p>
    <w:p w:rsidR="008756D4" w:rsidRPr="005B0796" w:rsidRDefault="008756D4" w:rsidP="008756D4">
      <w:pPr>
        <w:pStyle w:val="Heading2"/>
      </w:pPr>
      <w:bookmarkStart w:id="8" w:name="_Toc482021308"/>
      <w:bookmarkStart w:id="9" w:name="_Toc482024399"/>
      <w:bookmarkStart w:id="10" w:name="_Toc487011158"/>
      <w:bookmarkStart w:id="11" w:name="_Toc494449674"/>
      <w:bookmarkStart w:id="12" w:name="_Toc511900256"/>
      <w:r w:rsidRPr="005B0796">
        <w:t>Mental Health and Wellbeing Transition Study</w:t>
      </w:r>
      <w:bookmarkEnd w:id="8"/>
      <w:bookmarkEnd w:id="9"/>
      <w:bookmarkEnd w:id="10"/>
      <w:bookmarkEnd w:id="11"/>
      <w:bookmarkEnd w:id="12"/>
    </w:p>
    <w:p w:rsidR="008756D4" w:rsidRPr="005B0796" w:rsidRDefault="008756D4" w:rsidP="008756D4">
      <w:bookmarkStart w:id="13" w:name="_Hlk481383459"/>
      <w:r w:rsidRPr="005B0796">
        <w:t>This report presents the findings from Study 1 of the Programme: The Mental Health and Wellbeing Transition Study. The main objective of this study is to determine the prevalence of mental disorders among Transitioned ADF members in the first five years after they transitioned from regular service</w:t>
      </w:r>
      <w:r w:rsidR="005B681B">
        <w:t>. The study focuses on those who transitioned</w:t>
      </w:r>
      <w:r w:rsidRPr="005B0796">
        <w:t xml:space="preserve"> between 2010 and 2014</w:t>
      </w:r>
      <w:r w:rsidR="005B681B">
        <w:t>,</w:t>
      </w:r>
      <w:r w:rsidRPr="005B0796">
        <w:t xml:space="preserve"> </w:t>
      </w:r>
      <w:r w:rsidR="005B681B">
        <w:t>exploring</w:t>
      </w:r>
      <w:r w:rsidRPr="005B0796">
        <w:t xml:space="preserve"> the factors that contribute to the mental health and wellbeing of this cohort.</w:t>
      </w:r>
    </w:p>
    <w:p w:rsidR="008756D4" w:rsidRPr="005B0796" w:rsidRDefault="008756D4" w:rsidP="008756D4">
      <w:r w:rsidRPr="005B0796">
        <w:t>The report uses self-reported mental health measures to compare levels of mental health symptomatology in ADF members who have transitioned from the Regular ADF (Transitioned ADF) to representative cohorts of the Regular ADF in 2015 (2015 Regular ADF) and in 2010 (2010 Regular ADF). It also compares these cohorts to the Australian Community, using data from the Australian Bureau of Statistics (ABS) (ABS, 2010).</w:t>
      </w:r>
    </w:p>
    <w:p w:rsidR="008756D4" w:rsidRPr="005B0796" w:rsidRDefault="008756D4" w:rsidP="008756D4">
      <w:pPr>
        <w:pStyle w:val="Heading2"/>
      </w:pPr>
      <w:bookmarkStart w:id="14" w:name="_Toc482021309"/>
      <w:bookmarkStart w:id="15" w:name="_Toc482024400"/>
      <w:bookmarkStart w:id="16" w:name="_Toc487011159"/>
      <w:bookmarkStart w:id="17" w:name="_Toc494449675"/>
      <w:bookmarkStart w:id="18" w:name="_Toc511900257"/>
      <w:bookmarkEnd w:id="13"/>
      <w:r w:rsidRPr="005B0796">
        <w:t>Background to this report</w:t>
      </w:r>
      <w:bookmarkEnd w:id="14"/>
      <w:bookmarkEnd w:id="15"/>
      <w:bookmarkEnd w:id="16"/>
      <w:bookmarkEnd w:id="17"/>
      <w:bookmarkEnd w:id="18"/>
    </w:p>
    <w:p w:rsidR="008756D4" w:rsidRPr="005B0796" w:rsidRDefault="008756D4" w:rsidP="008756D4">
      <w:pPr>
        <w:rPr>
          <w:lang w:eastAsia="en-AU"/>
        </w:rPr>
      </w:pPr>
      <w:r w:rsidRPr="005B0796">
        <w:rPr>
          <w:lang w:eastAsia="en-AU"/>
        </w:rPr>
        <w:t xml:space="preserve">There is a substantial body of Australian and international research into the impact of service on military members across the military career cycle, particularly in relation to specific deployments </w:t>
      </w:r>
      <w:r w:rsidRPr="005B0796">
        <w:rPr>
          <w:lang w:eastAsia="en-AU"/>
        </w:rPr>
        <w:fldChar w:fldCharType="begin">
          <w:fldData xml:space="preserve">PEVuZE5vdGU+PENpdGU+PEF1dGhvcj5DcnVtLUNpYW5mbG9uZTwvQXV0aG9yPjxZZWFyPjIwMTY8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</w:fldData>
        </w:fldChar>
      </w:r>
      <w:r w:rsidRPr="005B0796">
        <w:rPr>
          <w:lang w:eastAsia="en-AU"/>
        </w:rPr>
        <w:instrText xml:space="preserve"> ADDIN EN.CITE </w:instrText>
      </w:r>
      <w:r w:rsidRPr="005B0796">
        <w:rPr>
          <w:lang w:eastAsia="en-AU"/>
        </w:rPr>
        <w:fldChar w:fldCharType="begin">
          <w:fldData xml:space="preserve">PEVuZE5vdGU+PENpdGU+PEF1dGhvcj5DcnVtLUNpYW5mbG9uZTwvQXV0aG9yPjxZZWFyPjIwMTY8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</w:fldData>
        </w:fldChar>
      </w:r>
      <w:r w:rsidRPr="005B0796">
        <w:rPr>
          <w:lang w:eastAsia="en-AU"/>
        </w:rPr>
        <w:instrText xml:space="preserve"> ADDIN EN.CITE.DATA </w:instrText>
      </w:r>
      <w:r w:rsidRPr="005B0796">
        <w:rPr>
          <w:lang w:eastAsia="en-AU"/>
        </w:rPr>
      </w:r>
      <w:r w:rsidRPr="005B0796">
        <w:rPr>
          <w:lang w:eastAsia="en-AU"/>
        </w:rPr>
        <w:fldChar w:fldCharType="end"/>
      </w:r>
      <w:r w:rsidRPr="005B0796">
        <w:rPr>
          <w:lang w:eastAsia="en-AU"/>
        </w:rPr>
      </w:r>
      <w:r w:rsidRPr="005B0796">
        <w:rPr>
          <w:lang w:eastAsia="en-AU"/>
        </w:rPr>
        <w:fldChar w:fldCharType="separate"/>
      </w:r>
      <w:r w:rsidRPr="005B0796">
        <w:rPr>
          <w:lang w:eastAsia="en-AU"/>
        </w:rPr>
        <w:t>(Crum-Cianflone et al., 2016; Fear et al., 2010; Thomas et al., 2010)</w:t>
      </w:r>
      <w:r w:rsidRPr="005B0796">
        <w:rPr>
          <w:lang w:eastAsia="en-AU"/>
        </w:rPr>
        <w:fldChar w:fldCharType="end"/>
      </w:r>
      <w:r w:rsidRPr="005B0796">
        <w:rPr>
          <w:lang w:eastAsia="en-AU"/>
        </w:rPr>
        <w:t xml:space="preserve">. Much of this research has included discharged or ex-serving members and has consistently highlighted the higher rates of disorder in this subpopulation compared to those who remain in service </w:t>
      </w:r>
      <w:r w:rsidRPr="005B0796">
        <w:rPr>
          <w:lang w:eastAsia="en-AU"/>
        </w:rPr>
        <w:fldChar w:fldCharType="begin">
          <w:fldData xml:space="preserve">PEVuZE5vdGU+PENpdGU+PEF1dGhvcj5IYXRjaDwvQXV0aG9yPjxZZWFyPjIwMTM8L1llYXI+PFJl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</w:fldData>
        </w:fldChar>
      </w:r>
      <w:r w:rsidRPr="005B0796">
        <w:rPr>
          <w:lang w:eastAsia="en-AU"/>
        </w:rPr>
        <w:instrText xml:space="preserve"> ADDIN EN.CITE </w:instrText>
      </w:r>
      <w:r w:rsidRPr="005B0796">
        <w:rPr>
          <w:lang w:eastAsia="en-AU"/>
        </w:rPr>
        <w:fldChar w:fldCharType="begin">
          <w:fldData xml:space="preserve">PEVuZE5vdGU+PENpdGU+PEF1dGhvcj5IYXRjaDwvQXV0aG9yPjxZZWFyPjIwMTM8L1llYXI+PFJl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</w:fldData>
        </w:fldChar>
      </w:r>
      <w:r w:rsidRPr="005B0796">
        <w:rPr>
          <w:lang w:eastAsia="en-AU"/>
        </w:rPr>
        <w:instrText xml:space="preserve"> ADDIN EN.CITE.DATA </w:instrText>
      </w:r>
      <w:r w:rsidRPr="005B0796">
        <w:rPr>
          <w:lang w:eastAsia="en-AU"/>
        </w:rPr>
      </w:r>
      <w:r w:rsidRPr="005B0796">
        <w:rPr>
          <w:lang w:eastAsia="en-AU"/>
        </w:rPr>
        <w:fldChar w:fldCharType="end"/>
      </w:r>
      <w:r w:rsidRPr="005B0796">
        <w:rPr>
          <w:lang w:eastAsia="en-AU"/>
        </w:rPr>
      </w:r>
      <w:r w:rsidRPr="005B0796">
        <w:rPr>
          <w:lang w:eastAsia="en-AU"/>
        </w:rPr>
        <w:fldChar w:fldCharType="separate"/>
      </w:r>
      <w:r w:rsidRPr="005B0796">
        <w:rPr>
          <w:lang w:eastAsia="en-AU"/>
        </w:rPr>
        <w:t>(Hatch et al., 2013; Jones et al., 2013; Pinder et al., 2012b; Villatte et al., 2015)</w:t>
      </w:r>
      <w:r w:rsidRPr="005B0796">
        <w:rPr>
          <w:lang w:eastAsia="en-AU"/>
        </w:rPr>
        <w:fldChar w:fldCharType="end"/>
      </w:r>
      <w:r w:rsidRPr="005B0796">
        <w:rPr>
          <w:lang w:eastAsia="en-AU"/>
        </w:rPr>
        <w:t xml:space="preserve">. This has resulted in an </w:t>
      </w:r>
      <w:r w:rsidRPr="005B0796">
        <w:t>emerging and growing interest in</w:t>
      </w:r>
      <w:r w:rsidRPr="005B0796">
        <w:rPr>
          <w:szCs w:val="22"/>
        </w:rPr>
        <w:t xml:space="preserve"> the mental, physical and social health and wellbeing of former serving military members – not just those who have previously deployed – and</w:t>
      </w:r>
      <w:r w:rsidRPr="005B0796">
        <w:rPr>
          <w:lang w:eastAsia="en-AU"/>
        </w:rPr>
        <w:t xml:space="preserve"> the associated risks and protective factors for disorders and other poor outcomes in this population </w:t>
      </w:r>
      <w:r w:rsidRPr="005B0796">
        <w:rPr>
          <w:rFonts w:cs="Calibri"/>
          <w:szCs w:val="22"/>
        </w:rPr>
        <w:fldChar w:fldCharType="begin"/>
      </w:r>
      <w:r w:rsidRPr="005B0796">
        <w:rPr>
          <w:rFonts w:cs="Calibri"/>
          <w:szCs w:val="22"/>
        </w:rPr>
        <w:instrText xml:space="preserve"> ADDIN EN.CITE &lt;EndNote&gt;&lt;Cite&gt;&lt;Author&gt;Shi</w:instrText>
      </w:r>
      <w:r w:rsidR="005B681B">
        <w:rPr>
          <w:rFonts w:cs="Calibri"/>
          <w:szCs w:val="22"/>
        </w:rPr>
        <w:instrText>e</w:instrText>
      </w:r>
      <w:r w:rsidRPr="005B0796">
        <w:rPr>
          <w:rFonts w:cs="Calibri"/>
          <w:szCs w:val="22"/>
        </w:rPr>
        <w:instrText>lds&lt;/Author&gt;&lt;Year&gt;2016&lt;/Year&gt;&lt;RecNum&gt;124&lt;/RecNum&gt;&lt;DisplayText&gt;(Shi</w:instrText>
      </w:r>
      <w:r w:rsidR="005B681B">
        <w:rPr>
          <w:rFonts w:cs="Calibri"/>
          <w:szCs w:val="22"/>
        </w:rPr>
        <w:instrText>e</w:instrText>
      </w:r>
      <w:r w:rsidRPr="005B0796">
        <w:rPr>
          <w:rFonts w:cs="Calibri"/>
          <w:szCs w:val="22"/>
        </w:rPr>
        <w:instrText>lds et al., 2016)&lt;/DisplayText&gt;&lt;record&gt;&lt;rec-number&gt;124&lt;/rec-number&gt;&lt;foreign-keys&gt;&lt;key app="EN" db-id="arwdrezp9sdawxevtfyxtfw10exvr5exxfed" timestamp="1474609064"&gt;124&lt;/key&gt;&lt;/foreign-keys&gt;&lt;ref-type name="Book"&gt;6&lt;/ref-type&gt;&lt;contributors&gt;&lt;authors&gt;&lt;author&gt;Shi</w:instrText>
      </w:r>
      <w:r w:rsidR="005B681B">
        <w:rPr>
          <w:rFonts w:cs="Calibri"/>
          <w:szCs w:val="22"/>
        </w:rPr>
        <w:instrText>e</w:instrText>
      </w:r>
      <w:r w:rsidRPr="005B0796">
        <w:rPr>
          <w:rFonts w:cs="Calibri"/>
          <w:szCs w:val="22"/>
        </w:rPr>
        <w:instrText>lds, D.M.&lt;/author&gt;&lt;author&gt;Kuhl,D.&lt;/author&gt;&lt;author&gt;Lutz, K.&lt;/author&gt;&lt;author&gt;Freder,J.&lt;/author&gt;&lt;author&gt;Baumann, N.&lt;/author&gt;&lt;author&gt;Lopresti, P.&lt;/author&gt;&lt;/authors&gt;&lt;/contributors&gt;&lt;titles&gt;&lt;title&gt;Mental health and well-being of military veterans during military to civilian transition: review and analysis of the recent literature&lt;/title&gt;&lt;/titles&gt;&lt;dates&gt;&lt;year&gt;2016&lt;/year&gt;&lt;/dates&gt;&lt;pub-location&gt;Canada&lt;/pub-location&gt;&lt;publisher&gt;Canadian Institute for Military and Veteran Health Research &amp;amp; Scientific Authority, Veterans Affairs Canada&lt;/publisher&gt;&lt;urls&gt;&lt;/urls&gt;&lt;/record&gt;&lt;/Cite&gt;&lt;/EndNote&gt;</w:instrText>
      </w:r>
      <w:r w:rsidRPr="005B0796">
        <w:rPr>
          <w:rFonts w:cs="Calibri"/>
          <w:szCs w:val="22"/>
        </w:rPr>
        <w:fldChar w:fldCharType="separate"/>
      </w:r>
      <w:r w:rsidRPr="005B0796">
        <w:rPr>
          <w:rFonts w:cs="Calibri"/>
          <w:szCs w:val="22"/>
        </w:rPr>
        <w:t>(Shi</w:t>
      </w:r>
      <w:r w:rsidR="00FF4FBE">
        <w:rPr>
          <w:rFonts w:cs="Calibri"/>
          <w:szCs w:val="22"/>
        </w:rPr>
        <w:t>e</w:t>
      </w:r>
      <w:r w:rsidRPr="005B0796">
        <w:rPr>
          <w:rFonts w:cs="Calibri"/>
          <w:szCs w:val="22"/>
        </w:rPr>
        <w:t>lds et al., 2016)</w:t>
      </w:r>
      <w:r w:rsidRPr="005B0796">
        <w:rPr>
          <w:rFonts w:cs="Calibri"/>
          <w:szCs w:val="22"/>
        </w:rPr>
        <w:fldChar w:fldCharType="end"/>
      </w:r>
      <w:r w:rsidRPr="005B0796">
        <w:rPr>
          <w:lang w:eastAsia="en-AU"/>
        </w:rPr>
        <w:t>.</w:t>
      </w:r>
    </w:p>
    <w:p w:rsidR="008756D4" w:rsidRPr="005B0796" w:rsidRDefault="008756D4" w:rsidP="008756D4">
      <w:pPr>
        <w:rPr>
          <w:lang w:eastAsia="en-AU"/>
        </w:rPr>
      </w:pPr>
      <w:r w:rsidRPr="005B0796">
        <w:rPr>
          <w:lang w:eastAsia="en-AU"/>
        </w:rPr>
        <w:t xml:space="preserve">The following literature review outlines ADF and international research on the mental health of former serving military members as well as gaps, inconsistencies and definitional issues that challenge the scientific knowledge in this field. </w:t>
      </w:r>
    </w:p>
    <w:p w:rsidR="008756D4" w:rsidRPr="005B0796" w:rsidRDefault="008756D4" w:rsidP="008756D4">
      <w:pPr>
        <w:pStyle w:val="Heading3"/>
      </w:pPr>
      <w:bookmarkStart w:id="19" w:name="_Toc482021310"/>
      <w:bookmarkStart w:id="20" w:name="_Toc482024401"/>
      <w:bookmarkStart w:id="21" w:name="_Toc487011160"/>
      <w:bookmarkStart w:id="22" w:name="_Toc494449676"/>
      <w:bookmarkStart w:id="23" w:name="_Toc511900258"/>
      <w:r w:rsidRPr="005B0796">
        <w:t>Mental health in the Australian Defence Force</w:t>
      </w:r>
      <w:bookmarkEnd w:id="19"/>
      <w:bookmarkEnd w:id="20"/>
      <w:bookmarkEnd w:id="21"/>
      <w:bookmarkEnd w:id="22"/>
      <w:bookmarkEnd w:id="23"/>
    </w:p>
    <w:p w:rsidR="008756D4" w:rsidRPr="005B0796" w:rsidRDefault="008756D4" w:rsidP="008756D4">
      <w:r w:rsidRPr="005B0796">
        <w:t xml:space="preserve">In Australia, military service is held in high esteem. It is recognised that it is very demanding on those who serve, and can </w:t>
      </w:r>
      <w:r w:rsidR="00FF4FBE">
        <w:t>involve</w:t>
      </w:r>
      <w:r w:rsidRPr="005B0796">
        <w:t xml:space="preserve"> exposure to extreme physical, psychological and mental stressors </w:t>
      </w:r>
      <w:r w:rsidRPr="005B0796">
        <w:fldChar w:fldCharType="begin"/>
      </w:r>
      <w:r w:rsidRPr="005B0796">
        <w:instrText xml:space="preserve"> ADDIN EN.CITE &lt;EndNote&gt;&lt;Cite&gt;&lt;Author&gt;Dobson&lt;/Author&gt;&lt;Year&gt;2012&lt;/Year&gt;&lt;RecNum&gt;440&lt;/RecNum&gt;&lt;DisplayText&gt;(Dobson et al., 2012; Forces in Mind Trust, 2013)&lt;/DisplayText&gt;&lt;record&gt;&lt;rec-number&gt;440&lt;/rec-number&gt;&lt;foreign-keys&gt;&lt;key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Health.&lt;/publisher&gt;&lt;urls&gt;&lt;/urls&gt;&lt;/record&gt;&lt;/Cite&gt;&lt;Cite&gt;&lt;Author&gt;Forces in Mind Trust&lt;/Author&gt;&lt;Year&gt;2013&lt;/Year&gt;&lt;RecNum&gt;127&lt;/RecNum&gt;&lt;record&gt;&lt;rec-number&gt;127&lt;/rec-number&gt;&lt;foreign-keys&gt;&lt;key app="EN" db-id="arwdrezp9sdawxevtfyxtfw10exvr5exxfed" timestamp="1474616270"&gt;127&lt;/key&gt;&lt;/foreign-keys&gt;&lt;ref-type name="Book"&gt;6&lt;/ref-type&gt;&lt;contributors&gt;&lt;authors&gt;&lt;author&gt;Forces in Mind Trust,&lt;/author&gt;&lt;/authors&gt;&lt;/contributors&gt;&lt;titles&gt;&lt;title&gt;The transition mapping study: understanding the transition process for service personnel returning to civilian life&lt;/title&gt;&lt;/titles&gt;&lt;dates&gt;&lt;year&gt;2013&lt;/year&gt;&lt;/dates&gt;&lt;pub-location&gt;London&lt;/pub-location&gt;&lt;publisher&gt;Forces in Mind Trust&lt;/publisher&gt;&lt;urls&gt;&lt;/urls&gt;&lt;/record&gt;&lt;/Cite&gt;&lt;/EndNote&gt;</w:instrText>
      </w:r>
      <w:r w:rsidRPr="005B0796">
        <w:fldChar w:fldCharType="separate"/>
      </w:r>
      <w:r w:rsidRPr="005B0796">
        <w:t>(Dobson et al., 2012; Forces in Mind Trust, 2013)</w:t>
      </w:r>
      <w:r w:rsidRPr="005B0796">
        <w:fldChar w:fldCharType="end"/>
      </w:r>
      <w:r w:rsidRPr="005B0796">
        <w:t xml:space="preserve">. Currently, approximately 5000 serving men and women (9%) transition out of the Regular ADF each year </w:t>
      </w:r>
      <w:r w:rsidRPr="005B0796">
        <w:fldChar w:fldCharType="begin"/>
      </w:r>
      <w:r w:rsidRPr="005B0796">
        <w:instrText xml:space="preserve"> ADDIN EN.CITE &lt;EndNote&gt;&lt;Cite&gt;&lt;Author&gt;Australian Government Department of Defence&lt;/Author&gt;&lt;Year&gt;2016&lt;/Year&gt;&lt;RecNum&gt;970&lt;/RecNum&gt;&lt;DisplayText&gt;(Australian Government Department of Defence, 2016)&lt;/DisplayText&gt;&lt;record&gt;&lt;rec-number&gt;970&lt;/rec-number&gt;&lt;foreign-keys&gt;&lt;key app="EN" db-id="arwdrezp9sdawxevtfyxtfw10exvr5exxfed" timestamp="1498617140"&gt;970&lt;/key&gt;&lt;/foreign-keys&gt;&lt;ref-type name="Book"&gt;6&lt;/ref-type&gt;&lt;contributors&gt;&lt;authors&gt;&lt;author&gt;Australian Government Department of Defence,&lt;/author&gt;&lt;/authors&gt;&lt;/contributors&gt;&lt;titles&gt;&lt;title&gt;Defence Annual Report 2015-2016&lt;/title&gt;&lt;/titles&gt;&lt;volume&gt;1&lt;/volume&gt;&lt;dates&gt;&lt;year&gt;2016&lt;/year&gt;&lt;/dates&gt;&lt;pub-location&gt;Canberra&lt;/pub-location&gt;&lt;publisher&gt;Department of Defence&lt;/publisher&gt;&lt;urls&gt;&lt;related-urls&gt;&lt;url&gt;http://www.defence.gov.au/AnnualReports/15-16/Downloads/DAR_2015-16_Vol1.pdf&lt;/url&gt;&lt;/related-urls&gt;&lt;/urls&gt;&lt;/record&gt;&lt;/Cite&gt;&lt;/EndNote&gt;</w:instrText>
      </w:r>
      <w:r w:rsidRPr="005B0796">
        <w:fldChar w:fldCharType="separate"/>
      </w:r>
      <w:r w:rsidRPr="005B0796">
        <w:t>(Australian Government Department of Defence, 2016)</w:t>
      </w:r>
      <w:r w:rsidRPr="005B0796">
        <w:fldChar w:fldCharType="end"/>
      </w:r>
      <w:r w:rsidRPr="005B0796">
        <w:t xml:space="preserve">. For example, </w:t>
      </w:r>
      <w:r w:rsidR="00FF4FBE">
        <w:t xml:space="preserve">between </w:t>
      </w:r>
      <w:r w:rsidRPr="005B0796">
        <w:t>2010</w:t>
      </w:r>
      <w:r w:rsidR="00FF4FBE">
        <w:t xml:space="preserve"> and </w:t>
      </w:r>
      <w:r w:rsidRPr="005B0796">
        <w:t>2014, more than 24,000 ADF members discharged completely or transitioned into the Reserves. This represents a significant number of Transitioned ADF members who are in the critical early stages of transitioning to civilian life and reintegrating into the community. Importantly, these individuals are in a range of age groups, with those transitioning into retirement representing only a small proportion. Instead, with an average length of military service of 10 years, most service leavers transition with the aim o</w:t>
      </w:r>
      <w:r w:rsidR="00FF4FBE">
        <w:t>f</w:t>
      </w:r>
      <w:r w:rsidRPr="005B0796">
        <w:t xml:space="preserve"> enter</w:t>
      </w:r>
      <w:r w:rsidR="00FF4FBE">
        <w:t>ing</w:t>
      </w:r>
      <w:r w:rsidRPr="005B0796">
        <w:t xml:space="preserve"> civilian occupations. </w:t>
      </w:r>
      <w:r w:rsidRPr="005B0796">
        <w:rPr>
          <w:bCs/>
        </w:rPr>
        <w:t>S</w:t>
      </w:r>
      <w:r w:rsidRPr="005B0796">
        <w:t>urprisingly, there is very little systematic research into the mental health and wellbeing of transitioning ADF members after they leave the ADF. This is despite widespread concern in the ex</w:t>
      </w:r>
      <w:r w:rsidRPr="005B0796">
        <w:noBreakHyphen/>
        <w:t xml:space="preserve">serving and broader community, and acknowledgment that the </w:t>
      </w:r>
      <w:r w:rsidRPr="005B0796">
        <w:rPr>
          <w:rFonts w:eastAsia="MS ??" w:cs="Calibri"/>
          <w:color w:val="000000" w:themeColor="text1"/>
          <w:szCs w:val="22"/>
        </w:rPr>
        <w:t>transition and reintegration into civilian life is also a significant stressor</w:t>
      </w:r>
      <w:r w:rsidRPr="005B0796">
        <w:t xml:space="preserve"> </w:t>
      </w:r>
      <w:r w:rsidRPr="005B0796">
        <w:fldChar w:fldCharType="begin">
          <w:fldData xml:space="preserve">PEVuZE5vdGU+PENpdGU+PEF1dGhvcj5Gb3JjZXMgaW4gTWluZCBUcnVzdDwvQXV0aG9yPjxZZWFy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</w:fldData>
        </w:fldChar>
      </w:r>
      <w:r w:rsidRPr="005B0796">
        <w:instrText xml:space="preserve"> ADDIN EN.CITE </w:instrText>
      </w:r>
      <w:r w:rsidRPr="005B0796">
        <w:fldChar w:fldCharType="begin">
          <w:fldData xml:space="preserve">PEVuZE5vdGU+PENpdGU+PEF1dGhvcj5Gb3JjZXMgaW4gTWluZCBUcnVzdDwvQXV0aG9yPjxZZWFy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</w:fldData>
        </w:fldChar>
      </w:r>
      <w:r w:rsidRPr="005B0796">
        <w:instrText xml:space="preserve"> ADDIN EN.CITE.DATA </w:instrText>
      </w:r>
      <w:r w:rsidRPr="005B0796">
        <w:fldChar w:fldCharType="end"/>
      </w:r>
      <w:r w:rsidRPr="005B0796">
        <w:fldChar w:fldCharType="separate"/>
      </w:r>
      <w:r w:rsidRPr="005B0796">
        <w:t>(Forces in Mind Trust, 2013; Pease et al., 2016)</w:t>
      </w:r>
      <w:r w:rsidRPr="005B0796">
        <w:fldChar w:fldCharType="end"/>
      </w:r>
      <w:r w:rsidRPr="005B0796">
        <w:t>.</w:t>
      </w:r>
    </w:p>
    <w:p w:rsidR="008756D4" w:rsidRPr="005B0796" w:rsidRDefault="008756D4" w:rsidP="008756D4">
      <w:r w:rsidRPr="005B0796">
        <w:t xml:space="preserve">Defence provides resilience, education, and early intervention and treatment programs to </w:t>
      </w:r>
      <w:r w:rsidR="00FF4FBE">
        <w:t>support the</w:t>
      </w:r>
      <w:r w:rsidRPr="005B0796">
        <w:t xml:space="preserve"> mental health o</w:t>
      </w:r>
      <w:r w:rsidR="00FF4FBE">
        <w:t>f</w:t>
      </w:r>
      <w:r w:rsidRPr="005B0796">
        <w:t xml:space="preserve"> ADF members. This support is provided through a stepped model of care. This model focuses on building awareness of maintaining good mental health, upskilling members to identify and manage their own or peers</w:t>
      </w:r>
      <w:r w:rsidR="00462A0C" w:rsidRPr="005B0796">
        <w:t>’</w:t>
      </w:r>
      <w:r w:rsidRPr="005B0796">
        <w:t xml:space="preserve"> mental health concerns, and providing evidence-based treatment and rehabilitation </w:t>
      </w:r>
      <w:r w:rsidRPr="005B0796">
        <w:fldChar w:fldCharType="begin"/>
      </w:r>
      <w:r w:rsidRPr="005B0796">
        <w:instrText xml:space="preserve"> ADDIN EN.CITE &lt;EndNote&gt;&lt;Cite&gt;&lt;Author&gt;Commonwealth of Australia&lt;/Author&gt;&lt;Year&gt;2017&lt;/Year&gt;&lt;RecNum&gt;975&lt;/RecNum&gt;&lt;DisplayText&gt;(Commonwealth of Australia, 2017)&lt;/DisplayText&gt;&lt;record&gt;&lt;rec-number&gt;975&lt;/rec-number&gt;&lt;foreign-keys&gt;&lt;key app="EN" db-id="arwdrezp9sdawxevtfyxtfw10exvr5exxfed" timestamp="1499128666"&gt;975&lt;/key&gt;&lt;/foreign-keys&gt;&lt;ref-type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5B0796">
        <w:fldChar w:fldCharType="separate"/>
      </w:r>
      <w:r w:rsidRPr="005B0796">
        <w:t>(Commonwealth of Australia, 2017)</w:t>
      </w:r>
      <w:r w:rsidRPr="005B0796">
        <w:fldChar w:fldCharType="end"/>
      </w:r>
      <w:r w:rsidRPr="005B0796">
        <w:t>.</w:t>
      </w:r>
    </w:p>
    <w:p w:rsidR="008756D4" w:rsidRPr="005B0796" w:rsidRDefault="008756D4" w:rsidP="008756D4">
      <w:r w:rsidRPr="005B0796">
        <w:t xml:space="preserve">As set out in the </w:t>
      </w:r>
      <w:bookmarkStart w:id="24" w:name="_Hlk489611438"/>
      <w:r w:rsidRPr="005B0796">
        <w:rPr>
          <w:i/>
        </w:rPr>
        <w:t>Veteran Mental Health Strategy: A Ten Year Framework – 2013-2023</w:t>
      </w:r>
      <w:bookmarkEnd w:id="24"/>
      <w:r w:rsidRPr="005B0796">
        <w:t>, DVA provides programs to maintain and enhance the health and wellbeing of ex</w:t>
      </w:r>
      <w:r w:rsidR="00FF4FBE">
        <w:noBreakHyphen/>
      </w:r>
      <w:r w:rsidRPr="005B0796">
        <w:t xml:space="preserve">serving members and their dependants. To achieve this, DVA has a system of healthcare and social support services that promote prevention, early intervention and treatment. This includes access to the </w:t>
      </w:r>
      <w:bookmarkStart w:id="25" w:name="_Hlk489611629"/>
      <w:r w:rsidRPr="005B0796">
        <w:t xml:space="preserve">Veterans and Veterans Families Counselling Service </w:t>
      </w:r>
      <w:bookmarkEnd w:id="25"/>
      <w:r w:rsidRPr="005B0796">
        <w:t xml:space="preserve">(VVCS), a community-based mental health service available to both serving and ex-serving members and their families. Importantly, many of these mental health supports can be accessed without a DVA determination on a compensation claim </w:t>
      </w:r>
      <w:r w:rsidRPr="005B0796">
        <w:fldChar w:fldCharType="begin"/>
      </w:r>
      <w:r w:rsidRPr="005B0796">
        <w:instrText xml:space="preserve"> ADDIN EN.CITE &lt;EndNote&gt;&lt;Cite&gt;&lt;Author&gt;Department of Veterans Affairs&lt;/Author&gt;&lt;Year&gt;2016&lt;/Year&gt;&lt;RecNum&gt;961&lt;/RecNum&gt;&lt;DisplayText&gt;(Department of Veterans Affairs, 2016)&lt;/DisplayText&gt;&lt;record&gt;&lt;rec-number&gt;961&lt;/rec-number&gt;&lt;foreign-keys&gt;&lt;key app="EN" db-id="arwdrezp9sdawxevtfyxtfw10exvr5exxfed" timestamp="1493778198"&gt;961&lt;/key&gt;&lt;/foreign-keys&gt;&lt;ref-type name="Web Page"&gt;12&lt;/ref-type&gt;&lt;contributors&gt;&lt;authors&gt;&lt;author&gt;Department of Veterans Affairs,&lt;/author&gt;&lt;/authors&gt;&lt;/contributors&gt;&lt;titles&gt;&lt;title&gt;Annual Reports 2015-16&lt;/title&gt;&lt;/titles&gt;&lt;dates&gt;&lt;year&gt;2016&lt;/year&gt;&lt;/dates&gt;&lt;pub-location&gt;Canberra&lt;/pub-location&gt;&lt;publisher&gt;Department of Veterans Affairs&lt;/publisher&gt;&lt;urls&gt;&lt;related-urls&gt;&lt;url&gt;https://www.dva.gov.au/sites/default/files/files/about%20dva/annual_report/2015-2016/annrep2015-16.pdf&lt;/url&gt;&lt;/related-urls&gt;&lt;/urls&gt;&lt;/record&gt;&lt;/Cite&gt;&lt;/EndNote&gt;</w:instrText>
      </w:r>
      <w:r w:rsidRPr="005B0796">
        <w:fldChar w:fldCharType="separate"/>
      </w:r>
      <w:r w:rsidRPr="005B0796">
        <w:t>(Department of Veterans Affairs, 2016)</w:t>
      </w:r>
      <w:r w:rsidRPr="005B0796">
        <w:fldChar w:fldCharType="end"/>
      </w:r>
      <w:r w:rsidRPr="005B0796">
        <w:t xml:space="preserve">. </w:t>
      </w:r>
    </w:p>
    <w:p w:rsidR="008756D4" w:rsidRPr="005B0796" w:rsidRDefault="008756D4" w:rsidP="008756D4">
      <w:r w:rsidRPr="005B0796">
        <w:t xml:space="preserve">Eligible veterans with an accepted disability are given either a DVA White Card – for treatment of disabilities that are accepted as service-related – or a DVA Gold Card – entitling the holder to access services for all clinically necessary healthcare needs, and all health conditions, whether or not they are related to war service </w:t>
      </w:r>
      <w:r w:rsidRPr="005B0796">
        <w:fldChar w:fldCharType="begin"/>
      </w:r>
      <w:r w:rsidRPr="005B0796">
        <w:instrText xml:space="preserve"> ADDIN EN.CITE &lt;EndNote&gt;&lt;Cite&gt;&lt;Author&gt;Department of Veterans Affairs&lt;/Author&gt;&lt;Year&gt;2017&lt;/Year&gt;&lt;RecNum&gt;976&lt;/RecNum&gt;&lt;DisplayText&gt;(Department of Veterans Affairs, 2017)&lt;/DisplayText&gt;&lt;record&gt;&lt;rec-number&gt;976&lt;/rec-number&gt;&lt;foreign-keys&gt;&lt;key app="EN" db-id="arwdrezp9sdawxevtfyxtfw10exvr5exxfed" timestamp="1499129268"&gt;976&lt;/key&gt;&lt;/foreign-keys&gt;&lt;ref-type name="Electronic Article"&gt;43&lt;/ref-type&gt;&lt;contributors&gt;&lt;authors&gt;&lt;author&gt;Department of Veterans Affairs,&lt;/author&gt;&lt;/authors&gt;&lt;/contributors&gt;&lt;titles&gt;&lt;title&gt;DVA Health cards summary&lt;/title&gt;&lt;/titles&gt;&lt;dates&gt;&lt;year&gt;2017&lt;/year&gt;&lt;/dates&gt;&lt;urls&gt;&lt;related-urls&gt;&lt;url&gt;https://www.dva.gov.au/providers/dva-health-cards&lt;/url&gt;&lt;/related-urls&gt;&lt;/urls&gt;&lt;/record&gt;&lt;/Cite&gt;&lt;/EndNote&gt;</w:instrText>
      </w:r>
      <w:r w:rsidRPr="005B0796">
        <w:fldChar w:fldCharType="separate"/>
      </w:r>
      <w:r w:rsidRPr="005B0796">
        <w:t>(Department of Veterans Affairs, 2017)</w:t>
      </w:r>
      <w:r w:rsidRPr="005B0796">
        <w:fldChar w:fldCharType="end"/>
      </w:r>
      <w:r w:rsidRPr="005B0796">
        <w:t>. Transitioned members who do not</w:t>
      </w:r>
      <w:r w:rsidR="00462A0C" w:rsidRPr="005B0796">
        <w:t xml:space="preserve"> </w:t>
      </w:r>
      <w:r w:rsidRPr="005B0796">
        <w:t>apply or are not eligible receive health care through either private health insurance or Medicare.</w:t>
      </w:r>
      <w:r w:rsidR="00462A0C" w:rsidRPr="005B0796">
        <w:t xml:space="preserve"> </w:t>
      </w:r>
      <w:r w:rsidRPr="005B0796">
        <w:t xml:space="preserve">The </w:t>
      </w:r>
      <w:r w:rsidRPr="005B0796">
        <w:rPr>
          <w:i/>
        </w:rPr>
        <w:t>Pathways to Care Report</w:t>
      </w:r>
      <w:r w:rsidRPr="005B0796">
        <w:t xml:space="preserve"> provides more detail about services provided by each department.</w:t>
      </w:r>
    </w:p>
    <w:p w:rsidR="008756D4" w:rsidRPr="005B0796" w:rsidRDefault="008756D4" w:rsidP="008756D4">
      <w:pPr>
        <w:pStyle w:val="Heading3"/>
      </w:pPr>
      <w:bookmarkStart w:id="26" w:name="_Toc487011161"/>
      <w:bookmarkStart w:id="27" w:name="_Toc494449677"/>
      <w:bookmarkStart w:id="28" w:name="_Toc511900259"/>
      <w:r w:rsidRPr="005B0796">
        <w:t>Mental health in the current Australian Defence Force</w:t>
      </w:r>
      <w:bookmarkEnd w:id="26"/>
      <w:bookmarkEnd w:id="27"/>
      <w:bookmarkEnd w:id="28"/>
    </w:p>
    <w:p w:rsidR="008756D4" w:rsidRPr="005B0796" w:rsidRDefault="008756D4" w:rsidP="008756D4">
      <w:r w:rsidRPr="005B0796">
        <w:t>A comprehensive examination of the mental health and wellbeing of a current serving ADF population was conducted through the Military Health Outcomes Programme (MilHOP). This program</w:t>
      </w:r>
      <w:r w:rsidR="00FF4FBE">
        <w:t>,</w:t>
      </w:r>
      <w:r w:rsidRPr="005B0796">
        <w:t xml:space="preserve"> conducted in 2010</w:t>
      </w:r>
      <w:r w:rsidR="00FF4FBE">
        <w:t>–</w:t>
      </w:r>
      <w:r w:rsidRPr="005B0796">
        <w:t>2012</w:t>
      </w:r>
      <w:r w:rsidR="00FF4FBE">
        <w:t>,</w:t>
      </w:r>
      <w:r w:rsidRPr="005B0796">
        <w:t xml:space="preserve"> provided prevalence estimates of 12</w:t>
      </w:r>
      <w:r w:rsidRPr="005B0796">
        <w:noBreakHyphen/>
        <w:t>month and lifetime diagnosable mental disorders in the Regular ADF in 2010 (2010 ADF Mental Health Prevalence and Wellbeing Study (2010 MHPWS)) and an understanding of deployment-related health issues following deployment to the M</w:t>
      </w:r>
      <w:r w:rsidR="00FF4FBE">
        <w:t>iddle East Area of Operations (M</w:t>
      </w:r>
      <w:r w:rsidRPr="005B0796">
        <w:t>EAO</w:t>
      </w:r>
      <w:r w:rsidR="00FF4FBE">
        <w:t>)</w:t>
      </w:r>
      <w:r w:rsidRPr="005B0796">
        <w:t xml:space="preserve"> (MEAO Census and </w:t>
      </w:r>
      <w:bookmarkStart w:id="29" w:name="_Hlk489612997"/>
      <w:r w:rsidRPr="005B0796">
        <w:t>MEAO Prospective Health Study</w:t>
      </w:r>
      <w:bookmarkEnd w:id="29"/>
      <w:r w:rsidRPr="005B0796">
        <w:t>).</w:t>
      </w:r>
    </w:p>
    <w:p w:rsidR="008756D4" w:rsidRPr="005B0796" w:rsidRDefault="008756D4" w:rsidP="008756D4">
      <w:r w:rsidRPr="005B0796">
        <w:t xml:space="preserve">The </w:t>
      </w:r>
      <w:r w:rsidRPr="005B0796">
        <w:rPr>
          <w:color w:val="000000" w:themeColor="text1"/>
        </w:rPr>
        <w:t xml:space="preserve">2010 MHPWS found that </w:t>
      </w:r>
      <w:r w:rsidRPr="005B0796">
        <w:t xml:space="preserve">22% of the 2010 Regular ADF met criteria for a mental disorder under the International Statistical Classification of Diseases and Related Health Problems – 10th Revision (ICD-10) in the previous 12 months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This rate was consistent with rates found in a matched Australian Community sample, but comprised a different profile of mental disorder, consistent with risks associated with military service. Rates of affective disorders were higher in the ADF (9.5%) than in the Australian Community (5.9%)</w:t>
      </w:r>
      <w:r w:rsidR="00FF4FBE">
        <w:t>,</w:t>
      </w:r>
      <w:r w:rsidRPr="005B0796">
        <w:t xml:space="preserve"> and rates of alcohol disorder were lower (5.2% in the ADF and 8.3% in the Australian Community). </w:t>
      </w:r>
    </w:p>
    <w:p w:rsidR="008756D4" w:rsidRPr="005B0796" w:rsidRDefault="008756D4" w:rsidP="008756D4">
      <w:r w:rsidRPr="005B0796">
        <w:t xml:space="preserve">In relation to age, rates of depression and anxiety in the ADF, particularly in members aged 18–37, were significantly greater than in the Australian Community </w:t>
      </w:r>
      <w:r w:rsidRPr="005B0796">
        <w:fldChar w:fldCharType="begin"/>
      </w:r>
      <w:r w:rsidRPr="005B0796">
        <w:instrText xml:space="preserve"> ADDIN EN.CITE &lt;EndNote&gt;&lt;Cite&gt;&lt;Author&gt;McFarlane&lt;/Author&gt;&lt;Year&gt;2013&lt;/Year&gt;&lt;RecNum&gt;395&lt;/RecNum&gt;&lt;DisplayText&gt;(McFarlane &amp;amp; Bryant, 2013; McFarlane et al., 2011)&lt;/DisplayText&gt;&lt;record&gt;&lt;rec-number&gt;395&lt;/rec-number&gt;&lt;foreign-keys&gt;&lt;key app="EN" db-id="arwdrezp9sdawxevtfyxtfw10exvr5exxfed" timestamp="1478147543"&gt;395&lt;/key&gt;&lt;/foreign-keys&gt;&lt;ref-type name="Book"&gt;6&lt;/ref-type&gt;&lt;contributors&gt;&lt;authors&gt;&lt;author&gt;McFarlane, A C.&lt;/author&gt;&lt;author&gt;Bryant, R.&lt;/author&gt;&lt;/authors&gt;&lt;/contributors&gt;&lt;titles&gt;&lt;title&gt;Predicted trajectories of morbidity for the Australian Defence Force&lt;/title&gt;&lt;/titles&gt;&lt;dates&gt;&lt;year&gt;2013&lt;/year&gt;&lt;/dates&gt;&lt;publisher&gt;Centre for Traumatic Stress Studies&lt;/publisher&gt;&lt;urls&gt;&lt;/urls&gt;&lt;/record&gt;&lt;/Cite&gt;&lt;Cite&gt;&lt;Author&gt;McFarlane&lt;/Author&gt;&lt;Year&gt;2011&lt;/Year&gt;&lt;RecNum&gt;260&lt;/RecNum&gt;&lt;record&gt;&lt;rec-number&gt;260&lt;/rec-number&gt;&lt;foreign-keys&gt;&lt;key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&amp; Bryant, 2013; McFarlane et al., 2011)</w:t>
      </w:r>
      <w:r w:rsidRPr="005B0796">
        <w:fldChar w:fldCharType="end"/>
      </w:r>
      <w:r w:rsidRPr="005B0796">
        <w:t xml:space="preserve">, with 10.8% of ADF males in 2010 aged 18–27 having an affective disorder compared to 5.8% of the Australian Community. The rate further increased in the 28–37 age group, where 28.3% of ADF males had an affective disorder compared to 6.4% of the Australian Community. These differences in rates fell in the 38–47 age group, where 7.1% of ADF males had an affective disorder in contrast to 5.1% in the Australian Community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A similar pattern emerged for anxiety disorders. In the 18–27 age group, there was virtually no difference between the 2010 Regular ADF and the Australian Community. However, in the 28–37 age group, 19.8% of ADF members had an anxiety disorder compared to 11.3% of the Australian Community. In the 38–47 age group, rates of anxiety slightly increased to 12.5% in the Australian Community compared to 12.9% in the ADF – significantly lower than in the 28–37 age group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w:t>
      </w:r>
    </w:p>
    <w:p w:rsidR="008756D4" w:rsidRPr="005B0796" w:rsidRDefault="008756D4" w:rsidP="008756D4">
      <w:r w:rsidRPr="005B0796">
        <w:t xml:space="preserve">The </w:t>
      </w:r>
      <w:r w:rsidRPr="005B0796">
        <w:rPr>
          <w:color w:val="000000" w:themeColor="text1"/>
        </w:rPr>
        <w:t>2010 MHPWS</w:t>
      </w:r>
      <w:r w:rsidRPr="005B0796">
        <w:t xml:space="preserve"> also found higher rates of lifetime trauma in the ADF compared to the Australian Community, with 2010 Regular ADF members more likely to have experienced life-threatening motor</w:t>
      </w:r>
      <w:r w:rsidR="00462A0C" w:rsidRPr="005B0796">
        <w:t xml:space="preserve"> </w:t>
      </w:r>
      <w:r w:rsidRPr="005B0796">
        <w:t>vehicle or other accidents, and to have been exposed to natural and man</w:t>
      </w:r>
      <w:r w:rsidRPr="005B0796">
        <w:noBreakHyphen/>
        <w:t xml:space="preserve">made disasters </w:t>
      </w:r>
      <w:r w:rsidRPr="005B0796">
        <w:fldChar w:fldCharType="begin"/>
      </w:r>
      <w:r w:rsidRPr="005B0796">
        <w:instrText xml:space="preserve"> ADDIN EN.CITE &lt;EndNote&gt;&lt;Cite&gt;&lt;Author&gt;Van Hooff&lt;/Author&gt;&lt;Year&gt;2012&lt;/Year&gt;&lt;RecNum&gt;613&lt;/RecNum&gt;&lt;DisplayText&gt;(Van Hooff et al., 2012)&lt;/DisplayText&gt;&lt;record&gt;&lt;rec-number&gt;613&lt;/rec-number&gt;&lt;foreign-keys&gt;&lt;key app="EN" db-id="arwdrezp9sdawxevtfyxtfw10exvr5exxfed" timestamp="1479951052"&gt;613&lt;/key&gt;&lt;/foreign-keys&gt;&lt;ref-type name="Book"&gt;6&lt;/ref-type&gt;&lt;contributors&gt;&lt;authors&gt;&lt;author&gt;Van Hooff, M. &lt;/author&gt;&lt;author&gt;McFarlane, A. C. &lt;/author&gt;&lt;author&gt;Lorimer, M. &lt;/author&gt;&lt;author&gt;Saccone, E. J.&lt;/author&gt;&lt;author&gt;Searle, A. K.&lt;/author&gt;&lt;author&gt;Fairweather-Schmidt, A. K. &lt;/author&gt;&lt;/authors&gt;&lt;/contributors&gt;&lt;titles&gt;&lt;title&gt;The prevalence of ICD 10 Trauma Exposure in the Australian Defence Force: Results from the 2010 ADF Mental Health Prevalence and Wellbeing Dataset&lt;/title&gt;&lt;secondary-title&gt;Report for Joint Health Command&lt;/secondary-title&gt;&lt;/titles&gt;&lt;dates&gt;&lt;year&gt;2012&lt;/year&gt;&lt;/dates&gt;&lt;pub-location&gt;Canberra.&lt;/pub-location&gt;&lt;publisher&gt;Department of Defence&lt;/publisher&gt;&lt;urls&gt;&lt;/urls&gt;&lt;/record&gt;&lt;/Cite&gt;&lt;/EndNote&gt;</w:instrText>
      </w:r>
      <w:r w:rsidRPr="005B0796">
        <w:fldChar w:fldCharType="separate"/>
      </w:r>
      <w:r w:rsidRPr="005B0796">
        <w:t>(Van Hooff et al., 2012)</w:t>
      </w:r>
      <w:r w:rsidRPr="005B0796">
        <w:fldChar w:fldCharType="end"/>
      </w:r>
      <w:r w:rsidRPr="005B0796">
        <w:t xml:space="preserve">. They were also more likely to have seen someone being badly injured or killed, and to have been mugged or subjected to violence. This illuminated the significant risks to future morbidity in the ADF arising not only from deployment-related traumatic stress, but also from traumatic stresses experienced when not on deployment and in their personal lives </w:t>
      </w:r>
      <w:r w:rsidRPr="005B0796">
        <w:fldChar w:fldCharType="begin">
          <w:fldData xml:space="preserve">PEVuZE5vdGU+PENpdGU+PEF1dGhvcj5EZWRlcnQ8L0F1dGhvcj48WWVhcj4yMDA5PC9ZZWFyPjxS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</w:fldData>
        </w:fldChar>
      </w:r>
      <w:r w:rsidRPr="005B0796">
        <w:instrText xml:space="preserve"> ADDIN EN.CITE </w:instrText>
      </w:r>
      <w:r w:rsidRPr="005B0796">
        <w:fldChar w:fldCharType="begin">
          <w:fldData xml:space="preserve">PEVuZE5vdGU+PENpdGU+PEF1dGhvcj5EZWRlcnQ8L0F1dGhvcj48WWVhcj4yMDA5PC9ZZWFyPjxS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</w:fldData>
        </w:fldChar>
      </w:r>
      <w:r w:rsidRPr="005B0796">
        <w:instrText xml:space="preserve"> ADDIN EN.CITE.DATA </w:instrText>
      </w:r>
      <w:r w:rsidRPr="005B0796">
        <w:fldChar w:fldCharType="end"/>
      </w:r>
      <w:r w:rsidRPr="005B0796">
        <w:fldChar w:fldCharType="separate"/>
      </w:r>
      <w:r w:rsidRPr="005B0796">
        <w:t>(Dedert et al., 2009; Searle et al., 2013)</w:t>
      </w:r>
      <w:r w:rsidRPr="005B0796">
        <w:fldChar w:fldCharType="end"/>
      </w:r>
      <w:r w:rsidRPr="005B0796">
        <w:t xml:space="preserve">. </w:t>
      </w:r>
    </w:p>
    <w:p w:rsidR="008756D4" w:rsidRPr="005B0796" w:rsidRDefault="008756D4" w:rsidP="008756D4">
      <w:r w:rsidRPr="005B0796">
        <w:t xml:space="preserve">Taken together, these results suggest the need to further examine the mental and physical health of Transitioned ADF members more closely. First, the presence of only a slight difference in rates of mental disorders between the ADF and the Australian Community in the 38–47 age group suggests that those who remain in the ADF are likely to be more resilient and to have completed earlier military service without developing significant symptoms. Moreover, these declining rates of mental disorder in the ADF suggest that those who developed mental disorders early in their career are likely to have left the ADF, meaning the morbidity related to their military service was no longer visible in a cross-sectional population study. This result cannot simply be explained by the general propensity of rates of depression to drop with age, as the decline over time is significantly greater in the ADF than in the Australian Community </w: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 </w:instrTex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EN.CITE.DATA </w:instrText>
      </w:r>
      <w:r w:rsidRPr="005B0796">
        <w:fldChar w:fldCharType="end"/>
      </w:r>
      <w:r w:rsidRPr="005B0796">
        <w:fldChar w:fldCharType="separate"/>
      </w:r>
      <w:r w:rsidRPr="005B0796">
        <w:t>(Slade et al., 2009)</w:t>
      </w:r>
      <w:r w:rsidRPr="005B0796">
        <w:fldChar w:fldCharType="end"/>
      </w:r>
      <w:r w:rsidRPr="005B0796">
        <w:t xml:space="preserve">. While </w:t>
      </w:r>
      <w:r w:rsidRPr="005B0796">
        <w:rPr>
          <w:color w:val="000000" w:themeColor="text1"/>
        </w:rPr>
        <w:t>DVA has visibility over current and former ADF members who are DVA clients, little is known about those who do not engage with DVA.</w:t>
      </w:r>
    </w:p>
    <w:p w:rsidR="008756D4" w:rsidRPr="005B0796" w:rsidRDefault="008756D4" w:rsidP="008756D4">
      <w:r w:rsidRPr="005B0796">
        <w:t xml:space="preserve">In addition, the increased rates of trauma exposure in the ADF indicate a general burden of trauma exposure in this population, which conveys long-term risk of mental disorder </w:t>
      </w:r>
      <w:r w:rsidRPr="005B0796">
        <w:fldChar w:fldCharType="begin">
          <w:fldData xml:space="preserve">PEVuZE5vdGU+PENpdGU+PEF1dGhvcj5EZWwgR2Fpem88L0F1dGhvcj48WWVhcj4yMDExPC9ZZWFy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</w:fldData>
        </w:fldChar>
      </w:r>
      <w:r w:rsidRPr="005B0796">
        <w:instrText xml:space="preserve"> ADDIN EN.CITE </w:instrText>
      </w:r>
      <w:r w:rsidRPr="005B0796">
        <w:fldChar w:fldCharType="begin">
          <w:fldData xml:space="preserve">PEVuZE5vdGU+PENpdGU+PEF1dGhvcj5EZWwgR2Fpem88L0F1dGhvcj48WWVhcj4yMDExPC9ZZWFy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</w:fldData>
        </w:fldChar>
      </w:r>
      <w:r w:rsidRPr="005B0796">
        <w:instrText xml:space="preserve"> ADDIN EN.CITE.DATA </w:instrText>
      </w:r>
      <w:r w:rsidRPr="005B0796">
        <w:fldChar w:fldCharType="end"/>
      </w:r>
      <w:r w:rsidRPr="005B0796">
        <w:fldChar w:fldCharType="separate"/>
      </w:r>
      <w:r w:rsidRPr="005B0796">
        <w:t>(Del Gaizo et al., 2011; Karam et al., 2014)</w:t>
      </w:r>
      <w:r w:rsidRPr="005B0796">
        <w:fldChar w:fldCharType="end"/>
      </w:r>
      <w:r w:rsidRPr="005B0796">
        <w:t xml:space="preserve">. When the 2010 MHPWS was conducted, it is probable that this risk had not fully manifested; however, with the passage of time, and through the effects of sensitisation (progressive amplification of responses brought about by repeated exposure to a stimulus), an increase in the emergence of symptoms and disorders is likely in this population. </w:t>
      </w:r>
    </w:p>
    <w:p w:rsidR="008756D4" w:rsidRPr="005B0796" w:rsidRDefault="008756D4" w:rsidP="008756D4">
      <w:pPr>
        <w:pStyle w:val="Heading3"/>
      </w:pPr>
      <w:bookmarkStart w:id="30" w:name="_Toc487011162"/>
      <w:bookmarkStart w:id="31" w:name="_Toc494449678"/>
      <w:bookmarkStart w:id="32" w:name="_Toc511900260"/>
      <w:r w:rsidRPr="005B0796">
        <w:t>Mental health in the Transitioned ADF</w:t>
      </w:r>
      <w:bookmarkEnd w:id="30"/>
      <w:bookmarkEnd w:id="31"/>
      <w:bookmarkEnd w:id="32"/>
    </w:p>
    <w:p w:rsidR="008756D4" w:rsidRPr="005B0796" w:rsidRDefault="008756D4" w:rsidP="008756D4">
      <w:r w:rsidRPr="005B0796">
        <w:t xml:space="preserve">Currently, the prevalence of diagnosed mental disorder in a representative cohort of Transitioned ADF members is unknown. However, research provides insight into the long-term impacts of military service in Australian deployed cohorts, with strong evidence of increasing rates of mental disorder over time. </w:t>
      </w:r>
    </w:p>
    <w:p w:rsidR="008756D4" w:rsidRPr="005B0796" w:rsidRDefault="008756D4" w:rsidP="008756D4">
      <w:r w:rsidRPr="005B0796">
        <w:rPr>
          <w:lang w:eastAsia="en-GB"/>
        </w:rPr>
        <w:t xml:space="preserve">For example, the MEAO Census and MEAO Prospective Health Study examined the health status of more than 14,000 Regular ADF and ex-serving ADF members deployed to the MEAO between 2001 and 2009. However, data collection was limited to deployed ADF members. Results of this study </w:t>
      </w:r>
      <w:r w:rsidRPr="005B0796">
        <w:t xml:space="preserve">identified poorer mental and general health among ADF members </w:t>
      </w:r>
      <w:bookmarkStart w:id="33" w:name="_Hlk489616207"/>
      <w:r w:rsidRPr="005B0796">
        <w:t xml:space="preserve">who had been discharged </w:t>
      </w:r>
      <w:bookmarkEnd w:id="33"/>
      <w:r w:rsidRPr="005B0796">
        <w:t xml:space="preserve">or transitioned into the Reserves compared to those who remained in service. </w:t>
      </w:r>
      <w:r w:rsidR="00FF4FBE" w:rsidRPr="005B0796">
        <w:t>Ex</w:t>
      </w:r>
      <w:r w:rsidRPr="005B0796">
        <w:t xml:space="preserve">-serving ADF members (OR 6.9, 95% CI, 5.6, 8.6), </w:t>
      </w:r>
      <w:r w:rsidRPr="005B0796">
        <w:rPr>
          <w:lang w:eastAsia="en-GB"/>
        </w:rPr>
        <w:t xml:space="preserve">Active Reservists (OR 2.5, 95% CI, 2.1, 2.9) and Inactive Reservists (OR 2.4, 95% CI, 2.0, 2.9) were significantly more likely to report more symptoms of posttraumatic stress disorder (PTSD) than Regular ADF members. </w:t>
      </w:r>
      <w:r w:rsidRPr="005B0796">
        <w:t xml:space="preserve">This pattern of significantly increased symptomatology in Ex-Serving, Active and Inactive Reservists compared to Regular ADF members was also observed for symptoms of major depressive disorder, alcohol misuse and suicidal ideation </w:t>
      </w:r>
      <w:r w:rsidRPr="005B0796">
        <w:fldChar w:fldCharType="begin"/>
      </w:r>
      <w:r w:rsidRPr="005B0796">
        <w:instrText xml:space="preserve"> ADDIN EN.CITE &lt;EndNote&gt;&lt;Cite&gt;&lt;Author&gt;Dobson&lt;/Author&gt;&lt;Year&gt;2012&lt;/Year&gt;&lt;RecNum&gt;440&lt;/RecNum&gt;&lt;DisplayText&gt;(Dobson et al., 2012)&lt;/DisplayText&gt;&lt;record&gt;&lt;rec-number&gt;440&lt;/rec-number&gt;&lt;foreign-keys&gt;&lt;key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Health.&lt;/publisher&gt;&lt;urls&gt;&lt;/urls&gt;&lt;/record&gt;&lt;/Cite&gt;&lt;/EndNote&gt;</w:instrText>
      </w:r>
      <w:r w:rsidRPr="005B0796">
        <w:fldChar w:fldCharType="separate"/>
      </w:r>
      <w:r w:rsidRPr="005B0796">
        <w:t>(Dobson et al., 2012)</w:t>
      </w:r>
      <w:r w:rsidRPr="005B0796">
        <w:fldChar w:fldCharType="end"/>
      </w:r>
      <w:r w:rsidRPr="005B0796">
        <w:t>. However, these ex-serving and transitioned ADF members comprised just one</w:t>
      </w:r>
      <w:r w:rsidRPr="005B0796">
        <w:noBreakHyphen/>
        <w:t xml:space="preserve">fifth of the total MEAO Census sample; therefore, overall, they represent only a small proportion of the 5000 ADF members who transition from the Regular ADF every year. </w:t>
      </w:r>
    </w:p>
    <w:p w:rsidR="008756D4" w:rsidRPr="005B0796" w:rsidRDefault="008756D4" w:rsidP="008756D4">
      <w:r w:rsidRPr="005B0796">
        <w:rPr>
          <w:rFonts w:cs="Calibri"/>
          <w:color w:val="000000" w:themeColor="text1"/>
        </w:rPr>
        <w:t xml:space="preserve">A 10-year follow-up health study of </w:t>
      </w:r>
      <w:r w:rsidRPr="005B0796">
        <w:t xml:space="preserve">Australian Gulf War veterans – conducted 10 years after a baseline study in 2000–2002 – produced similar findings. x-serving members accounted for a high proportion of the 715 veterans (five in six were no longer serving), who were compared to a matched group of 675 participants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 xml:space="preserve">. In this study, using the </w:t>
      </w:r>
      <w:r w:rsidR="00FF4FBE" w:rsidRPr="005B0796">
        <w:t>World Mental Health Survey Initiative Version of the World Health Organization Composite International Diagnostic Interview – version 3.0 (</w:t>
      </w:r>
      <w:r w:rsidRPr="005B0796">
        <w:t>CIDI</w:t>
      </w:r>
      <w:r w:rsidR="00FF4FBE">
        <w:t>)</w:t>
      </w:r>
      <w:r w:rsidRPr="005B0796">
        <w:t xml:space="preserve">, 7.3% of Gulf War veterans and 2.8% of the matched comparison group met criteria for 12-month PTSD 10 years after their initial assessment. Since the baseline study, new (incident) cases of PTSD were more likely to occur in Gulf War veterans than in the comparison group. In addition, the </w:t>
      </w:r>
      <w:r w:rsidRPr="005B0796">
        <w:rPr>
          <w:rFonts w:eastAsia="MS Mincho" w:cs="Arial"/>
        </w:rPr>
        <w:t>pattern of PTSD was more likely to persist and less likely to remit, with a</w:t>
      </w:r>
      <w:r w:rsidRPr="005B0796">
        <w:t xml:space="preserve"> four-fold increase in 12-month PTSD in Gulf War veterans over the 10-year follow-up period. </w:t>
      </w:r>
    </w:p>
    <w:p w:rsidR="008756D4" w:rsidRPr="005B0796" w:rsidRDefault="008756D4" w:rsidP="008756D4">
      <w:r w:rsidRPr="005B0796">
        <w:t>Additionally, in both groups, the prevalence of 12-month probable alcohol disorder approximately doubled in the 10-year period (from 3.1% to 6.3% for Gulf War veterans and 1.6% to 2.9% for the</w:t>
      </w:r>
      <w:r w:rsidR="00462A0C" w:rsidRPr="005B0796">
        <w:t xml:space="preserve"> </w:t>
      </w:r>
      <w:r w:rsidRPr="005B0796">
        <w:t xml:space="preserve">comparison group), and suicidal ideation and plans increased by 40% to 144% respectively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 xml:space="preserve">. </w:t>
      </w:r>
    </w:p>
    <w:p w:rsidR="008756D4" w:rsidRPr="005B0796" w:rsidRDefault="008756D4" w:rsidP="008756D4">
      <w:r w:rsidRPr="005B0796">
        <w:t xml:space="preserve">Finally, a recent Australian Institute of Health and Welfare (AIHW) report into suicide among in serving and ex-serving members examined the number of suicides of current, reserve and ex-serving ADF members between 2002 and 2014. Although suicide rates were 53% lower among ADF males serving full time and 46% lower among ADF male Reservists, the suicide rate for ex-serving ADF males was 13% higher than for males in the Australian population. There were significantly elevated rates of suicide in ex-serving men aged 18–24 (1.9 times higher) and 25–29 (1.5 times higher) than among men in the Australian Community. In 2002–2014, suicides were recorded for 84 current full-time serving ADF members, 66 ADF reserve members and 142 ex-serving ADF members </w:t>
      </w:r>
      <w:r w:rsidRPr="005B0796">
        <w:fldChar w:fldCharType="begin"/>
      </w:r>
      <w:r w:rsidRPr="005B0796">
        <w:instrText xml:space="preserve"> ADDIN EN.CITE &lt;EndNote&gt;&lt;Cite&gt;&lt;Author&gt;Australian Institute of Health and Welfare&lt;/Author&gt;&lt;Year&gt;2016&lt;/Year&gt;&lt;RecNum&gt;960&lt;/RecNum&gt;&lt;DisplayText&gt;(Australian Institute of Health and Welfare, 2016)&lt;/DisplayText&gt;&lt;record&gt;&lt;rec-number&gt;960&lt;/rec-number&gt;&lt;foreign-keys&gt;&lt;key app="EN" db-id="arwdrezp9sdawxevtfyxtfw10exvr5exxfed" timestamp="1493348595"&gt;960&lt;/key&gt;&lt;/foreign-keys&gt;&lt;ref-type name="Electronic Article"&gt;43&lt;/ref-type&gt;&lt;contributors&gt;&lt;authors&gt;&lt;author&gt;Australian Institute of Health and Welfare,&lt;/author&gt;&lt;/authors&gt;&lt;/contributors&gt;&lt;titles&gt;&lt;title&gt;Incidence of suicide among serving and ex-serving Australian Defence Force personnel 2001–2014. &lt;/title&gt;&lt;/titles&gt;&lt;dates&gt;&lt;year&gt;2016&lt;/year&gt;&lt;/dates&gt;&lt;pub-location&gt;Cat. no. PHE 212. Canberra&lt;/pub-location&gt;&lt;publisher&gt;Cat. no. PHE 212. Canberra: AIHW&lt;/publisher&gt;&lt;urls&gt;&lt;related-urls&gt;&lt;url&gt;Viewed 4 July 2017 &amp;lt;http://www.aihw.gov.au/publication-detail/?id=60129557674&amp;gt;.&lt;/url&gt;&lt;/related-urls&gt;&lt;/urls&gt;&lt;/record&gt;&lt;/Cite&gt;&lt;/EndNote&gt;</w:instrText>
      </w:r>
      <w:r w:rsidRPr="005B0796">
        <w:fldChar w:fldCharType="separate"/>
      </w:r>
      <w:r w:rsidRPr="005B0796">
        <w:t>(Australian Institute of Health and Welfare, 2016)</w:t>
      </w:r>
      <w:r w:rsidRPr="005B0796">
        <w:fldChar w:fldCharType="end"/>
      </w:r>
      <w:r w:rsidRPr="005B0796">
        <w:t>.</w:t>
      </w:r>
    </w:p>
    <w:p w:rsidR="008756D4" w:rsidRPr="005B0796" w:rsidRDefault="008756D4" w:rsidP="008756D4">
      <w:pPr>
        <w:pStyle w:val="Heading3"/>
        <w:rPr>
          <w:rFonts w:cs="Times New Roman"/>
        </w:rPr>
      </w:pPr>
      <w:bookmarkStart w:id="34" w:name="_Toc482021311"/>
      <w:bookmarkStart w:id="35" w:name="_Toc482024402"/>
      <w:bookmarkStart w:id="36" w:name="_Toc487011163"/>
      <w:bookmarkStart w:id="37" w:name="_Toc494449679"/>
      <w:bookmarkStart w:id="38" w:name="_Toc511900261"/>
      <w:r w:rsidRPr="005B0796">
        <w:t>Impact of transition from full-time military service</w:t>
      </w:r>
      <w:bookmarkEnd w:id="34"/>
      <w:bookmarkEnd w:id="35"/>
      <w:r w:rsidRPr="005B0796">
        <w:t>: International literature</w:t>
      </w:r>
      <w:bookmarkEnd w:id="36"/>
      <w:bookmarkEnd w:id="37"/>
      <w:bookmarkEnd w:id="38"/>
    </w:p>
    <w:p w:rsidR="008756D4" w:rsidRPr="005B0796" w:rsidRDefault="008756D4" w:rsidP="008756D4">
      <w:pPr>
        <w:rPr>
          <w:rFonts w:asciiTheme="majorHAnsi" w:hAnsiTheme="majorHAnsi"/>
        </w:rPr>
      </w:pPr>
      <w:r w:rsidRPr="005B0796">
        <w:t xml:space="preserve">Transition from military service is an emerging field of international </w:t>
      </w:r>
      <w:r w:rsidRPr="005B0796">
        <w:rPr>
          <w:rFonts w:asciiTheme="minorHAnsi" w:hAnsiTheme="minorHAnsi"/>
        </w:rPr>
        <w:t>research and a relatively new concept in our</w:t>
      </w:r>
      <w:r w:rsidRPr="005B0796">
        <w:t xml:space="preserve"> understanding of the mental health and wellbeing of military members </w:t>
      </w:r>
      <w:r w:rsidRPr="005B0796">
        <w:rPr>
          <w:rFonts w:cs="Calibri"/>
        </w:rPr>
        <w:fldChar w:fldCharType="begin"/>
      </w:r>
      <w:r w:rsidRPr="005B0796">
        <w:rPr>
          <w:rFonts w:cs="Calibri"/>
        </w:rPr>
        <w:instrText xml:space="preserve"> ADDIN EN.CITE &lt;EndNote&gt;&lt;Cite&gt;&lt;Author&gt;Shi</w:instrText>
      </w:r>
      <w:r w:rsidR="00FF4FBE">
        <w:rPr>
          <w:rFonts w:cs="Calibri"/>
        </w:rPr>
        <w:instrText>e</w:instrText>
      </w:r>
      <w:r w:rsidRPr="005B0796">
        <w:rPr>
          <w:rFonts w:cs="Calibri"/>
        </w:rPr>
        <w:instrText>lds&lt;/Author&gt;&lt;Year&gt;2016&lt;/Year&gt;&lt;RecNum&gt;124&lt;/RecNum&gt;&lt;DisplayText&gt;(Shi</w:instrText>
      </w:r>
      <w:r w:rsidR="00FF4FBE">
        <w:rPr>
          <w:rFonts w:cs="Calibri"/>
        </w:rPr>
        <w:instrText>e</w:instrText>
      </w:r>
      <w:r w:rsidRPr="005B0796">
        <w:rPr>
          <w:rFonts w:cs="Calibri"/>
        </w:rPr>
        <w:instrText>lds et al., 2016)&lt;/DisplayText&gt;&lt;record&gt;&lt;rec-number&gt;124&lt;/rec-number&gt;&lt;foreign-keys&gt;&lt;key app="EN" db-id="arwdrezp9sdawxevtfyxtfw10exvr5exxfed" timestamp="1474609064"&gt;124&lt;/key&gt;&lt;/foreign-keys&gt;&lt;ref-type name="Book"&gt;6&lt;/ref-type&gt;&lt;contributors&gt;&lt;authors&gt;&lt;author&gt;Shi</w:instrText>
      </w:r>
      <w:r w:rsidR="00FF4FBE">
        <w:rPr>
          <w:rFonts w:cs="Calibri"/>
        </w:rPr>
        <w:instrText>e</w:instrText>
      </w:r>
      <w:r w:rsidRPr="005B0796">
        <w:rPr>
          <w:rFonts w:cs="Calibri"/>
        </w:rPr>
        <w:instrText>lds, D.M.&lt;/author&gt;&lt;author&gt;Kuhl,D.&lt;/author&gt;&lt;author&gt;Lutz, K.&lt;/author&gt;&lt;author&gt;Freder,J.&lt;/author&gt;&lt;author&gt;Baumann, N.&lt;/author&gt;&lt;author&gt;Lopresti, P.&lt;/author&gt;&lt;/authors&gt;&lt;/contributors&gt;&lt;titles&gt;&lt;title&gt;Mental health and well-being of military veterans during military to civilian transition: review and analysis of the recent literature&lt;/title&gt;&lt;/titles&gt;&lt;dates&gt;&lt;year&gt;2016&lt;/year&gt;&lt;/dates&gt;&lt;pub-location&gt;Canada&lt;/pub-location&gt;&lt;publisher&gt;Canadian Institute for Military and Veteran Health Research &amp;amp; Scientific Authority, Veterans Affairs Canada&lt;/publisher&gt;&lt;urls&gt;&lt;/urls&gt;&lt;/record&gt;&lt;/Cite&gt;&lt;/EndNote&gt;</w:instrText>
      </w:r>
      <w:r w:rsidRPr="005B0796">
        <w:rPr>
          <w:rFonts w:cs="Calibri"/>
        </w:rPr>
        <w:fldChar w:fldCharType="separate"/>
      </w:r>
      <w:r w:rsidRPr="005B0796">
        <w:rPr>
          <w:rFonts w:cs="Calibri"/>
        </w:rPr>
        <w:t>(Shi</w:t>
      </w:r>
      <w:r w:rsidR="00FF4FBE">
        <w:rPr>
          <w:rFonts w:cs="Calibri"/>
        </w:rPr>
        <w:t>e</w:t>
      </w:r>
      <w:r w:rsidRPr="005B0796">
        <w:rPr>
          <w:rFonts w:cs="Calibri"/>
        </w:rPr>
        <w:t>lds et al., 2016)</w:t>
      </w:r>
      <w:r w:rsidRPr="005B0796">
        <w:rPr>
          <w:rFonts w:cs="Calibri"/>
        </w:rPr>
        <w:fldChar w:fldCharType="end"/>
      </w:r>
      <w:r w:rsidRPr="005B0796">
        <w:rPr>
          <w:rFonts w:cs="Calibri"/>
        </w:rPr>
        <w:t xml:space="preserve">. There remains a </w:t>
      </w:r>
      <w:r w:rsidRPr="005B0796">
        <w:rPr>
          <w:rFonts w:eastAsia="MS ??" w:cs="Calibri"/>
        </w:rPr>
        <w:t xml:space="preserve">lack of consensus on the meaning, definition and terminology used to describe the transition process in different countries </w:t>
      </w:r>
      <w:r w:rsidRPr="005B0796">
        <w:rPr>
          <w:rFonts w:eastAsia="MS ??" w:cs="Calibri"/>
        </w:rPr>
        <w:fldChar w:fldCharType="begin"/>
      </w:r>
      <w:r w:rsidRPr="005B0796">
        <w:rPr>
          <w:rFonts w:eastAsia="MS ??" w:cs="Calibri"/>
        </w:rPr>
        <w:instrText xml:space="preserve"> ADDIN EN.CITE &lt;EndNote&gt;&lt;Cite&gt;&lt;Author&gt;Ray&lt;/Author&gt;&lt;Year&gt;2011&lt;/Year&gt;&lt;RecNum&gt;34&lt;/RecNum&gt;&lt;DisplayText&gt;(Ray &amp;amp; Heaslip, 2011)&lt;/DisplayText&gt;&lt;record&gt;&lt;rec-number&gt;34&lt;/rec-number&gt;&lt;foreign-keys&gt;&lt;key app="EN" db-id="arwdrezp9sdawxevtfyxtfw10exvr5exxfed" timestamp="1473833608"&gt;34&lt;/key&gt;&lt;/foreign-keys&gt;&lt;ref-type name="Journal Article"&gt;17&lt;/ref-type&gt;&lt;contributors&gt;&lt;authors&gt;&lt;author&gt;Ray, S. L.&lt;/author&gt;&lt;author&gt;Heaslip, K.&lt;/author&gt;&lt;/authors&gt;&lt;/contributors&gt;&lt;auth-address&gt;University of Western Ontario, Faculty of Health Sciences, School of Nursing, London, ON, Canada. slray@uwo.ca&lt;/auth-address&gt;&lt;titles&gt;&lt;title&gt;Canadian military transitioning to civilian life: a discussion paper&lt;/title&gt;&lt;secondary-title&gt;J Psychiatr Ment Health Nurs&lt;/secondary-title&gt;&lt;/titles&gt;&lt;periodical&gt;&lt;full-title&gt;J Psychiatr Ment Health Nurs&lt;/full-title&gt;&lt;/periodical&gt;&lt;pages&gt;198-204&lt;/pages&gt;&lt;volume&gt;18&lt;/volume&gt;&lt;number&gt;3&lt;/number&gt;&lt;keywords&gt;&lt;keyword&gt;*Adaptation, Psychological&lt;/keyword&gt;&lt;keyword&gt;Canada&lt;/keyword&gt;&lt;keyword&gt;Cultural Competency&lt;/keyword&gt;&lt;keyword&gt;Humans&lt;/keyword&gt;&lt;keyword&gt;*Needs Assessment&lt;/keyword&gt;&lt;keyword&gt;*Nursing Care&lt;/keyword&gt;&lt;keyword&gt;*Social Adjustment&lt;/keyword&gt;&lt;keyword&gt;Stress Disorders, Post-Traumatic/prevention &amp;amp; control&lt;/keyword&gt;&lt;keyword&gt;Substance-Related Disorders/prevention &amp;amp; control&lt;/keyword&gt;&lt;keyword&gt;Veterans/*psychology&lt;/keyword&gt;&lt;/keywords&gt;&lt;dates&gt;&lt;year&gt;2011&lt;/year&gt;&lt;pub-dates&gt;&lt;date&gt;Apr&lt;/date&gt;&lt;/pub-dates&gt;&lt;/dates&gt;&lt;isbn&gt;1365-2850 (Electronic)&amp;#xD;1351-0126 (Linking)&lt;/isbn&gt;&lt;accession-num&gt;21395911&lt;/accession-num&gt;&lt;urls&gt;&lt;related-urls&gt;&lt;url&gt;http://www.ncbi.nlm.nih.gov/pubmed/21395911&lt;/url&gt;&lt;url&gt;http://onlinelibrary.wiley.com/store/10.1111/j.1365-2850.2010.01652.x/asset/j.1365-2850.2010.01652.x.pdf?v=1&amp;amp;t=ircvs38w&amp;amp;s=59a19544b84e6d36d4cf1beb1cdaf812a89fa852&lt;/url&gt;&lt;url&gt;http://onlinelibrary.wiley.com/store/10.1111/j.1365-2850.2010.01652.x/asset/j.1365-2850.2010.01652.x.pdf?v=1&amp;amp;t=it2j5eu0&amp;amp;s=0bcc869d40744812aa7ecae0da4093eaaa9de828&lt;/url&gt;&lt;/related-urls&gt;&lt;/urls&gt;&lt;electronic-resource-num&gt;10.1111/j.1365-2850.2010.01652.x&lt;/electronic-resource-num&gt;&lt;/record&gt;&lt;/Cite&gt;&lt;/EndNote&gt;</w:instrText>
      </w:r>
      <w:r w:rsidRPr="005B0796">
        <w:rPr>
          <w:rFonts w:eastAsia="MS ??" w:cs="Calibri"/>
        </w:rPr>
        <w:fldChar w:fldCharType="separate"/>
      </w:r>
      <w:r w:rsidRPr="005B0796">
        <w:rPr>
          <w:rFonts w:eastAsia="MS ??" w:cs="Calibri"/>
        </w:rPr>
        <w:t>(Ray &amp; Heaslip, 2011)</w:t>
      </w:r>
      <w:r w:rsidRPr="005B0796">
        <w:rPr>
          <w:rFonts w:eastAsia="MS ??" w:cs="Calibri"/>
        </w:rPr>
        <w:fldChar w:fldCharType="end"/>
      </w:r>
      <w:r w:rsidRPr="005B0796">
        <w:rPr>
          <w:rFonts w:eastAsia="MS ??" w:cs="Calibri"/>
        </w:rPr>
        <w:t xml:space="preserve">. The literature considers various transition periods, ranging from up to six months before release from service (typically referred to as the peri-release period) until approximately five years after release </w:t>
      </w:r>
      <w:r w:rsidRPr="005B0796">
        <w:rPr>
          <w:rFonts w:eastAsia="MS ??" w:cs="Calibri"/>
        </w:rPr>
        <w:fldChar w:fldCharType="begin"/>
      </w:r>
      <w:r w:rsidRPr="005B0796">
        <w:rPr>
          <w:rFonts w:eastAsia="MS ??" w:cs="Calibri"/>
        </w:rPr>
        <w:instrText xml:space="preserve"> ADDIN EN.CITE &lt;EndNote&gt;&lt;Cite&gt;&lt;Author&gt;Pedlar&lt;/Author&gt;&lt;Year&gt;2016&lt;/Year&gt;&lt;RecNum&gt;126&lt;/RecNum&gt;&lt;DisplayText&gt;(Pedlar &amp;amp; Thompson, 2016; Shi</w:instrText>
      </w:r>
      <w:r w:rsidR="00FF4FBE">
        <w:rPr>
          <w:rFonts w:eastAsia="MS ??" w:cs="Calibri"/>
        </w:rPr>
        <w:instrText>e</w:instrText>
      </w:r>
      <w:r w:rsidRPr="005B0796">
        <w:rPr>
          <w:rFonts w:eastAsia="MS ??" w:cs="Calibri"/>
        </w:rPr>
        <w:instrText>lds et al., 2016)&lt;/DisplayText&gt;&lt;record&gt;&lt;rec-number&gt;126&lt;/rec-number&gt;&lt;foreign-keys&gt;&lt;key app="EN" db-id="arwdrezp9sdawxevtfyxtfw10exvr5exxfed" timestamp="1474612569"&gt;126&lt;/key&gt;&lt;/foreign-keys&gt;&lt;ref-type name="Electronic Book"&gt;44&lt;/ref-type&gt;&lt;contributors&gt;&lt;authors&gt;&lt;author&gt;Pedlar, D&lt;/author&gt;&lt;author&gt;Thompson, J.M.&lt;/author&gt;&lt;/authors&gt;&lt;/contributors&gt;&lt;titles&gt;&lt;title&gt;Toward a Military-Civilain Transiton theory and conceptual framework: report of the International Summit held at the University of Southern California in March 2016.&lt;/title&gt;&lt;/titles&gt;&lt;dates&gt;&lt;year&gt;2016&lt;/year&gt;&lt;/dates&gt;&lt;pub-location&gt;Los Angeles, CA.&lt;/pub-location&gt;&lt;publisher&gt;University of Southern CAlifornia&lt;/publisher&gt;&lt;urls&gt;&lt;/urls&gt;&lt;/record&gt;&lt;/Cite&gt;&lt;Cite&gt;&lt;Author&gt;Shi</w:instrText>
      </w:r>
      <w:r w:rsidR="00FF4FBE">
        <w:rPr>
          <w:rFonts w:eastAsia="MS ??" w:cs="Calibri"/>
        </w:rPr>
        <w:instrText>e</w:instrText>
      </w:r>
      <w:r w:rsidRPr="005B0796">
        <w:rPr>
          <w:rFonts w:eastAsia="MS ??" w:cs="Calibri"/>
        </w:rPr>
        <w:instrText>lds&lt;/Author&gt;&lt;Year&gt;2016&lt;/Year&gt;&lt;RecNum&gt;124&lt;/RecNum&gt;&lt;record&gt;&lt;rec-number&gt;124&lt;/rec-number&gt;&lt;foreign-keys&gt;&lt;key app="EN" db-id="arwdrezp9sdawxevtfyxtfw10exvr5exxfed" timestamp="1474609064"&gt;124&lt;/key&gt;&lt;/foreign-keys&gt;&lt;ref-type name="Book"&gt;6&lt;/ref-type&gt;&lt;contributors&gt;&lt;authors&gt;&lt;author&gt;Shi</w:instrText>
      </w:r>
      <w:r w:rsidR="00FF4FBE">
        <w:rPr>
          <w:rFonts w:eastAsia="MS ??" w:cs="Calibri"/>
        </w:rPr>
        <w:instrText>e</w:instrText>
      </w:r>
      <w:r w:rsidRPr="005B0796">
        <w:rPr>
          <w:rFonts w:eastAsia="MS ??" w:cs="Calibri"/>
        </w:rPr>
        <w:instrText>lds, D.M.&lt;/author&gt;&lt;author&gt;Kuhl,D.&lt;/author&gt;&lt;author&gt;Lutz, K.&lt;/author&gt;&lt;author&gt;Freder,J.&lt;/author&gt;&lt;author&gt;Baumann, N.&lt;/author&gt;&lt;author&gt;Lopresti, P.&lt;/author&gt;&lt;/authors&gt;&lt;/contributors&gt;&lt;titles&gt;&lt;title&gt;Mental health and well-being of military veterans during military to civilian transition: review and analysis of the recent literature&lt;/title&gt;&lt;/titles&gt;&lt;dates&gt;&lt;year&gt;2016&lt;/year&gt;&lt;/dates&gt;&lt;pub-location&gt;Canada&lt;/pub-location&gt;&lt;publisher&gt;Canadian Institute for Military and Veteran Health Research &amp;amp; Scientific Authority, Veterans Affairs Canada&lt;/publisher&gt;&lt;urls&gt;&lt;/urls&gt;&lt;/record&gt;&lt;/Cite&gt;&lt;/EndNote&gt;</w:instrText>
      </w:r>
      <w:r w:rsidRPr="005B0796">
        <w:rPr>
          <w:rFonts w:eastAsia="MS ??" w:cs="Calibri"/>
        </w:rPr>
        <w:fldChar w:fldCharType="separate"/>
      </w:r>
      <w:r w:rsidRPr="005B0796">
        <w:rPr>
          <w:rFonts w:eastAsia="MS ??" w:cs="Calibri"/>
        </w:rPr>
        <w:t>(Pedlar &amp; Thompson, 2016; Shi</w:t>
      </w:r>
      <w:r w:rsidR="00FF4FBE">
        <w:rPr>
          <w:rFonts w:eastAsia="MS ??" w:cs="Calibri"/>
        </w:rPr>
        <w:t>e</w:t>
      </w:r>
      <w:r w:rsidRPr="005B0796">
        <w:rPr>
          <w:rFonts w:eastAsia="MS ??" w:cs="Calibri"/>
        </w:rPr>
        <w:t>lds et al., 2016)</w:t>
      </w:r>
      <w:r w:rsidRPr="005B0796">
        <w:rPr>
          <w:rFonts w:eastAsia="MS ??" w:cs="Calibri"/>
        </w:rPr>
        <w:fldChar w:fldCharType="end"/>
      </w:r>
      <w:r w:rsidRPr="005B0796">
        <w:rPr>
          <w:rFonts w:eastAsia="MS ??" w:cs="Calibri"/>
        </w:rPr>
        <w:t xml:space="preserve">, with </w:t>
      </w:r>
      <w:r w:rsidRPr="005B0796">
        <w:rPr>
          <w:rFonts w:asciiTheme="minorHAnsi" w:hAnsiTheme="minorHAnsi"/>
        </w:rPr>
        <w:t xml:space="preserve">no standard start or end to transition </w:t>
      </w:r>
      <w:r w:rsidRPr="005B0796">
        <w:rPr>
          <w:rFonts w:asciiTheme="minorHAnsi" w:hAnsiTheme="minorHAnsi"/>
        </w:rPr>
        <w:fldChar w:fldCharType="begin"/>
      </w:r>
      <w:r w:rsidRPr="005B0796">
        <w:rPr>
          <w:rFonts w:asciiTheme="minorHAnsi" w:hAnsiTheme="minorHAnsi"/>
        </w:rPr>
        <w:instrText xml:space="preserve"> ADDIN EN.CITE &lt;EndNote&gt;&lt;Cite&gt;&lt;Author&gt;Pedlar&lt;/Author&gt;&lt;Year&gt;2016&lt;/Year&gt;&lt;RecNum&gt;126&lt;/RecNum&gt;&lt;DisplayText&gt;(Pedlar &amp;amp; Thompson, 2016)&lt;/DisplayText&gt;&lt;record&gt;&lt;rec-number&gt;126&lt;/rec-number&gt;&lt;foreign-keys&gt;&lt;key app="EN" db-id="arwdrezp9sdawxevtfyxtfw10exvr5exxfed" timestamp="1474612569"&gt;126&lt;/key&gt;&lt;/foreign-keys&gt;&lt;ref-type name="Electronic Book"&gt;44&lt;/ref-type&gt;&lt;contributors&gt;&lt;authors&gt;&lt;author&gt;Pedlar, D&lt;/author&gt;&lt;author&gt;Thompson, J.M.&lt;/author&gt;&lt;/authors&gt;&lt;/contributors&gt;&lt;titles&gt;&lt;title&gt;Toward a Military-Civilain Transiton theory and conceptual framework: report of the International Summit held at the University of Southern California in March 2016.&lt;/title&gt;&lt;/titles&gt;&lt;dates&gt;&lt;year&gt;2016&lt;/year&gt;&lt;/dates&gt;&lt;pub-location&gt;Los Angeles, CA.&lt;/pub-location&gt;&lt;publisher&gt;University of Southern CAlifornia&lt;/publisher&gt;&lt;urls&gt;&lt;/urls&gt;&lt;/record&gt;&lt;/Cite&gt;&lt;/EndNote&gt;</w:instrText>
      </w:r>
      <w:r w:rsidRPr="005B0796">
        <w:rPr>
          <w:rFonts w:asciiTheme="minorHAnsi" w:hAnsiTheme="minorHAnsi"/>
        </w:rPr>
        <w:fldChar w:fldCharType="separate"/>
      </w:r>
      <w:r w:rsidRPr="005B0796">
        <w:rPr>
          <w:rFonts w:asciiTheme="minorHAnsi" w:hAnsiTheme="minorHAnsi"/>
        </w:rPr>
        <w:t>(Pedlar &amp; Thompson, 2016)</w:t>
      </w:r>
      <w:r w:rsidRPr="005B0796">
        <w:rPr>
          <w:rFonts w:asciiTheme="minorHAnsi" w:hAnsiTheme="minorHAnsi"/>
        </w:rPr>
        <w:fldChar w:fldCharType="end"/>
      </w:r>
      <w:r w:rsidRPr="005B0796">
        <w:rPr>
          <w:rFonts w:asciiTheme="minorHAnsi" w:hAnsiTheme="minorHAnsi"/>
        </w:rPr>
        <w:t>.</w:t>
      </w:r>
      <w:r w:rsidRPr="005B0796">
        <w:rPr>
          <w:rFonts w:asciiTheme="majorHAnsi" w:hAnsiTheme="majorHAnsi"/>
        </w:rPr>
        <w:t xml:space="preserve"> </w:t>
      </w:r>
      <w:r w:rsidRPr="005B0796">
        <w:rPr>
          <w:rFonts w:eastAsia="MS ??" w:cs="Calibri"/>
        </w:rPr>
        <w:t xml:space="preserve">The five-year post-service time frame is one of the only relatively consistent features of early transition across studies. Similarly, there is worldwide variation in how service leavers, veterans and ex-serving members are defined </w:t>
      </w:r>
      <w:r w:rsidRPr="005B0796">
        <w:rPr>
          <w:rFonts w:eastAsia="MS ??" w:cs="Calibri"/>
        </w:rPr>
        <w:fldChar w:fldCharType="begin"/>
      </w:r>
      <w:r w:rsidRPr="005B0796">
        <w:rPr>
          <w:rFonts w:eastAsia="MS ??" w:cs="Calibri"/>
        </w:rPr>
        <w:instrText xml:space="preserve"> ADDIN EN.CITE &lt;EndNote&gt;&lt;Cite&gt;&lt;Author&gt;Burdett&lt;/Author&gt;&lt;Year&gt;2013&lt;/Year&gt;&lt;RecNum&gt;684&lt;/RecNum&gt;&lt;DisplayText&gt;(Burdett et al., 2013; Commonwealth of Australia, 2013)&lt;/DisplayText&gt;&lt;record&gt;&lt;rec-number&gt;684&lt;/rec-number&gt;&lt;foreign-keys&gt;&lt;key app="EN" db-id="arwdrezp9sdawxevtfyxtfw10exvr5exxfed" timestamp="1488860880"&gt;684&lt;/key&gt;&lt;/foreign-keys&gt;&lt;ref-type name="Journal Article"&gt;17&lt;/ref-type&gt;&lt;contributors&gt;&lt;authors&gt;&lt;author&gt;Burdett, Howard&lt;/author&gt;&lt;author&gt;Woodhead, Charlotte&lt;/author&gt;&lt;author&gt;Iversen, Amy C.&lt;/author&gt;&lt;author&gt;Wessely, Simon&lt;/author&gt;&lt;author&gt;Dandeker, Christopher&lt;/author&gt;&lt;author&gt;Fear, Nicola T.&lt;/author&gt;&lt;/authors&gt;&lt;/contributors&gt;&lt;titles&gt;&lt;title&gt;“Are You a Veteran?” Understanding of the Term “Veteran” among UK Ex-Service Personnel: A Research Note&lt;/title&gt;&lt;secondary-title&gt;Armed Forces &amp;amp; Society&lt;/secondary-title&gt;&lt;/titles&gt;&lt;periodical&gt;&lt;full-title&gt;Armed Forces &amp;amp; Society&lt;/full-title&gt;&lt;/periodical&gt;&lt;pages&gt;751-759&lt;/pages&gt;&lt;volume&gt;39&lt;/volume&gt;&lt;number&gt;4&lt;/number&gt;&lt;dates&gt;&lt;year&gt;2013&lt;/year&gt;&lt;pub-dates&gt;&lt;date&gt;October 1, 2013&lt;/date&gt;&lt;/pub-dates&gt;&lt;/dates&gt;&lt;urls&gt;&lt;related-urls&gt;&lt;url&gt;http://afs.sagepub.com/cgi/content/abstract/39/4/751&lt;/url&gt;&lt;/related-urls&gt;&lt;/urls&gt;&lt;electronic-resource-num&gt;10.1177/0095327x12452033&lt;/electronic-resource-num&gt;&lt;/record&gt;&lt;/Cite&gt;&lt;Cite&gt;&lt;Author&gt;Commonwealth of Australia&lt;/Author&gt;&lt;Year&gt;2013&lt;/Year&gt;&lt;RecNum&gt;387&lt;/RecNum&gt;&lt;record&gt;&lt;rec-number&gt;387&lt;/rec-number&gt;&lt;foreign-keys&gt;&lt;key app="EN" db-id="arwdrezp9sdawxevtfyxtfw10exvr5exxfed" timestamp="1477609600"&gt;387&lt;/key&gt;&lt;/foreign-keys&gt;&lt;ref-type name="Book"&gt;6&lt;/ref-type&gt;&lt;contributors&gt;&lt;authors&gt;&lt;author&gt;Commonwealth of Australia,&lt;/author&gt;&lt;/authors&gt;&lt;/contributors&gt;&lt;titles&gt;&lt;title&gt;Veteran Mental Health Strategy: A ten year framwork 2013-2023.&lt;/title&gt;&lt;/titles&gt;&lt;dates&gt;&lt;year&gt;2013&lt;/year&gt;&lt;/dates&gt;&lt;pub-location&gt;Canberra&lt;/pub-location&gt;&lt;publisher&gt;Department of Veteran&amp;apos;s Affairs&lt;/publisher&gt;&lt;urls&gt;&lt;/urls&gt;&lt;/record&gt;&lt;/Cite&gt;&lt;/EndNote&gt;</w:instrText>
      </w:r>
      <w:r w:rsidRPr="005B0796">
        <w:rPr>
          <w:rFonts w:eastAsia="MS ??" w:cs="Calibri"/>
        </w:rPr>
        <w:fldChar w:fldCharType="separate"/>
      </w:r>
      <w:r w:rsidRPr="005B0796">
        <w:rPr>
          <w:rFonts w:eastAsia="MS ??" w:cs="Calibri"/>
        </w:rPr>
        <w:t>(Burdett et al., 2013; Commonwealth of Australia, 2013)</w:t>
      </w:r>
      <w:r w:rsidRPr="005B0796">
        <w:rPr>
          <w:rFonts w:eastAsia="MS ??" w:cs="Calibri"/>
        </w:rPr>
        <w:fldChar w:fldCharType="end"/>
      </w:r>
      <w:r w:rsidRPr="005B0796">
        <w:rPr>
          <w:rFonts w:eastAsia="MS ??" w:cs="Calibri"/>
        </w:rPr>
        <w:t>. This makes it particularly difficult to directly compare research findings of different</w:t>
      </w:r>
      <w:r w:rsidR="00462A0C" w:rsidRPr="005B0796">
        <w:rPr>
          <w:rFonts w:eastAsia="MS ??" w:cs="Calibri"/>
        </w:rPr>
        <w:t xml:space="preserve"> </w:t>
      </w:r>
      <w:r w:rsidRPr="005B0796">
        <w:rPr>
          <w:rFonts w:eastAsia="MS ??" w:cs="Calibri"/>
        </w:rPr>
        <w:t xml:space="preserve">countries, which, in turn, impedes our understanding of the concept of transition </w:t>
      </w:r>
      <w:r w:rsidRPr="005B0796">
        <w:rPr>
          <w:rFonts w:eastAsia="MS ??" w:cs="Calibri"/>
        </w:rPr>
        <w:fldChar w:fldCharType="begin"/>
      </w:r>
      <w:r w:rsidRPr="005B0796">
        <w:rPr>
          <w:rFonts w:eastAsia="MS ??" w:cs="Calibri"/>
        </w:rPr>
        <w:instrText xml:space="preserve"> ADDIN EN.CITE &lt;EndNote&gt;&lt;Cite&gt;&lt;Author&gt;Shi</w:instrText>
      </w:r>
      <w:r w:rsidR="00FF4FBE">
        <w:rPr>
          <w:rFonts w:eastAsia="MS ??" w:cs="Calibri"/>
        </w:rPr>
        <w:instrText>e</w:instrText>
      </w:r>
      <w:r w:rsidRPr="005B0796">
        <w:rPr>
          <w:rFonts w:eastAsia="MS ??" w:cs="Calibri"/>
        </w:rPr>
        <w:instrText>lds&lt;/Author&gt;&lt;Year&gt;2016&lt;/Year&gt;&lt;RecNum&gt;124&lt;/RecNum&gt;&lt;DisplayText&gt;(Shi</w:instrText>
      </w:r>
      <w:r w:rsidR="00FF4FBE">
        <w:rPr>
          <w:rFonts w:eastAsia="MS ??" w:cs="Calibri"/>
        </w:rPr>
        <w:instrText>e</w:instrText>
      </w:r>
      <w:r w:rsidRPr="005B0796">
        <w:rPr>
          <w:rFonts w:eastAsia="MS ??" w:cs="Calibri"/>
        </w:rPr>
        <w:instrText>lds et al., 2016)&lt;/DisplayText&gt;&lt;record&gt;&lt;rec-number&gt;124&lt;/rec-number&gt;&lt;foreign-keys&gt;&lt;key app="EN" db-id="arwdrezp9sdawxevtfyxtfw10exvr5exxfed" timestamp="1474609064"&gt;124&lt;/key&gt;&lt;/foreign-keys&gt;&lt;ref-type name="Book"&gt;6&lt;/ref-type&gt;&lt;contributors&gt;&lt;authors&gt;&lt;author&gt;Shi</w:instrText>
      </w:r>
      <w:r w:rsidR="00FF4FBE">
        <w:rPr>
          <w:rFonts w:eastAsia="MS ??" w:cs="Calibri"/>
        </w:rPr>
        <w:instrText>e</w:instrText>
      </w:r>
      <w:r w:rsidRPr="005B0796">
        <w:rPr>
          <w:rFonts w:eastAsia="MS ??" w:cs="Calibri"/>
        </w:rPr>
        <w:instrText>lds, D.M.&lt;/author&gt;&lt;author&gt;Kuhl,D.&lt;/author&gt;&lt;author&gt;Lutz, K.&lt;/author&gt;&lt;author&gt;Freder,J.&lt;/author&gt;&lt;author&gt;Baumann, N.&lt;/author&gt;&lt;author&gt;Lopresti, P.&lt;/author&gt;&lt;/authors&gt;&lt;/contributors&gt;&lt;titles&gt;&lt;title&gt;Mental health and well-being of military veterans during military to civilian transition: review and analysis of the recent literature&lt;/title&gt;&lt;/titles&gt;&lt;dates&gt;&lt;year&gt;2016&lt;/year&gt;&lt;/dates&gt;&lt;pub-location&gt;Canada&lt;/pub-location&gt;&lt;publisher&gt;Canadian Institute for Military and Veteran Health Research &amp;amp; Scientific Authority, Veterans Affairs Canada&lt;/publisher&gt;&lt;urls&gt;&lt;/urls&gt;&lt;/record&gt;&lt;/Cite&gt;&lt;/EndNote&gt;</w:instrText>
      </w:r>
      <w:r w:rsidRPr="005B0796">
        <w:rPr>
          <w:rFonts w:eastAsia="MS ??" w:cs="Calibri"/>
        </w:rPr>
        <w:fldChar w:fldCharType="separate"/>
      </w:r>
      <w:r w:rsidRPr="005B0796">
        <w:rPr>
          <w:rFonts w:eastAsia="MS ??" w:cs="Calibri"/>
        </w:rPr>
        <w:t>(Shi</w:t>
      </w:r>
      <w:r w:rsidR="00FF4FBE">
        <w:rPr>
          <w:rFonts w:eastAsia="MS ??" w:cs="Calibri"/>
        </w:rPr>
        <w:t>e</w:t>
      </w:r>
      <w:r w:rsidRPr="005B0796">
        <w:rPr>
          <w:rFonts w:eastAsia="MS ??" w:cs="Calibri"/>
        </w:rPr>
        <w:t>lds et al., 2016)</w:t>
      </w:r>
      <w:r w:rsidRPr="005B0796">
        <w:rPr>
          <w:rFonts w:eastAsia="MS ??" w:cs="Calibri"/>
        </w:rPr>
        <w:fldChar w:fldCharType="end"/>
      </w:r>
      <w:r w:rsidRPr="005B0796">
        <w:rPr>
          <w:rFonts w:eastAsia="MS ??" w:cs="Calibri"/>
        </w:rPr>
        <w:t xml:space="preserve">. </w:t>
      </w:r>
    </w:p>
    <w:p w:rsidR="008756D4" w:rsidRPr="005B0796" w:rsidRDefault="008756D4" w:rsidP="008756D4">
      <w:r w:rsidRPr="005B0796">
        <w:t xml:space="preserve">Despite this lack of consensus around theoretical framework, definition and terminology, the period of transition from military to civilian life is quickly becoming recognised as one of the most significant and stressful transitions in the life course of military members worldwide. Many service leavers make the transition from military service with relative ease, with an estimated 60% to 75% internationally reporting an easy adjustment to civilian life </w:t>
      </w:r>
      <w:r w:rsidRPr="005B0796">
        <w:fldChar w:fldCharType="begin">
          <w:fldData xml:space="preserve">PEVuZE5vdGU+PENpdGU+PEF1dGhvcj5QZXcgUmVzZWFyY2ggQ2VudGVyPC9BdXRob3I+PFllYXI+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</w:fldData>
        </w:fldChar>
      </w:r>
      <w:r w:rsidRPr="005B0796">
        <w:instrText xml:space="preserve"> ADDIN EN.CITE </w:instrText>
      </w:r>
      <w:r w:rsidRPr="005B0796">
        <w:fldChar w:fldCharType="begin">
          <w:fldData xml:space="preserve">PEVuZE5vdGU+PENpdGU+PEF1dGhvcj5QZXcgUmVzZWFyY2ggQ2VudGVyPC9BdXRob3I+PFllYXI+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</w:fldData>
        </w:fldChar>
      </w:r>
      <w:r w:rsidRPr="005B0796">
        <w:instrText xml:space="preserve"> ADDIN EN.CITE.DATA </w:instrText>
      </w:r>
      <w:r w:rsidRPr="005B0796">
        <w:fldChar w:fldCharType="end"/>
      </w:r>
      <w:r w:rsidRPr="005B0796">
        <w:fldChar w:fldCharType="separate"/>
      </w:r>
      <w:r w:rsidRPr="005B0796">
        <w:t>(Pew Research Center, 2011; Thompson et al., 2011a; Van Til et al., 2014a)</w:t>
      </w:r>
      <w:r w:rsidRPr="005B0796">
        <w:fldChar w:fldCharType="end"/>
      </w:r>
      <w:r w:rsidRPr="005B0796">
        <w:t xml:space="preserve">. However, others, particularly those who developed mental health symptoms or disorders before discharge, may struggle with the adjustment to civilian life </w:t>
      </w:r>
      <w:r w:rsidRPr="005B0796">
        <w:fldChar w:fldCharType="begin">
          <w:fldData xml:space="preserve">PEVuZE5vdGU+PENpdGU+PEF1dGhvcj5Db2xsPC9BdXRob3I+PFllYXI+MjAxMTwvWWVhcj48UmVj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==
</w:fldData>
        </w:fldChar>
      </w:r>
      <w:r w:rsidRPr="005B0796">
        <w:instrText xml:space="preserve"> ADDIN EN.CITE </w:instrText>
      </w:r>
      <w:r w:rsidRPr="005B0796">
        <w:fldChar w:fldCharType="begin">
          <w:fldData xml:space="preserve">PEVuZE5vdGU+PENpdGU+PEF1dGhvcj5Db2xsPC9BdXRob3I+PFllYXI+MjAxMTwvWWVhcj48UmVj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==
</w:fldData>
        </w:fldChar>
      </w:r>
      <w:r w:rsidRPr="005B0796">
        <w:instrText xml:space="preserve"> ADDIN EN.CITE.DATA </w:instrText>
      </w:r>
      <w:r w:rsidRPr="005B0796">
        <w:fldChar w:fldCharType="end"/>
      </w:r>
      <w:r w:rsidRPr="005B0796">
        <w:fldChar w:fldCharType="separate"/>
      </w:r>
      <w:r w:rsidRPr="005B0796">
        <w:t>(Coll et al., 2011; Department of Veterans Affairs, 2016; Institute of Medicine, 2013; Iversen et al., 2005a; Kukla et al., 2015; Pease et al., 2016; Sayer et al., 2014; Tanielian &amp; Jaycox, 2008)</w:t>
      </w:r>
      <w:r w:rsidRPr="005B0796">
        <w:fldChar w:fldCharType="end"/>
      </w:r>
      <w:r w:rsidRPr="005B0796">
        <w:t xml:space="preserve">. The transition period brings significant changes in identity, community, residence, social networks, status, family roles, occupation, finances, routines, responsibilities, supports and culture </w:t>
      </w:r>
      <w:r w:rsidRPr="005B0796">
        <w:fldChar w:fldCharType="begin">
          <w:fldData xml:space="preserve">PEVuZE5vdGU+PENpdGU+PEF1dGhvcj5EZW1lcnM8L0F1dGhvcj48WWVhcj4yMDExPC9ZZWFyPjxS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</w:fldData>
        </w:fldChar>
      </w:r>
      <w:r w:rsidRPr="005B0796">
        <w:instrText xml:space="preserve"> ADDIN EN.CITE </w:instrText>
      </w:r>
      <w:r w:rsidRPr="005B0796">
        <w:fldChar w:fldCharType="begin">
          <w:fldData xml:space="preserve">PEVuZE5vdGU+PENpdGU+PEF1dGhvcj5EZW1lcnM8L0F1dGhvcj48WWVhcj4yMDExPC9ZZWFyPjxS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</w:fldData>
        </w:fldChar>
      </w:r>
      <w:r w:rsidRPr="005B0796">
        <w:instrText xml:space="preserve"> ADDIN EN.CITE.DATA </w:instrText>
      </w:r>
      <w:r w:rsidRPr="005B0796">
        <w:fldChar w:fldCharType="end"/>
      </w:r>
      <w:r w:rsidRPr="005B0796">
        <w:fldChar w:fldCharType="separate"/>
      </w:r>
      <w:r w:rsidRPr="005B0796">
        <w:t>(Demers, 2011; Sayer et al., 2014; Sayer et al., 2010; Hatch et al., 2013; Harvey et al., 2011)</w:t>
      </w:r>
      <w:r w:rsidRPr="005B0796">
        <w:fldChar w:fldCharType="end"/>
      </w:r>
      <w:r w:rsidRPr="005B0796">
        <w:t xml:space="preserve">. These changes have the potential to manifest in the development of psychosocial adjustment issues. These can range from employment difficulties to family and/or relationship conflict, mental health and substance abuse problems and criminal offending. Obstacles and stress in multiple domains also place individuals at significant risk of poor outcomes </w:t>
      </w:r>
      <w:r w:rsidRPr="005B0796">
        <w:fldChar w:fldCharType="begin">
          <w:fldData xml:space="preserve">PEVuZE5vdGU+PENpdGU+PEF1dGhvcj5QZWRsYXI8L0F1dGhvcj48WWVhcj4yMDE2PC9ZZWFyPjxS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</w:fldData>
        </w:fldChar>
      </w:r>
      <w:r w:rsidRPr="005B0796">
        <w:instrText xml:space="preserve"> ADDIN EN.CITE </w:instrText>
      </w:r>
      <w:r w:rsidRPr="005B0796">
        <w:fldChar w:fldCharType="begin">
          <w:fldData xml:space="preserve">PEVuZE5vdGU+PENpdGU+PEF1dGhvcj5QZWRsYXI8L0F1dGhvcj48WWVhcj4yMDE2PC9ZZWFyPjxS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</w:fldData>
        </w:fldChar>
      </w:r>
      <w:r w:rsidRPr="005B0796">
        <w:instrText xml:space="preserve"> ADDIN EN.CITE.DATA </w:instrText>
      </w:r>
      <w:r w:rsidRPr="005B0796">
        <w:fldChar w:fldCharType="end"/>
      </w:r>
      <w:r w:rsidRPr="005B0796">
        <w:fldChar w:fldCharType="separate"/>
      </w:r>
      <w:r w:rsidRPr="005B0796">
        <w:t>(Pedlar &amp; Thompson, 2016; Shi</w:t>
      </w:r>
      <w:r w:rsidR="00FF4FBE">
        <w:t>e</w:t>
      </w:r>
      <w:r w:rsidRPr="005B0796">
        <w:t>lds et al., 2016; Bergman et al., 2014; Castro &amp; Kintzle, 2014; Coll et al., 2011; Pease et al., 2016; Burdett et al., 2013; Wainwright et al., 2016)</w:t>
      </w:r>
      <w:r w:rsidRPr="005B0796">
        <w:fldChar w:fldCharType="end"/>
      </w:r>
      <w:r w:rsidRPr="005B0796">
        <w:t xml:space="preserve">. </w:t>
      </w:r>
    </w:p>
    <w:p w:rsidR="008756D4" w:rsidRPr="005B0796" w:rsidRDefault="008756D4" w:rsidP="008756D4">
      <w:r w:rsidRPr="005B0796">
        <w:t>Additionally, during the transition process individuals also actively re</w:t>
      </w:r>
      <w:r w:rsidRPr="005B0796">
        <w:noBreakHyphen/>
        <w:t xml:space="preserve">establish or connect with civilian healthcare and other service providers </w:t>
      </w:r>
      <w:r w:rsidR="00FF4FBE">
        <w:t>that</w:t>
      </w:r>
      <w:r w:rsidRPr="005B0796">
        <w:t xml:space="preserve"> are largely unknown to them, making it challenging to access appropriate care. These factors make this initial transition period a critical time for optimising the physical, mental and social health and wellbeing of transitioned military members. While it is recognised that, as with all life transitions, some degree of struggle is normal, the normative course of adaptation during the transition period remains poorly understood </w:t>
      </w:r>
      <w:r w:rsidRPr="005B0796">
        <w:fldChar w:fldCharType="begin"/>
      </w:r>
      <w:r w:rsidRPr="005B0796">
        <w:instrText xml:space="preserve"> ADDIN EN.CITE &lt;EndNote&gt;&lt;Cite&gt;&lt;Author&gt;Shi</w:instrText>
      </w:r>
      <w:r w:rsidR="00FF4FBE">
        <w:instrText>e</w:instrText>
      </w:r>
      <w:r w:rsidRPr="005B0796">
        <w:instrText>lds&lt;/Author&gt;&lt;Year&gt;2016&lt;/Year&gt;&lt;RecNum&gt;124&lt;/RecNum&gt;&lt;DisplayText&gt;(Shi</w:instrText>
      </w:r>
      <w:r w:rsidR="00FF4FBE">
        <w:instrText>e</w:instrText>
      </w:r>
      <w:r w:rsidRPr="005B0796">
        <w:instrText>lds et al., 2016)&lt;/DisplayText&gt;&lt;record&gt;&lt;rec-number&gt;124&lt;/rec-number&gt;&lt;foreign-keys&gt;&lt;key app="EN" db-id="arwdrezp9sdawxevtfyxtfw10exvr5exxfed" timestamp="1474609064"&gt;124&lt;/key&gt;&lt;/foreign-keys&gt;&lt;ref-type name="Book"&gt;6&lt;/ref-type&gt;&lt;contributors&gt;&lt;authors&gt;&lt;author&gt;Shi</w:instrText>
      </w:r>
      <w:r w:rsidR="00FF4FBE">
        <w:instrText>e</w:instrText>
      </w:r>
      <w:r w:rsidRPr="005B0796">
        <w:instrText>lds, D.M.&lt;/author&gt;&lt;author&gt;Kuhl,D.&lt;/author&gt;&lt;author&gt;Lutz, K.&lt;/author&gt;&lt;author&gt;Freder,J.&lt;/author&gt;&lt;author&gt;Baumann, N.&lt;/author&gt;&lt;author&gt;Lopresti, P.&lt;/author&gt;&lt;/authors&gt;&lt;/contributors&gt;&lt;titles&gt;&lt;title&gt;Mental health and well-being of military veterans during military to civilian transition: review and analysis of the recent literature&lt;/title&gt;&lt;/titles&gt;&lt;dates&gt;&lt;year&gt;2016&lt;/year&gt;&lt;/dates&gt;&lt;pub-location&gt;Canada&lt;/pub-location&gt;&lt;publisher&gt;Canadian Institute for Military and Veteran Health Research &amp;amp; Scientific Authority, Veterans Affairs Canada&lt;/publisher&gt;&lt;urls&gt;&lt;/urls&gt;&lt;/record&gt;&lt;/Cite&gt;&lt;/EndNote&gt;</w:instrText>
      </w:r>
      <w:r w:rsidRPr="005B0796">
        <w:fldChar w:fldCharType="separate"/>
      </w:r>
      <w:r w:rsidRPr="005B0796">
        <w:t>(Shi</w:t>
      </w:r>
      <w:r w:rsidR="00FF4FBE">
        <w:t>e</w:t>
      </w:r>
      <w:r w:rsidRPr="005B0796">
        <w:t>lds et al., 2016)</w:t>
      </w:r>
      <w:r w:rsidRPr="005B0796">
        <w:fldChar w:fldCharType="end"/>
      </w:r>
      <w:r w:rsidRPr="005B0796">
        <w:t>.</w:t>
      </w:r>
    </w:p>
    <w:p w:rsidR="008756D4" w:rsidRPr="005B0796" w:rsidRDefault="008756D4" w:rsidP="008756D4">
      <w:pPr>
        <w:rPr>
          <w:rFonts w:cs="Calibri"/>
        </w:rPr>
      </w:pPr>
      <w:r w:rsidRPr="005B0796">
        <w:rPr>
          <w:rFonts w:cstheme="minorHAnsi"/>
        </w:rPr>
        <w:t>Similar to the</w:t>
      </w:r>
      <w:r w:rsidRPr="005B0796">
        <w:t xml:space="preserve"> Australian experience, international research has mainly focused on the impact of service on military members in specific deployments</w:t>
      </w:r>
      <w:r w:rsidRPr="005B0796">
        <w:rPr>
          <w:rFonts w:cs="Calibri"/>
        </w:rPr>
        <w:t xml:space="preserve"> (for example, </w:t>
      </w:r>
      <w:bookmarkStart w:id="39" w:name="_Hlk489623056"/>
      <w:r w:rsidRPr="005B0796">
        <w:rPr>
          <w:rFonts w:cs="Calibri"/>
        </w:rPr>
        <w:t xml:space="preserve">Operation Enduring Freedom </w:t>
      </w:r>
      <w:bookmarkEnd w:id="39"/>
      <w:r w:rsidRPr="005B0796">
        <w:rPr>
          <w:rFonts w:cs="Calibri"/>
        </w:rPr>
        <w:t xml:space="preserve">(OEF) and </w:t>
      </w:r>
      <w:bookmarkStart w:id="40" w:name="_Hlk489623098"/>
      <w:r w:rsidRPr="005B0796">
        <w:rPr>
          <w:rFonts w:cs="Calibri"/>
        </w:rPr>
        <w:t xml:space="preserve">Operation Iraqi Freedom </w:t>
      </w:r>
      <w:bookmarkEnd w:id="40"/>
      <w:r w:rsidRPr="005B0796">
        <w:rPr>
          <w:rFonts w:cs="Calibri"/>
        </w:rPr>
        <w:t>(OIF)). While a number of these studies include current and Ex</w:t>
      </w:r>
      <w:r w:rsidRPr="005B0796">
        <w:rPr>
          <w:rFonts w:cs="Calibri"/>
        </w:rPr>
        <w:noBreakHyphen/>
        <w:t xml:space="preserve">Serving contingents, comprehensive research studies on representative cohorts of transitioned military populations remain scarce, with existing studies plagued by conflicting results, largely due to differences in sampling and research methodologies. </w:t>
      </w:r>
    </w:p>
    <w:p w:rsidR="008756D4" w:rsidRPr="005B0796" w:rsidRDefault="008756D4" w:rsidP="008756D4">
      <w:r w:rsidRPr="005B0796">
        <w:rPr>
          <w:rFonts w:cs="Calibri"/>
        </w:rPr>
        <w:t xml:space="preserve">For example, a number of studies reported that the rates of PTSD – with and without comorbid depression </w:t>
      </w:r>
      <w:r w:rsidRPr="005B0796">
        <w:t xml:space="preserve">and self-harm/attempted suicide – among transitioned members were almost double those of current serving members </w:t>
      </w:r>
      <w:r w:rsidRPr="005B0796">
        <w:fldChar w:fldCharType="begin">
          <w:fldData xml:space="preserve">PEVuZE5vdGU+PENpdGU+PEF1dGhvcj5IYXRjaDwvQXV0aG9yPjxZZWFyPjIwMTM8L1llYXI+PFJl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</w:fldData>
        </w:fldChar>
      </w:r>
      <w:r w:rsidRPr="005B0796">
        <w:instrText xml:space="preserve"> ADDIN EN.CITE </w:instrText>
      </w:r>
      <w:r w:rsidRPr="005B0796">
        <w:fldChar w:fldCharType="begin">
          <w:fldData xml:space="preserve">PEVuZE5vdGU+PENpdGU+PEF1dGhvcj5IYXRjaDwvQXV0aG9yPjxZZWFyPjIwMTM8L1llYXI+PFJl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</w:fldData>
        </w:fldChar>
      </w:r>
      <w:r w:rsidRPr="005B0796">
        <w:instrText xml:space="preserve"> ADDIN EN.CITE.DATA </w:instrText>
      </w:r>
      <w:r w:rsidRPr="005B0796">
        <w:fldChar w:fldCharType="end"/>
      </w:r>
      <w:r w:rsidRPr="005B0796">
        <w:fldChar w:fldCharType="separate"/>
      </w:r>
      <w:r w:rsidRPr="005B0796">
        <w:t>(Hatch et al., 2013; Jones et al., 2013; Pinder et al., 2012a)</w:t>
      </w:r>
      <w:r w:rsidRPr="005B0796">
        <w:fldChar w:fldCharType="end"/>
      </w:r>
      <w:r w:rsidRPr="005B0796">
        <w:t xml:space="preserve">. However, other studies report the prevalence of mental disorders as similar across both groups </w:t>
      </w:r>
      <w:r w:rsidRPr="005B0796">
        <w:fldChar w:fldCharType="begin"/>
      </w:r>
      <w:r w:rsidRPr="005B0796">
        <w:instrText xml:space="preserve"> ADDIN EN.CITE &lt;EndNote&gt;&lt;Cite&gt;&lt;Author&gt;Fear&lt;/Author&gt;&lt;Year&gt;2009&lt;/Year&gt;&lt;RecNum&gt;125&lt;/RecNum&gt;&lt;DisplayText&gt;(Fear et al., 2009)&lt;/DisplayText&gt;&lt;record&gt;&lt;rec-number&gt;125&lt;/rec-number&gt;&lt;foreign-keys&gt;&lt;key app="EN" db-id="arwdrezp9sdawxevtfyxtfw10exvr5exxfed" timestamp="1474609493"&gt;125&lt;/key&gt;&lt;/foreign-keys&gt;&lt;ref-type name="Electronic Book"&gt;44&lt;/ref-type&gt;&lt;contributors&gt;&lt;authors&gt;&lt;author&gt;Fear, N. T.&lt;/author&gt;&lt;author&gt;Wood, D.&lt;/author&gt;&lt;author&gt;Wessley, S.&lt;/author&gt;&lt;/authors&gt;&lt;/contributors&gt;&lt;titles&gt;&lt;title&gt;Health and social outcomes and health service experiences of UK military veterans&lt;/title&gt;&lt;/titles&gt;&lt;dates&gt;&lt;year&gt;2009&lt;/year&gt;&lt;/dates&gt;&lt;pub-location&gt;UK&lt;/pub-location&gt;&lt;publisher&gt;The King&amp;apos;s Centre for Military Health Research&lt;/publisher&gt;&lt;urls&gt;&lt;related-urls&gt;&lt;url&gt;https://www.researchgate.net/publication/265323223_Health_and_Social_Outcomes_and_Health_Service_Experiences_of_UK_Military_Veterans&lt;/url&gt;&lt;/related-urls&gt;&lt;/urls&gt;&lt;custom2&gt;23.9.16&lt;/custom2&gt;&lt;/record&gt;&lt;/Cite&gt;&lt;/EndNote&gt;</w:instrText>
      </w:r>
      <w:r w:rsidRPr="005B0796">
        <w:fldChar w:fldCharType="separate"/>
      </w:r>
      <w:r w:rsidRPr="005B0796">
        <w:t>(Fear et al., 2009)</w:t>
      </w:r>
      <w:r w:rsidRPr="005B0796">
        <w:fldChar w:fldCharType="end"/>
      </w:r>
      <w:r w:rsidRPr="005B0796">
        <w:t xml:space="preserve"> or greater in current serving compared to transitioned members, or they report very specific differences in outcomes between the two groups </w:t>
      </w:r>
      <w:r w:rsidRPr="005B0796">
        <w:fldChar w:fldCharType="begin"/>
      </w:r>
      <w:r w:rsidRPr="005B0796">
        <w:instrText xml:space="preserve"> ADDIN EN.CITE &lt;EndNote&gt;&lt;Cite&gt;&lt;Author&gt;Villatte&lt;/Author&gt;&lt;Year&gt;2015&lt;/Year&gt;&lt;RecNum&gt;393&lt;/RecNum&gt;&lt;DisplayText&gt;(Villatte et al., 2015)&lt;/DisplayText&gt;&lt;record&gt;&lt;rec-number&gt;393&lt;/rec-number&gt;&lt;foreign-keys&gt;&lt;key app="EN" db-id="arwdrezp9sdawxevtfyxtfw10exvr5exxfed" timestamp="1477986873"&gt;393&lt;/key&gt;&lt;/foreign-keys&gt;&lt;ref-type name="Journal Article"&gt;17&lt;/ref-type&gt;&lt;contributors&gt;&lt;authors&gt;&lt;author&gt;Villatte, J.L.&lt;/author&gt;&lt;author&gt;O&amp;apos;Connor, S.S.&lt;/author&gt;&lt;author&gt;Leitner, R.&lt;/author&gt;&lt;author&gt;Kerbrat, A.H.&lt;/author&gt;&lt;author&gt;Johnson, L.L.&lt;/author&gt;&lt;author&gt;Gutierrez, P.M.&lt;/author&gt;&lt;/authors&gt;&lt;/contributors&gt;&lt;titles&gt;&lt;title&gt;Suicide attempt charactersitics among veterans and active-duty service members receiving mental health services: A pooled data analysis.&lt;/title&gt;&lt;secondary-title&gt;Military Behavioral Health&lt;/secondary-title&gt;&lt;/titles&gt;&lt;periodical&gt;&lt;full-title&gt;Military Behavioral Health&lt;/full-title&gt;&lt;/periodical&gt;&lt;pages&gt;316-327.&lt;/pages&gt;&lt;volume&gt;3&lt;/volume&gt;&lt;number&gt;4&lt;/number&gt;&lt;dates&gt;&lt;year&gt;2015&lt;/year&gt;&lt;/dates&gt;&lt;urls&gt;&lt;/urls&gt;&lt;/record&gt;&lt;/Cite&gt;&lt;/EndNote&gt;</w:instrText>
      </w:r>
      <w:r w:rsidRPr="005B0796">
        <w:fldChar w:fldCharType="separate"/>
      </w:r>
      <w:r w:rsidRPr="005B0796">
        <w:t>(Villatte et al., 2015)</w:t>
      </w:r>
      <w:r w:rsidRPr="005B0796">
        <w:fldChar w:fldCharType="end"/>
      </w:r>
      <w:r w:rsidRPr="005B0796">
        <w:t xml:space="preserve">. For instance, Villatte </w:t>
      </w:r>
      <w:r w:rsidRPr="005B0796">
        <w:fldChar w:fldCharType="begin"/>
      </w:r>
      <w:r w:rsidRPr="005B0796">
        <w:instrText xml:space="preserve"> ADDIN EN.CITE &lt;EndNote&gt;&lt;Cite ExcludeAuth="1"&gt;&lt;Author&gt;Villatte&lt;/Author&gt;&lt;Year&gt;2015&lt;/Year&gt;&lt;RecNum&gt;393&lt;/RecNum&gt;&lt;DisplayText&gt;(2015)&lt;/DisplayText&gt;&lt;record&gt;&lt;rec-number&gt;393&lt;/rec-number&gt;&lt;foreign-keys&gt;&lt;key app="EN" db-id="arwdrezp9sdawxevtfyxtfw10exvr5exxfed" timestamp="1477986873"&gt;393&lt;/key&gt;&lt;/foreign-keys&gt;&lt;ref-type name="Journal Article"&gt;17&lt;/ref-type&gt;&lt;contributors&gt;&lt;authors&gt;&lt;author&gt;Villatte, J.L.&lt;/author&gt;&lt;author&gt;O&amp;apos;Connor, S.S.&lt;/author&gt;&lt;author&gt;Leitner, R.&lt;/author&gt;&lt;author&gt;Kerbrat, A.H.&lt;/author&gt;&lt;author&gt;Johnson, L.L.&lt;/author&gt;&lt;author&gt;Gutierrez, P.M.&lt;/author&gt;&lt;/authors&gt;&lt;/contributors&gt;&lt;titles&gt;&lt;title&gt;Suicide attempt charactersitics among veterans and active-duty service members receiving mental health services: A pooled data analysis.&lt;/title&gt;&lt;secondary-title&gt;Military Behavioral Health&lt;/secondary-title&gt;&lt;/titles&gt;&lt;periodical&gt;&lt;full-title&gt;Military Behavioral Health&lt;/full-title&gt;&lt;/periodical&gt;&lt;pages&gt;316-327.&lt;/pages&gt;&lt;volume&gt;3&lt;/volume&gt;&lt;number&gt;4&lt;/number&gt;&lt;dates&gt;&lt;year&gt;2015&lt;/year&gt;&lt;/dates&gt;&lt;urls&gt;&lt;/urls&gt;&lt;/record&gt;&lt;/Cite&gt;&lt;/EndNote&gt;</w:instrText>
      </w:r>
      <w:r w:rsidRPr="005B0796">
        <w:fldChar w:fldCharType="separate"/>
      </w:r>
      <w:r w:rsidRPr="005B0796">
        <w:t>(2015)</w:t>
      </w:r>
      <w:r w:rsidRPr="005B0796">
        <w:fldChar w:fldCharType="end"/>
      </w:r>
      <w:r w:rsidRPr="005B0796">
        <w:t xml:space="preserve"> compared the characteristics of non-fatal suicide attempts in transitioned (n = 746) and current serving members (n = 1013) receiving treatment, in a pooled data analysis of six randomised controlled trials examining suicide interventions among members of the military.</w:t>
      </w:r>
      <w:r w:rsidRPr="005B0796">
        <w:rPr>
          <w:b/>
        </w:rPr>
        <w:t xml:space="preserve"> </w:t>
      </w:r>
      <w:r w:rsidRPr="005B0796">
        <w:t>In this study, although current serving members were more likely than those who had transitioned to report a suicide attempt in their lifetime,</w:t>
      </w:r>
      <w:r w:rsidRPr="005B0796">
        <w:rPr>
          <w:b/>
        </w:rPr>
        <w:t xml:space="preserve"> </w:t>
      </w:r>
      <w:r w:rsidRPr="005B0796">
        <w:t>among those who attempted suicide, transitioned members made a greater number of attempts. Interestingly, among transitioned members, the</w:t>
      </w:r>
      <w:r w:rsidRPr="005B0796">
        <w:rPr>
          <w:b/>
        </w:rPr>
        <w:t xml:space="preserve"> </w:t>
      </w:r>
      <w:r w:rsidRPr="005B0796">
        <w:t xml:space="preserve">majority of first attempts typically occurred after military separation, with only 22% taking place before military enrolment and 21% occurring during active service </w:t>
      </w:r>
      <w:r w:rsidRPr="005B0796">
        <w:fldChar w:fldCharType="begin"/>
      </w:r>
      <w:r w:rsidRPr="005B0796">
        <w:instrText xml:space="preserve"> ADDIN EN.CITE &lt;EndNote&gt;&lt;Cite&gt;&lt;Author&gt;Villatte&lt;/Author&gt;&lt;Year&gt;2015&lt;/Year&gt;&lt;RecNum&gt;393&lt;/RecNum&gt;&lt;DisplayText&gt;(Villatte et al., 2015)&lt;/DisplayText&gt;&lt;record&gt;&lt;rec-number&gt;393&lt;/rec-number&gt;&lt;foreign-keys&gt;&lt;key app="EN" db-id="arwdrezp9sdawxevtfyxtfw10exvr5exxfed" timestamp="1477986873"&gt;393&lt;/key&gt;&lt;/foreign-keys&gt;&lt;ref-type name="Journal Article"&gt;17&lt;/ref-type&gt;&lt;contributors&gt;&lt;authors&gt;&lt;author&gt;Villatte, J.L.&lt;/author&gt;&lt;author&gt;O&amp;apos;Connor, S.S.&lt;/author&gt;&lt;author&gt;Leitner, R.&lt;/author&gt;&lt;author&gt;Kerbrat, A.H.&lt;/author&gt;&lt;author&gt;Johnson, L.L.&lt;/author&gt;&lt;author&gt;Gutierrez, P.M.&lt;/author&gt;&lt;/authors&gt;&lt;/contributors&gt;&lt;titles&gt;&lt;title&gt;Suicide attempt charactersitics among veterans and active-duty service members receiving mental health services: A pooled data analysis.&lt;/title&gt;&lt;secondary-title&gt;Military Behavioral Health&lt;/secondary-title&gt;&lt;/titles&gt;&lt;periodical&gt;&lt;full-title&gt;Military Behavioral Health&lt;/full-title&gt;&lt;/periodical&gt;&lt;pages&gt;316-327.&lt;/pages&gt;&lt;volume&gt;3&lt;/volume&gt;&lt;number&gt;4&lt;/number&gt;&lt;dates&gt;&lt;year&gt;2015&lt;/year&gt;&lt;/dates&gt;&lt;urls&gt;&lt;/urls&gt;&lt;/record&gt;&lt;/Cite&gt;&lt;/EndNote&gt;</w:instrText>
      </w:r>
      <w:r w:rsidRPr="005B0796">
        <w:fldChar w:fldCharType="separate"/>
      </w:r>
      <w:r w:rsidRPr="005B0796">
        <w:t>(Villatte et al., 2015)</w:t>
      </w:r>
      <w:r w:rsidRPr="005B0796">
        <w:fldChar w:fldCharType="end"/>
      </w:r>
      <w:r w:rsidRPr="005B0796">
        <w:t xml:space="preserve">. This provides strong evidence for the overwhelming challenges some members of the military experience while reintegrating into civilian life. </w:t>
      </w:r>
    </w:p>
    <w:p w:rsidR="008756D4" w:rsidRPr="005B0796" w:rsidRDefault="008756D4" w:rsidP="008756D4">
      <w:pPr>
        <w:rPr>
          <w:rFonts w:eastAsia="MS Mincho" w:cs="Times"/>
          <w:color w:val="141413"/>
        </w:rPr>
      </w:pPr>
      <w:r w:rsidRPr="005B0796">
        <w:t xml:space="preserve">Other studies monitoring changes in symptoms over time (during </w:t>
      </w:r>
      <w:r w:rsidR="00FF4FBE">
        <w:t xml:space="preserve">service </w:t>
      </w:r>
      <w:r w:rsidRPr="005B0796">
        <w:t xml:space="preserve">and post-service) have reported varying patterns of symptom presentation over the course of a military career. For example, Golub &amp; Bennett </w:t>
      </w:r>
      <w:r w:rsidRPr="005B0796">
        <w:fldChar w:fldCharType="begin">
          <w:fldData xml:space="preserve">PEVuZE5vdGU+PENpdGUgRXhjbHVkZUF1dGg9IjEiPjxBdXRob3I+R29sdWI8L0F1dGhvcj48WWVh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</w:fldData>
        </w:fldChar>
      </w:r>
      <w:r w:rsidRPr="005B0796">
        <w:instrText xml:space="preserve"> ADDIN EN.CITE </w:instrText>
      </w:r>
      <w:r w:rsidRPr="005B0796">
        <w:fldChar w:fldCharType="begin">
          <w:fldData xml:space="preserve">PEVuZE5vdGU+PENpdGUgRXhjbHVkZUF1dGg9IjEiPjxBdXRob3I+R29sdWI8L0F1dGhvcj48WWVh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</w:fldData>
        </w:fldChar>
      </w:r>
      <w:r w:rsidRPr="005B0796">
        <w:instrText xml:space="preserve"> ADDIN EN.CITE.DATA </w:instrText>
      </w:r>
      <w:r w:rsidRPr="005B0796">
        <w:fldChar w:fldCharType="end"/>
      </w:r>
      <w:r w:rsidRPr="005B0796">
        <w:fldChar w:fldCharType="separate"/>
      </w:r>
      <w:r w:rsidRPr="005B0796">
        <w:t>(2014)</w:t>
      </w:r>
      <w:r w:rsidRPr="005B0796">
        <w:fldChar w:fldCharType="end"/>
      </w:r>
      <w:r w:rsidRPr="005B0796">
        <w:t xml:space="preserve"> examined substance use patterns (during </w:t>
      </w:r>
      <w:r w:rsidR="00FF4FBE">
        <w:t xml:space="preserve">service </w:t>
      </w:r>
      <w:r w:rsidRPr="005B0796">
        <w:t>and post-service) in 269 transitioned OIF/OEF military members who had discharged from service to low-income minority neighbourhoods within the previous two years.</w:t>
      </w:r>
      <w:r w:rsidRPr="005B0796">
        <w:rPr>
          <w:rFonts w:eastAsia="MS Mincho" w:cs="Times"/>
          <w:color w:val="141413"/>
        </w:rPr>
        <w:t xml:space="preserve"> Interestingly, </w:t>
      </w:r>
      <w:r w:rsidRPr="005B0796">
        <w:t>t</w:t>
      </w:r>
      <w:r w:rsidRPr="005B0796">
        <w:rPr>
          <w:rFonts w:eastAsia="MS Mincho" w:cs="Times"/>
          <w:color w:val="141413"/>
        </w:rPr>
        <w:t xml:space="preserve">his study found alcohol use increased during military service, decreased dramatically on deployment, and then returned to pre-military levels after separation from the military. The finding that alcohol use, especially heavy use, declined after separation was consistent with the idea that some individuals participated in a drinking culture while in the military and left it behind after separation. A </w:t>
      </w:r>
      <w:r w:rsidRPr="005B0796">
        <w:t xml:space="preserve">recent review of the issues faced by transitioning ex-service members in the UK </w:t>
      </w:r>
      <w:r w:rsidRPr="005B0796">
        <w:rPr>
          <w:rFonts w:eastAsia="MS Mincho" w:cs="Times"/>
          <w:color w:val="141413"/>
        </w:rPr>
        <w:t xml:space="preserve">supported this result, </w:t>
      </w:r>
      <w:r w:rsidRPr="005B0796">
        <w:t xml:space="preserve">suggesting there is a culture of hazardous drinking in the UK military that is of concern, particularly for those who maintain military social networks </w:t>
      </w:r>
      <w:r w:rsidRPr="005B0796">
        <w:fldChar w:fldCharType="begin"/>
      </w:r>
      <w:r w:rsidRPr="005B0796">
        <w:instrText xml:space="preserve"> ADDIN EN.CITE &lt;EndNote&gt;&lt;Cite&gt;&lt;Author&gt;St George&amp;apos;s House&lt;/Author&gt;&lt;Year&gt;2014&lt;/Year&gt;&lt;RecNum&gt;20&lt;/RecNum&gt;&lt;DisplayText&gt;(St George&amp;apos;s House, 2014)&lt;/DisplayText&gt;&lt;record&gt;&lt;rec-number&gt;20&lt;/rec-number&gt;&lt;foreign-keys&gt;&lt;key app="EN" db-id="arwdrezp9sdawxevtfyxtfw10exvr5exxfed" timestamp="1473833608"&gt;20&lt;/key&gt;&lt;/foreign-keys&gt;&lt;ref-type name="Report"&gt;27&lt;/ref-type&gt;&lt;contributors&gt;&lt;authors&gt;&lt;author&gt;St George&amp;apos;s House,&lt;/author&gt;&lt;/authors&gt;&lt;/contributors&gt;&lt;titles&gt;&lt;title&gt;Back to Civvy Street: How can we better support individuals to lead successful civilian lives after a career in the UK Armed Forces?&lt;/title&gt;&lt;/titles&gt;&lt;dates&gt;&lt;year&gt;2014&lt;/year&gt;&lt;/dates&gt;&lt;pub-location&gt;Windsor&lt;/pub-location&gt;&lt;publisher&gt;Windsor Castle College of St George&lt;/publisher&gt;&lt;urls&gt;&lt;/urls&gt;&lt;/record&gt;&lt;/Cite&gt;&lt;/EndNote&gt;</w:instrText>
      </w:r>
      <w:r w:rsidRPr="005B0796">
        <w:fldChar w:fldCharType="separate"/>
      </w:r>
      <w:r w:rsidRPr="005B0796">
        <w:t>(St George</w:t>
      </w:r>
      <w:r w:rsidR="00462A0C" w:rsidRPr="005B0796">
        <w:t>’</w:t>
      </w:r>
      <w:r w:rsidRPr="005B0796">
        <w:t>s House, 2014)</w:t>
      </w:r>
      <w:r w:rsidRPr="005B0796">
        <w:fldChar w:fldCharType="end"/>
      </w:r>
      <w:r w:rsidRPr="005B0796">
        <w:t xml:space="preserve">. However, </w:t>
      </w:r>
      <w:r w:rsidRPr="005B0796">
        <w:rPr>
          <w:color w:val="008080"/>
        </w:rPr>
        <w:t>i</w:t>
      </w:r>
      <w:r w:rsidRPr="005B0796">
        <w:rPr>
          <w:color w:val="000000" w:themeColor="text1"/>
        </w:rPr>
        <w:t xml:space="preserve">t is important to note </w:t>
      </w:r>
      <w:r w:rsidRPr="005B0796">
        <w:rPr>
          <w:rFonts w:eastAsia="MS Mincho" w:cs="Times"/>
          <w:color w:val="141413"/>
        </w:rPr>
        <w:t xml:space="preserve">that differences in military cultures and attitudes towards drinking in different countries may invariably impact the prevalence of alcohol disorder in different military populations </w:t>
      </w:r>
      <w:r w:rsidRPr="005B0796">
        <w:rPr>
          <w:rFonts w:eastAsia="MS Mincho" w:cs="Times"/>
          <w:color w:val="141413"/>
        </w:rPr>
        <w:fldChar w:fldCharType="begin"/>
      </w:r>
      <w:r w:rsidRPr="005B0796">
        <w:rPr>
          <w:rFonts w:eastAsia="MS Mincho" w:cs="Times"/>
          <w:color w:val="141413"/>
        </w:rPr>
        <w:instrText xml:space="preserve"> ADDIN EN.CITE &lt;EndNote&gt;&lt;Cite&gt;&lt;Author&gt;Sundin&lt;/Author&gt;&lt;Year&gt;2014&lt;/Year&gt;&lt;RecNum&gt;18&lt;/RecNum&gt;&lt;DisplayText&gt;(Sundin et al., 2014)&lt;/DisplayText&gt;&lt;record&gt;&lt;rec-number&gt;18&lt;/rec-number&gt;&lt;foreign-keys&gt;&lt;key app="EN" db-id="arwdrezp9sdawxevtfyxtfw10exvr5exxfed" timestamp="1473833608"&gt;18&lt;/key&gt;&lt;/foreign-keys&gt;&lt;ref-type name="Journal Article"&gt;17&lt;/ref-type&gt;&lt;contributors&gt;&lt;authors&gt;&lt;author&gt;Sundin, J.&lt;/author&gt;&lt;author&gt;Herrell, R. K.&lt;/author&gt;&lt;author&gt;Hoge, C. W.&lt;/author&gt;&lt;author&gt;Fear, N. T.&lt;/author&gt;&lt;author&gt;Adler, A. B.&lt;/author&gt;&lt;author&gt;Greenberg, N.&lt;/author&gt;&lt;author&gt;Riviere, L. A.&lt;/author&gt;&lt;author&gt;Thomas, J. L.&lt;/author&gt;&lt;author&gt;Wessely, S.&lt;/author&gt;&lt;author&gt;Bliese, P. D.&lt;/author&gt;&lt;/authors&gt;&lt;/contributors&gt;&lt;auth-address&gt;King&amp;apos;s College London, Academic Centre for Defence Mental Health (ACDMH), Weston Education Centre, 10 Cutcombe Road, London SE5 9RJ, United Kingdom&amp;#xD;Center for Military Psychiatry and Neuroscience, Walter Reed Army Institute of Research, US Army Medical Research and Materiel Command, Silver Spring, MD, United States&amp;#xD;King&amp;apos;s College London, King&amp;apos;s Centre for Military Health Research (KCMHR), London, United Kingdom&amp;#xD;US Army Medical Research Unit-Europe, Walter Reed Army Institute of Research, US Army Medical Research and Materiel Command, Heidelberg, Germany&lt;/auth-address&gt;&lt;titles&gt;&lt;title&gt;Mental health outcomes in US and UK military personnel returning from Iraq&lt;/title&gt;&lt;secondary-title&gt;British Journal of Psychiatry&lt;/secondary-title&gt;&lt;/titles&gt;&lt;periodical&gt;&lt;full-title&gt;British Journal of Psychiatry&lt;/full-title&gt;&lt;/periodical&gt;&lt;pages&gt;200-207&lt;/pages&gt;&lt;volume&gt;204&lt;/volume&gt;&lt;number&gt;3&lt;/number&gt;&lt;dates&gt;&lt;year&gt;2014&lt;/year&gt;&lt;/dates&gt;&lt;urls&gt;&lt;related-urls&gt;&lt;url&gt;http://www.scopus.com/inward/record.url?eid=2-s2.0-84895801807&amp;amp;partnerID=40&amp;amp;md5=2bd203d978ae2d841a22a553c15e0281&lt;/url&gt;&lt;url&gt;http://bjp.rcpsych.org/content/bjprcpsych/204/3/200.full.pdf&lt;/url&gt;&lt;/related-urls&gt;&lt;/urls&gt;&lt;remote-database-name&gt;Scopus&lt;/remote-database-name&gt;&lt;/record&gt;&lt;/Cite&gt;&lt;/EndNote&gt;</w:instrText>
      </w:r>
      <w:r w:rsidRPr="005B0796">
        <w:rPr>
          <w:rFonts w:eastAsia="MS Mincho" w:cs="Times"/>
          <w:color w:val="141413"/>
        </w:rPr>
        <w:fldChar w:fldCharType="separate"/>
      </w:r>
      <w:r w:rsidRPr="005B0796">
        <w:rPr>
          <w:rFonts w:eastAsia="MS Mincho" w:cs="Times"/>
          <w:color w:val="141413"/>
        </w:rPr>
        <w:t>(Sundin et al., 2014)</w:t>
      </w:r>
      <w:r w:rsidRPr="005B0796">
        <w:rPr>
          <w:rFonts w:eastAsia="MS Mincho" w:cs="Times"/>
          <w:color w:val="141413"/>
        </w:rPr>
        <w:fldChar w:fldCharType="end"/>
      </w:r>
      <w:r w:rsidRPr="005B0796">
        <w:rPr>
          <w:rFonts w:eastAsia="MS Mincho" w:cs="Times"/>
          <w:color w:val="141413"/>
        </w:rPr>
        <w:t>.</w:t>
      </w:r>
    </w:p>
    <w:p w:rsidR="008756D4" w:rsidRPr="005B0796" w:rsidRDefault="008756D4" w:rsidP="008756D4">
      <w:r w:rsidRPr="005B0796">
        <w:t>Alcohol misuse, together with depressive and other anxiety disorders, has been reported as one of</w:t>
      </w:r>
      <w:r w:rsidR="00462A0C" w:rsidRPr="005B0796">
        <w:t xml:space="preserve"> </w:t>
      </w:r>
      <w:r w:rsidRPr="005B0796">
        <w:t xml:space="preserve">the primary issues for current serving members of the military in the United Kingdom, and is more prevalent than PTSD </w:t>
      </w:r>
      <w:r w:rsidRPr="005B0796">
        <w:fldChar w:fldCharType="begin"/>
      </w:r>
      <w:r w:rsidRPr="005B0796">
        <w:instrText xml:space="preserve"> ADDIN EN.CITE &lt;EndNote&gt;&lt;Cite&gt;&lt;Author&gt;Fear&lt;/Author&gt;&lt;Year&gt;2009&lt;/Year&gt;&lt;RecNum&gt;125&lt;/RecNum&gt;&lt;DisplayText&gt;(Fear et al., 2009)&lt;/DisplayText&gt;&lt;record&gt;&lt;rec-number&gt;125&lt;/rec-number&gt;&lt;foreign-keys&gt;&lt;key app="EN" db-id="arwdrezp9sdawxevtfyxtfw10exvr5exxfed" timestamp="1474609493"&gt;125&lt;/key&gt;&lt;/foreign-keys&gt;&lt;ref-type name="Electronic Book"&gt;44&lt;/ref-type&gt;&lt;contributors&gt;&lt;authors&gt;&lt;author&gt;Fear, N. T.&lt;/author&gt;&lt;author&gt;Wood, D.&lt;/author&gt;&lt;author&gt;Wessley, S.&lt;/author&gt;&lt;/authors&gt;&lt;/contributors&gt;&lt;titles&gt;&lt;title&gt;Health and social outcomes and health service experiences of UK military veterans&lt;/title&gt;&lt;/titles&gt;&lt;dates&gt;&lt;year&gt;2009&lt;/year&gt;&lt;/dates&gt;&lt;pub-location&gt;UK&lt;/pub-location&gt;&lt;publisher&gt;The King&amp;apos;s Centre for Military Health Research&lt;/publisher&gt;&lt;urls&gt;&lt;related-urls&gt;&lt;url&gt;https://www.researchgate.net/publication/265323223_Health_and_Social_Outcomes_and_Health_Service_Experiences_of_UK_Military_Veterans&lt;/url&gt;&lt;/related-urls&gt;&lt;/urls&gt;&lt;custom2&gt;23.9.16&lt;/custom2&gt;&lt;/record&gt;&lt;/Cite&gt;&lt;/EndNote&gt;</w:instrText>
      </w:r>
      <w:r w:rsidRPr="005B0796">
        <w:fldChar w:fldCharType="separate"/>
      </w:r>
      <w:r w:rsidRPr="005B0796">
        <w:t>(Fear et al., 2009)</w:t>
      </w:r>
      <w:r w:rsidRPr="005B0796">
        <w:fldChar w:fldCharType="end"/>
      </w:r>
      <w:r w:rsidRPr="005B0796">
        <w:t xml:space="preserve">. Members of the UK military report considerably higher rates of alcohol misuse than the general population. It is also reported to be higher than levels in the US and Australian militaries </w:t>
      </w:r>
      <w:r w:rsidRPr="005B0796">
        <w:fldChar w:fldCharType="begin">
          <w:fldData xml:space="preserve">PEVuZE5vdGU+PENpdGU+PEF1dGhvcj5LaW5nJmFwb3M7cyBDZW50cmUgZm9yIE1pbGl0YXJ5IEhl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</w:fldData>
        </w:fldChar>
      </w:r>
      <w:r w:rsidRPr="005B0796">
        <w:instrText xml:space="preserve"> ADDIN EN.CITE </w:instrText>
      </w:r>
      <w:r w:rsidRPr="005B0796">
        <w:fldChar w:fldCharType="begin">
          <w:fldData xml:space="preserve">PEVuZE5vdGU+PENpdGU+PEF1dGhvcj5LaW5nJmFwb3M7cyBDZW50cmUgZm9yIE1pbGl0YXJ5IEhl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</w:fldData>
        </w:fldChar>
      </w:r>
      <w:r w:rsidRPr="005B0796">
        <w:instrText xml:space="preserve"> ADDIN EN.CITE.DATA </w:instrText>
      </w:r>
      <w:r w:rsidRPr="005B0796">
        <w:fldChar w:fldCharType="end"/>
      </w:r>
      <w:r w:rsidRPr="005B0796">
        <w:fldChar w:fldCharType="separate"/>
      </w:r>
      <w:r w:rsidRPr="005B0796">
        <w:t>(King</w:t>
      </w:r>
      <w:r w:rsidR="00462A0C" w:rsidRPr="005B0796">
        <w:t>’</w:t>
      </w:r>
      <w:r w:rsidRPr="005B0796">
        <w:t>s Centre for Military Health Research Academic Department of Military Mental Health (KCMHR), 2014; Sundin et al., 2014)</w:t>
      </w:r>
      <w:r w:rsidRPr="005B0796">
        <w:fldChar w:fldCharType="end"/>
      </w:r>
      <w:r w:rsidRPr="005B0796">
        <w:t>. This is likely to be reflected in the prevalence of alcohol misuse and mental disorders in those who have transitioned from military service in each of these countries; however, the direction of this relationship (particularly in Australia) is yet to be determined.</w:t>
      </w:r>
      <w:r w:rsidRPr="005B0796">
        <w:rPr>
          <w:color w:val="008080"/>
        </w:rPr>
        <w:t xml:space="preserve"> </w:t>
      </w:r>
      <w:r w:rsidRPr="005B0796">
        <w:rPr>
          <w:rFonts w:eastAsia="MS Mincho" w:cs="Times"/>
          <w:color w:val="141413"/>
        </w:rPr>
        <w:t>Currently, alcohol misuse appears to be the US military</w:t>
      </w:r>
      <w:r w:rsidR="00462A0C" w:rsidRPr="005B0796">
        <w:rPr>
          <w:rFonts w:eastAsia="MS Mincho" w:cs="Times"/>
          <w:color w:val="141413"/>
        </w:rPr>
        <w:t>’</w:t>
      </w:r>
      <w:r w:rsidRPr="005B0796">
        <w:rPr>
          <w:rFonts w:eastAsia="MS Mincho" w:cs="Times"/>
          <w:color w:val="141413"/>
        </w:rPr>
        <w:t xml:space="preserve">s primary substance use concern, among both current and ex-serving US members of the military </w:t>
      </w:r>
      <w:r w:rsidRPr="005B0796">
        <w:fldChar w:fldCharType="begin">
          <w:fldData xml:space="preserve">PEVuZE5vdGU+PENpdGU+PEF1dGhvcj5Hb2x1YjwvQXV0aG9yPjxZZWFyPjIwMTQ8L1llYXI+PFJl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</w:fldData>
        </w:fldChar>
      </w:r>
      <w:r w:rsidRPr="005B0796">
        <w:instrText xml:space="preserve"> ADDIN EN.CITE </w:instrText>
      </w:r>
      <w:r w:rsidRPr="005B0796">
        <w:fldChar w:fldCharType="begin">
          <w:fldData xml:space="preserve">PEVuZE5vdGU+PENpdGU+PEF1dGhvcj5Hb2x1YjwvQXV0aG9yPjxZZWFyPjIwMTQ8L1llYXI+PFJl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</w:fldData>
        </w:fldChar>
      </w:r>
      <w:r w:rsidRPr="005B0796">
        <w:instrText xml:space="preserve"> ADDIN EN.CITE.DATA </w:instrText>
      </w:r>
      <w:r w:rsidRPr="005B0796">
        <w:fldChar w:fldCharType="end"/>
      </w:r>
      <w:r w:rsidRPr="005B0796">
        <w:fldChar w:fldCharType="separate"/>
      </w:r>
      <w:r w:rsidRPr="005B0796">
        <w:t>(Golub &amp; Bennett, 2014)</w:t>
      </w:r>
      <w:r w:rsidRPr="005B0796">
        <w:fldChar w:fldCharType="end"/>
      </w:r>
      <w:r w:rsidRPr="005B0796">
        <w:t xml:space="preserve">. Of interest is the relationship between alcohol misuse and mental disorders in Transitioned ADF members, which will be addressed later in this report. Hourani </w:t>
      </w:r>
      <w:r w:rsidRPr="005B0796">
        <w:fldChar w:fldCharType="begin"/>
      </w:r>
      <w:r w:rsidRPr="005B0796">
        <w:instrText xml:space="preserve"> ADDIN EN.CITE &lt;EndNote&gt;&lt;Cite ExcludeAuth="1"&gt;&lt;Author&gt;Hourani&lt;/Author&gt;&lt;Year&gt;2012&lt;/Year&gt;&lt;RecNum&gt;777&lt;/RecNum&gt;&lt;DisplayText&gt;(2012)&lt;/DisplayText&gt;&lt;record&gt;&lt;rec-number&gt;777&lt;/rec-number&gt;&lt;foreign-keys&gt;&lt;key app="EN" db-id="arwdrezp9sdawxevtfyxtfw10exvr5exxfed" timestamp="1488860887"&gt;777&lt;/key&gt;&lt;/foreign-keys&gt;&lt;ref-type name="Journal Article"&gt;17&lt;/ref-type&gt;&lt;contributors&gt;&lt;authors&gt;&lt;author&gt;Hourani, Laurel&lt;/author&gt;&lt;author&gt;Bender, Randall H.&lt;/author&gt;&lt;author&gt;Weimer, Belinda&lt;/author&gt;&lt;author&gt;Peeler, Russ&lt;/author&gt;&lt;author&gt;Bradshaw, Michael&lt;/author&gt;&lt;author&gt;Lane, Marian&lt;/author&gt;&lt;author&gt;Larson, Gerald&lt;/author&gt;&lt;/authors&gt;&lt;/contributors&gt;&lt;titles&gt;&lt;title&gt;Longitudinal study of resilience and mental health in marines leaving military service&lt;/title&gt;&lt;secondary-title&gt;Journal of Affective Disorders&lt;/secondary-title&gt;&lt;/titles&gt;&lt;periodical&gt;&lt;full-title&gt;Journal of Affective Disorders&lt;/full-title&gt;&lt;/periodical&gt;&lt;pages&gt;154-165&lt;/pages&gt;&lt;volume&gt;139&lt;/volume&gt;&lt;number&gt;2&lt;/number&gt;&lt;keywords&gt;&lt;keyword&gt;Longitudinal&lt;/keyword&gt;&lt;keyword&gt;Mental health&lt;/keyword&gt;&lt;keyword&gt;PTSD&lt;/keyword&gt;&lt;keyword&gt;Resilience&lt;/keyword&gt;&lt;keyword&gt;Military&lt;/keyword&gt;&lt;keyword&gt;Combat exposure&lt;/keyword&gt;&lt;/keywords&gt;&lt;dates&gt;&lt;year&gt;2012&lt;/year&gt;&lt;/dates&gt;&lt;isbn&gt;0165-0327&lt;/isbn&gt;&lt;urls&gt;&lt;related-urls&gt;&lt;url&gt;http://www.sciencedirect.com/science/article/pii/S0165032712000158&lt;/url&gt;&lt;url&gt;http://ac.els-cdn.com/S0165032712000158/1-s2.0-S0165032712000158-main.pdf?_tid=e19df678-57b3-11e6-8d9d-00000aacb35d&amp;amp;acdnat=1470034257_f472f527903a35b41d7637173840a88d&lt;/url&gt;&lt;url&gt;http://ac.els-cdn.com/S0165032712000158/1-s2.0-S0165032712000158-main.pdf?_tid=33c91b5a-7a44-11e6-9892-00000aab0f27&amp;amp;acdnat=1473834582_01e8d0a1f1176d84272d88d573b62d1e&lt;/url&gt;&lt;/related-urls&gt;&lt;/urls&gt;&lt;electronic-resource-num&gt;http://dx.doi.org/10.1016/j.jad.2012.01.008&lt;/electronic-resource-num&gt;&lt;/record&gt;&lt;/Cite&gt;&lt;/EndNote&gt;</w:instrText>
      </w:r>
      <w:r w:rsidRPr="005B0796">
        <w:fldChar w:fldCharType="separate"/>
      </w:r>
      <w:r w:rsidRPr="005B0796">
        <w:t>(2012)</w:t>
      </w:r>
      <w:r w:rsidRPr="005B0796">
        <w:fldChar w:fldCharType="end"/>
      </w:r>
      <w:r w:rsidRPr="005B0796">
        <w:t xml:space="preserve"> conducted a longitudinal survey of 475 combat-exposed Marines and examined their mental health before they left the military and six months after returning to civilian life. Overall, they reported a significant decrease in anxiety, depression and PTSD symptoms from pre-transition to six months post-transition. However, it was important to note that a substantial proportion of respondents also met the criteria for a new</w:t>
      </w:r>
      <w:r w:rsidR="00462A0C" w:rsidRPr="005B0796">
        <w:t xml:space="preserve"> </w:t>
      </w:r>
      <w:r w:rsidRPr="005B0796">
        <w:t>mental health problem (10% for PTSD and 13% for an anxiety disorder) after separating from military service.</w:t>
      </w:r>
    </w:p>
    <w:p w:rsidR="008756D4" w:rsidRPr="005B0796" w:rsidRDefault="008756D4" w:rsidP="008756D4">
      <w:pPr>
        <w:rPr>
          <w:rFonts w:eastAsia="MS Mincho" w:cs="Helvetica"/>
        </w:rPr>
      </w:pPr>
      <w:r w:rsidRPr="005B0796">
        <w:t xml:space="preserve">Finally, the prevalence of mental disorders in transitioned military members is largely influenced by the samples and instruments used (including the cut-off points to define caseness) to generate the estimates </w:t>
      </w:r>
      <w:r w:rsidRPr="005B0796">
        <w:fldChar w:fldCharType="begin"/>
      </w:r>
      <w:r w:rsidRPr="005B0796">
        <w:instrText xml:space="preserve"> ADDIN EN.CITE &lt;EndNote&gt;&lt;Cite&gt;&lt;Author&gt;Thomas&lt;/Author&gt;&lt;Year&gt;2010&lt;/Year&gt;&lt;RecNum&gt;16&lt;/RecNum&gt;&lt;DisplayText&gt;(Thomas et al., 2010)&lt;/DisplayText&gt;&lt;record&gt;&lt;rec-number&gt;16&lt;/rec-number&gt;&lt;foreign-keys&gt;&lt;key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5B0796">
        <w:fldChar w:fldCharType="separate"/>
      </w:r>
      <w:r w:rsidRPr="005B0796">
        <w:t>(Thomas et al., 2010)</w:t>
      </w:r>
      <w:r w:rsidRPr="005B0796">
        <w:fldChar w:fldCharType="end"/>
      </w:r>
      <w:r w:rsidRPr="005B0796">
        <w:t>.</w:t>
      </w:r>
      <w:r w:rsidRPr="005B0796">
        <w:rPr>
          <w:rFonts w:cs="Calibri"/>
        </w:rPr>
        <w:t xml:space="preserve"> Of the limited number of studies available, the majority focus on individuals seeking treatment or compensation from DVA or the international equivalent (for example, </w:t>
      </w:r>
      <w:r w:rsidRPr="005B0796">
        <w:rPr>
          <w:rFonts w:cs="Calibri"/>
        </w:rPr>
        <w:fldChar w:fldCharType="begin">
          <w:fldData xml:space="preserve">PEVuZE5vdGU+PENpdGU+PEF1dGhvcj5QaWNrZXR0PC9BdXRob3I+PFllYXI+MjAxNTwvWWVhcj48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</w:fldData>
        </w:fldChar>
      </w:r>
      <w:r w:rsidRPr="005B0796">
        <w:rPr>
          <w:rFonts w:cs="Calibri"/>
        </w:rPr>
        <w:instrText xml:space="preserve"> ADDIN EN.CITE </w:instrText>
      </w:r>
      <w:r w:rsidRPr="005B0796">
        <w:rPr>
          <w:rFonts w:cs="Calibri"/>
        </w:rPr>
        <w:fldChar w:fldCharType="begin">
          <w:fldData xml:space="preserve">PEVuZE5vdGU+PENpdGU+PEF1dGhvcj5QaWNrZXR0PC9BdXRob3I+PFllYXI+MjAxNTwvWWVhcj48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</w:fldData>
        </w:fldChar>
      </w:r>
      <w:r w:rsidRPr="005B0796">
        <w:rPr>
          <w:rFonts w:cs="Calibri"/>
        </w:rPr>
        <w:instrText xml:space="preserve"> ADDIN EN.CITE.DATA </w:instrText>
      </w:r>
      <w:r w:rsidRPr="005B0796">
        <w:rPr>
          <w:rFonts w:cs="Calibri"/>
        </w:rPr>
      </w:r>
      <w:r w:rsidRPr="005B0796">
        <w:rPr>
          <w:rFonts w:cs="Calibri"/>
        </w:rPr>
        <w:fldChar w:fldCharType="end"/>
      </w:r>
      <w:r w:rsidRPr="005B0796">
        <w:rPr>
          <w:rFonts w:cs="Calibri"/>
        </w:rPr>
      </w:r>
      <w:r w:rsidRPr="005B0796">
        <w:rPr>
          <w:rFonts w:cs="Calibri"/>
        </w:rPr>
        <w:fldChar w:fldCharType="separate"/>
      </w:r>
      <w:r w:rsidRPr="005B0796">
        <w:rPr>
          <w:rFonts w:cs="Calibri"/>
        </w:rPr>
        <w:t>Pickett et al., 2015; Ramchand et al., 2015)</w:t>
      </w:r>
      <w:r w:rsidRPr="005B0796">
        <w:rPr>
          <w:rFonts w:cs="Calibri"/>
        </w:rPr>
        <w:fldChar w:fldCharType="end"/>
      </w:r>
      <w:r w:rsidRPr="005B0796">
        <w:rPr>
          <w:rFonts w:cs="Calibri"/>
        </w:rPr>
        <w:t xml:space="preserve">. This is mainly because these individuals are easier to identify and trace once they leave the organised structure of the military </w:t>
      </w:r>
      <w:r w:rsidRPr="005B0796">
        <w:fldChar w:fldCharType="begin"/>
      </w:r>
      <w:r w:rsidRPr="005B0796">
        <w:instrText xml:space="preserve"> ADDIN EN.CITE &lt;EndNote&gt;&lt;Cite&gt;&lt;Author&gt;Burdett&lt;/Author&gt;&lt;Year&gt;2014&lt;/Year&gt;&lt;RecNum&gt;683&lt;/RecNum&gt;&lt;DisplayText&gt;(Burdett et al., 2014)&lt;/DisplayText&gt;&lt;record&gt;&lt;rec-number&gt;683&lt;/rec-number&gt;&lt;foreign-keys&gt;&lt;key app="EN" db-id="arwdrezp9sdawxevtfyxtfw10exvr5exxfed" timestamp="1488860880"&gt;683&lt;/key&gt;&lt;/foreign-keys&gt;&lt;ref-type name="Journal Article"&gt;17&lt;/ref-type&gt;&lt;contributors&gt;&lt;authors&gt;&lt;author&gt;Burdett, H.&lt;/author&gt;&lt;author&gt;Greenberg, N&lt;/author&gt;&lt;author&gt;Fear, N. T.&lt;/author&gt;&lt;author&gt;Jones, N.&lt;/author&gt;&lt;/authors&gt;&lt;/contributors&gt;&lt;titles&gt;&lt;title&gt;The mental health of military veterans in the UK&lt;/title&gt;&lt;secondary-title&gt;International Psychiatry&lt;/secondary-title&gt;&lt;/titles&gt;&lt;periodical&gt;&lt;full-title&gt;International Psychiatry&lt;/full-title&gt;&lt;/periodical&gt;&lt;pages&gt;88-89&lt;/pages&gt;&lt;volume&gt;11&lt;/volume&gt;&lt;number&gt;2&lt;/number&gt;&lt;dates&gt;&lt;year&gt;2014&lt;/year&gt;&lt;/dates&gt;&lt;urls&gt;&lt;/urls&gt;&lt;/record&gt;&lt;/Cite&gt;&lt;/EndNote&gt;</w:instrText>
      </w:r>
      <w:r w:rsidRPr="005B0796">
        <w:fldChar w:fldCharType="separate"/>
      </w:r>
      <w:r w:rsidRPr="005B0796">
        <w:t>(Burdett et al., 2014)</w:t>
      </w:r>
      <w:r w:rsidRPr="005B0796">
        <w:fldChar w:fldCharType="end"/>
      </w:r>
      <w:r w:rsidRPr="005B0796">
        <w:t>. Studies of this type report rates of any mental disorder at approximately 25%, with PTSD at 13% to 39%, anxiety disorder at 40%, depression at 17.4% to 41%, and substance use disorders at 6%</w:t>
      </w:r>
      <w:r w:rsidR="00462A0C" w:rsidRPr="005B0796">
        <w:t xml:space="preserve"> </w:t>
      </w:r>
      <w:r w:rsidRPr="005B0796">
        <w:t>to</w:t>
      </w:r>
      <w:r w:rsidR="00462A0C" w:rsidRPr="005B0796">
        <w:t xml:space="preserve"> </w:t>
      </w:r>
      <w:r w:rsidRPr="005B0796">
        <w:t xml:space="preserve">38%. The rates depend on a number of factors including deployment history, country of service, time frame of assessment (current/lifetime), and time since separation from service </w:t>
      </w:r>
      <w:r w:rsidRPr="005B0796">
        <w:fldChar w:fldCharType="begin">
          <w:fldData xml:space="preserve">PEVuZE5vdGU+PENpdGU+PEF1dGhvcj5EZWRlcnQ8L0F1dGhvcj48WWVhcj4yMDA5PC9ZZWFyPjxS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=
</w:fldData>
        </w:fldChar>
      </w:r>
      <w:r w:rsidRPr="005B0796">
        <w:instrText xml:space="preserve"> ADDIN EN.CITE </w:instrText>
      </w:r>
      <w:r w:rsidRPr="005B0796">
        <w:fldChar w:fldCharType="begin">
          <w:fldData xml:space="preserve">PEVuZE5vdGU+PENpdGU+PEF1dGhvcj5EZWRlcnQ8L0F1dGhvcj48WWVhcj4yMDA5PC9ZZWFyPjxS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=
</w:fldData>
        </w:fldChar>
      </w:r>
      <w:r w:rsidRPr="005B0796">
        <w:instrText xml:space="preserve"> ADDIN EN.CITE.DATA </w:instrText>
      </w:r>
      <w:r w:rsidRPr="005B0796">
        <w:fldChar w:fldCharType="end"/>
      </w:r>
      <w:r w:rsidRPr="005B0796">
        <w:fldChar w:fldCharType="separate"/>
      </w:r>
      <w:r w:rsidRPr="005B0796">
        <w:t>(Dedert et al., 2009; Fulton et al., 2015; Sayer et al., 2010; Seal et al., 2007)</w:t>
      </w:r>
      <w:r w:rsidRPr="005B0796">
        <w:fldChar w:fldCharType="end"/>
      </w:r>
      <w:r w:rsidRPr="005B0796">
        <w:t xml:space="preserve">. However, these </w:t>
      </w:r>
      <w:r w:rsidRPr="005B0796">
        <w:rPr>
          <w:rFonts w:eastAsia="MS Mincho" w:cs="Helvetica"/>
        </w:rPr>
        <w:t xml:space="preserve">studies have limited generalisability beyond treatment seekers, and are likely to result in inflated prevalence estimates due to most of these individuals being entitled to treatment for a service-related physical or mental health condition </w:t>
      </w:r>
      <w:r w:rsidRPr="005B0796">
        <w:rPr>
          <w:rFonts w:eastAsia="MS Mincho" w:cs="Helvetica"/>
        </w:rPr>
        <w:fldChar w:fldCharType="begin"/>
      </w:r>
      <w:r w:rsidRPr="005B0796">
        <w:rPr>
          <w:rFonts w:eastAsia="MS Mincho" w:cs="Helvetica"/>
        </w:rPr>
        <w:instrText xml:space="preserve"> ADDIN EN.CITE &lt;EndNote&gt;&lt;Cite&gt;&lt;Author&gt;Thompson&lt;/Author&gt;&lt;Year&gt;2011&lt;/Year&gt;&lt;RecNum&gt;268&lt;/RecNum&gt;&lt;DisplayText&gt;(Thompson et al., 2011b)&lt;/DisplayText&gt;&lt;record&gt;&lt;rec-number&gt;268&lt;/rec-number&gt;&lt;foreign-keys&gt;&lt;key app="EN" db-id="arwdrezp9sdawxevtfyxtfw10exvr5exxfed" timestamp="1476238459"&gt;268&lt;/key&gt;&lt;/foreign-keys&gt;&lt;ref-type name="Book"&gt;6&lt;/ref-type&gt;&lt;contributors&gt;&lt;authors&gt;&lt;author&gt;Thompson, J&lt;/author&gt;&lt;author&gt;Sweet, J&lt;/author&gt;&lt;author&gt;Poirier, A.&lt;/author&gt;&lt;author&gt;VanTil, L&lt;/author&gt;&lt;/authors&gt;&lt;/contributors&gt;&lt;titles&gt;&lt;title&gt;Suicide ideation and attempt findings in the Survey on Transition to Civilian Life: Descriptive analysis&lt;/title&gt;&lt;/titles&gt;&lt;dates&gt;&lt;year&gt;2011&lt;/year&gt;&lt;/dates&gt;&lt;pub-location&gt;Charlottetown,PEI&lt;/pub-location&gt;&lt;publisher&gt;Veterans Affairs Canada technical report. 30 November.&lt;/publisher&gt;&lt;urls&gt;&lt;/urls&gt;&lt;/record&gt;&lt;/Cite&gt;&lt;/EndNote&gt;</w:instrText>
      </w:r>
      <w:r w:rsidRPr="005B0796">
        <w:rPr>
          <w:rFonts w:eastAsia="MS Mincho" w:cs="Helvetica"/>
        </w:rPr>
        <w:fldChar w:fldCharType="separate"/>
      </w:r>
      <w:r w:rsidRPr="005B0796">
        <w:rPr>
          <w:rFonts w:eastAsia="MS Mincho" w:cs="Helvetica"/>
        </w:rPr>
        <w:t>(Thompson et al., 2011b)</w:t>
      </w:r>
      <w:r w:rsidRPr="005B0796">
        <w:rPr>
          <w:rFonts w:eastAsia="MS Mincho" w:cs="Helvetica"/>
        </w:rPr>
        <w:fldChar w:fldCharType="end"/>
      </w:r>
      <w:r w:rsidRPr="005B0796">
        <w:rPr>
          <w:rFonts w:eastAsia="MS Mincho" w:cs="Helvetica"/>
        </w:rPr>
        <w:t xml:space="preserve">. </w:t>
      </w:r>
    </w:p>
    <w:p w:rsidR="008756D4" w:rsidRPr="005B0796" w:rsidRDefault="008756D4" w:rsidP="008756D4">
      <w:pPr>
        <w:pStyle w:val="Heading3"/>
      </w:pPr>
      <w:bookmarkStart w:id="41" w:name="_Toc487011164"/>
      <w:bookmarkStart w:id="42" w:name="_Toc494449680"/>
      <w:bookmarkStart w:id="43" w:name="_Toc511900262"/>
      <w:r w:rsidRPr="005B0796">
        <w:t>Mental health in transitioned Canadian Forces</w:t>
      </w:r>
      <w:bookmarkEnd w:id="41"/>
      <w:bookmarkEnd w:id="42"/>
      <w:bookmarkEnd w:id="43"/>
    </w:p>
    <w:p w:rsidR="008756D4" w:rsidRPr="005B0796" w:rsidRDefault="008756D4" w:rsidP="00687F6B">
      <w:pPr>
        <w:keepLines/>
      </w:pPr>
      <w:r w:rsidRPr="005B0796">
        <w:t xml:space="preserve">To date, a Canadian study is the only large-scale population-based study to examine a cohort of transitioned military members. The 2010 Survey on Transition to Civilian Life (STCL) was a national telephone survey that examined the health and wellbeing of 3154 Canadian Regular Force members after they transitioned to civilian life. All members had transitioned out of regular service between 1998 and 2007, and were being assessed between two and 12 years after leaving military service. In this study, mental health conditions were assessed using a checklist of self-reported diagnosed mental health conditions (including mood disorder, anxiety disorder and PTSD) that had lasted six months or more, a single-item measure of self-rated mental health, and the </w:t>
      </w:r>
      <w:bookmarkStart w:id="44" w:name="_Hlk489626926"/>
      <w:r w:rsidRPr="005B0796">
        <w:t xml:space="preserve">Mental Component Summary score </w:t>
      </w:r>
      <w:bookmarkEnd w:id="44"/>
      <w:r w:rsidRPr="005B0796">
        <w:t xml:space="preserve">of the SF-12. </w:t>
      </w:r>
    </w:p>
    <w:p w:rsidR="008756D4" w:rsidRPr="005B0796" w:rsidRDefault="008756D4" w:rsidP="008756D4">
      <w:r w:rsidRPr="005B0796">
        <w:t xml:space="preserve">Results of this study showed that most veterans (67%) assessed their mental health as </w:t>
      </w:r>
      <w:r w:rsidR="00462A0C" w:rsidRPr="005B0796">
        <w:t>‘</w:t>
      </w:r>
      <w:r w:rsidRPr="005B0796">
        <w:t>very good</w:t>
      </w:r>
      <w:r w:rsidR="00462A0C" w:rsidRPr="005B0796">
        <w:t>’</w:t>
      </w:r>
      <w:r w:rsidRPr="005B0796">
        <w:t xml:space="preserve"> or </w:t>
      </w:r>
      <w:r w:rsidR="00462A0C" w:rsidRPr="005B0796">
        <w:t>‘</w:t>
      </w:r>
      <w:r w:rsidRPr="005B0796">
        <w:t>excellent</w:t>
      </w:r>
      <w:r w:rsidR="00462A0C" w:rsidRPr="005B0796">
        <w:t>’</w:t>
      </w:r>
      <w:r w:rsidRPr="005B0796">
        <w:t xml:space="preserve"> on a self-rated perceived mental health measure. Regarding specific mental disorders, a single item asked about the presence of mental disorders (including depression) diagnosed by a health professional. </w:t>
      </w:r>
    </w:p>
    <w:p w:rsidR="008756D4" w:rsidRPr="005B0796" w:rsidRDefault="008756D4" w:rsidP="008756D4">
      <w:r w:rsidRPr="005B0796">
        <w:t xml:space="preserve">Overall, 20% of respondents to the STCL reported either depression or anxiety, and this rate was greater in those accessing </w:t>
      </w:r>
      <w:bookmarkStart w:id="45" w:name="_Hlk489627247"/>
      <w:r w:rsidRPr="005B0796">
        <w:t xml:space="preserve">Veterans Affairs Canada </w:t>
      </w:r>
      <w:bookmarkEnd w:id="45"/>
      <w:r w:rsidRPr="005B0796">
        <w:t xml:space="preserve">(VAC) (52%). </w:t>
      </w:r>
    </w:p>
    <w:p w:rsidR="008756D4" w:rsidRPr="005B0796" w:rsidRDefault="008756D4" w:rsidP="008756D4">
      <w:r w:rsidRPr="005B0796">
        <w:t xml:space="preserve">Other mood disorders (mania, dysthymia or bipolar disorder) were reported among only 3% of the survey population, and, again, this was higher for VAC clients (9%)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 The rate for self</w:t>
      </w:r>
      <w:r w:rsidRPr="005B0796">
        <w:noBreakHyphen/>
        <w:t xml:space="preserve">reported (non-PTSD) anxiety disorders was 10% for the survey population, which was higher than </w:t>
      </w:r>
      <w:r w:rsidR="00FF4FBE">
        <w:t xml:space="preserve">in </w:t>
      </w:r>
      <w:r w:rsidRPr="005B0796">
        <w:t xml:space="preserve">the Canadian general population (5%). Similar to findings for other mental disorders, the rates for anxiety disorders were elevated in VAC clients (30%), indicating that most who had anxiety were already VAC clients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 xml:space="preserve">. </w:t>
      </w:r>
      <w:bookmarkStart w:id="46" w:name="_Hlk491079806"/>
      <w:r w:rsidRPr="005B0796">
        <w:t xml:space="preserve">Finally, </w:t>
      </w:r>
      <w:bookmarkStart w:id="47" w:name="_Hlk491079832"/>
      <w:r w:rsidRPr="005B0796">
        <w:t>11% of the total study population</w:t>
      </w:r>
      <w:bookmarkEnd w:id="47"/>
      <w:r w:rsidRPr="005B0796">
        <w:t xml:space="preserve"> reported having PTSD</w:t>
      </w:r>
      <w:bookmarkEnd w:id="46"/>
      <w:r w:rsidRPr="005B0796">
        <w:t xml:space="preserve">, with a rate of 43% for VAC clients. Too few non-VAC clients reported PTSD to calculate a reliable rate </w:t>
      </w:r>
      <w:r w:rsidRPr="005B0796">
        <w:fldChar w:fldCharType="begin">
          <w:fldData xml:space="preserve">PEVuZE5vdGU+PENpdGU+PEF1dGhvcj5UaG9tcHNvbjwvQXV0aG9yPjxZZWFyPjIwMTM8L1llYXI+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</w:fldData>
        </w:fldChar>
      </w:r>
      <w:r w:rsidRPr="005B0796">
        <w:instrText xml:space="preserve"> ADDIN EN.CITE </w:instrText>
      </w:r>
      <w:r w:rsidRPr="005B0796">
        <w:fldChar w:fldCharType="begin">
          <w:fldData xml:space="preserve">PEVuZE5vdGU+PENpdGU+PEF1dGhvcj5UaG9tcHNvbjwvQXV0aG9yPjxZZWFyPjIwMTM8L1llYXI+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</w:fldData>
        </w:fldChar>
      </w:r>
      <w:r w:rsidRPr="005B0796">
        <w:instrText xml:space="preserve"> ADDIN EN.CITE.DATA </w:instrText>
      </w:r>
      <w:r w:rsidRPr="005B0796">
        <w:fldChar w:fldCharType="end"/>
      </w:r>
      <w:r w:rsidRPr="005B0796">
        <w:fldChar w:fldCharType="separate"/>
      </w:r>
      <w:r w:rsidRPr="005B0796">
        <w:t>(Thompson et al., 2013; Thompson et al., 2011a)</w:t>
      </w:r>
      <w:r w:rsidRPr="005B0796">
        <w:fldChar w:fldCharType="end"/>
      </w:r>
      <w:r w:rsidRPr="005B0796">
        <w:t xml:space="preserve">. The prevalence of self-reported heavy drinking was 25.6%, which is comparable to the general population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 xml:space="preserve">. </w:t>
      </w:r>
    </w:p>
    <w:p w:rsidR="008756D4" w:rsidRPr="005B0796" w:rsidRDefault="008756D4" w:rsidP="008756D4">
      <w:r w:rsidRPr="005B0796">
        <w:t xml:space="preserve">The STCL also asked respondents about lifetime suicidal thoughts, suicide ideation and suicide attempts in the last 12 months. For the sample of transitioned members, 6% had suicidal ideation in the last 12 months, with the rates highest among VAC clients (16%), and comparably lower in non-clients (4%). Of the total survey population, 18% had seriously considered committing suicide at some time in their lives, and this rate was higher in VAC clients (40%)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 xml:space="preserve">. Suicidal ideation was much more common than suicide attempt, which, in turn, was more common than suicide. Very few respondents had attempted suicide in the last 12 months (1%). The estimated rate for suicide attempts at some time in their life for the total STCL population was 6%, which again was highest in VAC clients (14%). As in most civilian, and military and veteran studies, women were more likely to report suicidal ideation than men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w:t>
      </w:r>
    </w:p>
    <w:p w:rsidR="008756D4" w:rsidRPr="005B0796" w:rsidRDefault="008756D4" w:rsidP="008756D4">
      <w:r w:rsidRPr="005B0796">
        <w:t>The Life After Service Survey (LASS 2013) extended the STCL and examined 2611 Canadian Regular Force members who transitioned between 1998 and 2012</w:t>
      </w:r>
      <w:r w:rsidR="00FF4FBE">
        <w:t>,</w:t>
      </w:r>
      <w:r w:rsidRPr="005B0796">
        <w:t xml:space="preserve"> as well as Reservists who transitioned between 2003 and 2012 </w:t>
      </w:r>
      <w:r w:rsidRPr="005B0796">
        <w:fldChar w:fldCharType="begin">
          <w:fldData xml:space="preserve">PEVuZE5vdGU+PENpdGU+PEF1dGhvcj5UaG9tcHNvbjwvQXV0aG9yPjxZZWFyPjIwMTU8L1llYXI+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</w:fldData>
        </w:fldChar>
      </w:r>
      <w:r w:rsidRPr="005B0796">
        <w:instrText xml:space="preserve"> ADDIN EN.CITE </w:instrText>
      </w:r>
      <w:r w:rsidRPr="005B0796">
        <w:fldChar w:fldCharType="begin">
          <w:fldData xml:space="preserve">PEVuZE5vdGU+PENpdGU+PEF1dGhvcj5UaG9tcHNvbjwvQXV0aG9yPjxZZWFyPjIwMTU8L1llYXI+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</w:fldData>
        </w:fldChar>
      </w:r>
      <w:r w:rsidRPr="005B0796">
        <w:instrText xml:space="preserve"> ADDIN EN.CITE.DATA </w:instrText>
      </w:r>
      <w:r w:rsidRPr="005B0796">
        <w:fldChar w:fldCharType="end"/>
      </w:r>
      <w:r w:rsidRPr="005B0796">
        <w:fldChar w:fldCharType="separate"/>
      </w:r>
      <w:r w:rsidRPr="005B0796">
        <w:t>(Thompson et al., 2015; Thompson et al., 2014; Van Til et al., 2014a; Van Til et al., 2014b)</w:t>
      </w:r>
      <w:r w:rsidRPr="005B0796">
        <w:fldChar w:fldCharType="end"/>
      </w:r>
      <w:r w:rsidRPr="005B0796">
        <w:t xml:space="preserve">. The sample included the Kessler Psychological Distress Scale (K10) as an additional measure of distress in the previous month and the Primary Care PTSD (PC-PTSD) symptom screen (a measure of probable PTSD in the previous month), using DSM-V criteria cut-off scores </w:t>
      </w:r>
      <w:r w:rsidRPr="005B0796">
        <w:fldChar w:fldCharType="begin"/>
      </w:r>
      <w:r w:rsidRPr="005B0796">
        <w:instrText xml:space="preserve"> ADDIN EN.CITE &lt;EndNote&gt;&lt;Cite&gt;&lt;Author&gt;Thompson&lt;/Author&gt;&lt;Year&gt;2015&lt;/Year&gt;&lt;RecNum&gt;389&lt;/RecNum&gt;&lt;DisplayText&gt;(Thompson et al., 2015; Thompson et al., 2014)&lt;/DisplayText&gt;&lt;record&gt;&lt;rec-number&gt;389&lt;/rec-number&gt;&lt;foreign-keys&gt;&lt;key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2105&lt;/publisher&gt;&lt;urls&gt;&lt;/urls&gt;&lt;/record&gt;&lt;/Cite&gt;&lt;Cite&gt;&lt;Author&gt;Thompson&lt;/Author&gt;&lt;Year&gt;2014&lt;/Year&gt;&lt;RecNum&gt;13&lt;/RecNum&gt;&lt;record&gt;&lt;rec-number&gt;13&lt;/rec-number&gt;&lt;foreign-keys&gt;&lt;key app="EN" db-id="arwdrezp9sdawxevtfyxtfw10exvr5exxfed" timestamp="1473833608"&gt;13&lt;/key&gt;&lt;/foreign-keys&gt;&lt;ref-type name="Book"&gt;6&lt;/ref-type&gt;&lt;contributors&gt;&lt;authors&gt;&lt;author&gt;Thompson, J.M.&lt;/author&gt;&lt;author&gt;Van Til, L.&lt;/author&gt;&lt;author&gt;Poirier, A.&lt;/author&gt;&lt;author&gt;Sweet, J.&lt;/author&gt;&lt;author&gt;McKinnon, K.&lt;/author&gt;&lt;author&gt;Sudom, K.&lt;/author&gt;&lt;author&gt;Dursun, S.&lt;/author&gt;&lt;author&gt;Pedlar, D.&lt;/author&gt;&lt;/authors&gt;&lt;/contributors&gt;&lt;titles&gt;&lt;title&gt;Health and well-being of Canadian Armed Forces Veterans: Findings from the 2013 Life After Service Survey.&lt;/title&gt;&lt;/titles&gt;&lt;dates&gt;&lt;year&gt;2014&lt;/year&gt;&lt;/dates&gt;&lt;pub-location&gt;Charlottetown PE: Research Directorate&lt;/pub-location&gt;&lt;publisher&gt;Veterans Affairs Canada. Research Directorate Technical Report. 03 July 2014&lt;/publisher&gt;&lt;urls&gt;&lt;/urls&gt;&lt;/record&gt;&lt;/Cite&gt;&lt;/EndNote&gt;</w:instrText>
      </w:r>
      <w:r w:rsidRPr="005B0796">
        <w:fldChar w:fldCharType="separate"/>
      </w:r>
      <w:r w:rsidRPr="005B0796">
        <w:t>(Thompson et al., 2015; Thompson et al., 2014)</w:t>
      </w:r>
      <w:r w:rsidRPr="005B0796">
        <w:fldChar w:fldCharType="end"/>
      </w:r>
      <w:r w:rsidRPr="005B0796">
        <w:t xml:space="preserve">. </w:t>
      </w:r>
    </w:p>
    <w:p w:rsidR="008756D4" w:rsidRPr="005B0796" w:rsidRDefault="008756D4" w:rsidP="008756D4">
      <w:r w:rsidRPr="005B0796">
        <w:t>Similar to the findings in the STCL study, just over one-third of the Regular Force members who had transitioned were VAC clients – and they had poorer mental health than Reservists. Of the Regular Force members who transitioned, 24% had one or more of the self</w:t>
      </w:r>
      <w:r w:rsidRPr="005B0796">
        <w:noBreakHyphen/>
        <w:t>reported diagnosed mental health conditions. Self-reported mood disorders were almost three</w:t>
      </w:r>
      <w:r w:rsidR="00462A0C" w:rsidRPr="005B0796">
        <w:t xml:space="preserve"> </w:t>
      </w:r>
      <w:r w:rsidRPr="005B0796">
        <w:t xml:space="preserve">times more prevalent among the Regular Force members who had transitioned than </w:t>
      </w:r>
      <w:r w:rsidR="00FF4FBE">
        <w:t xml:space="preserve">in </w:t>
      </w:r>
      <w:r w:rsidRPr="005B0796">
        <w:t xml:space="preserve">the general Canadian population, with prevalence of 24% for Regular Force members and 17% for Reservists compared to 6.3% in the general population. </w:t>
      </w:r>
    </w:p>
    <w:p w:rsidR="008756D4" w:rsidRPr="005B0796" w:rsidRDefault="008756D4" w:rsidP="008756D4">
      <w:pPr>
        <w:rPr>
          <w:rFonts w:ascii="Times New Roman" w:eastAsia="Times New Roman" w:hAnsi="Times New Roman"/>
          <w:sz w:val="24"/>
          <w:lang w:eastAsia="en-GB"/>
        </w:rPr>
      </w:pPr>
      <w:r w:rsidRPr="005B0796">
        <w:t xml:space="preserve">The majority of Regular Force members who had transitioned (79%) showed low levels of psychological distress. On the K10 measure of psychological distress in the previous month, 13% of Regular Force veterans had moderate or severe levels of psychological distress (7% and 5% respectively). The prevalence of self-reported diagnosed PTSD for Regular Force members who had transitioned was 13% and the rate of suicidal ideation in the previous year was 7% (6–8%) </w:t>
      </w:r>
      <w:r w:rsidRPr="005B0796">
        <w:fldChar w:fldCharType="begin"/>
      </w:r>
      <w:r w:rsidRPr="005B0796">
        <w:instrText xml:space="preserve"> ADDIN EN.CITE &lt;EndNote&gt;&lt;Cite&gt;&lt;Author&gt;Thompson&lt;/Author&gt;&lt;Year&gt;2015&lt;/Year&gt;&lt;RecNum&gt;389&lt;/RecNum&gt;&lt;DisplayText&gt;(Thompson et al., 2015; Van Til et al., 2014a)&lt;/DisplayText&gt;&lt;record&gt;&lt;rec-number&gt;389&lt;/rec-number&gt;&lt;foreign-keys&gt;&lt;key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2105&lt;/publisher&gt;&lt;urls&gt;&lt;/urls&gt;&lt;/record&gt;&lt;/Cite&gt;&lt;Cite&gt;&lt;Author&gt;Van Til&lt;/Author&gt;&lt;Year&gt;2014&lt;/Year&gt;&lt;RecNum&gt;7&lt;/RecNum&gt;&lt;record&gt;&lt;rec-number&gt;7&lt;/rec-number&gt;&lt;foreign-keys&gt;&lt;key app="EN" db-id="arwdrezp9sdawxevtfyxtfw10exvr5exxfed" timestamp="1473833607"&gt;7&lt;/key&gt;&lt;/foreign-keys&gt;&lt;ref-type name="Book"&gt;6&lt;/ref-type&gt;&lt;contributors&gt;&lt;authors&gt;&lt;author&gt;Van Til, L.&lt;/author&gt;&lt;author&gt;Macintosh, S.&lt;/author&gt;&lt;author&gt;Thomspon, J.&lt;/author&gt;&lt;author&gt;MacLean, M. B.&lt;/author&gt;&lt;author&gt;Campbell, L.&lt;/author&gt;&lt;author&gt;Pedlar,D&lt;/author&gt;&lt;/authors&gt;&lt;/contributors&gt;&lt;titles&gt;&lt;title&gt;2013 Synthesis of Life After Service Studies.&lt;/title&gt;&lt;/titles&gt;&lt;dates&gt;&lt;year&gt;2014&lt;/year&gt;&lt;/dates&gt;&lt;pub-location&gt;Charlottetown (PE)&lt;/pub-location&gt;&lt;publisher&gt;Veterans Affairs Canada, Research Directorate Synthesis Report; 3 July 2014.&lt;/publisher&gt;&lt;urls&gt;&lt;/urls&gt;&lt;/record&gt;&lt;/Cite&gt;&lt;/EndNote&gt;</w:instrText>
      </w:r>
      <w:r w:rsidRPr="005B0796">
        <w:fldChar w:fldCharType="separate"/>
      </w:r>
      <w:r w:rsidRPr="005B0796">
        <w:t>(Thompson et al., 2015; Van Til et al., 2014a)</w:t>
      </w:r>
      <w:r w:rsidRPr="005B0796">
        <w:fldChar w:fldCharType="end"/>
      </w:r>
      <w:r w:rsidRPr="005B0796">
        <w:t xml:space="preserve">. Of the transitioned groups, </w:t>
      </w:r>
      <w:r w:rsidRPr="005B0796">
        <w:rPr>
          <w:rFonts w:asciiTheme="minorHAnsi" w:hAnsiTheme="minorHAnsi"/>
          <w:szCs w:val="22"/>
        </w:rPr>
        <w:t xml:space="preserve">Transitioned Reservists, particularly those with part-time or temporary full-time service – as opposed to those </w:t>
      </w:r>
      <w:r w:rsidRPr="005B0796">
        <w:t xml:space="preserve">with full-time service in support of deployed operations, domestically or internationally – </w:t>
      </w:r>
      <w:r w:rsidRPr="005B0796">
        <w:rPr>
          <w:rFonts w:asciiTheme="minorHAnsi" w:hAnsiTheme="minorHAnsi"/>
          <w:szCs w:val="22"/>
        </w:rPr>
        <w:t>had the least difficulty adjusting to civilian life.</w:t>
      </w:r>
      <w:r w:rsidRPr="005B0796">
        <w:t xml:space="preserve"> </w:t>
      </w:r>
    </w:p>
    <w:p w:rsidR="008756D4" w:rsidRPr="005B0796" w:rsidRDefault="008756D4" w:rsidP="008756D4">
      <w:r w:rsidRPr="005B0796">
        <w:t xml:space="preserve">It was interesting to note that in the LASS 2013, of the 13% of transitioned Regular Force members with self-reported diagnosed PTSD, 38% did not meet the screening criteria for probable PTSD as measured by the PC-PTSD </w:t>
      </w:r>
      <w:r w:rsidRPr="005B0796">
        <w:fldChar w:fldCharType="begin"/>
      </w:r>
      <w:r w:rsidRPr="005B0796">
        <w:instrText xml:space="preserve"> ADDIN EN.CITE &lt;EndNote&gt;&lt;Cite&gt;&lt;Author&gt;Thompson&lt;/Author&gt;&lt;Year&gt;2015&lt;/Year&gt;&lt;RecNum&gt;389&lt;/RecNum&gt;&lt;DisplayText&gt;(Thompson et al., 2015)&lt;/DisplayText&gt;&lt;record&gt;&lt;rec-number&gt;389&lt;/rec-number&gt;&lt;foreign-keys&gt;&lt;key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(Thompson et al., 2015)</w:t>
      </w:r>
      <w:r w:rsidRPr="005B0796">
        <w:fldChar w:fldCharType="end"/>
      </w:r>
      <w:r w:rsidRPr="005B0796">
        <w:t xml:space="preserve">. This suggests that about one-third with a diagnosis of PTSD were not highly symptomatic in the month before the survey. Conversely, 42% of Transitioned Regular Force members who screened positive for PTSD in the previous month did not have a self-reported diagnosis of PTSD, and may have been captured after being undiagnosed and/or having subthreshold mental health problems. This suggests an unmet need for recognition and diagnosis of PTSD in ex-serving members who are not seeking treatment and are living in the community </w:t>
      </w:r>
      <w:r w:rsidRPr="005B0796">
        <w:fldChar w:fldCharType="begin"/>
      </w:r>
      <w:r w:rsidRPr="005B0796">
        <w:instrText xml:space="preserve"> ADDIN EN.CITE &lt;EndNote&gt;&lt;Cite&gt;&lt;Author&gt;Thompson&lt;/Author&gt;&lt;Year&gt;2015&lt;/Year&gt;&lt;RecNum&gt;389&lt;/RecNum&gt;&lt;DisplayText&gt;(Thompson et al., 2015)&lt;/DisplayText&gt;&lt;record&gt;&lt;rec-number&gt;389&lt;/rec-number&gt;&lt;foreign-keys&gt;&lt;key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(Thompson et al., 2015)</w:t>
      </w:r>
      <w:r w:rsidRPr="005B0796">
        <w:fldChar w:fldCharType="end"/>
      </w:r>
      <w:r w:rsidRPr="005B0796">
        <w:t>.</w:t>
      </w:r>
    </w:p>
    <w:p w:rsidR="008756D4" w:rsidRPr="005B0796" w:rsidRDefault="008756D4" w:rsidP="008756D4">
      <w:pPr>
        <w:pStyle w:val="Heading3"/>
      </w:pPr>
      <w:bookmarkStart w:id="48" w:name="_Toc487011165"/>
      <w:bookmarkStart w:id="49" w:name="_Toc494449681"/>
      <w:bookmarkStart w:id="50" w:name="_Toc511900263"/>
      <w:r w:rsidRPr="005B0796">
        <w:t>Risk and protective factors</w:t>
      </w:r>
      <w:bookmarkEnd w:id="48"/>
      <w:bookmarkEnd w:id="49"/>
      <w:bookmarkEnd w:id="50"/>
    </w:p>
    <w:p w:rsidR="008756D4" w:rsidRPr="005B0796" w:rsidRDefault="008756D4" w:rsidP="008756D4">
      <w:r w:rsidRPr="005B0796">
        <w:t>Despite the lack of direct comparability of studies undertaken in different countries, there is an emerging profile of transitioned members of the military who have particularly poor mental health. This profile is comprised of a number of distinct risk and protective factors known to influence mental health during and after the transition period.</w:t>
      </w:r>
      <w:r w:rsidRPr="005B0796">
        <w:rPr>
          <w:rFonts w:asciiTheme="majorHAnsi" w:hAnsiTheme="majorHAnsi"/>
        </w:rPr>
        <w:t xml:space="preserve"> </w:t>
      </w:r>
      <w:r w:rsidRPr="005B0796">
        <w:t>These include</w:t>
      </w:r>
      <w:r w:rsidRPr="005B0796">
        <w:rPr>
          <w:rFonts w:asciiTheme="majorHAnsi" w:hAnsiTheme="majorHAnsi"/>
        </w:rPr>
        <w:t xml:space="preserve"> </w:t>
      </w:r>
      <w:r w:rsidRPr="005B0796">
        <w:t>pre-enlistment factors (childhood and non-military trauma and adversity), socio-demographic characteristics (age, sex</w:t>
      </w:r>
      <w:r w:rsidR="00FF4FBE">
        <w:t xml:space="preserve"> and</w:t>
      </w:r>
      <w:r w:rsidRPr="005B0796">
        <w:t xml:space="preserve"> educational level), military and service-related factors (rank, Service, years of service, service-related mental and physical health problems) and transition factors (reason for transition, years since transition) </w:t>
      </w:r>
      <w:r w:rsidRPr="005B0796">
        <w:fldChar w:fldCharType="begin">
          <w:fldData xml:space="preserve">PEVuZE5vdGU+PENpdGU+PEF1dGhvcj5NYWNMZWFuPC9BdXRob3I+PFllYXI+MjAxNDwvWWVhcj48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</w:fldData>
        </w:fldChar>
      </w:r>
      <w:r w:rsidRPr="005B0796">
        <w:instrText xml:space="preserve"> ADDIN EN.CITE </w:instrText>
      </w:r>
      <w:r w:rsidRPr="005B0796">
        <w:fldChar w:fldCharType="begin">
          <w:fldData xml:space="preserve">PEVuZE5vdGU+PENpdGU+PEF1dGhvcj5NYWNMZWFuPC9BdXRob3I+PFllYXI+MjAxNDwvWWVhcj48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</w:fldData>
        </w:fldChar>
      </w:r>
      <w:r w:rsidRPr="005B0796">
        <w:instrText xml:space="preserve"> ADDIN EN.CITE.DATA </w:instrText>
      </w:r>
      <w:r w:rsidRPr="005B0796">
        <w:fldChar w:fldCharType="end"/>
      </w:r>
      <w:r w:rsidRPr="005B0796">
        <w:fldChar w:fldCharType="separate"/>
      </w:r>
      <w:r w:rsidRPr="005B0796">
        <w:t>(MacLean et al., 2014)</w:t>
      </w:r>
      <w:r w:rsidRPr="005B0796">
        <w:fldChar w:fldCharType="end"/>
      </w:r>
      <w:r w:rsidRPr="005B0796">
        <w:t>.</w:t>
      </w:r>
    </w:p>
    <w:p w:rsidR="008756D4" w:rsidRPr="005B0796" w:rsidRDefault="008756D4" w:rsidP="008756D4">
      <w:r w:rsidRPr="005B0796">
        <w:t xml:space="preserve">The Canadian military study by Thompson </w:t>
      </w:r>
      <w:r w:rsidRPr="005B0796">
        <w:fldChar w:fldCharType="begin"/>
      </w:r>
      <w:r w:rsidRPr="005B0796">
        <w:instrText xml:space="preserve"> ADDIN EN.CITE &lt;EndNote&gt;&lt;Cite ExcludeAuth="1"&gt;&lt;Author&gt;Thompson&lt;/Author&gt;&lt;Year&gt;2013&lt;/Year&gt;&lt;RecNum&gt;15&lt;/RecNum&gt;&lt;DisplayText&gt;(2013)&lt;/DisplayText&gt;&lt;record&gt;&lt;rec-number&gt;15&lt;/rec-number&gt;&lt;foreign-keys&gt;&lt;key app="EN" db-id="arwdrezp9sdawxevtfyxtfw10exvr5exxfed" timestamp="1473833608"&gt;15&lt;/key&gt;&lt;/foreign-keys&gt;&lt;ref-type name="Journal Article"&gt;17&lt;/ref-type&gt;&lt;contributors&gt;&lt;authors&gt;&lt;author&gt;Thompson,J&lt;/author&gt;&lt;author&gt;Hopman, W.&lt;/author&gt;&lt;author&gt;Sweet,J&lt;/author&gt;&lt;author&gt;VanTil,L&lt;/author&gt;&lt;author&gt;MacLean,MB.&lt;/author&gt;&lt;author&gt;VanDenKerkhof,E.&lt;/author&gt;&lt;author&gt;Sudom,, K.&lt;/author&gt;&lt;author&gt;Poirier,A.&lt;/author&gt;&lt;author&gt;Pedlar,D.&lt;/author&gt;&lt;/authors&gt;&lt;/contributors&gt;&lt;titles&gt;&lt;title&gt;Health-related Quality of Life of Canadian Forces Veterans After Transition to Civilian Life&lt;/title&gt;&lt;secondary-title&gt;Canadian Journal of Public Health &lt;/secondary-title&gt;&lt;/titles&gt;&lt;periodical&gt;&lt;full-title&gt;Canadian Journal of Public Health&lt;/full-title&gt;&lt;/periodical&gt;&lt;pages&gt;e15-e21&lt;/pages&gt;&lt;volume&gt;104&lt;/volume&gt;&lt;number&gt;1&lt;/number&gt;&lt;dates&gt;&lt;year&gt;2013&lt;/year&gt;&lt;/dates&gt;&lt;publisher&gt;Canadian Public Health Association&lt;/publisher&gt;&lt;isbn&gt;00084263, 19207476&lt;/isbn&gt;&lt;urls&gt;&lt;related-urls&gt;&lt;url&gt;http://www.jstor.org/stable/canajpublheal.104.1.0e15&lt;/url&gt;&lt;/related-urls&gt;&lt;/urls&gt;&lt;custom1&gt;Full publication date: January/February 2013&lt;/custom1&gt;&lt;/record&gt;&lt;/Cite&gt;&lt;/EndNote&gt;</w:instrText>
      </w:r>
      <w:r w:rsidRPr="005B0796">
        <w:fldChar w:fldCharType="separate"/>
      </w:r>
      <w:r w:rsidRPr="005B0796">
        <w:t>(2013)</w:t>
      </w:r>
      <w:r w:rsidRPr="005B0796">
        <w:fldChar w:fldCharType="end"/>
      </w:r>
      <w:r w:rsidRPr="005B0796">
        <w:t xml:space="preserve"> also examined the link between </w:t>
      </w:r>
      <w:r w:rsidR="00FF4FBE">
        <w:t xml:space="preserve">the </w:t>
      </w:r>
      <w:r w:rsidRPr="005B0796">
        <w:t>health</w:t>
      </w:r>
      <w:r w:rsidRPr="005B0796">
        <w:noBreakHyphen/>
        <w:t xml:space="preserve">related quality of life of members and a number of socio-demographic and transition factors. In this study, poorer mental and physical health was observed in transitioned members who were middle-aged; lower in rank; widowed, separated or divorced; or unemployed, earning a low income or dissatisfied with their financial situation; had 10–19 years of service; were living in conditions that made it difficult to maintain physical and mental health; had a disability; had low social support; </w:t>
      </w:r>
      <w:r w:rsidR="00FF4FBE">
        <w:t>or</w:t>
      </w:r>
      <w:r w:rsidRPr="005B0796">
        <w:t xml:space="preserve"> who were medically discharged. </w:t>
      </w:r>
      <w:r w:rsidRPr="005B0796">
        <w:rPr>
          <w:rFonts w:eastAsia="MS Mincho" w:cs="Times"/>
          <w:color w:val="1A1718"/>
        </w:rPr>
        <w:t>A</w:t>
      </w:r>
      <w:r w:rsidRPr="005B0796">
        <w:rPr>
          <w:szCs w:val="22"/>
        </w:rPr>
        <w:t xml:space="preserve"> significant feature of the findings was that those with living conditions that made it difficult to adjust and maintain mental health tended to be concentrated among </w:t>
      </w:r>
      <w:r w:rsidR="00462A0C" w:rsidRPr="005B0796">
        <w:rPr>
          <w:szCs w:val="22"/>
        </w:rPr>
        <w:t>‘</w:t>
      </w:r>
      <w:r w:rsidRPr="005B0796">
        <w:rPr>
          <w:szCs w:val="22"/>
        </w:rPr>
        <w:t>treatment-seeking</w:t>
      </w:r>
      <w:r w:rsidR="00462A0C" w:rsidRPr="005B0796">
        <w:rPr>
          <w:szCs w:val="22"/>
        </w:rPr>
        <w:t>’</w:t>
      </w:r>
      <w:r w:rsidRPr="005B0796">
        <w:rPr>
          <w:szCs w:val="22"/>
        </w:rPr>
        <w:t xml:space="preserve"> VAC clients </w:t>
      </w:r>
      <w:r w:rsidRPr="005B0796">
        <w:rPr>
          <w:szCs w:val="22"/>
        </w:rPr>
        <w:fldChar w:fldCharType="begin"/>
      </w:r>
      <w:r w:rsidRPr="005B0796">
        <w:rPr>
          <w:szCs w:val="22"/>
        </w:rPr>
        <w:instrText xml:space="preserve"> ADDIN EN.CITE &lt;EndNote&gt;&lt;Cite&gt;&lt;Author&gt;Thompson&lt;/Author&gt;&lt;Year&gt;2015&lt;/Year&gt;&lt;RecNum&gt;389&lt;/RecNum&gt;&lt;DisplayText&gt;(Thompson et al., 2015; Van Til et al., 2014a)&lt;/DisplayText&gt;&lt;record&gt;&lt;rec-number&gt;389&lt;/rec-number&gt;&lt;foreign-keys&gt;&lt;key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2105&lt;/publisher&gt;&lt;urls&gt;&lt;/urls&gt;&lt;/record&gt;&lt;/Cite&gt;&lt;Cite&gt;&lt;Author&gt;Van Til&lt;/Author&gt;&lt;Year&gt;2014&lt;/Year&gt;&lt;RecNum&gt;7&lt;/RecNum&gt;&lt;record&gt;&lt;rec-number&gt;7&lt;/rec-number&gt;&lt;foreign-keys&gt;&lt;key app="EN" db-id="arwdrezp9sdawxevtfyxtfw10exvr5exxfed" timestamp="1473833607"&gt;7&lt;/key&gt;&lt;/foreign-keys&gt;&lt;ref-type name="Book"&gt;6&lt;/ref-type&gt;&lt;contributors&gt;&lt;authors&gt;&lt;author&gt;Van Til, L.&lt;/author&gt;&lt;author&gt;Macintosh, S.&lt;/author&gt;&lt;author&gt;Thomspon, J.&lt;/author&gt;&lt;author&gt;MacLean, M. B.&lt;/author&gt;&lt;author&gt;Campbell, L.&lt;/author&gt;&lt;author&gt;Pedlar,D&lt;/author&gt;&lt;/authors&gt;&lt;/contributors&gt;&lt;titles&gt;&lt;title&gt;2013 Synthesis of Life After Service Studies.&lt;/title&gt;&lt;/titles&gt;&lt;dates&gt;&lt;year&gt;2014&lt;/year&gt;&lt;/dates&gt;&lt;pub-location&gt;Charlottetown (PE)&lt;/pub-location&gt;&lt;publisher&gt;Veterans Affairs Canada, Research Directorate Synthesis Report; 3 July 2014.&lt;/publisher&gt;&lt;urls&gt;&lt;/urls&gt;&lt;/record&gt;&lt;/Cite&gt;&lt;/EndNote&gt;</w:instrText>
      </w:r>
      <w:r w:rsidRPr="005B0796">
        <w:rPr>
          <w:szCs w:val="22"/>
        </w:rPr>
        <w:fldChar w:fldCharType="separate"/>
      </w:r>
      <w:r w:rsidRPr="005B0796">
        <w:rPr>
          <w:szCs w:val="22"/>
        </w:rPr>
        <w:t>(Thompson et al., 2015; Van Til et al., 2014a)</w:t>
      </w:r>
      <w:r w:rsidRPr="005B0796">
        <w:rPr>
          <w:szCs w:val="22"/>
        </w:rPr>
        <w:fldChar w:fldCharType="end"/>
      </w:r>
      <w:r w:rsidRPr="005B0796">
        <w:rPr>
          <w:szCs w:val="22"/>
        </w:rPr>
        <w:t>.</w:t>
      </w:r>
    </w:p>
    <w:p w:rsidR="008756D4" w:rsidRPr="005B0796" w:rsidRDefault="008756D4" w:rsidP="008756D4">
      <w:r w:rsidRPr="005B0796">
        <w:t xml:space="preserve">In the UK context, Hatch </w:t>
      </w:r>
      <w:r w:rsidRPr="005B0796">
        <w:fldChar w:fldCharType="begin">
          <w:fldData xml:space="preserve">PEVuZE5vdGU+PENpdGUgRXhjbHVkZUF1dGg9IjEiPjxBdXRob3I+SGF0Y2g8L0F1dGhvcj48WWVh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</w:fldData>
        </w:fldChar>
      </w:r>
      <w:r w:rsidRPr="005B0796">
        <w:instrText xml:space="preserve"> ADDIN EN.CITE </w:instrText>
      </w:r>
      <w:r w:rsidRPr="005B0796">
        <w:fldChar w:fldCharType="begin">
          <w:fldData xml:space="preserve">PEVuZE5vdGU+PENpdGUgRXhjbHVkZUF1dGg9IjEiPjxBdXRob3I+SGF0Y2g8L0F1dGhvcj48WWVh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</w:fldData>
        </w:fldChar>
      </w:r>
      <w:r w:rsidRPr="005B0796">
        <w:instrText xml:space="preserve"> ADDIN EN.CITE.DATA </w:instrText>
      </w:r>
      <w:r w:rsidRPr="005B0796">
        <w:fldChar w:fldCharType="end"/>
      </w:r>
      <w:r w:rsidRPr="005B0796">
        <w:fldChar w:fldCharType="separate"/>
      </w:r>
      <w:r w:rsidRPr="005B0796">
        <w:t>(2013)</w:t>
      </w:r>
      <w:r w:rsidRPr="005B0796">
        <w:fldChar w:fldCharType="end"/>
      </w:r>
      <w:r w:rsidRPr="005B0796">
        <w:t xml:space="preserve"> compared 1753 service leavers with 6511 regular serving members included in a representative cohort study of UK armed forces. In this study, service leavers were more likely than service members to report common mental disorders (assessed by the 12-item General Health Questionnaire), less social participation outside work and general disengagement with military social contacts. Interestingly, the failure to form and participate in social networks outside the Armed Forces appeared to have a differential impact on mental health, with the maintenance of </w:t>
      </w:r>
      <w:r w:rsidRPr="005B0796">
        <w:rPr>
          <w:i/>
        </w:rPr>
        <w:t xml:space="preserve">military-specific </w:t>
      </w:r>
      <w:r w:rsidRPr="005B0796">
        <w:t xml:space="preserve">social networks being associated with adverse psychological consequences, with the risk for common mental disorders also being partially explained by the social disengagement reported in this group. Pinder </w:t>
      </w:r>
      <w:r w:rsidRPr="005B0796">
        <w:fldChar w:fldCharType="begin">
          <w:fldData xml:space="preserve">PEVuZE5vdGU+PENpdGUgRXhjbHVkZUF1dGg9IjEiPjxBdXRob3I+UGluZGVyPC9BdXRob3I+PFll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</w:fldData>
        </w:fldChar>
      </w:r>
      <w:r w:rsidRPr="005B0796">
        <w:instrText xml:space="preserve"> ADDIN EN.CITE </w:instrText>
      </w:r>
      <w:r w:rsidRPr="005B0796">
        <w:fldChar w:fldCharType="begin">
          <w:fldData xml:space="preserve">PEVuZE5vdGU+PENpdGUgRXhjbHVkZUF1dGg9IjEiPjxBdXRob3I+UGluZGVyPC9BdXRob3I+PFll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</w:fldData>
        </w:fldChar>
      </w:r>
      <w:r w:rsidRPr="005B0796">
        <w:instrText xml:space="preserve"> ADDIN EN.CITE.DATA </w:instrText>
      </w:r>
      <w:r w:rsidRPr="005B0796">
        <w:fldChar w:fldCharType="end"/>
      </w:r>
      <w:r w:rsidRPr="005B0796">
        <w:fldChar w:fldCharType="separate"/>
      </w:r>
      <w:r w:rsidRPr="005B0796">
        <w:t>(2012b)</w:t>
      </w:r>
      <w:r w:rsidRPr="005B0796">
        <w:fldChar w:fldCharType="end"/>
      </w:r>
      <w:r w:rsidRPr="005B0796">
        <w:t xml:space="preserve"> reported that self-harm and suicide attempts were associated with being younger, </w:t>
      </w:r>
      <w:r w:rsidR="00FF4FBE">
        <w:t xml:space="preserve">experiencing </w:t>
      </w:r>
      <w:r w:rsidRPr="005B0796">
        <w:t xml:space="preserve">greater childhood adversity and </w:t>
      </w:r>
      <w:r w:rsidR="00FF4FBE">
        <w:t xml:space="preserve">undertaking </w:t>
      </w:r>
      <w:r w:rsidRPr="005B0796">
        <w:t xml:space="preserve">a shorter term of service, in a sample of UK current and </w:t>
      </w:r>
      <w:r w:rsidR="00FF4FBE">
        <w:t>e</w:t>
      </w:r>
      <w:r w:rsidRPr="005B0796">
        <w:t>x-</w:t>
      </w:r>
      <w:r w:rsidR="00FF4FBE">
        <w:t>s</w:t>
      </w:r>
      <w:r w:rsidRPr="005B0796">
        <w:t xml:space="preserve">erving members of the military </w:t>
      </w:r>
      <w:r w:rsidRPr="005B0796">
        <w:fldChar w:fldCharType="begin">
          <w:fldData xml:space="preserve">PEVuZE5vdGU+PENpdGU+PEF1dGhvcj5QaW5kZXI8L0F1dGhvcj48WWVhcj4yMDEyPC9ZZWFyPjxS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</w:fldData>
        </w:fldChar>
      </w:r>
      <w:r w:rsidRPr="005B0796">
        <w:instrText xml:space="preserve"> ADDIN EN.CITE </w:instrText>
      </w:r>
      <w:r w:rsidRPr="005B0796">
        <w:fldChar w:fldCharType="begin">
          <w:fldData xml:space="preserve">PEVuZE5vdGU+PENpdGU+PEF1dGhvcj5QaW5kZXI8L0F1dGhvcj48WWVhcj4yMDEyPC9ZZWFyPjxS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</w:fldData>
        </w:fldChar>
      </w:r>
      <w:r w:rsidRPr="005B0796">
        <w:instrText xml:space="preserve"> ADDIN EN.CITE.DATA </w:instrText>
      </w:r>
      <w:r w:rsidRPr="005B0796">
        <w:fldChar w:fldCharType="end"/>
      </w:r>
      <w:r w:rsidRPr="005B0796">
        <w:fldChar w:fldCharType="separate"/>
      </w:r>
      <w:r w:rsidRPr="005B0796">
        <w:t>(Pinder et al., 2012b)</w:t>
      </w:r>
      <w:r w:rsidRPr="005B0796">
        <w:fldChar w:fldCharType="end"/>
      </w:r>
      <w:r w:rsidRPr="005B0796">
        <w:t>.</w:t>
      </w:r>
    </w:p>
    <w:p w:rsidR="008756D4" w:rsidRPr="005B0796" w:rsidRDefault="008756D4" w:rsidP="008756D4">
      <w:pPr>
        <w:rPr>
          <w:szCs w:val="22"/>
        </w:rPr>
      </w:pPr>
      <w:r w:rsidRPr="005B0796">
        <w:t xml:space="preserve">Hourani </w:t>
      </w:r>
      <w:r w:rsidRPr="005B0796">
        <w:fldChar w:fldCharType="begin"/>
      </w:r>
      <w:r w:rsidRPr="005B0796">
        <w:instrText xml:space="preserve"> ADDIN EN.CITE &lt;EndNote&gt;&lt;Cite ExcludeAuth="1"&gt;&lt;Author&gt;Hourani&lt;/Author&gt;&lt;Year&gt;2012&lt;/Year&gt;&lt;RecNum&gt;777&lt;/RecNum&gt;&lt;DisplayText&gt;(2012)&lt;/DisplayText&gt;&lt;record&gt;&lt;rec-number&gt;777&lt;/rec-number&gt;&lt;foreign-keys&gt;&lt;key app="EN" db-id="arwdrezp9sdawxevtfyxtfw10exvr5exxfed" timestamp="1488860887"&gt;777&lt;/key&gt;&lt;/foreign-keys&gt;&lt;ref-type name="Journal Article"&gt;17&lt;/ref-type&gt;&lt;contributors&gt;&lt;authors&gt;&lt;author&gt;Hourani, Laurel&lt;/author&gt;&lt;author&gt;Bender, Randall H.&lt;/author&gt;&lt;author&gt;Weimer, Belinda&lt;/author&gt;&lt;author&gt;Peeler, Russ&lt;/author&gt;&lt;author&gt;Bradshaw, Michael&lt;/author&gt;&lt;author&gt;Lane, Marian&lt;/author&gt;&lt;author&gt;Larson, Gerald&lt;/author&gt;&lt;/authors&gt;&lt;/contributors&gt;&lt;titles&gt;&lt;title&gt;Longitudinal study of resilience and mental health in marines leaving military service&lt;/title&gt;&lt;secondary-title&gt;Journal of Affective Disorders&lt;/secondary-title&gt;&lt;/titles&gt;&lt;periodical&gt;&lt;full-title&gt;Journal of Affective Disorders&lt;/full-title&gt;&lt;/periodical&gt;&lt;pages&gt;154-165&lt;/pages&gt;&lt;volume&gt;139&lt;/volume&gt;&lt;number&gt;2&lt;/number&gt;&lt;keywords&gt;&lt;keyword&gt;Longitudinal&lt;/keyword&gt;&lt;keyword&gt;Mental health&lt;/keyword&gt;&lt;keyword&gt;PTSD&lt;/keyword&gt;&lt;keyword&gt;Resilience&lt;/keyword&gt;&lt;keyword&gt;Military&lt;/keyword&gt;&lt;keyword&gt;Combat exposure&lt;/keyword&gt;&lt;/keywords&gt;&lt;dates&gt;&lt;year&gt;2012&lt;/year&gt;&lt;/dates&gt;&lt;isbn&gt;0165-0327&lt;/isbn&gt;&lt;urls&gt;&lt;related-urls&gt;&lt;url&gt;http://www.sciencedirect.com/science/article/pii/S0165032712000158&lt;/url&gt;&lt;url&gt;http://ac.els-cdn.com/S0165032712000158/1-s2.0-S0165032712000158-main.pdf?_tid=e19df678-57b3-11e6-8d9d-00000aacb35d&amp;amp;acdnat=1470034257_f472f527903a35b41d7637173840a88d&lt;/url&gt;&lt;url&gt;http://ac.els-cdn.com/S0165032712000158/1-s2.0-S0165032712000158-main.pdf?_tid=33c91b5a-7a44-11e6-9892-00000aab0f27&amp;amp;acdnat=1473834582_01e8d0a1f1176d84272d88d573b62d1e&lt;/url&gt;&lt;/related-urls&gt;&lt;/urls&gt;&lt;electronic-resource-num&gt;http://dx.doi.org/10.1016/j.jad.2012.01.008&lt;/electronic-resource-num&gt;&lt;/record&gt;&lt;/Cite&gt;&lt;/EndNote&gt;</w:instrText>
      </w:r>
      <w:r w:rsidRPr="005B0796">
        <w:fldChar w:fldCharType="separate"/>
      </w:r>
      <w:r w:rsidRPr="005B0796">
        <w:t>(2012)</w:t>
      </w:r>
      <w:r w:rsidRPr="005B0796">
        <w:fldChar w:fldCharType="end"/>
      </w:r>
      <w:r w:rsidRPr="005B0796">
        <w:t xml:space="preserve"> examined 475 US combat-exposed marines six months after they transitioned to civilian life, and revealed similar risk and protective factors for those meeting screening criteria for mental health problems (depression, anxiety and PTSD) and functional impairment. In this study, primary risk factors included experiencing higher levels of pre-separation combat exposure and post</w:t>
      </w:r>
      <w:r w:rsidRPr="005B0796">
        <w:noBreakHyphen/>
        <w:t>separation stress across multiple life domains. The</w:t>
      </w:r>
      <w:r w:rsidR="004E7AC5">
        <w:t xml:space="preserve"> marines</w:t>
      </w:r>
      <w:r w:rsidRPr="005B0796">
        <w:t xml:space="preserve"> </w:t>
      </w:r>
      <w:r w:rsidRPr="005B0796">
        <w:rPr>
          <w:szCs w:val="22"/>
        </w:rPr>
        <w:t xml:space="preserve">were also more likely to report a reason other than retirement or expiry of service for leaving the military. In this study, </w:t>
      </w:r>
      <w:r w:rsidRPr="005B0796">
        <w:t>protective factors included having higher scores for pre-separation resilience and perceived social support at follow</w:t>
      </w:r>
      <w:r w:rsidRPr="005B0796">
        <w:noBreakHyphen/>
        <w:t xml:space="preserve">up. </w:t>
      </w:r>
      <w:r w:rsidRPr="005B0796">
        <w:rPr>
          <w:szCs w:val="22"/>
        </w:rPr>
        <w:t xml:space="preserve">Consistent with the Canadian research, reintegration difficulties were higher among US veterans who served in OIF, OEF or Operation New Dawn and who were VA </w:t>
      </w:r>
      <w:r w:rsidR="004E7AC5" w:rsidRPr="005B0796">
        <w:rPr>
          <w:szCs w:val="22"/>
        </w:rPr>
        <w:t xml:space="preserve">health care </w:t>
      </w:r>
      <w:r w:rsidRPr="005B0796">
        <w:rPr>
          <w:szCs w:val="22"/>
        </w:rPr>
        <w:t xml:space="preserve">users (62%), than for those who did not use VA (45%). </w:t>
      </w:r>
    </w:p>
    <w:p w:rsidR="008756D4" w:rsidRPr="005B0796" w:rsidRDefault="008756D4" w:rsidP="008756D4">
      <w:r w:rsidRPr="005B0796">
        <w:t xml:space="preserve">Overall, veterans identified as VA users had poorer mental health and greater reintegration difficulty and alcohol misuse than non-VA users (62% versus 45%) </w:t>
      </w:r>
      <w:r w:rsidRPr="005B0796">
        <w:fldChar w:fldCharType="begin">
          <w:fldData xml:space="preserve">PEVuZE5vdGU+PENpdGU+PEF1dGhvcj5TYXllcjwvQXV0aG9yPjxZZWFyPjIwMTU8L1llYXI+PFJl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</w:fldData>
        </w:fldChar>
      </w:r>
      <w:r w:rsidRPr="005B0796">
        <w:instrText xml:space="preserve"> ADDIN EN.CITE </w:instrText>
      </w:r>
      <w:r w:rsidRPr="005B0796">
        <w:fldChar w:fldCharType="begin">
          <w:fldData xml:space="preserve">PEVuZE5vdGU+PENpdGU+PEF1dGhvcj5TYXllcjwvQXV0aG9yPjxZZWFyPjIwMTU8L1llYXI+PFJl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</w:fldData>
        </w:fldChar>
      </w:r>
      <w:r w:rsidRPr="005B0796">
        <w:instrText xml:space="preserve"> ADDIN EN.CITE.DATA </w:instrText>
      </w:r>
      <w:r w:rsidRPr="005B0796">
        <w:fldChar w:fldCharType="end"/>
      </w:r>
      <w:r w:rsidRPr="005B0796">
        <w:fldChar w:fldCharType="separate"/>
      </w:r>
      <w:r w:rsidRPr="005B0796">
        <w:t>(Sayer et al., 2015)</w:t>
      </w:r>
      <w:r w:rsidRPr="005B0796">
        <w:fldChar w:fldCharType="end"/>
      </w:r>
      <w:r w:rsidRPr="005B0796">
        <w:t>.</w:t>
      </w:r>
    </w:p>
    <w:p w:rsidR="008756D4" w:rsidRPr="005B0796" w:rsidRDefault="008756D4" w:rsidP="008756D4">
      <w:r w:rsidRPr="005B0796">
        <w:t>The number of readjustment stressors was reported to closely correlate with psychiatric problems and a significant risk factor for suicide in a study of 233,803 members who had left the UK Armed Forces (1996–2005). In this study, the odds of suicidal ideation among a psychiatrically impaired sub-sample with a high number of stressors was 4.3 times that of no-stressor group. After adjusting for individual mental health conditions, the odds of suicidal ideation among those experiencing the highest number of stressors were 5.4 times that of veterans experiencing no readjustment stressors</w:t>
      </w:r>
      <w:r w:rsidRPr="005B0796">
        <w:rPr>
          <w:rFonts w:cs="Calibri"/>
        </w:rPr>
        <w:t xml:space="preserve"> </w:t>
      </w:r>
      <w:r w:rsidRPr="005B0796">
        <w:fldChar w:fldCharType="begin">
          <w:fldData xml:space="preserve">PEVuZE5vdGU+PENpdGU+PEF1dGhvcj5LYXB1cjwvQXV0aG9yPjxZZWFyPjIwMDk8L1llYXI+PFJl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</w:fldData>
        </w:fldChar>
      </w:r>
      <w:r w:rsidRPr="005B0796">
        <w:instrText xml:space="preserve"> ADDIN EN.CITE </w:instrText>
      </w:r>
      <w:r w:rsidRPr="005B0796">
        <w:fldChar w:fldCharType="begin">
          <w:fldData xml:space="preserve">PEVuZE5vdGU+PENpdGU+PEF1dGhvcj5LYXB1cjwvQXV0aG9yPjxZZWFyPjIwMDk8L1llYXI+PFJl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</w:fldData>
        </w:fldChar>
      </w:r>
      <w:r w:rsidRPr="005B0796">
        <w:instrText xml:space="preserve"> ADDIN EN.CITE.DATA </w:instrText>
      </w:r>
      <w:r w:rsidRPr="005B0796">
        <w:fldChar w:fldCharType="end"/>
      </w:r>
      <w:r w:rsidRPr="005B0796">
        <w:fldChar w:fldCharType="separate"/>
      </w:r>
      <w:r w:rsidRPr="005B0796">
        <w:t>(Kapur et al., 2009)</w:t>
      </w:r>
      <w:r w:rsidRPr="005B0796">
        <w:fldChar w:fldCharType="end"/>
      </w:r>
      <w:r w:rsidRPr="005B0796">
        <w:t xml:space="preserve">. Other post-service stressors known to be associated with poor outcomes included relationship and family conflict, separation and divorce, financial stress, unemployment and reliance on maladaptive coping strategies such as alcohol misuse </w:t>
      </w:r>
      <w:r w:rsidRPr="005B0796">
        <w:fldChar w:fldCharType="begin">
          <w:fldData xml:space="preserve">PEVuZE5vdGU+PENpdGU+PEF1dGhvcj5Hb2x1YjwvQXV0aG9yPjxZZWFyPjIwMTQ8L1llYXI+PFJl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</w:fldData>
        </w:fldChar>
      </w:r>
      <w:r w:rsidRPr="005B0796">
        <w:instrText xml:space="preserve"> ADDIN EN.CITE </w:instrText>
      </w:r>
      <w:r w:rsidRPr="005B0796">
        <w:fldChar w:fldCharType="begin">
          <w:fldData xml:space="preserve">PEVuZE5vdGU+PENpdGU+PEF1dGhvcj5Hb2x1YjwvQXV0aG9yPjxZZWFyPjIwMTQ8L1llYXI+PFJl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</w:fldData>
        </w:fldChar>
      </w:r>
      <w:r w:rsidRPr="005B0796">
        <w:instrText xml:space="preserve"> ADDIN EN.CITE.DATA </w:instrText>
      </w:r>
      <w:r w:rsidRPr="005B0796">
        <w:fldChar w:fldCharType="end"/>
      </w:r>
      <w:r w:rsidRPr="005B0796">
        <w:fldChar w:fldCharType="separate"/>
      </w:r>
      <w:r w:rsidRPr="005B0796">
        <w:t>(Golub &amp; Bennett, 2014; Hoggatt et al., 2015)</w:t>
      </w:r>
      <w:r w:rsidRPr="005B0796">
        <w:fldChar w:fldCharType="end"/>
      </w:r>
      <w:r w:rsidRPr="005B0796">
        <w:t>.</w:t>
      </w:r>
    </w:p>
    <w:p w:rsidR="008756D4" w:rsidRPr="005B0796" w:rsidRDefault="008756D4" w:rsidP="008756D4">
      <w:r w:rsidRPr="005B0796">
        <w:t xml:space="preserve">Similar to what has been observed for current serving military members, other stressors experienced before and during service may also contribute to the risk of developing mental health problems for some ex-serving members in the transition period. This includes pre-enlistment or childhood adversity, such as childhood physical abuse, physical assault, social adversity and non–military related accidents or disasters </w:t>
      </w:r>
      <w:r w:rsidRPr="005B0796">
        <w:fldChar w:fldCharType="begin">
          <w:fldData xml:space="preserve">PEVuZE5vdGU+PENpdGU+PEF1dGhvcj5EZWRlcnQ8L0F1dGhvcj48WWVhcj4yMDA5PC9ZZWFyPjxS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</w:fldData>
        </w:fldChar>
      </w:r>
      <w:r w:rsidRPr="005B0796">
        <w:instrText xml:space="preserve"> ADDIN EN.CITE </w:instrText>
      </w:r>
      <w:r w:rsidRPr="005B0796">
        <w:fldChar w:fldCharType="begin">
          <w:fldData xml:space="preserve">PEVuZE5vdGU+PENpdGU+PEF1dGhvcj5EZWRlcnQ8L0F1dGhvcj48WWVhcj4yMDA5PC9ZZWFyPjxS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</w:fldData>
        </w:fldChar>
      </w:r>
      <w:r w:rsidRPr="005B0796">
        <w:instrText xml:space="preserve"> ADDIN EN.CITE.DATA </w:instrText>
      </w:r>
      <w:r w:rsidRPr="005B0796">
        <w:fldChar w:fldCharType="end"/>
      </w:r>
      <w:r w:rsidRPr="005B0796">
        <w:fldChar w:fldCharType="separate"/>
      </w:r>
      <w:r w:rsidRPr="005B0796">
        <w:t>(Dedert et al., 2009; Iversen et al., 2007; KCMHR, 2014; Clancy et al., 2006; van Staden et al., 2007)</w:t>
      </w:r>
      <w:r w:rsidRPr="005B0796">
        <w:fldChar w:fldCharType="end"/>
      </w:r>
      <w:r w:rsidRPr="005B0796">
        <w:t xml:space="preserve">, as well as combat exposure and physical assault occurring during military service </w:t>
      </w:r>
      <w:r w:rsidRPr="005B0796">
        <w:fldChar w:fldCharType="begin">
          <w:fldData xml:space="preserve">PEVuZE5vdGU+PENpdGU+PEF1dGhvcj5DbGFuY3k8L0F1dGhvcj48WWVhcj4yMDA2PC9ZZWFyPjxS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</w:fldData>
        </w:fldChar>
      </w:r>
      <w:r w:rsidRPr="005B0796">
        <w:instrText xml:space="preserve"> ADDIN EN.CITE </w:instrText>
      </w:r>
      <w:r w:rsidRPr="005B0796">
        <w:fldChar w:fldCharType="begin">
          <w:fldData xml:space="preserve">PEVuZE5vdGU+PENpdGU+PEF1dGhvcj5DbGFuY3k8L0F1dGhvcj48WWVhcj4yMDA2PC9ZZWFyPjxS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</w:fldData>
        </w:fldChar>
      </w:r>
      <w:r w:rsidRPr="005B0796">
        <w:instrText xml:space="preserve"> ADDIN EN.CITE.DATA </w:instrText>
      </w:r>
      <w:r w:rsidRPr="005B0796">
        <w:fldChar w:fldCharType="end"/>
      </w:r>
      <w:r w:rsidRPr="005B0796">
        <w:fldChar w:fldCharType="separate"/>
      </w:r>
      <w:r w:rsidRPr="005B0796">
        <w:t>(Clancy et al., 2006)</w:t>
      </w:r>
      <w:r w:rsidRPr="005B0796">
        <w:fldChar w:fldCharType="end"/>
      </w:r>
      <w:r w:rsidRPr="005B0796">
        <w:t xml:space="preserve">. Other non–service related lifetime traumas, including adult sexual trauma and physical assault after military service, are also associated with PTSD symptoms in particular </w:t>
      </w:r>
      <w:r w:rsidRPr="005B0796">
        <w:fldChar w:fldCharType="begin">
          <w:fldData xml:space="preserve">PEVuZE5vdGU+PENpdGU+PEF1dGhvcj5DbGFuY3k8L0F1dGhvcj48WWVhcj4yMDA2PC9ZZWFyPjxS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</w:fldData>
        </w:fldChar>
      </w:r>
      <w:r w:rsidRPr="005B0796">
        <w:instrText xml:space="preserve"> ADDIN EN.CITE </w:instrText>
      </w:r>
      <w:r w:rsidRPr="005B0796">
        <w:fldChar w:fldCharType="begin">
          <w:fldData xml:space="preserve">PEVuZE5vdGU+PENpdGU+PEF1dGhvcj5DbGFuY3k8L0F1dGhvcj48WWVhcj4yMDA2PC9ZZWFyPjxS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</w:fldData>
        </w:fldChar>
      </w:r>
      <w:r w:rsidRPr="005B0796">
        <w:instrText xml:space="preserve"> ADDIN EN.CITE.DATA </w:instrText>
      </w:r>
      <w:r w:rsidRPr="005B0796">
        <w:fldChar w:fldCharType="end"/>
      </w:r>
      <w:r w:rsidRPr="005B0796">
        <w:fldChar w:fldCharType="separate"/>
      </w:r>
      <w:r w:rsidRPr="005B0796">
        <w:t>(Clancy et al., 2006)</w:t>
      </w:r>
      <w:r w:rsidRPr="005B0796">
        <w:fldChar w:fldCharType="end"/>
      </w:r>
      <w:r w:rsidRPr="005B0796">
        <w:t xml:space="preserve">, as are a number of trauma types </w:t>
      </w:r>
      <w:r w:rsidRPr="005B0796">
        <w:fldChar w:fldCharType="begin">
          <w:fldData xml:space="preserve">PEVuZE5vdGU+PENpdGU+PEF1dGhvcj5XaXNjbzwvQXV0aG9yPjxZZWFyPjIwMTQ8L1llYXI+PFJl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</w:fldData>
        </w:fldChar>
      </w:r>
      <w:r w:rsidRPr="005B0796">
        <w:instrText xml:space="preserve"> ADDIN EN.CITE </w:instrText>
      </w:r>
      <w:r w:rsidRPr="005B0796">
        <w:fldChar w:fldCharType="begin">
          <w:fldData xml:space="preserve">PEVuZE5vdGU+PENpdGU+PEF1dGhvcj5XaXNjbzwvQXV0aG9yPjxZZWFyPjIwMTQ8L1llYXI+PFJl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</w:fldData>
        </w:fldChar>
      </w:r>
      <w:r w:rsidRPr="005B0796">
        <w:instrText xml:space="preserve"> ADDIN EN.CITE.DATA </w:instrText>
      </w:r>
      <w:r w:rsidRPr="005B0796">
        <w:fldChar w:fldCharType="end"/>
      </w:r>
      <w:r w:rsidRPr="005B0796">
        <w:fldChar w:fldCharType="separate"/>
      </w:r>
      <w:r w:rsidRPr="005B0796">
        <w:t>(Wisco et al., 2014)</w:t>
      </w:r>
      <w:r w:rsidRPr="005B0796">
        <w:fldChar w:fldCharType="end"/>
      </w:r>
      <w:r w:rsidRPr="005B0796">
        <w:t>.</w:t>
      </w:r>
    </w:p>
    <w:p w:rsidR="008756D4" w:rsidRPr="005B0796" w:rsidRDefault="008756D4" w:rsidP="008756D4">
      <w:r w:rsidRPr="005B0796">
        <w:t xml:space="preserve">Finally, while evidence is emerging internationally that experiences on deployment may be associated with adverse mental health outcomes </w:t>
      </w:r>
      <w:r w:rsidRPr="005B0796">
        <w:fldChar w:fldCharType="begin">
          <w:fldData xml:space="preserve">PEVuZE5vdGU+PENpdGU+PEF1dGhvcj5JbnRlcmlhbjwvQXV0aG9yPjxZZWFyPjIwMTI8L1llYXI+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</w:fldData>
        </w:fldChar>
      </w:r>
      <w:r w:rsidRPr="005B0796">
        <w:instrText xml:space="preserve"> ADDIN EN.CITE </w:instrText>
      </w:r>
      <w:r w:rsidRPr="005B0796">
        <w:fldChar w:fldCharType="begin">
          <w:fldData xml:space="preserve">PEVuZE5vdGU+PENpdGU+PEF1dGhvcj5JbnRlcmlhbjwvQXV0aG9yPjxZZWFyPjIwMTI8L1llYXI+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</w:fldData>
        </w:fldChar>
      </w:r>
      <w:r w:rsidRPr="005B0796">
        <w:instrText xml:space="preserve"> ADDIN EN.CITE.DATA </w:instrText>
      </w:r>
      <w:r w:rsidRPr="005B0796">
        <w:fldChar w:fldCharType="end"/>
      </w:r>
      <w:r w:rsidRPr="005B0796">
        <w:fldChar w:fldCharType="separate"/>
      </w:r>
      <w:r w:rsidRPr="005B0796">
        <w:t>(Interian et al., 2012; Institute of Medicine (IOM), 2013; Iversen et al., 2005a)</w:t>
      </w:r>
      <w:r w:rsidRPr="005B0796">
        <w:fldChar w:fldCharType="end"/>
      </w:r>
      <w:r w:rsidRPr="005B0796">
        <w:t xml:space="preserve">, how this plays out in the years after transition is less clear. It is hypothesised that the </w:t>
      </w:r>
      <w:r w:rsidRPr="005B0796">
        <w:rPr>
          <w:i/>
        </w:rPr>
        <w:t>healthy worker effect</w:t>
      </w:r>
      <w:r w:rsidRPr="005B0796">
        <w:t xml:space="preserve"> means those members remaining in service longer are likely to be healthier. If this is the case, it is logical that those members with fewer years of service before transition may well have poorer mental health outcomes. </w:t>
      </w:r>
    </w:p>
    <w:p w:rsidR="008756D4" w:rsidRPr="005B0796" w:rsidRDefault="008756D4" w:rsidP="008756D4">
      <w:r w:rsidRPr="005B0796">
        <w:rPr>
          <w:rFonts w:cs="Calibri"/>
        </w:rPr>
        <w:t>Evidence from the United Kingdom supports this notion, with several studies now pointing to early</w:t>
      </w:r>
      <w:r w:rsidR="00462A0C" w:rsidRPr="005B0796">
        <w:rPr>
          <w:rFonts w:cs="Calibri"/>
        </w:rPr>
        <w:t xml:space="preserve"> </w:t>
      </w:r>
      <w:r w:rsidRPr="005B0796">
        <w:rPr>
          <w:rFonts w:cs="Calibri"/>
        </w:rPr>
        <w:t>service leavers (ESL) (</w:t>
      </w:r>
      <w:r w:rsidRPr="005B0796">
        <w:t>generally defined as those who leave before completing their minimum 3–4.5 years of service</w:t>
      </w:r>
      <w:r w:rsidRPr="005B0796">
        <w:rPr>
          <w:rFonts w:cs="Calibri"/>
        </w:rPr>
        <w:t xml:space="preserve">) </w:t>
      </w:r>
      <w:r w:rsidRPr="005B0796">
        <w:t xml:space="preserve">and those who leave at short notice with little time to plan the transition to civilian life (that is, those whose military career was cut short due to redundancy, or medical or disciplinary discharge) may be at particular risk </w:t>
      </w:r>
      <w:r w:rsidRPr="005B0796">
        <w:fldChar w:fldCharType="begin">
          <w:fldData xml:space="preserve">PEVuZE5vdGU+PENpdGU+PEF1dGhvcj5CdWNrbWFuPC9BdXRob3I+PFllYXI+MjAxMzwvWWVhcj48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</w:fldData>
        </w:fldChar>
      </w:r>
      <w:r w:rsidRPr="005B0796">
        <w:instrText xml:space="preserve"> ADDIN EN.CITE </w:instrText>
      </w:r>
      <w:r w:rsidRPr="005B0796">
        <w:fldChar w:fldCharType="begin">
          <w:fldData xml:space="preserve">PEVuZE5vdGU+PENpdGU+PEF1dGhvcj5CdWNrbWFuPC9BdXRob3I+PFllYXI+MjAxMzwvWWVhcj48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</w:fldData>
        </w:fldChar>
      </w:r>
      <w:r w:rsidRPr="005B0796">
        <w:instrText xml:space="preserve"> ADDIN EN.CITE.DATA </w:instrText>
      </w:r>
      <w:r w:rsidRPr="005B0796">
        <w:fldChar w:fldCharType="end"/>
      </w:r>
      <w:r w:rsidRPr="005B0796">
        <w:fldChar w:fldCharType="separate"/>
      </w:r>
      <w:r w:rsidRPr="005B0796">
        <w:t>(Buckman et al., 2013; KCMHR, 2010; van Staden et al., 2007)</w:t>
      </w:r>
      <w:r w:rsidRPr="005B0796">
        <w:fldChar w:fldCharType="end"/>
      </w:r>
      <w:r w:rsidRPr="005B0796">
        <w:t>.</w:t>
      </w:r>
    </w:p>
    <w:p w:rsidR="008756D4" w:rsidRPr="005B0796" w:rsidRDefault="008756D4" w:rsidP="008756D4">
      <w:r w:rsidRPr="005B0796">
        <w:t xml:space="preserve">For example, a sample of 874 service leavers found that common mental disorders were more prevalent among ESLs than non-ESLs (45.6% versus 26.5%) </w:t>
      </w:r>
      <w:r w:rsidRPr="005B0796">
        <w:fldChar w:fldCharType="begin">
          <w:fldData xml:space="preserve">PEVuZE5vdGU+PENpdGU+PEF1dGhvcj5CdWNrbWFuPC9BdXRob3I+PFllYXI+MjAxMzwvWWVhcj48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</w:fldData>
        </w:fldChar>
      </w:r>
      <w:r w:rsidRPr="005B0796">
        <w:instrText xml:space="preserve"> ADDIN EN.CITE </w:instrText>
      </w:r>
      <w:r w:rsidRPr="005B0796">
        <w:fldChar w:fldCharType="begin">
          <w:fldData xml:space="preserve">PEVuZE5vdGU+PENpdGU+PEF1dGhvcj5CdWNrbWFuPC9BdXRob3I+PFllYXI+MjAxMzwvWWVhcj48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</w:fldData>
        </w:fldChar>
      </w:r>
      <w:r w:rsidRPr="005B0796">
        <w:instrText xml:space="preserve"> ADDIN EN.CITE.DATA </w:instrText>
      </w:r>
      <w:r w:rsidRPr="005B0796">
        <w:fldChar w:fldCharType="end"/>
      </w:r>
      <w:r w:rsidRPr="005B0796">
        <w:fldChar w:fldCharType="separate"/>
      </w:r>
      <w:r w:rsidRPr="005B0796">
        <w:t>(Buckman et al., 2013)</w:t>
      </w:r>
      <w:r w:rsidRPr="005B0796">
        <w:fldChar w:fldCharType="end"/>
      </w:r>
      <w:r w:rsidRPr="005B0796">
        <w:t>. Giebel</w:t>
      </w:r>
      <w:r w:rsidR="00462A0C" w:rsidRPr="005B0796">
        <w:t>’</w:t>
      </w:r>
      <w:r w:rsidRPr="005B0796">
        <w:t xml:space="preserve">s </w:t>
      </w:r>
      <w:r w:rsidRPr="005B0796">
        <w:fldChar w:fldCharType="begin"/>
      </w:r>
      <w:r w:rsidRPr="005B0796">
        <w:instrText xml:space="preserve"> ADDIN EN.CITE &lt;EndNote&gt;&lt;Cite ExcludeAuth="1"&gt;&lt;Author&gt;Giebel&lt;/Author&gt;&lt;Year&gt;2014&lt;/Year&gt;&lt;RecNum&gt;154&lt;/RecNum&gt;&lt;DisplayText&gt;(2014)&lt;/DisplayText&gt;&lt;record&gt;&lt;rec-number&gt;154&lt;/rec-number&gt;&lt;foreign-keys&gt;&lt;key app="EN" db-id="arwdrezp9sdawxevtfyxtfw10exvr5exxfed" timestamp="1474848020"&gt;154&lt;/key&gt;&lt;/foreign-keys&gt;&lt;ref-type name="Journal Article"&gt;17&lt;/ref-type&gt;&lt;contributors&gt;&lt;authors&gt;&lt;author&gt;Giebel, C. M.&lt;/author&gt;&lt;author&gt;Clarkson, P.&lt;/author&gt;&lt;author&gt;Challis, D.&lt;/author&gt;&lt;/authors&gt;&lt;/contributors&gt;&lt;auth-address&gt;University of Manchester, UK.&lt;/auth-address&gt;&lt;titles&gt;&lt;title&gt;Demographic and clinical characteristics of UK military veterans attending a psychological therapies service&lt;/title&gt;&lt;secondary-title&gt;Psychiatr Bull (2014)&lt;/secondary-title&gt;&lt;/titles&gt;&lt;periodical&gt;&lt;full-title&gt;Psychiatr Bull (2014)&lt;/full-title&gt;&lt;/periodical&gt;&lt;pages&gt;270-5&lt;/pages&gt;&lt;volume&gt;38&lt;/volume&gt;&lt;number&gt;6&lt;/number&gt;&lt;dates&gt;&lt;year&gt;2014&lt;/year&gt;&lt;pub-dates&gt;&lt;date&gt;Dec&lt;/date&gt;&lt;/pub-dates&gt;&lt;/dates&gt;&lt;isbn&gt;2053-4868 (Print)&amp;#xD;2053-4868 (Linking)&lt;/isbn&gt;&lt;accession-num&gt;25505626&lt;/accession-num&gt;&lt;urls&gt;&lt;related-urls&gt;&lt;url&gt;http://www.ncbi.nlm.nih.gov/pubmed/25505626&lt;/url&gt;&lt;url&gt;http://www.ncbi.nlm.nih.gov/pmc/articles/PMC4248162/pdf/pbrcpsych_38_6_004.pdf&lt;/url&gt;&lt;url&gt;https://www.ncbi.nlm.nih.gov/pmc/articles/PMC4248162/pdf/pbrcpsych_38_6_004.pdf&lt;/url&gt;&lt;/related-urls&gt;&lt;/urls&gt;&lt;custom2&gt;4248162&lt;/custom2&gt;&lt;electronic-resource-num&gt;10.1192/pb.bp.113.046474&lt;/electronic-resource-num&gt;&lt;/record&gt;&lt;/Cite&gt;&lt;/EndNote&gt;</w:instrText>
      </w:r>
      <w:r w:rsidRPr="005B0796">
        <w:fldChar w:fldCharType="separate"/>
      </w:r>
      <w:r w:rsidRPr="005B0796">
        <w:t>2014</w:t>
      </w:r>
      <w:r w:rsidRPr="005B0796">
        <w:fldChar w:fldCharType="end"/>
      </w:r>
      <w:r w:rsidRPr="005B0796">
        <w:t xml:space="preserve"> study of 952 treatment-seeking UK veterans receiving psychological therapy reported higher levels of anxiety disorder (9%) and depression (30.8%) in ESLs than in non</w:t>
      </w:r>
      <w:r w:rsidRPr="005B0796">
        <w:noBreakHyphen/>
        <w:t xml:space="preserve">ESLs (5.3% and 24.2% respectively). Similarly, whether the transition process is perceived as a positive or negative life event can also significantly impact mental health outcomes </w:t>
      </w:r>
      <w:r w:rsidRPr="005B0796">
        <w:fldChar w:fldCharType="begin"/>
      </w:r>
      <w:r w:rsidRPr="005B0796">
        <w:instrText xml:space="preserve"> ADDIN EN.CITE &lt;EndNote&gt;&lt;Cite&gt;&lt;Author&gt;van Staden&lt;/Author&gt;&lt;Year&gt;2007&lt;/Year&gt;&lt;RecNum&gt;9&lt;/RecNum&gt;&lt;DisplayText&gt;(van Staden et al., 2007)&lt;/DisplayText&gt;&lt;record&gt;&lt;rec-number&gt;9&lt;/rec-number&gt;&lt;foreign-keys&gt;&lt;key app="EN" db-id="arwdrezp9sdawxevtfyxtfw10exvr5exxfed" timestamp="1473833607"&gt;9&lt;/key&gt;&lt;/foreign-keys&gt;&lt;ref-type name="Journal Article"&gt;17&lt;/ref-type&gt;&lt;contributors&gt;&lt;authors&gt;&lt;author&gt;van Staden, L.&lt;/author&gt;&lt;author&gt;Fear, N. T.&lt;/author&gt;&lt;author&gt;Iversen, A. C.&lt;/author&gt;&lt;author&gt;French, C. E.&lt;/author&gt;&lt;author&gt;Dandeker, C.&lt;/author&gt;&lt;author&gt;Wessely, S.&lt;/author&gt;&lt;/authors&gt;&lt;/contributors&gt;&lt;auth-address&gt;King&amp;apos;s College London, Western Education Centre, 10 Cutcombe Road, London, SE5 9RJ, UK.&lt;/auth-address&gt;&lt;titles&gt;&lt;title&gt;Transition back into civilian life: a study of personnel leaving the U.K. armed forces via &amp;quot;military prison&amp;quot;&lt;/title&gt;&lt;secondary-title&gt;Mil Med&lt;/secondary-title&gt;&lt;alt-title&gt;Military medicine&lt;/alt-title&gt;&lt;/titles&gt;&lt;periodical&gt;&lt;full-title&gt;Mil Med&lt;/full-title&gt;&lt;abbr-1&gt;Military medicine&lt;/abbr-1&gt;&lt;/periodical&gt;&lt;alt-periodical&gt;&lt;full-title&gt;Military medicine&lt;/full-title&gt;&lt;/alt-periodical&gt;&lt;pages&gt;925-30&lt;/pages&gt;&lt;volume&gt;172&lt;/volume&gt;&lt;number&gt;9&lt;/number&gt;&lt;keywords&gt;&lt;keyword&gt;Adult&lt;/keyword&gt;&lt;keyword&gt;Employment/statistics &amp;amp; numerical data&lt;/keyword&gt;&lt;keyword&gt;Follow-Up Studies&lt;/keyword&gt;&lt;keyword&gt;Great Britain&lt;/keyword&gt;&lt;keyword&gt;*Health Status&lt;/keyword&gt;&lt;keyword&gt;Humans&lt;/keyword&gt;&lt;keyword&gt;Male&lt;/keyword&gt;&lt;keyword&gt;*Mental Health&lt;/keyword&gt;&lt;keyword&gt;Military Personnel/*psychology&lt;/keyword&gt;&lt;keyword&gt;Prisons/*statistics &amp;amp; numerical data&lt;/keyword&gt;&lt;keyword&gt;Retrospective Studies&lt;/keyword&gt;&lt;keyword&gt;Risk Factors&lt;/keyword&gt;&lt;keyword&gt;Surveys and Questionnaires&lt;/keyword&gt;&lt;keyword&gt;Veterans/*psychology&lt;/keyword&gt;&lt;/keywords&gt;&lt;dates&gt;&lt;year&gt;2007&lt;/year&gt;&lt;pub-dates&gt;&lt;date&gt;Sep&lt;/date&gt;&lt;/pub-dates&gt;&lt;/dates&gt;&lt;isbn&gt;0026-4075 (Print)&amp;#xD;0026-4075 (Linking)&lt;/isbn&gt;&lt;accession-num&gt;17937354&lt;/accession-num&gt;&lt;urls&gt;&lt;related-urls&gt;&lt;url&gt;http://www.ncbi.nlm.nih.gov/pubmed/17937354&lt;/url&gt;&lt;/related-urls&gt;&lt;/urls&gt;&lt;/record&gt;&lt;/Cite&gt;&lt;/EndNote&gt;</w:instrText>
      </w:r>
      <w:r w:rsidRPr="005B0796">
        <w:fldChar w:fldCharType="separate"/>
      </w:r>
      <w:r w:rsidRPr="005B0796">
        <w:t>(van Staden et al., 2007)</w:t>
      </w:r>
      <w:r w:rsidRPr="005B0796">
        <w:fldChar w:fldCharType="end"/>
      </w:r>
      <w:r w:rsidRPr="005B0796">
        <w:t>.</w:t>
      </w:r>
    </w:p>
    <w:p w:rsidR="008756D4" w:rsidRPr="005B0796" w:rsidRDefault="008756D4" w:rsidP="008756D4">
      <w:pPr>
        <w:pStyle w:val="Heading2"/>
      </w:pPr>
      <w:bookmarkStart w:id="51" w:name="_Toc487011166"/>
      <w:bookmarkStart w:id="52" w:name="_Toc494449682"/>
      <w:bookmarkStart w:id="53" w:name="_Toc511900264"/>
      <w:bookmarkStart w:id="54" w:name="_Toc482021328"/>
      <w:bookmarkStart w:id="55" w:name="_Toc482024419"/>
      <w:r w:rsidRPr="005B0796">
        <w:t>Aims, definitions, structure and scope</w:t>
      </w:r>
      <w:bookmarkEnd w:id="51"/>
      <w:bookmarkEnd w:id="52"/>
      <w:bookmarkEnd w:id="53"/>
    </w:p>
    <w:p w:rsidR="008756D4" w:rsidRPr="005B0796" w:rsidRDefault="008756D4" w:rsidP="008756D4">
      <w:r w:rsidRPr="005B0796">
        <w:t>The Australian and international literature highlights the need for comprehensive research on the</w:t>
      </w:r>
      <w:r w:rsidR="00462A0C" w:rsidRPr="005B0796">
        <w:t xml:space="preserve"> </w:t>
      </w:r>
      <w:r w:rsidRPr="005B0796">
        <w:t>mental health and wellbeing of members who have transitioned from full-time service, including</w:t>
      </w:r>
      <w:r w:rsidR="00462A0C" w:rsidRPr="005B0796">
        <w:t xml:space="preserve"> </w:t>
      </w:r>
      <w:r w:rsidRPr="005B0796">
        <w:t>examining protective and risk factors. It is only through understanding that targeted policy</w:t>
      </w:r>
      <w:r w:rsidR="00462A0C" w:rsidRPr="005B0796">
        <w:t xml:space="preserve"> </w:t>
      </w:r>
      <w:r w:rsidRPr="005B0796">
        <w:t>and programs can be developed to meet the needs of individuals in each stage of their military career.</w:t>
      </w:r>
    </w:p>
    <w:p w:rsidR="008756D4" w:rsidRPr="005B0796" w:rsidRDefault="008756D4" w:rsidP="008756D4">
      <w:r w:rsidRPr="005B0796">
        <w:t xml:space="preserve">The MilHOP program provided valuable information for developing policy and programs within DVA and Defence. For example, the finding that non-operational service can involve significant risk to ADF members led to new Defence policy initiatives to increase access to mental health services for </w:t>
      </w:r>
      <w:r w:rsidRPr="005B0796">
        <w:rPr>
          <w:i/>
        </w:rPr>
        <w:t>all</w:t>
      </w:r>
      <w:r w:rsidRPr="005B0796">
        <w:t xml:space="preserve"> ADF members. Within DVA, the eligibility criteria for members and families to access VVCS was expanded to include more types of non-operational service; for example, border protection, training accidents and disaster relief. Importantly, members with more than three years of peacetime service became eligible to access health care for PTSD, depression, anxiety and substance use disorders without the need to submit a claim. Importantly, the MilHOP studies provided a framework for future research, which has been a significant driver for this Programme.</w:t>
      </w:r>
    </w:p>
    <w:p w:rsidR="008756D4" w:rsidRPr="005B0796" w:rsidRDefault="008756D4" w:rsidP="008756D4">
      <w:r w:rsidRPr="005B0796">
        <w:t xml:space="preserve">The Mental Health and Wellbeing Transition Study aims to examine the prevalence of mental disorders and self-reported mental health and wellbeing in the first five years after transition, as this is a critical period to target for early intervention. Importantly, an understanding of the difference between mental health and wellbeing in those currently serving, those who have transitioned to the Reserves and those discharged and in the community is needed to start examining protective and risk factors in the Australian context. </w:t>
      </w:r>
    </w:p>
    <w:p w:rsidR="008756D4" w:rsidRPr="005B0796" w:rsidRDefault="008756D4" w:rsidP="008756D4">
      <w:pPr>
        <w:pStyle w:val="Heading3"/>
      </w:pPr>
      <w:bookmarkStart w:id="56" w:name="_Toc487011167"/>
      <w:bookmarkStart w:id="57" w:name="_Toc494449683"/>
      <w:bookmarkStart w:id="58" w:name="_Toc511900265"/>
      <w:r w:rsidRPr="005B0796">
        <w:t>Aims of this report</w:t>
      </w:r>
      <w:bookmarkEnd w:id="56"/>
      <w:bookmarkEnd w:id="57"/>
      <w:bookmarkEnd w:id="58"/>
    </w:p>
    <w:p w:rsidR="008756D4" w:rsidRPr="005B0796" w:rsidRDefault="008756D4" w:rsidP="008756D4">
      <w:pPr>
        <w:rPr>
          <w:rFonts w:eastAsia="MS Mincho"/>
        </w:rPr>
      </w:pPr>
      <w:r w:rsidRPr="005B0796">
        <w:t xml:space="preserve">The primary aims of the </w:t>
      </w:r>
      <w:r w:rsidRPr="005B0796">
        <w:rPr>
          <w:i/>
        </w:rPr>
        <w:t>Mental Health Prevalence Report</w:t>
      </w:r>
      <w:r w:rsidRPr="005B0796">
        <w:t xml:space="preserve"> were to:</w:t>
      </w:r>
    </w:p>
    <w:p w:rsidR="008756D4" w:rsidRPr="005B0796" w:rsidRDefault="008756D4" w:rsidP="008756D4">
      <w:pPr>
        <w:pStyle w:val="Bullet"/>
      </w:pPr>
      <w:r w:rsidRPr="005B0796">
        <w:t>provide population-based prevalence estimates of mental disorders and self-reported suicidality among ADF members who transitioned out of full-time regular service in the five</w:t>
      </w:r>
      <w:r w:rsidRPr="005B0796">
        <w:noBreakHyphen/>
        <w:t>year period between January 2010 and December 2014</w:t>
      </w:r>
    </w:p>
    <w:p w:rsidR="008756D4" w:rsidRPr="005B0796" w:rsidRDefault="008756D4" w:rsidP="008756D4">
      <w:pPr>
        <w:pStyle w:val="Bullet"/>
      </w:pPr>
      <w:r w:rsidRPr="005B0796">
        <w:t>explore a range of potential demographic, service-related and transition-related predictors of mental health outcomes among Transitioned ADF members</w:t>
      </w:r>
    </w:p>
    <w:p w:rsidR="008756D4" w:rsidRPr="005B0796" w:rsidRDefault="008756D4" w:rsidP="008756D4">
      <w:pPr>
        <w:pStyle w:val="Bullet"/>
      </w:pPr>
      <w:r w:rsidRPr="005B0796">
        <w:t>compare the self-reported mental health and wellbeing of Transitioned ADF with the 2015</w:t>
      </w:r>
      <w:r w:rsidR="00462A0C" w:rsidRPr="005B0796">
        <w:t xml:space="preserve"> </w:t>
      </w:r>
      <w:r w:rsidRPr="005B0796">
        <w:t>Regular ADF, including a further comparison between the 2015 Regular ADF with those serving in</w:t>
      </w:r>
      <w:r w:rsidR="00462A0C" w:rsidRPr="005B0796">
        <w:t xml:space="preserve"> </w:t>
      </w:r>
      <w:r w:rsidRPr="005B0796">
        <w:t>2010</w:t>
      </w:r>
    </w:p>
    <w:p w:rsidR="008756D4" w:rsidRPr="005B0796" w:rsidRDefault="008756D4" w:rsidP="008756D4">
      <w:pPr>
        <w:pStyle w:val="Bullet"/>
      </w:pPr>
      <w:r w:rsidRPr="005B0796">
        <w:t>compare the self-reported mental health and wellbeing of Transitioned ADF against a matched Australian Community sample.</w:t>
      </w:r>
    </w:p>
    <w:p w:rsidR="008756D4" w:rsidRPr="005B0796" w:rsidRDefault="008756D4" w:rsidP="008756D4">
      <w:pPr>
        <w:pStyle w:val="Heading3"/>
      </w:pPr>
      <w:bookmarkStart w:id="59" w:name="_Toc494449684"/>
      <w:bookmarkStart w:id="60" w:name="_Toc511900266"/>
      <w:r w:rsidRPr="005B0796">
        <w:t>Structure of this report</w:t>
      </w:r>
      <w:bookmarkEnd w:id="59"/>
      <w:bookmarkEnd w:id="60"/>
    </w:p>
    <w:p w:rsidR="008756D4" w:rsidRPr="005B0796" w:rsidRDefault="008756D4" w:rsidP="008756D4">
      <w:r w:rsidRPr="005B0796">
        <w:t>This report, therefore, will provide a comprehensive, high</w:t>
      </w:r>
      <w:r w:rsidR="004E7AC5">
        <w:t>-</w:t>
      </w:r>
      <w:r w:rsidRPr="005B0796">
        <w:t>level overview of the mental health and wellbeing of Transitioned ADF, as well as a comparison of the Transitioned ADF with other key groups of interest including the 2015 Regular ADF and the Australian Community. It will identify the key demographic, service and transition factors that are of importance in influencing mental health in the Transitioned ADF, thereby providing a framework for further detailed analyses. It will also highlight the key priority areas for further DVA and ADF policy and research attention.</w:t>
      </w:r>
    </w:p>
    <w:p w:rsidR="008756D4" w:rsidRPr="005B0796" w:rsidRDefault="008756D4" w:rsidP="008756D4">
      <w:pPr>
        <w:pStyle w:val="Heading3"/>
      </w:pPr>
      <w:bookmarkStart w:id="61" w:name="_Toc482021312"/>
      <w:bookmarkStart w:id="62" w:name="_Toc482024403"/>
      <w:bookmarkStart w:id="63" w:name="_Toc487011169"/>
      <w:bookmarkStart w:id="64" w:name="_Toc494449685"/>
      <w:bookmarkStart w:id="65" w:name="_Toc511900267"/>
      <w:r w:rsidRPr="005B0796">
        <w:t>Defining transition from regular military service</w:t>
      </w:r>
      <w:bookmarkEnd w:id="61"/>
      <w:bookmarkEnd w:id="62"/>
      <w:bookmarkEnd w:id="63"/>
      <w:bookmarkEnd w:id="64"/>
      <w:bookmarkEnd w:id="65"/>
    </w:p>
    <w:p w:rsidR="008756D4" w:rsidRPr="005B0796" w:rsidRDefault="008756D4" w:rsidP="008756D4">
      <w:r w:rsidRPr="005B0796">
        <w:t xml:space="preserve">This Programme targeted transition across a five-year time frame (January 2010 to December 2014), commencing </w:t>
      </w:r>
      <w:r w:rsidRPr="005B0796">
        <w:rPr>
          <w:i/>
        </w:rPr>
        <w:t>after</w:t>
      </w:r>
      <w:r w:rsidRPr="005B0796">
        <w:t xml:space="preserve"> leaving full-time Regular ADF service and not including the peri-transition period. In Australia, when an ADF member leaves full-time regular service, they either are discharged completely (if they are involuntarily discharged; that is, on medical or administrative grounds) or transfer into the Active or Inactive Reserves. Therefore, the term </w:t>
      </w:r>
      <w:r w:rsidR="00462A0C" w:rsidRPr="005B0796">
        <w:t>‘</w:t>
      </w:r>
      <w:r w:rsidRPr="005B0796">
        <w:t>Transitioned ADF</w:t>
      </w:r>
      <w:r w:rsidR="00462A0C" w:rsidRPr="005B0796">
        <w:t>’</w:t>
      </w:r>
      <w:r w:rsidRPr="005B0796">
        <w:t xml:space="preserve"> is used to denote all </w:t>
      </w:r>
      <w:bookmarkStart w:id="66" w:name="_Hlk489523481"/>
      <w:r w:rsidRPr="005B0796">
        <w:t xml:space="preserve">regular service </w:t>
      </w:r>
      <w:bookmarkEnd w:id="66"/>
      <w:r w:rsidRPr="005B0796">
        <w:t>leavers, including Ex-Serving ADF members and Active (minimum requirement of 20 days</w:t>
      </w:r>
      <w:r w:rsidR="00462A0C" w:rsidRPr="005B0796">
        <w:t>’</w:t>
      </w:r>
      <w:r w:rsidRPr="005B0796">
        <w:t xml:space="preserve"> service per year and ongoing training) and Inactive/Standby Reserves (no minimum requirement and no training obligation). As such, Active Reservists are generally those most engaged with Defence, and ex-serving members are least engaged, so the impact of this level of continued engagement will also be examined.</w:t>
      </w:r>
    </w:p>
    <w:p w:rsidR="008756D4" w:rsidRPr="005B0796" w:rsidRDefault="008756D4" w:rsidP="008756D4">
      <w:pPr>
        <w:pStyle w:val="Heading3"/>
      </w:pPr>
      <w:bookmarkStart w:id="67" w:name="_Toc487011170"/>
      <w:bookmarkStart w:id="68" w:name="_Toc494449686"/>
      <w:bookmarkStart w:id="69" w:name="_Toc511900268"/>
      <w:r w:rsidRPr="005B0796">
        <w:t>Scope of this report</w:t>
      </w:r>
      <w:bookmarkEnd w:id="54"/>
      <w:bookmarkEnd w:id="55"/>
      <w:bookmarkEnd w:id="67"/>
      <w:bookmarkEnd w:id="68"/>
      <w:bookmarkEnd w:id="69"/>
    </w:p>
    <w:p w:rsidR="008756D4" w:rsidRPr="005B0796" w:rsidRDefault="008756D4" w:rsidP="008756D4">
      <w:pPr>
        <w:keepNext/>
        <w:rPr>
          <w:rFonts w:eastAsia="MS Mincho"/>
        </w:rPr>
      </w:pPr>
      <w:r w:rsidRPr="005B0796">
        <w:t>This report will address the following 10 questions:</w:t>
      </w:r>
    </w:p>
    <w:p w:rsidR="008756D4" w:rsidRPr="005B0796" w:rsidRDefault="008756D4" w:rsidP="008756D4">
      <w:pPr>
        <w:pStyle w:val="Bullet"/>
      </w:pPr>
      <w:r w:rsidRPr="005B0796">
        <w:t xml:space="preserve">What is the socio-demographic profile of Transitioned ADF members and is this different to the 2015 Regular ADF? </w:t>
      </w:r>
    </w:p>
    <w:p w:rsidR="008756D4" w:rsidRPr="005B0796" w:rsidRDefault="008756D4" w:rsidP="008756D4">
      <w:pPr>
        <w:pStyle w:val="Bullet"/>
      </w:pPr>
      <w:r w:rsidRPr="005B0796">
        <w:t>What are the circumstances surrounding transition? (Why and how do ADF members leave the ADF and how engaged do they remain following transition?)</w:t>
      </w:r>
    </w:p>
    <w:p w:rsidR="008756D4" w:rsidRPr="005B0796" w:rsidRDefault="008756D4" w:rsidP="008756D4">
      <w:pPr>
        <w:pStyle w:val="Bullet"/>
      </w:pPr>
      <w:r w:rsidRPr="005B0796">
        <w:t>What is the prevalence of lifetime and 12-month ICD-10 affective disorders, anxiety disorders and alcohol disorders in Transitioned ADF members?</w:t>
      </w:r>
    </w:p>
    <w:p w:rsidR="008756D4" w:rsidRPr="005B0796" w:rsidRDefault="008756D4" w:rsidP="008756D4">
      <w:pPr>
        <w:pStyle w:val="Bullet"/>
      </w:pPr>
      <w:r w:rsidRPr="005B0796">
        <w:t xml:space="preserve">What demographic, service-related and transition-related factors are associated with 12-month ICD-10 affective disorders, anxiety disorders and alcohol disorders in Transitioned ADF members? </w:t>
      </w:r>
    </w:p>
    <w:p w:rsidR="008756D4" w:rsidRPr="005B0796" w:rsidRDefault="008756D4" w:rsidP="008756D4">
      <w:pPr>
        <w:pStyle w:val="Bullet"/>
      </w:pPr>
      <w:r w:rsidRPr="005B0796">
        <w:t>What is the degree of comorbidity between ICD-10 anxiety (excl</w:t>
      </w:r>
      <w:r w:rsidR="000C15B8">
        <w:t xml:space="preserve">. </w:t>
      </w:r>
      <w:r w:rsidRPr="005B0796">
        <w:t>PTSD) disorders, affective disorders, alcohol disorders and PTSD in Transitioned ADF members?</w:t>
      </w:r>
    </w:p>
    <w:p w:rsidR="008756D4" w:rsidRPr="005B0796" w:rsidRDefault="008756D4" w:rsidP="008756D4">
      <w:pPr>
        <w:pStyle w:val="Bullet"/>
      </w:pPr>
      <w:r w:rsidRPr="005B0796">
        <w:t>How does the overall self-reported mental health (i.e. depression, PTSD, other anxiety disorders, suicidal ideation, alcohol consumption, anger) of Transitioned ADF members differ from 2015 Regular ADF members?</w:t>
      </w:r>
    </w:p>
    <w:p w:rsidR="008756D4" w:rsidRPr="005B0796" w:rsidRDefault="008756D4" w:rsidP="008756D4">
      <w:pPr>
        <w:pStyle w:val="Bullet"/>
      </w:pPr>
      <w:r w:rsidRPr="005B0796">
        <w:t>How does the overall self-reported mental health of the 2015 Regular ADF differ from the self-reported mental health of the 2010 Regular ADF?</w:t>
      </w:r>
    </w:p>
    <w:p w:rsidR="008756D4" w:rsidRPr="005B0796" w:rsidRDefault="008756D4" w:rsidP="008756D4">
      <w:pPr>
        <w:pStyle w:val="Bullet"/>
      </w:pPr>
      <w:r w:rsidRPr="005B0796">
        <w:t>Is there a difference in the self-reported mental health and ICD-10 mental disorder of Transitioned ADF who have discharged completely and those who remain in the Active or Inactive Reserves?</w:t>
      </w:r>
    </w:p>
    <w:p w:rsidR="008756D4" w:rsidRPr="005B0796" w:rsidRDefault="008756D4" w:rsidP="008756D4">
      <w:pPr>
        <w:pStyle w:val="Bullet"/>
      </w:pPr>
      <w:r w:rsidRPr="005B0796">
        <w:t>Is there an association between self-reported mental health and ICD-10 mental disorder</w:t>
      </w:r>
      <w:r w:rsidR="004E7AC5">
        <w:t>s</w:t>
      </w:r>
      <w:r w:rsidRPr="005B0796">
        <w:t xml:space="preserve"> and years since transition from Regular ADF service in Transitioned ADF members? </w:t>
      </w:r>
    </w:p>
    <w:p w:rsidR="008756D4" w:rsidRPr="005B0796" w:rsidRDefault="008756D4" w:rsidP="008756D4">
      <w:pPr>
        <w:pStyle w:val="Bullet"/>
      </w:pPr>
      <w:r w:rsidRPr="005B0796">
        <w:t>How does the overall self-reported mental health of Transitioned ADF and 2015 Regular ADF differ from the Australian Community?</w:t>
      </w:r>
    </w:p>
    <w:p w:rsidR="008756D4" w:rsidRPr="005B0796" w:rsidRDefault="008756D4" w:rsidP="008756D4">
      <w:pPr>
        <w:pStyle w:val="Heading3"/>
      </w:pPr>
      <w:bookmarkStart w:id="70" w:name="_Toc482021314"/>
      <w:bookmarkStart w:id="71" w:name="_Toc482024405"/>
      <w:bookmarkStart w:id="72" w:name="_Toc487011171"/>
      <w:bookmarkStart w:id="73" w:name="_Toc494449687"/>
      <w:bookmarkStart w:id="74" w:name="_Toc511900269"/>
      <w:r w:rsidRPr="005B0796">
        <w:t>Outline and interpretation of this report</w:t>
      </w:r>
      <w:bookmarkEnd w:id="70"/>
      <w:bookmarkEnd w:id="71"/>
      <w:bookmarkEnd w:id="72"/>
      <w:bookmarkEnd w:id="73"/>
      <w:bookmarkEnd w:id="74"/>
    </w:p>
    <w:p w:rsidR="008756D4" w:rsidRPr="005B0796" w:rsidRDefault="008756D4" w:rsidP="008756D4">
      <w:r w:rsidRPr="005B0796">
        <w:t xml:space="preserve">This report begins with a short summary of the methodology specific to this report. Chapter 3 describes the demographic characteristics of the populations included in the subsequent analyses: the Transitioned ADF and the 2015 Regular ADF, followed by a summary of key circumstances surrounding transition for the Transitioned ADF only. This provides the contextual background </w:t>
      </w:r>
      <w:r w:rsidR="004E7AC5">
        <w:t xml:space="preserve">for </w:t>
      </w:r>
      <w:r w:rsidRPr="005B0796">
        <w:t>the remainder of the report.</w:t>
      </w:r>
    </w:p>
    <w:p w:rsidR="008756D4" w:rsidRPr="005B0796" w:rsidRDefault="008756D4" w:rsidP="008756D4">
      <w:r w:rsidRPr="005B0796">
        <w:t xml:space="preserve">Chapter 4 focuses on the Transitioned ADF, presenting weighted estimates of lifetime and 12-month rates of ICD-10 mental disorders, as well as self-reported suicidality. A range of further detailed analyses then focuses on 12-month mental disorders and suicidality, summarising the distribution of mental disorders and suicidality according to key demographic, service and transition factors of interest. Acknowledging specific interest in rates of PTSD in this population, </w:t>
      </w:r>
      <w:r w:rsidR="004E7AC5">
        <w:t>it includes an additional focus</w:t>
      </w:r>
      <w:r w:rsidRPr="005B0796">
        <w:t>ed analysis of PTSD and lifetime trauma. This chapter concludes with an examination of mental disorder comorbidity.</w:t>
      </w:r>
    </w:p>
    <w:p w:rsidR="008756D4" w:rsidRPr="005B0796" w:rsidRDefault="008756D4" w:rsidP="008756D4">
      <w:r w:rsidRPr="005B0796">
        <w:t>Chapter 5 considers the Transitioned ADF in comparison to a 2015 Regular ADF population. It also compares the 2015 Regular ADF study results with the 2010 MHPWS, focusing on self-reported mental health and wellbeing outcomes.</w:t>
      </w:r>
    </w:p>
    <w:p w:rsidR="008756D4" w:rsidRPr="005B0796" w:rsidRDefault="008756D4" w:rsidP="008756D4">
      <w:r w:rsidRPr="005B0796">
        <w:t>Finally, chapter 6 compares the Transitioned ADF with a matched Australian Community sample. This chapter aims to benchmark the Transitioned ADF against the Australian Community, with the choice of outcome variables restricted to self-reported psychological distress and alcohol consumption, to ensure that only the most recent and relevant data available in the Australian context is used.</w:t>
      </w:r>
    </w:p>
    <w:p w:rsidR="008756D4" w:rsidRPr="005B0796" w:rsidRDefault="008756D4" w:rsidP="008756D4">
      <w:r w:rsidRPr="005B0796">
        <w:t>The prevalence of ICD-10 mental disorders and self-reported mental health symptoms for the Transitioned ADF and the 2015 Regular ADF are population-weighted estimates. As such, they represent population-level outcomes based on the responses of the proportion of the population that completed the measure in question. Weighting was based on the demographic characteristics of sex, rank, Service and medical fitness. Therefore, the accuracy of the weighted estimates is limited to the extent that these characteristics together are associated with the outcomes of interest. Further information on the weighting process is provided in chapter 2.</w:t>
      </w:r>
    </w:p>
    <w:p w:rsidR="008756D4" w:rsidRPr="005B0796" w:rsidRDefault="008756D4" w:rsidP="008756D4">
      <w:r w:rsidRPr="005B0796">
        <w:t>Where the mental health and wellbeing of the 2015 Regular ADF are compared against the 2010 Regular ADF, this represents a direct numerical comparison and does not include tests of statistical significance. As these two samples cannot be considered independently, between-group differences should be interpreted with caution, noting that some members of the 2015 Regular ADF sample are also represented in the 2010 Regular ADF sample. The issue of individual change in symptoms and disorder over time in this group will be addressed in the future longitudinal report.</w:t>
      </w:r>
    </w:p>
    <w:p w:rsidR="008756D4" w:rsidRPr="005B0796" w:rsidRDefault="008756D4" w:rsidP="008756D4">
      <w:r w:rsidRPr="005B0796">
        <w:t xml:space="preserve">This report will provide a comprehensive overview of the mental health of recently Transitioned ADF members, including potential risk and protective factors associated with mental disorder and symptoms. It will contextualise these against the health of 2015 Regular ADF members and the Australian Community. The report concludes with a discussion and summary of findings, including </w:t>
      </w:r>
      <w:r w:rsidR="004E7AC5">
        <w:t xml:space="preserve">the </w:t>
      </w:r>
      <w:r w:rsidRPr="005B0796">
        <w:t>strengths and limitations of the study, the key implications and directions for future research.</w:t>
      </w:r>
    </w:p>
    <w:p w:rsidR="00493D83" w:rsidRPr="005B0796" w:rsidRDefault="00493D83" w:rsidP="00493D83">
      <w:pPr>
        <w:pStyle w:val="ShadedBoxTitle"/>
      </w:pPr>
      <w:r w:rsidRPr="005B0796">
        <w:t>How</w:t>
      </w:r>
      <w:r w:rsidRPr="005B0796">
        <w:rPr>
          <w:rFonts w:asciiTheme="minorHAnsi" w:hAnsiTheme="minorHAnsi"/>
          <w:szCs w:val="22"/>
        </w:rPr>
        <w:t xml:space="preserve"> </w:t>
      </w:r>
      <w:r w:rsidRPr="005B0796">
        <w:t>to interpret and discuss the findings in this report</w:t>
      </w:r>
    </w:p>
    <w:p w:rsidR="00493D83" w:rsidRPr="005B0796" w:rsidRDefault="00493D83" w:rsidP="00493D83">
      <w:pPr>
        <w:pStyle w:val="ShadedBoxSubheading"/>
        <w:rPr>
          <w:rFonts w:cstheme="minorBidi"/>
          <w:sz w:val="22"/>
        </w:rPr>
      </w:pPr>
      <w:r w:rsidRPr="005B0796">
        <w:t>Weighted prevalence estimates</w:t>
      </w:r>
    </w:p>
    <w:p w:rsidR="00493D83" w:rsidRPr="005B0796" w:rsidRDefault="00493D83" w:rsidP="00493D83">
      <w:pPr>
        <w:pStyle w:val="ShadedBullet"/>
      </w:pPr>
      <w:r w:rsidRPr="005B0796">
        <w:t xml:space="preserve">Where the report talks about prevalence estimates of mental disorder and symptoms, it is referring to the </w:t>
      </w:r>
      <w:r w:rsidRPr="005B0796">
        <w:rPr>
          <w:i/>
          <w:u w:val="single"/>
        </w:rPr>
        <w:t>estimated</w:t>
      </w:r>
      <w:r w:rsidRPr="005B0796">
        <w:t xml:space="preserve"> rates of a particular outcome within the entire population. It is important to understand that these are estimates. These estimates represent the proportion of cases we would predict to observe in the entire population, based on the proportion of actual cases detected in the subpopulation who completed the outcome measure (the CIDI for mental disorder estimates, the survey for symptom estimates). </w:t>
      </w:r>
    </w:p>
    <w:p w:rsidR="00493D83" w:rsidRPr="005B0796" w:rsidRDefault="00493D83" w:rsidP="00493D83">
      <w:pPr>
        <w:pStyle w:val="ShadedBullet"/>
      </w:pPr>
      <w:r w:rsidRPr="005B0796">
        <w:t xml:space="preserve">When considering prevalence estimates, the </w:t>
      </w:r>
      <w:r w:rsidRPr="005B0796">
        <w:rPr>
          <w:u w:val="single"/>
        </w:rPr>
        <w:t>estimated proportions</w:t>
      </w:r>
      <w:r w:rsidRPr="005B0796">
        <w:t xml:space="preserve"> are more informative than the </w:t>
      </w:r>
      <w:r w:rsidRPr="005B0796">
        <w:rPr>
          <w:u w:val="single"/>
        </w:rPr>
        <w:t>estimated numbers</w:t>
      </w:r>
      <w:r w:rsidRPr="005B0796">
        <w:t>.</w:t>
      </w:r>
    </w:p>
    <w:p w:rsidR="00493D83" w:rsidRPr="005B0796" w:rsidRDefault="00493D83" w:rsidP="00700D82">
      <w:pPr>
        <w:pStyle w:val="ShadedBullet"/>
        <w:keepLines/>
      </w:pPr>
      <w:r w:rsidRPr="005B0796">
        <w:t xml:space="preserve">While results in this report were weighted to be representative of the total population, this weighting was performed on the basis of four key variables: </w:t>
      </w:r>
      <w:r w:rsidRPr="005B0796">
        <w:rPr>
          <w:b/>
        </w:rPr>
        <w:t>sex, rank, Service (Navy, Army or Air Force)</w:t>
      </w:r>
      <w:r w:rsidRPr="005B0796">
        <w:t xml:space="preserve"> and </w:t>
      </w:r>
      <w:r w:rsidRPr="005B0796">
        <w:rPr>
          <w:b/>
        </w:rPr>
        <w:t>medical fitness</w:t>
      </w:r>
      <w:r w:rsidRPr="005B0796">
        <w:t>. This assumes a general consistency across individuals with each combination of these characteristics (strata), and does not account for individual differences, or other factors that may influence the outcomes of interest.</w:t>
      </w:r>
    </w:p>
    <w:p w:rsidR="00493D83" w:rsidRPr="005B0796" w:rsidRDefault="00493D83" w:rsidP="00493D83">
      <w:pPr>
        <w:pStyle w:val="ShadedBullet"/>
      </w:pPr>
      <w:r w:rsidRPr="005B0796">
        <w:t xml:space="preserve">The relatively low response rates observed in the study mean that the weighted estimates presented may have a lower level of accuracy, with estimates more highly dependent on the characteristics used for weighting. </w:t>
      </w:r>
    </w:p>
    <w:p w:rsidR="00493D83" w:rsidRPr="005B0796" w:rsidRDefault="00493D83" w:rsidP="00493D83">
      <w:pPr>
        <w:pStyle w:val="ShadedBullet"/>
      </w:pPr>
      <w:r w:rsidRPr="005B0796">
        <w:t xml:space="preserve">The estimates for subpopulations (strata) with higher response rates can be considered more accurately representative of those subpopulations than those with lower response rates. </w:t>
      </w:r>
    </w:p>
    <w:p w:rsidR="00493D83" w:rsidRPr="005B0796" w:rsidRDefault="00493D83" w:rsidP="00493D83">
      <w:pPr>
        <w:pStyle w:val="ShadedBullet"/>
      </w:pPr>
      <w:r w:rsidRPr="005B0796">
        <w:t xml:space="preserve">The subpopulations used for weighting in this report (strata) are presented in Table D14. This table shows how many individuals within the population each responder represents for each strata. The higher this number, the more caution should be applied in interpreting the associated estimates. </w:t>
      </w:r>
    </w:p>
    <w:p w:rsidR="00493D83" w:rsidRPr="005B0796" w:rsidRDefault="00493D83" w:rsidP="00493D83">
      <w:pPr>
        <w:pStyle w:val="ShadedBullet"/>
      </w:pPr>
      <w:r w:rsidRPr="005B0796">
        <w:t xml:space="preserve">In the case of </w:t>
      </w:r>
      <w:r w:rsidRPr="005B0796">
        <w:rPr>
          <w:b/>
        </w:rPr>
        <w:t>diagnosable mental disorder</w:t>
      </w:r>
      <w:r w:rsidRPr="005B0796">
        <w:t>:</w:t>
      </w:r>
    </w:p>
    <w:p w:rsidR="00493D83" w:rsidRPr="005B0796" w:rsidRDefault="00493D83" w:rsidP="00493D83">
      <w:pPr>
        <w:pStyle w:val="ShadedDash"/>
      </w:pPr>
      <w:r w:rsidRPr="005B0796">
        <w:tab/>
        <w:t>–</w:t>
      </w:r>
      <w:r w:rsidRPr="005B0796">
        <w:tab/>
        <w:t>In this report, all lifetime and 12-month mental disorder prevalence rates were calculated using ICD-10 scoring, and as such provide a more inclusive measure of mental disorder than DSM 5.</w:t>
      </w:r>
    </w:p>
    <w:p w:rsidR="00493D83" w:rsidRPr="005B0796" w:rsidRDefault="00493D83" w:rsidP="00493D83">
      <w:pPr>
        <w:pStyle w:val="ShadedDash"/>
      </w:pPr>
      <w:r w:rsidRPr="005B0796">
        <w:tab/>
        <w:t>–</w:t>
      </w:r>
      <w:r w:rsidRPr="005B0796">
        <w:tab/>
        <w:t xml:space="preserve">Where mental disorder cases were detected among a proportion of study participants who completed the CIDI, the characteristics of this subpopulation were used as a basis for estimating the likelihood of disorder caseness in the broader study population who share those characteristics (through statistical weighting). </w:t>
      </w:r>
    </w:p>
    <w:p w:rsidR="00493D83" w:rsidRPr="005B0796" w:rsidRDefault="00493D83" w:rsidP="00493D83">
      <w:pPr>
        <w:pStyle w:val="ShadedDash"/>
      </w:pPr>
      <w:r w:rsidRPr="005B0796">
        <w:tab/>
        <w:t>–</w:t>
      </w:r>
      <w:r w:rsidRPr="005B0796">
        <w:tab/>
        <w:t>The proportion of the subpopulation who have the disorder may be somewhat higher or lower than, or may be the same as, the proportion of the total population estimated to have that disorder.</w:t>
      </w:r>
    </w:p>
    <w:p w:rsidR="00493D83" w:rsidRPr="005B0796" w:rsidRDefault="00493D83" w:rsidP="00493D83">
      <w:pPr>
        <w:pStyle w:val="ShadedDash"/>
      </w:pPr>
      <w:r w:rsidRPr="005B0796">
        <w:tab/>
        <w:t>–</w:t>
      </w:r>
      <w:r w:rsidRPr="005B0796">
        <w:tab/>
        <w:t>It is important when reading these estimates to keep in mind that the actual number of cases, for CIDI disorder, will be significantly lower than the total number of cases estimated to occur in the entire population, as the raw numbers reflect only the number of individuals invited to complete an interview.</w:t>
      </w:r>
    </w:p>
    <w:p w:rsidR="00493D83" w:rsidRPr="005B0796" w:rsidRDefault="00493D83" w:rsidP="00493D83">
      <w:pPr>
        <w:pStyle w:val="ShadedDash"/>
      </w:pPr>
      <w:r w:rsidRPr="005B0796">
        <w:tab/>
        <w:t>–</w:t>
      </w:r>
      <w:r w:rsidRPr="005B0796">
        <w:tab/>
        <w:t>A two-phase weighting process was used to derive the prevalence estimates of diagnosable mental disorder. Stage 1 weighting accounted for the non-representativeness of the sample invited to complete a diagnostic interview, while Stage 2 weighting adjusted the weights to be representative of the characteristics of the total population (</w:t>
      </w:r>
      <w:r w:rsidR="004E7AC5">
        <w:t>s</w:t>
      </w:r>
      <w:r w:rsidRPr="005B0796">
        <w:t>ee Table D17 for the number of disorder cases detected and estimated at each stage).</w:t>
      </w:r>
    </w:p>
    <w:p w:rsidR="00493D83" w:rsidRPr="005B0796" w:rsidRDefault="00493D83" w:rsidP="00493D83">
      <w:pPr>
        <w:pStyle w:val="ShadedDash"/>
      </w:pPr>
      <w:r w:rsidRPr="005B0796">
        <w:tab/>
        <w:t>–</w:t>
      </w:r>
      <w:r w:rsidRPr="005B0796">
        <w:tab/>
        <w:t xml:space="preserve">Where a mental disorder is relatively rare (e.g., bipolar affective disorder), and is detected at a high rate </w:t>
      </w:r>
      <w:r w:rsidR="004E7AC5">
        <w:t xml:space="preserve">among </w:t>
      </w:r>
      <w:r w:rsidRPr="005B0796">
        <w:t xml:space="preserve">individuals who share characteristics with a large proportion of the population (e.g., Other Ranks), the estimated proportion of the entire population predicted to have that disorder should be greater than the proportion of cases detected. </w:t>
      </w:r>
    </w:p>
    <w:p w:rsidR="00493D83" w:rsidRPr="005B0796" w:rsidRDefault="00493D83" w:rsidP="00493D83">
      <w:pPr>
        <w:pStyle w:val="ShadedDash"/>
      </w:pPr>
      <w:r w:rsidRPr="005B0796">
        <w:tab/>
        <w:t>–</w:t>
      </w:r>
      <w:r w:rsidRPr="005B0796">
        <w:tab/>
        <w:t xml:space="preserve">Where a disorder is relatively common, and is detected at a high rate </w:t>
      </w:r>
      <w:r w:rsidR="004E7AC5">
        <w:t>among</w:t>
      </w:r>
      <w:r w:rsidRPr="005B0796">
        <w:t xml:space="preserve"> those who share characteristics with a small proportion of the population, the estimated proportion of the total population predicted to have that disorder should be lower than the proportion of cases detected. </w:t>
      </w:r>
    </w:p>
    <w:p w:rsidR="00493D83" w:rsidRPr="005B0796" w:rsidRDefault="00493D83" w:rsidP="00493D83">
      <w:pPr>
        <w:pStyle w:val="ShadedDash"/>
      </w:pPr>
      <w:r w:rsidRPr="005B0796">
        <w:tab/>
        <w:t>–</w:t>
      </w:r>
      <w:r w:rsidRPr="005B0796">
        <w:tab/>
        <w:t>Therefore, to interpret the precision or imprecision of a given estimate, readers might consider additional information supplied with the estimates, such as confidence intervals.</w:t>
      </w:r>
    </w:p>
    <w:p w:rsidR="00493D83" w:rsidRPr="005B0796" w:rsidRDefault="00493D83" w:rsidP="00493D83">
      <w:pPr>
        <w:pStyle w:val="ShadedBoxText"/>
        <w:rPr>
          <w:lang w:eastAsia="en-AU"/>
        </w:rPr>
      </w:pPr>
      <w:r w:rsidRPr="005B0796">
        <w:rPr>
          <w:b/>
          <w:lang w:eastAsia="en-AU"/>
        </w:rPr>
        <w:t>Confidence intervals:</w:t>
      </w:r>
      <w:r w:rsidRPr="005B0796">
        <w:rPr>
          <w:lang w:eastAsia="en-AU"/>
        </w:rPr>
        <w:t xml:space="preserve"> </w:t>
      </w:r>
      <w:r w:rsidR="004E7AC5">
        <w:rPr>
          <w:lang w:eastAsia="en-AU"/>
        </w:rPr>
        <w:t>these</w:t>
      </w:r>
      <w:r w:rsidRPr="005B0796">
        <w:rPr>
          <w:lang w:eastAsia="en-AU"/>
        </w:rPr>
        <w:t xml:space="preserve"> represent the possible range of values within which the presented estimate falls. Where the value of interest is a prevalence estimate, the confidence intervals show the range of error of the estimate. In general, confidence intervals that are very close to the estimate value reflect the precision of the estimate, while </w:t>
      </w:r>
      <w:r w:rsidR="004E7AC5">
        <w:rPr>
          <w:lang w:eastAsia="en-AU"/>
        </w:rPr>
        <w:t>those</w:t>
      </w:r>
      <w:r w:rsidRPr="005B0796">
        <w:rPr>
          <w:lang w:eastAsia="en-AU"/>
        </w:rPr>
        <w:t xml:space="preserve"> that are very wide reflect estimate imprecision. Where there are wide confidence intervals, associated estimates should be interpreted cautiously, with the upper and lower limits considered the top and bottom range of possible precise values. </w:t>
      </w:r>
    </w:p>
    <w:p w:rsidR="00493D83" w:rsidRPr="005B0796" w:rsidRDefault="00493D83" w:rsidP="00493D83">
      <w:pPr>
        <w:pStyle w:val="ShadedBoxText"/>
        <w:rPr>
          <w:lang w:eastAsia="en-AU"/>
        </w:rPr>
      </w:pPr>
      <w:r w:rsidRPr="005B0796">
        <w:rPr>
          <w:b/>
          <w:lang w:eastAsia="en-AU"/>
        </w:rPr>
        <w:t>Standard errors:</w:t>
      </w:r>
      <w:r w:rsidRPr="005B0796">
        <w:rPr>
          <w:lang w:eastAsia="en-AU"/>
        </w:rPr>
        <w:t xml:space="preserve"> like confidence intervals, standard errors indicate the range of error in an average score that is presented. </w:t>
      </w:r>
    </w:p>
    <w:p w:rsidR="00493D83" w:rsidRPr="005B0796" w:rsidRDefault="00493D83" w:rsidP="00493D83">
      <w:pPr>
        <w:pStyle w:val="ShadedBoxText"/>
        <w:rPr>
          <w:lang w:eastAsia="en-AU"/>
        </w:rPr>
      </w:pPr>
      <w:r w:rsidRPr="005B0796">
        <w:rPr>
          <w:b/>
          <w:lang w:eastAsia="en-AU"/>
        </w:rPr>
        <w:t>Between-group comparisons:</w:t>
      </w:r>
      <w:r w:rsidRPr="005B0796">
        <w:rPr>
          <w:lang w:eastAsia="en-AU"/>
        </w:rPr>
        <w:t xml:space="preserve"> when comparing prevalence estimates between groups, the overlap in confidence intervals provides an indication of between-group differences. Where there is significant overlap, any apparent difference in estimates is more likely to reflect measurement or estimate error.</w:t>
      </w:r>
    </w:p>
    <w:p w:rsidR="00493D83" w:rsidRPr="005B0796" w:rsidRDefault="00493D83" w:rsidP="00493D83">
      <w:pPr>
        <w:pStyle w:val="ShadedBoxText"/>
        <w:rPr>
          <w:lang w:eastAsia="en-AU"/>
        </w:rPr>
      </w:pPr>
      <w:r w:rsidRPr="005B0796">
        <w:rPr>
          <w:lang w:eastAsia="en-AU"/>
        </w:rPr>
        <w:t>In general, the smaller the subpopulation of interest, the greater the error</w:t>
      </w:r>
      <w:r w:rsidR="004E7AC5">
        <w:rPr>
          <w:lang w:eastAsia="en-AU"/>
        </w:rPr>
        <w:t>. So</w:t>
      </w:r>
      <w:r w:rsidRPr="005B0796">
        <w:rPr>
          <w:lang w:eastAsia="en-AU"/>
        </w:rPr>
        <w:t>, where a stratification variable has a very small number in some categories, estimates are likely to have large associated confidence intervals or standard errors.</w:t>
      </w:r>
    </w:p>
    <w:p w:rsidR="00493D83" w:rsidRPr="005B0796" w:rsidRDefault="00493D83" w:rsidP="00493D83">
      <w:pPr>
        <w:pStyle w:val="ShadedBoxText"/>
        <w:rPr>
          <w:lang w:eastAsia="en-AU"/>
        </w:rPr>
      </w:pPr>
      <w:r w:rsidRPr="005B0796">
        <w:rPr>
          <w:b/>
          <w:lang w:eastAsia="en-AU"/>
        </w:rPr>
        <w:t xml:space="preserve">Odds </w:t>
      </w:r>
      <w:r w:rsidR="004E7AC5">
        <w:rPr>
          <w:b/>
          <w:lang w:eastAsia="en-AU"/>
        </w:rPr>
        <w:t>r</w:t>
      </w:r>
      <w:r w:rsidRPr="005B0796">
        <w:rPr>
          <w:b/>
          <w:lang w:eastAsia="en-AU"/>
        </w:rPr>
        <w:t>atios (ORs):</w:t>
      </w:r>
      <w:r w:rsidRPr="005B0796">
        <w:rPr>
          <w:lang w:eastAsia="en-AU"/>
        </w:rPr>
        <w:t xml:space="preserve"> when estimating the prevalence of a specific health outcome, there can be differences in the prevalence rates between two groups (for example, 2015 Regular ADF and Transitioned ADF) due to differences in factors other than transition status – such as sex, age, Service or rank – across the comparison groups, particularly if these other factors are associated with the health outcome. If this is the case, these factors are potentially confounders, and one method of reducing confounding is to employ a logistic regression model that controls (for example, adjusts) for these factors. The statistical output from a logistic regression model is an odds ratio (OR). An OR denotes the odds of a particular group (for example, Transitioned ADF) having a specific health outcome compared to a reference group (for example, 2015 Regular ADF). </w:t>
      </w:r>
    </w:p>
    <w:p w:rsidR="00493D83" w:rsidRPr="005B0796" w:rsidRDefault="00493D83" w:rsidP="00493D83">
      <w:pPr>
        <w:pStyle w:val="ShadedBoxText"/>
        <w:rPr>
          <w:lang w:eastAsia="en-AU"/>
        </w:rPr>
      </w:pPr>
      <w:r w:rsidRPr="005B0796">
        <w:rPr>
          <w:lang w:eastAsia="en-AU"/>
        </w:rPr>
        <w:t>An OR of greater than one indicates increased odds of having a particular health outcome compared to the reference group, and an OR of less than one suggests less likelihood of having a particular health outcome. For example, an OR of 1.7 for the Transitioned ADF (compared to 2015 Regular ADF) suggests that members of the Transitioned ADF have 70% increased odds of having that particular health outcome. Conversely, an OR of 0.7 suggests that Transitioned ADF members are 30% less likely than 2015 Regular ADF members to have a particular health outcome. When an OR is greater than two, we can then say that Transitioned ADF members are twice as likely as 2015 Regular ADF to have a particular health outcome. Similarly, if the OR is greater than three, they would be three times as likely to have a particular health outcome, and so forth.</w:t>
      </w:r>
    </w:p>
    <w:p w:rsidR="00493D83" w:rsidRPr="005B0796" w:rsidRDefault="00493D83" w:rsidP="00493D83">
      <w:pPr>
        <w:pStyle w:val="ShadedBoxText"/>
        <w:rPr>
          <w:lang w:eastAsia="en-AU"/>
        </w:rPr>
      </w:pPr>
      <w:r w:rsidRPr="005B0796">
        <w:rPr>
          <w:b/>
          <w:lang w:eastAsia="en-AU"/>
        </w:rPr>
        <w:t>Significance:</w:t>
      </w:r>
      <w:r w:rsidRPr="005B0796">
        <w:rPr>
          <w:lang w:eastAsia="en-AU"/>
        </w:rPr>
        <w:t xml:space="preserve"> where a between-group difference is discussed as significant in the text, this means that the difference between groups was statistically tested, adjusting for sex, age and Service, and the associated confidence intervals had no overlap between groups.</w:t>
      </w:r>
    </w:p>
    <w:p w:rsidR="00493D83" w:rsidRPr="005B0796" w:rsidRDefault="00493D83" w:rsidP="00493D83">
      <w:pPr>
        <w:pStyle w:val="ShadedBoxText"/>
        <w:rPr>
          <w:lang w:eastAsia="en-AU"/>
        </w:rPr>
      </w:pPr>
      <w:r w:rsidRPr="005B0796">
        <w:rPr>
          <w:b/>
          <w:lang w:eastAsia="en-AU"/>
        </w:rPr>
        <w:t>Comparison between the 2015 Regular ADF and the 2010 Regular ADF:</w:t>
      </w:r>
      <w:r w:rsidRPr="005B0796">
        <w:rPr>
          <w:lang w:eastAsia="en-AU"/>
        </w:rPr>
        <w:t xml:space="preserve"> weighted estimates for the 2015 Regular ADF are presented alongside weighted estimates for the 2010 Regular ADF, which are directly reproduced from those presented in the 2010 MHPWS report. As such, only simple mean or proportion comparisons are made, with no statistical comparisons between these groups. Any observed differences should be interpreted with caution.</w:t>
      </w:r>
    </w:p>
    <w:p w:rsidR="00493D83" w:rsidRPr="005B0796" w:rsidRDefault="00493D83" w:rsidP="00493D83">
      <w:pPr>
        <w:pStyle w:val="ShadedBoxText"/>
        <w:rPr>
          <w:lang w:eastAsia="en-AU"/>
        </w:rPr>
      </w:pPr>
      <w:r w:rsidRPr="005B0796">
        <w:rPr>
          <w:b/>
          <w:lang w:eastAsia="en-AU"/>
        </w:rPr>
        <w:t>Comparison between the Transitioned ADF and the Australian Community:</w:t>
      </w:r>
      <w:r w:rsidRPr="005B0796">
        <w:rPr>
          <w:lang w:eastAsia="en-AU"/>
        </w:rPr>
        <w:t xml:space="preserve"> weighted estimates of mental health outcomes for the Australian Community were standardised on the basis of sex, employment status and age. These estimates are presented in these categories, alongside those for the Transitioned ADF. </w:t>
      </w:r>
    </w:p>
    <w:p w:rsidR="00493D83" w:rsidRPr="005B0796" w:rsidRDefault="00493D83" w:rsidP="00493D83">
      <w:pPr>
        <w:pStyle w:val="ShadedBoxText"/>
        <w:rPr>
          <w:lang w:eastAsia="en-AU"/>
        </w:rPr>
      </w:pPr>
      <w:r w:rsidRPr="005B0796">
        <w:rPr>
          <w:lang w:eastAsia="en-AU"/>
        </w:rPr>
        <w:t xml:space="preserve">These standardised rates are not the true rates in the ABS population, but are hypothetical rates that would have been observed if the Australian Community population had the same age, sex and employment distribution as the Transitioned ADF population. This standardised rate takes into account any differences in the age, sex and employment structure of the two populations. Thus, when comparing the two populations using standardised rates, any remaining differences between them cannot be attributed to confounding by these three demographic factors. </w:t>
      </w:r>
    </w:p>
    <w:p w:rsidR="00493D83" w:rsidRPr="005B0796" w:rsidRDefault="00493D83" w:rsidP="00493D83">
      <w:pPr>
        <w:pStyle w:val="ShadedBoxText"/>
        <w:rPr>
          <w:lang w:eastAsia="en-AU"/>
        </w:rPr>
      </w:pPr>
      <w:r w:rsidRPr="005B0796">
        <w:rPr>
          <w:lang w:eastAsia="en-AU"/>
        </w:rPr>
        <w:t xml:space="preserve">Further caveats to be considered when reading and discussing the </w:t>
      </w:r>
      <w:r w:rsidRPr="005B0796">
        <w:rPr>
          <w:u w:val="single"/>
          <w:lang w:eastAsia="en-AU"/>
        </w:rPr>
        <w:t>findings from this study</w:t>
      </w:r>
      <w:r w:rsidRPr="005B0796">
        <w:rPr>
          <w:lang w:eastAsia="en-AU"/>
        </w:rPr>
        <w:t>:</w:t>
      </w:r>
    </w:p>
    <w:p w:rsidR="00493D83" w:rsidRPr="005B0796" w:rsidRDefault="00493D83" w:rsidP="00493D83">
      <w:pPr>
        <w:pStyle w:val="ShadedBullet"/>
        <w:rPr>
          <w:lang w:eastAsia="en-AU"/>
        </w:rPr>
      </w:pPr>
      <w:r w:rsidRPr="005B0796">
        <w:rPr>
          <w:lang w:eastAsia="en-AU"/>
        </w:rPr>
        <w:t xml:space="preserve">The overall response rate for the study was low, particularly among the Transitioned ADF. While responder data were able to be statistically weighted up to the total population, the lower the number of responders, the less accurate the resulting weighted population estimates are likely to be. </w:t>
      </w:r>
    </w:p>
    <w:p w:rsidR="00493D83" w:rsidRPr="005B0796" w:rsidRDefault="00493D83" w:rsidP="00493D83">
      <w:pPr>
        <w:pStyle w:val="ShadedBullet"/>
        <w:rPr>
          <w:lang w:eastAsia="en-AU"/>
        </w:rPr>
      </w:pPr>
      <w:r w:rsidRPr="005B0796">
        <w:rPr>
          <w:lang w:eastAsia="en-AU"/>
        </w:rPr>
        <w:t>Response rate data show some subpopulations had substantially lower response rates, which affects the accuracy of associated estimates. In particular, among the ranks, Officers and Non-Commissioned Officers were over-represented among responders, while Other Ranks were highly under-represented, despite accounting for the largest proportion of the total population. As such, any estimates, when stratified by rank, should be interpreted with a degree of caution.</w:t>
      </w:r>
    </w:p>
    <w:p w:rsidR="00493D83" w:rsidRPr="005B0796" w:rsidRDefault="00493D83" w:rsidP="00493D83">
      <w:pPr>
        <w:pStyle w:val="ShadedBullet"/>
        <w:rPr>
          <w:lang w:eastAsia="en-AU"/>
        </w:rPr>
      </w:pPr>
      <w:r w:rsidRPr="005B0796">
        <w:rPr>
          <w:lang w:eastAsia="en-AU"/>
        </w:rPr>
        <w:t>A large proportion of this study reports on self-report measures, which are subject to potential biases, including recall bias, and other response biases. The collection of diagnostic mental disorder data allows for corroboration of findings</w:t>
      </w:r>
      <w:r w:rsidR="004E7AC5">
        <w:rPr>
          <w:lang w:eastAsia="en-AU"/>
        </w:rPr>
        <w:t xml:space="preserve"> – </w:t>
      </w:r>
      <w:r w:rsidRPr="005B0796">
        <w:rPr>
          <w:lang w:eastAsia="en-AU"/>
        </w:rPr>
        <w:t>however, these potential biases should be noted.</w:t>
      </w:r>
    </w:p>
    <w:p w:rsidR="00493D83" w:rsidRPr="005B0796" w:rsidRDefault="00493D83" w:rsidP="00493D83">
      <w:pPr>
        <w:pStyle w:val="ShadedBoxSubheading"/>
      </w:pPr>
      <w:r w:rsidRPr="005B0796">
        <w:t>Chapter 4</w:t>
      </w:r>
    </w:p>
    <w:p w:rsidR="00493D83" w:rsidRPr="005B0796" w:rsidRDefault="00493D83" w:rsidP="00493D83">
      <w:pPr>
        <w:pStyle w:val="ShadedBullet"/>
        <w:rPr>
          <w:lang w:eastAsia="en-AU"/>
        </w:rPr>
      </w:pPr>
      <w:r w:rsidRPr="005B0796">
        <w:rPr>
          <w:lang w:eastAsia="en-AU"/>
        </w:rPr>
        <w:t>In this chapter, all lifetime and 12-month mental disorder prevalence rates were calculated using ICD-10 scoring, and, as such, provide a more inclusive measure of mental disorder.</w:t>
      </w:r>
    </w:p>
    <w:p w:rsidR="00493D83" w:rsidRPr="005B0796" w:rsidRDefault="00493D83" w:rsidP="00493D83">
      <w:pPr>
        <w:pStyle w:val="ShadedBullet"/>
        <w:rPr>
          <w:lang w:eastAsia="en-AU"/>
        </w:rPr>
      </w:pPr>
      <w:r w:rsidRPr="005B0796">
        <w:rPr>
          <w:lang w:eastAsia="en-AU"/>
        </w:rPr>
        <w:t xml:space="preserve">Mental disorder prevalence estimates were calculated using data from a subset of participants, and while efforts were made to ensure they were representative of the broader population, biases in responders was still present. See Annex </w:t>
      </w:r>
      <w:r w:rsidR="00411B45" w:rsidRPr="005B0796">
        <w:rPr>
          <w:lang w:eastAsia="en-AU"/>
        </w:rPr>
        <w:t>A</w:t>
      </w:r>
      <w:r w:rsidRPr="005B0796">
        <w:rPr>
          <w:lang w:eastAsia="en-AU"/>
        </w:rPr>
        <w:t xml:space="preserve"> for detail regarding how potential responder and selection biases were statistically addressed.</w:t>
      </w:r>
    </w:p>
    <w:p w:rsidR="00493D83" w:rsidRPr="005B0796" w:rsidRDefault="00493D83" w:rsidP="00493D83">
      <w:pPr>
        <w:pStyle w:val="ShadedBullet"/>
        <w:rPr>
          <w:lang w:eastAsia="en-AU"/>
        </w:rPr>
      </w:pPr>
      <w:r w:rsidRPr="005B0796">
        <w:rPr>
          <w:lang w:eastAsia="en-AU"/>
        </w:rPr>
        <w:t>Where between-group or category comparisons were made, these were statistically adjusted for sex, age and Service. This means that any resulting difference between groups is the difference that would be present if both groups were of equivalent sex, age and Service.</w:t>
      </w:r>
    </w:p>
    <w:p w:rsidR="00493D83" w:rsidRPr="005B0796" w:rsidRDefault="00493D83" w:rsidP="00493D83">
      <w:pPr>
        <w:pStyle w:val="ShadedBullet"/>
        <w:rPr>
          <w:lang w:eastAsia="en-AU"/>
        </w:rPr>
      </w:pPr>
      <w:r w:rsidRPr="005B0796">
        <w:rPr>
          <w:lang w:eastAsia="en-AU"/>
        </w:rPr>
        <w:t>Suicidality prevalence estimates were based on self-report survey data.</w:t>
      </w:r>
    </w:p>
    <w:p w:rsidR="00493D83" w:rsidRPr="005B0796" w:rsidRDefault="00493D83" w:rsidP="00493D83">
      <w:pPr>
        <w:pStyle w:val="ShadedBoxSubheading"/>
      </w:pPr>
      <w:r w:rsidRPr="005B0796">
        <w:t>Chapter 5</w:t>
      </w:r>
    </w:p>
    <w:p w:rsidR="00493D83" w:rsidRPr="005B0796" w:rsidRDefault="00493D83" w:rsidP="00493D83">
      <w:pPr>
        <w:pStyle w:val="ShadedBullet"/>
        <w:rPr>
          <w:lang w:eastAsia="en-AU"/>
        </w:rPr>
      </w:pPr>
      <w:r w:rsidRPr="005B0796">
        <w:rPr>
          <w:lang w:eastAsia="en-AU"/>
        </w:rPr>
        <w:t>In this chapter, weighted estimates of self-reported mental health outcomes are reported for the Transitioned ADF and the 2015 Regular ADF. These rates are statistically compared.</w:t>
      </w:r>
    </w:p>
    <w:p w:rsidR="00493D83" w:rsidRPr="005B0796" w:rsidRDefault="00493D83" w:rsidP="00493D83">
      <w:pPr>
        <w:pStyle w:val="ShadedBullet"/>
        <w:rPr>
          <w:lang w:eastAsia="en-AU"/>
        </w:rPr>
      </w:pPr>
      <w:r w:rsidRPr="005B0796">
        <w:rPr>
          <w:lang w:eastAsia="en-AU"/>
        </w:rPr>
        <w:t xml:space="preserve">The 2010 Regular ADF refers to the population included in the 2010 MHPWS, and results included in this chapter are reproduced directly from the MHPWS report. Weighted estimates of self-reported mental health outcomes for the 2015 Regular ADF are compared to these results, using simple mean or proportion comparisons. </w:t>
      </w:r>
    </w:p>
    <w:p w:rsidR="00493D83" w:rsidRPr="005B0796" w:rsidRDefault="00493D83" w:rsidP="00493D83">
      <w:pPr>
        <w:pStyle w:val="ShadedBoxText"/>
      </w:pPr>
      <w:r w:rsidRPr="005B0796">
        <w:rPr>
          <w:b/>
        </w:rPr>
        <w:t>Glossary:</w:t>
      </w:r>
      <w:r w:rsidRPr="004E7AC5">
        <w:t xml:space="preserve"> r</w:t>
      </w:r>
      <w:r w:rsidRPr="005B0796">
        <w:t>efer to the Glossary of terms for definitions of key terms in this section.</w:t>
      </w:r>
    </w:p>
    <w:p w:rsidR="008756D4" w:rsidRPr="005B0796" w:rsidRDefault="008756D4" w:rsidP="008756D4"/>
    <w:p w:rsidR="00191932" w:rsidRPr="005B0796" w:rsidRDefault="00191932" w:rsidP="00191932"/>
    <w:p w:rsidR="0047223A" w:rsidRPr="005B0796" w:rsidRDefault="0047223A" w:rsidP="00191932">
      <w:pPr>
        <w:sectPr w:rsidR="0047223A" w:rsidRPr="005B0796" w:rsidSect="00452191">
          <w:type w:val="oddPage"/>
          <w:pgSz w:w="9979" w:h="14170" w:code="243"/>
          <w:pgMar w:top="1440" w:right="1152" w:bottom="1440" w:left="1728" w:header="576" w:footer="576" w:gutter="0"/>
          <w:pgNumType w:start="1"/>
          <w:cols w:space="708"/>
          <w:docGrid w:linePitch="360"/>
        </w:sectPr>
      </w:pPr>
    </w:p>
    <w:p w:rsidR="0047223A" w:rsidRPr="005B0796" w:rsidRDefault="00291296" w:rsidP="00291296">
      <w:pPr>
        <w:pStyle w:val="Heading1"/>
      </w:pPr>
      <w:bookmarkStart w:id="75" w:name="_Toc494449688"/>
      <w:bookmarkStart w:id="76" w:name="_Toc511900270"/>
      <w:r w:rsidRPr="005B0796">
        <w:t>Methodology</w:t>
      </w:r>
      <w:bookmarkEnd w:id="75"/>
      <w:bookmarkEnd w:id="76"/>
    </w:p>
    <w:p w:rsidR="00291296" w:rsidRPr="005B0796" w:rsidRDefault="00291296" w:rsidP="00291296">
      <w:pPr>
        <w:pStyle w:val="ShadedBoxSubheading"/>
      </w:pPr>
      <w:r w:rsidRPr="005B0796">
        <w:t>Study design</w:t>
      </w:r>
    </w:p>
    <w:p w:rsidR="00291296" w:rsidRPr="005B0796" w:rsidRDefault="00291296" w:rsidP="00291296">
      <w:pPr>
        <w:pStyle w:val="ShadedBullet"/>
      </w:pPr>
      <w:r w:rsidRPr="005B0796">
        <w:t>Th</w:t>
      </w:r>
      <w:r w:rsidR="004E7AC5">
        <w:t>e study used a two-phase design.</w:t>
      </w:r>
      <w:r w:rsidRPr="005B0796">
        <w:t xml:space="preserve"> </w:t>
      </w:r>
      <w:r w:rsidR="004E7AC5" w:rsidRPr="005B0796">
        <w:t xml:space="preserve">In </w:t>
      </w:r>
      <w:r w:rsidRPr="005B0796">
        <w:t>Phase 1, participants were screened for mental health problems using a 60-minute self-report questionnaire. In Phase 2, Transitioned ADF members were selected to participate in a one-hour diagnostic telephone interview using the World Mental Health Survey Initiative Version of the</w:t>
      </w:r>
      <w:r w:rsidR="00462A0C" w:rsidRPr="005B0796">
        <w:t xml:space="preserve"> </w:t>
      </w:r>
      <w:r w:rsidRPr="005B0796">
        <w:t>World Health Organization Composite International Diagnostic Interview – version 3.0 (CIDI)</w:t>
      </w:r>
      <w:r w:rsidR="004E7AC5">
        <w:t>.</w:t>
      </w:r>
      <w:r w:rsidRPr="005B0796">
        <w:t xml:space="preserve"> </w:t>
      </w:r>
      <w:r w:rsidR="004E7AC5" w:rsidRPr="005B0796">
        <w:t xml:space="preserve">Selection </w:t>
      </w:r>
      <w:r w:rsidR="004E7AC5">
        <w:t xml:space="preserve">for this interview was </w:t>
      </w:r>
      <w:r w:rsidRPr="005B0796">
        <w:t>based on strata derived from rank, sex, Service and scores on the Posttraumatic Stress Disorder Checklist (PCL) and the Alcohol Use Disorders Identification Test (AUDIT).</w:t>
      </w:r>
    </w:p>
    <w:p w:rsidR="00291296" w:rsidRPr="005B0796" w:rsidRDefault="00291296" w:rsidP="00291296">
      <w:pPr>
        <w:pStyle w:val="ShadedBoxSubheading"/>
        <w:rPr>
          <w:szCs w:val="22"/>
        </w:rPr>
      </w:pPr>
      <w:r w:rsidRPr="005B0796">
        <w:t>Study populations</w:t>
      </w:r>
    </w:p>
    <w:p w:rsidR="00291296" w:rsidRPr="005B0796" w:rsidRDefault="00291296" w:rsidP="00291296">
      <w:pPr>
        <w:pStyle w:val="ShadedBullet"/>
      </w:pPr>
      <w:r w:rsidRPr="005B0796">
        <w:t>The Transitioned ADF population comprised 24,932 ADF members who transitioned from the Regular ADF between 2010 and 2014 (includes Active and Inactive Reservists and Ex-Serving ADF members).</w:t>
      </w:r>
    </w:p>
    <w:p w:rsidR="00291296" w:rsidRPr="005B0796" w:rsidRDefault="00291296" w:rsidP="00291296">
      <w:pPr>
        <w:pStyle w:val="ShadedBullet"/>
      </w:pPr>
      <w:r w:rsidRPr="005B0796">
        <w:t xml:space="preserve">The 2015 Regular ADF population comprised </w:t>
      </w:r>
      <w:r w:rsidR="004E7AC5">
        <w:t xml:space="preserve">the </w:t>
      </w:r>
      <w:r w:rsidRPr="005B0796">
        <w:t>entire Regular serving ADF population in 2015 (N</w:t>
      </w:r>
      <w:r w:rsidR="004E7AC5">
        <w:t> </w:t>
      </w:r>
      <w:r w:rsidRPr="005B0796">
        <w:t>=</w:t>
      </w:r>
      <w:r w:rsidR="004E7AC5">
        <w:t> </w:t>
      </w:r>
      <w:r w:rsidRPr="005B0796">
        <w:t>52,500).</w:t>
      </w:r>
    </w:p>
    <w:p w:rsidR="00291296" w:rsidRPr="005B0796" w:rsidRDefault="00291296" w:rsidP="000C15B8">
      <w:pPr>
        <w:pStyle w:val="ShadedBullet"/>
        <w:spacing w:after="120"/>
      </w:pPr>
      <w:r w:rsidRPr="005B0796">
        <w:t xml:space="preserve">Two population comparison groups were used: </w:t>
      </w:r>
    </w:p>
    <w:p w:rsidR="00291296" w:rsidRPr="005B0796" w:rsidRDefault="00291296" w:rsidP="000C15B8">
      <w:pPr>
        <w:pStyle w:val="ShadedDash"/>
        <w:spacing w:after="120"/>
      </w:pPr>
      <w:r w:rsidRPr="005B0796">
        <w:tab/>
        <w:t>–</w:t>
      </w:r>
      <w:r w:rsidRPr="005B0796">
        <w:tab/>
        <w:t xml:space="preserve">2010 Regular ADF – includes results drawn from the 2010 ADF Mental Health Prevalence and Wellbeing Study (MHPWS) report and represents the entire Regular ADF in 2010 </w:t>
      </w:r>
    </w:p>
    <w:p w:rsidR="00291296" w:rsidRPr="005B0796" w:rsidRDefault="00291296" w:rsidP="00291296">
      <w:pPr>
        <w:pStyle w:val="ShadedDash"/>
      </w:pPr>
      <w:r w:rsidRPr="005B0796">
        <w:tab/>
        <w:t>–</w:t>
      </w:r>
      <w:r w:rsidRPr="005B0796">
        <w:tab/>
        <w:t>the Australian Community (2014</w:t>
      </w:r>
      <w:r w:rsidR="004E7AC5">
        <w:t>–</w:t>
      </w:r>
      <w:r w:rsidRPr="005B0796">
        <w:t>2015) – socio-demographically matched data were drawn from the 2014</w:t>
      </w:r>
      <w:r w:rsidR="004E7AC5">
        <w:t>–</w:t>
      </w:r>
      <w:r w:rsidRPr="005B0796">
        <w:t xml:space="preserve">2015 </w:t>
      </w:r>
      <w:r w:rsidR="004E7AC5">
        <w:t>Australian Bureau of Statistics (</w:t>
      </w:r>
      <w:r w:rsidRPr="005B0796">
        <w:t>ABS</w:t>
      </w:r>
      <w:r w:rsidR="004E7AC5">
        <w:t>)</w:t>
      </w:r>
      <w:r w:rsidRPr="005B0796">
        <w:t xml:space="preserve"> National Health Survey (NHS) data.</w:t>
      </w:r>
    </w:p>
    <w:p w:rsidR="00291296" w:rsidRPr="005B0796" w:rsidRDefault="00291296" w:rsidP="00291296">
      <w:pPr>
        <w:pStyle w:val="ShadedBoxSubheading"/>
      </w:pPr>
      <w:r w:rsidRPr="005B0796">
        <w:t>Survey completion rate</w:t>
      </w:r>
    </w:p>
    <w:p w:rsidR="00291296" w:rsidRPr="005B0796" w:rsidRDefault="00291296" w:rsidP="00291296">
      <w:pPr>
        <w:pStyle w:val="ShadedBullet"/>
      </w:pPr>
      <w:r w:rsidRPr="005B0796">
        <w:t>Of those invited, 18% (n = 4326) of the Transitioned ADF population and 42.3% (n = 8480) of the 2015 Regular ADF population completed the survey.</w:t>
      </w:r>
    </w:p>
    <w:p w:rsidR="00291296" w:rsidRPr="005B0796" w:rsidRDefault="00291296" w:rsidP="00291296">
      <w:pPr>
        <w:pStyle w:val="ShadedBoxSubheading"/>
      </w:pPr>
      <w:r w:rsidRPr="005B0796">
        <w:t>CIDI completion rate</w:t>
      </w:r>
    </w:p>
    <w:p w:rsidR="00291296" w:rsidRPr="005B0796" w:rsidRDefault="00291296" w:rsidP="00291296">
      <w:pPr>
        <w:pStyle w:val="ShadedBullet"/>
      </w:pPr>
      <w:r w:rsidRPr="005B0796">
        <w:t>In the Transitioned ADF, 1807 participants were selected for an interview and 1049 Transitioned ADF members completed a CIDI interview.</w:t>
      </w:r>
    </w:p>
    <w:p w:rsidR="00291296" w:rsidRPr="005B0796" w:rsidRDefault="00291296" w:rsidP="00291296">
      <w:pPr>
        <w:pStyle w:val="ShadedBoxSubheading"/>
      </w:pPr>
      <w:r w:rsidRPr="005B0796">
        <w:t>Weighting</w:t>
      </w:r>
    </w:p>
    <w:p w:rsidR="00291296" w:rsidRPr="005B0796" w:rsidRDefault="00291296" w:rsidP="00291296">
      <w:pPr>
        <w:pStyle w:val="ShadedBullet"/>
      </w:pPr>
      <w:r w:rsidRPr="005B0796">
        <w:t>All survey data for the Transitioned ADF was weighted using distinct strata for sex, Service, rank and medical fitness.</w:t>
      </w:r>
    </w:p>
    <w:p w:rsidR="00291296" w:rsidRPr="005B0796" w:rsidRDefault="00291296" w:rsidP="00291296">
      <w:pPr>
        <w:pStyle w:val="ShadedBullet"/>
      </w:pPr>
      <w:r w:rsidRPr="005B0796">
        <w:t>All survey data for the 2015 Regular ADF was weighted using distinct strata for sex, Service, rank, medical fitness, and whether the individual completed a study as part of MilHOP.</w:t>
      </w:r>
    </w:p>
    <w:p w:rsidR="00291296" w:rsidRPr="005B0796" w:rsidRDefault="00291296" w:rsidP="00291296">
      <w:pPr>
        <w:pStyle w:val="ShadedBullet"/>
      </w:pPr>
      <w:r w:rsidRPr="005B0796">
        <w:t>CIDI weights were derived for the Transitioned ADF, based on strata including band (cut-offs were based on PCL and AUDIT), sex and Service. Post-stratification by the variables of sex, Service and rank was used to adjust the weights so that the known population totals were reproduced by the estimates, and to correct for differential non-response by rank.</w:t>
      </w:r>
    </w:p>
    <w:p w:rsidR="00291296" w:rsidRPr="005B0796" w:rsidRDefault="00291296" w:rsidP="00291296">
      <w:pPr>
        <w:pStyle w:val="ShadedBoxSubheading"/>
      </w:pPr>
      <w:r w:rsidRPr="005B0796">
        <w:t>Analysis</w:t>
      </w:r>
    </w:p>
    <w:p w:rsidR="00291296" w:rsidRPr="005B0796" w:rsidRDefault="00291296" w:rsidP="00291296">
      <w:pPr>
        <w:pStyle w:val="ShadedBullet"/>
      </w:pPr>
      <w:r w:rsidRPr="005B0796">
        <w:t>All analyses were conducted in Stata version 13.1 or SAS version 9.2, and used weighted estimates of totals, means and proportions.</w:t>
      </w:r>
    </w:p>
    <w:p w:rsidR="00291296" w:rsidRPr="005B0796" w:rsidRDefault="00291296" w:rsidP="00291296">
      <w:pPr>
        <w:pStyle w:val="ShadedBullet"/>
      </w:pPr>
      <w:r w:rsidRPr="005B0796">
        <w:t>All regressions included the co-variates for age, sex, Service and rank.</w:t>
      </w:r>
    </w:p>
    <w:p w:rsidR="00291296" w:rsidRPr="005B0796" w:rsidRDefault="00291296" w:rsidP="00291296">
      <w:pPr>
        <w:pStyle w:val="ShadedBoxText"/>
      </w:pPr>
      <w:r w:rsidRPr="005B0796">
        <w:rPr>
          <w:b/>
        </w:rPr>
        <w:t>Glossary:</w:t>
      </w:r>
      <w:r w:rsidRPr="004E7AC5">
        <w:t xml:space="preserve"> r</w:t>
      </w:r>
      <w:r w:rsidRPr="005B0796">
        <w:t>efer to the Glossary of terms for definitions of key terms in this section.</w:t>
      </w:r>
    </w:p>
    <w:p w:rsidR="00720C92" w:rsidRPr="005B0796" w:rsidRDefault="00720C92" w:rsidP="00720C92">
      <w:r w:rsidRPr="005B0796">
        <w:t xml:space="preserve">Chapter 2 outlines the methodology for this report. For the full methodology, including a comprehensive description of all measures used in the survey, refer to Annex </w:t>
      </w:r>
      <w:r w:rsidR="00411B45" w:rsidRPr="005B0796">
        <w:t>A</w:t>
      </w:r>
      <w:r w:rsidRPr="005B0796">
        <w:t xml:space="preserve">. </w:t>
      </w:r>
    </w:p>
    <w:p w:rsidR="00720C92" w:rsidRPr="005B0796" w:rsidRDefault="00720C92" w:rsidP="00720C92">
      <w:pPr>
        <w:pStyle w:val="Heading2"/>
      </w:pPr>
      <w:bookmarkStart w:id="77" w:name="_Toc487011173"/>
      <w:bookmarkStart w:id="78" w:name="_Toc494449689"/>
      <w:bookmarkStart w:id="79" w:name="_Toc511900271"/>
      <w:r w:rsidRPr="005B0796">
        <w:t>Study design</w:t>
      </w:r>
      <w:bookmarkEnd w:id="77"/>
      <w:bookmarkEnd w:id="78"/>
      <w:bookmarkEnd w:id="79"/>
    </w:p>
    <w:p w:rsidR="00720C92" w:rsidRPr="005B0796" w:rsidRDefault="00720C92" w:rsidP="00361023">
      <w:r w:rsidRPr="005B0796">
        <w:t xml:space="preserve">Prevalence estimates for mental disorders in the Transitioned ADF, as categorised by the </w:t>
      </w:r>
      <w:r w:rsidRPr="005B0796">
        <w:rPr>
          <w:szCs w:val="22"/>
        </w:rPr>
        <w:t>International Statistical Classification of Diseases and Related Health Problems – 10th Revision</w:t>
      </w:r>
      <w:r w:rsidRPr="005B0796">
        <w:rPr>
          <w:rFonts w:eastAsia="MS ??" w:cs="Calibri"/>
          <w:szCs w:val="22"/>
        </w:rPr>
        <w:t xml:space="preserve"> (</w:t>
      </w:r>
      <w:r w:rsidRPr="005B0796">
        <w:t>ICD</w:t>
      </w:r>
      <w:r w:rsidRPr="005B0796">
        <w:noBreakHyphen/>
        <w:t xml:space="preserve">10), were obtained using a two-phase study design. This is a well-accepted approach to epidemiological research </w: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 </w:instrTex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EN.CITE.DATA </w:instrText>
      </w:r>
      <w:r w:rsidRPr="005B0796">
        <w:fldChar w:fldCharType="end"/>
      </w:r>
      <w:r w:rsidRPr="005B0796">
        <w:fldChar w:fldCharType="separate"/>
      </w:r>
      <w:r w:rsidRPr="005B0796">
        <w:t>(Salim &amp; Welsh, 2009)</w:t>
      </w:r>
      <w:r w:rsidRPr="005B0796">
        <w:fldChar w:fldCharType="end"/>
      </w:r>
      <w:r w:rsidRPr="005B0796">
        <w:t xml:space="preserve"> and was used in the </w:t>
      </w:r>
      <w:bookmarkStart w:id="80" w:name="_Hlk489880262"/>
      <w:r w:rsidRPr="005B0796">
        <w:t>2010</w:t>
      </w:r>
      <w:r w:rsidR="004E7AC5">
        <w:t xml:space="preserve"> </w:t>
      </w:r>
      <w:r w:rsidRPr="005B0796">
        <w:t xml:space="preserve">MHPWS </w:t>
      </w:r>
      <w:bookmarkEnd w:id="80"/>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rPr>
          <w:b/>
        </w:rPr>
        <w:t xml:space="preserve">. </w:t>
      </w:r>
      <w:r w:rsidRPr="005B0796">
        <w:t>In Phase 1 of the Mental Health and Wellbeing Transition Study, Transitioned ADF and 2015 Regular ADF members were screened for mental health problems, psychological distress, physical health problems, wellbeing factors, pathways to care and occupational exposures using a 60-minute self-report questionnaire, which was completed online or in hard copy. Each participant received a slightly different questionnaire, which was relevant to their current ADF status – Transitioned ADF, 2015 Regular ADF or Ab</w:t>
      </w:r>
      <w:r w:rsidR="005B681B">
        <w:t> </w:t>
      </w:r>
      <w:r w:rsidRPr="005B0796">
        <w:t xml:space="preserve">initio Reservist – and regarding demographics, service and deployment history. However, the core-validated measures of psychological and physical health remained the same, and, where possible, replicated the measures previously administered as part of the 2010 MHPWS. This component of the design is critical to making longitudinal comparisons across time, and highlights the importance of using a consistent approach to research design for military and veteran populations over time. </w:t>
      </w:r>
    </w:p>
    <w:p w:rsidR="00720C92" w:rsidRPr="005B0796" w:rsidRDefault="00720C92" w:rsidP="00361023">
      <w:r w:rsidRPr="005B0796">
        <w:t xml:space="preserve">In Phase 2, a sub-sample of Transitioned ADF members surveyed in Phase 1 were selected to participate in a one-hour diagnostic telephone interview using the CIDI </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This interview was the same as that conducted in 2010, and assessed mental disorders based on the definitions and criteria of two classification systems: the </w:t>
      </w:r>
      <w:bookmarkStart w:id="81" w:name="_Hlk489447586"/>
      <w:r w:rsidRPr="005B0796">
        <w:rPr>
          <w:i/>
        </w:rPr>
        <w:t>Diagnostic and Statistical Manual of Mental Disorders, Fourth Edition</w:t>
      </w:r>
      <w:r w:rsidRPr="005B0796">
        <w:t xml:space="preserve"> (DSM-IV)</w:t>
      </w:r>
      <w:bookmarkEnd w:id="81"/>
      <w:r w:rsidRPr="005B0796">
        <w:t xml:space="preserve"> and the ICD-10 </w:t>
      </w:r>
      <w:r w:rsidRPr="005B0796">
        <w:fldChar w:fldCharType="begin"/>
      </w:r>
      <w:r w:rsidRPr="005B0796">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5B0796">
        <w:fldChar w:fldCharType="separate"/>
      </w:r>
      <w:r w:rsidRPr="005B0796">
        <w:t>(World Health Organization, 1994)</w:t>
      </w:r>
      <w:r w:rsidRPr="005B0796">
        <w:fldChar w:fldCharType="end"/>
      </w:r>
      <w:r w:rsidRPr="005B0796">
        <w:t>. For this report, ICD-10 diagnostic criteria were reported to be consistent with the 2010 MHPWS and the 2007 National Survey of Mental Health and Wellbeing (NSMHW) conducted by the Australian Bureau of Statistics (ABS) (Australian Bureau of Statistics, 2008).</w:t>
      </w:r>
    </w:p>
    <w:p w:rsidR="00720C92" w:rsidRPr="005B0796" w:rsidRDefault="00720C92" w:rsidP="00361023">
      <w:r w:rsidRPr="005B0796">
        <w:t xml:space="preserve">This instrument was chosen because it is widely used in epidemiological surveys worldwide and is fully structured. </w:t>
      </w:r>
      <w:bookmarkStart w:id="82" w:name="_Hlk491080023"/>
      <w:r w:rsidRPr="005B0796">
        <w:t xml:space="preserve">The Hunter Research Foundation conducted the interviews. </w:t>
      </w:r>
      <w:bookmarkStart w:id="83" w:name="_Hlk490141207"/>
      <w:bookmarkEnd w:id="82"/>
      <w:r w:rsidRPr="005B0796">
        <w:t>All interviewers were trained in the computer-assisted personal interview version of CIDI and had experience working with veterans. Further details of the self-report survey measures and the 12-month and lifetime ICD-10 mental disorders examined using the CIDI are provided in section 2.7.</w:t>
      </w:r>
    </w:p>
    <w:p w:rsidR="00720C92" w:rsidRPr="005B0796" w:rsidRDefault="00720C92" w:rsidP="00361023">
      <w:pPr>
        <w:pStyle w:val="Heading2"/>
      </w:pPr>
      <w:bookmarkStart w:id="84" w:name="_Toc482021318"/>
      <w:bookmarkStart w:id="85" w:name="_Toc482024409"/>
      <w:bookmarkStart w:id="86" w:name="_Toc487011174"/>
      <w:bookmarkStart w:id="87" w:name="_Toc494449690"/>
      <w:bookmarkStart w:id="88" w:name="_Toc511900272"/>
      <w:bookmarkEnd w:id="83"/>
      <w:r w:rsidRPr="005B0796">
        <w:t>Samples</w:t>
      </w:r>
      <w:bookmarkEnd w:id="84"/>
      <w:bookmarkEnd w:id="85"/>
      <w:bookmarkEnd w:id="86"/>
      <w:bookmarkEnd w:id="87"/>
      <w:bookmarkEnd w:id="88"/>
    </w:p>
    <w:p w:rsidR="00720C92" w:rsidRPr="005B0796" w:rsidRDefault="00720C92" w:rsidP="00361023">
      <w:r w:rsidRPr="005B0796">
        <w:t>This report uses two of the Programme</w:t>
      </w:r>
      <w:r w:rsidR="00462A0C" w:rsidRPr="005B0796">
        <w:t>’</w:t>
      </w:r>
      <w:r w:rsidRPr="005B0796">
        <w:t>s six overlapping samples (a detailed description of all six samples used in the broader Programme can be seen in section</w:t>
      </w:r>
      <w:r w:rsidR="00134AF3" w:rsidRPr="005B0796">
        <w:t> A</w:t>
      </w:r>
      <w:r w:rsidRPr="005B0796">
        <w:t xml:space="preserve">.3 of Annex </w:t>
      </w:r>
      <w:r w:rsidR="00411B45" w:rsidRPr="005B0796">
        <w:t>A</w:t>
      </w:r>
      <w:r w:rsidRPr="005B0796">
        <w:t xml:space="preserve">: Methodology). </w:t>
      </w:r>
    </w:p>
    <w:p w:rsidR="00720C92" w:rsidRPr="005B0796" w:rsidRDefault="00720C92" w:rsidP="00361023">
      <w:r w:rsidRPr="005B0796">
        <w:rPr>
          <w:b/>
          <w:bCs/>
        </w:rPr>
        <w:t>Sample 1: Transitioned ADF</w:t>
      </w:r>
      <w:r w:rsidR="004E7AC5">
        <w:rPr>
          <w:b/>
          <w:bCs/>
        </w:rPr>
        <w:t>.</w:t>
      </w:r>
      <w:r w:rsidRPr="005B0796">
        <w:rPr>
          <w:b/>
          <w:bCs/>
        </w:rPr>
        <w:t xml:space="preserve"> </w:t>
      </w:r>
      <w:r w:rsidR="004E7AC5" w:rsidRPr="005B0796">
        <w:rPr>
          <w:bCs/>
        </w:rPr>
        <w:t>T</w:t>
      </w:r>
      <w:r w:rsidR="004E7AC5" w:rsidRPr="005B0796">
        <w:t xml:space="preserve">his </w:t>
      </w:r>
      <w:r w:rsidRPr="005B0796">
        <w:t>sample comprised all ADF members who transitioned from the</w:t>
      </w:r>
      <w:r w:rsidR="00462A0C" w:rsidRPr="005B0796">
        <w:t xml:space="preserve"> </w:t>
      </w:r>
      <w:r w:rsidRPr="005B0796">
        <w:t>Regular ADF between 2010 and 2014, and included those who transitioned into the Active and</w:t>
      </w:r>
      <w:r w:rsidR="00462A0C" w:rsidRPr="005B0796">
        <w:t xml:space="preserve"> </w:t>
      </w:r>
      <w:r w:rsidRPr="005B0796">
        <w:t>Inactive Reserves as well as those who had discharged completely from the Regular ADF (Ex</w:t>
      </w:r>
      <w:r w:rsidRPr="005B0796">
        <w:noBreakHyphen/>
        <w:t xml:space="preserve">Serving). All individuals were given the opportunity to opt out of being invited to participate in the research. </w:t>
      </w:r>
    </w:p>
    <w:p w:rsidR="00720C92" w:rsidRPr="005B0796" w:rsidRDefault="00720C92" w:rsidP="00361023">
      <w:r w:rsidRPr="005B0796">
        <w:rPr>
          <w:b/>
        </w:rPr>
        <w:t>Sample 2: 2015 Regular ADF</w:t>
      </w:r>
      <w:r w:rsidR="004E7AC5">
        <w:rPr>
          <w:b/>
        </w:rPr>
        <w:t>.</w:t>
      </w:r>
      <w:r w:rsidRPr="005B0796">
        <w:rPr>
          <w:b/>
        </w:rPr>
        <w:t xml:space="preserve"> </w:t>
      </w:r>
      <w:r w:rsidR="004E7AC5" w:rsidRPr="005B0796">
        <w:t xml:space="preserve">This </w:t>
      </w:r>
      <w:r w:rsidRPr="005B0796">
        <w:t>sample comprised three separate groups of 2015 Regular ADF members in 2015 who were invited to participate in the study:</w:t>
      </w:r>
      <w:r w:rsidRPr="005B0796">
        <w:rPr>
          <w:b/>
        </w:rPr>
        <w:t xml:space="preserve"> </w:t>
      </w:r>
      <w:r w:rsidRPr="005B0796">
        <w:t>(1) those who participated in the 2010 MHPWS and were in the 2015 Regular ADF; (2) those who participated in the Middle East Area of Operations (MEAO) Prospective Health Study between 2010 and 2012 and were in the 2015 Regular ADF; and (3) a stratified random sample of 2015 Regular ADF members who were not part of the 2010 MHPWS or the MEAO Prospective Health Study. The combined results from these three groups were weighted to be representative of the 2015 Regular ADF.</w:t>
      </w:r>
    </w:p>
    <w:p w:rsidR="00720C92" w:rsidRPr="005B0796" w:rsidRDefault="00720C92" w:rsidP="00361023">
      <w:r w:rsidRPr="005B0796">
        <w:t>Of the Transitioned ADF population of 24,932, 96.2% (23,974) were invited to participate. Those not invited represented individuals who may have opted out of the study or did not have any usable contact information. Of the 2015 Regular ADF, 38% (20,031) of the entire population (52,500) were invited to participate.</w:t>
      </w:r>
    </w:p>
    <w:p w:rsidR="00720C92" w:rsidRPr="005B0796" w:rsidRDefault="00720C92" w:rsidP="00361023">
      <w:r w:rsidRPr="005B0796">
        <w:t xml:space="preserve">The samples were taken from the Military and Veteran Research Study Roll (Study Roll) generated for the Programme and held at the </w:t>
      </w:r>
      <w:r w:rsidR="004E7AC5">
        <w:t>Australian Institute of Health and Welfare (</w:t>
      </w:r>
      <w:r w:rsidRPr="005B0796">
        <w:t>AIHW</w:t>
      </w:r>
      <w:r w:rsidR="004E7AC5">
        <w:t>)</w:t>
      </w:r>
      <w:r w:rsidRPr="005B0796">
        <w:t>. The Study Roll was generated from members</w:t>
      </w:r>
      <w:r w:rsidR="00462A0C" w:rsidRPr="005B0796">
        <w:t>’</w:t>
      </w:r>
      <w:r w:rsidRPr="005B0796">
        <w:t xml:space="preserve"> data from Defence, contact data from DVA and contact details from ComSuper, and cross-referenced against the National Death Index. For all individuals in the Transitioned ADF and the 2015 Regular ADF, basic demographic characteristics to be used in weighting were held by </w:t>
      </w:r>
      <w:r w:rsidR="004E7AC5">
        <w:t xml:space="preserve">the </w:t>
      </w:r>
      <w:r w:rsidRPr="005B0796">
        <w:t>AIHW until the</w:t>
      </w:r>
      <w:r w:rsidR="004E7AC5">
        <w:t xml:space="preserve"> end of the data collection. The</w:t>
      </w:r>
      <w:r w:rsidRPr="005B0796">
        <w:t>s</w:t>
      </w:r>
      <w:r w:rsidR="004E7AC5">
        <w:t>e</w:t>
      </w:r>
      <w:r w:rsidRPr="005B0796">
        <w:t xml:space="preserve"> data were then provided to researchers in either identified or de-identified form, depending on participation and consent status.</w:t>
      </w:r>
    </w:p>
    <w:p w:rsidR="00720C92" w:rsidRPr="005B0796" w:rsidRDefault="00720C92" w:rsidP="00361023">
      <w:pPr>
        <w:pStyle w:val="Heading3"/>
      </w:pPr>
      <w:bookmarkStart w:id="89" w:name="_Toc482021319"/>
      <w:bookmarkStart w:id="90" w:name="_Toc482024410"/>
      <w:bookmarkStart w:id="91" w:name="_Toc487011175"/>
      <w:bookmarkStart w:id="92" w:name="_Toc494449691"/>
      <w:bookmarkStart w:id="93" w:name="_Toc511900273"/>
      <w:r w:rsidRPr="005B0796">
        <w:t>Population comparison samples</w:t>
      </w:r>
      <w:bookmarkEnd w:id="89"/>
      <w:bookmarkEnd w:id="90"/>
      <w:bookmarkEnd w:id="91"/>
      <w:bookmarkEnd w:id="92"/>
      <w:bookmarkEnd w:id="93"/>
    </w:p>
    <w:p w:rsidR="00720C92" w:rsidRPr="005B0796" w:rsidRDefault="00720C92" w:rsidP="00361023">
      <w:r w:rsidRPr="005B0796">
        <w:rPr>
          <w:b/>
        </w:rPr>
        <w:t>2010 Regular ADF</w:t>
      </w:r>
      <w:r w:rsidR="004E7AC5">
        <w:t>.</w:t>
      </w:r>
      <w:r w:rsidRPr="005B0796">
        <w:t xml:space="preserve"> Results drawn from the 2010 MHPWS report were directly imputed into this report to provide an indication of the change in self-reported mental health between the 2010 Regular ADF and the 2015 Regular ADF. These results should be interpreted with caution due to the overlapping nature of these two populations. </w:t>
      </w:r>
    </w:p>
    <w:p w:rsidR="00720C92" w:rsidRPr="005B0796" w:rsidRDefault="00720C92" w:rsidP="00361023">
      <w:r w:rsidRPr="005B0796">
        <w:rPr>
          <w:b/>
        </w:rPr>
        <w:t>The Australian Community (2014</w:t>
      </w:r>
      <w:r w:rsidR="004E7AC5">
        <w:rPr>
          <w:b/>
        </w:rPr>
        <w:t>–</w:t>
      </w:r>
      <w:r w:rsidRPr="005B0796">
        <w:rPr>
          <w:b/>
        </w:rPr>
        <w:t>2015)</w:t>
      </w:r>
      <w:r w:rsidR="004E7AC5">
        <w:t>.</w:t>
      </w:r>
      <w:r w:rsidRPr="005B0796">
        <w:t xml:space="preserve"> To enable comparison of estimates in the Transitioned ADF with an Australian Community population, direct standardisation was applied to estimates in the 2014</w:t>
      </w:r>
      <w:r w:rsidR="004E7AC5">
        <w:t>–</w:t>
      </w:r>
      <w:r w:rsidRPr="005B0796">
        <w:t xml:space="preserve">2015 ABS </w:t>
      </w:r>
      <w:r w:rsidR="000C15B8" w:rsidRPr="000C15B8">
        <w:t>National Health Survey</w:t>
      </w:r>
      <w:r w:rsidRPr="005B0796">
        <w:t xml:space="preserve"> data. The NHS is the most recent in a series of Australia-wide ABS health surveys, assessing various aspects of the health of Australians, including long-term health conditions, health risk factors and health service use. The NHS data were restricted to those aged 18–71 (consistent with the Transitioned ADF). The NHS data were standardised by sex, employment status (employed or not) and age category (18–27, 28–37, 38–47, 48–57 and 58+), and estimates were generated on the outcomes of interest. Standard errors for the NHS data were estimated using the replication weights provided in the NHS data file. </w:t>
      </w:r>
    </w:p>
    <w:p w:rsidR="00720C92" w:rsidRPr="005B0796" w:rsidRDefault="00720C92" w:rsidP="00361023">
      <w:pPr>
        <w:pStyle w:val="Heading2"/>
      </w:pPr>
      <w:bookmarkStart w:id="94" w:name="_Toc482021320"/>
      <w:bookmarkStart w:id="95" w:name="_Toc482024411"/>
      <w:bookmarkStart w:id="96" w:name="_Toc487011176"/>
      <w:bookmarkStart w:id="97" w:name="_Toc494449692"/>
      <w:bookmarkStart w:id="98" w:name="_Toc511900274"/>
      <w:r w:rsidRPr="005B0796">
        <w:t>Response rates</w:t>
      </w:r>
      <w:bookmarkEnd w:id="94"/>
      <w:bookmarkEnd w:id="95"/>
      <w:bookmarkEnd w:id="96"/>
      <w:bookmarkEnd w:id="97"/>
      <w:bookmarkEnd w:id="98"/>
    </w:p>
    <w:p w:rsidR="00720C92" w:rsidRPr="005B0796" w:rsidRDefault="00720C92" w:rsidP="00361023">
      <w:pPr>
        <w:pStyle w:val="Heading3"/>
      </w:pPr>
      <w:bookmarkStart w:id="99" w:name="_Toc482021321"/>
      <w:bookmarkStart w:id="100" w:name="_Toc482024412"/>
      <w:bookmarkStart w:id="101" w:name="_Toc487011177"/>
      <w:bookmarkStart w:id="102" w:name="_Toc494449693"/>
      <w:bookmarkStart w:id="103" w:name="_Toc511900275"/>
      <w:r w:rsidRPr="005B0796">
        <w:t>Survey responders</w:t>
      </w:r>
      <w:bookmarkEnd w:id="99"/>
      <w:bookmarkEnd w:id="100"/>
      <w:bookmarkEnd w:id="101"/>
      <w:bookmarkEnd w:id="102"/>
      <w:bookmarkEnd w:id="103"/>
    </w:p>
    <w:p w:rsidR="00720C92" w:rsidRPr="005B0796" w:rsidRDefault="009E72D3" w:rsidP="00361023">
      <w:r w:rsidRPr="005B0796">
        <w:t>Table 2.1</w:t>
      </w:r>
      <w:r w:rsidR="00720C92" w:rsidRPr="005B0796">
        <w:t xml:space="preserve"> and </w:t>
      </w:r>
      <w:r w:rsidRPr="005B0796">
        <w:t>Figure 2.1</w:t>
      </w:r>
      <w:r w:rsidR="00720C92" w:rsidRPr="005B0796">
        <w:t xml:space="preserve"> show the total populations for the Transitioned ADF and the 2015 Regular ADF; the number from each population invited to participate in the study; and the proportion of those invited who responded.</w:t>
      </w:r>
    </w:p>
    <w:p w:rsidR="005035B4" w:rsidRPr="005B0796" w:rsidRDefault="00B341F4" w:rsidP="0013232E">
      <w:r w:rsidRPr="005B0796">
        <w:t>Of the Transitioned ADF population of 24,932, 96% (23,974) were invited to participate. Those not invited represented those individuals who may have opted out of the study or did not have any usa</w:t>
      </w:r>
      <w:r w:rsidR="004E7AC5">
        <w:t>ble contact information. Thirty-</w:t>
      </w:r>
      <w:r w:rsidRPr="005B0796">
        <w:t>eight per</w:t>
      </w:r>
      <w:r w:rsidR="00D565FD" w:rsidRPr="005B0796">
        <w:t xml:space="preserve"> </w:t>
      </w:r>
      <w:r w:rsidRPr="005B0796">
        <w:t>cent (20</w:t>
      </w:r>
      <w:r w:rsidR="00D565FD" w:rsidRPr="005B0796">
        <w:t>,</w:t>
      </w:r>
      <w:r w:rsidRPr="005B0796">
        <w:t>031) of the 2015 Regular ADF population (52</w:t>
      </w:r>
      <w:r w:rsidR="00D565FD" w:rsidRPr="005B0796">
        <w:t>,</w:t>
      </w:r>
      <w:r w:rsidRPr="005B0796">
        <w:t xml:space="preserve">500) were invited to participate. The sample of 2015 Regular ADF invited to participate included a stratified random sample of 5040 full-time members in 2015 as well as those who had participated in the Military Health Outcomes Program </w:t>
      </w:r>
      <w:r w:rsidRPr="005B0796">
        <w:rPr>
          <w:rFonts w:eastAsia="MS ??"/>
          <w:szCs w:val="22"/>
        </w:rPr>
        <w:t xml:space="preserve">(MilHOP) </w:t>
      </w:r>
      <w:r w:rsidRPr="005B0796">
        <w:t>between 2010 and 2012 and who were still serving in 2015. Of those invited, 18% (n = 4326) of the Transitioned ADF population and 42.3% (n = 8480) of the 2015 ADF population completed the survey.</w:t>
      </w:r>
    </w:p>
    <w:p w:rsidR="00B56435" w:rsidRPr="005B0796" w:rsidRDefault="00B56435" w:rsidP="0033018C">
      <w:pPr>
        <w:sectPr w:rsidR="00B56435" w:rsidRPr="005B0796" w:rsidSect="00BE66A5">
          <w:type w:val="oddPage"/>
          <w:pgSz w:w="9979" w:h="14170" w:code="243"/>
          <w:pgMar w:top="1440" w:right="1152" w:bottom="1440" w:left="1728" w:header="576" w:footer="576" w:gutter="0"/>
          <w:cols w:space="708"/>
          <w:docGrid w:linePitch="360"/>
        </w:sectPr>
      </w:pPr>
    </w:p>
    <w:p w:rsidR="00371BEB" w:rsidRPr="005B0796" w:rsidRDefault="00371BEB" w:rsidP="00361023">
      <w:pPr>
        <w:pStyle w:val="TableName"/>
      </w:pPr>
      <w:bookmarkStart w:id="104" w:name="_Ref482013237"/>
      <w:bookmarkStart w:id="105" w:name="_Toc487014243"/>
      <w:bookmarkStart w:id="106" w:name="_Toc492995546"/>
      <w:bookmarkStart w:id="107" w:name="_Toc479243368"/>
      <w:bookmarkStart w:id="108" w:name="_Toc482023757"/>
      <w:bookmarkStart w:id="109" w:name="_Toc51190039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2</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w:t>
      </w:r>
      <w:r w:rsidR="00D30A3C">
        <w:rPr>
          <w:noProof/>
        </w:rPr>
        <w:fldChar w:fldCharType="end"/>
      </w:r>
      <w:bookmarkEnd w:id="104"/>
      <w:r w:rsidRPr="005B0796">
        <w:tab/>
        <w:t>Survey response rates, by Service for the Transitioned ADF and the 2015 Regular ADF</w:t>
      </w:r>
      <w:bookmarkEnd w:id="105"/>
      <w:bookmarkEnd w:id="106"/>
      <w:bookmarkEnd w:id="107"/>
      <w:bookmarkEnd w:id="108"/>
      <w:bookmarkEnd w:id="109"/>
    </w:p>
    <w:tbl>
      <w:tblPr>
        <w:tblStyle w:val="TWRPTable"/>
        <w:tblW w:w="5000" w:type="pct"/>
        <w:tblLayout w:type="fixed"/>
        <w:tblLook w:val="04A0" w:firstRow="1" w:lastRow="0" w:firstColumn="1" w:lastColumn="0" w:noHBand="0" w:noVBand="1"/>
        <w:tblDescription w:val="Table 2.1 Survey response rates, by Service for the Transitioned ADF and the 2015 Regular ADF"/>
      </w:tblPr>
      <w:tblGrid>
        <w:gridCol w:w="1548"/>
        <w:gridCol w:w="1244"/>
        <w:gridCol w:w="1245"/>
        <w:gridCol w:w="1245"/>
        <w:gridCol w:w="1245"/>
        <w:gridCol w:w="1244"/>
        <w:gridCol w:w="1245"/>
        <w:gridCol w:w="1245"/>
        <w:gridCol w:w="1245"/>
      </w:tblGrid>
      <w:tr w:rsidR="00371BEB" w:rsidRPr="005B0796" w:rsidTr="00371BEB">
        <w:trPr>
          <w:cnfStyle w:val="100000000000" w:firstRow="1" w:lastRow="0" w:firstColumn="0" w:lastColumn="0" w:oddVBand="0" w:evenVBand="0" w:oddHBand="0" w:evenHBand="0" w:firstRowFirstColumn="0" w:firstRowLastColumn="0" w:lastRowFirstColumn="0" w:lastRowLastColumn="0"/>
          <w:cantSplit/>
          <w:trHeight w:val="20"/>
          <w:tblHeader/>
        </w:trPr>
        <w:tc>
          <w:tcPr>
            <w:tcW w:w="1548" w:type="dxa"/>
            <w:tcBorders>
              <w:top w:val="single" w:sz="4" w:space="0" w:color="000000"/>
              <w:bottom w:val="nil"/>
            </w:tcBorders>
          </w:tcPr>
          <w:p w:rsidR="00371BEB" w:rsidRPr="005B0796" w:rsidRDefault="00371BEB" w:rsidP="0013232E">
            <w:pPr>
              <w:pStyle w:val="TableText"/>
            </w:pPr>
          </w:p>
        </w:tc>
        <w:tc>
          <w:tcPr>
            <w:tcW w:w="4979" w:type="dxa"/>
            <w:gridSpan w:val="4"/>
            <w:hideMark/>
          </w:tcPr>
          <w:p w:rsidR="00371BEB" w:rsidRPr="005B0796" w:rsidRDefault="00371BEB" w:rsidP="00371BEB">
            <w:pPr>
              <w:pStyle w:val="TableText"/>
              <w:jc w:val="center"/>
            </w:pPr>
            <w:r w:rsidRPr="005B0796">
              <w:t>Transitioned ADF</w:t>
            </w:r>
            <w:r w:rsidRPr="005B0796">
              <w:br/>
              <w:t>N = 24,932</w:t>
            </w:r>
          </w:p>
        </w:tc>
        <w:tc>
          <w:tcPr>
            <w:tcW w:w="4979" w:type="dxa"/>
            <w:gridSpan w:val="4"/>
            <w:hideMark/>
          </w:tcPr>
          <w:p w:rsidR="00371BEB" w:rsidRPr="005B0796" w:rsidRDefault="00371BEB" w:rsidP="00371BEB">
            <w:pPr>
              <w:pStyle w:val="TableText"/>
              <w:jc w:val="center"/>
            </w:pPr>
            <w:r w:rsidRPr="005B0796">
              <w:t>2015 Regular ADF</w:t>
            </w:r>
            <w:r w:rsidRPr="005B0796">
              <w:br/>
              <w:t>N = 52,500</w:t>
            </w:r>
          </w:p>
        </w:tc>
      </w:tr>
      <w:tr w:rsidR="00371BEB" w:rsidRPr="005B0796" w:rsidTr="00371BEB">
        <w:trPr>
          <w:cnfStyle w:val="100000000000" w:firstRow="1" w:lastRow="0" w:firstColumn="0" w:lastColumn="0" w:oddVBand="0" w:evenVBand="0" w:oddHBand="0" w:evenHBand="0" w:firstRowFirstColumn="0" w:firstRowLastColumn="0" w:lastRowFirstColumn="0" w:lastRowLastColumn="0"/>
          <w:cantSplit/>
          <w:trHeight w:val="20"/>
          <w:tblHeader/>
        </w:trPr>
        <w:tc>
          <w:tcPr>
            <w:tcW w:w="1548" w:type="dxa"/>
            <w:tcBorders>
              <w:top w:val="nil"/>
            </w:tcBorders>
          </w:tcPr>
          <w:p w:rsidR="00371BEB" w:rsidRPr="005B0796" w:rsidRDefault="00371BEB" w:rsidP="0013232E">
            <w:pPr>
              <w:pStyle w:val="TableText"/>
            </w:pPr>
          </w:p>
        </w:tc>
        <w:tc>
          <w:tcPr>
            <w:tcW w:w="1244" w:type="dxa"/>
            <w:hideMark/>
          </w:tcPr>
          <w:p w:rsidR="00371BEB" w:rsidRPr="005B0796" w:rsidRDefault="00371BEB" w:rsidP="00371BEB">
            <w:pPr>
              <w:pStyle w:val="TableText"/>
              <w:jc w:val="right"/>
            </w:pPr>
            <w:r w:rsidRPr="005B0796">
              <w:t>Population</w:t>
            </w:r>
          </w:p>
        </w:tc>
        <w:tc>
          <w:tcPr>
            <w:tcW w:w="1245" w:type="dxa"/>
            <w:hideMark/>
          </w:tcPr>
          <w:p w:rsidR="00371BEB" w:rsidRPr="005B0796" w:rsidRDefault="00371BEB" w:rsidP="00371BEB">
            <w:pPr>
              <w:pStyle w:val="TableText"/>
              <w:jc w:val="right"/>
            </w:pPr>
            <w:r w:rsidRPr="005B0796">
              <w:t>Invited</w:t>
            </w:r>
          </w:p>
        </w:tc>
        <w:tc>
          <w:tcPr>
            <w:tcW w:w="1245" w:type="dxa"/>
            <w:hideMark/>
          </w:tcPr>
          <w:p w:rsidR="00371BEB" w:rsidRPr="005B0796" w:rsidRDefault="00371BEB" w:rsidP="00371BEB">
            <w:pPr>
              <w:pStyle w:val="TableText"/>
              <w:jc w:val="right"/>
            </w:pPr>
            <w:r w:rsidRPr="005B0796">
              <w:t>Responders</w:t>
            </w:r>
          </w:p>
        </w:tc>
        <w:tc>
          <w:tcPr>
            <w:tcW w:w="1245" w:type="dxa"/>
            <w:hideMark/>
          </w:tcPr>
          <w:p w:rsidR="00371BEB" w:rsidRPr="005B0796" w:rsidRDefault="00371BEB" w:rsidP="00371BEB">
            <w:pPr>
              <w:pStyle w:val="TableText"/>
              <w:jc w:val="right"/>
            </w:pPr>
            <w:r w:rsidRPr="005B0796">
              <w:t>Response rate (%)</w:t>
            </w:r>
          </w:p>
        </w:tc>
        <w:tc>
          <w:tcPr>
            <w:tcW w:w="1244" w:type="dxa"/>
            <w:hideMark/>
          </w:tcPr>
          <w:p w:rsidR="00371BEB" w:rsidRPr="005B0796" w:rsidRDefault="00371BEB" w:rsidP="00371BEB">
            <w:pPr>
              <w:pStyle w:val="TableText"/>
              <w:jc w:val="right"/>
            </w:pPr>
            <w:r w:rsidRPr="005B0796">
              <w:t>Population</w:t>
            </w:r>
          </w:p>
        </w:tc>
        <w:tc>
          <w:tcPr>
            <w:tcW w:w="1245" w:type="dxa"/>
            <w:hideMark/>
          </w:tcPr>
          <w:p w:rsidR="00371BEB" w:rsidRPr="005B0796" w:rsidRDefault="00371BEB" w:rsidP="00371BEB">
            <w:pPr>
              <w:pStyle w:val="TableText"/>
              <w:jc w:val="right"/>
            </w:pPr>
            <w:r w:rsidRPr="005B0796">
              <w:t>Invited</w:t>
            </w:r>
          </w:p>
        </w:tc>
        <w:tc>
          <w:tcPr>
            <w:tcW w:w="1245" w:type="dxa"/>
            <w:hideMark/>
          </w:tcPr>
          <w:p w:rsidR="00371BEB" w:rsidRPr="005B0796" w:rsidRDefault="00371BEB" w:rsidP="00371BEB">
            <w:pPr>
              <w:pStyle w:val="TableText"/>
              <w:jc w:val="right"/>
            </w:pPr>
            <w:r w:rsidRPr="005B0796">
              <w:t>Responders</w:t>
            </w:r>
          </w:p>
        </w:tc>
        <w:tc>
          <w:tcPr>
            <w:tcW w:w="1245" w:type="dxa"/>
            <w:hideMark/>
          </w:tcPr>
          <w:p w:rsidR="00371BEB" w:rsidRPr="005B0796" w:rsidRDefault="00371BEB" w:rsidP="00371BEB">
            <w:pPr>
              <w:pStyle w:val="TableText"/>
              <w:jc w:val="right"/>
            </w:pPr>
            <w:r w:rsidRPr="005B0796">
              <w:t>Response rate (%)</w:t>
            </w: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13232E">
            <w:pPr>
              <w:pStyle w:val="TableText"/>
              <w:rPr>
                <w:b/>
              </w:rPr>
            </w:pPr>
            <w:r w:rsidRPr="005B0796">
              <w:rPr>
                <w:b/>
              </w:rPr>
              <w:t>Service</w:t>
            </w: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r>
      <w:tr w:rsidR="00371BEB" w:rsidRPr="005B0796" w:rsidTr="00371BEB">
        <w:trPr>
          <w:cantSplit/>
          <w:trHeight w:val="20"/>
        </w:trPr>
        <w:tc>
          <w:tcPr>
            <w:tcW w:w="1548" w:type="dxa"/>
            <w:hideMark/>
          </w:tcPr>
          <w:p w:rsidR="00371BEB" w:rsidRPr="005B0796" w:rsidRDefault="00371BEB" w:rsidP="00371BEB">
            <w:pPr>
              <w:pStyle w:val="TableText"/>
              <w:ind w:left="144"/>
            </w:pPr>
            <w:r w:rsidRPr="005B0796">
              <w:t>Navy</w:t>
            </w:r>
          </w:p>
        </w:tc>
        <w:tc>
          <w:tcPr>
            <w:tcW w:w="1244" w:type="dxa"/>
            <w:hideMark/>
          </w:tcPr>
          <w:p w:rsidR="00371BEB" w:rsidRPr="005B0796" w:rsidRDefault="00371BEB" w:rsidP="00371BEB">
            <w:pPr>
              <w:pStyle w:val="TableText"/>
              <w:jc w:val="right"/>
            </w:pPr>
            <w:r w:rsidRPr="005B0796">
              <w:t>5671</w:t>
            </w:r>
          </w:p>
        </w:tc>
        <w:tc>
          <w:tcPr>
            <w:tcW w:w="1245" w:type="dxa"/>
            <w:hideMark/>
          </w:tcPr>
          <w:p w:rsidR="00371BEB" w:rsidRPr="005B0796" w:rsidRDefault="00371BEB" w:rsidP="00371BEB">
            <w:pPr>
              <w:pStyle w:val="TableText"/>
              <w:jc w:val="right"/>
            </w:pPr>
            <w:r w:rsidRPr="005B0796">
              <w:t>5495</w:t>
            </w:r>
          </w:p>
        </w:tc>
        <w:tc>
          <w:tcPr>
            <w:tcW w:w="1245" w:type="dxa"/>
            <w:hideMark/>
          </w:tcPr>
          <w:p w:rsidR="00371BEB" w:rsidRPr="005B0796" w:rsidRDefault="00371BEB" w:rsidP="00371BEB">
            <w:pPr>
              <w:pStyle w:val="TableText"/>
              <w:jc w:val="right"/>
            </w:pPr>
            <w:r w:rsidRPr="005B0796">
              <w:t>863</w:t>
            </w:r>
          </w:p>
        </w:tc>
        <w:tc>
          <w:tcPr>
            <w:tcW w:w="1245" w:type="dxa"/>
            <w:hideMark/>
          </w:tcPr>
          <w:p w:rsidR="00371BEB" w:rsidRPr="005B0796" w:rsidRDefault="00371BEB" w:rsidP="00371BEB">
            <w:pPr>
              <w:pStyle w:val="TableText"/>
              <w:jc w:val="right"/>
            </w:pPr>
            <w:r w:rsidRPr="005B0796">
              <w:t>15.7</w:t>
            </w:r>
          </w:p>
        </w:tc>
        <w:tc>
          <w:tcPr>
            <w:tcW w:w="1244" w:type="dxa"/>
            <w:hideMark/>
          </w:tcPr>
          <w:p w:rsidR="00371BEB" w:rsidRPr="005B0796" w:rsidRDefault="00371BEB" w:rsidP="00371BEB">
            <w:pPr>
              <w:pStyle w:val="TableText"/>
              <w:jc w:val="right"/>
            </w:pPr>
            <w:r w:rsidRPr="005B0796">
              <w:t>13,282</w:t>
            </w:r>
          </w:p>
        </w:tc>
        <w:tc>
          <w:tcPr>
            <w:tcW w:w="1245" w:type="dxa"/>
            <w:hideMark/>
          </w:tcPr>
          <w:p w:rsidR="00371BEB" w:rsidRPr="005B0796" w:rsidRDefault="00371BEB" w:rsidP="00371BEB">
            <w:pPr>
              <w:pStyle w:val="TableText"/>
              <w:jc w:val="right"/>
            </w:pPr>
            <w:r w:rsidRPr="005B0796">
              <w:t>5113</w:t>
            </w:r>
          </w:p>
        </w:tc>
        <w:tc>
          <w:tcPr>
            <w:tcW w:w="1245" w:type="dxa"/>
            <w:hideMark/>
          </w:tcPr>
          <w:p w:rsidR="00371BEB" w:rsidRPr="005B0796" w:rsidRDefault="00371BEB" w:rsidP="00371BEB">
            <w:pPr>
              <w:pStyle w:val="TableText"/>
              <w:jc w:val="right"/>
            </w:pPr>
            <w:r w:rsidRPr="005B0796">
              <w:t>2040</w:t>
            </w:r>
          </w:p>
        </w:tc>
        <w:tc>
          <w:tcPr>
            <w:tcW w:w="1245" w:type="dxa"/>
            <w:hideMark/>
          </w:tcPr>
          <w:p w:rsidR="00371BEB" w:rsidRPr="005B0796" w:rsidRDefault="00371BEB" w:rsidP="00371BEB">
            <w:pPr>
              <w:pStyle w:val="TableText"/>
              <w:jc w:val="right"/>
            </w:pPr>
            <w:r w:rsidRPr="005B0796">
              <w:t>39.9</w:t>
            </w: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371BEB">
            <w:pPr>
              <w:pStyle w:val="TableText"/>
              <w:ind w:left="144"/>
            </w:pPr>
            <w:r w:rsidRPr="005B0796">
              <w:t>Army</w:t>
            </w:r>
          </w:p>
        </w:tc>
        <w:tc>
          <w:tcPr>
            <w:tcW w:w="1244" w:type="dxa"/>
            <w:hideMark/>
          </w:tcPr>
          <w:p w:rsidR="00371BEB" w:rsidRPr="005B0796" w:rsidRDefault="00371BEB" w:rsidP="00371BEB">
            <w:pPr>
              <w:pStyle w:val="TableText"/>
              <w:jc w:val="right"/>
            </w:pPr>
            <w:r w:rsidRPr="005B0796">
              <w:t>15,038</w:t>
            </w:r>
          </w:p>
        </w:tc>
        <w:tc>
          <w:tcPr>
            <w:tcW w:w="1245" w:type="dxa"/>
            <w:hideMark/>
          </w:tcPr>
          <w:p w:rsidR="00371BEB" w:rsidRPr="005B0796" w:rsidRDefault="00371BEB" w:rsidP="00371BEB">
            <w:pPr>
              <w:pStyle w:val="TableText"/>
              <w:jc w:val="right"/>
            </w:pPr>
            <w:r w:rsidRPr="005B0796">
              <w:t>14,465</w:t>
            </w:r>
          </w:p>
        </w:tc>
        <w:tc>
          <w:tcPr>
            <w:tcW w:w="1245" w:type="dxa"/>
            <w:hideMark/>
          </w:tcPr>
          <w:p w:rsidR="00371BEB" w:rsidRPr="005B0796" w:rsidRDefault="00371BEB" w:rsidP="00371BEB">
            <w:pPr>
              <w:pStyle w:val="TableText"/>
              <w:jc w:val="right"/>
            </w:pPr>
            <w:r w:rsidRPr="005B0796">
              <w:t>2463</w:t>
            </w:r>
          </w:p>
        </w:tc>
        <w:tc>
          <w:tcPr>
            <w:tcW w:w="1245" w:type="dxa"/>
            <w:hideMark/>
          </w:tcPr>
          <w:p w:rsidR="00371BEB" w:rsidRPr="005B0796" w:rsidRDefault="00371BEB" w:rsidP="00371BEB">
            <w:pPr>
              <w:pStyle w:val="TableText"/>
              <w:jc w:val="right"/>
            </w:pPr>
            <w:r w:rsidRPr="005B0796">
              <w:t>17.0</w:t>
            </w:r>
          </w:p>
        </w:tc>
        <w:tc>
          <w:tcPr>
            <w:tcW w:w="1244" w:type="dxa"/>
            <w:hideMark/>
          </w:tcPr>
          <w:p w:rsidR="00371BEB" w:rsidRPr="005B0796" w:rsidRDefault="00371BEB" w:rsidP="00371BEB">
            <w:pPr>
              <w:pStyle w:val="TableText"/>
              <w:jc w:val="right"/>
            </w:pPr>
            <w:r w:rsidRPr="005B0796">
              <w:t>25,798</w:t>
            </w:r>
          </w:p>
        </w:tc>
        <w:tc>
          <w:tcPr>
            <w:tcW w:w="1245" w:type="dxa"/>
            <w:hideMark/>
          </w:tcPr>
          <w:p w:rsidR="00371BEB" w:rsidRPr="005B0796" w:rsidRDefault="00371BEB" w:rsidP="00371BEB">
            <w:pPr>
              <w:pStyle w:val="TableText"/>
              <w:jc w:val="right"/>
            </w:pPr>
            <w:r w:rsidRPr="005B0796">
              <w:t>8067</w:t>
            </w:r>
          </w:p>
        </w:tc>
        <w:tc>
          <w:tcPr>
            <w:tcW w:w="1245" w:type="dxa"/>
            <w:hideMark/>
          </w:tcPr>
          <w:p w:rsidR="00371BEB" w:rsidRPr="005B0796" w:rsidRDefault="00371BEB" w:rsidP="00371BEB">
            <w:pPr>
              <w:pStyle w:val="TableText"/>
              <w:jc w:val="right"/>
            </w:pPr>
            <w:r w:rsidRPr="005B0796">
              <w:t>3500</w:t>
            </w:r>
          </w:p>
        </w:tc>
        <w:tc>
          <w:tcPr>
            <w:tcW w:w="1245" w:type="dxa"/>
            <w:hideMark/>
          </w:tcPr>
          <w:p w:rsidR="00371BEB" w:rsidRPr="005B0796" w:rsidRDefault="00371BEB" w:rsidP="00371BEB">
            <w:pPr>
              <w:pStyle w:val="TableText"/>
              <w:jc w:val="right"/>
            </w:pPr>
            <w:r w:rsidRPr="005B0796">
              <w:t>43.4</w:t>
            </w:r>
          </w:p>
        </w:tc>
      </w:tr>
      <w:tr w:rsidR="00371BEB" w:rsidRPr="005B0796" w:rsidTr="00371BEB">
        <w:trPr>
          <w:cantSplit/>
          <w:trHeight w:val="20"/>
        </w:trPr>
        <w:tc>
          <w:tcPr>
            <w:tcW w:w="1548" w:type="dxa"/>
            <w:hideMark/>
          </w:tcPr>
          <w:p w:rsidR="00371BEB" w:rsidRPr="005B0796" w:rsidRDefault="00371BEB" w:rsidP="00371BEB">
            <w:pPr>
              <w:pStyle w:val="TableText"/>
              <w:ind w:left="144"/>
            </w:pPr>
            <w:r w:rsidRPr="005B0796">
              <w:t>Air Force</w:t>
            </w:r>
          </w:p>
        </w:tc>
        <w:tc>
          <w:tcPr>
            <w:tcW w:w="1244" w:type="dxa"/>
            <w:hideMark/>
          </w:tcPr>
          <w:p w:rsidR="00371BEB" w:rsidRPr="005B0796" w:rsidRDefault="00371BEB" w:rsidP="00371BEB">
            <w:pPr>
              <w:pStyle w:val="TableText"/>
              <w:jc w:val="right"/>
            </w:pPr>
            <w:r w:rsidRPr="005B0796">
              <w:t>4223</w:t>
            </w:r>
          </w:p>
        </w:tc>
        <w:tc>
          <w:tcPr>
            <w:tcW w:w="1245" w:type="dxa"/>
            <w:hideMark/>
          </w:tcPr>
          <w:p w:rsidR="00371BEB" w:rsidRPr="005B0796" w:rsidRDefault="00371BEB" w:rsidP="00371BEB">
            <w:pPr>
              <w:pStyle w:val="TableText"/>
              <w:jc w:val="right"/>
            </w:pPr>
            <w:r w:rsidRPr="005B0796">
              <w:t>4014</w:t>
            </w:r>
          </w:p>
        </w:tc>
        <w:tc>
          <w:tcPr>
            <w:tcW w:w="1245" w:type="dxa"/>
            <w:hideMark/>
          </w:tcPr>
          <w:p w:rsidR="00371BEB" w:rsidRPr="005B0796" w:rsidRDefault="00371BEB" w:rsidP="00371BEB">
            <w:pPr>
              <w:pStyle w:val="TableText"/>
              <w:jc w:val="right"/>
            </w:pPr>
            <w:r w:rsidRPr="005B0796">
              <w:t>1000</w:t>
            </w:r>
          </w:p>
        </w:tc>
        <w:tc>
          <w:tcPr>
            <w:tcW w:w="1245" w:type="dxa"/>
            <w:hideMark/>
          </w:tcPr>
          <w:p w:rsidR="00371BEB" w:rsidRPr="005B0796" w:rsidRDefault="00371BEB" w:rsidP="00371BEB">
            <w:pPr>
              <w:pStyle w:val="TableText"/>
              <w:jc w:val="right"/>
            </w:pPr>
            <w:r w:rsidRPr="005B0796">
              <w:t>24.9</w:t>
            </w:r>
          </w:p>
        </w:tc>
        <w:tc>
          <w:tcPr>
            <w:tcW w:w="1244" w:type="dxa"/>
            <w:hideMark/>
          </w:tcPr>
          <w:p w:rsidR="00371BEB" w:rsidRPr="005B0796" w:rsidRDefault="00371BEB" w:rsidP="00371BEB">
            <w:pPr>
              <w:pStyle w:val="TableText"/>
              <w:jc w:val="right"/>
            </w:pPr>
            <w:r w:rsidRPr="005B0796">
              <w:t>13,420</w:t>
            </w:r>
          </w:p>
        </w:tc>
        <w:tc>
          <w:tcPr>
            <w:tcW w:w="1245" w:type="dxa"/>
            <w:hideMark/>
          </w:tcPr>
          <w:p w:rsidR="00371BEB" w:rsidRPr="005B0796" w:rsidRDefault="00371BEB" w:rsidP="00371BEB">
            <w:pPr>
              <w:pStyle w:val="TableText"/>
              <w:jc w:val="right"/>
            </w:pPr>
            <w:r w:rsidRPr="005B0796">
              <w:t>6851</w:t>
            </w:r>
          </w:p>
        </w:tc>
        <w:tc>
          <w:tcPr>
            <w:tcW w:w="1245" w:type="dxa"/>
            <w:hideMark/>
          </w:tcPr>
          <w:p w:rsidR="00371BEB" w:rsidRPr="005B0796" w:rsidRDefault="00371BEB" w:rsidP="00371BEB">
            <w:pPr>
              <w:pStyle w:val="TableText"/>
              <w:jc w:val="right"/>
            </w:pPr>
            <w:r w:rsidRPr="005B0796">
              <w:rPr>
                <w:rFonts w:eastAsia="Times New Roman"/>
                <w:lang w:eastAsia="en-AU"/>
              </w:rPr>
              <w:t>2940</w:t>
            </w:r>
          </w:p>
        </w:tc>
        <w:tc>
          <w:tcPr>
            <w:tcW w:w="1245" w:type="dxa"/>
            <w:hideMark/>
          </w:tcPr>
          <w:p w:rsidR="00371BEB" w:rsidRPr="005B0796" w:rsidRDefault="00371BEB" w:rsidP="00371BEB">
            <w:pPr>
              <w:pStyle w:val="TableText"/>
              <w:jc w:val="right"/>
            </w:pPr>
            <w:r w:rsidRPr="005B0796">
              <w:t>42.9</w:t>
            </w: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13232E">
            <w:pPr>
              <w:pStyle w:val="TableText"/>
              <w:rPr>
                <w:b/>
              </w:rPr>
            </w:pPr>
            <w:r w:rsidRPr="005B0796">
              <w:rPr>
                <w:b/>
              </w:rPr>
              <w:t>Sex</w:t>
            </w: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rPr>
                <w:rFonts w:eastAsia="Times New Roman"/>
                <w:lang w:eastAsia="en-AU"/>
              </w:rPr>
            </w:pPr>
          </w:p>
        </w:tc>
        <w:tc>
          <w:tcPr>
            <w:tcW w:w="1245" w:type="dxa"/>
          </w:tcPr>
          <w:p w:rsidR="00371BEB" w:rsidRPr="005B0796" w:rsidRDefault="00371BEB" w:rsidP="00371BEB">
            <w:pPr>
              <w:pStyle w:val="TableText"/>
              <w:jc w:val="right"/>
              <w:rPr>
                <w:rFonts w:eastAsia="MS Mincho"/>
              </w:rPr>
            </w:pPr>
          </w:p>
        </w:tc>
      </w:tr>
      <w:tr w:rsidR="00371BEB" w:rsidRPr="005B0796" w:rsidTr="00371BEB">
        <w:trPr>
          <w:cantSplit/>
          <w:trHeight w:val="20"/>
        </w:trPr>
        <w:tc>
          <w:tcPr>
            <w:tcW w:w="1548" w:type="dxa"/>
            <w:hideMark/>
          </w:tcPr>
          <w:p w:rsidR="00371BEB" w:rsidRPr="005B0796" w:rsidRDefault="00371BEB" w:rsidP="00371BEB">
            <w:pPr>
              <w:pStyle w:val="TableText"/>
              <w:ind w:left="144"/>
            </w:pPr>
            <w:r w:rsidRPr="005B0796">
              <w:t>Male</w:t>
            </w:r>
          </w:p>
        </w:tc>
        <w:tc>
          <w:tcPr>
            <w:tcW w:w="1244" w:type="dxa"/>
            <w:hideMark/>
          </w:tcPr>
          <w:p w:rsidR="00371BEB" w:rsidRPr="005B0796" w:rsidRDefault="00371BEB" w:rsidP="00371BEB">
            <w:pPr>
              <w:pStyle w:val="TableText"/>
              <w:jc w:val="right"/>
            </w:pPr>
            <w:r w:rsidRPr="005B0796">
              <w:t>21,671</w:t>
            </w:r>
          </w:p>
        </w:tc>
        <w:tc>
          <w:tcPr>
            <w:tcW w:w="1245" w:type="dxa"/>
            <w:hideMark/>
          </w:tcPr>
          <w:p w:rsidR="00371BEB" w:rsidRPr="005B0796" w:rsidRDefault="00371BEB" w:rsidP="00371BEB">
            <w:pPr>
              <w:pStyle w:val="TableText"/>
              <w:jc w:val="right"/>
            </w:pPr>
            <w:r w:rsidRPr="005B0796">
              <w:t>20,713</w:t>
            </w:r>
          </w:p>
        </w:tc>
        <w:tc>
          <w:tcPr>
            <w:tcW w:w="1245" w:type="dxa"/>
            <w:hideMark/>
          </w:tcPr>
          <w:p w:rsidR="00371BEB" w:rsidRPr="005B0796" w:rsidRDefault="00371BEB" w:rsidP="00371BEB">
            <w:pPr>
              <w:pStyle w:val="TableText"/>
              <w:jc w:val="right"/>
            </w:pPr>
            <w:r w:rsidRPr="005B0796">
              <w:t>3646</w:t>
            </w:r>
          </w:p>
        </w:tc>
        <w:tc>
          <w:tcPr>
            <w:tcW w:w="1245" w:type="dxa"/>
            <w:hideMark/>
          </w:tcPr>
          <w:p w:rsidR="00371BEB" w:rsidRPr="005B0796" w:rsidRDefault="00371BEB" w:rsidP="00371BEB">
            <w:pPr>
              <w:pStyle w:val="TableText"/>
              <w:jc w:val="right"/>
            </w:pPr>
            <w:r w:rsidRPr="005B0796">
              <w:t>17.6</w:t>
            </w:r>
          </w:p>
        </w:tc>
        <w:tc>
          <w:tcPr>
            <w:tcW w:w="1244" w:type="dxa"/>
            <w:hideMark/>
          </w:tcPr>
          <w:p w:rsidR="00371BEB" w:rsidRPr="005B0796" w:rsidRDefault="00371BEB" w:rsidP="00371BEB">
            <w:pPr>
              <w:pStyle w:val="TableText"/>
              <w:jc w:val="right"/>
            </w:pPr>
            <w:r w:rsidRPr="005B0796">
              <w:t>47,645</w:t>
            </w:r>
          </w:p>
        </w:tc>
        <w:tc>
          <w:tcPr>
            <w:tcW w:w="1245" w:type="dxa"/>
            <w:hideMark/>
          </w:tcPr>
          <w:p w:rsidR="00371BEB" w:rsidRPr="005B0796" w:rsidRDefault="00371BEB" w:rsidP="00371BEB">
            <w:pPr>
              <w:pStyle w:val="TableText"/>
              <w:jc w:val="right"/>
            </w:pPr>
            <w:r w:rsidRPr="005B0796">
              <w:t>15,176</w:t>
            </w:r>
          </w:p>
        </w:tc>
        <w:tc>
          <w:tcPr>
            <w:tcW w:w="1245" w:type="dxa"/>
            <w:hideMark/>
          </w:tcPr>
          <w:p w:rsidR="00371BEB" w:rsidRPr="005B0796" w:rsidRDefault="00371BEB" w:rsidP="00371BEB">
            <w:pPr>
              <w:pStyle w:val="TableText"/>
              <w:jc w:val="right"/>
              <w:rPr>
                <w:rFonts w:eastAsia="Times New Roman"/>
                <w:lang w:eastAsia="en-AU"/>
              </w:rPr>
            </w:pPr>
            <w:r w:rsidRPr="005B0796">
              <w:rPr>
                <w:rFonts w:eastAsia="Times New Roman"/>
                <w:lang w:eastAsia="en-AU"/>
              </w:rPr>
              <w:t>6693</w:t>
            </w:r>
          </w:p>
        </w:tc>
        <w:tc>
          <w:tcPr>
            <w:tcW w:w="1245" w:type="dxa"/>
            <w:hideMark/>
          </w:tcPr>
          <w:p w:rsidR="00371BEB" w:rsidRPr="005B0796" w:rsidRDefault="00371BEB" w:rsidP="00371BEB">
            <w:pPr>
              <w:pStyle w:val="TableText"/>
              <w:jc w:val="right"/>
              <w:rPr>
                <w:rFonts w:eastAsia="MS Mincho"/>
              </w:rPr>
            </w:pPr>
            <w:r w:rsidRPr="005B0796">
              <w:t>44.1</w:t>
            </w: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371BEB">
            <w:pPr>
              <w:pStyle w:val="TableText"/>
              <w:ind w:left="144"/>
            </w:pPr>
            <w:r w:rsidRPr="005B0796">
              <w:t>Female</w:t>
            </w:r>
          </w:p>
        </w:tc>
        <w:tc>
          <w:tcPr>
            <w:tcW w:w="1244" w:type="dxa"/>
            <w:hideMark/>
          </w:tcPr>
          <w:p w:rsidR="00371BEB" w:rsidRPr="005B0796" w:rsidRDefault="00371BEB" w:rsidP="00371BEB">
            <w:pPr>
              <w:pStyle w:val="TableText"/>
              <w:jc w:val="right"/>
            </w:pPr>
            <w:r w:rsidRPr="005B0796">
              <w:t>3261</w:t>
            </w:r>
          </w:p>
        </w:tc>
        <w:tc>
          <w:tcPr>
            <w:tcW w:w="1245" w:type="dxa"/>
            <w:hideMark/>
          </w:tcPr>
          <w:p w:rsidR="00371BEB" w:rsidRPr="005B0796" w:rsidRDefault="00371BEB" w:rsidP="00371BEB">
            <w:pPr>
              <w:pStyle w:val="TableText"/>
              <w:jc w:val="right"/>
            </w:pPr>
            <w:r w:rsidRPr="005B0796">
              <w:t>3261</w:t>
            </w:r>
          </w:p>
        </w:tc>
        <w:tc>
          <w:tcPr>
            <w:tcW w:w="1245" w:type="dxa"/>
            <w:hideMark/>
          </w:tcPr>
          <w:p w:rsidR="00371BEB" w:rsidRPr="005B0796" w:rsidRDefault="00371BEB" w:rsidP="00371BEB">
            <w:pPr>
              <w:pStyle w:val="TableText"/>
              <w:jc w:val="right"/>
            </w:pPr>
            <w:r w:rsidRPr="005B0796">
              <w:t>380</w:t>
            </w:r>
          </w:p>
        </w:tc>
        <w:tc>
          <w:tcPr>
            <w:tcW w:w="1245" w:type="dxa"/>
            <w:hideMark/>
          </w:tcPr>
          <w:p w:rsidR="00371BEB" w:rsidRPr="005B0796" w:rsidRDefault="00371BEB" w:rsidP="00371BEB">
            <w:pPr>
              <w:pStyle w:val="TableText"/>
              <w:jc w:val="right"/>
            </w:pPr>
            <w:r w:rsidRPr="005B0796">
              <w:t>20.9</w:t>
            </w:r>
          </w:p>
        </w:tc>
        <w:tc>
          <w:tcPr>
            <w:tcW w:w="1244" w:type="dxa"/>
            <w:hideMark/>
          </w:tcPr>
          <w:p w:rsidR="00371BEB" w:rsidRPr="005B0796" w:rsidRDefault="00371BEB" w:rsidP="00371BEB">
            <w:pPr>
              <w:pStyle w:val="TableText"/>
              <w:jc w:val="right"/>
            </w:pPr>
            <w:r w:rsidRPr="005B0796">
              <w:t>4855</w:t>
            </w:r>
          </w:p>
        </w:tc>
        <w:tc>
          <w:tcPr>
            <w:tcW w:w="1245" w:type="dxa"/>
            <w:hideMark/>
          </w:tcPr>
          <w:p w:rsidR="00371BEB" w:rsidRPr="005B0796" w:rsidRDefault="00371BEB" w:rsidP="00371BEB">
            <w:pPr>
              <w:pStyle w:val="TableText"/>
              <w:jc w:val="right"/>
            </w:pPr>
            <w:r w:rsidRPr="005B0796">
              <w:t>4855</w:t>
            </w:r>
          </w:p>
        </w:tc>
        <w:tc>
          <w:tcPr>
            <w:tcW w:w="1245" w:type="dxa"/>
            <w:hideMark/>
          </w:tcPr>
          <w:p w:rsidR="00371BEB" w:rsidRPr="005B0796" w:rsidRDefault="00371BEB" w:rsidP="00371BEB">
            <w:pPr>
              <w:pStyle w:val="TableText"/>
              <w:jc w:val="right"/>
              <w:rPr>
                <w:rFonts w:eastAsia="Times New Roman"/>
                <w:lang w:eastAsia="en-AU"/>
              </w:rPr>
            </w:pPr>
            <w:r w:rsidRPr="005B0796">
              <w:rPr>
                <w:rFonts w:eastAsia="Times New Roman"/>
                <w:lang w:eastAsia="en-AU"/>
              </w:rPr>
              <w:t>1787</w:t>
            </w:r>
          </w:p>
        </w:tc>
        <w:tc>
          <w:tcPr>
            <w:tcW w:w="1245" w:type="dxa"/>
            <w:hideMark/>
          </w:tcPr>
          <w:p w:rsidR="00371BEB" w:rsidRPr="005B0796" w:rsidRDefault="00371BEB" w:rsidP="00371BEB">
            <w:pPr>
              <w:pStyle w:val="TableText"/>
              <w:jc w:val="right"/>
              <w:rPr>
                <w:rFonts w:eastAsia="MS Mincho"/>
              </w:rPr>
            </w:pPr>
            <w:r w:rsidRPr="005B0796">
              <w:t>36.8</w:t>
            </w:r>
          </w:p>
        </w:tc>
      </w:tr>
      <w:tr w:rsidR="00371BEB" w:rsidRPr="005B0796" w:rsidTr="00371BEB">
        <w:trPr>
          <w:cantSplit/>
          <w:trHeight w:val="20"/>
        </w:trPr>
        <w:tc>
          <w:tcPr>
            <w:tcW w:w="1548" w:type="dxa"/>
            <w:hideMark/>
          </w:tcPr>
          <w:p w:rsidR="00371BEB" w:rsidRPr="005B0796" w:rsidRDefault="00371BEB" w:rsidP="0013232E">
            <w:pPr>
              <w:pStyle w:val="TableText"/>
              <w:rPr>
                <w:b/>
              </w:rPr>
            </w:pPr>
            <w:r w:rsidRPr="005B0796">
              <w:rPr>
                <w:b/>
              </w:rPr>
              <w:t>Rank</w:t>
            </w: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rPr>
                <w:rFonts w:eastAsia="Times New Roman"/>
                <w:lang w:eastAsia="en-AU"/>
              </w:rPr>
            </w:pPr>
          </w:p>
        </w:tc>
        <w:tc>
          <w:tcPr>
            <w:tcW w:w="1245" w:type="dxa"/>
          </w:tcPr>
          <w:p w:rsidR="00371BEB" w:rsidRPr="005B0796" w:rsidRDefault="00371BEB" w:rsidP="00371BEB">
            <w:pPr>
              <w:pStyle w:val="TableText"/>
              <w:jc w:val="right"/>
              <w:rPr>
                <w:rFonts w:eastAsia="MS Mincho"/>
              </w:rPr>
            </w:pP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371BEB">
            <w:pPr>
              <w:pStyle w:val="TableText"/>
              <w:ind w:left="144"/>
            </w:pPr>
            <w:r w:rsidRPr="005B0796">
              <w:t>OFFR</w:t>
            </w:r>
          </w:p>
        </w:tc>
        <w:tc>
          <w:tcPr>
            <w:tcW w:w="1244" w:type="dxa"/>
            <w:hideMark/>
          </w:tcPr>
          <w:p w:rsidR="00371BEB" w:rsidRPr="005B0796" w:rsidRDefault="00371BEB" w:rsidP="00371BEB">
            <w:pPr>
              <w:pStyle w:val="TableText"/>
              <w:jc w:val="right"/>
            </w:pPr>
            <w:r w:rsidRPr="005B0796">
              <w:t>4063</w:t>
            </w:r>
          </w:p>
        </w:tc>
        <w:tc>
          <w:tcPr>
            <w:tcW w:w="1245" w:type="dxa"/>
            <w:hideMark/>
          </w:tcPr>
          <w:p w:rsidR="00371BEB" w:rsidRPr="005B0796" w:rsidRDefault="00371BEB" w:rsidP="00371BEB">
            <w:pPr>
              <w:pStyle w:val="TableText"/>
              <w:jc w:val="right"/>
            </w:pPr>
            <w:r w:rsidRPr="005B0796">
              <w:t>3939</w:t>
            </w:r>
          </w:p>
        </w:tc>
        <w:tc>
          <w:tcPr>
            <w:tcW w:w="1245" w:type="dxa"/>
            <w:hideMark/>
          </w:tcPr>
          <w:p w:rsidR="00371BEB" w:rsidRPr="005B0796" w:rsidRDefault="00371BEB" w:rsidP="00371BEB">
            <w:pPr>
              <w:pStyle w:val="TableText"/>
              <w:jc w:val="right"/>
            </w:pPr>
            <w:r w:rsidRPr="005B0796">
              <w:t>1259</w:t>
            </w:r>
          </w:p>
        </w:tc>
        <w:tc>
          <w:tcPr>
            <w:tcW w:w="1245" w:type="dxa"/>
            <w:hideMark/>
          </w:tcPr>
          <w:p w:rsidR="00371BEB" w:rsidRPr="005B0796" w:rsidRDefault="00371BEB" w:rsidP="00371BEB">
            <w:pPr>
              <w:pStyle w:val="TableText"/>
              <w:jc w:val="right"/>
            </w:pPr>
            <w:r w:rsidRPr="005B0796">
              <w:t>32.0</w:t>
            </w:r>
          </w:p>
        </w:tc>
        <w:tc>
          <w:tcPr>
            <w:tcW w:w="1244" w:type="dxa"/>
            <w:hideMark/>
          </w:tcPr>
          <w:p w:rsidR="00371BEB" w:rsidRPr="005B0796" w:rsidRDefault="00371BEB" w:rsidP="00371BEB">
            <w:pPr>
              <w:pStyle w:val="TableText"/>
              <w:jc w:val="right"/>
            </w:pPr>
            <w:r w:rsidRPr="005B0796">
              <w:t>13,444</w:t>
            </w:r>
          </w:p>
        </w:tc>
        <w:tc>
          <w:tcPr>
            <w:tcW w:w="1245" w:type="dxa"/>
            <w:hideMark/>
          </w:tcPr>
          <w:p w:rsidR="00371BEB" w:rsidRPr="005B0796" w:rsidRDefault="00371BEB" w:rsidP="00371BEB">
            <w:pPr>
              <w:pStyle w:val="TableText"/>
              <w:jc w:val="right"/>
            </w:pPr>
            <w:r w:rsidRPr="005B0796">
              <w:t>7847</w:t>
            </w:r>
          </w:p>
        </w:tc>
        <w:tc>
          <w:tcPr>
            <w:tcW w:w="1245" w:type="dxa"/>
            <w:hideMark/>
          </w:tcPr>
          <w:p w:rsidR="00371BEB" w:rsidRPr="005B0796" w:rsidRDefault="00371BEB" w:rsidP="00371BEB">
            <w:pPr>
              <w:pStyle w:val="TableText"/>
              <w:jc w:val="right"/>
              <w:rPr>
                <w:rFonts w:eastAsia="Times New Roman"/>
                <w:lang w:eastAsia="en-AU"/>
              </w:rPr>
            </w:pPr>
            <w:r w:rsidRPr="005B0796">
              <w:rPr>
                <w:rFonts w:eastAsia="Times New Roman"/>
                <w:lang w:eastAsia="en-AU"/>
              </w:rPr>
              <w:t>3538</w:t>
            </w:r>
          </w:p>
        </w:tc>
        <w:tc>
          <w:tcPr>
            <w:tcW w:w="1245" w:type="dxa"/>
            <w:hideMark/>
          </w:tcPr>
          <w:p w:rsidR="00371BEB" w:rsidRPr="005B0796" w:rsidRDefault="00371BEB" w:rsidP="00371BEB">
            <w:pPr>
              <w:pStyle w:val="TableText"/>
              <w:jc w:val="right"/>
              <w:rPr>
                <w:rFonts w:eastAsia="MS Mincho"/>
              </w:rPr>
            </w:pPr>
            <w:r w:rsidRPr="005B0796">
              <w:t>45.1</w:t>
            </w:r>
          </w:p>
        </w:tc>
      </w:tr>
      <w:tr w:rsidR="00371BEB" w:rsidRPr="005B0796" w:rsidTr="00371BEB">
        <w:trPr>
          <w:cantSplit/>
          <w:trHeight w:val="20"/>
        </w:trPr>
        <w:tc>
          <w:tcPr>
            <w:tcW w:w="1548" w:type="dxa"/>
            <w:hideMark/>
          </w:tcPr>
          <w:p w:rsidR="00371BEB" w:rsidRPr="005B0796" w:rsidRDefault="00371BEB" w:rsidP="00371BEB">
            <w:pPr>
              <w:pStyle w:val="TableText"/>
              <w:ind w:left="144"/>
            </w:pPr>
            <w:r w:rsidRPr="005B0796">
              <w:t>NCO</w:t>
            </w:r>
          </w:p>
        </w:tc>
        <w:tc>
          <w:tcPr>
            <w:tcW w:w="1244" w:type="dxa"/>
            <w:hideMark/>
          </w:tcPr>
          <w:p w:rsidR="00371BEB" w:rsidRPr="005B0796" w:rsidRDefault="00371BEB" w:rsidP="00371BEB">
            <w:pPr>
              <w:pStyle w:val="TableText"/>
              <w:jc w:val="right"/>
            </w:pPr>
            <w:r w:rsidRPr="005B0796">
              <w:t>7866</w:t>
            </w:r>
          </w:p>
        </w:tc>
        <w:tc>
          <w:tcPr>
            <w:tcW w:w="1245" w:type="dxa"/>
            <w:hideMark/>
          </w:tcPr>
          <w:p w:rsidR="00371BEB" w:rsidRPr="005B0796" w:rsidRDefault="00371BEB" w:rsidP="00371BEB">
            <w:pPr>
              <w:pStyle w:val="TableText"/>
              <w:jc w:val="right"/>
            </w:pPr>
            <w:r w:rsidRPr="005B0796">
              <w:t>7393</w:t>
            </w:r>
          </w:p>
        </w:tc>
        <w:tc>
          <w:tcPr>
            <w:tcW w:w="1245" w:type="dxa"/>
            <w:hideMark/>
          </w:tcPr>
          <w:p w:rsidR="00371BEB" w:rsidRPr="005B0796" w:rsidRDefault="00371BEB" w:rsidP="00371BEB">
            <w:pPr>
              <w:pStyle w:val="TableText"/>
              <w:jc w:val="right"/>
            </w:pPr>
            <w:r w:rsidRPr="005B0796">
              <w:t>2097</w:t>
            </w:r>
          </w:p>
        </w:tc>
        <w:tc>
          <w:tcPr>
            <w:tcW w:w="1245" w:type="dxa"/>
            <w:hideMark/>
          </w:tcPr>
          <w:p w:rsidR="00371BEB" w:rsidRPr="005B0796" w:rsidRDefault="00371BEB" w:rsidP="00371BEB">
            <w:pPr>
              <w:pStyle w:val="TableText"/>
              <w:jc w:val="right"/>
            </w:pPr>
            <w:r w:rsidRPr="005B0796">
              <w:t>28.4</w:t>
            </w:r>
          </w:p>
        </w:tc>
        <w:tc>
          <w:tcPr>
            <w:tcW w:w="1244" w:type="dxa"/>
            <w:hideMark/>
          </w:tcPr>
          <w:p w:rsidR="00371BEB" w:rsidRPr="005B0796" w:rsidRDefault="00371BEB" w:rsidP="00371BEB">
            <w:pPr>
              <w:pStyle w:val="TableText"/>
              <w:jc w:val="right"/>
            </w:pPr>
            <w:r w:rsidRPr="005B0796">
              <w:t>17,491</w:t>
            </w:r>
          </w:p>
        </w:tc>
        <w:tc>
          <w:tcPr>
            <w:tcW w:w="1245" w:type="dxa"/>
            <w:hideMark/>
          </w:tcPr>
          <w:p w:rsidR="00371BEB" w:rsidRPr="005B0796" w:rsidRDefault="00371BEB" w:rsidP="00371BEB">
            <w:pPr>
              <w:pStyle w:val="TableText"/>
              <w:jc w:val="right"/>
            </w:pPr>
            <w:r w:rsidRPr="005B0796">
              <w:t>9117</w:t>
            </w:r>
          </w:p>
        </w:tc>
        <w:tc>
          <w:tcPr>
            <w:tcW w:w="1245" w:type="dxa"/>
            <w:hideMark/>
          </w:tcPr>
          <w:p w:rsidR="00371BEB" w:rsidRPr="005B0796" w:rsidRDefault="00371BEB" w:rsidP="00371BEB">
            <w:pPr>
              <w:pStyle w:val="TableText"/>
              <w:jc w:val="right"/>
              <w:rPr>
                <w:rFonts w:eastAsia="Times New Roman"/>
                <w:lang w:eastAsia="en-AU"/>
              </w:rPr>
            </w:pPr>
            <w:r w:rsidRPr="005B0796">
              <w:rPr>
                <w:rFonts w:eastAsia="Times New Roman"/>
                <w:lang w:eastAsia="en-AU"/>
              </w:rPr>
              <w:t>4336</w:t>
            </w:r>
          </w:p>
        </w:tc>
        <w:tc>
          <w:tcPr>
            <w:tcW w:w="1245" w:type="dxa"/>
            <w:hideMark/>
          </w:tcPr>
          <w:p w:rsidR="00371BEB" w:rsidRPr="005B0796" w:rsidRDefault="00371BEB" w:rsidP="00371BEB">
            <w:pPr>
              <w:pStyle w:val="TableText"/>
              <w:jc w:val="right"/>
              <w:rPr>
                <w:rFonts w:eastAsia="MS Mincho"/>
              </w:rPr>
            </w:pPr>
            <w:r w:rsidRPr="005B0796">
              <w:t>47.6</w:t>
            </w: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371BEB">
            <w:pPr>
              <w:pStyle w:val="TableText"/>
              <w:ind w:left="144"/>
            </w:pPr>
            <w:r w:rsidRPr="005B0796">
              <w:t xml:space="preserve">Other </w:t>
            </w:r>
            <w:r w:rsidR="00751C86" w:rsidRPr="005B0796">
              <w:t>Ranks</w:t>
            </w:r>
          </w:p>
        </w:tc>
        <w:tc>
          <w:tcPr>
            <w:tcW w:w="1244" w:type="dxa"/>
            <w:hideMark/>
          </w:tcPr>
          <w:p w:rsidR="00371BEB" w:rsidRPr="005B0796" w:rsidRDefault="00371BEB" w:rsidP="00371BEB">
            <w:pPr>
              <w:pStyle w:val="TableText"/>
              <w:jc w:val="right"/>
            </w:pPr>
            <w:r w:rsidRPr="005B0796">
              <w:t>13,003</w:t>
            </w:r>
          </w:p>
        </w:tc>
        <w:tc>
          <w:tcPr>
            <w:tcW w:w="1245" w:type="dxa"/>
            <w:hideMark/>
          </w:tcPr>
          <w:p w:rsidR="00371BEB" w:rsidRPr="005B0796" w:rsidRDefault="00371BEB" w:rsidP="00371BEB">
            <w:pPr>
              <w:pStyle w:val="TableText"/>
              <w:jc w:val="right"/>
            </w:pPr>
            <w:r w:rsidRPr="005B0796">
              <w:t>12,642</w:t>
            </w:r>
          </w:p>
        </w:tc>
        <w:tc>
          <w:tcPr>
            <w:tcW w:w="1245" w:type="dxa"/>
            <w:hideMark/>
          </w:tcPr>
          <w:p w:rsidR="00371BEB" w:rsidRPr="005B0796" w:rsidRDefault="00371BEB" w:rsidP="00371BEB">
            <w:pPr>
              <w:pStyle w:val="TableText"/>
              <w:jc w:val="right"/>
            </w:pPr>
            <w:r w:rsidRPr="005B0796">
              <w:t>970</w:t>
            </w:r>
          </w:p>
        </w:tc>
        <w:tc>
          <w:tcPr>
            <w:tcW w:w="1245" w:type="dxa"/>
            <w:hideMark/>
          </w:tcPr>
          <w:p w:rsidR="00371BEB" w:rsidRPr="005B0796" w:rsidRDefault="00371BEB" w:rsidP="00371BEB">
            <w:pPr>
              <w:pStyle w:val="TableText"/>
              <w:jc w:val="right"/>
            </w:pPr>
            <w:r w:rsidRPr="005B0796">
              <w:t>7.7</w:t>
            </w:r>
          </w:p>
        </w:tc>
        <w:tc>
          <w:tcPr>
            <w:tcW w:w="1244" w:type="dxa"/>
            <w:hideMark/>
          </w:tcPr>
          <w:p w:rsidR="00371BEB" w:rsidRPr="005B0796" w:rsidRDefault="00371BEB" w:rsidP="00371BEB">
            <w:pPr>
              <w:pStyle w:val="TableText"/>
              <w:jc w:val="right"/>
            </w:pPr>
            <w:r w:rsidRPr="005B0796">
              <w:t>21,565</w:t>
            </w:r>
          </w:p>
        </w:tc>
        <w:tc>
          <w:tcPr>
            <w:tcW w:w="1245" w:type="dxa"/>
            <w:hideMark/>
          </w:tcPr>
          <w:p w:rsidR="00371BEB" w:rsidRPr="005B0796" w:rsidRDefault="00371BEB" w:rsidP="00371BEB">
            <w:pPr>
              <w:pStyle w:val="TableText"/>
              <w:jc w:val="right"/>
            </w:pPr>
            <w:r w:rsidRPr="005B0796">
              <w:t>3067</w:t>
            </w:r>
          </w:p>
        </w:tc>
        <w:tc>
          <w:tcPr>
            <w:tcW w:w="1245" w:type="dxa"/>
            <w:hideMark/>
          </w:tcPr>
          <w:p w:rsidR="00371BEB" w:rsidRPr="005B0796" w:rsidRDefault="00371BEB" w:rsidP="00371BEB">
            <w:pPr>
              <w:pStyle w:val="TableText"/>
              <w:jc w:val="right"/>
              <w:rPr>
                <w:rFonts w:eastAsia="Times New Roman"/>
                <w:lang w:eastAsia="en-AU"/>
              </w:rPr>
            </w:pPr>
            <w:r w:rsidRPr="005B0796">
              <w:rPr>
                <w:rFonts w:eastAsia="Times New Roman"/>
                <w:lang w:eastAsia="en-AU"/>
              </w:rPr>
              <w:t>606</w:t>
            </w:r>
          </w:p>
        </w:tc>
        <w:tc>
          <w:tcPr>
            <w:tcW w:w="1245" w:type="dxa"/>
            <w:hideMark/>
          </w:tcPr>
          <w:p w:rsidR="00371BEB" w:rsidRPr="005B0796" w:rsidRDefault="00371BEB" w:rsidP="00371BEB">
            <w:pPr>
              <w:pStyle w:val="TableText"/>
              <w:jc w:val="right"/>
              <w:rPr>
                <w:rFonts w:eastAsia="MS Mincho"/>
              </w:rPr>
            </w:pPr>
            <w:r w:rsidRPr="005B0796">
              <w:t>19.7</w:t>
            </w:r>
          </w:p>
        </w:tc>
      </w:tr>
      <w:tr w:rsidR="00371BEB" w:rsidRPr="005B0796" w:rsidTr="00371BEB">
        <w:trPr>
          <w:cantSplit/>
          <w:trHeight w:val="20"/>
        </w:trPr>
        <w:tc>
          <w:tcPr>
            <w:tcW w:w="1548" w:type="dxa"/>
          </w:tcPr>
          <w:p w:rsidR="00371BEB" w:rsidRPr="005B0796" w:rsidRDefault="00371BEB" w:rsidP="0013232E">
            <w:pPr>
              <w:pStyle w:val="TableText"/>
            </w:pPr>
            <w:r w:rsidRPr="005B0796">
              <w:rPr>
                <w:b/>
              </w:rPr>
              <w:t>Medical fitness</w:t>
            </w: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4"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pPr>
          </w:p>
        </w:tc>
        <w:tc>
          <w:tcPr>
            <w:tcW w:w="1245" w:type="dxa"/>
          </w:tcPr>
          <w:p w:rsidR="00371BEB" w:rsidRPr="005B0796" w:rsidRDefault="00371BEB" w:rsidP="00371BEB">
            <w:pPr>
              <w:pStyle w:val="TableText"/>
              <w:jc w:val="right"/>
              <w:rPr>
                <w:rFonts w:eastAsia="Times New Roman"/>
                <w:lang w:eastAsia="en-AU"/>
              </w:rPr>
            </w:pPr>
          </w:p>
        </w:tc>
        <w:tc>
          <w:tcPr>
            <w:tcW w:w="1245" w:type="dxa"/>
          </w:tcPr>
          <w:p w:rsidR="00371BEB" w:rsidRPr="005B0796" w:rsidRDefault="00371BEB" w:rsidP="00371BEB">
            <w:pPr>
              <w:pStyle w:val="TableText"/>
              <w:jc w:val="right"/>
            </w:pP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371BEB">
            <w:pPr>
              <w:pStyle w:val="TableText"/>
              <w:ind w:left="144"/>
            </w:pPr>
            <w:r w:rsidRPr="005B0796">
              <w:t>Fit</w:t>
            </w:r>
          </w:p>
        </w:tc>
        <w:tc>
          <w:tcPr>
            <w:tcW w:w="1244" w:type="dxa"/>
            <w:hideMark/>
          </w:tcPr>
          <w:p w:rsidR="00371BEB" w:rsidRPr="005B0796" w:rsidRDefault="00371BEB" w:rsidP="00371BEB">
            <w:pPr>
              <w:pStyle w:val="TableText"/>
              <w:jc w:val="right"/>
            </w:pPr>
            <w:r w:rsidRPr="005B0796">
              <w:t>18,273</w:t>
            </w:r>
          </w:p>
        </w:tc>
        <w:tc>
          <w:tcPr>
            <w:tcW w:w="1245" w:type="dxa"/>
            <w:hideMark/>
          </w:tcPr>
          <w:p w:rsidR="00371BEB" w:rsidRPr="005B0796" w:rsidRDefault="00371BEB" w:rsidP="00371BEB">
            <w:pPr>
              <w:pStyle w:val="TableText"/>
              <w:jc w:val="right"/>
            </w:pPr>
            <w:r w:rsidRPr="005B0796">
              <w:t>17,525</w:t>
            </w:r>
          </w:p>
        </w:tc>
        <w:tc>
          <w:tcPr>
            <w:tcW w:w="1245" w:type="dxa"/>
            <w:hideMark/>
          </w:tcPr>
          <w:p w:rsidR="00371BEB" w:rsidRPr="005B0796" w:rsidRDefault="00371BEB" w:rsidP="00371BEB">
            <w:pPr>
              <w:pStyle w:val="TableText"/>
              <w:jc w:val="right"/>
            </w:pPr>
            <w:r w:rsidRPr="005B0796">
              <w:t>2981</w:t>
            </w:r>
          </w:p>
        </w:tc>
        <w:tc>
          <w:tcPr>
            <w:tcW w:w="1245" w:type="dxa"/>
            <w:hideMark/>
          </w:tcPr>
          <w:p w:rsidR="00371BEB" w:rsidRPr="005B0796" w:rsidRDefault="00371BEB" w:rsidP="00371BEB">
            <w:pPr>
              <w:pStyle w:val="TableText"/>
              <w:jc w:val="right"/>
            </w:pPr>
            <w:r w:rsidRPr="005B0796">
              <w:t>17.0</w:t>
            </w:r>
          </w:p>
        </w:tc>
        <w:tc>
          <w:tcPr>
            <w:tcW w:w="1244" w:type="dxa"/>
            <w:hideMark/>
          </w:tcPr>
          <w:p w:rsidR="00371BEB" w:rsidRPr="005B0796" w:rsidRDefault="00371BEB" w:rsidP="00371BEB">
            <w:pPr>
              <w:pStyle w:val="TableText"/>
              <w:jc w:val="right"/>
            </w:pPr>
            <w:r w:rsidRPr="005B0796">
              <w:t>46,022</w:t>
            </w:r>
          </w:p>
        </w:tc>
        <w:tc>
          <w:tcPr>
            <w:tcW w:w="1245" w:type="dxa"/>
            <w:hideMark/>
          </w:tcPr>
          <w:p w:rsidR="00371BEB" w:rsidRPr="005B0796" w:rsidRDefault="00371BEB" w:rsidP="00371BEB">
            <w:pPr>
              <w:pStyle w:val="TableText"/>
              <w:jc w:val="right"/>
            </w:pPr>
            <w:r w:rsidRPr="005B0796">
              <w:t>17,097</w:t>
            </w:r>
          </w:p>
        </w:tc>
        <w:tc>
          <w:tcPr>
            <w:tcW w:w="1245" w:type="dxa"/>
            <w:hideMark/>
          </w:tcPr>
          <w:p w:rsidR="00371BEB" w:rsidRPr="005B0796" w:rsidRDefault="00371BEB" w:rsidP="00371BEB">
            <w:pPr>
              <w:pStyle w:val="TableText"/>
              <w:jc w:val="right"/>
              <w:rPr>
                <w:rFonts w:eastAsia="Times New Roman"/>
                <w:lang w:eastAsia="en-AU"/>
              </w:rPr>
            </w:pPr>
            <w:r w:rsidRPr="005B0796">
              <w:rPr>
                <w:rFonts w:eastAsia="Times New Roman"/>
                <w:lang w:eastAsia="en-AU"/>
              </w:rPr>
              <w:t>7116</w:t>
            </w:r>
          </w:p>
        </w:tc>
        <w:tc>
          <w:tcPr>
            <w:tcW w:w="1245" w:type="dxa"/>
            <w:hideMark/>
          </w:tcPr>
          <w:p w:rsidR="00371BEB" w:rsidRPr="005B0796" w:rsidRDefault="00371BEB" w:rsidP="00371BEB">
            <w:pPr>
              <w:pStyle w:val="TableText"/>
              <w:jc w:val="right"/>
              <w:rPr>
                <w:rFonts w:eastAsia="MS Mincho"/>
              </w:rPr>
            </w:pPr>
            <w:r w:rsidRPr="005B0796">
              <w:t>41.6</w:t>
            </w:r>
          </w:p>
        </w:tc>
      </w:tr>
      <w:tr w:rsidR="00371BEB" w:rsidRPr="005B0796" w:rsidTr="00371BEB">
        <w:trPr>
          <w:cantSplit/>
          <w:trHeight w:val="20"/>
        </w:trPr>
        <w:tc>
          <w:tcPr>
            <w:tcW w:w="1548" w:type="dxa"/>
            <w:hideMark/>
          </w:tcPr>
          <w:p w:rsidR="00371BEB" w:rsidRPr="005B0796" w:rsidRDefault="00371BEB" w:rsidP="00371BEB">
            <w:pPr>
              <w:pStyle w:val="TableText"/>
              <w:ind w:left="144"/>
            </w:pPr>
            <w:r w:rsidRPr="005B0796">
              <w:t>Unfit</w:t>
            </w:r>
          </w:p>
        </w:tc>
        <w:tc>
          <w:tcPr>
            <w:tcW w:w="1244" w:type="dxa"/>
            <w:hideMark/>
          </w:tcPr>
          <w:p w:rsidR="00371BEB" w:rsidRPr="005B0796" w:rsidRDefault="00371BEB" w:rsidP="00371BEB">
            <w:pPr>
              <w:pStyle w:val="TableText"/>
              <w:jc w:val="right"/>
            </w:pPr>
            <w:r w:rsidRPr="005B0796">
              <w:t>6659</w:t>
            </w:r>
          </w:p>
        </w:tc>
        <w:tc>
          <w:tcPr>
            <w:tcW w:w="1245" w:type="dxa"/>
            <w:hideMark/>
          </w:tcPr>
          <w:p w:rsidR="00371BEB" w:rsidRPr="005B0796" w:rsidRDefault="00371BEB" w:rsidP="00371BEB">
            <w:pPr>
              <w:pStyle w:val="TableText"/>
              <w:jc w:val="right"/>
            </w:pPr>
            <w:r w:rsidRPr="005B0796">
              <w:t>6449</w:t>
            </w:r>
          </w:p>
        </w:tc>
        <w:tc>
          <w:tcPr>
            <w:tcW w:w="1245" w:type="dxa"/>
            <w:hideMark/>
          </w:tcPr>
          <w:p w:rsidR="00371BEB" w:rsidRPr="005B0796" w:rsidRDefault="00371BEB" w:rsidP="00371BEB">
            <w:pPr>
              <w:pStyle w:val="TableText"/>
              <w:jc w:val="right"/>
            </w:pPr>
            <w:r w:rsidRPr="005B0796">
              <w:t>1345</w:t>
            </w:r>
          </w:p>
        </w:tc>
        <w:tc>
          <w:tcPr>
            <w:tcW w:w="1245" w:type="dxa"/>
            <w:hideMark/>
          </w:tcPr>
          <w:p w:rsidR="00371BEB" w:rsidRPr="005B0796" w:rsidRDefault="00371BEB" w:rsidP="00371BEB">
            <w:pPr>
              <w:pStyle w:val="TableText"/>
              <w:jc w:val="right"/>
            </w:pPr>
            <w:r w:rsidRPr="005B0796">
              <w:t>20.9</w:t>
            </w:r>
          </w:p>
        </w:tc>
        <w:tc>
          <w:tcPr>
            <w:tcW w:w="1244" w:type="dxa"/>
            <w:hideMark/>
          </w:tcPr>
          <w:p w:rsidR="00371BEB" w:rsidRPr="005B0796" w:rsidRDefault="00371BEB" w:rsidP="00371BEB">
            <w:pPr>
              <w:pStyle w:val="TableText"/>
              <w:jc w:val="right"/>
            </w:pPr>
            <w:r w:rsidRPr="005B0796">
              <w:t>6478</w:t>
            </w:r>
          </w:p>
        </w:tc>
        <w:tc>
          <w:tcPr>
            <w:tcW w:w="1245" w:type="dxa"/>
            <w:hideMark/>
          </w:tcPr>
          <w:p w:rsidR="00371BEB" w:rsidRPr="005B0796" w:rsidRDefault="00371BEB" w:rsidP="00371BEB">
            <w:pPr>
              <w:pStyle w:val="TableText"/>
              <w:jc w:val="right"/>
            </w:pPr>
            <w:r w:rsidRPr="005B0796">
              <w:t>2934</w:t>
            </w:r>
          </w:p>
        </w:tc>
        <w:tc>
          <w:tcPr>
            <w:tcW w:w="1245" w:type="dxa"/>
            <w:hideMark/>
          </w:tcPr>
          <w:p w:rsidR="00371BEB" w:rsidRPr="005B0796" w:rsidRDefault="00371BEB" w:rsidP="00371BEB">
            <w:pPr>
              <w:pStyle w:val="TableText"/>
              <w:jc w:val="right"/>
            </w:pPr>
            <w:r w:rsidRPr="005B0796">
              <w:t>1364</w:t>
            </w:r>
          </w:p>
        </w:tc>
        <w:tc>
          <w:tcPr>
            <w:tcW w:w="1245" w:type="dxa"/>
            <w:hideMark/>
          </w:tcPr>
          <w:p w:rsidR="00371BEB" w:rsidRPr="005B0796" w:rsidRDefault="00371BEB" w:rsidP="00371BEB">
            <w:pPr>
              <w:pStyle w:val="TableText"/>
              <w:jc w:val="right"/>
            </w:pPr>
            <w:r w:rsidRPr="005B0796">
              <w:t>46.5</w:t>
            </w:r>
          </w:p>
        </w:tc>
      </w:tr>
      <w:tr w:rsidR="00371BEB" w:rsidRPr="005B0796" w:rsidTr="00371BEB">
        <w:trPr>
          <w:cnfStyle w:val="000000100000" w:firstRow="0" w:lastRow="0" w:firstColumn="0" w:lastColumn="0" w:oddVBand="0" w:evenVBand="0" w:oddHBand="1" w:evenHBand="0" w:firstRowFirstColumn="0" w:firstRowLastColumn="0" w:lastRowFirstColumn="0" w:lastRowLastColumn="0"/>
          <w:cantSplit/>
          <w:trHeight w:val="20"/>
        </w:trPr>
        <w:tc>
          <w:tcPr>
            <w:tcW w:w="1548" w:type="dxa"/>
            <w:hideMark/>
          </w:tcPr>
          <w:p w:rsidR="00371BEB" w:rsidRPr="005B0796" w:rsidRDefault="00371BEB" w:rsidP="0013232E">
            <w:pPr>
              <w:pStyle w:val="TableText"/>
              <w:rPr>
                <w:b/>
              </w:rPr>
            </w:pPr>
            <w:r w:rsidRPr="005B0796">
              <w:rPr>
                <w:b/>
              </w:rPr>
              <w:t>Total</w:t>
            </w:r>
          </w:p>
        </w:tc>
        <w:tc>
          <w:tcPr>
            <w:tcW w:w="1244" w:type="dxa"/>
            <w:hideMark/>
          </w:tcPr>
          <w:p w:rsidR="00371BEB" w:rsidRPr="005B0796" w:rsidRDefault="00371BEB" w:rsidP="00371BEB">
            <w:pPr>
              <w:pStyle w:val="TableText"/>
              <w:jc w:val="right"/>
            </w:pPr>
            <w:r w:rsidRPr="005B0796">
              <w:t>24,932</w:t>
            </w:r>
          </w:p>
        </w:tc>
        <w:tc>
          <w:tcPr>
            <w:tcW w:w="1245" w:type="dxa"/>
            <w:hideMark/>
          </w:tcPr>
          <w:p w:rsidR="00371BEB" w:rsidRPr="005B0796" w:rsidRDefault="00371BEB" w:rsidP="00371BEB">
            <w:pPr>
              <w:pStyle w:val="TableText"/>
              <w:jc w:val="right"/>
            </w:pPr>
            <w:r w:rsidRPr="005B0796">
              <w:t>23,974</w:t>
            </w:r>
          </w:p>
        </w:tc>
        <w:tc>
          <w:tcPr>
            <w:tcW w:w="1245" w:type="dxa"/>
            <w:hideMark/>
          </w:tcPr>
          <w:p w:rsidR="00371BEB" w:rsidRPr="005B0796" w:rsidRDefault="00371BEB" w:rsidP="00371BEB">
            <w:pPr>
              <w:pStyle w:val="TableText"/>
              <w:jc w:val="right"/>
            </w:pPr>
            <w:r w:rsidRPr="005B0796">
              <w:t>4326</w:t>
            </w:r>
          </w:p>
        </w:tc>
        <w:tc>
          <w:tcPr>
            <w:tcW w:w="1245" w:type="dxa"/>
            <w:hideMark/>
          </w:tcPr>
          <w:p w:rsidR="00371BEB" w:rsidRPr="005B0796" w:rsidRDefault="00371BEB" w:rsidP="00371BEB">
            <w:pPr>
              <w:pStyle w:val="TableText"/>
              <w:jc w:val="right"/>
            </w:pPr>
            <w:r w:rsidRPr="005B0796">
              <w:t>18.0</w:t>
            </w:r>
          </w:p>
        </w:tc>
        <w:tc>
          <w:tcPr>
            <w:tcW w:w="1244" w:type="dxa"/>
            <w:hideMark/>
          </w:tcPr>
          <w:p w:rsidR="00371BEB" w:rsidRPr="005B0796" w:rsidRDefault="00371BEB" w:rsidP="00371BEB">
            <w:pPr>
              <w:pStyle w:val="TableText"/>
              <w:jc w:val="right"/>
            </w:pPr>
            <w:r w:rsidRPr="005B0796">
              <w:t>52,500</w:t>
            </w:r>
          </w:p>
        </w:tc>
        <w:tc>
          <w:tcPr>
            <w:tcW w:w="1245" w:type="dxa"/>
            <w:hideMark/>
          </w:tcPr>
          <w:p w:rsidR="00371BEB" w:rsidRPr="005B0796" w:rsidRDefault="00371BEB" w:rsidP="00371BEB">
            <w:pPr>
              <w:pStyle w:val="TableText"/>
              <w:jc w:val="right"/>
            </w:pPr>
            <w:r w:rsidRPr="005B0796">
              <w:t>20,031</w:t>
            </w:r>
          </w:p>
        </w:tc>
        <w:tc>
          <w:tcPr>
            <w:tcW w:w="1245" w:type="dxa"/>
            <w:hideMark/>
          </w:tcPr>
          <w:p w:rsidR="00371BEB" w:rsidRPr="005B0796" w:rsidRDefault="00371BEB" w:rsidP="00371BEB">
            <w:pPr>
              <w:pStyle w:val="TableText"/>
              <w:jc w:val="right"/>
            </w:pPr>
            <w:r w:rsidRPr="005B0796">
              <w:t>8480</w:t>
            </w:r>
          </w:p>
        </w:tc>
        <w:tc>
          <w:tcPr>
            <w:tcW w:w="1245" w:type="dxa"/>
            <w:hideMark/>
          </w:tcPr>
          <w:p w:rsidR="00371BEB" w:rsidRPr="005B0796" w:rsidRDefault="00371BEB" w:rsidP="00371BEB">
            <w:pPr>
              <w:pStyle w:val="TableText"/>
              <w:jc w:val="right"/>
            </w:pPr>
            <w:r w:rsidRPr="005B0796">
              <w:t>42.3</w:t>
            </w:r>
          </w:p>
        </w:tc>
      </w:tr>
    </w:tbl>
    <w:p w:rsidR="00371BEB" w:rsidRPr="005B0796" w:rsidRDefault="00371BEB" w:rsidP="00361023">
      <w:pPr>
        <w:pStyle w:val="TableNotes"/>
      </w:pPr>
      <w:r w:rsidRPr="005B0796">
        <w:t>Note</w:t>
      </w:r>
      <w:r w:rsidR="008C2520" w:rsidRPr="005B0796">
        <w:t>s</w:t>
      </w:r>
      <w:r w:rsidRPr="005B0796">
        <w:t>:</w:t>
      </w:r>
      <w:r w:rsidR="008C2520" w:rsidRPr="005B0796">
        <w:br/>
      </w:r>
      <w:r w:rsidRPr="005B0796">
        <w:t>Unweighted data</w:t>
      </w:r>
    </w:p>
    <w:p w:rsidR="00371BEB" w:rsidRPr="005B0796" w:rsidRDefault="00371BEB" w:rsidP="00361023">
      <w:pPr>
        <w:pStyle w:val="TableNotes"/>
      </w:pPr>
      <w:r w:rsidRPr="005B0796">
        <w:t>Response rates presented in the table above are calculated as the proportion of those invited to participate in the study</w:t>
      </w:r>
    </w:p>
    <w:p w:rsidR="00371BEB" w:rsidRPr="005B0796" w:rsidRDefault="00371BEB" w:rsidP="00361023">
      <w:pPr>
        <w:pStyle w:val="TableNotes"/>
      </w:pPr>
      <w:r w:rsidRPr="005B0796">
        <w:t>OFFR: Officer, NCO: Non-Commissioned Officer</w:t>
      </w:r>
    </w:p>
    <w:p w:rsidR="00371BEB" w:rsidRPr="005B0796" w:rsidRDefault="00371BEB" w:rsidP="0085632B">
      <w:pPr>
        <w:pStyle w:val="FigureName"/>
        <w:spacing w:after="240"/>
      </w:pPr>
      <w:bookmarkStart w:id="110" w:name="_Ref482013262"/>
      <w:bookmarkStart w:id="111" w:name="_Toc482023815"/>
      <w:bookmarkStart w:id="112" w:name="_Toc487014348"/>
      <w:bookmarkStart w:id="113" w:name="_Toc51190051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2</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w:t>
      </w:r>
      <w:r w:rsidR="00D30A3C">
        <w:rPr>
          <w:noProof/>
        </w:rPr>
        <w:fldChar w:fldCharType="end"/>
      </w:r>
      <w:bookmarkEnd w:id="110"/>
      <w:r w:rsidRPr="005B0796">
        <w:tab/>
        <w:t>Survey response rates for the Transitioned ADF and the 2015 Regular ADF</w:t>
      </w:r>
      <w:bookmarkEnd w:id="111"/>
      <w:bookmarkEnd w:id="112"/>
      <w:bookmarkEnd w:id="113"/>
    </w:p>
    <w:p w:rsidR="00371BEB" w:rsidRPr="005B0796" w:rsidRDefault="0085632B" w:rsidP="0085632B">
      <w:pPr>
        <w:pStyle w:val="FigurePara"/>
        <w:spacing w:before="120"/>
      </w:pPr>
      <w:r w:rsidRPr="005B0796">
        <w:rPr>
          <w:noProof/>
          <w:lang w:eastAsia="en-AU"/>
        </w:rPr>
        <mc:AlternateContent>
          <mc:Choice Requires="wpg">
            <w:drawing>
              <wp:inline distT="0" distB="0" distL="0" distR="0" wp14:anchorId="3B76E30C" wp14:editId="5AF1049F">
                <wp:extent cx="7249212" cy="1695450"/>
                <wp:effectExtent l="0" t="0" r="27940" b="19050"/>
                <wp:docPr id="323" name="Group 323"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7249212" cy="1695450"/>
                          <a:chOff x="0" y="0"/>
                          <a:chExt cx="8684895" cy="1695450"/>
                        </a:xfrm>
                      </wpg:grpSpPr>
                      <wps:wsp>
                        <wps:cNvPr id="330"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rsidR="00A1139F" w:rsidRPr="0085632B" w:rsidRDefault="00A1139F" w:rsidP="00BD510A">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331" name="Text Box 331"/>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rsidR="00A1139F" w:rsidRPr="0085632B" w:rsidRDefault="00A1139F" w:rsidP="0085632B">
                              <w:pPr>
                                <w:pStyle w:val="FigureText"/>
                                <w:rPr>
                                  <w:b w:val="0"/>
                                </w:rPr>
                              </w:pPr>
                              <w:r>
                                <w:t>Non-responder</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336"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rsidR="00A1139F" w:rsidRPr="0085632B" w:rsidRDefault="00A1139F" w:rsidP="0085632B">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337"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rsidR="00A1139F" w:rsidRPr="0085632B" w:rsidRDefault="00A1139F" w:rsidP="0085632B">
                              <w:pPr>
                                <w:pStyle w:val="FigureText"/>
                                <w:rPr>
                                  <w:b w:val="0"/>
                                </w:rPr>
                              </w:pPr>
                              <w:r>
                                <w:t>Responder</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338"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rsidR="00A1139F" w:rsidRPr="0085632B" w:rsidRDefault="00A1139F" w:rsidP="0085632B">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339" name="Text Box 339"/>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rsidR="00A1139F" w:rsidRPr="0085632B" w:rsidRDefault="00A1139F" w:rsidP="0085632B">
                              <w:pPr>
                                <w:pStyle w:val="FigureText"/>
                                <w:rPr>
                                  <w:b w:val="0"/>
                                </w:rPr>
                              </w:pPr>
                              <w:r>
                                <w:t>Non-responder</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340"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rsidR="00A1139F" w:rsidRPr="0085632B" w:rsidRDefault="00A1139F" w:rsidP="0085632B">
                              <w:pPr>
                                <w:pStyle w:val="FigureText"/>
                                <w:rPr>
                                  <w:b w:val="0"/>
                                </w:rPr>
                              </w:pPr>
                              <w:r>
                                <w:t>Invited</w:t>
                              </w:r>
                              <w:r>
                                <w:br/>
                              </w:r>
                              <w:r w:rsidRPr="0085632B">
                                <w:rPr>
                                  <w:b w:val="0"/>
                                </w:rPr>
                                <w:t>n = 23</w:t>
                              </w:r>
                              <w:r>
                                <w:rPr>
                                  <w:b w:val="0"/>
                                </w:rPr>
                                <w:t>,</w:t>
                              </w:r>
                              <w:r w:rsidRPr="0085632B">
                                <w:rPr>
                                  <w:b w:val="0"/>
                                </w:rPr>
                                <w:t>974 (96.2%)</w:t>
                              </w:r>
                            </w:p>
                            <w:p w:rsidR="00A1139F" w:rsidRPr="004B3FA7" w:rsidRDefault="00A1139F" w:rsidP="0085632B">
                              <w:pPr>
                                <w:jc w:val="center"/>
                                <w:rPr>
                                  <w:b/>
                                </w:rPr>
                              </w:pPr>
                            </w:p>
                          </w:txbxContent>
                        </wps:txbx>
                        <wps:bodyPr rot="0" vert="horz" wrap="square" lIns="91440" tIns="45720" rIns="91440" bIns="45720" anchor="t" anchorCtr="0">
                          <a:noAutofit/>
                        </wps:bodyPr>
                      </wps:wsp>
                      <wps:wsp>
                        <wps:cNvPr id="341"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rsidR="00A1139F" w:rsidRPr="0085632B" w:rsidRDefault="00A1139F" w:rsidP="0085632B">
                              <w:pPr>
                                <w:pStyle w:val="FigureText"/>
                                <w:rPr>
                                  <w:b w:val="0"/>
                                </w:rPr>
                              </w:pPr>
                              <w:r>
                                <w:t>Responder</w:t>
                              </w:r>
                              <w:r>
                                <w:br/>
                              </w:r>
                              <w:r w:rsidRPr="0085632B">
                                <w:rPr>
                                  <w:b w:val="0"/>
                                </w:rPr>
                                <w:t>n = 4326 (18.0%)</w:t>
                              </w:r>
                            </w:p>
                          </w:txbxContent>
                        </wps:txbx>
                        <wps:bodyPr rot="0" vert="horz" wrap="square" lIns="91440" tIns="45720" rIns="91440" bIns="45720" anchor="t" anchorCtr="0">
                          <a:noAutofit/>
                        </wps:bodyPr>
                      </wps:wsp>
                      <wps:wsp>
                        <wps:cNvPr id="342"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rsidR="00A1139F" w:rsidRPr="0085632B" w:rsidRDefault="00A1139F" w:rsidP="0085632B">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343" name="Text Box 343"/>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rsidR="00A1139F" w:rsidRPr="0085632B" w:rsidRDefault="00A1139F" w:rsidP="0085632B">
                              <w:pPr>
                                <w:pStyle w:val="FigureText"/>
                                <w:rPr>
                                  <w:b w:val="0"/>
                                </w:rPr>
                              </w:pPr>
                              <w:r>
                                <w:t>Non-responder</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344"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rsidR="00A1139F" w:rsidRPr="0085632B" w:rsidRDefault="00A1139F" w:rsidP="0085632B">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345"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rsidR="00A1139F" w:rsidRPr="0085632B" w:rsidRDefault="00A1139F" w:rsidP="0085632B">
                              <w:pPr>
                                <w:pStyle w:val="FigureText"/>
                                <w:rPr>
                                  <w:b w:val="0"/>
                                </w:rPr>
                              </w:pPr>
                              <w:r>
                                <w:t>Responder</w:t>
                              </w:r>
                              <w:r>
                                <w:br/>
                              </w:r>
                              <w:r w:rsidRPr="0085632B">
                                <w:rPr>
                                  <w:b w:val="0"/>
                                </w:rPr>
                                <w:t>n = 8480 (42.3%)</w:t>
                              </w:r>
                            </w:p>
                          </w:txbxContent>
                        </wps:txbx>
                        <wps:bodyPr rot="0" vert="horz" wrap="square" lIns="91440" tIns="45720" rIns="91440" bIns="45720" anchor="t" anchorCtr="0">
                          <a:noAutofit/>
                        </wps:bodyPr>
                      </wps:wsp>
                      <wps:wsp>
                        <wps:cNvPr id="346" name="Straight Connector 346"/>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7" name="Straight Connector 347"/>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348" name="Straight Connector 348"/>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349" name="Straight Connector 349"/>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350" name="Straight Arrow Connector 350"/>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51" name="Straight Arrow Connector 351"/>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103" name="Straight Arrow Connector 103"/>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104" name="Straight Connector 104"/>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B76E30C" id="Group 323" o:spid="_x0000_s1026" alt="Figure 2.1 Survey response rates for the Transitioned ADF and the 2015 Regular ADF" style="width:570.8pt;height:133.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I7MIA&#10;AADcAAAADwAAAGRycy9kb3ducmV2LnhtbERPz2vCMBS+C/4P4Q28aerEOTqjOEH0tNE6kN0ezVvT&#10;rXkpSdT635vDwOPH93u57m0rLuRD41jBdJKBIK6cbrhW8HXcjV9BhIissXVMCm4UYL0aDpaYa3fl&#10;gi5lrEUK4ZCjAhNjl0sZKkMWw8R1xIn7cd5iTNDXUnu8pnDbyucse5EWG04NBjvaGqr+yrNVsP+W&#10;v4UppufTYv65LT/evT3NvVKjp37zBiJSHx/if/dBK5jN0v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EjswgAAANwAAAAPAAAAAAAAAAAAAAAAAJgCAABkcnMvZG93&#10;bnJldi54bWxQSwUGAAAAAAQABAD1AAAAhwMAAAAA&#10;" fillcolor="#002561 [3204]" strokeweight="1pt">
                  <v:textbox>
                    <w:txbxContent>
                      <w:p w:rsidR="00A1139F" w:rsidRPr="0085632B" w:rsidRDefault="00A1139F" w:rsidP="00BD510A">
                        <w:pPr>
                          <w:pStyle w:val="FigureTextwhite"/>
                        </w:pPr>
                        <w:r w:rsidRPr="004B3FA7">
                          <w:t>Total ADF cohort</w:t>
                        </w:r>
                        <w:r>
                          <w:t xml:space="preserve"> </w:t>
                        </w:r>
                        <w:r>
                          <w:br/>
                        </w:r>
                        <w:r w:rsidRPr="0085632B">
                          <w:t>n = 77</w:t>
                        </w:r>
                        <w:r>
                          <w:t>,</w:t>
                        </w:r>
                        <w:r w:rsidRPr="0085632B">
                          <w:t>432</w:t>
                        </w:r>
                      </w:p>
                    </w:txbxContent>
                  </v:textbox>
                </v:shape>
                <v:shape id="Text Box 331" o:spid="_x0000_s1028"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B18UA&#10;AADcAAAADwAAAGRycy9kb3ducmV2LnhtbESPQYvCMBSE7wv+h/AEL6KpCotUoxRBEUFcuyu4t0fz&#10;ti02L6WJWv+9EYQ9DjPzDTNftqYSN2pcaVnBaBiBIM6sLjlX8PO9HkxBOI+ssbJMCh7kYLnofMwx&#10;1vbOR7qlPhcBwi5GBYX3dSylywoy6Ia2Jg7en20M+iCbXOoG7wFuKjmOok9psOSwUGBNq4KyS3o1&#10;ChJnNl+RS9ab/LTb98vH9iB/z0r1um0yA+Gp9f/hd3urFUwmI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gHXxQAAANwAAAAPAAAAAAAAAAAAAAAAAJgCAABkcnMv&#10;ZG93bnJldi54bWxQSwUGAAAAAAQABAD1AAAAigMAAAAA&#10;" strokeweight="1pt">
                  <v:stroke dashstyle="dash"/>
                  <v:textbox>
                    <w:txbxContent>
                      <w:p w:rsidR="00A1139F" w:rsidRPr="0085632B" w:rsidRDefault="00A1139F" w:rsidP="0085632B">
                        <w:pPr>
                          <w:pStyle w:val="FigureText"/>
                          <w:rPr>
                            <w:b w:val="0"/>
                          </w:rPr>
                        </w:pPr>
                        <w:r>
                          <w:t>Non-responder</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AP8UA&#10;AADcAAAADwAAAGRycy9kb3ducmV2LnhtbESPQYvCMBSE7wv7H8Jb8LKsqQoi1Siyq6gXwa4g3h7N&#10;sy02L7WJtf57Iwgeh5n5hpnMWlOKhmpXWFbQ60YgiFOrC84U7P+XPyMQziNrLC2Tgjs5mE0/PyYY&#10;a3vjHTWJz0SAsItRQe59FUvp0pwMuq6tiIN3srVBH2SdSV3jLcBNKftRNJQGCw4LOVb0m1N6Tq5G&#10;wfZ+4MvqGp2aTTU67s/bxd/ye6FU56udj0F4av07/GqvtYLBY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kA/xQAAANwAAAAPAAAAAAAAAAAAAAAAAJgCAABkcnMv&#10;ZG93bnJldi54bWxQSwUGAAAAAAQABAD1AAAAigMAAAAA&#10;" strokeweight="1pt">
                  <v:textbox>
                    <w:txbxContent>
                      <w:p w:rsidR="00A1139F" w:rsidRPr="0085632B" w:rsidRDefault="00A1139F" w:rsidP="0085632B">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lpMcA&#10;AADcAAAADwAAAGRycy9kb3ducmV2LnhtbESPT2vCQBTE70K/w/IKvUjdtAEr0VVKq7ReAlqheHtk&#10;n0kw+zbNrvnz7buC4HGYmd8wi1VvKtFS40rLCl4mEQjizOqScwWHn83zDITzyBory6RgIAer5cNo&#10;gYm2He+o3ftcBAi7BBUU3teJlC4ryKCb2Jo4eCfbGPRBNrnUDXYBbir5GkVTabDksFBgTR8FZef9&#10;xShIh1/++7pEp3Zbz46Hc7r+3IzXSj099u9zEJ56fw/f2t9aQRy/wf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5aTHAAAA3AAAAA8AAAAAAAAAAAAAAAAAmAIAAGRy&#10;cy9kb3ducmV2LnhtbFBLBQYAAAAABAAEAPUAAACMAwAAAAA=&#10;" strokeweight="1pt">
                  <v:textbox>
                    <w:txbxContent>
                      <w:p w:rsidR="00A1139F" w:rsidRPr="0085632B" w:rsidRDefault="00A1139F" w:rsidP="0085632B">
                        <w:pPr>
                          <w:pStyle w:val="FigureText"/>
                          <w:rPr>
                            <w:b w:val="0"/>
                          </w:rPr>
                        </w:pPr>
                        <w:r>
                          <w:t>Responder</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0L70A&#10;AADcAAAADwAAAGRycy9kb3ducmV2LnhtbERPTYvCMBC9C/6HMAveNN0VilSjiODSq7p7H5oxrTaT&#10;mkRb/705CB4f73u1GWwrHuRD41jB9ywDQVw53bBR8HfaTxcgQkTW2DomBU8KsFmPRysstOv5QI9j&#10;NCKFcChQQR1jV0gZqposhpnriBN3dt5iTNAbqT32Kdy28ifLcmmx4dRQY0e7mqrr8W4VlOGQh/2l&#10;NzfdNWdT5k///7tTavI1bJcgIg3xI367S61gPk9r05l0BO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S0L70AAADcAAAADwAAAAAAAAAAAAAAAACYAgAAZHJzL2Rvd25yZXYu&#10;eG1sUEsFBgAAAAAEAAQA9QAAAIIDAAAAAA==&#10;" fillcolor="#720829 [3205]" strokeweight="1pt">
                  <v:textbox>
                    <w:txbxContent>
                      <w:p w:rsidR="00A1139F" w:rsidRPr="0085632B" w:rsidRDefault="00A1139F" w:rsidP="0085632B">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339" o:spid="_x0000_s1032"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N0ccA&#10;AADcAAAADwAAAGRycy9kb3ducmV2LnhtbESPQWvCQBSE70L/w/IKvZRm0wbEpq4SCooIokaF9vbI&#10;viah2bchu9Xk37tCweMwM98w03lvGnGmztWWFbxGMQjiwuqaSwXHw+JlAsJ5ZI2NZVIwkIP57GE0&#10;xVTbC+/pnPtSBAi7FBVU3replK6oyKCLbEscvB/bGfRBdqXUHV4C3DTyLY7H0mDNYaHClj4rKn7z&#10;P6Mgc2a5i122WJan9ea5HlZb+f2l1NNjn32A8NT7e/i/vdIKkuQd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EDdHHAAAA3AAAAA8AAAAAAAAAAAAAAAAAmAIAAGRy&#10;cy9kb3ducmV2LnhtbFBLBQYAAAAABAAEAPUAAACMAwAAAAA=&#10;" strokeweight="1pt">
                  <v:stroke dashstyle="dash"/>
                  <v:textbox>
                    <w:txbxContent>
                      <w:p w:rsidR="00A1139F" w:rsidRPr="0085632B" w:rsidRDefault="00A1139F" w:rsidP="0085632B">
                        <w:pPr>
                          <w:pStyle w:val="FigureText"/>
                          <w:rPr>
                            <w:b w:val="0"/>
                          </w:rPr>
                        </w:pPr>
                        <w:r>
                          <w:t>Non-responder</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OrcMA&#10;AADcAAAADwAAAGRycy9kb3ducmV2LnhtbERPy4rCMBTdD/gP4QqzGTTVEZFqFPHBzGwEqyDuLs21&#10;LTY3tYm1/v1kIbg8nPds0ZpSNFS7wrKCQT8CQZxaXXCm4HjY9iYgnEfWWFomBU9ysJh3PmYYa/vg&#10;PTWJz0QIYRejgtz7KpbSpTkZdH1bEQfuYmuDPsA6k7rGRwg3pRxG0VgaLDg05FjRKqf0mtyNgt3z&#10;xLefe3Rp/qrJ+Xjdbdbbr41Sn912OQXhqfVv8cv9qxV8j8L8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OrcMAAADcAAAADwAAAAAAAAAAAAAAAACYAgAAZHJzL2Rv&#10;d25yZXYueG1sUEsFBgAAAAAEAAQA9QAAAIgDAAAAAA==&#10;" strokeweight="1pt">
                  <v:textbox>
                    <w:txbxContent>
                      <w:p w:rsidR="00A1139F" w:rsidRPr="0085632B" w:rsidRDefault="00A1139F" w:rsidP="0085632B">
                        <w:pPr>
                          <w:pStyle w:val="FigureText"/>
                          <w:rPr>
                            <w:b w:val="0"/>
                          </w:rPr>
                        </w:pPr>
                        <w:r>
                          <w:t>Invited</w:t>
                        </w:r>
                        <w:r>
                          <w:br/>
                        </w:r>
                        <w:r w:rsidRPr="0085632B">
                          <w:rPr>
                            <w:b w:val="0"/>
                          </w:rPr>
                          <w:t>n = 23</w:t>
                        </w:r>
                        <w:r>
                          <w:rPr>
                            <w:b w:val="0"/>
                          </w:rPr>
                          <w:t>,</w:t>
                        </w:r>
                        <w:r w:rsidRPr="0085632B">
                          <w:rPr>
                            <w:b w:val="0"/>
                          </w:rPr>
                          <w:t>974 (96.2%)</w:t>
                        </w:r>
                      </w:p>
                      <w:p w:rsidR="00A1139F" w:rsidRPr="004B3FA7" w:rsidRDefault="00A1139F" w:rsidP="0085632B">
                        <w:pPr>
                          <w:jc w:val="center"/>
                          <w:rPr>
                            <w:b/>
                          </w:rPr>
                        </w:pPr>
                      </w:p>
                    </w:txbxContent>
                  </v:textbox>
                </v:shape>
                <v:shape id="_x0000_s1034"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rNscA&#10;AADcAAAADwAAAGRycy9kb3ducmV2LnhtbESPT2vCQBTE7wW/w/KEXopubItIdBPEKm0vQlUQb4/s&#10;yx+SfZtm1xi/fbdQ6HGYmd8wq3Qwjeipc5VlBbNpBII4s7riQsHpuJssQDiPrLGxTAru5CBNRg8r&#10;jLW98Rf1B1+IAGEXo4LS+zaW0mUlGXRT2xIHL7edQR9kV0jd4S3ATSOfo2guDVYcFkpsaVNSVh+u&#10;RsH+fubv92uU95/t4nKq99u33dNWqcfxsF6C8DT4//Bf+0MreHmdwe+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qzbHAAAA3AAAAA8AAAAAAAAAAAAAAAAAmAIAAGRy&#10;cy9kb3ducmV2LnhtbFBLBQYAAAAABAAEAPUAAACMAwAAAAA=&#10;" strokeweight="1pt">
                  <v:textbox>
                    <w:txbxContent>
                      <w:p w:rsidR="00A1139F" w:rsidRPr="0085632B" w:rsidRDefault="00A1139F" w:rsidP="0085632B">
                        <w:pPr>
                          <w:pStyle w:val="FigureText"/>
                          <w:rPr>
                            <w:b w:val="0"/>
                          </w:rPr>
                        </w:pPr>
                        <w:r>
                          <w:t>Responder</w:t>
                        </w:r>
                        <w:r>
                          <w:br/>
                        </w:r>
                        <w:r w:rsidRPr="0085632B">
                          <w:rPr>
                            <w:b w:val="0"/>
                          </w:rPr>
                          <w:t>n = 4326 (18.0%)</w:t>
                        </w:r>
                      </w:p>
                    </w:txbxContent>
                  </v:textbox>
                </v:shape>
                <v:shape id="_x0000_s1035"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oC8MA&#10;AADcAAAADwAAAGRycy9kb3ducmV2LnhtbESPQWsCMRSE74X+h/AKvdWsVlRWo9hCoT2u7kFvz80z&#10;Wdy8LEmq23/fFAoeh5n5hlltBteJK4XYelYwHhUgiBuvWzYK6v3HywJETMgaO8+k4IcibNaPDyss&#10;tb9xRdddMiJDOJaowKbUl1LGxpLDOPI9cfbOPjhMWQYjdcBbhrtOTopiJh22nBcs9vRuqbnsvp2C&#10;r/pyfKu2Bwqmng4Bq9PcmrlSz0/Ddgki0ZDu4f/2p1bwOp3A3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oC8MAAADcAAAADwAAAAAAAAAAAAAAAACYAgAAZHJzL2Rv&#10;d25yZXYueG1sUEsFBgAAAAAEAAQA9QAAAIgDAAAAAA==&#10;" fillcolor="#0194df [3206]" strokeweight="1pt">
                  <v:textbox>
                    <w:txbxContent>
                      <w:p w:rsidR="00A1139F" w:rsidRPr="0085632B" w:rsidRDefault="00A1139F" w:rsidP="0085632B">
                        <w:pPr>
                          <w:pStyle w:val="FigureTextwhite"/>
                          <w:rPr>
                            <w:b w:val="0"/>
                          </w:rPr>
                        </w:pPr>
                        <w:r>
                          <w:t>2015 Regular ADF</w:t>
                        </w:r>
                        <w:r>
                          <w:br/>
                        </w:r>
                        <w:r w:rsidRPr="0085632B">
                          <w:rPr>
                            <w:b w:val="0"/>
                          </w:rPr>
                          <w:t>n = 52</w:t>
                        </w:r>
                        <w:r>
                          <w:rPr>
                            <w:b w:val="0"/>
                          </w:rPr>
                          <w:t>,</w:t>
                        </w:r>
                        <w:r w:rsidRPr="0085632B">
                          <w:rPr>
                            <w:b w:val="0"/>
                          </w:rPr>
                          <w:t>500</w:t>
                        </w:r>
                      </w:p>
                    </w:txbxContent>
                  </v:textbox>
                </v:shape>
                <v:shape id="Text Box 343" o:spid="_x0000_s1036"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JRscA&#10;AADcAAAADwAAAGRycy9kb3ducmV2LnhtbESPQWvCQBSE70L/w/IKvZRm00akpK4SCooIokaF9vbI&#10;viah2bchu9Xk37tCweMwM98w03lvGnGmztWWFbxGMQjiwuqaSwXHw+LlHYTzyBoby6RgIAfz2cNo&#10;iqm2F97TOfelCBB2KSqovG9TKV1RkUEX2ZY4eD+2M+iD7EqpO7wEuGnkWxxPpMGaw0KFLX1WVPzm&#10;f0ZB5sxyF7tssSxP681zPay28vtLqafHPvsA4an39/B/e6UVJOM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qSUbHAAAA3AAAAA8AAAAAAAAAAAAAAAAAmAIAAGRy&#10;cy9kb3ducmV2LnhtbFBLBQYAAAAABAAEAPUAAACMAwAAAAA=&#10;" strokeweight="1pt">
                  <v:stroke dashstyle="dash"/>
                  <v:textbox>
                    <w:txbxContent>
                      <w:p w:rsidR="00A1139F" w:rsidRPr="0085632B" w:rsidRDefault="00A1139F" w:rsidP="0085632B">
                        <w:pPr>
                          <w:pStyle w:val="FigureText"/>
                          <w:rPr>
                            <w:b w:val="0"/>
                          </w:rPr>
                        </w:pPr>
                        <w:r>
                          <w:t>Non-responder</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rscA&#10;AADcAAAADwAAAGRycy9kb3ducmV2LnhtbESPT2vCQBTE74V+h+UVvEjdtIY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CCK7HAAAA3AAAAA8AAAAAAAAAAAAAAAAAmAIAAGRy&#10;cy9kb3ducmV2LnhtbFBLBQYAAAAABAAEAPUAAACMAwAAAAA=&#10;" strokeweight="1pt">
                  <v:textbox>
                    <w:txbxContent>
                      <w:p w:rsidR="00A1139F" w:rsidRPr="0085632B" w:rsidRDefault="00A1139F" w:rsidP="0085632B">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tNccA&#10;AADcAAAADwAAAGRycy9kb3ducmV2LnhtbESPT2vCQBTE70K/w/IKXkQ3VSsSXaX4B9uLUBXE2yP7&#10;TILZtzG7xvjt3YLQ4zAzv2Gm88YUoqbK5ZYVfPQiEMSJ1TmnCg77dXcMwnlkjYVlUvAgB/PZW2uK&#10;sbZ3/qV651MRIOxiVJB5X8ZSuiQjg65nS+LgnW1l0AdZpVJXeA9wU8h+FI2kwZzDQoYlLTJKLrub&#10;UbB9HPm6uUXn+qccnw6X7Wq57qyUar83XxMQnhr/H361v7WCwfAT/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rTXHAAAA3AAAAA8AAAAAAAAAAAAAAAAAmAIAAGRy&#10;cy9kb3ducmV2LnhtbFBLBQYAAAAABAAEAPUAAACMAwAAAAA=&#10;" strokeweight="1pt">
                  <v:textbox>
                    <w:txbxContent>
                      <w:p w:rsidR="00A1139F" w:rsidRPr="0085632B" w:rsidRDefault="00A1139F" w:rsidP="0085632B">
                        <w:pPr>
                          <w:pStyle w:val="FigureText"/>
                          <w:rPr>
                            <w:b w:val="0"/>
                          </w:rPr>
                        </w:pPr>
                        <w:r>
                          <w:t>Responder</w:t>
                        </w:r>
                        <w:r>
                          <w:br/>
                        </w:r>
                        <w:r w:rsidRPr="0085632B">
                          <w:rPr>
                            <w:b w:val="0"/>
                          </w:rPr>
                          <w:t>n = 8480 (42.3%)</w:t>
                        </w:r>
                      </w:p>
                    </w:txbxContent>
                  </v:textbox>
                </v:shape>
                <v:line id="Straight Connector 346" o:spid="_x0000_s1039"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75cIAAADcAAAADwAAAGRycy9kb3ducmV2LnhtbESPQWvCQBSE74L/YXmF3nRjFQnRVYoi&#10;ejUW6vGRfc2GZt+G7Kum/94VCj0OM/MNs94OvlU36mMT2MBsmoEiroJtuDbwcTlMclBRkC22gcnA&#10;L0XYbsajNRY23PlMt1JqlSAcCzTgRLpC61g58hinoSNO3lfoPUqSfa1tj/cE961+y7Kl9thwWnDY&#10;0c5R9V3+eAP+s2mrGcllL3ytD3npdvnxbMzry/C+AiU0yH/4r32yBuaLJTzPpCO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I75cIAAADcAAAADwAAAAAAAAAAAAAA&#10;AAChAgAAZHJzL2Rvd25yZXYueG1sUEsFBgAAAAAEAAQA+QAAAJADAAAAAA==&#10;" strokecolor="black [3040]" strokeweight="1.5pt"/>
                <v:line id="Straight Connector 347" o:spid="_x0000_s1040"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X68YAAADcAAAADwAAAGRycy9kb3ducmV2LnhtbESPQWsCMRSE74X+h/AK3jRbLVZWo4hg&#10;2UOh7aoHb4/Nczc0eVk2qbvtr28KQo/DzHzDrDaDs+JKXTCeFTxOMhDEldeGawXHw368ABEiskbr&#10;mRR8U4DN+v5uhbn2PX/QtYy1SBAOOSpoYmxzKUPVkMMw8S1x8i6+cxiT7GqpO+wT3Fk5zbK5dGg4&#10;LTTY0q6h6rP8cgrK4tybo9FFnL/V7z+vweoXe1Jq9DBslyAiDfE/fGsXWsHs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1+vGAAAA3AAAAA8AAAAAAAAA&#10;AAAAAAAAoQIAAGRycy9kb3ducmV2LnhtbFBLBQYAAAAABAAEAPkAAACUAwAAAAA=&#10;" strokecolor="windowText" strokeweight="1.5pt">
                  <v:stroke joinstyle="miter"/>
                </v:line>
                <v:line id="Straight Connector 348" o:spid="_x0000_s1041"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DmcIAAADcAAAADwAAAGRycy9kb3ducmV2LnhtbERPz2vCMBS+C/sfwhvspuk2EalGkcGk&#10;B2GuusNuj+bZBpOX0kRb99ebg7Djx/d7uR6cFVfqgvGs4HWSgSCuvDZcKzgePsdzECEia7SeScGN&#10;AqxXT6Ml5tr3/E3XMtYihXDIUUETY5tLGaqGHIaJb4kTd/Kdw5hgV0vdYZ/CnZVvWTaTDg2nhgZb&#10;+mioOpcXp6AsfntzNLqIs696/7cLVm/tj1Ivz8NmASLSEP/FD3ehFbxP09p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DmcIAAADcAAAADwAAAAAAAAAAAAAA&#10;AAChAgAAZHJzL2Rvd25yZXYueG1sUEsFBgAAAAAEAAQA+QAAAJADAAAAAA==&#10;" strokecolor="windowText" strokeweight="1.5pt">
                  <v:stroke joinstyle="miter"/>
                </v:line>
                <v:line id="Straight Connector 349" o:spid="_x0000_s1042"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TBcMAAADcAAAADwAAAGRycy9kb3ducmV2LnhtbESPQWvCQBSE7wX/w/IEb3WTVqRGV5FK&#10;0VvbKJ4f2WcSzL6N2afGf98tFHocZuYbZrHqXaNu1IXas4F0nIAiLrytuTRw2H88v4EKgmyx8UwG&#10;HhRgtRw8LTCz/s7fdMulVBHCIUMDlUibaR2KihyGsW+Jo3fynUOJsiu17fAe4a7RL0ky1Q5rjgsV&#10;tvReUXHOr85An6bTS1lQOqHP7ez4JftTLhtjRsN+PQcl1Mt/+K+9swZeJz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uEwXDAAAA3AAAAA8AAAAAAAAAAAAA&#10;AAAAoQIAAGRycy9kb3ducmV2LnhtbFBLBQYAAAAABAAEAPkAAACRAwAAAAA=&#10;" strokecolor="windowText" strokeweight="1.5pt">
                  <v:stroke joinstyle="miter"/>
                </v:line>
                <v:shapetype id="_x0000_t32" coordsize="21600,21600" o:spt="32" o:oned="t" path="m,l21600,21600e" filled="f">
                  <v:path arrowok="t" fillok="f" o:connecttype="none"/>
                  <o:lock v:ext="edit" shapetype="t"/>
                </v:shapetype>
                <v:shape id="Straight Arrow Connector 350" o:spid="_x0000_s1043"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N2sMAAADcAAAADwAAAGRycy9kb3ducmV2LnhtbERP3WrCMBS+H/gO4QjezdTNTe2MIgNB&#10;kImrPsCxOTbdmpPaRK0+vbkY7PLj+5/OW1uJCzW+dKxg0E9AEOdOl1wo2O+Wz2MQPiBrrByTght5&#10;mM86T1NMtbvyN12yUIgYwj5FBSaEOpXS54Ys+r6riSN3dI3FEGFTSN3gNYbbSr4kybu0WHJsMFjT&#10;p6H8NztbBUsdTsNR8bUxx58qm2z9enAvD0r1uu3iA0SgNvyL/9wrreD1Lc6P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1zdrDAAAA3AAAAA8AAAAAAAAAAAAA&#10;AAAAoQIAAGRycy9kb3ducmV2LnhtbFBLBQYAAAAABAAEAPkAAACRAwAAAAA=&#10;" strokecolor="black [3040]">
                  <v:stroke dashstyle="dash" endarrow="block"/>
                </v:shape>
                <v:shape id="Straight Arrow Connector 351" o:spid="_x0000_s1044"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TesYAAADcAAAADwAAAGRycy9kb3ducmV2LnhtbESPQWvCQBSE7wX/w/IK3upGraWmrqJi&#10;oQUvml56e2af2ZDs25jdmvjvu0Khx2FmvmEWq97W4kqtLx0rGI8SEMS50yUXCr6y96dXED4ga6wd&#10;k4IbeVgtBw8LTLXr+EDXYyhEhLBPUYEJoUml9Lkhi37kGuLonV1rMUTZFlK32EW4reUkSV6kxZLj&#10;gsGGtoby6vhjFcxPu8u++jbJeVPVnd2F7PP5lik1fOzXbyAC9eE//Nf+0AqmszHcz8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y03rGAAAA3AAAAA8AAAAAAAAA&#10;AAAAAAAAoQIAAGRycy9kb3ducmV2LnhtbFBLBQYAAAAABAAEAPkAAACUAwAAAAA=&#10;" strokecolor="windowText" strokeweight=".5pt">
                  <v:stroke dashstyle="dash" endarrow="block" joinstyle="miter"/>
                </v:shape>
                <v:shape id="Straight Arrow Connector 103" o:spid="_x0000_s1045"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asMAAADcAAAADwAAAGRycy9kb3ducmV2LnhtbERPTWsCMRC9F/wPYQRvNVFLaVejqFho&#10;oZe6vfQ23YybZTeTdRPd9d83hUJv83ifs9oMrhFX6kLlWcNsqkAQF95UXGr4zF/un0CEiGyw8Uwa&#10;bhRgsx7drTAzvucPuh5jKVIIhww12BjbTMpQWHIYpr4lTtzJdw5jgl0pTYd9CneNnCv1KB1WnBos&#10;trS3VNTHi9Pw/H04v9dfVp12ddO7Q8zfHm651pPxsF2CiDTEf/Gf+9Wk+WoBv8+k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bqWrDAAAA3AAAAA8AAAAAAAAAAAAA&#10;AAAAoQIAAGRycy9kb3ducmV2LnhtbFBLBQYAAAAABAAEAPkAAACRAwAAAAA=&#10;" strokecolor="windowText" strokeweight=".5pt">
                  <v:stroke dashstyle="dash" endarrow="block" joinstyle="miter"/>
                </v:shape>
                <v:line id="Straight Connector 104" o:spid="_x0000_s1046"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XKL8AAADcAAAADwAAAGRycy9kb3ducmV2LnhtbERPTWvCQBC9F/wPywje6kaREqKriCJ6&#10;NRba45Ads8HsbMiOGv99t1DobR7vc1abwbfqQX1sAhuYTTNQxFWwDdcGPi+H9xxUFGSLbWAy8KII&#10;m/XobYWFDU8+06OUWqUQjgUacCJdoXWsHHmM09ARJ+4aeo+SYF9r2+MzhftWz7PsQ3tsODU47Gjn&#10;qLqVd2/AfzVtNSO57IW/60Neul1+PBszGQ/bJSihQf7Ff+6TTfOzBfw+ky7Q6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XLXKL8AAADcAAAADwAAAAAAAAAAAAAAAACh&#10;AgAAZHJzL2Rvd25yZXYueG1sUEsFBgAAAAAEAAQA+QAAAI0DAAAAAA==&#10;" strokecolor="black [3040]" strokeweight="1.5pt"/>
                <v:line id="Straight Connector 105" o:spid="_x0000_s1047"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5ys78AAADcAAAADwAAAGRycy9kb3ducmV2LnhtbERPTWvCQBC9F/wPywje6kbBEqKriCJ6&#10;NRba45Ads8HsbMiOGv99t1DobR7vc1abwbfqQX1sAhuYTTNQxFWwDdcGPi+H9xxUFGSLbWAy8KII&#10;m/XobYWFDU8+06OUWqUQjgUacCJdoXWsHHmM09ARJ+4aeo+SYF9r2+MzhftWz7PsQ3tsODU47Gjn&#10;qLqVd2/AfzVtNSO57IW/60Neul1+PBszGQ/bJSihQf7Ff+6TTfOzBfw+ky7Q6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j5ys78AAADcAAAADwAAAAAAAAAAAAAAAACh&#10;AgAAZHJzL2Rvd25yZXYueG1sUEsFBgAAAAAEAAQA+QAAAI0DAAAAAA==&#10;" strokecolor="black [3040]" strokeweight="1.5pt"/>
                <w10:anchorlock/>
              </v:group>
            </w:pict>
          </mc:Fallback>
        </mc:AlternateContent>
      </w:r>
    </w:p>
    <w:p w:rsidR="008F5D9B" w:rsidRPr="005B0796" w:rsidRDefault="008F5D9B" w:rsidP="0033018C"/>
    <w:p w:rsidR="00FD3AB7" w:rsidRPr="005B0796" w:rsidRDefault="00FD3AB7" w:rsidP="00191932">
      <w:pPr>
        <w:sectPr w:rsidR="00FD3AB7" w:rsidRPr="005B0796" w:rsidSect="00BE66A5">
          <w:footerReference w:type="even" r:id="rId16"/>
          <w:footerReference w:type="default" r:id="rId17"/>
          <w:pgSz w:w="14170" w:h="9979" w:orient="landscape" w:code="243"/>
          <w:pgMar w:top="1872" w:right="1440" w:bottom="1152" w:left="1440" w:header="576" w:footer="576" w:gutter="0"/>
          <w:cols w:space="708"/>
          <w:docGrid w:linePitch="360"/>
        </w:sectPr>
      </w:pPr>
    </w:p>
    <w:p w:rsidR="00371BEB" w:rsidRPr="005B0796" w:rsidRDefault="009E72D3" w:rsidP="0013232E">
      <w:r w:rsidRPr="005B0796">
        <w:t>Figure 2.1</w:t>
      </w:r>
      <w:r w:rsidR="00371BEB" w:rsidRPr="005B0796">
        <w:t xml:space="preserve"> summarises the breakdown of Transitioned ADF and 2015 Regular ADF members who provided enough data to be included in the survey.</w:t>
      </w:r>
    </w:p>
    <w:p w:rsidR="00371BEB" w:rsidRPr="005B0796" w:rsidRDefault="00BB6C7A" w:rsidP="0013232E">
      <w:r w:rsidRPr="005B0796">
        <w:rPr>
          <w:rFonts w:cs="Calibri"/>
        </w:rPr>
        <w:t>Table 2.2</w:t>
      </w:r>
      <w:r w:rsidR="005E226C" w:rsidRPr="005B0796">
        <w:rPr>
          <w:rFonts w:cs="Calibri"/>
        </w:rPr>
        <w:t xml:space="preserve"> </w:t>
      </w:r>
      <w:r w:rsidR="00371BEB" w:rsidRPr="005B0796">
        <w:t>presents the unweighted demographic characteristics of Transitioned ADF and 2015 Regular ADF survey respondents.</w:t>
      </w:r>
    </w:p>
    <w:p w:rsidR="00014A40" w:rsidRPr="005B0796" w:rsidRDefault="00014A40" w:rsidP="0013232E">
      <w:bookmarkStart w:id="114" w:name="_Ref482013280"/>
      <w:bookmarkStart w:id="115" w:name="_Toc482023758"/>
      <w:bookmarkStart w:id="116" w:name="_Toc487014244"/>
      <w:bookmarkStart w:id="117" w:name="_Toc492995547"/>
      <w:r w:rsidRPr="005B0796">
        <w:t>The characteristics of survey respondents were as follows:</w:t>
      </w:r>
    </w:p>
    <w:p w:rsidR="00014A40" w:rsidRPr="005B0796" w:rsidRDefault="00014A40" w:rsidP="0013232E">
      <w:r w:rsidRPr="005B0796">
        <w:rPr>
          <w:b/>
          <w:bCs/>
        </w:rPr>
        <w:t>Age</w:t>
      </w:r>
      <w:r w:rsidRPr="005B0796">
        <w:t xml:space="preserve"> – Transitioned ADF survey responders (mean age 41.9 (SE 0.1)) were of a similar age to the 2015 Regular ADF responders (mean age 41.1 (SE 0.1)).</w:t>
      </w:r>
    </w:p>
    <w:p w:rsidR="00014A40" w:rsidRPr="005B0796" w:rsidRDefault="00014A40" w:rsidP="0013232E">
      <w:r w:rsidRPr="005B0796">
        <w:rPr>
          <w:b/>
          <w:bCs/>
        </w:rPr>
        <w:t>Sex</w:t>
      </w:r>
      <w:r w:rsidRPr="005B0796">
        <w:rPr>
          <w:b/>
        </w:rPr>
        <w:t xml:space="preserve"> </w:t>
      </w:r>
      <w:r w:rsidRPr="005B0796">
        <w:t>– Consistent with the Transitioned ADF population, the sample was predominantly male, with transitioned females significantly more likely to respond than transitioned males. In the 2015 Regular ADF, females were less likely to respond than males.</w:t>
      </w:r>
    </w:p>
    <w:p w:rsidR="00014A40" w:rsidRPr="005B0796" w:rsidRDefault="00014A40" w:rsidP="0013232E">
      <w:r w:rsidRPr="005B0796">
        <w:rPr>
          <w:b/>
          <w:bCs/>
        </w:rPr>
        <w:t>Rank</w:t>
      </w:r>
      <w:r w:rsidRPr="005B0796">
        <w:t xml:space="preserve"> – Survey responders from the Transitioned ADF comprised 29.1% Officers, 48.5% Non</w:t>
      </w:r>
      <w:r w:rsidRPr="005B0796">
        <w:noBreakHyphen/>
        <w:t>Commissioned Officers and 22.4% Other Ranks. In the 2015 Regular ADF, there was a similar distribution, with 41.7% Officers, 51.1% Non-Commissioned Officers and 7.2% Other Ranks. The</w:t>
      </w:r>
      <w:r w:rsidR="00462A0C" w:rsidRPr="005B0796">
        <w:t xml:space="preserve"> </w:t>
      </w:r>
      <w:r w:rsidRPr="005B0796">
        <w:t>Transitioned ADF population had significantly lower response rates for Officers and Non</w:t>
      </w:r>
      <w:r w:rsidRPr="005B0796">
        <w:noBreakHyphen/>
        <w:t xml:space="preserve">Commissioned Officers, but significantly higher response rates in Other Ranks compared to the 2015 Regular ADF. In both groups, the lower ranks were the poorest responders. </w:t>
      </w:r>
    </w:p>
    <w:p w:rsidR="00014A40" w:rsidRPr="005B0796" w:rsidRDefault="00014A40" w:rsidP="0013232E">
      <w:r w:rsidRPr="005B0796">
        <w:rPr>
          <w:b/>
        </w:rPr>
        <w:t>Service</w:t>
      </w:r>
      <w:r w:rsidRPr="005B0796">
        <w:t xml:space="preserve"> – In the Transitioned ADF, 19.9% of survey responders were Navy, 56.9% were Army and 23.1% were Air Force. However, for the 2015 Regular ADF, 34.7% of survey responders were Navy, 41.3% were Army and 24.1% were Air Force. When response rates in the different services were compared, Transitioned Air Force members were most likely to respond, whereas Transitioned Army and Navy members were least likely to respond. In the 2015 Regular ADF, Army had the highest response rate at 41.3%.</w:t>
      </w:r>
    </w:p>
    <w:p w:rsidR="00B341F4" w:rsidRPr="005B0796" w:rsidRDefault="00B341F4" w:rsidP="0013232E">
      <w:r w:rsidRPr="005B0796">
        <w:rPr>
          <w:b/>
          <w:bCs/>
        </w:rPr>
        <w:t xml:space="preserve">Medical fitness </w:t>
      </w:r>
      <w:r w:rsidRPr="005B0796">
        <w:t>– Not surprisingly, Transitioned ADF were significantly more likely to be unfit on transition from Regular ADF (31.1%) compared to the 2015 Regular ADF population (16.1%). Transitioned ADF who were unfit had a response rate of 20.9% compared to 46.5% in the 2015 Regular ADF.</w:t>
      </w:r>
    </w:p>
    <w:p w:rsidR="00D123CA" w:rsidRPr="005B0796" w:rsidRDefault="00D123CA" w:rsidP="00D123CA"/>
    <w:p w:rsidR="00D123CA" w:rsidRPr="005B0796" w:rsidRDefault="00D123CA" w:rsidP="00D123CA">
      <w:pPr>
        <w:sectPr w:rsidR="00D123CA" w:rsidRPr="005B0796" w:rsidSect="00D123CA">
          <w:headerReference w:type="even" r:id="rId18"/>
          <w:headerReference w:type="default" r:id="rId19"/>
          <w:footerReference w:type="even" r:id="rId20"/>
          <w:footerReference w:type="default" r:id="rId21"/>
          <w:pgSz w:w="9979" w:h="14170" w:code="243"/>
          <w:pgMar w:top="1440" w:right="1152" w:bottom="1440" w:left="1728" w:header="576" w:footer="576" w:gutter="0"/>
          <w:cols w:space="708"/>
          <w:docGrid w:linePitch="360"/>
        </w:sectPr>
      </w:pPr>
    </w:p>
    <w:p w:rsidR="007247A9" w:rsidRPr="005B0796" w:rsidRDefault="007247A9" w:rsidP="00014A40">
      <w:pPr>
        <w:pStyle w:val="TableName"/>
        <w:spacing w:before="0"/>
      </w:pPr>
      <w:bookmarkStart w:id="118" w:name="_Toc51190039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2</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w:t>
      </w:r>
      <w:r w:rsidR="00D30A3C">
        <w:rPr>
          <w:noProof/>
        </w:rPr>
        <w:fldChar w:fldCharType="end"/>
      </w:r>
      <w:r w:rsidRPr="005B0796">
        <w:tab/>
        <w:t>Unweighted demographic characteristics of responders</w:t>
      </w:r>
      <w:r w:rsidR="00564689">
        <w:t>,</w:t>
      </w:r>
      <w:r w:rsidRPr="005B0796">
        <w:t xml:space="preserve"> by Transitioned ADF and Regular ADF</w:t>
      </w:r>
      <w:bookmarkEnd w:id="118"/>
    </w:p>
    <w:tbl>
      <w:tblPr>
        <w:tblStyle w:val="TWRPTable"/>
        <w:tblW w:w="5000" w:type="pct"/>
        <w:tblLayout w:type="fixed"/>
        <w:tblLook w:val="04A0" w:firstRow="1" w:lastRow="0" w:firstColumn="1" w:lastColumn="0" w:noHBand="0" w:noVBand="1"/>
        <w:tblDescription w:val="Table 2.2 Unweighted demographic characteristics of responders by Transitioned ADF and Regular ADF"/>
      </w:tblPr>
      <w:tblGrid>
        <w:gridCol w:w="1998"/>
        <w:gridCol w:w="1584"/>
        <w:gridCol w:w="1585"/>
        <w:gridCol w:w="1585"/>
        <w:gridCol w:w="1584"/>
        <w:gridCol w:w="1585"/>
        <w:gridCol w:w="1585"/>
      </w:tblGrid>
      <w:tr w:rsidR="007247A9" w:rsidRPr="005B0796" w:rsidTr="00014A40">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rsidR="007247A9" w:rsidRPr="005B0796" w:rsidRDefault="007247A9" w:rsidP="00014A40">
            <w:pPr>
              <w:pStyle w:val="TableText"/>
            </w:pPr>
          </w:p>
        </w:tc>
        <w:tc>
          <w:tcPr>
            <w:tcW w:w="4754" w:type="dxa"/>
            <w:gridSpan w:val="3"/>
            <w:hideMark/>
          </w:tcPr>
          <w:p w:rsidR="007247A9" w:rsidRPr="005B0796" w:rsidRDefault="007247A9" w:rsidP="00014A40">
            <w:pPr>
              <w:pStyle w:val="TableText"/>
              <w:jc w:val="center"/>
            </w:pPr>
            <w:r w:rsidRPr="005B0796">
              <w:t>Transitioned ADF</w:t>
            </w:r>
            <w:r w:rsidR="00014A40" w:rsidRPr="005B0796">
              <w:br/>
            </w:r>
            <w:r w:rsidRPr="005B0796">
              <w:t>n = 4326</w:t>
            </w:r>
          </w:p>
        </w:tc>
        <w:tc>
          <w:tcPr>
            <w:tcW w:w="4754" w:type="dxa"/>
            <w:gridSpan w:val="3"/>
            <w:hideMark/>
          </w:tcPr>
          <w:p w:rsidR="007247A9" w:rsidRPr="005B0796" w:rsidRDefault="007247A9" w:rsidP="00014A40">
            <w:pPr>
              <w:pStyle w:val="TableText"/>
              <w:jc w:val="center"/>
            </w:pPr>
            <w:r w:rsidRPr="005B0796">
              <w:t>2015 Regular ADF</w:t>
            </w:r>
            <w:r w:rsidR="00014A40" w:rsidRPr="005B0796">
              <w:br/>
            </w:r>
            <w:r w:rsidRPr="005B0796">
              <w:t>n = 8480</w:t>
            </w:r>
          </w:p>
        </w:tc>
      </w:tr>
      <w:tr w:rsidR="00014A40" w:rsidRPr="005B0796" w:rsidTr="00014A40">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rsidR="007247A9" w:rsidRPr="005B0796" w:rsidRDefault="007247A9" w:rsidP="00014A40">
            <w:pPr>
              <w:pStyle w:val="TableText"/>
            </w:pPr>
          </w:p>
        </w:tc>
        <w:tc>
          <w:tcPr>
            <w:tcW w:w="1584" w:type="dxa"/>
            <w:hideMark/>
          </w:tcPr>
          <w:p w:rsidR="007247A9" w:rsidRPr="005B0796" w:rsidRDefault="007247A9" w:rsidP="00014A40">
            <w:pPr>
              <w:pStyle w:val="TableText"/>
              <w:jc w:val="right"/>
            </w:pPr>
            <w:r w:rsidRPr="005B0796">
              <w:t>n</w:t>
            </w:r>
          </w:p>
        </w:tc>
        <w:tc>
          <w:tcPr>
            <w:tcW w:w="1585" w:type="dxa"/>
            <w:hideMark/>
          </w:tcPr>
          <w:p w:rsidR="007247A9" w:rsidRPr="005B0796" w:rsidRDefault="007247A9" w:rsidP="00014A40">
            <w:pPr>
              <w:pStyle w:val="TableText"/>
              <w:jc w:val="right"/>
            </w:pPr>
            <w:r w:rsidRPr="005B0796">
              <w:t>%</w:t>
            </w:r>
          </w:p>
        </w:tc>
        <w:tc>
          <w:tcPr>
            <w:tcW w:w="1585" w:type="dxa"/>
            <w:hideMark/>
          </w:tcPr>
          <w:p w:rsidR="007247A9" w:rsidRPr="005B0796" w:rsidRDefault="007247A9" w:rsidP="00014A40">
            <w:pPr>
              <w:pStyle w:val="TableText"/>
              <w:jc w:val="right"/>
            </w:pPr>
            <w:r w:rsidRPr="005B0796">
              <w:t>95% CI</w:t>
            </w:r>
          </w:p>
        </w:tc>
        <w:tc>
          <w:tcPr>
            <w:tcW w:w="1584" w:type="dxa"/>
            <w:hideMark/>
          </w:tcPr>
          <w:p w:rsidR="007247A9" w:rsidRPr="005B0796" w:rsidRDefault="007247A9" w:rsidP="00014A40">
            <w:pPr>
              <w:pStyle w:val="TableText"/>
              <w:jc w:val="right"/>
            </w:pPr>
            <w:r w:rsidRPr="005B0796">
              <w:t>n</w:t>
            </w:r>
          </w:p>
        </w:tc>
        <w:tc>
          <w:tcPr>
            <w:tcW w:w="1585" w:type="dxa"/>
            <w:hideMark/>
          </w:tcPr>
          <w:p w:rsidR="007247A9" w:rsidRPr="005B0796" w:rsidRDefault="007247A9" w:rsidP="00014A40">
            <w:pPr>
              <w:pStyle w:val="TableText"/>
              <w:jc w:val="right"/>
            </w:pPr>
            <w:r w:rsidRPr="005B0796">
              <w:t>%</w:t>
            </w:r>
          </w:p>
        </w:tc>
        <w:tc>
          <w:tcPr>
            <w:tcW w:w="1585" w:type="dxa"/>
            <w:hideMark/>
          </w:tcPr>
          <w:p w:rsidR="007247A9" w:rsidRPr="005B0796" w:rsidRDefault="007247A9" w:rsidP="00014A40">
            <w:pPr>
              <w:pStyle w:val="TableText"/>
              <w:jc w:val="right"/>
            </w:pPr>
            <w:r w:rsidRPr="005B0796">
              <w:t>95% CI</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rPr>
                <w:b/>
              </w:rPr>
            </w:pPr>
            <w:r w:rsidRPr="005B0796">
              <w:rPr>
                <w:b/>
              </w:rPr>
              <w:t>Age (M, SE)</w:t>
            </w:r>
          </w:p>
        </w:tc>
        <w:tc>
          <w:tcPr>
            <w:tcW w:w="1584" w:type="dxa"/>
            <w:hideMark/>
          </w:tcPr>
          <w:p w:rsidR="007247A9" w:rsidRPr="005B0796" w:rsidRDefault="007247A9" w:rsidP="00014A40">
            <w:pPr>
              <w:pStyle w:val="TableText"/>
              <w:jc w:val="right"/>
            </w:pPr>
            <w:r w:rsidRPr="005B0796">
              <w:t>41.9</w:t>
            </w:r>
          </w:p>
        </w:tc>
        <w:tc>
          <w:tcPr>
            <w:tcW w:w="1585" w:type="dxa"/>
            <w:hideMark/>
          </w:tcPr>
          <w:p w:rsidR="007247A9" w:rsidRPr="005B0796" w:rsidRDefault="007247A9" w:rsidP="00014A40">
            <w:pPr>
              <w:pStyle w:val="TableText"/>
              <w:jc w:val="right"/>
            </w:pPr>
            <w:r w:rsidRPr="005B0796">
              <w:t>0.2</w:t>
            </w:r>
          </w:p>
        </w:tc>
        <w:tc>
          <w:tcPr>
            <w:tcW w:w="1585" w:type="dxa"/>
          </w:tcPr>
          <w:p w:rsidR="007247A9" w:rsidRPr="005B0796" w:rsidRDefault="007247A9" w:rsidP="00014A40">
            <w:pPr>
              <w:pStyle w:val="TableText"/>
              <w:jc w:val="right"/>
            </w:pPr>
          </w:p>
        </w:tc>
        <w:tc>
          <w:tcPr>
            <w:tcW w:w="1584" w:type="dxa"/>
            <w:hideMark/>
          </w:tcPr>
          <w:p w:rsidR="007247A9" w:rsidRPr="005B0796" w:rsidRDefault="007247A9" w:rsidP="00014A40">
            <w:pPr>
              <w:pStyle w:val="TableText"/>
              <w:jc w:val="right"/>
            </w:pPr>
            <w:r w:rsidRPr="005B0796">
              <w:t>41.1</w:t>
            </w:r>
          </w:p>
        </w:tc>
        <w:tc>
          <w:tcPr>
            <w:tcW w:w="1585" w:type="dxa"/>
            <w:hideMark/>
          </w:tcPr>
          <w:p w:rsidR="007247A9" w:rsidRPr="005B0796" w:rsidRDefault="007247A9" w:rsidP="00014A40">
            <w:pPr>
              <w:pStyle w:val="TableText"/>
              <w:jc w:val="right"/>
            </w:pPr>
            <w:r w:rsidRPr="005B0796">
              <w:t>0.1</w:t>
            </w:r>
          </w:p>
        </w:tc>
        <w:tc>
          <w:tcPr>
            <w:tcW w:w="1585" w:type="dxa"/>
          </w:tcPr>
          <w:p w:rsidR="007247A9" w:rsidRPr="005B0796" w:rsidRDefault="007247A9" w:rsidP="00014A40">
            <w:pPr>
              <w:pStyle w:val="TableText"/>
              <w:jc w:val="right"/>
            </w:pPr>
          </w:p>
        </w:tc>
      </w:tr>
      <w:tr w:rsidR="00014A40" w:rsidRPr="005B0796" w:rsidTr="00014A40">
        <w:trPr>
          <w:cantSplit/>
        </w:trPr>
        <w:tc>
          <w:tcPr>
            <w:tcW w:w="1998" w:type="dxa"/>
            <w:hideMark/>
          </w:tcPr>
          <w:p w:rsidR="007247A9" w:rsidRPr="005B0796" w:rsidRDefault="007247A9" w:rsidP="00014A40">
            <w:pPr>
              <w:pStyle w:val="TableText"/>
              <w:rPr>
                <w:b/>
              </w:rPr>
            </w:pPr>
            <w:r w:rsidRPr="005B0796">
              <w:rPr>
                <w:b/>
              </w:rPr>
              <w:t>Age group</w:t>
            </w: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18–27</w:t>
            </w:r>
          </w:p>
        </w:tc>
        <w:tc>
          <w:tcPr>
            <w:tcW w:w="1584" w:type="dxa"/>
            <w:hideMark/>
          </w:tcPr>
          <w:p w:rsidR="007247A9" w:rsidRPr="005B0796" w:rsidRDefault="007247A9" w:rsidP="00014A40">
            <w:pPr>
              <w:pStyle w:val="TableText"/>
              <w:jc w:val="right"/>
            </w:pPr>
            <w:r w:rsidRPr="005B0796">
              <w:t>471</w:t>
            </w:r>
          </w:p>
        </w:tc>
        <w:tc>
          <w:tcPr>
            <w:tcW w:w="1585" w:type="dxa"/>
            <w:hideMark/>
          </w:tcPr>
          <w:p w:rsidR="007247A9" w:rsidRPr="005B0796" w:rsidRDefault="007247A9" w:rsidP="00014A40">
            <w:pPr>
              <w:pStyle w:val="TableText"/>
              <w:jc w:val="right"/>
            </w:pPr>
            <w:r w:rsidRPr="005B0796">
              <w:t>10.9</w:t>
            </w:r>
          </w:p>
        </w:tc>
        <w:tc>
          <w:tcPr>
            <w:tcW w:w="1585" w:type="dxa"/>
            <w:hideMark/>
          </w:tcPr>
          <w:p w:rsidR="007247A9" w:rsidRPr="005B0796" w:rsidRDefault="007247A9" w:rsidP="00014A40">
            <w:pPr>
              <w:pStyle w:val="TableText"/>
              <w:jc w:val="right"/>
            </w:pPr>
            <w:r w:rsidRPr="005B0796">
              <w:t xml:space="preserve"> (10.0, 11.9) </w:t>
            </w:r>
          </w:p>
        </w:tc>
        <w:tc>
          <w:tcPr>
            <w:tcW w:w="1584" w:type="dxa"/>
            <w:hideMark/>
          </w:tcPr>
          <w:p w:rsidR="007247A9" w:rsidRPr="005B0796" w:rsidRDefault="007247A9" w:rsidP="00014A40">
            <w:pPr>
              <w:pStyle w:val="TableText"/>
              <w:jc w:val="right"/>
            </w:pPr>
            <w:r w:rsidRPr="005B0796">
              <w:t>602</w:t>
            </w:r>
          </w:p>
        </w:tc>
        <w:tc>
          <w:tcPr>
            <w:tcW w:w="1585" w:type="dxa"/>
            <w:hideMark/>
          </w:tcPr>
          <w:p w:rsidR="007247A9" w:rsidRPr="005B0796" w:rsidRDefault="007247A9" w:rsidP="00014A40">
            <w:pPr>
              <w:pStyle w:val="TableText"/>
              <w:jc w:val="right"/>
            </w:pPr>
            <w:r w:rsidRPr="005B0796">
              <w:t>7.1</w:t>
            </w:r>
          </w:p>
        </w:tc>
        <w:tc>
          <w:tcPr>
            <w:tcW w:w="1585" w:type="dxa"/>
            <w:hideMark/>
          </w:tcPr>
          <w:p w:rsidR="007247A9" w:rsidRPr="005B0796" w:rsidRDefault="007247A9" w:rsidP="00014A40">
            <w:pPr>
              <w:pStyle w:val="TableText"/>
              <w:jc w:val="right"/>
            </w:pPr>
            <w:r w:rsidRPr="005B0796">
              <w:t xml:space="preserve"> (6.6, 7.7) </w:t>
            </w:r>
          </w:p>
        </w:tc>
      </w:tr>
      <w:tr w:rsidR="00014A40" w:rsidRPr="005B0796" w:rsidTr="00014A40">
        <w:trPr>
          <w:cantSplit/>
        </w:trPr>
        <w:tc>
          <w:tcPr>
            <w:tcW w:w="1998" w:type="dxa"/>
            <w:hideMark/>
          </w:tcPr>
          <w:p w:rsidR="007247A9" w:rsidRPr="005B0796" w:rsidRDefault="007247A9" w:rsidP="00014A40">
            <w:pPr>
              <w:pStyle w:val="TableText"/>
              <w:ind w:left="144"/>
            </w:pPr>
            <w:r w:rsidRPr="005B0796">
              <w:t>28–37</w:t>
            </w:r>
          </w:p>
        </w:tc>
        <w:tc>
          <w:tcPr>
            <w:tcW w:w="1584" w:type="dxa"/>
            <w:hideMark/>
          </w:tcPr>
          <w:p w:rsidR="007247A9" w:rsidRPr="005B0796" w:rsidRDefault="007247A9" w:rsidP="00014A40">
            <w:pPr>
              <w:pStyle w:val="TableText"/>
              <w:jc w:val="right"/>
            </w:pPr>
            <w:r w:rsidRPr="005B0796">
              <w:t>1262</w:t>
            </w:r>
          </w:p>
        </w:tc>
        <w:tc>
          <w:tcPr>
            <w:tcW w:w="1585" w:type="dxa"/>
            <w:hideMark/>
          </w:tcPr>
          <w:p w:rsidR="007247A9" w:rsidRPr="005B0796" w:rsidRDefault="007247A9" w:rsidP="00014A40">
            <w:pPr>
              <w:pStyle w:val="TableText"/>
              <w:jc w:val="right"/>
            </w:pPr>
            <w:r w:rsidRPr="005B0796">
              <w:t>29.2</w:t>
            </w:r>
          </w:p>
        </w:tc>
        <w:tc>
          <w:tcPr>
            <w:tcW w:w="1585" w:type="dxa"/>
            <w:hideMark/>
          </w:tcPr>
          <w:p w:rsidR="007247A9" w:rsidRPr="005B0796" w:rsidRDefault="007247A9" w:rsidP="00014A40">
            <w:pPr>
              <w:pStyle w:val="TableText"/>
              <w:jc w:val="right"/>
            </w:pPr>
            <w:r w:rsidRPr="005B0796">
              <w:t xml:space="preserve"> (27.8, 30.5) </w:t>
            </w:r>
          </w:p>
        </w:tc>
        <w:tc>
          <w:tcPr>
            <w:tcW w:w="1584" w:type="dxa"/>
            <w:hideMark/>
          </w:tcPr>
          <w:p w:rsidR="007247A9" w:rsidRPr="005B0796" w:rsidRDefault="007247A9" w:rsidP="00014A40">
            <w:pPr>
              <w:pStyle w:val="TableText"/>
              <w:jc w:val="right"/>
            </w:pPr>
            <w:r w:rsidRPr="005B0796">
              <w:t>2484</w:t>
            </w:r>
          </w:p>
        </w:tc>
        <w:tc>
          <w:tcPr>
            <w:tcW w:w="1585" w:type="dxa"/>
            <w:hideMark/>
          </w:tcPr>
          <w:p w:rsidR="007247A9" w:rsidRPr="005B0796" w:rsidRDefault="007247A9" w:rsidP="00014A40">
            <w:pPr>
              <w:pStyle w:val="TableText"/>
              <w:jc w:val="right"/>
            </w:pPr>
            <w:r w:rsidRPr="005B0796">
              <w:t>29.3</w:t>
            </w:r>
          </w:p>
        </w:tc>
        <w:tc>
          <w:tcPr>
            <w:tcW w:w="1585" w:type="dxa"/>
            <w:hideMark/>
          </w:tcPr>
          <w:p w:rsidR="007247A9" w:rsidRPr="005B0796" w:rsidRDefault="007247A9" w:rsidP="00014A40">
            <w:pPr>
              <w:pStyle w:val="TableText"/>
              <w:jc w:val="right"/>
            </w:pPr>
            <w:r w:rsidRPr="005B0796">
              <w:t xml:space="preserve"> (28.3, 30.3)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38–47</w:t>
            </w:r>
          </w:p>
        </w:tc>
        <w:tc>
          <w:tcPr>
            <w:tcW w:w="1584" w:type="dxa"/>
            <w:hideMark/>
          </w:tcPr>
          <w:p w:rsidR="007247A9" w:rsidRPr="005B0796" w:rsidRDefault="007247A9" w:rsidP="00014A40">
            <w:pPr>
              <w:pStyle w:val="TableText"/>
              <w:jc w:val="right"/>
            </w:pPr>
            <w:r w:rsidRPr="005B0796">
              <w:t>1119</w:t>
            </w:r>
          </w:p>
        </w:tc>
        <w:tc>
          <w:tcPr>
            <w:tcW w:w="1585" w:type="dxa"/>
            <w:hideMark/>
          </w:tcPr>
          <w:p w:rsidR="007247A9" w:rsidRPr="005B0796" w:rsidRDefault="007247A9" w:rsidP="00014A40">
            <w:pPr>
              <w:pStyle w:val="TableText"/>
              <w:jc w:val="right"/>
            </w:pPr>
            <w:r w:rsidRPr="005B0796">
              <w:t>25.9</w:t>
            </w:r>
          </w:p>
        </w:tc>
        <w:tc>
          <w:tcPr>
            <w:tcW w:w="1585" w:type="dxa"/>
            <w:hideMark/>
          </w:tcPr>
          <w:p w:rsidR="007247A9" w:rsidRPr="005B0796" w:rsidRDefault="007247A9" w:rsidP="00014A40">
            <w:pPr>
              <w:pStyle w:val="TableText"/>
              <w:jc w:val="right"/>
            </w:pPr>
            <w:r w:rsidRPr="005B0796">
              <w:t xml:space="preserve"> (24.6, 27.2) </w:t>
            </w:r>
          </w:p>
        </w:tc>
        <w:tc>
          <w:tcPr>
            <w:tcW w:w="1584" w:type="dxa"/>
            <w:hideMark/>
          </w:tcPr>
          <w:p w:rsidR="007247A9" w:rsidRPr="005B0796" w:rsidRDefault="007247A9" w:rsidP="00014A40">
            <w:pPr>
              <w:pStyle w:val="TableText"/>
              <w:jc w:val="right"/>
            </w:pPr>
            <w:r w:rsidRPr="005B0796">
              <w:t>2976</w:t>
            </w:r>
          </w:p>
        </w:tc>
        <w:tc>
          <w:tcPr>
            <w:tcW w:w="1585" w:type="dxa"/>
            <w:hideMark/>
          </w:tcPr>
          <w:p w:rsidR="007247A9" w:rsidRPr="005B0796" w:rsidRDefault="007247A9" w:rsidP="00014A40">
            <w:pPr>
              <w:pStyle w:val="TableText"/>
              <w:jc w:val="right"/>
            </w:pPr>
            <w:r w:rsidRPr="005B0796">
              <w:t>35.1</w:t>
            </w:r>
          </w:p>
        </w:tc>
        <w:tc>
          <w:tcPr>
            <w:tcW w:w="1585" w:type="dxa"/>
            <w:hideMark/>
          </w:tcPr>
          <w:p w:rsidR="007247A9" w:rsidRPr="005B0796" w:rsidRDefault="007247A9" w:rsidP="00014A40">
            <w:pPr>
              <w:pStyle w:val="TableText"/>
              <w:jc w:val="right"/>
            </w:pPr>
            <w:r w:rsidRPr="005B0796">
              <w:t xml:space="preserve"> (34.1, 36.1) </w:t>
            </w:r>
          </w:p>
        </w:tc>
      </w:tr>
      <w:tr w:rsidR="00014A40" w:rsidRPr="005B0796" w:rsidTr="00014A40">
        <w:trPr>
          <w:cantSplit/>
        </w:trPr>
        <w:tc>
          <w:tcPr>
            <w:tcW w:w="1998" w:type="dxa"/>
            <w:hideMark/>
          </w:tcPr>
          <w:p w:rsidR="007247A9" w:rsidRPr="005B0796" w:rsidRDefault="007247A9" w:rsidP="00014A40">
            <w:pPr>
              <w:pStyle w:val="TableText"/>
              <w:ind w:left="144"/>
            </w:pPr>
            <w:r w:rsidRPr="005B0796">
              <w:t>48–57</w:t>
            </w:r>
          </w:p>
        </w:tc>
        <w:tc>
          <w:tcPr>
            <w:tcW w:w="1584" w:type="dxa"/>
            <w:hideMark/>
          </w:tcPr>
          <w:p w:rsidR="007247A9" w:rsidRPr="005B0796" w:rsidRDefault="007247A9" w:rsidP="00014A40">
            <w:pPr>
              <w:pStyle w:val="TableText"/>
              <w:jc w:val="right"/>
            </w:pPr>
            <w:r w:rsidRPr="005B0796">
              <w:t>871</w:t>
            </w:r>
          </w:p>
        </w:tc>
        <w:tc>
          <w:tcPr>
            <w:tcW w:w="1585" w:type="dxa"/>
            <w:hideMark/>
          </w:tcPr>
          <w:p w:rsidR="007247A9" w:rsidRPr="005B0796" w:rsidRDefault="007247A9" w:rsidP="00014A40">
            <w:pPr>
              <w:pStyle w:val="TableText"/>
              <w:jc w:val="right"/>
            </w:pPr>
            <w:r w:rsidRPr="005B0796">
              <w:t>20.1</w:t>
            </w:r>
          </w:p>
        </w:tc>
        <w:tc>
          <w:tcPr>
            <w:tcW w:w="1585" w:type="dxa"/>
            <w:hideMark/>
          </w:tcPr>
          <w:p w:rsidR="007247A9" w:rsidRPr="005B0796" w:rsidRDefault="007247A9" w:rsidP="00014A40">
            <w:pPr>
              <w:pStyle w:val="TableText"/>
              <w:jc w:val="right"/>
            </w:pPr>
            <w:r w:rsidRPr="005B0796">
              <w:t xml:space="preserve"> (19.0, 21.4) </w:t>
            </w:r>
          </w:p>
        </w:tc>
        <w:tc>
          <w:tcPr>
            <w:tcW w:w="1584" w:type="dxa"/>
            <w:hideMark/>
          </w:tcPr>
          <w:p w:rsidR="007247A9" w:rsidRPr="005B0796" w:rsidRDefault="007247A9" w:rsidP="00014A40">
            <w:pPr>
              <w:pStyle w:val="TableText"/>
              <w:jc w:val="right"/>
            </w:pPr>
            <w:r w:rsidRPr="005B0796">
              <w:t>2069</w:t>
            </w:r>
          </w:p>
        </w:tc>
        <w:tc>
          <w:tcPr>
            <w:tcW w:w="1585" w:type="dxa"/>
            <w:hideMark/>
          </w:tcPr>
          <w:p w:rsidR="007247A9" w:rsidRPr="005B0796" w:rsidRDefault="007247A9" w:rsidP="00014A40">
            <w:pPr>
              <w:pStyle w:val="TableText"/>
              <w:jc w:val="right"/>
            </w:pPr>
            <w:r w:rsidRPr="005B0796">
              <w:t>24.4</w:t>
            </w:r>
          </w:p>
        </w:tc>
        <w:tc>
          <w:tcPr>
            <w:tcW w:w="1585" w:type="dxa"/>
            <w:hideMark/>
          </w:tcPr>
          <w:p w:rsidR="007247A9" w:rsidRPr="005B0796" w:rsidRDefault="007247A9" w:rsidP="00014A40">
            <w:pPr>
              <w:pStyle w:val="TableText"/>
              <w:jc w:val="right"/>
            </w:pPr>
            <w:r w:rsidRPr="005B0796">
              <w:t xml:space="preserve"> (23.5, 25.3)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58+</w:t>
            </w:r>
          </w:p>
        </w:tc>
        <w:tc>
          <w:tcPr>
            <w:tcW w:w="1584" w:type="dxa"/>
            <w:hideMark/>
          </w:tcPr>
          <w:p w:rsidR="007247A9" w:rsidRPr="005B0796" w:rsidRDefault="007247A9" w:rsidP="00014A40">
            <w:pPr>
              <w:pStyle w:val="TableText"/>
              <w:jc w:val="right"/>
            </w:pPr>
            <w:r w:rsidRPr="005B0796">
              <w:t>548</w:t>
            </w:r>
          </w:p>
        </w:tc>
        <w:tc>
          <w:tcPr>
            <w:tcW w:w="1585" w:type="dxa"/>
            <w:hideMark/>
          </w:tcPr>
          <w:p w:rsidR="007247A9" w:rsidRPr="005B0796" w:rsidRDefault="007247A9" w:rsidP="00014A40">
            <w:pPr>
              <w:pStyle w:val="TableText"/>
              <w:jc w:val="right"/>
            </w:pPr>
            <w:r w:rsidRPr="005B0796">
              <w:t>12.7</w:t>
            </w:r>
          </w:p>
        </w:tc>
        <w:tc>
          <w:tcPr>
            <w:tcW w:w="1585" w:type="dxa"/>
            <w:hideMark/>
          </w:tcPr>
          <w:p w:rsidR="007247A9" w:rsidRPr="005B0796" w:rsidRDefault="007247A9" w:rsidP="00014A40">
            <w:pPr>
              <w:pStyle w:val="TableText"/>
              <w:jc w:val="right"/>
            </w:pPr>
            <w:r w:rsidRPr="005B0796">
              <w:t xml:space="preserve"> (11.7, 13.7) </w:t>
            </w:r>
          </w:p>
        </w:tc>
        <w:tc>
          <w:tcPr>
            <w:tcW w:w="1584" w:type="dxa"/>
            <w:hideMark/>
          </w:tcPr>
          <w:p w:rsidR="007247A9" w:rsidRPr="005B0796" w:rsidRDefault="007247A9" w:rsidP="00014A40">
            <w:pPr>
              <w:pStyle w:val="TableText"/>
              <w:jc w:val="right"/>
            </w:pPr>
            <w:r w:rsidRPr="005B0796">
              <w:t>201</w:t>
            </w:r>
          </w:p>
        </w:tc>
        <w:tc>
          <w:tcPr>
            <w:tcW w:w="1585" w:type="dxa"/>
            <w:hideMark/>
          </w:tcPr>
          <w:p w:rsidR="007247A9" w:rsidRPr="005B0796" w:rsidRDefault="007247A9" w:rsidP="00014A40">
            <w:pPr>
              <w:pStyle w:val="TableText"/>
              <w:jc w:val="right"/>
            </w:pPr>
            <w:r w:rsidRPr="005B0796">
              <w:t>2.4</w:t>
            </w:r>
          </w:p>
        </w:tc>
        <w:tc>
          <w:tcPr>
            <w:tcW w:w="1585" w:type="dxa"/>
            <w:hideMark/>
          </w:tcPr>
          <w:p w:rsidR="007247A9" w:rsidRPr="005B0796" w:rsidRDefault="007247A9" w:rsidP="00014A40">
            <w:pPr>
              <w:pStyle w:val="TableText"/>
              <w:jc w:val="right"/>
            </w:pPr>
            <w:r w:rsidRPr="005B0796">
              <w:t xml:space="preserve"> (2.1, 2.7) </w:t>
            </w:r>
          </w:p>
        </w:tc>
      </w:tr>
      <w:tr w:rsidR="00014A40" w:rsidRPr="005B0796" w:rsidTr="00014A40">
        <w:trPr>
          <w:cantSplit/>
        </w:trPr>
        <w:tc>
          <w:tcPr>
            <w:tcW w:w="1998" w:type="dxa"/>
            <w:hideMark/>
          </w:tcPr>
          <w:p w:rsidR="007247A9" w:rsidRPr="005B0796" w:rsidRDefault="007247A9" w:rsidP="00014A40">
            <w:pPr>
              <w:pStyle w:val="TableText"/>
              <w:rPr>
                <w:b/>
              </w:rPr>
            </w:pPr>
            <w:r w:rsidRPr="005B0796">
              <w:rPr>
                <w:b/>
              </w:rPr>
              <w:t>Sex</w:t>
            </w: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Male</w:t>
            </w:r>
          </w:p>
        </w:tc>
        <w:tc>
          <w:tcPr>
            <w:tcW w:w="1584" w:type="dxa"/>
            <w:hideMark/>
          </w:tcPr>
          <w:p w:rsidR="007247A9" w:rsidRPr="005B0796" w:rsidRDefault="007247A9" w:rsidP="00014A40">
            <w:pPr>
              <w:pStyle w:val="TableText"/>
              <w:jc w:val="right"/>
            </w:pPr>
            <w:r w:rsidRPr="005B0796">
              <w:t>3646</w:t>
            </w:r>
          </w:p>
        </w:tc>
        <w:tc>
          <w:tcPr>
            <w:tcW w:w="1585" w:type="dxa"/>
            <w:hideMark/>
          </w:tcPr>
          <w:p w:rsidR="007247A9" w:rsidRPr="005B0796" w:rsidRDefault="007247A9" w:rsidP="00014A40">
            <w:pPr>
              <w:pStyle w:val="TableText"/>
              <w:jc w:val="right"/>
            </w:pPr>
            <w:r w:rsidRPr="005B0796">
              <w:t>84.3</w:t>
            </w:r>
          </w:p>
        </w:tc>
        <w:tc>
          <w:tcPr>
            <w:tcW w:w="1585" w:type="dxa"/>
            <w:hideMark/>
          </w:tcPr>
          <w:p w:rsidR="007247A9" w:rsidRPr="005B0796" w:rsidRDefault="007247A9" w:rsidP="00014A40">
            <w:pPr>
              <w:pStyle w:val="TableText"/>
              <w:jc w:val="right"/>
            </w:pPr>
            <w:r w:rsidRPr="005B0796">
              <w:t xml:space="preserve"> (83.2, 85.3) </w:t>
            </w:r>
          </w:p>
        </w:tc>
        <w:tc>
          <w:tcPr>
            <w:tcW w:w="1584" w:type="dxa"/>
            <w:hideMark/>
          </w:tcPr>
          <w:p w:rsidR="007247A9" w:rsidRPr="005B0796" w:rsidRDefault="007247A9" w:rsidP="00014A40">
            <w:pPr>
              <w:pStyle w:val="TableText"/>
              <w:jc w:val="right"/>
            </w:pPr>
            <w:r w:rsidRPr="005B0796">
              <w:t>6693</w:t>
            </w:r>
          </w:p>
        </w:tc>
        <w:tc>
          <w:tcPr>
            <w:tcW w:w="1585" w:type="dxa"/>
            <w:hideMark/>
          </w:tcPr>
          <w:p w:rsidR="007247A9" w:rsidRPr="005B0796" w:rsidRDefault="007247A9" w:rsidP="00014A40">
            <w:pPr>
              <w:pStyle w:val="TableText"/>
              <w:jc w:val="right"/>
            </w:pPr>
            <w:r w:rsidRPr="005B0796">
              <w:t>78.9</w:t>
            </w:r>
          </w:p>
        </w:tc>
        <w:tc>
          <w:tcPr>
            <w:tcW w:w="1585" w:type="dxa"/>
            <w:hideMark/>
          </w:tcPr>
          <w:p w:rsidR="007247A9" w:rsidRPr="005B0796" w:rsidRDefault="007247A9" w:rsidP="00014A40">
            <w:pPr>
              <w:pStyle w:val="TableText"/>
              <w:jc w:val="right"/>
            </w:pPr>
            <w:r w:rsidRPr="005B0796">
              <w:t xml:space="preserve"> (78.0, 79.8) </w:t>
            </w:r>
          </w:p>
        </w:tc>
      </w:tr>
      <w:tr w:rsidR="00014A40" w:rsidRPr="005B0796" w:rsidTr="00014A40">
        <w:trPr>
          <w:cantSplit/>
        </w:trPr>
        <w:tc>
          <w:tcPr>
            <w:tcW w:w="1998" w:type="dxa"/>
            <w:hideMark/>
          </w:tcPr>
          <w:p w:rsidR="007247A9" w:rsidRPr="005B0796" w:rsidRDefault="007247A9" w:rsidP="00014A40">
            <w:pPr>
              <w:pStyle w:val="TableText"/>
              <w:ind w:left="144"/>
            </w:pPr>
            <w:r w:rsidRPr="005B0796">
              <w:t>Female</w:t>
            </w:r>
          </w:p>
        </w:tc>
        <w:tc>
          <w:tcPr>
            <w:tcW w:w="1584" w:type="dxa"/>
            <w:hideMark/>
          </w:tcPr>
          <w:p w:rsidR="007247A9" w:rsidRPr="005B0796" w:rsidRDefault="007247A9" w:rsidP="00014A40">
            <w:pPr>
              <w:pStyle w:val="TableText"/>
              <w:jc w:val="right"/>
            </w:pPr>
            <w:r w:rsidRPr="005B0796">
              <w:t>680</w:t>
            </w:r>
          </w:p>
        </w:tc>
        <w:tc>
          <w:tcPr>
            <w:tcW w:w="1585" w:type="dxa"/>
            <w:hideMark/>
          </w:tcPr>
          <w:p w:rsidR="007247A9" w:rsidRPr="005B0796" w:rsidRDefault="007247A9" w:rsidP="00014A40">
            <w:pPr>
              <w:pStyle w:val="TableText"/>
              <w:jc w:val="right"/>
            </w:pPr>
            <w:r w:rsidRPr="005B0796">
              <w:t>15.7</w:t>
            </w:r>
          </w:p>
        </w:tc>
        <w:tc>
          <w:tcPr>
            <w:tcW w:w="1585" w:type="dxa"/>
            <w:hideMark/>
          </w:tcPr>
          <w:p w:rsidR="007247A9" w:rsidRPr="005B0796" w:rsidRDefault="007247A9" w:rsidP="00014A40">
            <w:pPr>
              <w:pStyle w:val="TableText"/>
              <w:jc w:val="right"/>
            </w:pPr>
            <w:r w:rsidRPr="005B0796">
              <w:t xml:space="preserve"> (14.7, 16.8) </w:t>
            </w:r>
          </w:p>
        </w:tc>
        <w:tc>
          <w:tcPr>
            <w:tcW w:w="1584" w:type="dxa"/>
            <w:hideMark/>
          </w:tcPr>
          <w:p w:rsidR="007247A9" w:rsidRPr="005B0796" w:rsidRDefault="007247A9" w:rsidP="00014A40">
            <w:pPr>
              <w:pStyle w:val="TableText"/>
              <w:jc w:val="right"/>
            </w:pPr>
            <w:r w:rsidRPr="005B0796">
              <w:t>1787</w:t>
            </w:r>
          </w:p>
        </w:tc>
        <w:tc>
          <w:tcPr>
            <w:tcW w:w="1585" w:type="dxa"/>
            <w:hideMark/>
          </w:tcPr>
          <w:p w:rsidR="007247A9" w:rsidRPr="005B0796" w:rsidRDefault="007247A9" w:rsidP="00014A40">
            <w:pPr>
              <w:pStyle w:val="TableText"/>
              <w:jc w:val="right"/>
            </w:pPr>
            <w:r w:rsidRPr="005B0796">
              <w:t>21.1</w:t>
            </w:r>
          </w:p>
        </w:tc>
        <w:tc>
          <w:tcPr>
            <w:tcW w:w="1585" w:type="dxa"/>
            <w:hideMark/>
          </w:tcPr>
          <w:p w:rsidR="007247A9" w:rsidRPr="005B0796" w:rsidRDefault="007247A9" w:rsidP="00014A40">
            <w:pPr>
              <w:pStyle w:val="TableText"/>
              <w:jc w:val="right"/>
            </w:pPr>
            <w:r w:rsidRPr="005B0796">
              <w:t xml:space="preserve"> (20.2, 22.0)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rPr>
                <w:b/>
              </w:rPr>
            </w:pPr>
            <w:r w:rsidRPr="005B0796">
              <w:rPr>
                <w:b/>
              </w:rPr>
              <w:t>Rank</w:t>
            </w: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r>
      <w:tr w:rsidR="00014A40" w:rsidRPr="005B0796" w:rsidTr="00014A40">
        <w:trPr>
          <w:cantSplit/>
        </w:trPr>
        <w:tc>
          <w:tcPr>
            <w:tcW w:w="1998" w:type="dxa"/>
            <w:hideMark/>
          </w:tcPr>
          <w:p w:rsidR="007247A9" w:rsidRPr="005B0796" w:rsidRDefault="007247A9" w:rsidP="00014A40">
            <w:pPr>
              <w:pStyle w:val="TableText"/>
              <w:ind w:left="144"/>
            </w:pPr>
            <w:r w:rsidRPr="005B0796">
              <w:t>OFFR</w:t>
            </w:r>
          </w:p>
        </w:tc>
        <w:tc>
          <w:tcPr>
            <w:tcW w:w="1584" w:type="dxa"/>
            <w:hideMark/>
          </w:tcPr>
          <w:p w:rsidR="007247A9" w:rsidRPr="005B0796" w:rsidRDefault="007247A9" w:rsidP="00014A40">
            <w:pPr>
              <w:pStyle w:val="TableText"/>
              <w:jc w:val="right"/>
            </w:pPr>
            <w:r w:rsidRPr="005B0796">
              <w:t>1259</w:t>
            </w:r>
          </w:p>
        </w:tc>
        <w:tc>
          <w:tcPr>
            <w:tcW w:w="1585" w:type="dxa"/>
            <w:hideMark/>
          </w:tcPr>
          <w:p w:rsidR="007247A9" w:rsidRPr="005B0796" w:rsidRDefault="007247A9" w:rsidP="00014A40">
            <w:pPr>
              <w:pStyle w:val="TableText"/>
              <w:jc w:val="right"/>
            </w:pPr>
            <w:r w:rsidRPr="005B0796">
              <w:t>29.1</w:t>
            </w:r>
          </w:p>
        </w:tc>
        <w:tc>
          <w:tcPr>
            <w:tcW w:w="1585" w:type="dxa"/>
            <w:hideMark/>
          </w:tcPr>
          <w:p w:rsidR="007247A9" w:rsidRPr="005B0796" w:rsidRDefault="007247A9" w:rsidP="00014A40">
            <w:pPr>
              <w:pStyle w:val="TableText"/>
              <w:jc w:val="right"/>
            </w:pPr>
            <w:r w:rsidRPr="005B0796">
              <w:t xml:space="preserve"> (27.8, 30.5) </w:t>
            </w:r>
          </w:p>
        </w:tc>
        <w:tc>
          <w:tcPr>
            <w:tcW w:w="1584" w:type="dxa"/>
            <w:hideMark/>
          </w:tcPr>
          <w:p w:rsidR="007247A9" w:rsidRPr="005B0796" w:rsidRDefault="007247A9" w:rsidP="00014A40">
            <w:pPr>
              <w:pStyle w:val="TableText"/>
              <w:jc w:val="right"/>
            </w:pPr>
            <w:r w:rsidRPr="005B0796">
              <w:t>3538</w:t>
            </w:r>
          </w:p>
        </w:tc>
        <w:tc>
          <w:tcPr>
            <w:tcW w:w="1585" w:type="dxa"/>
            <w:hideMark/>
          </w:tcPr>
          <w:p w:rsidR="007247A9" w:rsidRPr="005B0796" w:rsidRDefault="007247A9" w:rsidP="00014A40">
            <w:pPr>
              <w:pStyle w:val="TableText"/>
              <w:jc w:val="right"/>
            </w:pPr>
            <w:r w:rsidRPr="005B0796">
              <w:t>41.7</w:t>
            </w:r>
          </w:p>
        </w:tc>
        <w:tc>
          <w:tcPr>
            <w:tcW w:w="1585" w:type="dxa"/>
            <w:hideMark/>
          </w:tcPr>
          <w:p w:rsidR="007247A9" w:rsidRPr="005B0796" w:rsidRDefault="007247A9" w:rsidP="00014A40">
            <w:pPr>
              <w:pStyle w:val="TableText"/>
              <w:jc w:val="right"/>
            </w:pPr>
            <w:r w:rsidRPr="005B0796">
              <w:t xml:space="preserve"> (40.7, 42.8)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NCO</w:t>
            </w:r>
          </w:p>
        </w:tc>
        <w:tc>
          <w:tcPr>
            <w:tcW w:w="1584" w:type="dxa"/>
            <w:hideMark/>
          </w:tcPr>
          <w:p w:rsidR="007247A9" w:rsidRPr="005B0796" w:rsidRDefault="007247A9" w:rsidP="00014A40">
            <w:pPr>
              <w:pStyle w:val="TableText"/>
              <w:jc w:val="right"/>
            </w:pPr>
            <w:r w:rsidRPr="005B0796">
              <w:t>2097</w:t>
            </w:r>
          </w:p>
        </w:tc>
        <w:tc>
          <w:tcPr>
            <w:tcW w:w="1585" w:type="dxa"/>
            <w:hideMark/>
          </w:tcPr>
          <w:p w:rsidR="007247A9" w:rsidRPr="005B0796" w:rsidRDefault="007247A9" w:rsidP="00014A40">
            <w:pPr>
              <w:pStyle w:val="TableText"/>
              <w:jc w:val="right"/>
            </w:pPr>
            <w:r w:rsidRPr="005B0796">
              <w:t>48.5</w:t>
            </w:r>
          </w:p>
        </w:tc>
        <w:tc>
          <w:tcPr>
            <w:tcW w:w="1585" w:type="dxa"/>
            <w:hideMark/>
          </w:tcPr>
          <w:p w:rsidR="007247A9" w:rsidRPr="005B0796" w:rsidRDefault="007247A9" w:rsidP="00014A40">
            <w:pPr>
              <w:pStyle w:val="TableText"/>
              <w:jc w:val="right"/>
            </w:pPr>
            <w:r w:rsidRPr="005B0796">
              <w:t xml:space="preserve"> (47.0, 50.0) </w:t>
            </w:r>
          </w:p>
        </w:tc>
        <w:tc>
          <w:tcPr>
            <w:tcW w:w="1584" w:type="dxa"/>
            <w:hideMark/>
          </w:tcPr>
          <w:p w:rsidR="007247A9" w:rsidRPr="005B0796" w:rsidRDefault="007247A9" w:rsidP="00014A40">
            <w:pPr>
              <w:pStyle w:val="TableText"/>
              <w:jc w:val="right"/>
            </w:pPr>
            <w:r w:rsidRPr="005B0796">
              <w:t>4336</w:t>
            </w:r>
          </w:p>
        </w:tc>
        <w:tc>
          <w:tcPr>
            <w:tcW w:w="1585" w:type="dxa"/>
            <w:hideMark/>
          </w:tcPr>
          <w:p w:rsidR="007247A9" w:rsidRPr="005B0796" w:rsidRDefault="007247A9" w:rsidP="00014A40">
            <w:pPr>
              <w:pStyle w:val="TableText"/>
              <w:jc w:val="right"/>
            </w:pPr>
            <w:r w:rsidRPr="005B0796">
              <w:t>51.1</w:t>
            </w:r>
          </w:p>
        </w:tc>
        <w:tc>
          <w:tcPr>
            <w:tcW w:w="1585" w:type="dxa"/>
            <w:hideMark/>
          </w:tcPr>
          <w:p w:rsidR="007247A9" w:rsidRPr="005B0796" w:rsidRDefault="007247A9" w:rsidP="00014A40">
            <w:pPr>
              <w:pStyle w:val="TableText"/>
              <w:jc w:val="right"/>
            </w:pPr>
            <w:r w:rsidRPr="005B0796">
              <w:t xml:space="preserve"> (50.1, 52.2) </w:t>
            </w:r>
          </w:p>
        </w:tc>
      </w:tr>
      <w:tr w:rsidR="00014A40" w:rsidRPr="005B0796" w:rsidTr="00014A40">
        <w:trPr>
          <w:cantSplit/>
        </w:trPr>
        <w:tc>
          <w:tcPr>
            <w:tcW w:w="1998" w:type="dxa"/>
            <w:hideMark/>
          </w:tcPr>
          <w:p w:rsidR="007247A9" w:rsidRPr="005B0796" w:rsidRDefault="007247A9" w:rsidP="00014A40">
            <w:pPr>
              <w:pStyle w:val="TableText"/>
              <w:ind w:left="144"/>
            </w:pPr>
            <w:r w:rsidRPr="005B0796">
              <w:t xml:space="preserve">Other </w:t>
            </w:r>
            <w:r w:rsidR="00751C86" w:rsidRPr="005B0796">
              <w:t>Ranks</w:t>
            </w:r>
          </w:p>
        </w:tc>
        <w:tc>
          <w:tcPr>
            <w:tcW w:w="1584" w:type="dxa"/>
            <w:hideMark/>
          </w:tcPr>
          <w:p w:rsidR="007247A9" w:rsidRPr="005B0796" w:rsidRDefault="007247A9" w:rsidP="00014A40">
            <w:pPr>
              <w:pStyle w:val="TableText"/>
              <w:jc w:val="right"/>
            </w:pPr>
            <w:r w:rsidRPr="005B0796">
              <w:t>970</w:t>
            </w:r>
          </w:p>
        </w:tc>
        <w:tc>
          <w:tcPr>
            <w:tcW w:w="1585" w:type="dxa"/>
            <w:hideMark/>
          </w:tcPr>
          <w:p w:rsidR="007247A9" w:rsidRPr="005B0796" w:rsidRDefault="007247A9" w:rsidP="00014A40">
            <w:pPr>
              <w:pStyle w:val="TableText"/>
              <w:jc w:val="right"/>
            </w:pPr>
            <w:r w:rsidRPr="005B0796">
              <w:t>22.4</w:t>
            </w:r>
          </w:p>
        </w:tc>
        <w:tc>
          <w:tcPr>
            <w:tcW w:w="1585" w:type="dxa"/>
            <w:hideMark/>
          </w:tcPr>
          <w:p w:rsidR="007247A9" w:rsidRPr="005B0796" w:rsidRDefault="007247A9" w:rsidP="00014A40">
            <w:pPr>
              <w:pStyle w:val="TableText"/>
              <w:jc w:val="right"/>
            </w:pPr>
            <w:r w:rsidRPr="005B0796">
              <w:t xml:space="preserve"> (21.2, 23.7) </w:t>
            </w:r>
          </w:p>
        </w:tc>
        <w:tc>
          <w:tcPr>
            <w:tcW w:w="1584" w:type="dxa"/>
            <w:hideMark/>
          </w:tcPr>
          <w:p w:rsidR="007247A9" w:rsidRPr="005B0796" w:rsidRDefault="007247A9" w:rsidP="00014A40">
            <w:pPr>
              <w:pStyle w:val="TableText"/>
              <w:jc w:val="right"/>
            </w:pPr>
            <w:r w:rsidRPr="005B0796">
              <w:t>606</w:t>
            </w:r>
          </w:p>
        </w:tc>
        <w:tc>
          <w:tcPr>
            <w:tcW w:w="1585" w:type="dxa"/>
            <w:hideMark/>
          </w:tcPr>
          <w:p w:rsidR="007247A9" w:rsidRPr="005B0796" w:rsidRDefault="007247A9" w:rsidP="00014A40">
            <w:pPr>
              <w:pStyle w:val="TableText"/>
              <w:jc w:val="right"/>
            </w:pPr>
            <w:r w:rsidRPr="005B0796">
              <w:t>7.2</w:t>
            </w:r>
          </w:p>
        </w:tc>
        <w:tc>
          <w:tcPr>
            <w:tcW w:w="1585" w:type="dxa"/>
            <w:hideMark/>
          </w:tcPr>
          <w:p w:rsidR="007247A9" w:rsidRPr="005B0796" w:rsidRDefault="007247A9" w:rsidP="00014A40">
            <w:pPr>
              <w:pStyle w:val="TableText"/>
              <w:jc w:val="right"/>
            </w:pPr>
            <w:r w:rsidRPr="005B0796">
              <w:t xml:space="preserve"> (6.6, 7.7)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rPr>
                <w:b/>
              </w:rPr>
            </w:pPr>
            <w:r w:rsidRPr="005B0796">
              <w:rPr>
                <w:b/>
              </w:rPr>
              <w:t>Service</w:t>
            </w: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r>
      <w:tr w:rsidR="00014A40" w:rsidRPr="005B0796" w:rsidTr="00014A40">
        <w:trPr>
          <w:cantSplit/>
        </w:trPr>
        <w:tc>
          <w:tcPr>
            <w:tcW w:w="1998" w:type="dxa"/>
            <w:hideMark/>
          </w:tcPr>
          <w:p w:rsidR="007247A9" w:rsidRPr="005B0796" w:rsidRDefault="007247A9" w:rsidP="00014A40">
            <w:pPr>
              <w:pStyle w:val="TableText"/>
              <w:ind w:left="144"/>
            </w:pPr>
            <w:r w:rsidRPr="005B0796">
              <w:t>Navy</w:t>
            </w:r>
          </w:p>
        </w:tc>
        <w:tc>
          <w:tcPr>
            <w:tcW w:w="1584" w:type="dxa"/>
            <w:hideMark/>
          </w:tcPr>
          <w:p w:rsidR="007247A9" w:rsidRPr="005B0796" w:rsidRDefault="007247A9" w:rsidP="00014A40">
            <w:pPr>
              <w:pStyle w:val="TableText"/>
              <w:jc w:val="right"/>
            </w:pPr>
            <w:r w:rsidRPr="005B0796">
              <w:t>863</w:t>
            </w:r>
          </w:p>
        </w:tc>
        <w:tc>
          <w:tcPr>
            <w:tcW w:w="1585" w:type="dxa"/>
            <w:hideMark/>
          </w:tcPr>
          <w:p w:rsidR="007247A9" w:rsidRPr="005B0796" w:rsidRDefault="007247A9" w:rsidP="00014A40">
            <w:pPr>
              <w:pStyle w:val="TableText"/>
              <w:jc w:val="right"/>
            </w:pPr>
            <w:r w:rsidRPr="005B0796">
              <w:t>19.9</w:t>
            </w:r>
          </w:p>
        </w:tc>
        <w:tc>
          <w:tcPr>
            <w:tcW w:w="1585" w:type="dxa"/>
            <w:hideMark/>
          </w:tcPr>
          <w:p w:rsidR="007247A9" w:rsidRPr="005B0796" w:rsidRDefault="007247A9" w:rsidP="00014A40">
            <w:pPr>
              <w:pStyle w:val="TableText"/>
              <w:jc w:val="right"/>
            </w:pPr>
            <w:r w:rsidRPr="005B0796">
              <w:t xml:space="preserve"> (18.8, 21.2) </w:t>
            </w:r>
          </w:p>
        </w:tc>
        <w:tc>
          <w:tcPr>
            <w:tcW w:w="1584" w:type="dxa"/>
            <w:hideMark/>
          </w:tcPr>
          <w:p w:rsidR="007247A9" w:rsidRPr="005B0796" w:rsidRDefault="007247A9" w:rsidP="00014A40">
            <w:pPr>
              <w:pStyle w:val="TableText"/>
              <w:jc w:val="right"/>
            </w:pPr>
            <w:r w:rsidRPr="005B0796">
              <w:t>2940</w:t>
            </w:r>
          </w:p>
        </w:tc>
        <w:tc>
          <w:tcPr>
            <w:tcW w:w="1585" w:type="dxa"/>
            <w:hideMark/>
          </w:tcPr>
          <w:p w:rsidR="007247A9" w:rsidRPr="005B0796" w:rsidRDefault="007247A9" w:rsidP="00014A40">
            <w:pPr>
              <w:pStyle w:val="TableText"/>
              <w:jc w:val="right"/>
            </w:pPr>
            <w:r w:rsidRPr="005B0796">
              <w:t>34.7</w:t>
            </w:r>
          </w:p>
        </w:tc>
        <w:tc>
          <w:tcPr>
            <w:tcW w:w="1585" w:type="dxa"/>
            <w:hideMark/>
          </w:tcPr>
          <w:p w:rsidR="007247A9" w:rsidRPr="005B0796" w:rsidRDefault="007247A9" w:rsidP="00014A40">
            <w:pPr>
              <w:pStyle w:val="TableText"/>
              <w:jc w:val="right"/>
            </w:pPr>
            <w:r w:rsidRPr="005B0796">
              <w:t xml:space="preserve"> (33.7, 35.7)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Army</w:t>
            </w:r>
          </w:p>
        </w:tc>
        <w:tc>
          <w:tcPr>
            <w:tcW w:w="1584" w:type="dxa"/>
            <w:hideMark/>
          </w:tcPr>
          <w:p w:rsidR="007247A9" w:rsidRPr="005B0796" w:rsidRDefault="007247A9" w:rsidP="00014A40">
            <w:pPr>
              <w:pStyle w:val="TableText"/>
              <w:jc w:val="right"/>
            </w:pPr>
            <w:r w:rsidRPr="005B0796">
              <w:t>2463</w:t>
            </w:r>
          </w:p>
        </w:tc>
        <w:tc>
          <w:tcPr>
            <w:tcW w:w="1585" w:type="dxa"/>
            <w:hideMark/>
          </w:tcPr>
          <w:p w:rsidR="007247A9" w:rsidRPr="005B0796" w:rsidRDefault="007247A9" w:rsidP="00014A40">
            <w:pPr>
              <w:pStyle w:val="TableText"/>
              <w:jc w:val="right"/>
            </w:pPr>
            <w:r w:rsidRPr="005B0796">
              <w:t>56.9</w:t>
            </w:r>
          </w:p>
        </w:tc>
        <w:tc>
          <w:tcPr>
            <w:tcW w:w="1585" w:type="dxa"/>
            <w:hideMark/>
          </w:tcPr>
          <w:p w:rsidR="007247A9" w:rsidRPr="005B0796" w:rsidRDefault="007247A9" w:rsidP="00014A40">
            <w:pPr>
              <w:pStyle w:val="TableText"/>
              <w:jc w:val="right"/>
            </w:pPr>
            <w:r w:rsidRPr="005B0796">
              <w:t xml:space="preserve"> (55.5, 58.4) </w:t>
            </w:r>
          </w:p>
        </w:tc>
        <w:tc>
          <w:tcPr>
            <w:tcW w:w="1584" w:type="dxa"/>
            <w:hideMark/>
          </w:tcPr>
          <w:p w:rsidR="007247A9" w:rsidRPr="005B0796" w:rsidRDefault="007247A9" w:rsidP="00014A40">
            <w:pPr>
              <w:pStyle w:val="TableText"/>
              <w:jc w:val="right"/>
            </w:pPr>
            <w:r w:rsidRPr="005B0796">
              <w:t>3500</w:t>
            </w:r>
          </w:p>
        </w:tc>
        <w:tc>
          <w:tcPr>
            <w:tcW w:w="1585" w:type="dxa"/>
            <w:hideMark/>
          </w:tcPr>
          <w:p w:rsidR="007247A9" w:rsidRPr="005B0796" w:rsidRDefault="007247A9" w:rsidP="00014A40">
            <w:pPr>
              <w:pStyle w:val="TableText"/>
              <w:jc w:val="right"/>
            </w:pPr>
            <w:r w:rsidRPr="005B0796">
              <w:t>41.3</w:t>
            </w:r>
          </w:p>
        </w:tc>
        <w:tc>
          <w:tcPr>
            <w:tcW w:w="1585" w:type="dxa"/>
            <w:hideMark/>
          </w:tcPr>
          <w:p w:rsidR="007247A9" w:rsidRPr="005B0796" w:rsidRDefault="007247A9" w:rsidP="00014A40">
            <w:pPr>
              <w:pStyle w:val="TableText"/>
              <w:jc w:val="right"/>
            </w:pPr>
            <w:r w:rsidRPr="005B0796">
              <w:t xml:space="preserve"> (40.2, 42.3) </w:t>
            </w:r>
          </w:p>
        </w:tc>
      </w:tr>
      <w:tr w:rsidR="00014A40" w:rsidRPr="005B0796" w:rsidTr="00014A40">
        <w:trPr>
          <w:cantSplit/>
        </w:trPr>
        <w:tc>
          <w:tcPr>
            <w:tcW w:w="1998" w:type="dxa"/>
            <w:hideMark/>
          </w:tcPr>
          <w:p w:rsidR="007247A9" w:rsidRPr="005B0796" w:rsidRDefault="007247A9" w:rsidP="00014A40">
            <w:pPr>
              <w:pStyle w:val="TableText"/>
              <w:ind w:left="144"/>
            </w:pPr>
            <w:r w:rsidRPr="005B0796">
              <w:t>Air Force</w:t>
            </w:r>
          </w:p>
        </w:tc>
        <w:tc>
          <w:tcPr>
            <w:tcW w:w="1584" w:type="dxa"/>
            <w:hideMark/>
          </w:tcPr>
          <w:p w:rsidR="007247A9" w:rsidRPr="005B0796" w:rsidRDefault="007247A9" w:rsidP="00014A40">
            <w:pPr>
              <w:pStyle w:val="TableText"/>
              <w:jc w:val="right"/>
            </w:pPr>
            <w:r w:rsidRPr="005B0796">
              <w:t>1000</w:t>
            </w:r>
          </w:p>
        </w:tc>
        <w:tc>
          <w:tcPr>
            <w:tcW w:w="1585" w:type="dxa"/>
            <w:hideMark/>
          </w:tcPr>
          <w:p w:rsidR="007247A9" w:rsidRPr="005B0796" w:rsidRDefault="007247A9" w:rsidP="00014A40">
            <w:pPr>
              <w:pStyle w:val="TableText"/>
              <w:jc w:val="right"/>
            </w:pPr>
            <w:r w:rsidRPr="005B0796">
              <w:t>23.1</w:t>
            </w:r>
          </w:p>
        </w:tc>
        <w:tc>
          <w:tcPr>
            <w:tcW w:w="1585" w:type="dxa"/>
            <w:hideMark/>
          </w:tcPr>
          <w:p w:rsidR="007247A9" w:rsidRPr="005B0796" w:rsidRDefault="007247A9" w:rsidP="00014A40">
            <w:pPr>
              <w:pStyle w:val="TableText"/>
              <w:jc w:val="right"/>
            </w:pPr>
            <w:r w:rsidRPr="005B0796">
              <w:t xml:space="preserve"> (21.9, 24.4) </w:t>
            </w:r>
          </w:p>
        </w:tc>
        <w:tc>
          <w:tcPr>
            <w:tcW w:w="1584" w:type="dxa"/>
            <w:hideMark/>
          </w:tcPr>
          <w:p w:rsidR="007247A9" w:rsidRPr="005B0796" w:rsidRDefault="007247A9" w:rsidP="00014A40">
            <w:pPr>
              <w:pStyle w:val="TableText"/>
              <w:jc w:val="right"/>
            </w:pPr>
            <w:r w:rsidRPr="005B0796">
              <w:t>2040</w:t>
            </w:r>
          </w:p>
        </w:tc>
        <w:tc>
          <w:tcPr>
            <w:tcW w:w="1585" w:type="dxa"/>
            <w:hideMark/>
          </w:tcPr>
          <w:p w:rsidR="007247A9" w:rsidRPr="005B0796" w:rsidRDefault="007247A9" w:rsidP="00014A40">
            <w:pPr>
              <w:pStyle w:val="TableText"/>
              <w:jc w:val="right"/>
            </w:pPr>
            <w:r w:rsidRPr="005B0796">
              <w:t>24.1</w:t>
            </w:r>
          </w:p>
        </w:tc>
        <w:tc>
          <w:tcPr>
            <w:tcW w:w="1585" w:type="dxa"/>
            <w:hideMark/>
          </w:tcPr>
          <w:p w:rsidR="007247A9" w:rsidRPr="005B0796" w:rsidRDefault="007247A9" w:rsidP="00014A40">
            <w:pPr>
              <w:pStyle w:val="TableText"/>
              <w:jc w:val="right"/>
            </w:pPr>
            <w:r w:rsidRPr="005B0796">
              <w:t xml:space="preserve"> (23.2, 25.0)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rPr>
                <w:b/>
              </w:rPr>
            </w:pPr>
            <w:r w:rsidRPr="005B0796">
              <w:rPr>
                <w:b/>
              </w:rPr>
              <w:t xml:space="preserve">Medical </w:t>
            </w:r>
            <w:r w:rsidR="00014A40" w:rsidRPr="005B0796">
              <w:rPr>
                <w:b/>
              </w:rPr>
              <w:t>fitness</w:t>
            </w: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4"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c>
          <w:tcPr>
            <w:tcW w:w="1585" w:type="dxa"/>
          </w:tcPr>
          <w:p w:rsidR="007247A9" w:rsidRPr="005B0796" w:rsidRDefault="007247A9" w:rsidP="00014A40">
            <w:pPr>
              <w:pStyle w:val="TableText"/>
              <w:jc w:val="right"/>
            </w:pPr>
          </w:p>
        </w:tc>
      </w:tr>
      <w:tr w:rsidR="00014A40" w:rsidRPr="005B0796" w:rsidTr="00014A40">
        <w:trPr>
          <w:cantSplit/>
        </w:trPr>
        <w:tc>
          <w:tcPr>
            <w:tcW w:w="1998" w:type="dxa"/>
            <w:hideMark/>
          </w:tcPr>
          <w:p w:rsidR="007247A9" w:rsidRPr="005B0796" w:rsidRDefault="007247A9" w:rsidP="00014A40">
            <w:pPr>
              <w:pStyle w:val="TableText"/>
              <w:ind w:left="144"/>
            </w:pPr>
            <w:r w:rsidRPr="005B0796">
              <w:t>Fit</w:t>
            </w:r>
          </w:p>
        </w:tc>
        <w:tc>
          <w:tcPr>
            <w:tcW w:w="1584" w:type="dxa"/>
            <w:hideMark/>
          </w:tcPr>
          <w:p w:rsidR="007247A9" w:rsidRPr="005B0796" w:rsidRDefault="007247A9" w:rsidP="00014A40">
            <w:pPr>
              <w:pStyle w:val="TableText"/>
              <w:jc w:val="right"/>
            </w:pPr>
            <w:r w:rsidRPr="005B0796">
              <w:t>2981</w:t>
            </w:r>
          </w:p>
        </w:tc>
        <w:tc>
          <w:tcPr>
            <w:tcW w:w="1585" w:type="dxa"/>
            <w:hideMark/>
          </w:tcPr>
          <w:p w:rsidR="007247A9" w:rsidRPr="005B0796" w:rsidRDefault="007247A9" w:rsidP="00014A40">
            <w:pPr>
              <w:pStyle w:val="TableText"/>
              <w:jc w:val="right"/>
            </w:pPr>
            <w:r w:rsidRPr="005B0796">
              <w:t>68.9</w:t>
            </w:r>
          </w:p>
        </w:tc>
        <w:tc>
          <w:tcPr>
            <w:tcW w:w="1585" w:type="dxa"/>
            <w:hideMark/>
          </w:tcPr>
          <w:p w:rsidR="007247A9" w:rsidRPr="005B0796" w:rsidRDefault="007247A9" w:rsidP="00014A40">
            <w:pPr>
              <w:pStyle w:val="TableText"/>
              <w:jc w:val="right"/>
            </w:pPr>
            <w:r w:rsidRPr="005B0796">
              <w:t xml:space="preserve"> (67.5, 70.3) </w:t>
            </w:r>
          </w:p>
        </w:tc>
        <w:tc>
          <w:tcPr>
            <w:tcW w:w="1584" w:type="dxa"/>
            <w:hideMark/>
          </w:tcPr>
          <w:p w:rsidR="007247A9" w:rsidRPr="005B0796" w:rsidRDefault="007247A9" w:rsidP="00014A40">
            <w:pPr>
              <w:pStyle w:val="TableText"/>
              <w:jc w:val="right"/>
            </w:pPr>
            <w:r w:rsidRPr="005B0796">
              <w:t>7116</w:t>
            </w:r>
          </w:p>
        </w:tc>
        <w:tc>
          <w:tcPr>
            <w:tcW w:w="1585" w:type="dxa"/>
            <w:hideMark/>
          </w:tcPr>
          <w:p w:rsidR="007247A9" w:rsidRPr="005B0796" w:rsidRDefault="007247A9" w:rsidP="00014A40">
            <w:pPr>
              <w:pStyle w:val="TableText"/>
              <w:jc w:val="right"/>
            </w:pPr>
            <w:r w:rsidRPr="005B0796">
              <w:t>83.9</w:t>
            </w:r>
          </w:p>
        </w:tc>
        <w:tc>
          <w:tcPr>
            <w:tcW w:w="1585" w:type="dxa"/>
            <w:hideMark/>
          </w:tcPr>
          <w:p w:rsidR="007247A9" w:rsidRPr="005B0796" w:rsidRDefault="007247A9" w:rsidP="00014A40">
            <w:pPr>
              <w:pStyle w:val="TableText"/>
              <w:jc w:val="right"/>
            </w:pPr>
            <w:r w:rsidRPr="005B0796">
              <w:t xml:space="preserve"> (83.1, 84.7) </w:t>
            </w:r>
          </w:p>
        </w:tc>
      </w:tr>
      <w:tr w:rsidR="007247A9"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rsidR="007247A9" w:rsidRPr="005B0796" w:rsidRDefault="007247A9" w:rsidP="00014A40">
            <w:pPr>
              <w:pStyle w:val="TableText"/>
              <w:ind w:left="144"/>
            </w:pPr>
            <w:r w:rsidRPr="005B0796">
              <w:t>Unfit</w:t>
            </w:r>
          </w:p>
        </w:tc>
        <w:tc>
          <w:tcPr>
            <w:tcW w:w="1584" w:type="dxa"/>
            <w:hideMark/>
          </w:tcPr>
          <w:p w:rsidR="007247A9" w:rsidRPr="005B0796" w:rsidRDefault="007247A9" w:rsidP="00014A40">
            <w:pPr>
              <w:pStyle w:val="TableText"/>
              <w:jc w:val="right"/>
            </w:pPr>
            <w:r w:rsidRPr="005B0796">
              <w:t>1345</w:t>
            </w:r>
          </w:p>
        </w:tc>
        <w:tc>
          <w:tcPr>
            <w:tcW w:w="1585" w:type="dxa"/>
            <w:hideMark/>
          </w:tcPr>
          <w:p w:rsidR="007247A9" w:rsidRPr="005B0796" w:rsidRDefault="007247A9" w:rsidP="00014A40">
            <w:pPr>
              <w:pStyle w:val="TableText"/>
              <w:jc w:val="right"/>
            </w:pPr>
            <w:r w:rsidRPr="005B0796">
              <w:t>31.1</w:t>
            </w:r>
          </w:p>
        </w:tc>
        <w:tc>
          <w:tcPr>
            <w:tcW w:w="1585" w:type="dxa"/>
            <w:hideMark/>
          </w:tcPr>
          <w:p w:rsidR="007247A9" w:rsidRPr="005B0796" w:rsidRDefault="007247A9" w:rsidP="00014A40">
            <w:pPr>
              <w:pStyle w:val="TableText"/>
              <w:jc w:val="right"/>
            </w:pPr>
            <w:r w:rsidRPr="005B0796">
              <w:t xml:space="preserve"> (29.7, 32.5) </w:t>
            </w:r>
          </w:p>
        </w:tc>
        <w:tc>
          <w:tcPr>
            <w:tcW w:w="1584" w:type="dxa"/>
            <w:hideMark/>
          </w:tcPr>
          <w:p w:rsidR="007247A9" w:rsidRPr="005B0796" w:rsidRDefault="007247A9" w:rsidP="00014A40">
            <w:pPr>
              <w:pStyle w:val="TableText"/>
              <w:jc w:val="right"/>
            </w:pPr>
            <w:r w:rsidRPr="005B0796">
              <w:t>1364</w:t>
            </w:r>
          </w:p>
        </w:tc>
        <w:tc>
          <w:tcPr>
            <w:tcW w:w="1585" w:type="dxa"/>
            <w:hideMark/>
          </w:tcPr>
          <w:p w:rsidR="007247A9" w:rsidRPr="005B0796" w:rsidRDefault="007247A9" w:rsidP="00014A40">
            <w:pPr>
              <w:pStyle w:val="TableText"/>
              <w:jc w:val="right"/>
            </w:pPr>
            <w:r w:rsidRPr="005B0796">
              <w:t>16.1</w:t>
            </w:r>
          </w:p>
        </w:tc>
        <w:tc>
          <w:tcPr>
            <w:tcW w:w="1585" w:type="dxa"/>
            <w:hideMark/>
          </w:tcPr>
          <w:p w:rsidR="007247A9" w:rsidRPr="005B0796" w:rsidRDefault="007247A9" w:rsidP="00014A40">
            <w:pPr>
              <w:pStyle w:val="TableText"/>
              <w:jc w:val="right"/>
            </w:pPr>
            <w:r w:rsidRPr="005B0796">
              <w:t xml:space="preserve"> (15.3, 16.9) </w:t>
            </w:r>
          </w:p>
        </w:tc>
      </w:tr>
    </w:tbl>
    <w:p w:rsidR="007247A9" w:rsidRPr="005B0796" w:rsidRDefault="007247A9" w:rsidP="0013232E">
      <w:pPr>
        <w:pStyle w:val="TableNotes"/>
        <w:rPr>
          <w:bCs/>
        </w:rPr>
      </w:pPr>
      <w:r w:rsidRPr="005B0796">
        <w:t>Response Rate Denominator: those who were invited and responded to the survey</w:t>
      </w:r>
      <w:r w:rsidR="00014A40" w:rsidRPr="005B0796">
        <w:t xml:space="preserve">. </w:t>
      </w:r>
      <w:r w:rsidRPr="005B0796">
        <w:t>Note</w:t>
      </w:r>
      <w:r w:rsidR="00014A40" w:rsidRPr="005B0796">
        <w:t>s</w:t>
      </w:r>
      <w:r w:rsidRPr="005B0796">
        <w:t>: Unweighted data</w:t>
      </w:r>
      <w:r w:rsidR="00014A40" w:rsidRPr="005B0796">
        <w:t xml:space="preserve">; </w:t>
      </w:r>
      <w:r w:rsidRPr="005B0796">
        <w:rPr>
          <w:bCs/>
        </w:rPr>
        <w:t>95%</w:t>
      </w:r>
      <w:r w:rsidR="00AA5E9D">
        <w:rPr>
          <w:bCs/>
        </w:rPr>
        <w:t xml:space="preserve"> </w:t>
      </w:r>
      <w:r w:rsidRPr="005B0796">
        <w:rPr>
          <w:bCs/>
        </w:rPr>
        <w:t xml:space="preserve">CI: 95% </w:t>
      </w:r>
      <w:r w:rsidR="00564689" w:rsidRPr="005B0796">
        <w:rPr>
          <w:bCs/>
        </w:rPr>
        <w:t>confidence interval</w:t>
      </w:r>
    </w:p>
    <w:p w:rsidR="00D123CA" w:rsidRPr="005B0796" w:rsidRDefault="00D123CA" w:rsidP="00D123CA">
      <w:pPr>
        <w:sectPr w:rsidR="00D123CA" w:rsidRPr="005B0796" w:rsidSect="00BE66A5">
          <w:headerReference w:type="default" r:id="rId22"/>
          <w:footerReference w:type="even" r:id="rId23"/>
          <w:footerReference w:type="default" r:id="rId24"/>
          <w:pgSz w:w="14170" w:h="9979" w:orient="landscape" w:code="243"/>
          <w:pgMar w:top="1872" w:right="1440" w:bottom="1152" w:left="1440" w:header="576" w:footer="576" w:gutter="0"/>
          <w:cols w:space="708"/>
          <w:docGrid w:linePitch="360"/>
        </w:sectPr>
      </w:pPr>
    </w:p>
    <w:p w:rsidR="00371BEB" w:rsidRPr="005B0796" w:rsidRDefault="00371BEB" w:rsidP="0013232E">
      <w:pPr>
        <w:pStyle w:val="Heading3"/>
      </w:pPr>
      <w:bookmarkStart w:id="119" w:name="_Toc482021322"/>
      <w:bookmarkStart w:id="120" w:name="_Toc482024413"/>
      <w:bookmarkStart w:id="121" w:name="_Toc487011178"/>
      <w:bookmarkStart w:id="122" w:name="_Toc494449694"/>
      <w:bookmarkStart w:id="123" w:name="_Toc511900276"/>
      <w:bookmarkEnd w:id="114"/>
      <w:bookmarkEnd w:id="115"/>
      <w:bookmarkEnd w:id="116"/>
      <w:bookmarkEnd w:id="117"/>
      <w:r w:rsidRPr="005B0796">
        <w:t>Composite International Diagnostic Interview responders</w:t>
      </w:r>
      <w:bookmarkEnd w:id="119"/>
      <w:bookmarkEnd w:id="120"/>
      <w:bookmarkEnd w:id="121"/>
      <w:bookmarkEnd w:id="122"/>
      <w:bookmarkEnd w:id="123"/>
    </w:p>
    <w:p w:rsidR="00371BEB" w:rsidRPr="005B0796" w:rsidRDefault="00371BEB" w:rsidP="0013232E">
      <w:pPr>
        <w:rPr>
          <w:szCs w:val="22"/>
        </w:rPr>
      </w:pPr>
      <w:r w:rsidRPr="005B0796">
        <w:t>A total of 1807 Transitioned ADF members who completed a self-report survey and provided appropriate consent were selected to participate in t</w:t>
      </w:r>
      <w:bookmarkStart w:id="124" w:name="_Hlk489431460"/>
      <w:r w:rsidRPr="005B0796">
        <w:t xml:space="preserve">he CIDI </w:t>
      </w:r>
      <w:bookmarkEnd w:id="124"/>
      <w:r w:rsidRPr="005B0796">
        <w:t>telephone interview. Phase 1 of selection was based on whether the participant consented to be contacted for a telephone interview about their mental health. Phase</w:t>
      </w:r>
      <w:r w:rsidR="00014A40" w:rsidRPr="005B0796">
        <w:t> </w:t>
      </w:r>
      <w:r w:rsidRPr="005B0796">
        <w:t xml:space="preserve">2 of selection for the CIDI was </w:t>
      </w:r>
      <w:r w:rsidRPr="005B0796">
        <w:rPr>
          <w:szCs w:val="22"/>
        </w:rPr>
        <w:t>determined according to screening scores, which are described in more detail in section 2.5.</w:t>
      </w:r>
    </w:p>
    <w:p w:rsidR="00014A40" w:rsidRPr="005B0796" w:rsidRDefault="00014A40" w:rsidP="00014A40">
      <w:pPr>
        <w:pStyle w:val="TableName"/>
        <w:rPr>
          <w:rFonts w:eastAsia="MS Mincho"/>
        </w:rPr>
      </w:pPr>
      <w:bookmarkStart w:id="125" w:name="_Toc511900397"/>
      <w:bookmarkStart w:id="126" w:name="_Ref484517291"/>
      <w:bookmarkStart w:id="127" w:name="_Toc482023759"/>
      <w:bookmarkStart w:id="128" w:name="_Toc487014245"/>
      <w:bookmarkStart w:id="129" w:name="_Toc49299554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2</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w:t>
      </w:r>
      <w:r w:rsidR="00D30A3C">
        <w:rPr>
          <w:noProof/>
        </w:rPr>
        <w:fldChar w:fldCharType="end"/>
      </w:r>
      <w:r w:rsidRPr="005B0796">
        <w:tab/>
        <w:t>CIDI response rates for Transitioned ADF</w:t>
      </w:r>
      <w:r w:rsidR="00AA5E9D">
        <w:t>,</w:t>
      </w:r>
      <w:r w:rsidRPr="005B0796">
        <w:t xml:space="preserve"> by Service, sex, rank and MEC status</w:t>
      </w:r>
      <w:bookmarkEnd w:id="125"/>
    </w:p>
    <w:tbl>
      <w:tblPr>
        <w:tblStyle w:val="TWRPTable"/>
        <w:tblW w:w="5000" w:type="pct"/>
        <w:tblLayout w:type="fixed"/>
        <w:tblLook w:val="04A0" w:firstRow="1" w:lastRow="0" w:firstColumn="1" w:lastColumn="0" w:noHBand="0" w:noVBand="1"/>
        <w:tblDescription w:val="Table 2.3 CIDI response rates for Transitioned ADF by Service, sex, rank and MEC status"/>
      </w:tblPr>
      <w:tblGrid>
        <w:gridCol w:w="1548"/>
        <w:gridCol w:w="1441"/>
        <w:gridCol w:w="1442"/>
        <w:gridCol w:w="1442"/>
        <w:gridCol w:w="1442"/>
      </w:tblGrid>
      <w:tr w:rsidR="00014A40" w:rsidRPr="005B0796" w:rsidTr="00014A40">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single" w:sz="4" w:space="0" w:color="000000"/>
              <w:bottom w:val="nil"/>
            </w:tcBorders>
          </w:tcPr>
          <w:p w:rsidR="00014A40" w:rsidRPr="005B0796" w:rsidRDefault="00014A40" w:rsidP="000B335D">
            <w:pPr>
              <w:pStyle w:val="TableText"/>
            </w:pPr>
          </w:p>
        </w:tc>
        <w:tc>
          <w:tcPr>
            <w:tcW w:w="5767" w:type="dxa"/>
            <w:gridSpan w:val="4"/>
            <w:hideMark/>
          </w:tcPr>
          <w:p w:rsidR="00014A40" w:rsidRPr="005B0796" w:rsidRDefault="00014A40" w:rsidP="000B335D">
            <w:pPr>
              <w:pStyle w:val="TableText"/>
              <w:jc w:val="center"/>
            </w:pPr>
            <w:r w:rsidRPr="005B0796">
              <w:t xml:space="preserve">Transitioned ADF CIDI </w:t>
            </w:r>
            <w:r w:rsidRPr="005B0796">
              <w:br/>
              <w:t>n = 1807 (selected); n = 1049 (responded)</w:t>
            </w:r>
          </w:p>
        </w:tc>
      </w:tr>
      <w:tr w:rsidR="00014A40" w:rsidRPr="005B0796" w:rsidTr="00014A40">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nil"/>
            </w:tcBorders>
          </w:tcPr>
          <w:p w:rsidR="00014A40" w:rsidRPr="005B0796" w:rsidRDefault="00014A40" w:rsidP="000B335D">
            <w:pPr>
              <w:pStyle w:val="TableText"/>
            </w:pPr>
          </w:p>
        </w:tc>
        <w:tc>
          <w:tcPr>
            <w:tcW w:w="1441" w:type="dxa"/>
            <w:hideMark/>
          </w:tcPr>
          <w:p w:rsidR="00014A40" w:rsidRPr="005B0796" w:rsidRDefault="00014A40" w:rsidP="000B335D">
            <w:pPr>
              <w:pStyle w:val="TableText"/>
              <w:jc w:val="right"/>
            </w:pPr>
            <w:r w:rsidRPr="005B0796">
              <w:t>Population</w:t>
            </w:r>
          </w:p>
        </w:tc>
        <w:tc>
          <w:tcPr>
            <w:tcW w:w="1442" w:type="dxa"/>
            <w:hideMark/>
          </w:tcPr>
          <w:p w:rsidR="00014A40" w:rsidRPr="005B0796" w:rsidRDefault="00014A40" w:rsidP="000B335D">
            <w:pPr>
              <w:pStyle w:val="TableText"/>
              <w:jc w:val="right"/>
            </w:pPr>
            <w:r w:rsidRPr="005B0796">
              <w:t>Selected</w:t>
            </w:r>
          </w:p>
        </w:tc>
        <w:tc>
          <w:tcPr>
            <w:tcW w:w="1442" w:type="dxa"/>
            <w:hideMark/>
          </w:tcPr>
          <w:p w:rsidR="00014A40" w:rsidRPr="005B0796" w:rsidRDefault="00014A40" w:rsidP="000B335D">
            <w:pPr>
              <w:pStyle w:val="TableText"/>
              <w:jc w:val="right"/>
            </w:pPr>
            <w:r w:rsidRPr="005B0796">
              <w:t>Responders</w:t>
            </w:r>
          </w:p>
        </w:tc>
        <w:tc>
          <w:tcPr>
            <w:tcW w:w="1442" w:type="dxa"/>
            <w:hideMark/>
          </w:tcPr>
          <w:p w:rsidR="00014A40" w:rsidRPr="005B0796" w:rsidRDefault="00014A40" w:rsidP="000B335D">
            <w:pPr>
              <w:pStyle w:val="TableText"/>
              <w:jc w:val="right"/>
            </w:pPr>
            <w:r w:rsidRPr="005B0796">
              <w:t>Response rate (%)</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rPr>
                <w:b/>
              </w:rPr>
            </w:pPr>
            <w:r w:rsidRPr="005B0796">
              <w:rPr>
                <w:b/>
              </w:rPr>
              <w:t>Sex</w:t>
            </w:r>
          </w:p>
        </w:tc>
        <w:tc>
          <w:tcPr>
            <w:tcW w:w="1441"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r>
      <w:tr w:rsidR="00014A40" w:rsidRPr="005B0796" w:rsidTr="00014A40">
        <w:trPr>
          <w:cantSplit/>
        </w:trPr>
        <w:tc>
          <w:tcPr>
            <w:tcW w:w="1548" w:type="dxa"/>
            <w:hideMark/>
          </w:tcPr>
          <w:p w:rsidR="00014A40" w:rsidRPr="005B0796" w:rsidRDefault="00014A40" w:rsidP="000B335D">
            <w:pPr>
              <w:pStyle w:val="TableText"/>
              <w:ind w:left="144"/>
            </w:pPr>
            <w:r w:rsidRPr="005B0796">
              <w:t>Male</w:t>
            </w:r>
          </w:p>
        </w:tc>
        <w:tc>
          <w:tcPr>
            <w:tcW w:w="1441" w:type="dxa"/>
            <w:hideMark/>
          </w:tcPr>
          <w:p w:rsidR="00014A40" w:rsidRPr="005B0796" w:rsidRDefault="00014A40" w:rsidP="000B335D">
            <w:pPr>
              <w:pStyle w:val="TableText"/>
              <w:jc w:val="right"/>
            </w:pPr>
            <w:r w:rsidRPr="005B0796">
              <w:t>21,671</w:t>
            </w:r>
          </w:p>
        </w:tc>
        <w:tc>
          <w:tcPr>
            <w:tcW w:w="1442" w:type="dxa"/>
            <w:hideMark/>
          </w:tcPr>
          <w:p w:rsidR="00014A40" w:rsidRPr="005B0796" w:rsidRDefault="00014A40" w:rsidP="000B335D">
            <w:pPr>
              <w:pStyle w:val="TableText"/>
              <w:jc w:val="right"/>
            </w:pPr>
            <w:r w:rsidRPr="005B0796">
              <w:t>1511</w:t>
            </w:r>
          </w:p>
        </w:tc>
        <w:tc>
          <w:tcPr>
            <w:tcW w:w="1442" w:type="dxa"/>
            <w:hideMark/>
          </w:tcPr>
          <w:p w:rsidR="00014A40" w:rsidRPr="005B0796" w:rsidRDefault="00014A40" w:rsidP="000B335D">
            <w:pPr>
              <w:pStyle w:val="TableText"/>
              <w:jc w:val="right"/>
            </w:pPr>
            <w:r w:rsidRPr="005B0796">
              <w:t>901</w:t>
            </w:r>
          </w:p>
        </w:tc>
        <w:tc>
          <w:tcPr>
            <w:tcW w:w="1442" w:type="dxa"/>
            <w:hideMark/>
          </w:tcPr>
          <w:p w:rsidR="00014A40" w:rsidRPr="005B0796" w:rsidRDefault="00014A40" w:rsidP="000B335D">
            <w:pPr>
              <w:pStyle w:val="TableText"/>
              <w:jc w:val="right"/>
            </w:pPr>
            <w:r w:rsidRPr="005B0796">
              <w:t>59.6</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Female</w:t>
            </w:r>
          </w:p>
        </w:tc>
        <w:tc>
          <w:tcPr>
            <w:tcW w:w="1441" w:type="dxa"/>
            <w:hideMark/>
          </w:tcPr>
          <w:p w:rsidR="00014A40" w:rsidRPr="005B0796" w:rsidRDefault="00014A40" w:rsidP="000B335D">
            <w:pPr>
              <w:pStyle w:val="TableText"/>
              <w:jc w:val="right"/>
            </w:pPr>
            <w:r w:rsidRPr="005B0796">
              <w:t>3261</w:t>
            </w:r>
          </w:p>
        </w:tc>
        <w:tc>
          <w:tcPr>
            <w:tcW w:w="1442" w:type="dxa"/>
            <w:hideMark/>
          </w:tcPr>
          <w:p w:rsidR="00014A40" w:rsidRPr="005B0796" w:rsidRDefault="00014A40" w:rsidP="000B335D">
            <w:pPr>
              <w:pStyle w:val="TableText"/>
              <w:jc w:val="right"/>
            </w:pPr>
            <w:r w:rsidRPr="005B0796">
              <w:t>284</w:t>
            </w:r>
          </w:p>
        </w:tc>
        <w:tc>
          <w:tcPr>
            <w:tcW w:w="1442" w:type="dxa"/>
            <w:hideMark/>
          </w:tcPr>
          <w:p w:rsidR="00014A40" w:rsidRPr="005B0796" w:rsidRDefault="00014A40" w:rsidP="000B335D">
            <w:pPr>
              <w:pStyle w:val="TableText"/>
              <w:jc w:val="right"/>
            </w:pPr>
            <w:r w:rsidRPr="005B0796">
              <w:t>142</w:t>
            </w:r>
          </w:p>
        </w:tc>
        <w:tc>
          <w:tcPr>
            <w:tcW w:w="1442" w:type="dxa"/>
            <w:hideMark/>
          </w:tcPr>
          <w:p w:rsidR="00014A40" w:rsidRPr="005B0796" w:rsidRDefault="00014A40" w:rsidP="000B335D">
            <w:pPr>
              <w:pStyle w:val="TableText"/>
              <w:jc w:val="right"/>
            </w:pPr>
            <w:r w:rsidRPr="005B0796">
              <w:t>50.0</w:t>
            </w:r>
          </w:p>
        </w:tc>
      </w:tr>
      <w:tr w:rsidR="00014A40" w:rsidRPr="005B0796" w:rsidTr="00014A40">
        <w:trPr>
          <w:cantSplit/>
        </w:trPr>
        <w:tc>
          <w:tcPr>
            <w:tcW w:w="1548" w:type="dxa"/>
            <w:hideMark/>
          </w:tcPr>
          <w:p w:rsidR="00014A40" w:rsidRPr="005B0796" w:rsidRDefault="00014A40" w:rsidP="000B335D">
            <w:pPr>
              <w:pStyle w:val="TableText"/>
              <w:ind w:left="144"/>
            </w:pPr>
            <w:r w:rsidRPr="005B0796">
              <w:t>Missing</w:t>
            </w:r>
          </w:p>
        </w:tc>
        <w:tc>
          <w:tcPr>
            <w:tcW w:w="1441" w:type="dxa"/>
          </w:tcPr>
          <w:p w:rsidR="00014A40" w:rsidRPr="005B0796" w:rsidRDefault="00014A40" w:rsidP="000B335D">
            <w:pPr>
              <w:pStyle w:val="TableText"/>
              <w:jc w:val="right"/>
            </w:pPr>
          </w:p>
        </w:tc>
        <w:tc>
          <w:tcPr>
            <w:tcW w:w="1442" w:type="dxa"/>
            <w:hideMark/>
          </w:tcPr>
          <w:p w:rsidR="00014A40" w:rsidRPr="005B0796" w:rsidRDefault="00014A40" w:rsidP="000B335D">
            <w:pPr>
              <w:pStyle w:val="TableText"/>
              <w:jc w:val="right"/>
            </w:pPr>
            <w:r w:rsidRPr="005B0796">
              <w:t>12</w:t>
            </w:r>
          </w:p>
        </w:tc>
        <w:tc>
          <w:tcPr>
            <w:tcW w:w="1442" w:type="dxa"/>
            <w:hideMark/>
          </w:tcPr>
          <w:p w:rsidR="00014A40" w:rsidRPr="005B0796" w:rsidRDefault="00014A40" w:rsidP="000B335D">
            <w:pPr>
              <w:pStyle w:val="TableText"/>
              <w:jc w:val="right"/>
            </w:pPr>
            <w:r w:rsidRPr="005B0796">
              <w:t>6</w:t>
            </w:r>
          </w:p>
        </w:tc>
        <w:tc>
          <w:tcPr>
            <w:tcW w:w="1442" w:type="dxa"/>
            <w:hideMark/>
          </w:tcPr>
          <w:p w:rsidR="00014A40" w:rsidRPr="005B0796" w:rsidRDefault="00014A40" w:rsidP="000B335D">
            <w:pPr>
              <w:pStyle w:val="TableText"/>
              <w:jc w:val="right"/>
            </w:pPr>
            <w:r w:rsidRPr="005B0796">
              <w:t>50.0</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rPr>
                <w:b/>
              </w:rPr>
            </w:pPr>
            <w:r w:rsidRPr="005B0796">
              <w:rPr>
                <w:b/>
              </w:rPr>
              <w:t>Rank</w:t>
            </w:r>
          </w:p>
        </w:tc>
        <w:tc>
          <w:tcPr>
            <w:tcW w:w="1441"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r>
      <w:tr w:rsidR="00014A40" w:rsidRPr="005B0796" w:rsidTr="00014A40">
        <w:trPr>
          <w:cantSplit/>
        </w:trPr>
        <w:tc>
          <w:tcPr>
            <w:tcW w:w="1548" w:type="dxa"/>
            <w:hideMark/>
          </w:tcPr>
          <w:p w:rsidR="00014A40" w:rsidRPr="005B0796" w:rsidRDefault="00014A40" w:rsidP="000B335D">
            <w:pPr>
              <w:pStyle w:val="TableText"/>
              <w:ind w:left="144"/>
            </w:pPr>
            <w:r w:rsidRPr="005B0796">
              <w:t>OFFR</w:t>
            </w:r>
          </w:p>
        </w:tc>
        <w:tc>
          <w:tcPr>
            <w:tcW w:w="1441" w:type="dxa"/>
            <w:hideMark/>
          </w:tcPr>
          <w:p w:rsidR="00014A40" w:rsidRPr="005B0796" w:rsidRDefault="00014A40" w:rsidP="000B335D">
            <w:pPr>
              <w:pStyle w:val="TableText"/>
              <w:jc w:val="right"/>
            </w:pPr>
            <w:r w:rsidRPr="005B0796">
              <w:t>4063</w:t>
            </w:r>
          </w:p>
        </w:tc>
        <w:tc>
          <w:tcPr>
            <w:tcW w:w="1442" w:type="dxa"/>
            <w:hideMark/>
          </w:tcPr>
          <w:p w:rsidR="00014A40" w:rsidRPr="005B0796" w:rsidRDefault="00014A40" w:rsidP="000B335D">
            <w:pPr>
              <w:pStyle w:val="TableText"/>
              <w:jc w:val="right"/>
            </w:pPr>
            <w:r w:rsidRPr="005B0796">
              <w:t>566</w:t>
            </w:r>
          </w:p>
        </w:tc>
        <w:tc>
          <w:tcPr>
            <w:tcW w:w="1442" w:type="dxa"/>
            <w:hideMark/>
          </w:tcPr>
          <w:p w:rsidR="00014A40" w:rsidRPr="005B0796" w:rsidRDefault="00014A40" w:rsidP="000B335D">
            <w:pPr>
              <w:pStyle w:val="TableText"/>
              <w:jc w:val="right"/>
            </w:pPr>
            <w:r w:rsidRPr="005B0796">
              <w:t>364</w:t>
            </w:r>
          </w:p>
        </w:tc>
        <w:tc>
          <w:tcPr>
            <w:tcW w:w="1442" w:type="dxa"/>
            <w:hideMark/>
          </w:tcPr>
          <w:p w:rsidR="00014A40" w:rsidRPr="005B0796" w:rsidRDefault="00014A40" w:rsidP="000B335D">
            <w:pPr>
              <w:pStyle w:val="TableText"/>
              <w:jc w:val="right"/>
            </w:pPr>
            <w:r w:rsidRPr="005B0796">
              <w:t>64.3</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NCO</w:t>
            </w:r>
          </w:p>
        </w:tc>
        <w:tc>
          <w:tcPr>
            <w:tcW w:w="1441" w:type="dxa"/>
            <w:hideMark/>
          </w:tcPr>
          <w:p w:rsidR="00014A40" w:rsidRPr="005B0796" w:rsidRDefault="00014A40" w:rsidP="000B335D">
            <w:pPr>
              <w:pStyle w:val="TableText"/>
              <w:jc w:val="right"/>
            </w:pPr>
            <w:r w:rsidRPr="005B0796">
              <w:t>7866</w:t>
            </w:r>
          </w:p>
        </w:tc>
        <w:tc>
          <w:tcPr>
            <w:tcW w:w="1442" w:type="dxa"/>
            <w:hideMark/>
          </w:tcPr>
          <w:p w:rsidR="00014A40" w:rsidRPr="005B0796" w:rsidRDefault="00014A40" w:rsidP="000B335D">
            <w:pPr>
              <w:pStyle w:val="TableText"/>
              <w:jc w:val="right"/>
            </w:pPr>
            <w:r w:rsidRPr="005B0796">
              <w:t>914</w:t>
            </w:r>
          </w:p>
        </w:tc>
        <w:tc>
          <w:tcPr>
            <w:tcW w:w="1442" w:type="dxa"/>
            <w:hideMark/>
          </w:tcPr>
          <w:p w:rsidR="00014A40" w:rsidRPr="005B0796" w:rsidRDefault="00014A40" w:rsidP="000B335D">
            <w:pPr>
              <w:pStyle w:val="TableText"/>
              <w:jc w:val="right"/>
            </w:pPr>
            <w:r w:rsidRPr="005B0796">
              <w:t>546</w:t>
            </w:r>
          </w:p>
        </w:tc>
        <w:tc>
          <w:tcPr>
            <w:tcW w:w="1442" w:type="dxa"/>
            <w:hideMark/>
          </w:tcPr>
          <w:p w:rsidR="00014A40" w:rsidRPr="005B0796" w:rsidRDefault="00014A40" w:rsidP="000B335D">
            <w:pPr>
              <w:pStyle w:val="TableText"/>
              <w:jc w:val="right"/>
            </w:pPr>
            <w:r w:rsidRPr="005B0796">
              <w:t>59.7</w:t>
            </w:r>
          </w:p>
        </w:tc>
      </w:tr>
      <w:tr w:rsidR="00014A40" w:rsidRPr="005B0796" w:rsidTr="00014A40">
        <w:trPr>
          <w:cantSplit/>
        </w:trPr>
        <w:tc>
          <w:tcPr>
            <w:tcW w:w="1548" w:type="dxa"/>
            <w:hideMark/>
          </w:tcPr>
          <w:p w:rsidR="00014A40" w:rsidRPr="005B0796" w:rsidRDefault="00014A40" w:rsidP="000B335D">
            <w:pPr>
              <w:pStyle w:val="TableText"/>
              <w:ind w:left="144"/>
            </w:pPr>
            <w:r w:rsidRPr="005B0796">
              <w:t xml:space="preserve">Other </w:t>
            </w:r>
            <w:r w:rsidR="00751C86" w:rsidRPr="005B0796">
              <w:t>Ranks</w:t>
            </w:r>
          </w:p>
        </w:tc>
        <w:tc>
          <w:tcPr>
            <w:tcW w:w="1441" w:type="dxa"/>
            <w:hideMark/>
          </w:tcPr>
          <w:p w:rsidR="00014A40" w:rsidRPr="005B0796" w:rsidRDefault="00014A40" w:rsidP="000B335D">
            <w:pPr>
              <w:pStyle w:val="TableText"/>
              <w:jc w:val="right"/>
            </w:pPr>
            <w:r w:rsidRPr="005B0796">
              <w:t>13,003</w:t>
            </w:r>
          </w:p>
        </w:tc>
        <w:tc>
          <w:tcPr>
            <w:tcW w:w="1442" w:type="dxa"/>
            <w:hideMark/>
          </w:tcPr>
          <w:p w:rsidR="00014A40" w:rsidRPr="005B0796" w:rsidRDefault="00014A40" w:rsidP="000B335D">
            <w:pPr>
              <w:pStyle w:val="TableText"/>
              <w:jc w:val="right"/>
            </w:pPr>
            <w:r w:rsidRPr="005B0796">
              <w:t>326</w:t>
            </w:r>
          </w:p>
        </w:tc>
        <w:tc>
          <w:tcPr>
            <w:tcW w:w="1442" w:type="dxa"/>
            <w:hideMark/>
          </w:tcPr>
          <w:p w:rsidR="00014A40" w:rsidRPr="005B0796" w:rsidRDefault="00014A40" w:rsidP="000B335D">
            <w:pPr>
              <w:pStyle w:val="TableText"/>
              <w:jc w:val="right"/>
            </w:pPr>
            <w:r w:rsidRPr="005B0796">
              <w:t>139</w:t>
            </w:r>
          </w:p>
        </w:tc>
        <w:tc>
          <w:tcPr>
            <w:tcW w:w="1442" w:type="dxa"/>
            <w:hideMark/>
          </w:tcPr>
          <w:p w:rsidR="00014A40" w:rsidRPr="005B0796" w:rsidRDefault="00014A40" w:rsidP="000B335D">
            <w:pPr>
              <w:pStyle w:val="TableText"/>
              <w:jc w:val="right"/>
            </w:pPr>
            <w:r w:rsidRPr="005B0796">
              <w:t>42.6</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Missing</w:t>
            </w:r>
          </w:p>
        </w:tc>
        <w:tc>
          <w:tcPr>
            <w:tcW w:w="1441" w:type="dxa"/>
          </w:tcPr>
          <w:p w:rsidR="00014A40" w:rsidRPr="005B0796" w:rsidRDefault="00014A40" w:rsidP="000B335D">
            <w:pPr>
              <w:pStyle w:val="TableText"/>
              <w:jc w:val="right"/>
            </w:pPr>
          </w:p>
        </w:tc>
        <w:tc>
          <w:tcPr>
            <w:tcW w:w="1442" w:type="dxa"/>
            <w:hideMark/>
          </w:tcPr>
          <w:p w:rsidR="00014A40" w:rsidRPr="005B0796" w:rsidRDefault="00014A40" w:rsidP="000B335D">
            <w:pPr>
              <w:pStyle w:val="TableText"/>
              <w:jc w:val="right"/>
            </w:pPr>
            <w:r w:rsidRPr="005B0796">
              <w:t>1</w:t>
            </w:r>
          </w:p>
        </w:tc>
        <w:tc>
          <w:tcPr>
            <w:tcW w:w="1442" w:type="dxa"/>
            <w:hideMark/>
          </w:tcPr>
          <w:p w:rsidR="00014A40" w:rsidRPr="005B0796" w:rsidRDefault="00014A40" w:rsidP="000B335D">
            <w:pPr>
              <w:pStyle w:val="TableText"/>
              <w:jc w:val="right"/>
            </w:pPr>
            <w:r w:rsidRPr="005B0796">
              <w:t>0</w:t>
            </w:r>
          </w:p>
        </w:tc>
        <w:tc>
          <w:tcPr>
            <w:tcW w:w="1442" w:type="dxa"/>
            <w:hideMark/>
          </w:tcPr>
          <w:p w:rsidR="00014A40" w:rsidRPr="005B0796" w:rsidRDefault="00014A40" w:rsidP="000B335D">
            <w:pPr>
              <w:pStyle w:val="TableText"/>
              <w:jc w:val="right"/>
            </w:pPr>
            <w:r w:rsidRPr="005B0796">
              <w:t>0</w:t>
            </w:r>
          </w:p>
        </w:tc>
      </w:tr>
      <w:tr w:rsidR="00014A40" w:rsidRPr="005B0796" w:rsidTr="00014A40">
        <w:trPr>
          <w:cantSplit/>
        </w:trPr>
        <w:tc>
          <w:tcPr>
            <w:tcW w:w="1548" w:type="dxa"/>
            <w:hideMark/>
          </w:tcPr>
          <w:p w:rsidR="00014A40" w:rsidRPr="005B0796" w:rsidRDefault="00014A40" w:rsidP="000B335D">
            <w:pPr>
              <w:pStyle w:val="TableText"/>
              <w:rPr>
                <w:b/>
              </w:rPr>
            </w:pPr>
            <w:r w:rsidRPr="005B0796">
              <w:rPr>
                <w:b/>
              </w:rPr>
              <w:t>Service</w:t>
            </w:r>
          </w:p>
        </w:tc>
        <w:tc>
          <w:tcPr>
            <w:tcW w:w="1441"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Navy</w:t>
            </w:r>
          </w:p>
        </w:tc>
        <w:tc>
          <w:tcPr>
            <w:tcW w:w="1441" w:type="dxa"/>
            <w:hideMark/>
          </w:tcPr>
          <w:p w:rsidR="00014A40" w:rsidRPr="005B0796" w:rsidRDefault="00014A40" w:rsidP="000B335D">
            <w:pPr>
              <w:pStyle w:val="TableText"/>
              <w:jc w:val="right"/>
            </w:pPr>
            <w:r w:rsidRPr="005B0796">
              <w:t>5671</w:t>
            </w:r>
          </w:p>
        </w:tc>
        <w:tc>
          <w:tcPr>
            <w:tcW w:w="1442" w:type="dxa"/>
            <w:hideMark/>
          </w:tcPr>
          <w:p w:rsidR="00014A40" w:rsidRPr="005B0796" w:rsidRDefault="00014A40" w:rsidP="000B335D">
            <w:pPr>
              <w:pStyle w:val="TableText"/>
              <w:jc w:val="right"/>
            </w:pPr>
            <w:r w:rsidRPr="005B0796">
              <w:t>357</w:t>
            </w:r>
          </w:p>
        </w:tc>
        <w:tc>
          <w:tcPr>
            <w:tcW w:w="1442" w:type="dxa"/>
            <w:hideMark/>
          </w:tcPr>
          <w:p w:rsidR="00014A40" w:rsidRPr="005B0796" w:rsidRDefault="00014A40" w:rsidP="000B335D">
            <w:pPr>
              <w:pStyle w:val="TableText"/>
              <w:jc w:val="right"/>
            </w:pPr>
            <w:r w:rsidRPr="005B0796">
              <w:t>198</w:t>
            </w:r>
          </w:p>
        </w:tc>
        <w:tc>
          <w:tcPr>
            <w:tcW w:w="1442" w:type="dxa"/>
            <w:hideMark/>
          </w:tcPr>
          <w:p w:rsidR="00014A40" w:rsidRPr="005B0796" w:rsidRDefault="00014A40" w:rsidP="000B335D">
            <w:pPr>
              <w:pStyle w:val="TableText"/>
              <w:jc w:val="right"/>
            </w:pPr>
            <w:r w:rsidRPr="005B0796">
              <w:t>55.5</w:t>
            </w:r>
          </w:p>
        </w:tc>
      </w:tr>
      <w:tr w:rsidR="00014A40" w:rsidRPr="005B0796" w:rsidTr="00014A40">
        <w:trPr>
          <w:cantSplit/>
        </w:trPr>
        <w:tc>
          <w:tcPr>
            <w:tcW w:w="1548" w:type="dxa"/>
            <w:hideMark/>
          </w:tcPr>
          <w:p w:rsidR="00014A40" w:rsidRPr="005B0796" w:rsidRDefault="00014A40" w:rsidP="000B335D">
            <w:pPr>
              <w:pStyle w:val="TableText"/>
              <w:ind w:left="144"/>
            </w:pPr>
            <w:r w:rsidRPr="005B0796">
              <w:t>Army</w:t>
            </w:r>
          </w:p>
        </w:tc>
        <w:tc>
          <w:tcPr>
            <w:tcW w:w="1441" w:type="dxa"/>
            <w:hideMark/>
          </w:tcPr>
          <w:p w:rsidR="00014A40" w:rsidRPr="005B0796" w:rsidRDefault="00014A40" w:rsidP="000B335D">
            <w:pPr>
              <w:pStyle w:val="TableText"/>
              <w:jc w:val="right"/>
            </w:pPr>
            <w:r w:rsidRPr="005B0796">
              <w:t>15,038</w:t>
            </w:r>
          </w:p>
        </w:tc>
        <w:tc>
          <w:tcPr>
            <w:tcW w:w="1442" w:type="dxa"/>
            <w:hideMark/>
          </w:tcPr>
          <w:p w:rsidR="00014A40" w:rsidRPr="005B0796" w:rsidRDefault="00014A40" w:rsidP="000B335D">
            <w:pPr>
              <w:pStyle w:val="TableText"/>
              <w:jc w:val="right"/>
            </w:pPr>
            <w:r w:rsidRPr="005B0796">
              <w:t>1029</w:t>
            </w:r>
          </w:p>
        </w:tc>
        <w:tc>
          <w:tcPr>
            <w:tcW w:w="1442" w:type="dxa"/>
            <w:hideMark/>
          </w:tcPr>
          <w:p w:rsidR="00014A40" w:rsidRPr="005B0796" w:rsidRDefault="00014A40" w:rsidP="000B335D">
            <w:pPr>
              <w:pStyle w:val="TableText"/>
              <w:jc w:val="right"/>
            </w:pPr>
            <w:r w:rsidRPr="005B0796">
              <w:t>586</w:t>
            </w:r>
          </w:p>
        </w:tc>
        <w:tc>
          <w:tcPr>
            <w:tcW w:w="1442" w:type="dxa"/>
            <w:hideMark/>
          </w:tcPr>
          <w:p w:rsidR="00014A40" w:rsidRPr="005B0796" w:rsidRDefault="00014A40" w:rsidP="000B335D">
            <w:pPr>
              <w:pStyle w:val="TableText"/>
              <w:jc w:val="right"/>
            </w:pPr>
            <w:r w:rsidRPr="005B0796">
              <w:t>56.9</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Air Force</w:t>
            </w:r>
          </w:p>
        </w:tc>
        <w:tc>
          <w:tcPr>
            <w:tcW w:w="1441" w:type="dxa"/>
            <w:hideMark/>
          </w:tcPr>
          <w:p w:rsidR="00014A40" w:rsidRPr="005B0796" w:rsidRDefault="00014A40" w:rsidP="000B335D">
            <w:pPr>
              <w:pStyle w:val="TableText"/>
              <w:jc w:val="right"/>
            </w:pPr>
            <w:r w:rsidRPr="005B0796">
              <w:t>4223</w:t>
            </w:r>
          </w:p>
        </w:tc>
        <w:tc>
          <w:tcPr>
            <w:tcW w:w="1442" w:type="dxa"/>
            <w:hideMark/>
          </w:tcPr>
          <w:p w:rsidR="00014A40" w:rsidRPr="005B0796" w:rsidRDefault="00014A40" w:rsidP="000B335D">
            <w:pPr>
              <w:pStyle w:val="TableText"/>
              <w:jc w:val="right"/>
            </w:pPr>
            <w:r w:rsidRPr="005B0796">
              <w:t>421</w:t>
            </w:r>
          </w:p>
        </w:tc>
        <w:tc>
          <w:tcPr>
            <w:tcW w:w="1442" w:type="dxa"/>
            <w:hideMark/>
          </w:tcPr>
          <w:p w:rsidR="00014A40" w:rsidRPr="005B0796" w:rsidRDefault="00014A40" w:rsidP="000B335D">
            <w:pPr>
              <w:pStyle w:val="TableText"/>
              <w:jc w:val="right"/>
            </w:pPr>
            <w:r w:rsidRPr="005B0796">
              <w:t>265</w:t>
            </w:r>
          </w:p>
        </w:tc>
        <w:tc>
          <w:tcPr>
            <w:tcW w:w="1442" w:type="dxa"/>
            <w:hideMark/>
          </w:tcPr>
          <w:p w:rsidR="00014A40" w:rsidRPr="005B0796" w:rsidRDefault="00014A40" w:rsidP="000B335D">
            <w:pPr>
              <w:pStyle w:val="TableText"/>
              <w:jc w:val="right"/>
            </w:pPr>
            <w:r w:rsidRPr="005B0796">
              <w:t>62.9</w:t>
            </w:r>
          </w:p>
        </w:tc>
      </w:tr>
      <w:tr w:rsidR="00014A40" w:rsidRPr="005B0796" w:rsidTr="00014A40">
        <w:trPr>
          <w:cantSplit/>
        </w:trPr>
        <w:tc>
          <w:tcPr>
            <w:tcW w:w="1548" w:type="dxa"/>
            <w:hideMark/>
          </w:tcPr>
          <w:p w:rsidR="00014A40" w:rsidRPr="005B0796" w:rsidRDefault="00014A40" w:rsidP="000B335D">
            <w:pPr>
              <w:pStyle w:val="TableText"/>
              <w:rPr>
                <w:b/>
              </w:rPr>
            </w:pPr>
            <w:r w:rsidRPr="005B0796">
              <w:rPr>
                <w:b/>
              </w:rPr>
              <w:t>Medical fitness</w:t>
            </w:r>
          </w:p>
        </w:tc>
        <w:tc>
          <w:tcPr>
            <w:tcW w:w="1441"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c>
          <w:tcPr>
            <w:tcW w:w="1442" w:type="dxa"/>
          </w:tcPr>
          <w:p w:rsidR="00014A40" w:rsidRPr="005B0796" w:rsidRDefault="00014A40" w:rsidP="000B335D">
            <w:pPr>
              <w:pStyle w:val="TableText"/>
              <w:jc w:val="right"/>
            </w:pP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Fit</w:t>
            </w:r>
          </w:p>
        </w:tc>
        <w:tc>
          <w:tcPr>
            <w:tcW w:w="1441" w:type="dxa"/>
            <w:hideMark/>
          </w:tcPr>
          <w:p w:rsidR="00014A40" w:rsidRPr="005B0796" w:rsidRDefault="00014A40" w:rsidP="000B335D">
            <w:pPr>
              <w:pStyle w:val="TableText"/>
              <w:jc w:val="right"/>
            </w:pPr>
            <w:r w:rsidRPr="005B0796">
              <w:t>18,273</w:t>
            </w:r>
          </w:p>
        </w:tc>
        <w:tc>
          <w:tcPr>
            <w:tcW w:w="1442" w:type="dxa"/>
            <w:hideMark/>
          </w:tcPr>
          <w:p w:rsidR="00014A40" w:rsidRPr="005B0796" w:rsidRDefault="00014A40" w:rsidP="000B335D">
            <w:pPr>
              <w:pStyle w:val="TableText"/>
              <w:jc w:val="right"/>
            </w:pPr>
            <w:r w:rsidRPr="005B0796">
              <w:t>1185</w:t>
            </w:r>
          </w:p>
        </w:tc>
        <w:tc>
          <w:tcPr>
            <w:tcW w:w="1442" w:type="dxa"/>
            <w:hideMark/>
          </w:tcPr>
          <w:p w:rsidR="00014A40" w:rsidRPr="005B0796" w:rsidRDefault="00014A40" w:rsidP="000B335D">
            <w:pPr>
              <w:pStyle w:val="TableText"/>
              <w:jc w:val="right"/>
            </w:pPr>
            <w:r w:rsidRPr="005B0796">
              <w:t>711</w:t>
            </w:r>
          </w:p>
        </w:tc>
        <w:tc>
          <w:tcPr>
            <w:tcW w:w="1442" w:type="dxa"/>
            <w:hideMark/>
          </w:tcPr>
          <w:p w:rsidR="00014A40" w:rsidRPr="005B0796" w:rsidRDefault="00014A40" w:rsidP="000B335D">
            <w:pPr>
              <w:pStyle w:val="TableText"/>
              <w:jc w:val="right"/>
            </w:pPr>
            <w:r w:rsidRPr="005B0796">
              <w:t>60.0</w:t>
            </w:r>
          </w:p>
        </w:tc>
      </w:tr>
      <w:tr w:rsidR="00014A40" w:rsidRPr="005B0796" w:rsidTr="00014A40">
        <w:trPr>
          <w:cantSplit/>
        </w:trPr>
        <w:tc>
          <w:tcPr>
            <w:tcW w:w="1548" w:type="dxa"/>
            <w:hideMark/>
          </w:tcPr>
          <w:p w:rsidR="00014A40" w:rsidRPr="005B0796" w:rsidRDefault="00014A40" w:rsidP="000B335D">
            <w:pPr>
              <w:pStyle w:val="TableText"/>
              <w:ind w:left="144"/>
            </w:pPr>
            <w:r w:rsidRPr="005B0796">
              <w:t>Unfit</w:t>
            </w:r>
          </w:p>
        </w:tc>
        <w:tc>
          <w:tcPr>
            <w:tcW w:w="1441" w:type="dxa"/>
            <w:hideMark/>
          </w:tcPr>
          <w:p w:rsidR="00014A40" w:rsidRPr="005B0796" w:rsidRDefault="00014A40" w:rsidP="000B335D">
            <w:pPr>
              <w:pStyle w:val="TableText"/>
              <w:jc w:val="right"/>
            </w:pPr>
            <w:r w:rsidRPr="005B0796">
              <w:t>6659</w:t>
            </w:r>
          </w:p>
        </w:tc>
        <w:tc>
          <w:tcPr>
            <w:tcW w:w="1442" w:type="dxa"/>
            <w:hideMark/>
          </w:tcPr>
          <w:p w:rsidR="00014A40" w:rsidRPr="005B0796" w:rsidRDefault="00014A40" w:rsidP="000B335D">
            <w:pPr>
              <w:pStyle w:val="TableText"/>
              <w:jc w:val="right"/>
            </w:pPr>
            <w:r w:rsidRPr="005B0796">
              <w:t>610</w:t>
            </w:r>
          </w:p>
        </w:tc>
        <w:tc>
          <w:tcPr>
            <w:tcW w:w="1442" w:type="dxa"/>
            <w:hideMark/>
          </w:tcPr>
          <w:p w:rsidR="00014A40" w:rsidRPr="005B0796" w:rsidRDefault="00014A40" w:rsidP="000B335D">
            <w:pPr>
              <w:pStyle w:val="TableText"/>
              <w:jc w:val="right"/>
            </w:pPr>
            <w:r w:rsidRPr="005B0796">
              <w:t>332</w:t>
            </w:r>
          </w:p>
        </w:tc>
        <w:tc>
          <w:tcPr>
            <w:tcW w:w="1442" w:type="dxa"/>
            <w:hideMark/>
          </w:tcPr>
          <w:p w:rsidR="00014A40" w:rsidRPr="005B0796" w:rsidRDefault="00014A40" w:rsidP="000B335D">
            <w:pPr>
              <w:pStyle w:val="TableText"/>
              <w:jc w:val="right"/>
            </w:pPr>
            <w:r w:rsidRPr="005B0796">
              <w:t>54.4</w:t>
            </w:r>
          </w:p>
        </w:tc>
      </w:tr>
      <w:tr w:rsidR="00014A40" w:rsidRPr="005B0796" w:rsidTr="00014A40">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014A40" w:rsidRPr="005B0796" w:rsidRDefault="00014A40" w:rsidP="000B335D">
            <w:pPr>
              <w:pStyle w:val="TableText"/>
              <w:ind w:left="144"/>
            </w:pPr>
            <w:r w:rsidRPr="005B0796">
              <w:t>Missing</w:t>
            </w:r>
          </w:p>
        </w:tc>
        <w:tc>
          <w:tcPr>
            <w:tcW w:w="1441" w:type="dxa"/>
          </w:tcPr>
          <w:p w:rsidR="00014A40" w:rsidRPr="005B0796" w:rsidRDefault="00014A40" w:rsidP="000B335D">
            <w:pPr>
              <w:pStyle w:val="TableText"/>
              <w:jc w:val="right"/>
            </w:pPr>
          </w:p>
        </w:tc>
        <w:tc>
          <w:tcPr>
            <w:tcW w:w="1442" w:type="dxa"/>
            <w:hideMark/>
          </w:tcPr>
          <w:p w:rsidR="00014A40" w:rsidRPr="005B0796" w:rsidRDefault="00014A40" w:rsidP="000B335D">
            <w:pPr>
              <w:pStyle w:val="TableText"/>
              <w:jc w:val="right"/>
            </w:pPr>
            <w:r w:rsidRPr="005B0796">
              <w:t>12</w:t>
            </w:r>
          </w:p>
        </w:tc>
        <w:tc>
          <w:tcPr>
            <w:tcW w:w="1442" w:type="dxa"/>
            <w:hideMark/>
          </w:tcPr>
          <w:p w:rsidR="00014A40" w:rsidRPr="005B0796" w:rsidRDefault="00014A40" w:rsidP="000B335D">
            <w:pPr>
              <w:pStyle w:val="TableText"/>
              <w:jc w:val="right"/>
            </w:pPr>
            <w:r w:rsidRPr="005B0796">
              <w:t>6</w:t>
            </w:r>
          </w:p>
        </w:tc>
        <w:tc>
          <w:tcPr>
            <w:tcW w:w="1442" w:type="dxa"/>
            <w:hideMark/>
          </w:tcPr>
          <w:p w:rsidR="00014A40" w:rsidRPr="005B0796" w:rsidRDefault="00014A40" w:rsidP="000B335D">
            <w:pPr>
              <w:pStyle w:val="TableText"/>
              <w:jc w:val="right"/>
            </w:pPr>
            <w:r w:rsidRPr="005B0796">
              <w:t>50.0</w:t>
            </w:r>
          </w:p>
        </w:tc>
      </w:tr>
      <w:tr w:rsidR="00014A40" w:rsidRPr="005B0796" w:rsidTr="00014A40">
        <w:trPr>
          <w:cantSplit/>
        </w:trPr>
        <w:tc>
          <w:tcPr>
            <w:tcW w:w="1548" w:type="dxa"/>
            <w:hideMark/>
          </w:tcPr>
          <w:p w:rsidR="00014A40" w:rsidRPr="005B0796" w:rsidRDefault="00014A40" w:rsidP="000B335D">
            <w:pPr>
              <w:pStyle w:val="TableText"/>
              <w:rPr>
                <w:b/>
              </w:rPr>
            </w:pPr>
            <w:r w:rsidRPr="005B0796">
              <w:rPr>
                <w:b/>
              </w:rPr>
              <w:t>Total</w:t>
            </w:r>
          </w:p>
        </w:tc>
        <w:tc>
          <w:tcPr>
            <w:tcW w:w="1441" w:type="dxa"/>
            <w:hideMark/>
          </w:tcPr>
          <w:p w:rsidR="00014A40" w:rsidRPr="005B0796" w:rsidRDefault="00014A40" w:rsidP="000B335D">
            <w:pPr>
              <w:pStyle w:val="TableText"/>
              <w:jc w:val="right"/>
            </w:pPr>
            <w:r w:rsidRPr="005B0796">
              <w:t>24,932</w:t>
            </w:r>
          </w:p>
        </w:tc>
        <w:tc>
          <w:tcPr>
            <w:tcW w:w="1442" w:type="dxa"/>
            <w:hideMark/>
          </w:tcPr>
          <w:p w:rsidR="00014A40" w:rsidRPr="005B0796" w:rsidRDefault="00014A40" w:rsidP="000B335D">
            <w:pPr>
              <w:pStyle w:val="TableText"/>
              <w:jc w:val="right"/>
            </w:pPr>
            <w:r w:rsidRPr="005B0796">
              <w:t>1807</w:t>
            </w:r>
          </w:p>
        </w:tc>
        <w:tc>
          <w:tcPr>
            <w:tcW w:w="1442" w:type="dxa"/>
            <w:hideMark/>
          </w:tcPr>
          <w:p w:rsidR="00014A40" w:rsidRPr="005B0796" w:rsidRDefault="00014A40" w:rsidP="000B335D">
            <w:pPr>
              <w:pStyle w:val="TableText"/>
              <w:jc w:val="right"/>
            </w:pPr>
            <w:r w:rsidRPr="005B0796">
              <w:t>1049</w:t>
            </w:r>
          </w:p>
        </w:tc>
        <w:tc>
          <w:tcPr>
            <w:tcW w:w="1442" w:type="dxa"/>
            <w:hideMark/>
          </w:tcPr>
          <w:p w:rsidR="00014A40" w:rsidRPr="005B0796" w:rsidRDefault="00014A40" w:rsidP="000B335D">
            <w:pPr>
              <w:pStyle w:val="TableText"/>
              <w:jc w:val="right"/>
            </w:pPr>
            <w:r w:rsidRPr="005B0796">
              <w:t>58.1</w:t>
            </w:r>
          </w:p>
        </w:tc>
      </w:tr>
    </w:tbl>
    <w:p w:rsidR="00014A40" w:rsidRPr="005B0796" w:rsidRDefault="00014A40" w:rsidP="00014A40">
      <w:pPr>
        <w:pStyle w:val="TableNotes"/>
      </w:pPr>
      <w:r w:rsidRPr="005B0796">
        <w:t>Response Rate Denominator: Transitioned ADF Invited to participate in the CIDI interview</w:t>
      </w:r>
    </w:p>
    <w:p w:rsidR="00014A40" w:rsidRPr="005B0796" w:rsidRDefault="00014A40" w:rsidP="00AA5E9D">
      <w:pPr>
        <w:pStyle w:val="TableNotes"/>
      </w:pPr>
      <w:r w:rsidRPr="005B0796">
        <w:t>Note</w:t>
      </w:r>
      <w:r w:rsidR="008C2520" w:rsidRPr="005B0796">
        <w:t>s</w:t>
      </w:r>
      <w:r w:rsidRPr="005B0796">
        <w:t>:</w:t>
      </w:r>
      <w:r w:rsidR="008C2520" w:rsidRPr="005B0796">
        <w:br/>
      </w:r>
      <w:r w:rsidRPr="005B0796">
        <w:t>Unweighted data</w:t>
      </w:r>
    </w:p>
    <w:bookmarkEnd w:id="126"/>
    <w:bookmarkEnd w:id="127"/>
    <w:bookmarkEnd w:id="128"/>
    <w:bookmarkEnd w:id="129"/>
    <w:p w:rsidR="00371BEB" w:rsidRPr="005B0796" w:rsidRDefault="00371BEB" w:rsidP="00014A40">
      <w:pPr>
        <w:keepNext/>
      </w:pPr>
      <w:r w:rsidRPr="005B0796">
        <w:t>The characteristics of Transitioned CIDI respondents were as follows:</w:t>
      </w:r>
    </w:p>
    <w:p w:rsidR="00371BEB" w:rsidRPr="005B0796" w:rsidRDefault="00371BEB" w:rsidP="004C7633">
      <w:r w:rsidRPr="005B0796">
        <w:rPr>
          <w:b/>
          <w:bCs/>
        </w:rPr>
        <w:t>Sex</w:t>
      </w:r>
      <w:r w:rsidRPr="005B0796">
        <w:t xml:space="preserve"> – Consistent with the Transitioned ADF population, the CIDI sample was predominantly male; however, transitioned females (50% of those invited) were less likely to complete a CIDI interview than transitioned males (59.6%).</w:t>
      </w:r>
    </w:p>
    <w:p w:rsidR="00371BEB" w:rsidRPr="005B0796" w:rsidRDefault="00371BEB" w:rsidP="004C7633">
      <w:r w:rsidRPr="005B0796">
        <w:rPr>
          <w:b/>
          <w:bCs/>
        </w:rPr>
        <w:t>Rank</w:t>
      </w:r>
      <w:r w:rsidRPr="005B0796">
        <w:t xml:space="preserve"> – CIDI responders comprised 34.7% Officers, 52.0% Non-Commissioned Officers and 13.3% Other Ranks. ADF members in Other Ranks had a significantly lower response rate (42.6%) compared to around 60% for those invited Non-Commissioned Officers and Officers who responded. </w:t>
      </w:r>
    </w:p>
    <w:p w:rsidR="00371BEB" w:rsidRPr="005B0796" w:rsidRDefault="00371BEB" w:rsidP="004C7633">
      <w:r w:rsidRPr="005B0796">
        <w:rPr>
          <w:b/>
          <w:bCs/>
        </w:rPr>
        <w:t xml:space="preserve">Service </w:t>
      </w:r>
      <w:r w:rsidRPr="005B0796">
        <w:rPr>
          <w:bCs/>
        </w:rPr>
        <w:t>–</w:t>
      </w:r>
      <w:r w:rsidRPr="005B0796">
        <w:t xml:space="preserve"> </w:t>
      </w:r>
      <w:r w:rsidR="00AA5E9D" w:rsidRPr="005B0796">
        <w:t xml:space="preserve">Of </w:t>
      </w:r>
      <w:r w:rsidRPr="005B0796">
        <w:t xml:space="preserve">CIDI responders, 18.9% were from the Navy, 55.9% the Army and 25.3% the Air Force. There was no significant difference between CIDI responders and non-responders in relation to </w:t>
      </w:r>
      <w:r w:rsidR="00AA5E9D" w:rsidRPr="005B0796">
        <w:t>Service</w:t>
      </w:r>
      <w:r w:rsidRPr="005B0796">
        <w:t xml:space="preserve">. </w:t>
      </w:r>
    </w:p>
    <w:p w:rsidR="00371BEB" w:rsidRPr="005B0796" w:rsidRDefault="00371BEB" w:rsidP="004C7633">
      <w:r w:rsidRPr="005B0796">
        <w:rPr>
          <w:b/>
          <w:bCs/>
        </w:rPr>
        <w:t xml:space="preserve">Medical fitness </w:t>
      </w:r>
      <w:r w:rsidRPr="005B0796">
        <w:t>– Transitioned ADF who were unfit on transition from Regular ADF comprised 31.6% of CIDI responders.</w:t>
      </w:r>
    </w:p>
    <w:p w:rsidR="00371BEB" w:rsidRPr="005B0796" w:rsidRDefault="00371BEB" w:rsidP="004C7633">
      <w:pPr>
        <w:pStyle w:val="Heading2"/>
      </w:pPr>
      <w:bookmarkStart w:id="130" w:name="_Toc482021323"/>
      <w:bookmarkStart w:id="131" w:name="_Toc482024414"/>
      <w:bookmarkStart w:id="132" w:name="_Toc487011179"/>
      <w:bookmarkStart w:id="133" w:name="_Toc494449695"/>
      <w:bookmarkStart w:id="134" w:name="_Toc511900277"/>
      <w:r w:rsidRPr="005B0796">
        <w:t>Statistical analysis</w:t>
      </w:r>
      <w:bookmarkEnd w:id="130"/>
      <w:bookmarkEnd w:id="131"/>
      <w:bookmarkEnd w:id="132"/>
      <w:bookmarkEnd w:id="133"/>
      <w:bookmarkEnd w:id="134"/>
    </w:p>
    <w:p w:rsidR="00371BEB" w:rsidRPr="005B0796" w:rsidRDefault="00371BEB" w:rsidP="004C7633">
      <w:pPr>
        <w:rPr>
          <w:rFonts w:eastAsia="MS Mincho"/>
        </w:rPr>
      </w:pPr>
      <w:r w:rsidRPr="005B0796">
        <w:t>Analyses were conducted in Stata version 13.1 or SAS version 9.2. All analyses were conducted using weighted estimates of totals, means and proportions, except where specified otherwise. Standard errors were estimated using linearisation, except where specified otherwise.</w:t>
      </w:r>
    </w:p>
    <w:p w:rsidR="00371BEB" w:rsidRPr="005B0796" w:rsidRDefault="00371BEB" w:rsidP="004C7633">
      <w:pPr>
        <w:rPr>
          <w:rFonts w:eastAsia="Times New Roman"/>
        </w:rPr>
      </w:pPr>
      <w:r w:rsidRPr="005B0796">
        <w:t>Subgroup analyses were conducted on each of the 12-month ICD-10 mental disorders using the following demographic and deployment history predictors: sex (male, female), age (18–27, 28–37, 38</w:t>
      </w:r>
      <w:bookmarkStart w:id="135" w:name="_Hlk489886869"/>
      <w:r w:rsidRPr="005B0796">
        <w:t>–</w:t>
      </w:r>
      <w:bookmarkEnd w:id="135"/>
      <w:r w:rsidRPr="005B0796">
        <w:t xml:space="preserve">47, 48–57, 58+), 2015 Regular ADF service or Service at transition (Navy, Army, Air Force), 2015 Regular ADF rank or rank on transition (OFFR, NCO, Other Ranks), years of service in the Regular ADF (&lt; 3 months, 3 months – 3.9 years, and 4–7.9, 8–11.9, 12–15.9, 16–19.9, 20+ years) and deployment status (ever deployed, never deployed). </w:t>
      </w:r>
      <w:r w:rsidRPr="005B0796">
        <w:rPr>
          <w:rFonts w:eastAsia="Times New Roman"/>
        </w:rPr>
        <w:t>For the Transitioned ADF, specific transition factors were included: transition status (Ex-Serving, Inactive Reservist, Active Reservist), reason for discharge (medical discharge, other reason), years since transition (0, 1, 2, 3, 4, 5) and DVA client status (DVA client, not a DVA client).</w:t>
      </w:r>
    </w:p>
    <w:p w:rsidR="00371BEB" w:rsidRPr="005B0796" w:rsidRDefault="00371BEB" w:rsidP="004C7633">
      <w:pPr>
        <w:rPr>
          <w:rFonts w:eastAsia="MS Mincho"/>
        </w:rPr>
      </w:pPr>
      <w:r w:rsidRPr="005B0796">
        <w:t>Comparisons between the prevalence of 12-month ICD-10 disorders among subgroups were analysed using weighted logistic regressions. All regressions involved the variables of age, sex, Service and rank. Comparisons between the prevalence of 12-month ICD-10 disorder classes (affective disorders, anxiety disorders, alcohol disorders) among subgroups were analysed using a weighted multinomial logistic regression, with the number of disorder classes as the outcome. The regression involved the co</w:t>
      </w:r>
      <w:r w:rsidRPr="005B0796">
        <w:noBreakHyphen/>
        <w:t>variates of age, sex, Service and rank. Comparisons between the prevalence of self-reported suicidal behaviour among subgroups were analysed using weighted logistic regressions. All regressions included the co-variates of age, sex, Service and rank.</w:t>
      </w:r>
    </w:p>
    <w:p w:rsidR="00371BEB" w:rsidRPr="005B0796" w:rsidRDefault="00371BEB" w:rsidP="004C7633">
      <w:r w:rsidRPr="005B0796">
        <w:t>For the self-report measures, the proportion (n (%)) of ADF members in each subgroup is presented. Comparisons between the mean total scores among subgroups were also analysed where appropriate, using weighted multiple linear regressions. All regressions included the co-variates of age, sex, Service and rank. Comparisons between the prevalence of self-reported alcohol consumption and problems with drinking were analysed using weighted logistic regressions. A proportional odds model was considered for analysis; however, since the main assumption of this approach was violated, the ordinal response was dichotomised by means of several cut-offs. All regressions included the co-variates of age, sex, Service and rank.</w:t>
      </w:r>
    </w:p>
    <w:p w:rsidR="00371BEB" w:rsidRPr="005B0796" w:rsidRDefault="00371BEB" w:rsidP="004C7633">
      <w:r w:rsidRPr="005B0796">
        <w:t xml:space="preserve">To compare the mental health and wellbeing of the 2015 Regular ADF with the 2010 Regular ADF, a direct numerical comparison was performed. This did not include standardisation or tests of statistical significance. As these two samples cannot be considered independent, between-group differences should be interpreted with caution, noting that some members of the 2015 Regular ADF sample are also represented in the 2010 Regular ADF sample. The issue of individual change in symptoms and disorder over time in this group will be addressed in the future </w:t>
      </w:r>
      <w:r w:rsidRPr="005B0796">
        <w:rPr>
          <w:i/>
        </w:rPr>
        <w:t>Changes over time: a longitudinal perspective</w:t>
      </w:r>
      <w:r w:rsidRPr="005B0796">
        <w:t>.</w:t>
      </w:r>
    </w:p>
    <w:p w:rsidR="00371BEB" w:rsidRPr="005B0796" w:rsidRDefault="00371BEB" w:rsidP="004C7633">
      <w:r w:rsidRPr="005B0796">
        <w:t>To compare estimates in the Transitioned ADF with the Australian Community, direct standardisation was applied to estimates within the 2014–15 ABS NHS. The NHS data were restricted to those aged 18–71 (consistent with the Programme transition population). The data were standardised by sex, employment status (employed or not) and age category (18–27, 28–37, 38–47, 48–57 and 58+). Standard errors for the NHS data were estimated using the replication weights provided in the NHS data file.</w:t>
      </w:r>
    </w:p>
    <w:p w:rsidR="00371BEB" w:rsidRPr="005B0796" w:rsidRDefault="00371BEB" w:rsidP="004C7633">
      <w:pPr>
        <w:pStyle w:val="Heading2"/>
      </w:pPr>
      <w:bookmarkStart w:id="136" w:name="_Toc482021324"/>
      <w:bookmarkStart w:id="137" w:name="_Toc482024415"/>
      <w:bookmarkStart w:id="138" w:name="_Toc487011180"/>
      <w:bookmarkStart w:id="139" w:name="_Toc494449696"/>
      <w:bookmarkStart w:id="140" w:name="_Toc511900278"/>
      <w:r w:rsidRPr="005B0796">
        <w:t>Stratification procedure</w:t>
      </w:r>
      <w:bookmarkEnd w:id="136"/>
      <w:bookmarkEnd w:id="137"/>
      <w:bookmarkEnd w:id="138"/>
      <w:bookmarkEnd w:id="139"/>
      <w:bookmarkEnd w:id="140"/>
    </w:p>
    <w:p w:rsidR="00371BEB" w:rsidRPr="005B0796" w:rsidRDefault="00371BEB" w:rsidP="004C7633">
      <w:r w:rsidRPr="005B0796">
        <w:t>In Phase 2 of the research, 1807 Transitioned ADF members were invited to participate in a one</w:t>
      </w:r>
      <w:r w:rsidRPr="005B0796">
        <w:noBreakHyphen/>
        <w:t xml:space="preserve">hour telephone interview using the CIDI </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In addition to two subgroups of Transitioned ADF within Sample 5 (Combat Zone) and Sample 6 (MHPWS) who were all eligible to complete a CIDI (refer to the full methodology in Annex </w:t>
      </w:r>
      <w:r w:rsidR="00411B45" w:rsidRPr="005B0796">
        <w:t>A</w:t>
      </w:r>
      <w:r w:rsidRPr="005B0796">
        <w:t xml:space="preserve"> for a description of these samples), CIDI invitations preferenced </w:t>
      </w:r>
      <w:r w:rsidRPr="005B0796">
        <w:rPr>
          <w:rFonts w:cs="Calibri"/>
        </w:rPr>
        <w:t xml:space="preserve">groups accounting for the smallest proportion of the actual population (e.g., females) and those with high scores on the PCL and AUDIT in order to increase </w:t>
      </w:r>
      <w:r w:rsidR="00AA5E9D">
        <w:rPr>
          <w:rFonts w:cs="Calibri"/>
        </w:rPr>
        <w:t xml:space="preserve">the </w:t>
      </w:r>
      <w:r w:rsidRPr="005B0796">
        <w:rPr>
          <w:rFonts w:cs="Calibri"/>
        </w:rPr>
        <w:t>representativeness of the sample and opti</w:t>
      </w:r>
      <w:r w:rsidR="00AA5E9D">
        <w:rPr>
          <w:rFonts w:cs="Calibri"/>
        </w:rPr>
        <w:t>mise the ability to capture low-</w:t>
      </w:r>
      <w:r w:rsidRPr="005B0796">
        <w:rPr>
          <w:rFonts w:cs="Calibri"/>
        </w:rPr>
        <w:t xml:space="preserve">prevalence mental disorders. </w:t>
      </w:r>
    </w:p>
    <w:p w:rsidR="00371BEB" w:rsidRPr="005B0796" w:rsidRDefault="00371BEB" w:rsidP="004C7633">
      <w:r w:rsidRPr="005B0796">
        <w:t>As such, these participants were selected for a CIDI interview based on rank, sex, Service and scores on</w:t>
      </w:r>
      <w:r w:rsidR="00462A0C" w:rsidRPr="005B0796">
        <w:t xml:space="preserve"> </w:t>
      </w:r>
      <w:r w:rsidRPr="005B0796">
        <w:t>the PCL and AUDIT, with screening scores on the PCL and AUDIT categorised into the following three</w:t>
      </w:r>
      <w:r w:rsidR="00462A0C" w:rsidRPr="005B0796">
        <w:t xml:space="preserve"> </w:t>
      </w:r>
      <w:r w:rsidRPr="005B0796">
        <w:t>bands:</w:t>
      </w:r>
    </w:p>
    <w:p w:rsidR="00371BEB" w:rsidRPr="005B0796" w:rsidRDefault="00371BEB" w:rsidP="004C7633">
      <w:pPr>
        <w:pStyle w:val="Bullet"/>
        <w:contextualSpacing/>
      </w:pPr>
      <w:r w:rsidRPr="005B0796">
        <w:t>Band 3 = PCL &gt; 27, AUDIT &gt; 9</w:t>
      </w:r>
    </w:p>
    <w:p w:rsidR="00371BEB" w:rsidRPr="005B0796" w:rsidRDefault="00371BEB" w:rsidP="004C7633">
      <w:pPr>
        <w:pStyle w:val="Bullet"/>
        <w:contextualSpacing/>
      </w:pPr>
      <w:r w:rsidRPr="005B0796">
        <w:t>Band 2 = PCL 21–27, AUDIT 7–9</w:t>
      </w:r>
    </w:p>
    <w:p w:rsidR="00371BEB" w:rsidRPr="005B0796" w:rsidRDefault="00371BEB" w:rsidP="004C7633">
      <w:pPr>
        <w:pStyle w:val="Bullet"/>
        <w:contextualSpacing/>
      </w:pPr>
      <w:r w:rsidRPr="005B0796">
        <w:t>Band 1 = PCL &lt; =20, AUDIT &lt; =6.</w:t>
      </w:r>
    </w:p>
    <w:p w:rsidR="00371BEB" w:rsidRPr="005B0796" w:rsidRDefault="00371BEB" w:rsidP="004C7633">
      <w:r w:rsidRPr="005B0796">
        <w:t xml:space="preserve">Using the method proposed by </w: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 </w:instrTex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EN.CITE.DATA </w:instrText>
      </w:r>
      <w:r w:rsidRPr="005B0796">
        <w:fldChar w:fldCharType="end"/>
      </w:r>
      <w:r w:rsidRPr="005B0796">
        <w:fldChar w:fldCharType="separate"/>
      </w:r>
      <w:r w:rsidRPr="005B0796">
        <w:t>Salim &amp; Welsh (2009)</w:t>
      </w:r>
      <w:r w:rsidRPr="005B0796">
        <w:fldChar w:fldCharType="end"/>
      </w:r>
      <w:r w:rsidRPr="005B0796">
        <w:t>, the stratification procedure aimed to oversample those respondents in Band 3 (greatest likelihood of disorder). A smaller proportion from bands 2 and 1 were also sampled, to control for the possibility of over-inflated mental disorder estimates. Transitioned ADF within samples 5 and 6 were also allocated a band, as can be seen in Table 2.4, to ensure that these participants were also accounted for during sampling.</w:t>
      </w:r>
    </w:p>
    <w:p w:rsidR="00371BEB" w:rsidRPr="005B0796" w:rsidRDefault="00371BEB" w:rsidP="004C7633">
      <w:r w:rsidRPr="005B0796">
        <w:t>Based on the predicted proportions of Transitioned ADF survey responders who would score in each band on the PCL and AUDIT according to the population characteristics of sex, rank and Service, the following stratification algorithm was used to generate lists of eligible CIDI participants from among Transitioned ADF survey completers who consented to complete a CIDI:</w:t>
      </w:r>
    </w:p>
    <w:p w:rsidR="00371BEB" w:rsidRPr="005B0796" w:rsidRDefault="00371BEB" w:rsidP="004C7633">
      <w:pPr>
        <w:contextualSpacing/>
      </w:pPr>
      <w:r w:rsidRPr="005B0796">
        <w:t>1. Band 3</w:t>
      </w:r>
    </w:p>
    <w:p w:rsidR="00371BEB" w:rsidRPr="005B0796" w:rsidRDefault="00371BEB" w:rsidP="004C7633">
      <w:pPr>
        <w:contextualSpacing/>
      </w:pPr>
      <w:r w:rsidRPr="005B0796">
        <w:t>2. Female band 2</w:t>
      </w:r>
    </w:p>
    <w:p w:rsidR="00371BEB" w:rsidRPr="005B0796" w:rsidRDefault="00371BEB" w:rsidP="004C7633">
      <w:pPr>
        <w:contextualSpacing/>
      </w:pPr>
      <w:r w:rsidRPr="005B0796">
        <w:t>3. Female band 1</w:t>
      </w:r>
    </w:p>
    <w:p w:rsidR="00371BEB" w:rsidRPr="005B0796" w:rsidRDefault="00371BEB" w:rsidP="004C7633">
      <w:pPr>
        <w:contextualSpacing/>
      </w:pPr>
      <w:r w:rsidRPr="005B0796">
        <w:t>4. Male Navy band 2</w:t>
      </w:r>
    </w:p>
    <w:p w:rsidR="00371BEB" w:rsidRPr="005B0796" w:rsidRDefault="00371BEB" w:rsidP="004C7633">
      <w:pPr>
        <w:contextualSpacing/>
      </w:pPr>
      <w:r w:rsidRPr="005B0796">
        <w:t>5. Male Navy band 3</w:t>
      </w:r>
    </w:p>
    <w:p w:rsidR="00371BEB" w:rsidRPr="005B0796" w:rsidRDefault="00371BEB" w:rsidP="004C7633">
      <w:pPr>
        <w:contextualSpacing/>
      </w:pPr>
      <w:r w:rsidRPr="005B0796">
        <w:t>6. Male Army band 3</w:t>
      </w:r>
    </w:p>
    <w:p w:rsidR="00371BEB" w:rsidRPr="005B0796" w:rsidRDefault="00371BEB" w:rsidP="004C7633">
      <w:pPr>
        <w:contextualSpacing/>
      </w:pPr>
      <w:r w:rsidRPr="005B0796">
        <w:t>7. Male Army band 1</w:t>
      </w:r>
    </w:p>
    <w:p w:rsidR="00371BEB" w:rsidRPr="005B0796" w:rsidRDefault="00371BEB" w:rsidP="00687F6B">
      <w:r w:rsidRPr="005B0796">
        <w:t>8. Male RAAF band 2.</w:t>
      </w:r>
    </w:p>
    <w:p w:rsidR="00687F6B" w:rsidRPr="005B0796" w:rsidRDefault="00687F6B" w:rsidP="007247A9">
      <w:r w:rsidRPr="005B0796">
        <w:t xml:space="preserve">Table 2.4 shows the final distribution of eligible Transitioned ADF across the strata used for selection into the CIDI, and the number who responded. Of the 1049 Transitioned ADF who completed a CIDI, 47.1% were in band 3, 21.4% in band 2 and 24.6% in band 1. The final sample comprised 55.4% Army, 18.9% Navy and 25.2% Air Force, with the majority of respondents being male (85.9%). A total of 78 CIDI responders were missing band, sex or Service, and were excluded from the final weighted population. </w:t>
      </w:r>
    </w:p>
    <w:p w:rsidR="00D123CA" w:rsidRPr="005B0796" w:rsidRDefault="00D123CA" w:rsidP="00D123CA">
      <w:pPr>
        <w:sectPr w:rsidR="00D123CA" w:rsidRPr="005B0796" w:rsidSect="00D123CA">
          <w:headerReference w:type="even" r:id="rId25"/>
          <w:footerReference w:type="even" r:id="rId26"/>
          <w:footerReference w:type="default" r:id="rId27"/>
          <w:pgSz w:w="9979" w:h="14170" w:code="243"/>
          <w:pgMar w:top="1440" w:right="1152" w:bottom="1440" w:left="1728" w:header="576" w:footer="576" w:gutter="0"/>
          <w:cols w:space="708"/>
          <w:docGrid w:linePitch="360"/>
        </w:sectPr>
      </w:pPr>
    </w:p>
    <w:p w:rsidR="007247A9" w:rsidRPr="005B0796" w:rsidRDefault="007247A9" w:rsidP="007247A9">
      <w:pPr>
        <w:pStyle w:val="TableName"/>
        <w:rPr>
          <w:rFonts w:cs="Calibri"/>
        </w:rPr>
      </w:pPr>
      <w:bookmarkStart w:id="141" w:name="_Toc487014246"/>
      <w:bookmarkStart w:id="142" w:name="_Toc492995549"/>
      <w:bookmarkStart w:id="143" w:name="_Toc51190039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2</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w:t>
      </w:r>
      <w:r w:rsidR="00D30A3C">
        <w:rPr>
          <w:noProof/>
        </w:rPr>
        <w:fldChar w:fldCharType="end"/>
      </w:r>
      <w:r w:rsidRPr="005B0796">
        <w:tab/>
        <w:t>Stratification characteristics of entire Transitioned ADF CIDI sample</w:t>
      </w:r>
      <w:bookmarkEnd w:id="141"/>
      <w:bookmarkEnd w:id="142"/>
      <w:bookmarkEnd w:id="143"/>
    </w:p>
    <w:tbl>
      <w:tblPr>
        <w:tblStyle w:val="TWRPTable"/>
        <w:tblW w:w="5000" w:type="pct"/>
        <w:tblLayout w:type="fixed"/>
        <w:tblLook w:val="04A0" w:firstRow="1" w:lastRow="0" w:firstColumn="1" w:lastColumn="0" w:noHBand="0" w:noVBand="1"/>
        <w:tblDescription w:val="Table 2.4 Stratification characteristics of entire Transitioned ADF CIDI sample"/>
      </w:tblPr>
      <w:tblGrid>
        <w:gridCol w:w="1592"/>
        <w:gridCol w:w="1281"/>
        <w:gridCol w:w="1252"/>
        <w:gridCol w:w="1216"/>
        <w:gridCol w:w="1361"/>
        <w:gridCol w:w="1293"/>
        <w:gridCol w:w="1173"/>
        <w:gridCol w:w="1028"/>
        <w:gridCol w:w="1298"/>
        <w:gridCol w:w="12"/>
      </w:tblGrid>
      <w:tr w:rsidR="007247A9" w:rsidRPr="005B0796" w:rsidTr="007247A9">
        <w:trPr>
          <w:cnfStyle w:val="100000000000" w:firstRow="1" w:lastRow="0" w:firstColumn="0" w:lastColumn="0" w:oddVBand="0" w:evenVBand="0" w:oddHBand="0" w:evenHBand="0" w:firstRowFirstColumn="0" w:firstRowLastColumn="0" w:lastRowFirstColumn="0" w:lastRowLastColumn="0"/>
          <w:tblHeader/>
        </w:trPr>
        <w:tc>
          <w:tcPr>
            <w:tcW w:w="1281" w:type="dxa"/>
            <w:tcBorders>
              <w:bottom w:val="nil"/>
            </w:tcBorders>
          </w:tcPr>
          <w:p w:rsidR="007247A9" w:rsidRPr="005B0796" w:rsidRDefault="007247A9" w:rsidP="007247A9">
            <w:pPr>
              <w:pStyle w:val="TableText"/>
            </w:pPr>
          </w:p>
        </w:tc>
        <w:tc>
          <w:tcPr>
            <w:tcW w:w="7974" w:type="dxa"/>
            <w:gridSpan w:val="9"/>
          </w:tcPr>
          <w:p w:rsidR="007247A9" w:rsidRPr="005B0796" w:rsidRDefault="007247A9" w:rsidP="007247A9">
            <w:pPr>
              <w:pStyle w:val="TableText"/>
              <w:jc w:val="center"/>
            </w:pPr>
            <w:r w:rsidRPr="005B0796">
              <w:t>Transitioned ADF CIDI</w:t>
            </w:r>
          </w:p>
        </w:tc>
      </w:tr>
      <w:tr w:rsidR="007247A9" w:rsidRPr="005B0796" w:rsidTr="007247A9">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1281" w:type="dxa"/>
            <w:tcBorders>
              <w:top w:val="nil"/>
              <w:bottom w:val="nil"/>
            </w:tcBorders>
          </w:tcPr>
          <w:p w:rsidR="007247A9" w:rsidRPr="005B0796" w:rsidRDefault="007247A9" w:rsidP="007247A9">
            <w:pPr>
              <w:pStyle w:val="TableText"/>
            </w:pPr>
          </w:p>
        </w:tc>
        <w:tc>
          <w:tcPr>
            <w:tcW w:w="2038" w:type="dxa"/>
            <w:gridSpan w:val="2"/>
            <w:hideMark/>
          </w:tcPr>
          <w:p w:rsidR="007247A9" w:rsidRPr="005B0796" w:rsidRDefault="007247A9" w:rsidP="007247A9">
            <w:pPr>
              <w:pStyle w:val="TableText"/>
              <w:jc w:val="center"/>
            </w:pPr>
            <w:r w:rsidRPr="005B0796">
              <w:t>No band*</w:t>
            </w:r>
          </w:p>
        </w:tc>
        <w:tc>
          <w:tcPr>
            <w:tcW w:w="2073" w:type="dxa"/>
            <w:gridSpan w:val="2"/>
            <w:hideMark/>
          </w:tcPr>
          <w:p w:rsidR="007247A9" w:rsidRPr="005B0796" w:rsidRDefault="007247A9" w:rsidP="007247A9">
            <w:pPr>
              <w:pStyle w:val="TableText"/>
              <w:jc w:val="center"/>
            </w:pPr>
            <w:r w:rsidRPr="005B0796">
              <w:t>Band 1</w:t>
            </w:r>
          </w:p>
        </w:tc>
        <w:tc>
          <w:tcPr>
            <w:tcW w:w="1984" w:type="dxa"/>
            <w:gridSpan w:val="2"/>
            <w:hideMark/>
          </w:tcPr>
          <w:p w:rsidR="007247A9" w:rsidRPr="005B0796" w:rsidRDefault="007247A9" w:rsidP="007247A9">
            <w:pPr>
              <w:pStyle w:val="TableText"/>
              <w:jc w:val="center"/>
            </w:pPr>
            <w:r w:rsidRPr="005B0796">
              <w:t>Band 2</w:t>
            </w:r>
          </w:p>
        </w:tc>
        <w:tc>
          <w:tcPr>
            <w:tcW w:w="1871" w:type="dxa"/>
            <w:gridSpan w:val="2"/>
            <w:hideMark/>
          </w:tcPr>
          <w:p w:rsidR="007247A9" w:rsidRPr="005B0796" w:rsidRDefault="007247A9" w:rsidP="007247A9">
            <w:pPr>
              <w:pStyle w:val="TableText"/>
              <w:jc w:val="center"/>
            </w:pPr>
            <w:r w:rsidRPr="005B0796">
              <w:t>Band 3</w:t>
            </w:r>
          </w:p>
        </w:tc>
      </w:tr>
      <w:tr w:rsidR="007247A9" w:rsidRPr="005B0796" w:rsidTr="007247A9">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1281" w:type="dxa"/>
            <w:tcBorders>
              <w:top w:val="nil"/>
            </w:tcBorders>
          </w:tcPr>
          <w:p w:rsidR="007247A9" w:rsidRPr="005B0796" w:rsidRDefault="007247A9" w:rsidP="007247A9">
            <w:pPr>
              <w:pStyle w:val="TableText"/>
            </w:pPr>
          </w:p>
        </w:tc>
        <w:tc>
          <w:tcPr>
            <w:tcW w:w="1031" w:type="dxa"/>
            <w:hideMark/>
          </w:tcPr>
          <w:p w:rsidR="007247A9" w:rsidRPr="005B0796" w:rsidRDefault="007247A9" w:rsidP="007247A9">
            <w:pPr>
              <w:pStyle w:val="TableText"/>
              <w:jc w:val="right"/>
            </w:pPr>
            <w:r w:rsidRPr="005B0796">
              <w:t>Invited</w:t>
            </w:r>
            <w:r w:rsidRPr="005B0796">
              <w:br/>
              <w:t>(n = 110)</w:t>
            </w:r>
          </w:p>
        </w:tc>
        <w:tc>
          <w:tcPr>
            <w:tcW w:w="1007" w:type="dxa"/>
            <w:hideMark/>
          </w:tcPr>
          <w:p w:rsidR="007247A9" w:rsidRPr="005B0796" w:rsidRDefault="007247A9" w:rsidP="007247A9">
            <w:pPr>
              <w:pStyle w:val="TableText"/>
              <w:jc w:val="right"/>
            </w:pPr>
            <w:r w:rsidRPr="005B0796">
              <w:t>Completed</w:t>
            </w:r>
            <w:r w:rsidRPr="005B0796">
              <w:br/>
              <w:t>(n = 72)</w:t>
            </w:r>
          </w:p>
        </w:tc>
        <w:tc>
          <w:tcPr>
            <w:tcW w:w="978" w:type="dxa"/>
            <w:hideMark/>
          </w:tcPr>
          <w:p w:rsidR="007247A9" w:rsidRPr="005B0796" w:rsidRDefault="007247A9" w:rsidP="007247A9">
            <w:pPr>
              <w:pStyle w:val="TableText"/>
              <w:jc w:val="right"/>
            </w:pPr>
            <w:r w:rsidRPr="005B0796">
              <w:t>Invited</w:t>
            </w:r>
            <w:r w:rsidRPr="005B0796">
              <w:br/>
              <w:t>(n = 408)</w:t>
            </w:r>
          </w:p>
        </w:tc>
        <w:tc>
          <w:tcPr>
            <w:tcW w:w="1095" w:type="dxa"/>
            <w:hideMark/>
          </w:tcPr>
          <w:p w:rsidR="007247A9" w:rsidRPr="005B0796" w:rsidRDefault="007247A9" w:rsidP="007247A9">
            <w:pPr>
              <w:pStyle w:val="TableText"/>
              <w:jc w:val="right"/>
            </w:pPr>
            <w:r w:rsidRPr="005B0796">
              <w:t>Completed</w:t>
            </w:r>
            <w:r w:rsidRPr="005B0796">
              <w:br/>
              <w:t>(n = 258)</w:t>
            </w:r>
          </w:p>
        </w:tc>
        <w:tc>
          <w:tcPr>
            <w:tcW w:w="1040" w:type="dxa"/>
            <w:hideMark/>
          </w:tcPr>
          <w:p w:rsidR="007247A9" w:rsidRPr="005B0796" w:rsidRDefault="007247A9" w:rsidP="007247A9">
            <w:pPr>
              <w:pStyle w:val="TableText"/>
              <w:jc w:val="right"/>
            </w:pPr>
            <w:r w:rsidRPr="005B0796">
              <w:t>Invited</w:t>
            </w:r>
            <w:r w:rsidRPr="005B0796">
              <w:br/>
              <w:t>(n = 335)</w:t>
            </w:r>
          </w:p>
        </w:tc>
        <w:tc>
          <w:tcPr>
            <w:tcW w:w="944" w:type="dxa"/>
            <w:hideMark/>
          </w:tcPr>
          <w:p w:rsidR="007247A9" w:rsidRPr="005B0796" w:rsidRDefault="007247A9" w:rsidP="007247A9">
            <w:pPr>
              <w:pStyle w:val="TableText"/>
              <w:jc w:val="right"/>
            </w:pPr>
            <w:r w:rsidRPr="005B0796">
              <w:t>Completed</w:t>
            </w:r>
            <w:r w:rsidRPr="005B0796">
              <w:br/>
              <w:t>(n = 225)</w:t>
            </w:r>
          </w:p>
        </w:tc>
        <w:tc>
          <w:tcPr>
            <w:tcW w:w="827" w:type="dxa"/>
            <w:hideMark/>
          </w:tcPr>
          <w:p w:rsidR="007247A9" w:rsidRPr="005B0796" w:rsidRDefault="007247A9" w:rsidP="007247A9">
            <w:pPr>
              <w:pStyle w:val="TableText"/>
              <w:jc w:val="right"/>
            </w:pPr>
            <w:r w:rsidRPr="005B0796">
              <w:t>Invited</w:t>
            </w:r>
            <w:r w:rsidRPr="005B0796">
              <w:br/>
              <w:t>(n = 954)</w:t>
            </w:r>
          </w:p>
        </w:tc>
        <w:tc>
          <w:tcPr>
            <w:tcW w:w="1044" w:type="dxa"/>
            <w:hideMark/>
          </w:tcPr>
          <w:p w:rsidR="007247A9" w:rsidRPr="005B0796" w:rsidRDefault="007247A9" w:rsidP="007247A9">
            <w:pPr>
              <w:pStyle w:val="TableText"/>
              <w:jc w:val="right"/>
            </w:pPr>
            <w:r w:rsidRPr="005B0796">
              <w:t>Completed</w:t>
            </w:r>
            <w:r w:rsidRPr="005B0796">
              <w:br/>
              <w:t>(n = 494)</w:t>
            </w:r>
          </w:p>
        </w:tc>
      </w:tr>
      <w:tr w:rsidR="007247A9" w:rsidRPr="005B0796" w:rsidTr="007247A9">
        <w:trPr>
          <w:gridAfter w:val="1"/>
          <w:cnfStyle w:val="000000100000" w:firstRow="0" w:lastRow="0" w:firstColumn="0" w:lastColumn="0" w:oddVBand="0" w:evenVBand="0" w:oddHBand="1" w:evenHBand="0" w:firstRowFirstColumn="0" w:firstRowLastColumn="0" w:lastRowFirstColumn="0" w:lastRowLastColumn="0"/>
          <w:wAfter w:w="10" w:type="dxa"/>
        </w:trPr>
        <w:tc>
          <w:tcPr>
            <w:tcW w:w="1281" w:type="dxa"/>
          </w:tcPr>
          <w:p w:rsidR="007247A9" w:rsidRPr="005B0796" w:rsidRDefault="007247A9" w:rsidP="007247A9">
            <w:pPr>
              <w:pStyle w:val="TableText"/>
              <w:rPr>
                <w:b/>
              </w:rPr>
            </w:pPr>
            <w:r w:rsidRPr="005B0796">
              <w:rPr>
                <w:b/>
              </w:rPr>
              <w:t>Navy</w:t>
            </w:r>
          </w:p>
        </w:tc>
        <w:tc>
          <w:tcPr>
            <w:tcW w:w="1031" w:type="dxa"/>
          </w:tcPr>
          <w:p w:rsidR="007247A9" w:rsidRPr="005B0796" w:rsidRDefault="007247A9" w:rsidP="007247A9">
            <w:pPr>
              <w:pStyle w:val="TableText"/>
              <w:jc w:val="right"/>
            </w:pPr>
          </w:p>
        </w:tc>
        <w:tc>
          <w:tcPr>
            <w:tcW w:w="1007" w:type="dxa"/>
          </w:tcPr>
          <w:p w:rsidR="007247A9" w:rsidRPr="005B0796" w:rsidRDefault="007247A9" w:rsidP="007247A9">
            <w:pPr>
              <w:pStyle w:val="TableText"/>
              <w:jc w:val="right"/>
            </w:pPr>
          </w:p>
        </w:tc>
        <w:tc>
          <w:tcPr>
            <w:tcW w:w="978" w:type="dxa"/>
          </w:tcPr>
          <w:p w:rsidR="007247A9" w:rsidRPr="005B0796" w:rsidRDefault="007247A9" w:rsidP="007247A9">
            <w:pPr>
              <w:pStyle w:val="TableText"/>
              <w:jc w:val="right"/>
            </w:pPr>
          </w:p>
        </w:tc>
        <w:tc>
          <w:tcPr>
            <w:tcW w:w="1095" w:type="dxa"/>
          </w:tcPr>
          <w:p w:rsidR="007247A9" w:rsidRPr="005B0796" w:rsidRDefault="007247A9" w:rsidP="007247A9">
            <w:pPr>
              <w:pStyle w:val="TableText"/>
              <w:jc w:val="right"/>
            </w:pPr>
          </w:p>
        </w:tc>
        <w:tc>
          <w:tcPr>
            <w:tcW w:w="1040" w:type="dxa"/>
          </w:tcPr>
          <w:p w:rsidR="007247A9" w:rsidRPr="005B0796" w:rsidRDefault="007247A9" w:rsidP="007247A9">
            <w:pPr>
              <w:pStyle w:val="TableText"/>
              <w:jc w:val="right"/>
            </w:pPr>
          </w:p>
        </w:tc>
        <w:tc>
          <w:tcPr>
            <w:tcW w:w="944" w:type="dxa"/>
          </w:tcPr>
          <w:p w:rsidR="007247A9" w:rsidRPr="005B0796" w:rsidRDefault="007247A9" w:rsidP="007247A9">
            <w:pPr>
              <w:pStyle w:val="TableText"/>
              <w:jc w:val="right"/>
            </w:pPr>
          </w:p>
        </w:tc>
        <w:tc>
          <w:tcPr>
            <w:tcW w:w="827" w:type="dxa"/>
          </w:tcPr>
          <w:p w:rsidR="007247A9" w:rsidRPr="005B0796" w:rsidRDefault="007247A9" w:rsidP="007247A9">
            <w:pPr>
              <w:pStyle w:val="TableText"/>
              <w:jc w:val="right"/>
            </w:pPr>
          </w:p>
        </w:tc>
        <w:tc>
          <w:tcPr>
            <w:tcW w:w="1044" w:type="dxa"/>
          </w:tcPr>
          <w:p w:rsidR="007247A9" w:rsidRPr="005B0796" w:rsidRDefault="007247A9" w:rsidP="007247A9">
            <w:pPr>
              <w:pStyle w:val="TableText"/>
              <w:jc w:val="right"/>
            </w:pPr>
          </w:p>
        </w:tc>
      </w:tr>
      <w:tr w:rsidR="007247A9" w:rsidRPr="005B0796" w:rsidTr="007247A9">
        <w:trPr>
          <w:gridAfter w:val="1"/>
          <w:wAfter w:w="10" w:type="dxa"/>
        </w:trPr>
        <w:tc>
          <w:tcPr>
            <w:tcW w:w="1281" w:type="dxa"/>
          </w:tcPr>
          <w:p w:rsidR="007247A9" w:rsidRPr="005B0796" w:rsidRDefault="007247A9" w:rsidP="007247A9">
            <w:pPr>
              <w:pStyle w:val="TableText"/>
              <w:ind w:left="144"/>
              <w:rPr>
                <w:b/>
              </w:rPr>
            </w:pPr>
            <w:r w:rsidRPr="005B0796">
              <w:t>Male</w:t>
            </w:r>
          </w:p>
        </w:tc>
        <w:tc>
          <w:tcPr>
            <w:tcW w:w="1031" w:type="dxa"/>
          </w:tcPr>
          <w:p w:rsidR="007247A9" w:rsidRPr="005B0796" w:rsidRDefault="007247A9" w:rsidP="007247A9">
            <w:pPr>
              <w:pStyle w:val="TableText"/>
              <w:jc w:val="right"/>
            </w:pPr>
            <w:r w:rsidRPr="005B0796">
              <w:t>20</w:t>
            </w:r>
          </w:p>
        </w:tc>
        <w:tc>
          <w:tcPr>
            <w:tcW w:w="1007" w:type="dxa"/>
          </w:tcPr>
          <w:p w:rsidR="007247A9" w:rsidRPr="005B0796" w:rsidRDefault="007247A9" w:rsidP="007247A9">
            <w:pPr>
              <w:pStyle w:val="TableText"/>
              <w:jc w:val="right"/>
            </w:pPr>
            <w:r w:rsidRPr="005B0796">
              <w:t>8</w:t>
            </w:r>
          </w:p>
        </w:tc>
        <w:tc>
          <w:tcPr>
            <w:tcW w:w="978" w:type="dxa"/>
          </w:tcPr>
          <w:p w:rsidR="007247A9" w:rsidRPr="005B0796" w:rsidRDefault="007247A9" w:rsidP="007247A9">
            <w:pPr>
              <w:pStyle w:val="TableText"/>
              <w:jc w:val="right"/>
            </w:pPr>
            <w:r w:rsidRPr="005B0796">
              <w:t>73</w:t>
            </w:r>
          </w:p>
        </w:tc>
        <w:tc>
          <w:tcPr>
            <w:tcW w:w="1095" w:type="dxa"/>
          </w:tcPr>
          <w:p w:rsidR="007247A9" w:rsidRPr="005B0796" w:rsidRDefault="007247A9" w:rsidP="007247A9">
            <w:pPr>
              <w:pStyle w:val="TableText"/>
              <w:jc w:val="right"/>
            </w:pPr>
            <w:r w:rsidRPr="005B0796">
              <w:t>43</w:t>
            </w:r>
          </w:p>
        </w:tc>
        <w:tc>
          <w:tcPr>
            <w:tcW w:w="1040" w:type="dxa"/>
          </w:tcPr>
          <w:p w:rsidR="007247A9" w:rsidRPr="005B0796" w:rsidRDefault="007247A9" w:rsidP="007247A9">
            <w:pPr>
              <w:pStyle w:val="TableText"/>
              <w:jc w:val="right"/>
            </w:pPr>
            <w:r w:rsidRPr="005B0796">
              <w:t>57</w:t>
            </w:r>
          </w:p>
        </w:tc>
        <w:tc>
          <w:tcPr>
            <w:tcW w:w="944" w:type="dxa"/>
          </w:tcPr>
          <w:p w:rsidR="007247A9" w:rsidRPr="005B0796" w:rsidRDefault="007247A9" w:rsidP="007247A9">
            <w:pPr>
              <w:pStyle w:val="TableText"/>
              <w:jc w:val="right"/>
            </w:pPr>
            <w:r w:rsidRPr="005B0796">
              <w:t>41</w:t>
            </w:r>
          </w:p>
        </w:tc>
        <w:tc>
          <w:tcPr>
            <w:tcW w:w="827" w:type="dxa"/>
          </w:tcPr>
          <w:p w:rsidR="007247A9" w:rsidRPr="005B0796" w:rsidRDefault="007247A9" w:rsidP="007247A9">
            <w:pPr>
              <w:pStyle w:val="TableText"/>
              <w:jc w:val="right"/>
            </w:pPr>
            <w:r w:rsidRPr="005B0796">
              <w:t>140</w:t>
            </w:r>
          </w:p>
        </w:tc>
        <w:tc>
          <w:tcPr>
            <w:tcW w:w="1044" w:type="dxa"/>
          </w:tcPr>
          <w:p w:rsidR="007247A9" w:rsidRPr="005B0796" w:rsidRDefault="007247A9" w:rsidP="007247A9">
            <w:pPr>
              <w:pStyle w:val="TableText"/>
              <w:jc w:val="right"/>
            </w:pPr>
            <w:r w:rsidRPr="005B0796">
              <w:t>71</w:t>
            </w:r>
          </w:p>
        </w:tc>
      </w:tr>
      <w:tr w:rsidR="007247A9" w:rsidRPr="005B0796" w:rsidTr="007247A9">
        <w:trPr>
          <w:gridAfter w:val="1"/>
          <w:cnfStyle w:val="000000100000" w:firstRow="0" w:lastRow="0" w:firstColumn="0" w:lastColumn="0" w:oddVBand="0" w:evenVBand="0" w:oddHBand="1" w:evenHBand="0" w:firstRowFirstColumn="0" w:firstRowLastColumn="0" w:lastRowFirstColumn="0" w:lastRowLastColumn="0"/>
          <w:wAfter w:w="10" w:type="dxa"/>
        </w:trPr>
        <w:tc>
          <w:tcPr>
            <w:tcW w:w="1281" w:type="dxa"/>
          </w:tcPr>
          <w:p w:rsidR="007247A9" w:rsidRPr="005B0796" w:rsidRDefault="007247A9" w:rsidP="007247A9">
            <w:pPr>
              <w:pStyle w:val="TableText"/>
              <w:ind w:left="144"/>
            </w:pPr>
            <w:r w:rsidRPr="005B0796">
              <w:t>Female</w:t>
            </w:r>
          </w:p>
        </w:tc>
        <w:tc>
          <w:tcPr>
            <w:tcW w:w="1031" w:type="dxa"/>
          </w:tcPr>
          <w:p w:rsidR="007247A9" w:rsidRPr="005B0796" w:rsidRDefault="007247A9" w:rsidP="007247A9">
            <w:pPr>
              <w:pStyle w:val="TableText"/>
              <w:jc w:val="right"/>
            </w:pPr>
            <w:r w:rsidRPr="005B0796">
              <w:t>1</w:t>
            </w:r>
          </w:p>
        </w:tc>
        <w:tc>
          <w:tcPr>
            <w:tcW w:w="1007" w:type="dxa"/>
          </w:tcPr>
          <w:p w:rsidR="007247A9" w:rsidRPr="005B0796" w:rsidRDefault="007247A9" w:rsidP="007247A9">
            <w:pPr>
              <w:pStyle w:val="TableText"/>
              <w:jc w:val="right"/>
            </w:pPr>
            <w:r w:rsidRPr="005B0796">
              <w:t>1</w:t>
            </w:r>
          </w:p>
        </w:tc>
        <w:tc>
          <w:tcPr>
            <w:tcW w:w="978" w:type="dxa"/>
          </w:tcPr>
          <w:p w:rsidR="007247A9" w:rsidRPr="005B0796" w:rsidRDefault="007247A9" w:rsidP="007247A9">
            <w:pPr>
              <w:pStyle w:val="TableText"/>
              <w:jc w:val="right"/>
            </w:pPr>
            <w:r w:rsidRPr="005B0796">
              <w:t>17</w:t>
            </w:r>
          </w:p>
        </w:tc>
        <w:tc>
          <w:tcPr>
            <w:tcW w:w="1095" w:type="dxa"/>
          </w:tcPr>
          <w:p w:rsidR="007247A9" w:rsidRPr="005B0796" w:rsidRDefault="007247A9" w:rsidP="007247A9">
            <w:pPr>
              <w:pStyle w:val="TableText"/>
              <w:jc w:val="right"/>
            </w:pPr>
            <w:r w:rsidRPr="005B0796">
              <w:t>10</w:t>
            </w:r>
          </w:p>
        </w:tc>
        <w:tc>
          <w:tcPr>
            <w:tcW w:w="1040" w:type="dxa"/>
          </w:tcPr>
          <w:p w:rsidR="007247A9" w:rsidRPr="005B0796" w:rsidRDefault="007247A9" w:rsidP="007247A9">
            <w:pPr>
              <w:pStyle w:val="TableText"/>
              <w:jc w:val="right"/>
            </w:pPr>
            <w:r w:rsidRPr="005B0796">
              <w:t>8</w:t>
            </w:r>
          </w:p>
        </w:tc>
        <w:tc>
          <w:tcPr>
            <w:tcW w:w="944" w:type="dxa"/>
          </w:tcPr>
          <w:p w:rsidR="007247A9" w:rsidRPr="005B0796" w:rsidRDefault="007247A9" w:rsidP="007247A9">
            <w:pPr>
              <w:pStyle w:val="TableText"/>
              <w:jc w:val="right"/>
            </w:pPr>
            <w:r w:rsidRPr="005B0796">
              <w:t>4</w:t>
            </w:r>
          </w:p>
        </w:tc>
        <w:tc>
          <w:tcPr>
            <w:tcW w:w="827" w:type="dxa"/>
          </w:tcPr>
          <w:p w:rsidR="007247A9" w:rsidRPr="005B0796" w:rsidRDefault="007247A9" w:rsidP="007247A9">
            <w:pPr>
              <w:pStyle w:val="TableText"/>
              <w:jc w:val="right"/>
            </w:pPr>
            <w:r w:rsidRPr="005B0796">
              <w:t>40</w:t>
            </w:r>
          </w:p>
        </w:tc>
        <w:tc>
          <w:tcPr>
            <w:tcW w:w="1044" w:type="dxa"/>
          </w:tcPr>
          <w:p w:rsidR="007247A9" w:rsidRPr="005B0796" w:rsidRDefault="007247A9" w:rsidP="007247A9">
            <w:pPr>
              <w:pStyle w:val="TableText"/>
              <w:jc w:val="right"/>
            </w:pPr>
            <w:r w:rsidRPr="005B0796">
              <w:t>20</w:t>
            </w:r>
          </w:p>
        </w:tc>
      </w:tr>
      <w:tr w:rsidR="007247A9" w:rsidRPr="005B0796" w:rsidTr="007247A9">
        <w:trPr>
          <w:gridAfter w:val="1"/>
          <w:wAfter w:w="10" w:type="dxa"/>
        </w:trPr>
        <w:tc>
          <w:tcPr>
            <w:tcW w:w="1281" w:type="dxa"/>
          </w:tcPr>
          <w:p w:rsidR="007247A9" w:rsidRPr="005B0796" w:rsidRDefault="007247A9" w:rsidP="007247A9">
            <w:pPr>
              <w:pStyle w:val="TableText"/>
              <w:rPr>
                <w:b/>
              </w:rPr>
            </w:pPr>
            <w:r w:rsidRPr="005B0796">
              <w:rPr>
                <w:b/>
              </w:rPr>
              <w:t>Army</w:t>
            </w:r>
          </w:p>
        </w:tc>
        <w:tc>
          <w:tcPr>
            <w:tcW w:w="1031" w:type="dxa"/>
          </w:tcPr>
          <w:p w:rsidR="007247A9" w:rsidRPr="005B0796" w:rsidRDefault="007247A9" w:rsidP="007247A9">
            <w:pPr>
              <w:pStyle w:val="TableText"/>
              <w:jc w:val="right"/>
            </w:pPr>
          </w:p>
        </w:tc>
        <w:tc>
          <w:tcPr>
            <w:tcW w:w="1007" w:type="dxa"/>
          </w:tcPr>
          <w:p w:rsidR="007247A9" w:rsidRPr="005B0796" w:rsidRDefault="007247A9" w:rsidP="007247A9">
            <w:pPr>
              <w:pStyle w:val="TableText"/>
              <w:jc w:val="right"/>
            </w:pPr>
          </w:p>
        </w:tc>
        <w:tc>
          <w:tcPr>
            <w:tcW w:w="978" w:type="dxa"/>
          </w:tcPr>
          <w:p w:rsidR="007247A9" w:rsidRPr="005B0796" w:rsidRDefault="007247A9" w:rsidP="007247A9">
            <w:pPr>
              <w:pStyle w:val="TableText"/>
              <w:jc w:val="right"/>
            </w:pPr>
          </w:p>
        </w:tc>
        <w:tc>
          <w:tcPr>
            <w:tcW w:w="1095" w:type="dxa"/>
          </w:tcPr>
          <w:p w:rsidR="007247A9" w:rsidRPr="005B0796" w:rsidRDefault="007247A9" w:rsidP="007247A9">
            <w:pPr>
              <w:pStyle w:val="TableText"/>
              <w:jc w:val="right"/>
            </w:pPr>
          </w:p>
        </w:tc>
        <w:tc>
          <w:tcPr>
            <w:tcW w:w="1040" w:type="dxa"/>
          </w:tcPr>
          <w:p w:rsidR="007247A9" w:rsidRPr="005B0796" w:rsidRDefault="007247A9" w:rsidP="007247A9">
            <w:pPr>
              <w:pStyle w:val="TableText"/>
              <w:jc w:val="right"/>
            </w:pPr>
          </w:p>
        </w:tc>
        <w:tc>
          <w:tcPr>
            <w:tcW w:w="944" w:type="dxa"/>
          </w:tcPr>
          <w:p w:rsidR="007247A9" w:rsidRPr="005B0796" w:rsidRDefault="007247A9" w:rsidP="007247A9">
            <w:pPr>
              <w:pStyle w:val="TableText"/>
              <w:jc w:val="right"/>
            </w:pPr>
          </w:p>
        </w:tc>
        <w:tc>
          <w:tcPr>
            <w:tcW w:w="827" w:type="dxa"/>
          </w:tcPr>
          <w:p w:rsidR="007247A9" w:rsidRPr="005B0796" w:rsidRDefault="007247A9" w:rsidP="007247A9">
            <w:pPr>
              <w:pStyle w:val="TableText"/>
              <w:jc w:val="right"/>
            </w:pPr>
          </w:p>
        </w:tc>
        <w:tc>
          <w:tcPr>
            <w:tcW w:w="1044" w:type="dxa"/>
          </w:tcPr>
          <w:p w:rsidR="007247A9" w:rsidRPr="005B0796" w:rsidRDefault="007247A9" w:rsidP="007247A9">
            <w:pPr>
              <w:pStyle w:val="TableText"/>
              <w:jc w:val="right"/>
            </w:pPr>
          </w:p>
        </w:tc>
      </w:tr>
      <w:tr w:rsidR="007247A9" w:rsidRPr="005B0796" w:rsidTr="007247A9">
        <w:trPr>
          <w:gridAfter w:val="1"/>
          <w:cnfStyle w:val="000000100000" w:firstRow="0" w:lastRow="0" w:firstColumn="0" w:lastColumn="0" w:oddVBand="0" w:evenVBand="0" w:oddHBand="1" w:evenHBand="0" w:firstRowFirstColumn="0" w:firstRowLastColumn="0" w:lastRowFirstColumn="0" w:lastRowLastColumn="0"/>
          <w:wAfter w:w="10" w:type="dxa"/>
        </w:trPr>
        <w:tc>
          <w:tcPr>
            <w:tcW w:w="1281" w:type="dxa"/>
          </w:tcPr>
          <w:p w:rsidR="007247A9" w:rsidRPr="005B0796" w:rsidRDefault="007247A9" w:rsidP="007247A9">
            <w:pPr>
              <w:pStyle w:val="TableText"/>
              <w:ind w:left="144"/>
              <w:rPr>
                <w:b/>
              </w:rPr>
            </w:pPr>
            <w:r w:rsidRPr="005B0796">
              <w:t xml:space="preserve">Male </w:t>
            </w:r>
          </w:p>
        </w:tc>
        <w:tc>
          <w:tcPr>
            <w:tcW w:w="1031" w:type="dxa"/>
          </w:tcPr>
          <w:p w:rsidR="007247A9" w:rsidRPr="005B0796" w:rsidRDefault="007247A9" w:rsidP="007247A9">
            <w:pPr>
              <w:pStyle w:val="TableText"/>
              <w:jc w:val="right"/>
            </w:pPr>
            <w:r w:rsidRPr="005B0796">
              <w:t>52</w:t>
            </w:r>
          </w:p>
        </w:tc>
        <w:tc>
          <w:tcPr>
            <w:tcW w:w="1007" w:type="dxa"/>
          </w:tcPr>
          <w:p w:rsidR="007247A9" w:rsidRPr="005B0796" w:rsidRDefault="007247A9" w:rsidP="007247A9">
            <w:pPr>
              <w:pStyle w:val="TableText"/>
              <w:jc w:val="right"/>
            </w:pPr>
            <w:r w:rsidRPr="005B0796">
              <w:t>37</w:t>
            </w:r>
          </w:p>
        </w:tc>
        <w:tc>
          <w:tcPr>
            <w:tcW w:w="978" w:type="dxa"/>
          </w:tcPr>
          <w:p w:rsidR="007247A9" w:rsidRPr="005B0796" w:rsidRDefault="007247A9" w:rsidP="007247A9">
            <w:pPr>
              <w:pStyle w:val="TableText"/>
              <w:jc w:val="right"/>
            </w:pPr>
            <w:r w:rsidRPr="005B0796">
              <w:t>152</w:t>
            </w:r>
          </w:p>
        </w:tc>
        <w:tc>
          <w:tcPr>
            <w:tcW w:w="1095" w:type="dxa"/>
          </w:tcPr>
          <w:p w:rsidR="007247A9" w:rsidRPr="005B0796" w:rsidRDefault="007247A9" w:rsidP="007247A9">
            <w:pPr>
              <w:pStyle w:val="TableText"/>
              <w:jc w:val="right"/>
            </w:pPr>
            <w:r w:rsidRPr="005B0796">
              <w:t>94</w:t>
            </w:r>
          </w:p>
        </w:tc>
        <w:tc>
          <w:tcPr>
            <w:tcW w:w="1040" w:type="dxa"/>
          </w:tcPr>
          <w:p w:rsidR="007247A9" w:rsidRPr="005B0796" w:rsidRDefault="007247A9" w:rsidP="007247A9">
            <w:pPr>
              <w:pStyle w:val="TableText"/>
              <w:jc w:val="right"/>
            </w:pPr>
            <w:r w:rsidRPr="005B0796">
              <w:t>155</w:t>
            </w:r>
          </w:p>
        </w:tc>
        <w:tc>
          <w:tcPr>
            <w:tcW w:w="944" w:type="dxa"/>
          </w:tcPr>
          <w:p w:rsidR="007247A9" w:rsidRPr="005B0796" w:rsidRDefault="007247A9" w:rsidP="007247A9">
            <w:pPr>
              <w:pStyle w:val="TableText"/>
              <w:jc w:val="right"/>
            </w:pPr>
            <w:r w:rsidRPr="005B0796">
              <w:t>109</w:t>
            </w:r>
          </w:p>
        </w:tc>
        <w:tc>
          <w:tcPr>
            <w:tcW w:w="827" w:type="dxa"/>
          </w:tcPr>
          <w:p w:rsidR="007247A9" w:rsidRPr="005B0796" w:rsidRDefault="007247A9" w:rsidP="007247A9">
            <w:pPr>
              <w:pStyle w:val="TableText"/>
              <w:jc w:val="right"/>
            </w:pPr>
            <w:r w:rsidRPr="005B0796">
              <w:t>515</w:t>
            </w:r>
          </w:p>
        </w:tc>
        <w:tc>
          <w:tcPr>
            <w:tcW w:w="1044" w:type="dxa"/>
          </w:tcPr>
          <w:p w:rsidR="007247A9" w:rsidRPr="005B0796" w:rsidRDefault="007247A9" w:rsidP="007247A9">
            <w:pPr>
              <w:pStyle w:val="TableText"/>
              <w:jc w:val="right"/>
            </w:pPr>
            <w:r w:rsidRPr="005B0796">
              <w:t>272</w:t>
            </w:r>
          </w:p>
        </w:tc>
      </w:tr>
      <w:tr w:rsidR="007247A9" w:rsidRPr="005B0796" w:rsidTr="007247A9">
        <w:trPr>
          <w:gridAfter w:val="1"/>
          <w:wAfter w:w="10" w:type="dxa"/>
        </w:trPr>
        <w:tc>
          <w:tcPr>
            <w:tcW w:w="1281" w:type="dxa"/>
          </w:tcPr>
          <w:p w:rsidR="007247A9" w:rsidRPr="005B0796" w:rsidRDefault="007247A9" w:rsidP="007247A9">
            <w:pPr>
              <w:pStyle w:val="TableText"/>
              <w:ind w:left="144"/>
            </w:pPr>
            <w:r w:rsidRPr="005B0796">
              <w:t>Female</w:t>
            </w:r>
          </w:p>
        </w:tc>
        <w:tc>
          <w:tcPr>
            <w:tcW w:w="1031" w:type="dxa"/>
          </w:tcPr>
          <w:p w:rsidR="007247A9" w:rsidRPr="005B0796" w:rsidRDefault="007247A9" w:rsidP="007247A9">
            <w:pPr>
              <w:pStyle w:val="TableText"/>
              <w:jc w:val="right"/>
            </w:pPr>
            <w:r w:rsidRPr="005B0796">
              <w:t>15</w:t>
            </w:r>
          </w:p>
        </w:tc>
        <w:tc>
          <w:tcPr>
            <w:tcW w:w="1007" w:type="dxa"/>
          </w:tcPr>
          <w:p w:rsidR="007247A9" w:rsidRPr="005B0796" w:rsidRDefault="007247A9" w:rsidP="007247A9">
            <w:pPr>
              <w:pStyle w:val="TableText"/>
              <w:jc w:val="right"/>
            </w:pPr>
            <w:r w:rsidRPr="005B0796">
              <w:t>10</w:t>
            </w:r>
          </w:p>
        </w:tc>
        <w:tc>
          <w:tcPr>
            <w:tcW w:w="978" w:type="dxa"/>
          </w:tcPr>
          <w:p w:rsidR="007247A9" w:rsidRPr="005B0796" w:rsidRDefault="007247A9" w:rsidP="007247A9">
            <w:pPr>
              <w:pStyle w:val="TableText"/>
              <w:jc w:val="right"/>
            </w:pPr>
            <w:r w:rsidRPr="005B0796">
              <w:t>35</w:t>
            </w:r>
          </w:p>
        </w:tc>
        <w:tc>
          <w:tcPr>
            <w:tcW w:w="1095" w:type="dxa"/>
          </w:tcPr>
          <w:p w:rsidR="007247A9" w:rsidRPr="005B0796" w:rsidRDefault="007247A9" w:rsidP="007247A9">
            <w:pPr>
              <w:pStyle w:val="TableText"/>
              <w:jc w:val="right"/>
            </w:pPr>
            <w:r w:rsidRPr="005B0796">
              <w:t>19</w:t>
            </w:r>
          </w:p>
        </w:tc>
        <w:tc>
          <w:tcPr>
            <w:tcW w:w="1040" w:type="dxa"/>
          </w:tcPr>
          <w:p w:rsidR="007247A9" w:rsidRPr="005B0796" w:rsidRDefault="007247A9" w:rsidP="007247A9">
            <w:pPr>
              <w:pStyle w:val="TableText"/>
              <w:jc w:val="right"/>
            </w:pPr>
            <w:r w:rsidRPr="005B0796">
              <w:t>31</w:t>
            </w:r>
          </w:p>
        </w:tc>
        <w:tc>
          <w:tcPr>
            <w:tcW w:w="944" w:type="dxa"/>
          </w:tcPr>
          <w:p w:rsidR="007247A9" w:rsidRPr="005B0796" w:rsidRDefault="007247A9" w:rsidP="007247A9">
            <w:pPr>
              <w:pStyle w:val="TableText"/>
              <w:jc w:val="right"/>
            </w:pPr>
            <w:r w:rsidRPr="005B0796">
              <w:t>15</w:t>
            </w:r>
          </w:p>
        </w:tc>
        <w:tc>
          <w:tcPr>
            <w:tcW w:w="827" w:type="dxa"/>
          </w:tcPr>
          <w:p w:rsidR="007247A9" w:rsidRPr="005B0796" w:rsidRDefault="007247A9" w:rsidP="007247A9">
            <w:pPr>
              <w:pStyle w:val="TableText"/>
              <w:jc w:val="right"/>
            </w:pPr>
            <w:r w:rsidRPr="005B0796">
              <w:t>66</w:t>
            </w:r>
          </w:p>
        </w:tc>
        <w:tc>
          <w:tcPr>
            <w:tcW w:w="1044" w:type="dxa"/>
          </w:tcPr>
          <w:p w:rsidR="007247A9" w:rsidRPr="005B0796" w:rsidRDefault="007247A9" w:rsidP="007247A9">
            <w:pPr>
              <w:pStyle w:val="TableText"/>
              <w:jc w:val="right"/>
            </w:pPr>
            <w:r w:rsidRPr="005B0796">
              <w:t>25</w:t>
            </w:r>
          </w:p>
        </w:tc>
      </w:tr>
      <w:tr w:rsidR="007247A9" w:rsidRPr="005B0796" w:rsidTr="007247A9">
        <w:trPr>
          <w:gridAfter w:val="1"/>
          <w:cnfStyle w:val="000000100000" w:firstRow="0" w:lastRow="0" w:firstColumn="0" w:lastColumn="0" w:oddVBand="0" w:evenVBand="0" w:oddHBand="1" w:evenHBand="0" w:firstRowFirstColumn="0" w:firstRowLastColumn="0" w:lastRowFirstColumn="0" w:lastRowLastColumn="0"/>
          <w:wAfter w:w="10" w:type="dxa"/>
        </w:trPr>
        <w:tc>
          <w:tcPr>
            <w:tcW w:w="1281" w:type="dxa"/>
            <w:hideMark/>
          </w:tcPr>
          <w:p w:rsidR="007247A9" w:rsidRPr="005B0796" w:rsidRDefault="007247A9" w:rsidP="007247A9">
            <w:pPr>
              <w:pStyle w:val="TableText"/>
              <w:rPr>
                <w:b/>
              </w:rPr>
            </w:pPr>
            <w:r w:rsidRPr="005B0796">
              <w:rPr>
                <w:b/>
              </w:rPr>
              <w:t>Air Force</w:t>
            </w:r>
          </w:p>
        </w:tc>
        <w:tc>
          <w:tcPr>
            <w:tcW w:w="1031" w:type="dxa"/>
          </w:tcPr>
          <w:p w:rsidR="007247A9" w:rsidRPr="005B0796" w:rsidRDefault="007247A9" w:rsidP="007247A9">
            <w:pPr>
              <w:pStyle w:val="TableText"/>
              <w:jc w:val="right"/>
            </w:pPr>
          </w:p>
        </w:tc>
        <w:tc>
          <w:tcPr>
            <w:tcW w:w="1007" w:type="dxa"/>
          </w:tcPr>
          <w:p w:rsidR="007247A9" w:rsidRPr="005B0796" w:rsidRDefault="007247A9" w:rsidP="007247A9">
            <w:pPr>
              <w:pStyle w:val="TableText"/>
              <w:jc w:val="right"/>
            </w:pPr>
          </w:p>
        </w:tc>
        <w:tc>
          <w:tcPr>
            <w:tcW w:w="978" w:type="dxa"/>
          </w:tcPr>
          <w:p w:rsidR="007247A9" w:rsidRPr="005B0796" w:rsidRDefault="007247A9" w:rsidP="007247A9">
            <w:pPr>
              <w:pStyle w:val="TableText"/>
              <w:jc w:val="right"/>
            </w:pPr>
          </w:p>
        </w:tc>
        <w:tc>
          <w:tcPr>
            <w:tcW w:w="1095" w:type="dxa"/>
          </w:tcPr>
          <w:p w:rsidR="007247A9" w:rsidRPr="005B0796" w:rsidRDefault="007247A9" w:rsidP="007247A9">
            <w:pPr>
              <w:pStyle w:val="TableText"/>
              <w:jc w:val="right"/>
            </w:pPr>
          </w:p>
        </w:tc>
        <w:tc>
          <w:tcPr>
            <w:tcW w:w="1040" w:type="dxa"/>
          </w:tcPr>
          <w:p w:rsidR="007247A9" w:rsidRPr="005B0796" w:rsidRDefault="007247A9" w:rsidP="007247A9">
            <w:pPr>
              <w:pStyle w:val="TableText"/>
              <w:jc w:val="right"/>
            </w:pPr>
          </w:p>
        </w:tc>
        <w:tc>
          <w:tcPr>
            <w:tcW w:w="944" w:type="dxa"/>
          </w:tcPr>
          <w:p w:rsidR="007247A9" w:rsidRPr="005B0796" w:rsidRDefault="007247A9" w:rsidP="007247A9">
            <w:pPr>
              <w:pStyle w:val="TableText"/>
              <w:jc w:val="right"/>
            </w:pPr>
          </w:p>
        </w:tc>
        <w:tc>
          <w:tcPr>
            <w:tcW w:w="827" w:type="dxa"/>
          </w:tcPr>
          <w:p w:rsidR="007247A9" w:rsidRPr="005B0796" w:rsidRDefault="007247A9" w:rsidP="007247A9">
            <w:pPr>
              <w:pStyle w:val="TableText"/>
              <w:jc w:val="right"/>
            </w:pPr>
          </w:p>
        </w:tc>
        <w:tc>
          <w:tcPr>
            <w:tcW w:w="1044" w:type="dxa"/>
          </w:tcPr>
          <w:p w:rsidR="007247A9" w:rsidRPr="005B0796" w:rsidRDefault="007247A9" w:rsidP="007247A9">
            <w:pPr>
              <w:pStyle w:val="TableText"/>
              <w:jc w:val="right"/>
            </w:pPr>
          </w:p>
        </w:tc>
      </w:tr>
      <w:tr w:rsidR="007247A9" w:rsidRPr="005B0796" w:rsidTr="007247A9">
        <w:trPr>
          <w:gridAfter w:val="1"/>
          <w:wAfter w:w="10" w:type="dxa"/>
        </w:trPr>
        <w:tc>
          <w:tcPr>
            <w:tcW w:w="1281" w:type="dxa"/>
            <w:hideMark/>
          </w:tcPr>
          <w:p w:rsidR="007247A9" w:rsidRPr="005B0796" w:rsidRDefault="007247A9" w:rsidP="007247A9">
            <w:pPr>
              <w:pStyle w:val="TableText"/>
              <w:ind w:left="144"/>
            </w:pPr>
            <w:r w:rsidRPr="005B0796">
              <w:t>Male</w:t>
            </w:r>
          </w:p>
        </w:tc>
        <w:tc>
          <w:tcPr>
            <w:tcW w:w="1031" w:type="dxa"/>
            <w:hideMark/>
          </w:tcPr>
          <w:p w:rsidR="007247A9" w:rsidRPr="005B0796" w:rsidRDefault="007247A9" w:rsidP="007247A9">
            <w:pPr>
              <w:pStyle w:val="TableText"/>
              <w:jc w:val="right"/>
            </w:pPr>
            <w:r w:rsidRPr="005B0796">
              <w:t>17</w:t>
            </w:r>
          </w:p>
        </w:tc>
        <w:tc>
          <w:tcPr>
            <w:tcW w:w="1007" w:type="dxa"/>
            <w:hideMark/>
          </w:tcPr>
          <w:p w:rsidR="007247A9" w:rsidRPr="005B0796" w:rsidRDefault="007247A9" w:rsidP="007247A9">
            <w:pPr>
              <w:pStyle w:val="TableText"/>
              <w:jc w:val="right"/>
            </w:pPr>
            <w:r w:rsidRPr="005B0796">
              <w:t>13</w:t>
            </w:r>
          </w:p>
        </w:tc>
        <w:tc>
          <w:tcPr>
            <w:tcW w:w="978" w:type="dxa"/>
            <w:hideMark/>
          </w:tcPr>
          <w:p w:rsidR="007247A9" w:rsidRPr="005B0796" w:rsidRDefault="007247A9" w:rsidP="007247A9">
            <w:pPr>
              <w:pStyle w:val="TableText"/>
              <w:jc w:val="right"/>
            </w:pPr>
            <w:r w:rsidRPr="005B0796">
              <w:t>104</w:t>
            </w:r>
          </w:p>
        </w:tc>
        <w:tc>
          <w:tcPr>
            <w:tcW w:w="1095" w:type="dxa"/>
            <w:hideMark/>
          </w:tcPr>
          <w:p w:rsidR="007247A9" w:rsidRPr="005B0796" w:rsidRDefault="007247A9" w:rsidP="007247A9">
            <w:pPr>
              <w:pStyle w:val="TableText"/>
              <w:jc w:val="right"/>
            </w:pPr>
            <w:r w:rsidRPr="005B0796">
              <w:t>77</w:t>
            </w:r>
          </w:p>
        </w:tc>
        <w:tc>
          <w:tcPr>
            <w:tcW w:w="1040" w:type="dxa"/>
            <w:hideMark/>
          </w:tcPr>
          <w:p w:rsidR="007247A9" w:rsidRPr="005B0796" w:rsidRDefault="007247A9" w:rsidP="007247A9">
            <w:pPr>
              <w:pStyle w:val="TableText"/>
              <w:jc w:val="right"/>
            </w:pPr>
            <w:r w:rsidRPr="005B0796">
              <w:t>74</w:t>
            </w:r>
          </w:p>
        </w:tc>
        <w:tc>
          <w:tcPr>
            <w:tcW w:w="944" w:type="dxa"/>
            <w:hideMark/>
          </w:tcPr>
          <w:p w:rsidR="007247A9" w:rsidRPr="005B0796" w:rsidRDefault="007247A9" w:rsidP="007247A9">
            <w:pPr>
              <w:pStyle w:val="TableText"/>
              <w:jc w:val="right"/>
            </w:pPr>
            <w:r w:rsidRPr="005B0796">
              <w:t>50</w:t>
            </w:r>
          </w:p>
        </w:tc>
        <w:tc>
          <w:tcPr>
            <w:tcW w:w="827" w:type="dxa"/>
            <w:hideMark/>
          </w:tcPr>
          <w:p w:rsidR="007247A9" w:rsidRPr="005B0796" w:rsidRDefault="007247A9" w:rsidP="007247A9">
            <w:pPr>
              <w:pStyle w:val="TableText"/>
              <w:jc w:val="right"/>
            </w:pPr>
            <w:r w:rsidRPr="005B0796">
              <w:t>152</w:t>
            </w:r>
          </w:p>
        </w:tc>
        <w:tc>
          <w:tcPr>
            <w:tcW w:w="1044" w:type="dxa"/>
            <w:hideMark/>
          </w:tcPr>
          <w:p w:rsidR="007247A9" w:rsidRPr="005B0796" w:rsidRDefault="007247A9" w:rsidP="007247A9">
            <w:pPr>
              <w:pStyle w:val="TableText"/>
              <w:jc w:val="right"/>
            </w:pPr>
            <w:r w:rsidRPr="005B0796">
              <w:t>86</w:t>
            </w:r>
          </w:p>
        </w:tc>
      </w:tr>
      <w:tr w:rsidR="007247A9" w:rsidRPr="005B0796" w:rsidTr="007247A9">
        <w:trPr>
          <w:gridAfter w:val="1"/>
          <w:cnfStyle w:val="000000100000" w:firstRow="0" w:lastRow="0" w:firstColumn="0" w:lastColumn="0" w:oddVBand="0" w:evenVBand="0" w:oddHBand="1" w:evenHBand="0" w:firstRowFirstColumn="0" w:firstRowLastColumn="0" w:lastRowFirstColumn="0" w:lastRowLastColumn="0"/>
          <w:wAfter w:w="10" w:type="dxa"/>
        </w:trPr>
        <w:tc>
          <w:tcPr>
            <w:tcW w:w="1281" w:type="dxa"/>
            <w:hideMark/>
          </w:tcPr>
          <w:p w:rsidR="007247A9" w:rsidRPr="005B0796" w:rsidRDefault="007247A9" w:rsidP="007247A9">
            <w:pPr>
              <w:pStyle w:val="TableText"/>
              <w:ind w:left="144"/>
            </w:pPr>
            <w:r w:rsidRPr="005B0796">
              <w:t>Female</w:t>
            </w:r>
          </w:p>
        </w:tc>
        <w:tc>
          <w:tcPr>
            <w:tcW w:w="1031" w:type="dxa"/>
            <w:hideMark/>
          </w:tcPr>
          <w:p w:rsidR="007247A9" w:rsidRPr="005B0796" w:rsidRDefault="007247A9" w:rsidP="007247A9">
            <w:pPr>
              <w:pStyle w:val="TableText"/>
              <w:jc w:val="right"/>
            </w:pPr>
            <w:r w:rsidRPr="005B0796">
              <w:t>4</w:t>
            </w:r>
          </w:p>
        </w:tc>
        <w:tc>
          <w:tcPr>
            <w:tcW w:w="1007" w:type="dxa"/>
            <w:hideMark/>
          </w:tcPr>
          <w:p w:rsidR="007247A9" w:rsidRPr="005B0796" w:rsidRDefault="007247A9" w:rsidP="007247A9">
            <w:pPr>
              <w:pStyle w:val="TableText"/>
              <w:jc w:val="right"/>
            </w:pPr>
            <w:r w:rsidRPr="005B0796">
              <w:t>3</w:t>
            </w:r>
          </w:p>
        </w:tc>
        <w:tc>
          <w:tcPr>
            <w:tcW w:w="978" w:type="dxa"/>
            <w:hideMark/>
          </w:tcPr>
          <w:p w:rsidR="007247A9" w:rsidRPr="005B0796" w:rsidRDefault="007247A9" w:rsidP="007247A9">
            <w:pPr>
              <w:pStyle w:val="TableText"/>
              <w:jc w:val="right"/>
            </w:pPr>
            <w:r w:rsidRPr="005B0796">
              <w:t>25</w:t>
            </w:r>
          </w:p>
        </w:tc>
        <w:tc>
          <w:tcPr>
            <w:tcW w:w="1095" w:type="dxa"/>
            <w:hideMark/>
          </w:tcPr>
          <w:p w:rsidR="007247A9" w:rsidRPr="005B0796" w:rsidRDefault="007247A9" w:rsidP="007247A9">
            <w:pPr>
              <w:pStyle w:val="TableText"/>
              <w:jc w:val="right"/>
            </w:pPr>
            <w:r w:rsidRPr="005B0796">
              <w:t>14</w:t>
            </w:r>
          </w:p>
        </w:tc>
        <w:tc>
          <w:tcPr>
            <w:tcW w:w="1040" w:type="dxa"/>
            <w:hideMark/>
          </w:tcPr>
          <w:p w:rsidR="007247A9" w:rsidRPr="005B0796" w:rsidRDefault="007247A9" w:rsidP="007247A9">
            <w:pPr>
              <w:pStyle w:val="TableText"/>
              <w:jc w:val="right"/>
            </w:pPr>
            <w:r w:rsidRPr="005B0796">
              <w:t>8</w:t>
            </w:r>
          </w:p>
        </w:tc>
        <w:tc>
          <w:tcPr>
            <w:tcW w:w="944" w:type="dxa"/>
            <w:hideMark/>
          </w:tcPr>
          <w:p w:rsidR="007247A9" w:rsidRPr="005B0796" w:rsidRDefault="007247A9" w:rsidP="007247A9">
            <w:pPr>
              <w:pStyle w:val="TableText"/>
              <w:jc w:val="right"/>
            </w:pPr>
            <w:r w:rsidRPr="005B0796">
              <w:t>5</w:t>
            </w:r>
          </w:p>
        </w:tc>
        <w:tc>
          <w:tcPr>
            <w:tcW w:w="827" w:type="dxa"/>
            <w:hideMark/>
          </w:tcPr>
          <w:p w:rsidR="007247A9" w:rsidRPr="005B0796" w:rsidRDefault="007247A9" w:rsidP="007247A9">
            <w:pPr>
              <w:pStyle w:val="TableText"/>
              <w:jc w:val="right"/>
            </w:pPr>
            <w:r w:rsidRPr="005B0796">
              <w:t>34</w:t>
            </w:r>
          </w:p>
        </w:tc>
        <w:tc>
          <w:tcPr>
            <w:tcW w:w="1044" w:type="dxa"/>
            <w:hideMark/>
          </w:tcPr>
          <w:p w:rsidR="007247A9" w:rsidRPr="005B0796" w:rsidRDefault="007247A9" w:rsidP="007247A9">
            <w:pPr>
              <w:pStyle w:val="TableText"/>
              <w:jc w:val="right"/>
            </w:pPr>
            <w:r w:rsidRPr="005B0796">
              <w:t>16</w:t>
            </w:r>
          </w:p>
        </w:tc>
      </w:tr>
      <w:tr w:rsidR="007247A9" w:rsidRPr="005B0796" w:rsidTr="007247A9">
        <w:trPr>
          <w:gridAfter w:val="1"/>
          <w:wAfter w:w="10" w:type="dxa"/>
        </w:trPr>
        <w:tc>
          <w:tcPr>
            <w:tcW w:w="1281" w:type="dxa"/>
            <w:hideMark/>
          </w:tcPr>
          <w:p w:rsidR="007247A9" w:rsidRPr="005B0796" w:rsidRDefault="007247A9" w:rsidP="007247A9">
            <w:pPr>
              <w:pStyle w:val="TableText"/>
              <w:rPr>
                <w:b/>
              </w:rPr>
            </w:pPr>
            <w:r w:rsidRPr="005B0796">
              <w:rPr>
                <w:b/>
              </w:rPr>
              <w:t>Missing</w:t>
            </w:r>
          </w:p>
        </w:tc>
        <w:tc>
          <w:tcPr>
            <w:tcW w:w="1031" w:type="dxa"/>
            <w:hideMark/>
          </w:tcPr>
          <w:p w:rsidR="007247A9" w:rsidRPr="005B0796" w:rsidRDefault="007247A9" w:rsidP="007247A9">
            <w:pPr>
              <w:pStyle w:val="TableText"/>
              <w:jc w:val="right"/>
            </w:pPr>
            <w:r w:rsidRPr="005B0796">
              <w:t>1</w:t>
            </w:r>
          </w:p>
        </w:tc>
        <w:tc>
          <w:tcPr>
            <w:tcW w:w="1007" w:type="dxa"/>
            <w:hideMark/>
          </w:tcPr>
          <w:p w:rsidR="007247A9" w:rsidRPr="005B0796" w:rsidRDefault="007247A9" w:rsidP="007247A9">
            <w:pPr>
              <w:pStyle w:val="TableText"/>
              <w:jc w:val="right"/>
            </w:pPr>
            <w:r w:rsidRPr="005B0796">
              <w:t>–</w:t>
            </w:r>
          </w:p>
        </w:tc>
        <w:tc>
          <w:tcPr>
            <w:tcW w:w="978" w:type="dxa"/>
            <w:hideMark/>
          </w:tcPr>
          <w:p w:rsidR="007247A9" w:rsidRPr="005B0796" w:rsidRDefault="007247A9" w:rsidP="007247A9">
            <w:pPr>
              <w:pStyle w:val="TableText"/>
              <w:jc w:val="right"/>
            </w:pPr>
            <w:r w:rsidRPr="005B0796">
              <w:t>2</w:t>
            </w:r>
          </w:p>
        </w:tc>
        <w:tc>
          <w:tcPr>
            <w:tcW w:w="1095" w:type="dxa"/>
            <w:hideMark/>
          </w:tcPr>
          <w:p w:rsidR="007247A9" w:rsidRPr="005B0796" w:rsidRDefault="007247A9" w:rsidP="007247A9">
            <w:pPr>
              <w:pStyle w:val="TableText"/>
              <w:jc w:val="right"/>
            </w:pPr>
            <w:r w:rsidRPr="005B0796">
              <w:t>1</w:t>
            </w:r>
          </w:p>
        </w:tc>
        <w:tc>
          <w:tcPr>
            <w:tcW w:w="1040" w:type="dxa"/>
            <w:hideMark/>
          </w:tcPr>
          <w:p w:rsidR="007247A9" w:rsidRPr="005B0796" w:rsidRDefault="007247A9" w:rsidP="007247A9">
            <w:pPr>
              <w:pStyle w:val="TableText"/>
              <w:jc w:val="right"/>
            </w:pPr>
            <w:r w:rsidRPr="005B0796">
              <w:t>2</w:t>
            </w:r>
          </w:p>
        </w:tc>
        <w:tc>
          <w:tcPr>
            <w:tcW w:w="944" w:type="dxa"/>
            <w:hideMark/>
          </w:tcPr>
          <w:p w:rsidR="007247A9" w:rsidRPr="005B0796" w:rsidRDefault="007247A9" w:rsidP="007247A9">
            <w:pPr>
              <w:pStyle w:val="TableText"/>
              <w:jc w:val="right"/>
            </w:pPr>
            <w:r w:rsidRPr="005B0796">
              <w:t>1</w:t>
            </w:r>
          </w:p>
        </w:tc>
        <w:tc>
          <w:tcPr>
            <w:tcW w:w="827" w:type="dxa"/>
            <w:hideMark/>
          </w:tcPr>
          <w:p w:rsidR="007247A9" w:rsidRPr="005B0796" w:rsidRDefault="007247A9" w:rsidP="007247A9">
            <w:pPr>
              <w:pStyle w:val="TableText"/>
              <w:jc w:val="right"/>
            </w:pPr>
            <w:r w:rsidRPr="005B0796">
              <w:t>7</w:t>
            </w:r>
          </w:p>
        </w:tc>
        <w:tc>
          <w:tcPr>
            <w:tcW w:w="1044" w:type="dxa"/>
            <w:hideMark/>
          </w:tcPr>
          <w:p w:rsidR="007247A9" w:rsidRPr="005B0796" w:rsidRDefault="007247A9" w:rsidP="007247A9">
            <w:pPr>
              <w:pStyle w:val="TableText"/>
              <w:jc w:val="right"/>
            </w:pPr>
            <w:r w:rsidRPr="005B0796">
              <w:t>4</w:t>
            </w:r>
          </w:p>
        </w:tc>
      </w:tr>
    </w:tbl>
    <w:p w:rsidR="00D123CA" w:rsidRPr="005B0796" w:rsidRDefault="007247A9" w:rsidP="007247A9">
      <w:pPr>
        <w:pStyle w:val="TableNotes"/>
      </w:pPr>
      <w:r w:rsidRPr="005B0796">
        <w:t>*Includes Combat Zone and MHPWS participants who were invited to participate but were not stratified</w:t>
      </w:r>
    </w:p>
    <w:p w:rsidR="00D123CA" w:rsidRPr="005B0796" w:rsidRDefault="00D123CA" w:rsidP="00D123CA"/>
    <w:p w:rsidR="00D123CA" w:rsidRPr="005B0796" w:rsidRDefault="00D123CA" w:rsidP="00D123CA">
      <w:pPr>
        <w:sectPr w:rsidR="00D123CA" w:rsidRPr="005B0796" w:rsidSect="00BE66A5">
          <w:footerReference w:type="even" r:id="rId28"/>
          <w:footerReference w:type="default" r:id="rId29"/>
          <w:pgSz w:w="14170" w:h="9979" w:orient="landscape" w:code="243"/>
          <w:pgMar w:top="1872" w:right="1440" w:bottom="1152" w:left="1440" w:header="576" w:footer="576" w:gutter="0"/>
          <w:cols w:space="708"/>
          <w:docGrid w:linePitch="360"/>
        </w:sectPr>
      </w:pPr>
    </w:p>
    <w:p w:rsidR="00371BEB" w:rsidRPr="005B0796" w:rsidRDefault="00371BEB" w:rsidP="007247A9">
      <w:pPr>
        <w:pStyle w:val="Heading2"/>
      </w:pPr>
      <w:bookmarkStart w:id="144" w:name="_Toc482021325"/>
      <w:bookmarkStart w:id="145" w:name="_Toc482024416"/>
      <w:bookmarkStart w:id="146" w:name="_Toc487011181"/>
      <w:bookmarkStart w:id="147" w:name="_Toc494449697"/>
      <w:bookmarkStart w:id="148" w:name="_Toc511900279"/>
      <w:r w:rsidRPr="005B0796">
        <w:t>Weighting</w:t>
      </w:r>
      <w:bookmarkEnd w:id="144"/>
      <w:bookmarkEnd w:id="145"/>
      <w:bookmarkEnd w:id="146"/>
      <w:bookmarkEnd w:id="147"/>
      <w:bookmarkEnd w:id="148"/>
    </w:p>
    <w:p w:rsidR="00371BEB" w:rsidRPr="005B0796" w:rsidRDefault="00371BEB" w:rsidP="007247A9">
      <w:r w:rsidRPr="005B0796">
        <w:t xml:space="preserve">The statistical weighting process used in the Mental Health and Wellbeing Transition Study replicated </w:t>
      </w:r>
      <w:r w:rsidR="00AA5E9D">
        <w:t>that</w:t>
      </w:r>
      <w:r w:rsidRPr="005B0796">
        <w:t xml:space="preserve"> used in the </w:t>
      </w:r>
      <w:bookmarkStart w:id="149" w:name="_Hlk489957808"/>
      <w:r w:rsidRPr="005B0796">
        <w:t>2010 MHPWS</w:t>
      </w:r>
      <w:bookmarkEnd w:id="149"/>
      <w:r w:rsidRPr="005B0796">
        <w:t>, and allowed for the inference of results for the Transitioned and 2015 Regular ADF populations. The following two types of weights were used in the</w:t>
      </w:r>
      <w:r w:rsidR="00462A0C" w:rsidRPr="005B0796">
        <w:t xml:space="preserve"> </w:t>
      </w:r>
      <w:r w:rsidRPr="005B0796">
        <w:t xml:space="preserve">study: </w:t>
      </w:r>
    </w:p>
    <w:p w:rsidR="00371BEB" w:rsidRPr="005B0796" w:rsidRDefault="00371BEB" w:rsidP="00720C92">
      <w:pPr>
        <w:pStyle w:val="Bullet"/>
      </w:pPr>
      <w:r w:rsidRPr="005B0796">
        <w:t>Survey responder weights were used to correct for differential non-response on the survey for both Transitioned ADF and 2015 Regular ADF members.</w:t>
      </w:r>
    </w:p>
    <w:p w:rsidR="00371BEB" w:rsidRPr="005B0796" w:rsidRDefault="00371BEB" w:rsidP="00720C92">
      <w:pPr>
        <w:pStyle w:val="Bullet"/>
      </w:pPr>
      <w:r w:rsidRPr="005B0796">
        <w:t xml:space="preserve">Two-phase CIDI responder weights, which compensated for both differential non-response on the survey, and for the over- or under-sampling of specific cases who went on to be interviewed with the CIDI. These weights apply to the Transitioned ADF only, and were used to generate 12-month and lifetime ICD-10 mental disorder prevalence estimates for the entire Transitioned ADF. </w:t>
      </w:r>
    </w:p>
    <w:p w:rsidR="00371BEB" w:rsidRPr="005B0796" w:rsidRDefault="00371BEB" w:rsidP="007247A9">
      <w:r w:rsidRPr="005B0796">
        <w:t xml:space="preserve">The weighting procedure involves allocating a representative value or </w:t>
      </w:r>
      <w:r w:rsidR="00462A0C" w:rsidRPr="005B0796">
        <w:t>‘</w:t>
      </w:r>
      <w:r w:rsidRPr="005B0796">
        <w:t>weight</w:t>
      </w:r>
      <w:r w:rsidR="00462A0C" w:rsidRPr="005B0796">
        <w:t>’</w:t>
      </w:r>
      <w:r w:rsidRPr="005B0796">
        <w:t xml:space="preserve"> to the data for each responder, based on key variables that are known for the entire population (for responders and non</w:t>
      </w:r>
      <w:r w:rsidRPr="005B0796">
        <w:noBreakHyphen/>
        <w:t xml:space="preserve">responders). This weight indicates how many individuals in the entire population are represented by each actual responder. Weighting data allows for inference of results for an entire population – in this case, the Transitioned ADF – by assigning a representative value in the data to each </w:t>
      </w:r>
      <w:r w:rsidR="00462A0C" w:rsidRPr="005B0796">
        <w:t>‘</w:t>
      </w:r>
      <w:r w:rsidRPr="005B0796">
        <w:t>actual</w:t>
      </w:r>
      <w:r w:rsidR="00462A0C" w:rsidRPr="005B0796">
        <w:t>’</w:t>
      </w:r>
      <w:r w:rsidRPr="005B0796">
        <w:t xml:space="preserve"> case (responder) in the data. If a case has a weight of 4, it means that case counts in the data as 4 identical cases. </w:t>
      </w:r>
    </w:p>
    <w:p w:rsidR="00371BEB" w:rsidRPr="005B0796" w:rsidRDefault="00371BEB" w:rsidP="007247A9">
      <w:r w:rsidRPr="005B0796">
        <w:t xml:space="preserve">By using known characteristics of each individual within the population (in this case, age, sex, rank and medical fitness), the weight assigned to responders indicates how many </w:t>
      </w:r>
      <w:r w:rsidR="00462A0C" w:rsidRPr="005B0796">
        <w:t>‘</w:t>
      </w:r>
      <w:r w:rsidRPr="005B0796">
        <w:t>like</w:t>
      </w:r>
      <w:r w:rsidR="00462A0C" w:rsidRPr="005B0796">
        <w:t>’</w:t>
      </w:r>
      <w:r w:rsidRPr="005B0796">
        <w:t xml:space="preserve"> individuals in the entire population (based on those characteristics) each responder represents. Weighting is used to correct for differential non-response and to account for systematic biases that may be present in study responders (for example, oversampling of high scorers for CIDI). Both types of weights were used in this study. </w:t>
      </w:r>
    </w:p>
    <w:p w:rsidR="00371BEB" w:rsidRPr="005B0796" w:rsidRDefault="00371BEB" w:rsidP="007247A9">
      <w:r w:rsidRPr="005B0796">
        <w:t>These two types of weights were combined to give each responder a single weight within the data. This methodology provides representative weights for the population, improving the accuracy of the estimated data, and requires that every individual within the population has actual data on the key variables that determine representativeness.</w:t>
      </w:r>
    </w:p>
    <w:p w:rsidR="00371BEB" w:rsidRPr="005B0796" w:rsidRDefault="00371BEB" w:rsidP="007247A9">
      <w:r w:rsidRPr="005B0796">
        <w:t xml:space="preserve">The Transitioned ADF weights were derived from the distinct strata of sex, Service, rank and medical fitness, a dichotomous variable derived from Medical Employment Classification (MEC) status. </w:t>
      </w:r>
      <w:r w:rsidR="00AA5E9D">
        <w:t>O</w:t>
      </w:r>
      <w:r w:rsidRPr="005B0796">
        <w:t>f the total Transitioned ADF population</w:t>
      </w:r>
      <w:r w:rsidR="00AA5E9D">
        <w:t>,</w:t>
      </w:r>
      <w:r w:rsidRPr="005B0796">
        <w:t xml:space="preserve"> </w:t>
      </w:r>
      <w:r w:rsidR="00AA5E9D">
        <w:t xml:space="preserve">313 (1.3%) had </w:t>
      </w:r>
      <w:r w:rsidRPr="005B0796">
        <w:t>missing information on the strata variables</w:t>
      </w:r>
      <w:r w:rsidR="00AA5E9D">
        <w:t>,</w:t>
      </w:r>
      <w:r w:rsidRPr="005B0796">
        <w:t xml:space="preserve"> and therefore the final weighted population for analyses was 24,932.</w:t>
      </w:r>
    </w:p>
    <w:p w:rsidR="00371BEB" w:rsidRPr="005B0796" w:rsidRDefault="00371BEB" w:rsidP="007247A9">
      <w:r w:rsidRPr="005B0796">
        <w:t>The 2015 Regular ADF weights were derived from the distinct strata of sex, Service, rank</w:t>
      </w:r>
      <w:r w:rsidR="00AA5E9D">
        <w:t>,</w:t>
      </w:r>
      <w:r w:rsidRPr="005B0796">
        <w:t xml:space="preserve"> medical fitness, and whether the individual participated in MilHOP. This additional stratification variable was included to account for the targeted sampling of the MilHOP cohort, which was then over-represented within the current serving responders. To reduce this bias, a MilHOP flag variable (yes/no = 1/0) was created and used in the weighting process. There were 192 (0.4%) 2015 Regular ADF with missing information on the strata variables, reducing the final weighted population for analysis to 52,500. Tables </w:t>
      </w:r>
      <w:r w:rsidR="00411B45" w:rsidRPr="005B0796">
        <w:t>B</w:t>
      </w:r>
      <w:r w:rsidRPr="005B0796">
        <w:t xml:space="preserve">.14, </w:t>
      </w:r>
      <w:r w:rsidR="00411B45" w:rsidRPr="005B0796">
        <w:t>B</w:t>
      </w:r>
      <w:r w:rsidRPr="005B0796">
        <w:t xml:space="preserve">.15 and </w:t>
      </w:r>
      <w:r w:rsidR="00411B45" w:rsidRPr="005B0796">
        <w:t>B</w:t>
      </w:r>
      <w:r w:rsidRPr="005B0796">
        <w:t>.16 present the study population and responders within each stratum used for weighting, and show approximately how many persons each study responder represents within each subpopulation.</w:t>
      </w:r>
    </w:p>
    <w:p w:rsidR="00371BEB" w:rsidRPr="005B0796" w:rsidRDefault="00371BEB" w:rsidP="007247A9">
      <w:pPr>
        <w:pStyle w:val="Heading3"/>
      </w:pPr>
      <w:bookmarkStart w:id="150" w:name="_Toc482021326"/>
      <w:bookmarkStart w:id="151" w:name="_Toc482024417"/>
      <w:bookmarkStart w:id="152" w:name="_Toc487011182"/>
      <w:bookmarkStart w:id="153" w:name="_Toc494449698"/>
      <w:bookmarkStart w:id="154" w:name="_Toc511900280"/>
      <w:r w:rsidRPr="005B0796">
        <w:t>Estimates from survey</w:t>
      </w:r>
      <w:bookmarkEnd w:id="150"/>
      <w:bookmarkEnd w:id="151"/>
      <w:bookmarkEnd w:id="152"/>
      <w:bookmarkEnd w:id="153"/>
      <w:bookmarkEnd w:id="154"/>
    </w:p>
    <w:p w:rsidR="00371BEB" w:rsidRPr="005B0796" w:rsidRDefault="00371BEB" w:rsidP="007247A9">
      <w:r w:rsidRPr="005B0796">
        <w:t xml:space="preserve">To maximise the data available for analysis, </w:t>
      </w:r>
      <w:r w:rsidRPr="005B0796">
        <w:rPr>
          <w:i/>
        </w:rPr>
        <w:t>survey</w:t>
      </w:r>
      <w:r w:rsidRPr="005B0796">
        <w:t xml:space="preserve"> weights were calculated for each section of the survey. This addressed the issue of differential responses to various sections of the survey, whereby individuals potentially completed some but not all parts of the survey. A </w:t>
      </w:r>
      <w:r w:rsidR="00462A0C" w:rsidRPr="005B0796">
        <w:t>‘</w:t>
      </w:r>
      <w:r w:rsidRPr="005B0796">
        <w:t>survey section responder</w:t>
      </w:r>
      <w:r w:rsidR="00462A0C" w:rsidRPr="005B0796">
        <w:t>’</w:t>
      </w:r>
      <w:r w:rsidRPr="005B0796">
        <w:t xml:space="preserve"> was defined as anyone who answered at least one question in a specific section of the survey. There were 29 section responder weight variables. For analysis, the weights used were always for the primary outcome variable of interest. </w:t>
      </w:r>
    </w:p>
    <w:p w:rsidR="00371BEB" w:rsidRPr="005B0796" w:rsidRDefault="00371BEB" w:rsidP="007247A9">
      <w:pPr>
        <w:pStyle w:val="Heading3"/>
      </w:pPr>
      <w:bookmarkStart w:id="155" w:name="_Toc482021327"/>
      <w:bookmarkStart w:id="156" w:name="_Toc482024418"/>
      <w:bookmarkStart w:id="157" w:name="_Toc487011183"/>
      <w:bookmarkStart w:id="158" w:name="_Toc494449699"/>
      <w:bookmarkStart w:id="159" w:name="_Toc511900281"/>
      <w:r w:rsidRPr="005B0796">
        <w:t>Estimates from the Composite International Diagnostic Interview</w:t>
      </w:r>
      <w:bookmarkEnd w:id="155"/>
      <w:bookmarkEnd w:id="156"/>
      <w:bookmarkEnd w:id="157"/>
      <w:bookmarkEnd w:id="158"/>
      <w:bookmarkEnd w:id="159"/>
    </w:p>
    <w:p w:rsidR="00371BEB" w:rsidRPr="005B0796" w:rsidRDefault="00371BEB" w:rsidP="007247A9">
      <w:pPr>
        <w:rPr>
          <w:rFonts w:eastAsia="MS Mincho"/>
        </w:rPr>
      </w:pPr>
      <w:r w:rsidRPr="005B0796">
        <w:t>CIDI weights were derived for the Transitioned</w:t>
      </w:r>
      <w:r w:rsidR="00AA5E9D">
        <w:t xml:space="preserve"> ADF based on strata including b</w:t>
      </w:r>
      <w:r w:rsidRPr="005B0796">
        <w:t xml:space="preserve">and (cut-offs based on PCL and AUDIT), sex and Service. These strata were used to weight the CIDI responses to the entire population. Within each stratum, the weight was calculated as the population size, divided by the number of CIDI respondents from the stratum. As there was no band for non-respondents, the population size within each stratum was estimated by multiplying the known sex by Service population total by the observed proportion belonging to the band of interest in the corresponding stratum. A finite population correction was also applied to adjust the variance estimates for the reasonably large sampling fraction within each stratum. </w:t>
      </w:r>
    </w:p>
    <w:p w:rsidR="00371BEB" w:rsidRPr="005B0796" w:rsidRDefault="00371BEB" w:rsidP="007247A9">
      <w:r w:rsidRPr="005B0796">
        <w:t>Post-stratification by the variables of sex, Service and rank was used to adjust the weights so that the</w:t>
      </w:r>
      <w:r w:rsidR="00BB6C7A" w:rsidRPr="005B0796">
        <w:t xml:space="preserve"> </w:t>
      </w:r>
      <w:r w:rsidRPr="005B0796">
        <w:t>known population totals were reproduced by the estimates, and to correct for differential non</w:t>
      </w:r>
      <w:r w:rsidRPr="005B0796">
        <w:noBreakHyphen/>
        <w:t>response by rank.</w:t>
      </w:r>
    </w:p>
    <w:p w:rsidR="00371BEB" w:rsidRPr="005B0796" w:rsidRDefault="00371BEB" w:rsidP="007247A9">
      <w:pPr>
        <w:pStyle w:val="Heading2"/>
      </w:pPr>
      <w:bookmarkStart w:id="160" w:name="_Toc482021329"/>
      <w:bookmarkStart w:id="161" w:name="_Toc482024420"/>
      <w:bookmarkStart w:id="162" w:name="_Toc487011184"/>
      <w:bookmarkStart w:id="163" w:name="_Toc494449700"/>
      <w:bookmarkStart w:id="164" w:name="_Toc511900282"/>
      <w:r w:rsidRPr="005B0796">
        <w:t>Measures used in this report</w:t>
      </w:r>
      <w:bookmarkEnd w:id="160"/>
      <w:bookmarkEnd w:id="161"/>
      <w:bookmarkEnd w:id="162"/>
      <w:bookmarkEnd w:id="163"/>
      <w:bookmarkEnd w:id="164"/>
    </w:p>
    <w:p w:rsidR="00371BEB" w:rsidRPr="005B0796" w:rsidRDefault="00371BEB" w:rsidP="007247A9">
      <w:pPr>
        <w:pStyle w:val="Heading3"/>
      </w:pPr>
      <w:bookmarkStart w:id="165" w:name="_Toc482021331"/>
      <w:bookmarkStart w:id="166" w:name="_Toc482024422"/>
      <w:bookmarkStart w:id="167" w:name="_Toc487011185"/>
      <w:bookmarkStart w:id="168" w:name="_Toc494449701"/>
      <w:bookmarkStart w:id="169" w:name="_Toc511900283"/>
      <w:r w:rsidRPr="005B0796">
        <w:t>Self-report survey</w:t>
      </w:r>
      <w:bookmarkEnd w:id="165"/>
      <w:bookmarkEnd w:id="166"/>
      <w:bookmarkEnd w:id="167"/>
      <w:bookmarkEnd w:id="168"/>
      <w:bookmarkEnd w:id="169"/>
    </w:p>
    <w:p w:rsidR="00371BEB" w:rsidRPr="005B0796" w:rsidRDefault="00371BEB" w:rsidP="00687F6B">
      <w:pPr>
        <w:keepNext/>
        <w:spacing w:before="100" w:beforeAutospacing="1" w:after="100" w:afterAutospacing="1"/>
        <w:rPr>
          <w:rFonts w:eastAsia="MS Mincho" w:cs="Calibri"/>
          <w:szCs w:val="22"/>
        </w:rPr>
      </w:pPr>
      <w:r w:rsidRPr="005B0796">
        <w:rPr>
          <w:rFonts w:cs="Calibri"/>
          <w:szCs w:val="22"/>
        </w:rPr>
        <w:t>The following measures were used in the self-report survey to examine mental health symptoms:</w:t>
      </w:r>
    </w:p>
    <w:p w:rsidR="00371BEB" w:rsidRPr="005B0796" w:rsidRDefault="00371BEB" w:rsidP="00720C92">
      <w:pPr>
        <w:pStyle w:val="Bullet"/>
      </w:pPr>
      <w:bookmarkStart w:id="170" w:name="_Toc487011186"/>
      <w:bookmarkStart w:id="171" w:name="_Toc482021330"/>
      <w:bookmarkStart w:id="172" w:name="_Toc482024421"/>
      <w:r w:rsidRPr="005B0796">
        <w:t xml:space="preserve">Kessler Psychological Distress Scale (K10) </w:t>
      </w:r>
      <w:r w:rsidRPr="005B0796">
        <w:fldChar w:fldCharType="begin"/>
      </w:r>
      <w:r w:rsidRPr="005B0796">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5B0796">
        <w:fldChar w:fldCharType="separate"/>
      </w:r>
      <w:r w:rsidRPr="005B0796">
        <w:t>(Kessler et al., 2002)</w:t>
      </w:r>
      <w:r w:rsidRPr="005B0796">
        <w:fldChar w:fldCharType="end"/>
      </w:r>
      <w:r w:rsidRPr="005B0796">
        <w:t xml:space="preserve"> to measure psychological distress</w:t>
      </w:r>
    </w:p>
    <w:p w:rsidR="00371BEB" w:rsidRPr="005B0796" w:rsidRDefault="00371BEB" w:rsidP="00720C92">
      <w:pPr>
        <w:pStyle w:val="Bullet"/>
      </w:pPr>
      <w:r w:rsidRPr="005B0796">
        <w:t xml:space="preserve">Posttraumatic Stress Disorder Checklist – civilian version (PCL-C) </w:t>
      </w:r>
      <w:r w:rsidRPr="005B0796">
        <w:fldChar w:fldCharType="begin"/>
      </w:r>
      <w:r w:rsidRPr="005B0796">
        <w:instrText xml:space="preserve"> ADDIN EN.CITE &lt;EndNote&gt;&lt;Cite&gt;&lt;Author&gt;Weathers&lt;/Author&gt;&lt;Year&gt;1993&lt;/Year&gt;&lt;RecNum&gt;452&lt;/RecNum&gt;&lt;DisplayText&gt;(Weathers, 1993)&lt;/DisplayText&gt;&lt;record&gt;&lt;rec-number&gt;452&lt;/rec-number&gt;&lt;foreign-keys&gt;&lt;key app="EN" db-id="arwdrezp9sdawxevtfyxtfw10exvr5exxfed" timestamp="1478238811"&gt;452&lt;/key&gt;&lt;/foreign-keys&gt;&lt;ref-type name="Conference Paper"&gt;47&lt;/ref-type&gt;&lt;contributors&gt;&lt;authors&gt;&lt;author&gt;Weathers, F. W., Litz, B. T., Herman, D. S., Huska, J. A., &amp;amp; Keane, T. M&lt;/author&gt;&lt;/authors&gt;&lt;/contributors&gt;&lt;titles&gt;&lt;title&gt;The PTSD Checklist (PCL): Reliability, validity, and diagnostic utility.&lt;/title&gt;&lt;secondary-title&gt;Paper presented at the 9th Annual Conference of the ISTSS&lt;/secondary-title&gt;&lt;/titles&gt;&lt;dates&gt;&lt;year&gt;1993&lt;/year&gt;&lt;/dates&gt;&lt;pub-location&gt;San Antonio, TX.&lt;/pub-location&gt;&lt;urls&gt;&lt;/urls&gt;&lt;/record&gt;&lt;/Cite&gt;&lt;/EndNote&gt;</w:instrText>
      </w:r>
      <w:r w:rsidRPr="005B0796">
        <w:fldChar w:fldCharType="separate"/>
      </w:r>
      <w:r w:rsidRPr="005B0796">
        <w:t>(Weathers, 1993)</w:t>
      </w:r>
      <w:r w:rsidRPr="005B0796">
        <w:fldChar w:fldCharType="end"/>
      </w:r>
      <w:r w:rsidRPr="005B0796">
        <w:t xml:space="preserve"> to examine symptoms of posttraumatic stress</w:t>
      </w:r>
    </w:p>
    <w:p w:rsidR="00371BEB" w:rsidRPr="005B0796" w:rsidRDefault="00371BEB" w:rsidP="00720C92">
      <w:pPr>
        <w:pStyle w:val="Bullet"/>
      </w:pPr>
      <w:r w:rsidRPr="005B0796">
        <w:t xml:space="preserve">Alcohol Use Disorders Identification Test (AUDIT) </w:t>
      </w:r>
      <w:r w:rsidRPr="005B0796">
        <w:fldChar w:fldCharType="begin">
          <w:fldData xml:space="preserve">PEVuZE5vdGU+PENpdGU+PEF1dGhvcj5TYXVuZGVyczwvQXV0aG9yPjxZZWFyPjE5OTM8L1llYXI+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</w:fldData>
        </w:fldChar>
      </w:r>
      <w:r w:rsidRPr="005B0796">
        <w:instrText xml:space="preserve"> ADDIN EN.CITE </w:instrText>
      </w:r>
      <w:r w:rsidRPr="005B0796">
        <w:fldChar w:fldCharType="begin">
          <w:fldData xml:space="preserve">PEVuZE5vdGU+PENpdGU+PEF1dGhvcj5TYXVuZGVyczwvQXV0aG9yPjxZZWFyPjE5OTM8L1llYXI+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</w:fldData>
        </w:fldChar>
      </w:r>
      <w:r w:rsidRPr="005B0796">
        <w:instrText xml:space="preserve"> ADDIN EN.CITE.DATA </w:instrText>
      </w:r>
      <w:r w:rsidRPr="005B0796">
        <w:fldChar w:fldCharType="end"/>
      </w:r>
      <w:r w:rsidRPr="005B0796">
        <w:fldChar w:fldCharType="separate"/>
      </w:r>
      <w:r w:rsidRPr="005B0796">
        <w:t>(Saunders et al., 1993)</w:t>
      </w:r>
      <w:r w:rsidRPr="005B0796">
        <w:fldChar w:fldCharType="end"/>
      </w:r>
      <w:r w:rsidRPr="005B0796">
        <w:t xml:space="preserve"> to examine at-risk patterns of drinking</w:t>
      </w:r>
    </w:p>
    <w:p w:rsidR="00371BEB" w:rsidRPr="005B0796" w:rsidRDefault="00371BEB" w:rsidP="00720C92">
      <w:pPr>
        <w:pStyle w:val="Bullet"/>
      </w:pPr>
      <w:r w:rsidRPr="005B0796">
        <w:t xml:space="preserve">Patient Health Questionnaire (PHQ-9) to examine depressive symptoms </w:t>
      </w:r>
      <w:r w:rsidRPr="005B0796">
        <w:fldChar w:fldCharType="begin"/>
      </w:r>
      <w:r w:rsidRPr="005B0796">
        <w:instrText xml:space="preserve"> ADDIN EN.CITE &lt;EndNote&gt;&lt;Cite&gt;&lt;Author&gt;Kroenke&lt;/Author&gt;&lt;Year&gt;2001&lt;/Year&gt;&lt;RecNum&gt;418&lt;/RecNum&gt;&lt;DisplayText&gt;(Kroenke et al., 2001)&lt;/DisplayText&gt;&lt;record&gt;&lt;rec-number&gt;418&lt;/rec-number&gt;&lt;foreign-keys&gt;&lt;key app="EN" db-id="arwdrezp9sdawxevtfyxtfw10exvr5exxfed" timestamp="1478232442"&gt;418&lt;/key&gt;&lt;/foreign-keys&gt;&lt;ref-type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Med&lt;/secondary-title&gt;&lt;alt-title&gt;Journal of general internal medicine&lt;/alt-title&gt;&lt;/titles&gt;&lt;periodical&gt;&lt;full-title&gt;J Gen Intern Med&lt;/full-title&gt;&lt;/periodical&gt;&lt;pages&gt;606-13&lt;/pages&gt;&lt;volume&gt;16&lt;/volume&gt;&lt;number&gt;9&lt;/number&gt;&lt;edition&gt;2001/09/15&lt;/edition&gt;&lt;keywords&gt;&lt;keyword&gt;Adult&lt;/keyword&gt;&lt;keyword&gt;Depression/*diagnosis&lt;/keyword&gt;&lt;keyword&gt;Female&lt;/keyword&gt;&lt;keyword&gt;Humans&lt;/keyword&gt;&lt;keyword&gt;Male&lt;/keyword&gt;&lt;keyword&gt;Middle Aged&lt;/keyword&gt;&lt;keyword&gt;Psychological Tests&lt;/keyword&gt;&lt;keyword&gt;*Questionnaires&lt;/keyword&gt;&lt;keyword&gt;Reproducibility of Results&lt;/keyword&gt;&lt;keyword&gt;*Severity of Illness Index&lt;/keyword&gt;&lt;/keywords&gt;&lt;dates&gt;&lt;year&gt;2001&lt;/year&gt;&lt;pub-dates&gt;&lt;date&gt;Sep&lt;/date&gt;&lt;/pub-dates&gt;&lt;/dates&gt;&lt;isbn&gt;0884-8734 (Print)&amp;#xD;0884-8734 (Linking)&lt;/isbn&gt;&lt;accession-num&gt;11556941&lt;/accession-num&gt;&lt;work-type&gt;Research Support, Non-U.S. Gov&amp;apos;t&amp;#xD;Validation Studies&lt;/work-type&gt;&lt;urls&gt;&lt;related-urls&gt;&lt;url&gt;http://www.ncbi.nlm.nih.gov/pubmed/11556941&lt;/url&gt;&lt;/related-urls&gt;&lt;/urls&gt;&lt;custom2&gt;1495268&lt;/custom2&gt;&lt;language&gt;eng&lt;/language&gt;&lt;/record&gt;&lt;/Cite&gt;&lt;/EndNote&gt;</w:instrText>
      </w:r>
      <w:r w:rsidRPr="005B0796">
        <w:fldChar w:fldCharType="separate"/>
      </w:r>
      <w:r w:rsidRPr="005B0796">
        <w:t>(Kroenke et al., 2001)</w:t>
      </w:r>
      <w:r w:rsidRPr="005B0796">
        <w:fldChar w:fldCharType="end"/>
      </w:r>
    </w:p>
    <w:p w:rsidR="00371BEB" w:rsidRPr="005B0796" w:rsidRDefault="00371BEB" w:rsidP="00720C92">
      <w:pPr>
        <w:pStyle w:val="Bullet"/>
      </w:pPr>
      <w:r w:rsidRPr="005B0796">
        <w:t xml:space="preserve">Dimensions of Anger Reactions Scale (DAR-5) </w: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 </w:instrTex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EN.CITE.DATA </w:instrText>
      </w:r>
      <w:r w:rsidRPr="005B0796">
        <w:fldChar w:fldCharType="end"/>
      </w:r>
      <w:r w:rsidRPr="005B0796">
        <w:fldChar w:fldCharType="separate"/>
      </w:r>
      <w:r w:rsidRPr="005B0796">
        <w:t>(Forbes et al., 2004)</w:t>
      </w:r>
      <w:r w:rsidRPr="005B0796">
        <w:fldChar w:fldCharType="end"/>
      </w:r>
      <w:r w:rsidRPr="005B0796">
        <w:t xml:space="preserve"> to assess anger frequency, intensity and duration, and its perceived negative impact on social relationships</w:t>
      </w:r>
    </w:p>
    <w:p w:rsidR="00371BEB" w:rsidRPr="005B0796" w:rsidRDefault="00371BEB" w:rsidP="00720C92">
      <w:pPr>
        <w:pStyle w:val="Bullet"/>
      </w:pPr>
      <w:r w:rsidRPr="005B0796">
        <w:t xml:space="preserve">Five items examining suicidal ideation and behaviour adapted from the NSMHW </w:t>
      </w:r>
      <w:r w:rsidRPr="005B0796">
        <w:fldChar w:fldCharType="begin"/>
      </w:r>
      <w:r w:rsidRPr="005B0796">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5B0796">
        <w:fldChar w:fldCharType="separate"/>
      </w:r>
      <w:r w:rsidRPr="005B0796">
        <w:t>(Australian Bureau of Statistics, 2008)</w:t>
      </w:r>
      <w:r w:rsidRPr="005B0796">
        <w:fldChar w:fldCharType="end"/>
      </w:r>
    </w:p>
    <w:p w:rsidR="00371BEB" w:rsidRPr="005B0796" w:rsidRDefault="00371BEB" w:rsidP="00720C92">
      <w:pPr>
        <w:pStyle w:val="Bullet"/>
        <w:rPr>
          <w:rFonts w:cs="Calibri"/>
          <w:szCs w:val="22"/>
        </w:rPr>
      </w:pPr>
      <w:r w:rsidRPr="005B0796">
        <w:rPr>
          <w:rFonts w:eastAsia="MS Mincho" w:cs="Calibri"/>
          <w:szCs w:val="22"/>
        </w:rPr>
        <w:t xml:space="preserve">Items from the 2013 National Drug Strategy Household Survey </w:t>
      </w:r>
      <w:r w:rsidRPr="005B0796">
        <w:rPr>
          <w:rFonts w:eastAsia="MS Mincho" w:cs="Calibri"/>
          <w:b/>
          <w:szCs w:val="22"/>
        </w:rPr>
        <w:fldChar w:fldCharType="begin"/>
      </w:r>
      <w:r w:rsidRPr="005B0796">
        <w:rPr>
          <w:rFonts w:eastAsia="MS Mincho" w:cs="Calibri"/>
          <w:szCs w:val="22"/>
        </w:rPr>
        <w:instrText xml:space="preserve"> ADDIN EN.CITE &lt;EndNote&gt;&lt;Cite&gt;&lt;Author&gt;Australian Institute of Health and Welfare&lt;/Author&gt;&lt;Year&gt;2011&lt;/Year&gt;&lt;RecNum&gt;438&lt;/RecNum&gt;&lt;DisplayText&gt;(Australian Institute of Health and Welfare, 2011)&lt;/DisplayText&gt;&lt;record&gt;&lt;rec-number&gt;438&lt;/rec-number&gt;&lt;foreign-keys&gt;&lt;key app="EN" db-id="arwdrezp9sdawxevtfyxtfw10exvr5exxfed" timestamp="1478233743"&gt;438&lt;/key&gt;&lt;/foreign-keys&gt;&lt;ref-type name="Book"&gt;6&lt;/ref-type&gt;&lt;contributors&gt;&lt;authors&gt;&lt;author&gt;Australian Institute of Health and Welfare,&lt;/author&gt;&lt;/authors&gt;&lt;/contributors&gt;&lt;titles&gt;&lt;title&gt;2010 National Drug Strategy Household Survey report.&lt;/title&gt;&lt;/titles&gt;&lt;dates&gt;&lt;year&gt;2011&lt;/year&gt;&lt;/dates&gt;&lt;pub-location&gt; Canberra&lt;/pub-location&gt;&lt;urls&gt;&lt;/urls&gt;&lt;/record&gt;&lt;/Cite&gt;&lt;/EndNote&gt;</w:instrText>
      </w:r>
      <w:r w:rsidRPr="005B0796">
        <w:rPr>
          <w:rFonts w:eastAsia="MS Mincho" w:cs="Calibri"/>
          <w:b/>
          <w:szCs w:val="22"/>
        </w:rPr>
        <w:fldChar w:fldCharType="separate"/>
      </w:r>
      <w:r w:rsidRPr="005B0796">
        <w:rPr>
          <w:rFonts w:eastAsia="MS Mincho" w:cs="Calibri"/>
          <w:szCs w:val="22"/>
        </w:rPr>
        <w:t>(Australian Institute of Health and Welfare, 2011)</w:t>
      </w:r>
      <w:r w:rsidRPr="005B0796">
        <w:rPr>
          <w:rFonts w:eastAsia="MS Mincho" w:cs="Calibri"/>
          <w:b/>
          <w:szCs w:val="22"/>
        </w:rPr>
        <w:fldChar w:fldCharType="end"/>
      </w:r>
      <w:r w:rsidRPr="005B0796">
        <w:rPr>
          <w:rFonts w:eastAsia="MS Mincho" w:cs="Calibri"/>
          <w:szCs w:val="22"/>
        </w:rPr>
        <w:t xml:space="preserve"> to examine 12-month and lifetime drug use in Transitioned ADF only </w:t>
      </w:r>
    </w:p>
    <w:p w:rsidR="00371BEB" w:rsidRPr="005B0796" w:rsidRDefault="00371BEB" w:rsidP="00720C92">
      <w:pPr>
        <w:pStyle w:val="Bullet"/>
      </w:pPr>
      <w:r w:rsidRPr="005B0796">
        <w:t xml:space="preserve">Generalised Anxiety Disorder 7-item Scale (GAD-7) to examine symptoms of generalised anxiety disorder (GAD) </w:t>
      </w:r>
      <w:r w:rsidRPr="005B0796">
        <w:fldChar w:fldCharType="begin"/>
      </w:r>
      <w:r w:rsidRPr="005B0796">
        <w:instrText xml:space="preserve"> ADDIN EN.CITE &lt;EndNote&gt;&lt;Cite&gt;&lt;Author&gt;Spitzer&lt;/Author&gt;&lt;Year&gt;2006&lt;/Year&gt;&lt;RecNum&gt;450&lt;/RecNum&gt;&lt;DisplayText&gt;(Spitzer, 2006)&lt;/DisplayText&gt;&lt;record&gt;&lt;rec-number&gt;450&lt;/rec-number&gt;&lt;foreign-keys&gt;&lt;key app="EN" db-id="arwdrezp9sdawxevtfyxtfw10exvr5exxfed" timestamp="1478238710"&gt;450&lt;/key&gt;&lt;/foreign-keys&gt;&lt;ref-type name="Journal Article"&gt;17&lt;/ref-type&gt;&lt;contributors&gt;&lt;authors&gt;&lt;author&gt;Spitzer, Rl, Kroenke K. Williams J. W. Löwe B.&lt;/author&gt;&lt;/authors&gt;&lt;/contributors&gt;&lt;titles&gt;&lt;title&gt;A brief measure for assessing generalized anxiety disorder: The GAD-7&lt;/title&gt;&lt;secondary-title&gt;Archives of Internal Medicine&lt;/secondary-title&gt;&lt;/titles&gt;&lt;periodical&gt;&lt;full-title&gt;Archives of Internal Medicine&lt;/full-title&gt;&lt;abbr-1&gt;Archives of internal medicine&lt;/abbr-1&gt;&lt;/periodical&gt;&lt;pages&gt;1092-1097&lt;/pages&gt;&lt;volume&gt;166&lt;/volume&gt;&lt;number&gt;10&lt;/number&gt;&lt;dates&gt;&lt;year&gt;2006&lt;/year&gt;&lt;/dates&gt;&lt;isbn&gt;0003-9926&lt;/isbn&gt;&lt;urls&gt;&lt;related-urls&gt;&lt;url&gt;http://dx.doi.org/10.1001/archinte.166.10.1092&lt;/url&gt;&lt;url&gt;http://archinte.jamanetwork.com/data/Journals/INTEMED/5536/ioi60000.pdf&lt;/url&gt;&lt;/related-urls&gt;&lt;/urls&gt;&lt;electronic-resource-num&gt;10.1001/archinte.166.10.1092&lt;/electronic-resource-num&gt;&lt;/record&gt;&lt;/Cite&gt;&lt;/EndNote&gt;</w:instrText>
      </w:r>
      <w:r w:rsidRPr="005B0796">
        <w:fldChar w:fldCharType="separate"/>
      </w:r>
      <w:r w:rsidRPr="005B0796">
        <w:t>(Spitzer, 2006)</w:t>
      </w:r>
      <w:r w:rsidRPr="005B0796">
        <w:fldChar w:fldCharType="end"/>
      </w:r>
    </w:p>
    <w:p w:rsidR="00371BEB" w:rsidRPr="005B0796" w:rsidRDefault="00371BEB" w:rsidP="00720C92">
      <w:pPr>
        <w:pStyle w:val="Bullet"/>
      </w:pPr>
      <w:r w:rsidRPr="005B0796">
        <w:t xml:space="preserve">Deployment exposure items drawn from the MEAO Census </w:t>
      </w:r>
      <w:r w:rsidRPr="005B0796">
        <w:fldChar w:fldCharType="begin"/>
      </w:r>
      <w:r w:rsidRPr="005B0796">
        <w:instrText xml:space="preserve"> ADDIN EN.CITE &lt;EndNote&gt;&lt;Cite&gt;&lt;Author&gt;Dobson&lt;/Author&gt;&lt;Year&gt;2012&lt;/Year&gt;&lt;RecNum&gt;440&lt;/RecNum&gt;&lt;DisplayText&gt;(Dobson et al., 2012)&lt;/DisplayText&gt;&lt;record&gt;&lt;rec-number&gt;440&lt;/rec-number&gt;&lt;foreign-keys&gt;&lt;key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Health.&lt;/publisher&gt;&lt;urls&gt;&lt;/urls&gt;&lt;/record&gt;&lt;/Cite&gt;&lt;/EndNote&gt;</w:instrText>
      </w:r>
      <w:r w:rsidRPr="005B0796">
        <w:fldChar w:fldCharType="separate"/>
      </w:r>
      <w:r w:rsidRPr="005B0796">
        <w:t>(Dobson et al., 2012)</w:t>
      </w:r>
      <w:r w:rsidRPr="005B0796">
        <w:fldChar w:fldCharType="end"/>
      </w:r>
      <w:r w:rsidRPr="005B0796">
        <w:t xml:space="preserve"> </w:t>
      </w:r>
    </w:p>
    <w:p w:rsidR="00371BEB" w:rsidRPr="005B0796" w:rsidRDefault="00371BEB" w:rsidP="007247A9">
      <w:pPr>
        <w:pStyle w:val="Bullet"/>
      </w:pPr>
      <w:r w:rsidRPr="005B0796">
        <w:t xml:space="preserve">Self-report lifetime trauma exposure questions drawn from the PTSD module of the CIDI </w:t>
      </w:r>
      <w:r w:rsidRPr="005B0796">
        <w:fldChar w:fldCharType="begin"/>
      </w:r>
      <w:r w:rsidRPr="005B0796">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fldChar w:fldCharType="separate"/>
      </w:r>
      <w:r w:rsidRPr="005B0796">
        <w:t>(Haro et al., 2006)</w:t>
      </w:r>
      <w:r w:rsidRPr="005B0796">
        <w:fldChar w:fldCharType="end"/>
      </w:r>
      <w:r w:rsidRPr="005B0796">
        <w:t xml:space="preserve">. Participants were provided with a list of 27 traumatic events and were asked to identify which of these events they had experienced during their lifetime. Participants were then required to indicate which of the events they indicated </w:t>
      </w:r>
      <w:r w:rsidR="00462A0C" w:rsidRPr="005B0796">
        <w:t>‘</w:t>
      </w:r>
      <w:r w:rsidRPr="005B0796">
        <w:t>yes</w:t>
      </w:r>
      <w:r w:rsidR="00462A0C" w:rsidRPr="005B0796">
        <w:t>’</w:t>
      </w:r>
      <w:r w:rsidRPr="005B0796">
        <w:t xml:space="preserve"> to was their worst event.</w:t>
      </w:r>
    </w:p>
    <w:p w:rsidR="00371BEB" w:rsidRPr="005B0796" w:rsidRDefault="00371BEB" w:rsidP="007247A9">
      <w:pPr>
        <w:pStyle w:val="Heading3"/>
      </w:pPr>
      <w:bookmarkStart w:id="173" w:name="_Toc494449702"/>
      <w:bookmarkStart w:id="174" w:name="_Toc511900284"/>
      <w:r w:rsidRPr="005B0796">
        <w:t>Composite International Diagnostic Interview</w:t>
      </w:r>
      <w:bookmarkEnd w:id="173"/>
      <w:bookmarkEnd w:id="174"/>
      <w:r w:rsidRPr="005B0796">
        <w:t xml:space="preserve"> </w:t>
      </w:r>
      <w:bookmarkEnd w:id="170"/>
      <w:bookmarkEnd w:id="171"/>
      <w:bookmarkEnd w:id="172"/>
    </w:p>
    <w:p w:rsidR="00371BEB" w:rsidRPr="005B0796" w:rsidRDefault="00371BEB" w:rsidP="00AA5E9D">
      <w:pPr>
        <w:keepNext/>
        <w:rPr>
          <w:rFonts w:eastAsia="MS Mincho"/>
        </w:rPr>
      </w:pPr>
      <w:r w:rsidRPr="005B0796">
        <w:t xml:space="preserve">The following lifetime and 12-month ICD-10 mental disorders were </w:t>
      </w:r>
      <w:bookmarkStart w:id="175" w:name="_Hlk489950343"/>
      <w:r w:rsidRPr="005B0796">
        <w:t>examined for Transitioned ADF members using the CIDI</w:t>
      </w:r>
      <w:bookmarkEnd w:id="175"/>
      <w:r w:rsidRPr="005B0796">
        <w:t>:</w:t>
      </w:r>
    </w:p>
    <w:p w:rsidR="00371BEB" w:rsidRPr="005B0796" w:rsidRDefault="00371BEB" w:rsidP="00720C92">
      <w:pPr>
        <w:pStyle w:val="Bullet"/>
      </w:pPr>
      <w:r w:rsidRPr="005B0796">
        <w:t>ICD-10 anxiety disorders:</w:t>
      </w:r>
    </w:p>
    <w:p w:rsidR="00371BEB" w:rsidRPr="005B0796" w:rsidRDefault="00371BEB" w:rsidP="007247A9">
      <w:pPr>
        <w:pStyle w:val="Dash"/>
        <w:contextualSpacing/>
      </w:pPr>
      <w:r w:rsidRPr="005B0796">
        <w:t>panic attack</w:t>
      </w:r>
    </w:p>
    <w:p w:rsidR="00371BEB" w:rsidRPr="005B0796" w:rsidRDefault="00371BEB" w:rsidP="007247A9">
      <w:pPr>
        <w:pStyle w:val="Dash"/>
        <w:contextualSpacing/>
      </w:pPr>
      <w:r w:rsidRPr="005B0796">
        <w:t>panic disorder</w:t>
      </w:r>
    </w:p>
    <w:p w:rsidR="00371BEB" w:rsidRPr="005B0796" w:rsidRDefault="00371BEB" w:rsidP="007247A9">
      <w:pPr>
        <w:pStyle w:val="Dash"/>
        <w:contextualSpacing/>
      </w:pPr>
      <w:r w:rsidRPr="005B0796">
        <w:t>agoraphobia</w:t>
      </w:r>
    </w:p>
    <w:p w:rsidR="00371BEB" w:rsidRPr="005B0796" w:rsidRDefault="00371BEB" w:rsidP="007247A9">
      <w:pPr>
        <w:pStyle w:val="Dash"/>
        <w:contextualSpacing/>
      </w:pPr>
      <w:r w:rsidRPr="005B0796">
        <w:t>social phobia</w:t>
      </w:r>
    </w:p>
    <w:p w:rsidR="00371BEB" w:rsidRPr="005B0796" w:rsidRDefault="00371BEB" w:rsidP="007247A9">
      <w:pPr>
        <w:pStyle w:val="Dash"/>
        <w:contextualSpacing/>
      </w:pPr>
      <w:r w:rsidRPr="005B0796">
        <w:t>specific phobia</w:t>
      </w:r>
    </w:p>
    <w:p w:rsidR="00371BEB" w:rsidRPr="005B0796" w:rsidRDefault="00371BEB" w:rsidP="007247A9">
      <w:pPr>
        <w:pStyle w:val="Dash"/>
        <w:contextualSpacing/>
      </w:pPr>
      <w:r w:rsidRPr="005B0796">
        <w:t>generalised anxiety disorder (GAD)</w:t>
      </w:r>
    </w:p>
    <w:p w:rsidR="00371BEB" w:rsidRPr="005B0796" w:rsidRDefault="00371BEB" w:rsidP="007247A9">
      <w:pPr>
        <w:pStyle w:val="Dash"/>
        <w:contextualSpacing/>
      </w:pPr>
      <w:r w:rsidRPr="005B0796">
        <w:t>obsessive-compulsive disorder (OCD)</w:t>
      </w:r>
    </w:p>
    <w:p w:rsidR="00371BEB" w:rsidRPr="005B0796" w:rsidRDefault="00371BEB" w:rsidP="007247A9">
      <w:pPr>
        <w:pStyle w:val="Dash"/>
        <w:contextualSpacing/>
      </w:pPr>
      <w:r w:rsidRPr="005B0796">
        <w:t>posttraumatic stress disorder (PTSD)</w:t>
      </w:r>
    </w:p>
    <w:p w:rsidR="00371BEB" w:rsidRPr="005B0796" w:rsidRDefault="00371BEB" w:rsidP="00720C92">
      <w:pPr>
        <w:pStyle w:val="Bullet"/>
      </w:pPr>
      <w:r w:rsidRPr="005B0796">
        <w:t>ICD-10 affective disorders:</w:t>
      </w:r>
    </w:p>
    <w:p w:rsidR="00371BEB" w:rsidRPr="005B0796" w:rsidRDefault="00371BEB" w:rsidP="007247A9">
      <w:pPr>
        <w:pStyle w:val="Dash"/>
        <w:contextualSpacing/>
      </w:pPr>
      <w:r w:rsidRPr="005B0796">
        <w:t>depressive episodes</w:t>
      </w:r>
    </w:p>
    <w:p w:rsidR="00371BEB" w:rsidRPr="005B0796" w:rsidRDefault="00371BEB" w:rsidP="007247A9">
      <w:pPr>
        <w:pStyle w:val="Dash"/>
        <w:contextualSpacing/>
      </w:pPr>
      <w:r w:rsidRPr="005B0796">
        <w:t>dysthymia</w:t>
      </w:r>
    </w:p>
    <w:p w:rsidR="00371BEB" w:rsidRPr="005B0796" w:rsidRDefault="00371BEB" w:rsidP="007247A9">
      <w:pPr>
        <w:pStyle w:val="Dash"/>
        <w:contextualSpacing/>
      </w:pPr>
      <w:r w:rsidRPr="005B0796">
        <w:t>bipolar affective disorder</w:t>
      </w:r>
    </w:p>
    <w:p w:rsidR="00371BEB" w:rsidRPr="005B0796" w:rsidRDefault="00371BEB" w:rsidP="00720C92">
      <w:pPr>
        <w:pStyle w:val="Bullet"/>
      </w:pPr>
      <w:r w:rsidRPr="005B0796">
        <w:t>ICD-10 alcohol disorders:</w:t>
      </w:r>
    </w:p>
    <w:p w:rsidR="00371BEB" w:rsidRPr="005B0796" w:rsidRDefault="00371BEB" w:rsidP="007247A9">
      <w:pPr>
        <w:pStyle w:val="Dash"/>
        <w:contextualSpacing/>
      </w:pPr>
      <w:r w:rsidRPr="005B0796">
        <w:t>alcohol harmful use</w:t>
      </w:r>
    </w:p>
    <w:p w:rsidR="00371BEB" w:rsidRPr="005B0796" w:rsidRDefault="00371BEB" w:rsidP="007247A9">
      <w:pPr>
        <w:pStyle w:val="Dash"/>
        <w:contextualSpacing/>
      </w:pPr>
      <w:r w:rsidRPr="005B0796">
        <w:t>alcohol dependence.</w:t>
      </w:r>
    </w:p>
    <w:p w:rsidR="00371BEB" w:rsidRPr="005B0796" w:rsidRDefault="00371BEB" w:rsidP="007247A9">
      <w:r w:rsidRPr="005B0796">
        <w:t xml:space="preserve">In this report, individual ICD-10 disorder prevalence estimates are presented with hierarchy rules, which are applied to be consistent with Australian national rates. Lifetime exposure to trauma was also examined as part of the PTSD module of the CIDI </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All </w:t>
      </w:r>
      <w:r w:rsidR="00462A0C" w:rsidRPr="005B0796">
        <w:t>‘</w:t>
      </w:r>
      <w:r w:rsidRPr="005B0796">
        <w:t>criteria A</w:t>
      </w:r>
      <w:r w:rsidR="00462A0C" w:rsidRPr="005B0796">
        <w:t>’</w:t>
      </w:r>
      <w:r w:rsidRPr="005B0796">
        <w:t xml:space="preserve"> events listed in the CIDI were examined. </w:t>
      </w:r>
    </w:p>
    <w:p w:rsidR="00371BEB" w:rsidRPr="005B0796" w:rsidRDefault="00371BEB" w:rsidP="007247A9">
      <w:r w:rsidRPr="005B0796">
        <w:t xml:space="preserve">This range of mental disorders is the same as that presented by the 2007 NSMHW </w:t>
      </w:r>
      <w:r w:rsidRPr="005B0796">
        <w:fldChar w:fldCharType="begin"/>
      </w:r>
      <w:r w:rsidRPr="005B0796">
        <w:instrText xml:space="preserve"> ADDIN EN.CITE &lt;EndNote&gt;&lt;Cite&gt;&lt;Author&gt;Slade&lt;/Author&gt;&lt;Year&gt;2007&lt;/Year&gt;&lt;RecNum&gt;504&lt;/RecNum&gt;&lt;DisplayText&gt;(Slade et al., 2007)&lt;/DisplayText&gt;&lt;record&gt;&lt;rec-number&gt;504&lt;/rec-number&gt;&lt;foreign-keys&gt;&lt;key app="EN" db-id="arwdrezp9sdawxevtfyxtfw10exvr5exxfed" timestamp="1478573135"&gt;504&lt;/key&gt;&lt;/foreign-keys&gt;&lt;ref-type name="Book"&gt;6&lt;/ref-type&gt;&lt;contributors&gt;&lt;authors&gt;&lt;author&gt;Slade, T.&lt;/author&gt;&lt;author&gt;Johnston, A.&lt;/author&gt;&lt;author&gt;Teesson, M.&lt;/author&gt;&lt;author&gt;Whiteford, H.&lt;/author&gt;&lt;author&gt;Burgess, P.&lt;/author&gt;&lt;author&gt;Pirkis, J.&lt;/author&gt;&lt;author&gt;Saw, S.&lt;/author&gt;&lt;/authors&gt;&lt;/contributors&gt;&lt;titles&gt;&lt;title&gt;The Mental Health of Australians 2. Report on the 2007 National Survey of Mental Health and Wellbeing&lt;/title&gt;&lt;/titles&gt;&lt;dates&gt;&lt;year&gt;2007&lt;/year&gt;&lt;/dates&gt;&lt;pub-location&gt;Department of Health and Ageing&lt;/pub-location&gt;&lt;publisher&gt;Canberra&lt;/publisher&gt;&lt;urls&gt;&lt;/urls&gt;&lt;/record&gt;&lt;/Cite&gt;&lt;/EndNote&gt;</w:instrText>
      </w:r>
      <w:r w:rsidRPr="005B0796">
        <w:fldChar w:fldCharType="separate"/>
      </w:r>
      <w:r w:rsidRPr="005B0796">
        <w:t>(Slade et al., 2007)</w:t>
      </w:r>
      <w:r w:rsidRPr="005B0796">
        <w:fldChar w:fldCharType="end"/>
      </w:r>
      <w:r w:rsidRPr="005B0796">
        <w:t xml:space="preserve"> and included in the 2010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w:t>
      </w:r>
    </w:p>
    <w:p w:rsidR="00371BEB" w:rsidRPr="005B0796" w:rsidRDefault="00371BEB" w:rsidP="007247A9">
      <w:pPr>
        <w:rPr>
          <w:b/>
        </w:rPr>
      </w:pPr>
      <w:r w:rsidRPr="005B0796">
        <w:rPr>
          <w:b/>
        </w:rPr>
        <w:t xml:space="preserve">For the full methodology, including a comprehensive description of all measures used in the survey, refer to Annex </w:t>
      </w:r>
      <w:r w:rsidR="00411B45" w:rsidRPr="005B0796">
        <w:rPr>
          <w:b/>
        </w:rPr>
        <w:t>A</w:t>
      </w:r>
      <w:r w:rsidRPr="005B0796">
        <w:rPr>
          <w:b/>
        </w:rPr>
        <w:t xml:space="preserve">. </w:t>
      </w:r>
    </w:p>
    <w:p w:rsidR="0061597C" w:rsidRPr="005B0796" w:rsidRDefault="0061597C" w:rsidP="0061597C"/>
    <w:p w:rsidR="00D123CA" w:rsidRPr="005B0796" w:rsidRDefault="00D123CA" w:rsidP="0061597C">
      <w:pPr>
        <w:sectPr w:rsidR="00D123CA" w:rsidRPr="005B0796" w:rsidSect="00D123CA">
          <w:headerReference w:type="even" r:id="rId30"/>
          <w:footerReference w:type="even" r:id="rId31"/>
          <w:footerReference w:type="default" r:id="rId32"/>
          <w:pgSz w:w="9979" w:h="14170" w:code="243"/>
          <w:pgMar w:top="1440" w:right="1152" w:bottom="1440" w:left="1728" w:header="576" w:footer="576" w:gutter="0"/>
          <w:cols w:space="708"/>
          <w:docGrid w:linePitch="360"/>
        </w:sectPr>
      </w:pPr>
    </w:p>
    <w:p w:rsidR="00371BEB" w:rsidRPr="005B0796" w:rsidRDefault="00BB56F2" w:rsidP="00BB56F2">
      <w:pPr>
        <w:pStyle w:val="Heading1"/>
      </w:pPr>
      <w:bookmarkStart w:id="176" w:name="_Toc494449703"/>
      <w:bookmarkStart w:id="177" w:name="_Toc511900285"/>
      <w:r w:rsidRPr="005B0796">
        <w:t>Demographic characteristics in Transitioned ADF and 2015 Regular ADF</w:t>
      </w:r>
      <w:bookmarkEnd w:id="176"/>
      <w:bookmarkEnd w:id="177"/>
      <w:r w:rsidRPr="005B0796">
        <w:t xml:space="preserve"> </w:t>
      </w:r>
    </w:p>
    <w:p w:rsidR="00BB56F2" w:rsidRPr="005B0796" w:rsidRDefault="00BB56F2" w:rsidP="00BB56F2">
      <w:pPr>
        <w:pStyle w:val="ShadedBoxSubheading"/>
        <w:rPr>
          <w:rFonts w:eastAsia="MS Mincho"/>
          <w:szCs w:val="22"/>
        </w:rPr>
      </w:pPr>
      <w:r w:rsidRPr="005B0796">
        <w:t>Transitioned ADF</w:t>
      </w:r>
    </w:p>
    <w:p w:rsidR="00BB56F2" w:rsidRPr="005B0796" w:rsidRDefault="00BB56F2" w:rsidP="00BB56F2">
      <w:pPr>
        <w:pStyle w:val="ShadedBullet"/>
      </w:pPr>
      <w:r w:rsidRPr="005B0796">
        <w:t xml:space="preserve">More than half of Transitioned ADF members remained in the ADF as Reservists (55.8%). Of these, 25.7% were Active Reservists. </w:t>
      </w:r>
    </w:p>
    <w:p w:rsidR="00BB56F2" w:rsidRPr="005B0796" w:rsidRDefault="00BB56F2" w:rsidP="00BB56F2">
      <w:pPr>
        <w:pStyle w:val="ShadedBullet"/>
      </w:pPr>
      <w:r w:rsidRPr="005B0796">
        <w:t>The majority of Transitioned ADF members had left full-time service between one and three years prior, with the smallest proportion leaving less than 12 months prior.</w:t>
      </w:r>
    </w:p>
    <w:p w:rsidR="00BB56F2" w:rsidRPr="005B0796" w:rsidRDefault="00BB56F2" w:rsidP="00BB56F2">
      <w:pPr>
        <w:pStyle w:val="ShadedBullet"/>
      </w:pPr>
      <w:r w:rsidRPr="005B0796">
        <w:t xml:space="preserve">The most commonly reported reason for leaving was </w:t>
      </w:r>
      <w:r w:rsidR="00462A0C" w:rsidRPr="005B0796">
        <w:t>‘</w:t>
      </w:r>
      <w:r w:rsidRPr="005B0796">
        <w:t>own request</w:t>
      </w:r>
      <w:r w:rsidR="00462A0C" w:rsidRPr="005B0796">
        <w:t>’</w:t>
      </w:r>
      <w:r w:rsidRPr="005B0796">
        <w:t>, which was the case for more than 60% of the Transitioned ADF.</w:t>
      </w:r>
    </w:p>
    <w:p w:rsidR="00BB56F2" w:rsidRPr="005B0796" w:rsidRDefault="00BB56F2" w:rsidP="00BB56F2">
      <w:pPr>
        <w:pStyle w:val="ShadedBullet"/>
      </w:pPr>
      <w:r w:rsidRPr="005B0796">
        <w:t xml:space="preserve">Just over one-fifth of the Transitioned ADF were estimated to have been medically discharged. </w:t>
      </w:r>
    </w:p>
    <w:p w:rsidR="00BB56F2" w:rsidRPr="005B0796" w:rsidRDefault="00BB56F2" w:rsidP="00BB56F2">
      <w:pPr>
        <w:pStyle w:val="ShadedBullet"/>
      </w:pPr>
      <w:r w:rsidRPr="005B0796">
        <w:t xml:space="preserve">The most commonly reported reasons for transition were </w:t>
      </w:r>
      <w:r w:rsidR="00462A0C" w:rsidRPr="005B0796">
        <w:t>‘</w:t>
      </w:r>
      <w:r w:rsidRPr="005B0796">
        <w:t>impact of service life on family</w:t>
      </w:r>
      <w:r w:rsidR="00462A0C" w:rsidRPr="005B0796">
        <w:t>’</w:t>
      </w:r>
      <w:r w:rsidRPr="005B0796">
        <w:t xml:space="preserve"> (10.2%), </w:t>
      </w:r>
      <w:r w:rsidR="00462A0C" w:rsidRPr="005B0796">
        <w:t>‘</w:t>
      </w:r>
      <w:r w:rsidRPr="005B0796">
        <w:t>better employment prospects in civilian life</w:t>
      </w:r>
      <w:r w:rsidR="00462A0C" w:rsidRPr="005B0796">
        <w:t>’</w:t>
      </w:r>
      <w:r w:rsidRPr="005B0796">
        <w:t xml:space="preserve"> (7.2%), </w:t>
      </w:r>
      <w:r w:rsidR="00462A0C" w:rsidRPr="005B0796">
        <w:t>‘</w:t>
      </w:r>
      <w:r w:rsidRPr="005B0796">
        <w:t>mental health problems</w:t>
      </w:r>
      <w:r w:rsidR="00462A0C" w:rsidRPr="005B0796">
        <w:t>’</w:t>
      </w:r>
      <w:r w:rsidRPr="005B0796">
        <w:t xml:space="preserve"> (6.5%) and </w:t>
      </w:r>
      <w:r w:rsidR="00462A0C" w:rsidRPr="005B0796">
        <w:t>‘</w:t>
      </w:r>
      <w:r w:rsidRPr="005B0796">
        <w:t>physical health problems</w:t>
      </w:r>
      <w:r w:rsidR="00462A0C" w:rsidRPr="005B0796">
        <w:t>’</w:t>
      </w:r>
      <w:r w:rsidRPr="005B0796">
        <w:t xml:space="preserve"> (4.3%).</w:t>
      </w:r>
    </w:p>
    <w:p w:rsidR="00BB56F2" w:rsidRPr="005B0796" w:rsidRDefault="00BB56F2" w:rsidP="00BB56F2">
      <w:pPr>
        <w:pStyle w:val="ShadedBullet"/>
      </w:pPr>
      <w:r w:rsidRPr="005B0796">
        <w:t>Almost two-thirds of the Transitioned ADF reported being engaged in civilian employment (62.8%)</w:t>
      </w:r>
      <w:r w:rsidR="00AA5E9D">
        <w:t>.</w:t>
      </w:r>
      <w:r w:rsidRPr="005B0796">
        <w:t xml:space="preserve"> </w:t>
      </w:r>
      <w:r w:rsidR="00AA5E9D" w:rsidRPr="005B0796">
        <w:t xml:space="preserve">For </w:t>
      </w:r>
      <w:r w:rsidRPr="005B0796">
        <w:t xml:space="preserve">those individuals, the most common industries of employment were government administration and Defence (16.8%), mining (9.9%), construction (8.8%) and transport and storage (8.6%). </w:t>
      </w:r>
    </w:p>
    <w:p w:rsidR="00FE34E2" w:rsidRPr="001C4318" w:rsidRDefault="00FE34E2" w:rsidP="00FE34E2">
      <w:pPr>
        <w:pStyle w:val="ShadedBullet"/>
      </w:pPr>
      <w:r w:rsidRPr="001C4318">
        <w:t xml:space="preserve">A considerable proportion of the Transitioned ADF reported a period of three months or longer in which they were unemployed (43.7%) since transitioning from the Regular ADF. </w:t>
      </w:r>
    </w:p>
    <w:p w:rsidR="00BB56F2" w:rsidRPr="005B0796" w:rsidRDefault="00BB56F2" w:rsidP="00BB56F2">
      <w:pPr>
        <w:pStyle w:val="ShadedBullet"/>
      </w:pPr>
      <w:r w:rsidRPr="005B0796">
        <w:t>More than 43% of Transitioned ADF members reported accessing DVA-funded treatment through either a DVA White Card (39.4%) or DVA Gold Card (4.2%).</w:t>
      </w:r>
    </w:p>
    <w:p w:rsidR="00BB56F2" w:rsidRPr="005B0796" w:rsidRDefault="00BB56F2" w:rsidP="00BB56F2">
      <w:pPr>
        <w:pStyle w:val="ShadedBullet"/>
      </w:pPr>
      <w:r w:rsidRPr="005B0796">
        <w:t>Among the Transitioned ADF, approximately one in five reported joining an ex</w:t>
      </w:r>
      <w:r w:rsidRPr="005B0796">
        <w:noBreakHyphen/>
        <w:t>service organisation.</w:t>
      </w:r>
    </w:p>
    <w:p w:rsidR="00BB56F2" w:rsidRPr="005B0796" w:rsidRDefault="00BB56F2" w:rsidP="00BB56F2">
      <w:pPr>
        <w:pStyle w:val="ShadedBullet"/>
        <w:rPr>
          <w:rFonts w:eastAsia="MS Mincho"/>
        </w:rPr>
      </w:pPr>
      <w:r w:rsidRPr="005B0796">
        <w:t>Among the Transitioned ADF, 2.9% reporting having been arrested, convicted (2.1%) or imprisoned (0.07%) since transition.</w:t>
      </w:r>
    </w:p>
    <w:p w:rsidR="00BB56F2" w:rsidRPr="005B0796" w:rsidRDefault="00BB56F2" w:rsidP="00BB56F2">
      <w:pPr>
        <w:pStyle w:val="ShadedBoxSubheading"/>
      </w:pPr>
      <w:r w:rsidRPr="005B0796">
        <w:t>Transitioned ADF compared to 2015 Regular ADF</w:t>
      </w:r>
    </w:p>
    <w:p w:rsidR="00BB56F2" w:rsidRPr="005B0796" w:rsidRDefault="00BB56F2" w:rsidP="00BB56F2">
      <w:pPr>
        <w:pStyle w:val="ShadedBullet"/>
        <w:rPr>
          <w:rFonts w:eastAsia="MS Mincho"/>
        </w:rPr>
      </w:pPr>
      <w:r w:rsidRPr="005B0796">
        <w:t>Transitioned ADF and 2015 Regular ADF were equally likely to be aged 18</w:t>
      </w:r>
      <w:r w:rsidR="00AA5E9D">
        <w:t>–</w:t>
      </w:r>
      <w:r w:rsidRPr="005B0796">
        <w:t>27</w:t>
      </w:r>
      <w:r w:rsidR="00AA5E9D">
        <w:t>.</w:t>
      </w:r>
      <w:r w:rsidRPr="005B0796">
        <w:t xml:space="preserve"> </w:t>
      </w:r>
      <w:r w:rsidR="00AA5E9D" w:rsidRPr="005B0796">
        <w:t>However</w:t>
      </w:r>
      <w:r w:rsidRPr="005B0796">
        <w:t>, compared to the 2015 Regular ADF</w:t>
      </w:r>
      <w:r w:rsidR="00AA5E9D">
        <w:t>,</w:t>
      </w:r>
      <w:r w:rsidRPr="005B0796">
        <w:t xml:space="preserve"> there were more Transitioned ADF aged over 58.</w:t>
      </w:r>
    </w:p>
    <w:p w:rsidR="00BB56F2" w:rsidRPr="005B0796" w:rsidRDefault="00BB56F2" w:rsidP="00BB56F2">
      <w:pPr>
        <w:pStyle w:val="ShadedBullet"/>
        <w:rPr>
          <w:rFonts w:eastAsia="MS Mincho"/>
        </w:rPr>
      </w:pPr>
      <w:r w:rsidRPr="005B0796">
        <w:t>There were more females among the Transitioned ADF compared to the 2015 Regular ADF.</w:t>
      </w:r>
    </w:p>
    <w:p w:rsidR="00BB56F2" w:rsidRPr="005B0796" w:rsidRDefault="00BB56F2" w:rsidP="00BB56F2">
      <w:pPr>
        <w:pStyle w:val="ShadedBullet"/>
        <w:rPr>
          <w:rFonts w:eastAsia="MS Mincho"/>
        </w:rPr>
      </w:pPr>
      <w:r w:rsidRPr="005B0796">
        <w:t xml:space="preserve">Transitioned ADF members were less likely to be </w:t>
      </w:r>
      <w:r w:rsidR="00462A0C" w:rsidRPr="005B0796">
        <w:t>‘</w:t>
      </w:r>
      <w:r w:rsidRPr="005B0796">
        <w:t>in a relationship but not living together</w:t>
      </w:r>
      <w:r w:rsidR="00462A0C" w:rsidRPr="005B0796">
        <w:t>’</w:t>
      </w:r>
      <w:r w:rsidRPr="005B0796">
        <w:t xml:space="preserve"> compared to the 2015 Regular ADF.</w:t>
      </w:r>
    </w:p>
    <w:p w:rsidR="00BB56F2" w:rsidRPr="005B0796" w:rsidRDefault="00BB56F2" w:rsidP="00BB56F2">
      <w:pPr>
        <w:pStyle w:val="ShadedBullet"/>
        <w:rPr>
          <w:rFonts w:eastAsia="MS Mincho"/>
        </w:rPr>
      </w:pPr>
      <w:r w:rsidRPr="005B0796">
        <w:t>Just over 40% of the Transitioned ADF and 36% of the 2015 Regular ADF reported having a diploma or university qualification.</w:t>
      </w:r>
    </w:p>
    <w:p w:rsidR="00BB56F2" w:rsidRPr="005B0796" w:rsidRDefault="00BB56F2" w:rsidP="00BB56F2">
      <w:pPr>
        <w:pStyle w:val="ShadedBullet"/>
        <w:rPr>
          <w:rFonts w:eastAsia="MS Mincho"/>
        </w:rPr>
      </w:pPr>
      <w:r w:rsidRPr="005B0796">
        <w:t>There were no significant differences in housing stability between the Transitioned ADF and the 2015 Regular ADF, with more than 93% estimated to have been in stable housing in the previous two months.</w:t>
      </w:r>
    </w:p>
    <w:p w:rsidR="00BB56F2" w:rsidRPr="005B0796" w:rsidRDefault="00BB56F2" w:rsidP="00BB56F2">
      <w:pPr>
        <w:pStyle w:val="ShadedBullet"/>
        <w:rPr>
          <w:rFonts w:eastAsia="MS Mincho"/>
        </w:rPr>
      </w:pPr>
      <w:r w:rsidRPr="005B0796">
        <w:t>Transitioned ADF members were more likely to come from the lower ranks compared to 2015 Regular ADF members.</w:t>
      </w:r>
    </w:p>
    <w:p w:rsidR="00BB56F2" w:rsidRPr="005B0796" w:rsidRDefault="00BB56F2" w:rsidP="00BB56F2">
      <w:pPr>
        <w:pStyle w:val="ShadedBullet"/>
        <w:rPr>
          <w:rFonts w:eastAsia="MS Mincho"/>
        </w:rPr>
      </w:pPr>
      <w:r w:rsidRPr="005B0796">
        <w:t xml:space="preserve">A greater proportion of the Transitioned ADF were from </w:t>
      </w:r>
      <w:r w:rsidR="00AA5E9D">
        <w:t xml:space="preserve">the </w:t>
      </w:r>
      <w:r w:rsidRPr="005B0796">
        <w:t>Army compared to the 2015 Regular ADF.</w:t>
      </w:r>
    </w:p>
    <w:p w:rsidR="00BB56F2" w:rsidRPr="005B0796" w:rsidRDefault="00BB56F2" w:rsidP="00BB56F2">
      <w:pPr>
        <w:pStyle w:val="ShadedBullet"/>
        <w:rPr>
          <w:rFonts w:eastAsia="MS Mincho"/>
        </w:rPr>
      </w:pPr>
      <w:r w:rsidRPr="005B0796">
        <w:t>Twice as many members of the Transitioned ADF were classified as medically unfit compared to the 2015 Regular ADF.</w:t>
      </w:r>
    </w:p>
    <w:p w:rsidR="00BB56F2" w:rsidRPr="005B0796" w:rsidRDefault="00BB56F2" w:rsidP="00BB56F2">
      <w:pPr>
        <w:pStyle w:val="ShadedBullet"/>
        <w:rPr>
          <w:rFonts w:eastAsia="MS Mincho"/>
        </w:rPr>
      </w:pPr>
      <w:r w:rsidRPr="005B0796">
        <w:t>Transitioned ADF members were more likely to report having less than eight years of service compared to the 2015 Regular ADF.</w:t>
      </w:r>
    </w:p>
    <w:p w:rsidR="00BB56F2" w:rsidRPr="005B0796" w:rsidRDefault="00BB56F2" w:rsidP="00BB56F2">
      <w:pPr>
        <w:pStyle w:val="ShadedBoxText"/>
      </w:pPr>
      <w:bookmarkStart w:id="178" w:name="_Hlk489959714"/>
      <w:r w:rsidRPr="005B0796">
        <w:rPr>
          <w:b/>
        </w:rPr>
        <w:t xml:space="preserve">Glossary: </w:t>
      </w:r>
      <w:r w:rsidR="00AA5E9D" w:rsidRPr="005B0796">
        <w:t xml:space="preserve">refer </w:t>
      </w:r>
      <w:r w:rsidRPr="005B0796">
        <w:t>to the Glossary of terms for definitions of key terms in this section.</w:t>
      </w:r>
    </w:p>
    <w:bookmarkEnd w:id="178"/>
    <w:p w:rsidR="00C106D7" w:rsidRPr="005B0796" w:rsidRDefault="00C106D7" w:rsidP="00C106D7">
      <w:r w:rsidRPr="005B0796">
        <w:t>Chapter 3 provides a detailed summary of the demographic characteristics of the Transitioned ADF, including an examination of the differences between Transitioned ADF and 2015 Regular ADF members. Outcomes are weighted up to the entire population, using the technique described in chapter 2. As such, they represent weighted estimates of these characteristics within the Transitioned ADF and 2015 Regular ADF.</w:t>
      </w:r>
    </w:p>
    <w:p w:rsidR="00C106D7" w:rsidRPr="005B0796" w:rsidRDefault="00C106D7" w:rsidP="00C106D7">
      <w:pPr>
        <w:pStyle w:val="Heading2"/>
      </w:pPr>
      <w:bookmarkStart w:id="179" w:name="_Toc479243366"/>
      <w:bookmarkStart w:id="180" w:name="_Toc482021334"/>
      <w:bookmarkStart w:id="181" w:name="_Toc482024425"/>
      <w:bookmarkStart w:id="182" w:name="_Toc487011188"/>
      <w:bookmarkStart w:id="183" w:name="_Toc494449704"/>
      <w:bookmarkStart w:id="184" w:name="_Toc511900286"/>
      <w:r w:rsidRPr="005B0796">
        <w:t>Demographic characteristics of the Transitioned ADF and 2015</w:t>
      </w:r>
      <w:r w:rsidR="00462A0C" w:rsidRPr="005B0796">
        <w:t xml:space="preserve"> </w:t>
      </w:r>
      <w:r w:rsidRPr="005B0796">
        <w:t>Regular ADF</w:t>
      </w:r>
      <w:bookmarkEnd w:id="179"/>
      <w:bookmarkEnd w:id="180"/>
      <w:bookmarkEnd w:id="181"/>
      <w:bookmarkEnd w:id="182"/>
      <w:bookmarkEnd w:id="183"/>
      <w:bookmarkEnd w:id="184"/>
    </w:p>
    <w:p w:rsidR="00C106D7" w:rsidRPr="005B0796" w:rsidRDefault="009E72D3" w:rsidP="00C106D7">
      <w:r w:rsidRPr="005B0796">
        <w:t>Table 3.1</w:t>
      </w:r>
      <w:r w:rsidR="00401C52" w:rsidRPr="005B0796">
        <w:t xml:space="preserve"> </w:t>
      </w:r>
      <w:r w:rsidR="00C106D7" w:rsidRPr="005B0796">
        <w:t xml:space="preserve">describes the demographic characteristics of the Transitioned ADF and </w:t>
      </w:r>
      <w:r w:rsidR="00AA5E9D">
        <w:t xml:space="preserve">the </w:t>
      </w:r>
      <w:r w:rsidR="00C106D7" w:rsidRPr="005B0796">
        <w:t xml:space="preserve">2015 Regular ADF. </w:t>
      </w:r>
    </w:p>
    <w:p w:rsidR="00874D15" w:rsidRPr="005B0796" w:rsidRDefault="00874D15" w:rsidP="00C106D7">
      <w:bookmarkStart w:id="185" w:name="_Ref482013515"/>
      <w:bookmarkStart w:id="186" w:name="_Toc479243375"/>
      <w:bookmarkStart w:id="187" w:name="_Toc482023761"/>
      <w:bookmarkStart w:id="188" w:name="_Toc487014247"/>
      <w:bookmarkStart w:id="189" w:name="_Toc492995550"/>
      <w:r w:rsidRPr="005B0796">
        <w:t>The age distribution across the two groups was significantly different with the Transitioned ADF having more elderly (58+ age group) and fewer middle</w:t>
      </w:r>
      <w:r w:rsidR="00AA5E9D">
        <w:t>-</w:t>
      </w:r>
      <w:r w:rsidRPr="005B0796">
        <w:t>aged (38</w:t>
      </w:r>
      <w:r w:rsidR="00AA5E9D">
        <w:t>–</w:t>
      </w:r>
      <w:r w:rsidRPr="005B0796">
        <w:t>47 age group)</w:t>
      </w:r>
      <w:r w:rsidR="00AA5E9D">
        <w:t xml:space="preserve"> members</w:t>
      </w:r>
      <w:r w:rsidRPr="005B0796">
        <w:t xml:space="preserve"> based on 95% confidence intervals, while the younger age groups were similar for the Transitioned ADF and 2015 Regular ADF. There were more females among the Transitioned ADF (13.1% vs. 9.2% 2015 Regular ADF). Based on 95% confidence intervals there was no significant difference between the two groups for </w:t>
      </w:r>
      <w:r w:rsidR="00462A0C" w:rsidRPr="005B0796">
        <w:t>‘</w:t>
      </w:r>
      <w:r w:rsidRPr="005B0796">
        <w:t>Not in a relationship</w:t>
      </w:r>
      <w:r w:rsidR="00462A0C" w:rsidRPr="005B0796">
        <w:t>’</w:t>
      </w:r>
      <w:r w:rsidRPr="005B0796">
        <w:t xml:space="preserve"> or </w:t>
      </w:r>
      <w:r w:rsidR="00462A0C" w:rsidRPr="005B0796">
        <w:t>‘</w:t>
      </w:r>
      <w:r w:rsidRPr="005B0796">
        <w:t>In a relationship and living together</w:t>
      </w:r>
      <w:r w:rsidR="00462A0C" w:rsidRPr="005B0796">
        <w:t>’</w:t>
      </w:r>
      <w:r w:rsidRPr="005B0796">
        <w:t xml:space="preserve">, however Transitioned ADF </w:t>
      </w:r>
      <w:r w:rsidR="00AA5E9D">
        <w:t xml:space="preserve">members </w:t>
      </w:r>
      <w:r w:rsidRPr="005B0796">
        <w:t xml:space="preserve">were significantly less likely to be </w:t>
      </w:r>
      <w:r w:rsidR="00462A0C" w:rsidRPr="005B0796">
        <w:t>‘</w:t>
      </w:r>
      <w:r w:rsidRPr="005B0796">
        <w:t>In a relationship not living together</w:t>
      </w:r>
      <w:r w:rsidR="00462A0C" w:rsidRPr="005B0796">
        <w:t>’</w:t>
      </w:r>
      <w:r w:rsidRPr="005B0796">
        <w:t xml:space="preserve">. There were differences in the highest education categories, with Transitioned ADF being significantly more likely to have a </w:t>
      </w:r>
      <w:r w:rsidR="00AA5E9D" w:rsidRPr="005B0796">
        <w:t xml:space="preserve">diploma </w:t>
      </w:r>
      <w:r w:rsidRPr="005B0796">
        <w:t xml:space="preserve">(20.9% vs 14.8%) and significantly less likely to have a </w:t>
      </w:r>
      <w:r w:rsidR="00AA5E9D" w:rsidRPr="005B0796">
        <w:t xml:space="preserve">university </w:t>
      </w:r>
      <w:r w:rsidRPr="005B0796">
        <w:t>qualification than the 2015 Regular ADF (20.4% vs 22.9%). There were no differences in whether the respondents reported having stable housing over the past two months.</w:t>
      </w:r>
    </w:p>
    <w:p w:rsidR="00874D15" w:rsidRPr="005B0796" w:rsidRDefault="009E72D3" w:rsidP="00C106D7">
      <w:r w:rsidRPr="005B0796">
        <w:t>Table 3.2</w:t>
      </w:r>
      <w:r w:rsidR="00874D15" w:rsidRPr="005B0796">
        <w:t xml:space="preserve"> describes the service characteristics of the Transitioned ADF and 2015 Regular ADF. In the Transitioned ADF there were fewer Officers (16.3% Transitioned ADF vs 25.6% 2015 Regular ADF) and more Other Ranks (52.2% Transitioned ADF vs 41.1% 2015 Regular ADF) compared to the 2015 Regular ADF. The Service distribution also significantly varied between the two groups with more Army and fewer Air Force members in the Transitioned ADF. </w:t>
      </w:r>
      <w:r w:rsidR="00AA5E9D" w:rsidRPr="005B0796">
        <w:t xml:space="preserve">Significantly </w:t>
      </w:r>
      <w:r w:rsidR="00874D15" w:rsidRPr="005B0796">
        <w:t xml:space="preserve">more Transitioned ADF </w:t>
      </w:r>
      <w:r w:rsidR="00AA5E9D">
        <w:t xml:space="preserve">members were </w:t>
      </w:r>
      <w:r w:rsidR="00874D15" w:rsidRPr="005B0796">
        <w:t xml:space="preserve">classified as being medically </w:t>
      </w:r>
      <w:r w:rsidR="00462A0C" w:rsidRPr="005B0796">
        <w:t>‘</w:t>
      </w:r>
      <w:r w:rsidR="00874D15" w:rsidRPr="005B0796">
        <w:t>unfit</w:t>
      </w:r>
      <w:r w:rsidR="00462A0C" w:rsidRPr="005B0796">
        <w:t>’</w:t>
      </w:r>
      <w:r w:rsidR="00874D15" w:rsidRPr="005B0796">
        <w:t xml:space="preserve"> (26.7%) compared to the 2015 Regular ADF (12.3%).</w:t>
      </w:r>
    </w:p>
    <w:p w:rsidR="00874D15" w:rsidRPr="005B0796" w:rsidRDefault="00874D15" w:rsidP="00C106D7">
      <w:pPr>
        <w:pStyle w:val="Heading2"/>
      </w:pPr>
      <w:bookmarkStart w:id="190" w:name="_Toc479243367"/>
      <w:bookmarkStart w:id="191" w:name="_Toc482021335"/>
      <w:bookmarkStart w:id="192" w:name="_Toc482024426"/>
      <w:bookmarkStart w:id="193" w:name="_Toc487011189"/>
      <w:bookmarkStart w:id="194" w:name="_Toc494449705"/>
      <w:bookmarkStart w:id="195" w:name="_Toc511900287"/>
      <w:r w:rsidRPr="005B0796">
        <w:t>Demographic characteristics of the Transitioned ADF</w:t>
      </w:r>
      <w:bookmarkEnd w:id="190"/>
      <w:bookmarkEnd w:id="191"/>
      <w:bookmarkEnd w:id="192"/>
      <w:bookmarkEnd w:id="193"/>
      <w:bookmarkEnd w:id="194"/>
      <w:bookmarkEnd w:id="195"/>
    </w:p>
    <w:p w:rsidR="00874D15" w:rsidRPr="005B0796" w:rsidRDefault="00874D15" w:rsidP="00C106D7">
      <w:r w:rsidRPr="005B0796">
        <w:t xml:space="preserve">As seen in </w:t>
      </w:r>
      <w:r w:rsidR="009E72D3" w:rsidRPr="005B0796">
        <w:t>Table 3.3</w:t>
      </w:r>
      <w:r w:rsidRPr="005B0796">
        <w:t xml:space="preserve">, 25.7% of Transitioned ADF members have remained in the ADF as Active Reservists. Regardless of Reservist status, the majority reported transitioning between one and three years </w:t>
      </w:r>
      <w:r w:rsidR="00E96C28">
        <w:t>previously</w:t>
      </w:r>
      <w:r w:rsidRPr="005B0796">
        <w:t xml:space="preserve">. The most common type of discharge/resignation reported was </w:t>
      </w:r>
      <w:r w:rsidR="00462A0C" w:rsidRPr="005B0796">
        <w:t>‘</w:t>
      </w:r>
      <w:r w:rsidRPr="005B0796">
        <w:t>own request</w:t>
      </w:r>
      <w:r w:rsidR="00462A0C" w:rsidRPr="005B0796">
        <w:t>’</w:t>
      </w:r>
      <w:r w:rsidRPr="005B0796">
        <w:t xml:space="preserve">, which was the case for more than half of the Transitioned ADF (53.7%; with this percentage increasing to over 60% when including </w:t>
      </w:r>
      <w:r w:rsidR="00462A0C" w:rsidRPr="005B0796">
        <w:t>‘</w:t>
      </w:r>
      <w:r w:rsidRPr="005B0796">
        <w:t>end of fixed period</w:t>
      </w:r>
      <w:r w:rsidR="00462A0C" w:rsidRPr="005B0796">
        <w:t>’</w:t>
      </w:r>
      <w:r w:rsidRPr="005B0796">
        <w:t xml:space="preserve"> (2.1%) and </w:t>
      </w:r>
      <w:r w:rsidR="00462A0C" w:rsidRPr="005B0796">
        <w:t>‘</w:t>
      </w:r>
      <w:r w:rsidRPr="005B0796">
        <w:t>end of initial enlistment period</w:t>
      </w:r>
      <w:r w:rsidR="00462A0C" w:rsidRPr="005B0796">
        <w:t>’</w:t>
      </w:r>
      <w:r w:rsidRPr="005B0796">
        <w:t xml:space="preserve"> (5.2%)). The second most common type of discharge was </w:t>
      </w:r>
      <w:r w:rsidR="00462A0C" w:rsidRPr="005B0796">
        <w:t>‘</w:t>
      </w:r>
      <w:r w:rsidRPr="005B0796">
        <w:t>medical discharge</w:t>
      </w:r>
      <w:r w:rsidR="00462A0C" w:rsidRPr="005B0796">
        <w:t>’</w:t>
      </w:r>
      <w:r w:rsidRPr="005B0796">
        <w:t xml:space="preserve"> with approximately one</w:t>
      </w:r>
      <w:r w:rsidR="00E96C28">
        <w:t>-</w:t>
      </w:r>
      <w:r w:rsidRPr="005B0796">
        <w:t xml:space="preserve">fifth (20.4%) of Transitioned ADF reporting this type of discharge. The most commonly reported reasons for transition were </w:t>
      </w:r>
      <w:r w:rsidR="00462A0C" w:rsidRPr="005B0796">
        <w:t>‘</w:t>
      </w:r>
      <w:r w:rsidRPr="005B0796">
        <w:t>impact of service life on family</w:t>
      </w:r>
      <w:r w:rsidR="00462A0C" w:rsidRPr="005B0796">
        <w:t>’</w:t>
      </w:r>
      <w:r w:rsidRPr="005B0796">
        <w:t xml:space="preserve"> (10.2%), </w:t>
      </w:r>
      <w:r w:rsidR="00462A0C" w:rsidRPr="005B0796">
        <w:t>‘</w:t>
      </w:r>
      <w:r w:rsidRPr="005B0796">
        <w:t>better employment prospects in civilian life</w:t>
      </w:r>
      <w:r w:rsidR="00462A0C" w:rsidRPr="005B0796">
        <w:t>’</w:t>
      </w:r>
      <w:r w:rsidRPr="005B0796">
        <w:t xml:space="preserve"> (7.2%), </w:t>
      </w:r>
      <w:r w:rsidR="00462A0C" w:rsidRPr="005B0796">
        <w:t>‘</w:t>
      </w:r>
      <w:r w:rsidRPr="005B0796">
        <w:t>mental health problems</w:t>
      </w:r>
      <w:r w:rsidR="00462A0C" w:rsidRPr="005B0796">
        <w:t>’</w:t>
      </w:r>
      <w:r w:rsidRPr="005B0796">
        <w:t xml:space="preserve"> (6.5%) and </w:t>
      </w:r>
      <w:r w:rsidR="00462A0C" w:rsidRPr="005B0796">
        <w:t>‘</w:t>
      </w:r>
      <w:r w:rsidRPr="005B0796">
        <w:t>physical health problems</w:t>
      </w:r>
      <w:r w:rsidR="00462A0C" w:rsidRPr="005B0796">
        <w:t>’</w:t>
      </w:r>
      <w:r w:rsidRPr="005B0796">
        <w:t xml:space="preserve"> (4.3%). A large proportion of Transitioned ADF members did not report their main reason for transition (39.5%).</w:t>
      </w:r>
    </w:p>
    <w:p w:rsidR="00874D15" w:rsidRPr="005B0796" w:rsidRDefault="00874D15" w:rsidP="00874D15">
      <w:pPr>
        <w:sectPr w:rsidR="00874D15" w:rsidRPr="005B0796" w:rsidSect="00D123CA">
          <w:headerReference w:type="default" r:id="rId33"/>
          <w:footerReference w:type="default" r:id="rId34"/>
          <w:type w:val="oddPage"/>
          <w:pgSz w:w="9979" w:h="14170" w:code="243"/>
          <w:pgMar w:top="1440" w:right="1152" w:bottom="1440" w:left="1728" w:header="576" w:footer="576" w:gutter="0"/>
          <w:cols w:space="708"/>
          <w:docGrid w:linePitch="360"/>
        </w:sectPr>
      </w:pPr>
    </w:p>
    <w:p w:rsidR="00874D15" w:rsidRPr="005B0796" w:rsidRDefault="00874D15" w:rsidP="00C106D7">
      <w:pPr>
        <w:pStyle w:val="TableName"/>
        <w:rPr>
          <w:rFonts w:cs="Calibri"/>
        </w:rPr>
      </w:pPr>
      <w:bookmarkStart w:id="196" w:name="_Ref494284549"/>
      <w:bookmarkStart w:id="197" w:name="_Toc51190039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3</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w:t>
      </w:r>
      <w:r w:rsidR="00D30A3C">
        <w:rPr>
          <w:noProof/>
        </w:rPr>
        <w:fldChar w:fldCharType="end"/>
      </w:r>
      <w:bookmarkEnd w:id="196"/>
      <w:r w:rsidRPr="005B0796">
        <w:tab/>
        <w:t>Weighted demographic characteristics in the Transitioned and 2015 Regular ADF</w:t>
      </w:r>
      <w:bookmarkEnd w:id="197"/>
    </w:p>
    <w:tbl>
      <w:tblPr>
        <w:tblStyle w:val="TWRPTable"/>
        <w:tblW w:w="5000" w:type="pct"/>
        <w:tblLayout w:type="fixed"/>
        <w:tblLook w:val="04A0" w:firstRow="1" w:lastRow="0" w:firstColumn="1" w:lastColumn="0" w:noHBand="0" w:noVBand="1"/>
        <w:tblDescription w:val="Table 3.1 Weighted demographic characteristics in the Transitioned and 2015 Regular ADF"/>
      </w:tblPr>
      <w:tblGrid>
        <w:gridCol w:w="3078"/>
        <w:gridCol w:w="1404"/>
        <w:gridCol w:w="1405"/>
        <w:gridCol w:w="1405"/>
        <w:gridCol w:w="1404"/>
        <w:gridCol w:w="1405"/>
        <w:gridCol w:w="1405"/>
      </w:tblGrid>
      <w:tr w:rsidR="00874D15" w:rsidRPr="005B0796" w:rsidTr="00874D15">
        <w:trPr>
          <w:cnfStyle w:val="100000000000" w:firstRow="1" w:lastRow="0" w:firstColumn="0" w:lastColumn="0" w:oddVBand="0" w:evenVBand="0" w:oddHBand="0" w:evenHBand="0" w:firstRowFirstColumn="0" w:firstRowLastColumn="0" w:lastRowFirstColumn="0" w:lastRowLastColumn="0"/>
          <w:cantSplit/>
          <w:trHeight w:val="20"/>
          <w:tblHeader/>
        </w:trPr>
        <w:tc>
          <w:tcPr>
            <w:tcW w:w="3078" w:type="dxa"/>
            <w:tcBorders>
              <w:top w:val="single" w:sz="4" w:space="0" w:color="000000"/>
              <w:bottom w:val="nil"/>
            </w:tcBorders>
          </w:tcPr>
          <w:p w:rsidR="00874D15" w:rsidRPr="005B0796" w:rsidRDefault="00874D15" w:rsidP="00874D15">
            <w:pPr>
              <w:pStyle w:val="TableText"/>
            </w:pPr>
            <w:r w:rsidRPr="005B0796">
              <w:t xml:space="preserve"> </w:t>
            </w:r>
          </w:p>
        </w:tc>
        <w:tc>
          <w:tcPr>
            <w:tcW w:w="4214" w:type="dxa"/>
            <w:gridSpan w:val="3"/>
            <w:hideMark/>
          </w:tcPr>
          <w:p w:rsidR="00874D15" w:rsidRPr="005B0796" w:rsidRDefault="00874D15" w:rsidP="00874D15">
            <w:pPr>
              <w:pStyle w:val="TableText"/>
              <w:jc w:val="center"/>
              <w:rPr>
                <w:color w:val="000000" w:themeColor="text1"/>
              </w:rPr>
            </w:pPr>
            <w:r w:rsidRPr="005B0796">
              <w:rPr>
                <w:color w:val="000000" w:themeColor="text1"/>
              </w:rPr>
              <w:t>Transitioned ADF</w:t>
            </w:r>
            <w:r w:rsidRPr="005B0796">
              <w:rPr>
                <w:color w:val="000000" w:themeColor="text1"/>
              </w:rPr>
              <w:br/>
              <w:t>N</w:t>
            </w:r>
            <w:r w:rsidR="000B08E6" w:rsidRPr="005B0796">
              <w:rPr>
                <w:color w:val="000000" w:themeColor="text1"/>
              </w:rPr>
              <w:t xml:space="preserve"> </w:t>
            </w:r>
            <w:r w:rsidRPr="005B0796">
              <w:rPr>
                <w:color w:val="000000" w:themeColor="text1"/>
              </w:rPr>
              <w:t>=</w:t>
            </w:r>
            <w:r w:rsidR="000B08E6" w:rsidRPr="005B0796">
              <w:rPr>
                <w:color w:val="000000" w:themeColor="text1"/>
              </w:rPr>
              <w:t xml:space="preserve"> </w:t>
            </w:r>
            <w:r w:rsidRPr="005B0796">
              <w:rPr>
                <w:color w:val="000000" w:themeColor="text1"/>
              </w:rPr>
              <w:t>24,932</w:t>
            </w:r>
          </w:p>
        </w:tc>
        <w:tc>
          <w:tcPr>
            <w:tcW w:w="4214" w:type="dxa"/>
            <w:gridSpan w:val="3"/>
            <w:hideMark/>
          </w:tcPr>
          <w:p w:rsidR="00874D15" w:rsidRPr="005B0796" w:rsidRDefault="00874D15" w:rsidP="00874D15">
            <w:pPr>
              <w:pStyle w:val="TableText"/>
              <w:jc w:val="center"/>
              <w:rPr>
                <w:color w:val="000000" w:themeColor="text1"/>
              </w:rPr>
            </w:pPr>
            <w:r w:rsidRPr="005B0796">
              <w:rPr>
                <w:color w:val="000000" w:themeColor="text1"/>
              </w:rPr>
              <w:t>2015 Regular ADF</w:t>
            </w:r>
            <w:r w:rsidRPr="005B0796">
              <w:rPr>
                <w:color w:val="000000" w:themeColor="text1"/>
              </w:rPr>
              <w:br/>
              <w:t>N = 52,500</w:t>
            </w:r>
          </w:p>
        </w:tc>
      </w:tr>
      <w:tr w:rsidR="00874D15" w:rsidRPr="005B0796" w:rsidTr="00874D15">
        <w:trPr>
          <w:cnfStyle w:val="100000000000" w:firstRow="1" w:lastRow="0" w:firstColumn="0" w:lastColumn="0" w:oddVBand="0" w:evenVBand="0" w:oddHBand="0" w:evenHBand="0" w:firstRowFirstColumn="0" w:firstRowLastColumn="0" w:lastRowFirstColumn="0" w:lastRowLastColumn="0"/>
          <w:cantSplit/>
          <w:trHeight w:val="20"/>
          <w:tblHeader/>
        </w:trPr>
        <w:tc>
          <w:tcPr>
            <w:tcW w:w="3078" w:type="dxa"/>
            <w:tcBorders>
              <w:top w:val="nil"/>
            </w:tcBorders>
          </w:tcPr>
          <w:p w:rsidR="00874D15" w:rsidRPr="005B0796" w:rsidRDefault="00874D15" w:rsidP="00874D15">
            <w:pPr>
              <w:pStyle w:val="TableText"/>
              <w:rPr>
                <w:rFonts w:cs="Arial"/>
              </w:rPr>
            </w:pPr>
          </w:p>
        </w:tc>
        <w:tc>
          <w:tcPr>
            <w:tcW w:w="1404" w:type="dxa"/>
            <w:hideMark/>
          </w:tcPr>
          <w:p w:rsidR="00874D15" w:rsidRPr="005B0796" w:rsidRDefault="00874D15" w:rsidP="00874D15">
            <w:pPr>
              <w:pStyle w:val="TableText"/>
              <w:jc w:val="right"/>
              <w:rPr>
                <w:rFonts w:cs="Arial"/>
              </w:rPr>
            </w:pPr>
            <w:r w:rsidRPr="005B0796">
              <w:rPr>
                <w:rFonts w:cs="Arial"/>
              </w:rPr>
              <w:t>n</w:t>
            </w:r>
          </w:p>
        </w:tc>
        <w:tc>
          <w:tcPr>
            <w:tcW w:w="1405" w:type="dxa"/>
            <w:hideMark/>
          </w:tcPr>
          <w:p w:rsidR="00874D15" w:rsidRPr="005B0796" w:rsidRDefault="00874D15" w:rsidP="00874D15">
            <w:pPr>
              <w:pStyle w:val="TableText"/>
              <w:jc w:val="right"/>
              <w:rPr>
                <w:rFonts w:cs="Arial"/>
              </w:rPr>
            </w:pPr>
            <w:r w:rsidRPr="005B0796">
              <w:rPr>
                <w:rFonts w:cs="Arial"/>
              </w:rPr>
              <w:t>Weighted n</w:t>
            </w:r>
          </w:p>
        </w:tc>
        <w:tc>
          <w:tcPr>
            <w:tcW w:w="1405" w:type="dxa"/>
            <w:hideMark/>
          </w:tcPr>
          <w:p w:rsidR="00874D15" w:rsidRPr="005B0796" w:rsidRDefault="00874D15" w:rsidP="00874D15">
            <w:pPr>
              <w:pStyle w:val="TableText"/>
              <w:jc w:val="right"/>
              <w:rPr>
                <w:rFonts w:cs="Arial"/>
              </w:rPr>
            </w:pPr>
            <w:r w:rsidRPr="005B0796">
              <w:rPr>
                <w:rFonts w:cs="Arial"/>
              </w:rPr>
              <w:t>% (95% CI)</w:t>
            </w:r>
          </w:p>
        </w:tc>
        <w:tc>
          <w:tcPr>
            <w:tcW w:w="1404" w:type="dxa"/>
            <w:hideMark/>
          </w:tcPr>
          <w:p w:rsidR="00874D15" w:rsidRPr="005B0796" w:rsidRDefault="00874D15" w:rsidP="00874D15">
            <w:pPr>
              <w:pStyle w:val="TableText"/>
              <w:jc w:val="right"/>
              <w:rPr>
                <w:rFonts w:cs="Arial"/>
              </w:rPr>
            </w:pPr>
            <w:r w:rsidRPr="005B0796">
              <w:rPr>
                <w:rFonts w:cs="Arial"/>
              </w:rPr>
              <w:t>n</w:t>
            </w:r>
          </w:p>
        </w:tc>
        <w:tc>
          <w:tcPr>
            <w:tcW w:w="1405" w:type="dxa"/>
            <w:hideMark/>
          </w:tcPr>
          <w:p w:rsidR="00874D15" w:rsidRPr="005B0796" w:rsidRDefault="00874D15" w:rsidP="00874D15">
            <w:pPr>
              <w:pStyle w:val="TableText"/>
              <w:jc w:val="right"/>
              <w:rPr>
                <w:rFonts w:cs="Arial"/>
              </w:rPr>
            </w:pPr>
            <w:r w:rsidRPr="005B0796">
              <w:rPr>
                <w:rFonts w:cs="Arial"/>
              </w:rPr>
              <w:t>Weighted n</w:t>
            </w:r>
          </w:p>
        </w:tc>
        <w:tc>
          <w:tcPr>
            <w:tcW w:w="1405" w:type="dxa"/>
            <w:hideMark/>
          </w:tcPr>
          <w:p w:rsidR="00874D15" w:rsidRPr="005B0796" w:rsidRDefault="00874D15" w:rsidP="00874D15">
            <w:pPr>
              <w:pStyle w:val="TableText"/>
              <w:jc w:val="right"/>
              <w:rPr>
                <w:rFonts w:cs="Arial"/>
              </w:rPr>
            </w:pPr>
            <w:r w:rsidRPr="005B0796">
              <w:rPr>
                <w:rFonts w:cs="Arial"/>
              </w:rPr>
              <w:t>% (95% CI)</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rPr>
                <w:b/>
              </w:rPr>
            </w:pPr>
            <w:r w:rsidRPr="005B0796">
              <w:rPr>
                <w:b/>
              </w:rPr>
              <w:t>Age group</w:t>
            </w:r>
            <w:r w:rsidRPr="005B0796">
              <w:rPr>
                <w:b/>
                <w:vertAlign w:val="superscript"/>
              </w:rPr>
              <w:t>a</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18–27</w:t>
            </w:r>
          </w:p>
        </w:tc>
        <w:tc>
          <w:tcPr>
            <w:tcW w:w="1404" w:type="dxa"/>
            <w:hideMark/>
          </w:tcPr>
          <w:p w:rsidR="00874D15" w:rsidRPr="005B0796" w:rsidRDefault="00874D15" w:rsidP="00874D15">
            <w:pPr>
              <w:pStyle w:val="TableText"/>
              <w:jc w:val="right"/>
            </w:pPr>
            <w:r w:rsidRPr="005B0796">
              <w:t>471</w:t>
            </w:r>
          </w:p>
        </w:tc>
        <w:tc>
          <w:tcPr>
            <w:tcW w:w="1405" w:type="dxa"/>
            <w:hideMark/>
          </w:tcPr>
          <w:p w:rsidR="00874D15" w:rsidRPr="005B0796" w:rsidRDefault="00874D15" w:rsidP="00874D15">
            <w:pPr>
              <w:pStyle w:val="TableText"/>
              <w:jc w:val="right"/>
            </w:pPr>
            <w:r w:rsidRPr="005B0796">
              <w:t>5195</w:t>
            </w:r>
          </w:p>
        </w:tc>
        <w:tc>
          <w:tcPr>
            <w:tcW w:w="1405" w:type="dxa"/>
            <w:hideMark/>
          </w:tcPr>
          <w:p w:rsidR="00874D15" w:rsidRPr="005B0796" w:rsidRDefault="00874D15" w:rsidP="00874D15">
            <w:pPr>
              <w:pStyle w:val="TableText"/>
              <w:jc w:val="right"/>
            </w:pPr>
            <w:r w:rsidRPr="005B0796">
              <w:t>20.8 (19.3, 22.5)</w:t>
            </w:r>
          </w:p>
        </w:tc>
        <w:tc>
          <w:tcPr>
            <w:tcW w:w="1404" w:type="dxa"/>
            <w:hideMark/>
          </w:tcPr>
          <w:p w:rsidR="00874D15" w:rsidRPr="005B0796" w:rsidRDefault="00874D15" w:rsidP="00874D15">
            <w:pPr>
              <w:pStyle w:val="TableText"/>
              <w:jc w:val="right"/>
            </w:pPr>
            <w:r w:rsidRPr="005B0796">
              <w:t>602</w:t>
            </w:r>
          </w:p>
        </w:tc>
        <w:tc>
          <w:tcPr>
            <w:tcW w:w="1405" w:type="dxa"/>
            <w:hideMark/>
          </w:tcPr>
          <w:p w:rsidR="00874D15" w:rsidRPr="005B0796" w:rsidRDefault="00874D15" w:rsidP="00874D15">
            <w:pPr>
              <w:pStyle w:val="TableText"/>
              <w:jc w:val="right"/>
            </w:pPr>
            <w:r w:rsidRPr="005B0796">
              <w:t>10,319</w:t>
            </w:r>
          </w:p>
        </w:tc>
        <w:tc>
          <w:tcPr>
            <w:tcW w:w="1405" w:type="dxa"/>
            <w:hideMark/>
          </w:tcPr>
          <w:p w:rsidR="00874D15" w:rsidRPr="005B0796" w:rsidRDefault="00874D15" w:rsidP="00874D15">
            <w:pPr>
              <w:pStyle w:val="TableText"/>
              <w:jc w:val="right"/>
            </w:pPr>
            <w:r w:rsidRPr="005B0796">
              <w:t>19.7 (16.4, 23.3)</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28–37</w:t>
            </w:r>
          </w:p>
        </w:tc>
        <w:tc>
          <w:tcPr>
            <w:tcW w:w="1404" w:type="dxa"/>
            <w:hideMark/>
          </w:tcPr>
          <w:p w:rsidR="00874D15" w:rsidRPr="005B0796" w:rsidRDefault="00874D15" w:rsidP="00874D15">
            <w:pPr>
              <w:pStyle w:val="TableText"/>
              <w:jc w:val="right"/>
            </w:pPr>
            <w:r w:rsidRPr="005B0796">
              <w:t>1262</w:t>
            </w:r>
          </w:p>
        </w:tc>
        <w:tc>
          <w:tcPr>
            <w:tcW w:w="1405" w:type="dxa"/>
            <w:hideMark/>
          </w:tcPr>
          <w:p w:rsidR="00874D15" w:rsidRPr="005B0796" w:rsidRDefault="00874D15" w:rsidP="00874D15">
            <w:pPr>
              <w:pStyle w:val="TableText"/>
              <w:jc w:val="right"/>
            </w:pPr>
            <w:r w:rsidRPr="005B0796">
              <w:t>8808</w:t>
            </w:r>
          </w:p>
        </w:tc>
        <w:tc>
          <w:tcPr>
            <w:tcW w:w="1405" w:type="dxa"/>
            <w:hideMark/>
          </w:tcPr>
          <w:p w:rsidR="00874D15" w:rsidRPr="005B0796" w:rsidRDefault="00874D15" w:rsidP="00874D15">
            <w:pPr>
              <w:pStyle w:val="TableText"/>
              <w:jc w:val="right"/>
            </w:pPr>
            <w:r w:rsidRPr="005B0796">
              <w:t>35.3 (33.6, 37.1)</w:t>
            </w:r>
          </w:p>
        </w:tc>
        <w:tc>
          <w:tcPr>
            <w:tcW w:w="1404" w:type="dxa"/>
            <w:hideMark/>
          </w:tcPr>
          <w:p w:rsidR="00874D15" w:rsidRPr="005B0796" w:rsidRDefault="00874D15" w:rsidP="00874D15">
            <w:pPr>
              <w:pStyle w:val="TableText"/>
              <w:jc w:val="right"/>
            </w:pPr>
            <w:r w:rsidRPr="005B0796">
              <w:t>2484</w:t>
            </w:r>
          </w:p>
        </w:tc>
        <w:tc>
          <w:tcPr>
            <w:tcW w:w="1405" w:type="dxa"/>
            <w:hideMark/>
          </w:tcPr>
          <w:p w:rsidR="00874D15" w:rsidRPr="005B0796" w:rsidRDefault="00874D15" w:rsidP="00874D15">
            <w:pPr>
              <w:pStyle w:val="TableText"/>
              <w:jc w:val="right"/>
            </w:pPr>
            <w:r w:rsidRPr="005B0796">
              <w:t>17,472</w:t>
            </w:r>
          </w:p>
        </w:tc>
        <w:tc>
          <w:tcPr>
            <w:tcW w:w="1405" w:type="dxa"/>
            <w:hideMark/>
          </w:tcPr>
          <w:p w:rsidR="00874D15" w:rsidRPr="005B0796" w:rsidRDefault="00874D15" w:rsidP="00874D15">
            <w:pPr>
              <w:pStyle w:val="TableText"/>
              <w:jc w:val="right"/>
            </w:pPr>
            <w:r w:rsidRPr="005B0796">
              <w:t>33.3 (29.9, 36.9)</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38–47</w:t>
            </w:r>
          </w:p>
        </w:tc>
        <w:tc>
          <w:tcPr>
            <w:tcW w:w="1404" w:type="dxa"/>
            <w:hideMark/>
          </w:tcPr>
          <w:p w:rsidR="00874D15" w:rsidRPr="005B0796" w:rsidRDefault="00874D15" w:rsidP="00874D15">
            <w:pPr>
              <w:pStyle w:val="TableText"/>
              <w:jc w:val="right"/>
            </w:pPr>
            <w:r w:rsidRPr="005B0796">
              <w:t>1119</w:t>
            </w:r>
          </w:p>
        </w:tc>
        <w:tc>
          <w:tcPr>
            <w:tcW w:w="1405" w:type="dxa"/>
            <w:hideMark/>
          </w:tcPr>
          <w:p w:rsidR="00874D15" w:rsidRPr="005B0796" w:rsidRDefault="00874D15" w:rsidP="00874D15">
            <w:pPr>
              <w:pStyle w:val="TableText"/>
              <w:jc w:val="right"/>
            </w:pPr>
            <w:r w:rsidRPr="005B0796">
              <w:t>5215</w:t>
            </w:r>
          </w:p>
        </w:tc>
        <w:tc>
          <w:tcPr>
            <w:tcW w:w="1405" w:type="dxa"/>
            <w:hideMark/>
          </w:tcPr>
          <w:p w:rsidR="00874D15" w:rsidRPr="005B0796" w:rsidRDefault="00874D15" w:rsidP="00874D15">
            <w:pPr>
              <w:pStyle w:val="TableText"/>
              <w:jc w:val="right"/>
            </w:pPr>
            <w:r w:rsidRPr="005B0796">
              <w:t>20.9 (19.7, 22.2)</w:t>
            </w:r>
          </w:p>
        </w:tc>
        <w:tc>
          <w:tcPr>
            <w:tcW w:w="1404" w:type="dxa"/>
            <w:hideMark/>
          </w:tcPr>
          <w:p w:rsidR="00874D15" w:rsidRPr="005B0796" w:rsidRDefault="00874D15" w:rsidP="00874D15">
            <w:pPr>
              <w:pStyle w:val="TableText"/>
              <w:jc w:val="right"/>
            </w:pPr>
            <w:r w:rsidRPr="005B0796">
              <w:t>2976</w:t>
            </w:r>
          </w:p>
        </w:tc>
        <w:tc>
          <w:tcPr>
            <w:tcW w:w="1405" w:type="dxa"/>
            <w:hideMark/>
          </w:tcPr>
          <w:p w:rsidR="00874D15" w:rsidRPr="005B0796" w:rsidRDefault="00874D15" w:rsidP="00874D15">
            <w:pPr>
              <w:pStyle w:val="TableText"/>
              <w:jc w:val="right"/>
            </w:pPr>
            <w:r w:rsidRPr="005B0796">
              <w:t>14,185</w:t>
            </w:r>
          </w:p>
        </w:tc>
        <w:tc>
          <w:tcPr>
            <w:tcW w:w="1405" w:type="dxa"/>
            <w:hideMark/>
          </w:tcPr>
          <w:p w:rsidR="00874D15" w:rsidRPr="005B0796" w:rsidRDefault="00874D15" w:rsidP="00874D15">
            <w:pPr>
              <w:pStyle w:val="TableText"/>
              <w:jc w:val="right"/>
            </w:pPr>
            <w:r w:rsidRPr="005B0796">
              <w:t>27.0 (24.5, 29.7)</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48–57</w:t>
            </w:r>
          </w:p>
        </w:tc>
        <w:tc>
          <w:tcPr>
            <w:tcW w:w="1404" w:type="dxa"/>
            <w:hideMark/>
          </w:tcPr>
          <w:p w:rsidR="00874D15" w:rsidRPr="005B0796" w:rsidRDefault="00874D15" w:rsidP="00874D15">
            <w:pPr>
              <w:pStyle w:val="TableText"/>
              <w:jc w:val="right"/>
            </w:pPr>
            <w:r w:rsidRPr="005B0796">
              <w:t>871</w:t>
            </w:r>
          </w:p>
        </w:tc>
        <w:tc>
          <w:tcPr>
            <w:tcW w:w="1405" w:type="dxa"/>
            <w:hideMark/>
          </w:tcPr>
          <w:p w:rsidR="00874D15" w:rsidRPr="005B0796" w:rsidRDefault="00874D15" w:rsidP="00874D15">
            <w:pPr>
              <w:pStyle w:val="TableText"/>
              <w:jc w:val="right"/>
            </w:pPr>
            <w:r w:rsidRPr="005B0796">
              <w:t>3389</w:t>
            </w:r>
          </w:p>
        </w:tc>
        <w:tc>
          <w:tcPr>
            <w:tcW w:w="1405" w:type="dxa"/>
            <w:hideMark/>
          </w:tcPr>
          <w:p w:rsidR="00874D15" w:rsidRPr="005B0796" w:rsidRDefault="00874D15" w:rsidP="00874D15">
            <w:pPr>
              <w:pStyle w:val="TableText"/>
              <w:jc w:val="right"/>
            </w:pPr>
            <w:r w:rsidRPr="005B0796">
              <w:t>13.6 (12.8, 14.5)</w:t>
            </w:r>
          </w:p>
        </w:tc>
        <w:tc>
          <w:tcPr>
            <w:tcW w:w="1404" w:type="dxa"/>
            <w:hideMark/>
          </w:tcPr>
          <w:p w:rsidR="00874D15" w:rsidRPr="005B0796" w:rsidRDefault="00874D15" w:rsidP="00874D15">
            <w:pPr>
              <w:pStyle w:val="TableText"/>
              <w:jc w:val="right"/>
            </w:pPr>
            <w:r w:rsidRPr="005B0796">
              <w:t>2069</w:t>
            </w:r>
          </w:p>
        </w:tc>
        <w:tc>
          <w:tcPr>
            <w:tcW w:w="1405" w:type="dxa"/>
            <w:hideMark/>
          </w:tcPr>
          <w:p w:rsidR="00874D15" w:rsidRPr="005B0796" w:rsidRDefault="00874D15" w:rsidP="00874D15">
            <w:pPr>
              <w:pStyle w:val="TableText"/>
              <w:jc w:val="right"/>
            </w:pPr>
            <w:r w:rsidRPr="005B0796">
              <w:t>8019</w:t>
            </w:r>
          </w:p>
        </w:tc>
        <w:tc>
          <w:tcPr>
            <w:tcW w:w="1405" w:type="dxa"/>
            <w:hideMark/>
          </w:tcPr>
          <w:p w:rsidR="00874D15" w:rsidRPr="005B0796" w:rsidRDefault="00874D15" w:rsidP="00874D15">
            <w:pPr>
              <w:pStyle w:val="TableText"/>
              <w:jc w:val="right"/>
            </w:pPr>
            <w:r w:rsidRPr="005B0796">
              <w:t>15.3 (14.3, 16.4)</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58+</w:t>
            </w:r>
          </w:p>
        </w:tc>
        <w:tc>
          <w:tcPr>
            <w:tcW w:w="1404" w:type="dxa"/>
            <w:hideMark/>
          </w:tcPr>
          <w:p w:rsidR="00874D15" w:rsidRPr="005B0796" w:rsidRDefault="00874D15" w:rsidP="00874D15">
            <w:pPr>
              <w:pStyle w:val="TableText"/>
              <w:jc w:val="right"/>
            </w:pPr>
            <w:r w:rsidRPr="005B0796">
              <w:t>548</w:t>
            </w:r>
          </w:p>
        </w:tc>
        <w:tc>
          <w:tcPr>
            <w:tcW w:w="1405" w:type="dxa"/>
            <w:hideMark/>
          </w:tcPr>
          <w:p w:rsidR="00874D15" w:rsidRPr="005B0796" w:rsidRDefault="00874D15" w:rsidP="00874D15">
            <w:pPr>
              <w:pStyle w:val="TableText"/>
              <w:jc w:val="right"/>
            </w:pPr>
            <w:r w:rsidRPr="005B0796">
              <w:t>1937</w:t>
            </w:r>
          </w:p>
        </w:tc>
        <w:tc>
          <w:tcPr>
            <w:tcW w:w="1405" w:type="dxa"/>
            <w:hideMark/>
          </w:tcPr>
          <w:p w:rsidR="00874D15" w:rsidRPr="005B0796" w:rsidRDefault="00874D15" w:rsidP="00874D15">
            <w:pPr>
              <w:pStyle w:val="TableText"/>
              <w:jc w:val="right"/>
            </w:pPr>
            <w:r w:rsidRPr="005B0796">
              <w:t>7.8 (7.2, 8.4)</w:t>
            </w:r>
          </w:p>
        </w:tc>
        <w:tc>
          <w:tcPr>
            <w:tcW w:w="1404" w:type="dxa"/>
            <w:hideMark/>
          </w:tcPr>
          <w:p w:rsidR="00874D15" w:rsidRPr="005B0796" w:rsidRDefault="00874D15" w:rsidP="00874D15">
            <w:pPr>
              <w:pStyle w:val="TableText"/>
              <w:jc w:val="right"/>
            </w:pPr>
            <w:r w:rsidRPr="005B0796">
              <w:t>201</w:t>
            </w:r>
          </w:p>
        </w:tc>
        <w:tc>
          <w:tcPr>
            <w:tcW w:w="1405" w:type="dxa"/>
            <w:hideMark/>
          </w:tcPr>
          <w:p w:rsidR="00874D15" w:rsidRPr="005B0796" w:rsidRDefault="00874D15" w:rsidP="00874D15">
            <w:pPr>
              <w:pStyle w:val="TableText"/>
              <w:jc w:val="right"/>
            </w:pPr>
            <w:r w:rsidRPr="005B0796">
              <w:t>721</w:t>
            </w:r>
          </w:p>
        </w:tc>
        <w:tc>
          <w:tcPr>
            <w:tcW w:w="1405" w:type="dxa"/>
            <w:hideMark/>
          </w:tcPr>
          <w:p w:rsidR="00874D15" w:rsidRPr="005B0796" w:rsidRDefault="00874D15" w:rsidP="00874D15">
            <w:pPr>
              <w:pStyle w:val="TableText"/>
              <w:jc w:val="right"/>
            </w:pPr>
            <w:r w:rsidRPr="005B0796">
              <w:t>1.4 (1.1, 1.7)</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rPr>
                <w:b/>
              </w:rPr>
            </w:pPr>
            <w:r w:rsidRPr="005B0796">
              <w:rPr>
                <w:b/>
              </w:rPr>
              <w:t>Sex</w:t>
            </w:r>
            <w:r w:rsidRPr="005B0796">
              <w:rPr>
                <w:b/>
                <w:vertAlign w:val="superscript"/>
              </w:rPr>
              <w:t>*</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Male</w:t>
            </w:r>
          </w:p>
        </w:tc>
        <w:tc>
          <w:tcPr>
            <w:tcW w:w="1404" w:type="dxa"/>
            <w:hideMark/>
          </w:tcPr>
          <w:p w:rsidR="00874D15" w:rsidRPr="005B0796" w:rsidRDefault="00874D15" w:rsidP="00874D15">
            <w:pPr>
              <w:pStyle w:val="TableText"/>
              <w:jc w:val="right"/>
            </w:pPr>
            <w:r w:rsidRPr="005B0796">
              <w:t>3646</w:t>
            </w:r>
          </w:p>
        </w:tc>
        <w:tc>
          <w:tcPr>
            <w:tcW w:w="1405" w:type="dxa"/>
            <w:hideMark/>
          </w:tcPr>
          <w:p w:rsidR="00874D15" w:rsidRPr="005B0796" w:rsidRDefault="00874D15" w:rsidP="00874D15">
            <w:pPr>
              <w:pStyle w:val="TableText"/>
              <w:jc w:val="right"/>
            </w:pPr>
            <w:r w:rsidRPr="005B0796">
              <w:t>21,671</w:t>
            </w:r>
          </w:p>
        </w:tc>
        <w:tc>
          <w:tcPr>
            <w:tcW w:w="1405" w:type="dxa"/>
            <w:hideMark/>
          </w:tcPr>
          <w:p w:rsidR="00874D15" w:rsidRPr="005B0796" w:rsidRDefault="00874D15" w:rsidP="00874D15">
            <w:pPr>
              <w:pStyle w:val="TableText"/>
              <w:jc w:val="right"/>
            </w:pPr>
            <w:r w:rsidRPr="005B0796">
              <w:t>86.9</w:t>
            </w:r>
          </w:p>
        </w:tc>
        <w:tc>
          <w:tcPr>
            <w:tcW w:w="1404" w:type="dxa"/>
            <w:hideMark/>
          </w:tcPr>
          <w:p w:rsidR="00874D15" w:rsidRPr="005B0796" w:rsidRDefault="00874D15" w:rsidP="00874D15">
            <w:pPr>
              <w:pStyle w:val="TableText"/>
              <w:jc w:val="right"/>
            </w:pPr>
            <w:r w:rsidRPr="005B0796">
              <w:t>6693</w:t>
            </w:r>
          </w:p>
        </w:tc>
        <w:tc>
          <w:tcPr>
            <w:tcW w:w="1405" w:type="dxa"/>
            <w:hideMark/>
          </w:tcPr>
          <w:p w:rsidR="00874D15" w:rsidRPr="005B0796" w:rsidRDefault="00874D15" w:rsidP="00874D15">
            <w:pPr>
              <w:pStyle w:val="TableText"/>
              <w:jc w:val="right"/>
            </w:pPr>
            <w:r w:rsidRPr="005B0796">
              <w:t>47,645</w:t>
            </w:r>
          </w:p>
        </w:tc>
        <w:tc>
          <w:tcPr>
            <w:tcW w:w="1405" w:type="dxa"/>
            <w:hideMark/>
          </w:tcPr>
          <w:p w:rsidR="00874D15" w:rsidRPr="005B0796" w:rsidRDefault="00874D15" w:rsidP="00874D15">
            <w:pPr>
              <w:pStyle w:val="TableText"/>
              <w:jc w:val="right"/>
            </w:pPr>
            <w:r w:rsidRPr="005B0796">
              <w:t>90.8</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Female</w:t>
            </w:r>
          </w:p>
        </w:tc>
        <w:tc>
          <w:tcPr>
            <w:tcW w:w="1404" w:type="dxa"/>
            <w:hideMark/>
          </w:tcPr>
          <w:p w:rsidR="00874D15" w:rsidRPr="005B0796" w:rsidRDefault="00874D15" w:rsidP="00874D15">
            <w:pPr>
              <w:pStyle w:val="TableText"/>
              <w:jc w:val="right"/>
            </w:pPr>
            <w:r w:rsidRPr="005B0796">
              <w:t>680</w:t>
            </w:r>
          </w:p>
        </w:tc>
        <w:tc>
          <w:tcPr>
            <w:tcW w:w="1405" w:type="dxa"/>
            <w:hideMark/>
          </w:tcPr>
          <w:p w:rsidR="00874D15" w:rsidRPr="005B0796" w:rsidRDefault="00874D15" w:rsidP="00874D15">
            <w:pPr>
              <w:pStyle w:val="TableText"/>
              <w:jc w:val="right"/>
            </w:pPr>
            <w:r w:rsidRPr="005B0796">
              <w:t>3261</w:t>
            </w:r>
          </w:p>
        </w:tc>
        <w:tc>
          <w:tcPr>
            <w:tcW w:w="1405" w:type="dxa"/>
            <w:hideMark/>
          </w:tcPr>
          <w:p w:rsidR="00874D15" w:rsidRPr="005B0796" w:rsidRDefault="00874D15" w:rsidP="00874D15">
            <w:pPr>
              <w:pStyle w:val="TableText"/>
              <w:jc w:val="right"/>
            </w:pPr>
            <w:r w:rsidRPr="005B0796">
              <w:t>13.1</w:t>
            </w:r>
          </w:p>
        </w:tc>
        <w:tc>
          <w:tcPr>
            <w:tcW w:w="1404" w:type="dxa"/>
            <w:hideMark/>
          </w:tcPr>
          <w:p w:rsidR="00874D15" w:rsidRPr="005B0796" w:rsidRDefault="00874D15" w:rsidP="00874D15">
            <w:pPr>
              <w:pStyle w:val="TableText"/>
              <w:jc w:val="right"/>
            </w:pPr>
            <w:r w:rsidRPr="005B0796">
              <w:t>1787</w:t>
            </w:r>
          </w:p>
        </w:tc>
        <w:tc>
          <w:tcPr>
            <w:tcW w:w="1405" w:type="dxa"/>
            <w:hideMark/>
          </w:tcPr>
          <w:p w:rsidR="00874D15" w:rsidRPr="005B0796" w:rsidRDefault="00874D15" w:rsidP="00874D15">
            <w:pPr>
              <w:pStyle w:val="TableText"/>
              <w:jc w:val="right"/>
            </w:pPr>
            <w:r w:rsidRPr="005B0796">
              <w:t>4855</w:t>
            </w:r>
          </w:p>
        </w:tc>
        <w:tc>
          <w:tcPr>
            <w:tcW w:w="1405" w:type="dxa"/>
            <w:hideMark/>
          </w:tcPr>
          <w:p w:rsidR="00874D15" w:rsidRPr="005B0796" w:rsidRDefault="00874D15" w:rsidP="00874D15">
            <w:pPr>
              <w:pStyle w:val="TableText"/>
              <w:jc w:val="right"/>
            </w:pPr>
            <w:r w:rsidRPr="005B0796">
              <w:t>9.2</w:t>
            </w:r>
          </w:p>
        </w:tc>
      </w:tr>
      <w:tr w:rsidR="00874D15" w:rsidRPr="005B0796" w:rsidTr="00874D15">
        <w:trPr>
          <w:cantSplit/>
          <w:trHeight w:val="20"/>
        </w:trPr>
        <w:tc>
          <w:tcPr>
            <w:tcW w:w="3078" w:type="dxa"/>
            <w:hideMark/>
          </w:tcPr>
          <w:p w:rsidR="00874D15" w:rsidRPr="005B0796" w:rsidRDefault="00874D15" w:rsidP="00874D15">
            <w:pPr>
              <w:pStyle w:val="TableText"/>
              <w:rPr>
                <w:b/>
              </w:rPr>
            </w:pPr>
            <w:r w:rsidRPr="005B0796">
              <w:rPr>
                <w:b/>
              </w:rPr>
              <w:t xml:space="preserve">Relationship status </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 xml:space="preserve">In a relationship and living together </w:t>
            </w:r>
          </w:p>
        </w:tc>
        <w:tc>
          <w:tcPr>
            <w:tcW w:w="1404" w:type="dxa"/>
            <w:hideMark/>
          </w:tcPr>
          <w:p w:rsidR="00874D15" w:rsidRPr="005B0796" w:rsidRDefault="00874D15" w:rsidP="00874D15">
            <w:pPr>
              <w:pStyle w:val="TableText"/>
              <w:jc w:val="right"/>
            </w:pPr>
            <w:r w:rsidRPr="005B0796">
              <w:t>3121</w:t>
            </w:r>
          </w:p>
        </w:tc>
        <w:tc>
          <w:tcPr>
            <w:tcW w:w="1405" w:type="dxa"/>
            <w:hideMark/>
          </w:tcPr>
          <w:p w:rsidR="00874D15" w:rsidRPr="005B0796" w:rsidRDefault="00874D15" w:rsidP="00874D15">
            <w:pPr>
              <w:pStyle w:val="TableText"/>
              <w:jc w:val="right"/>
            </w:pPr>
            <w:r w:rsidRPr="005B0796">
              <w:t>16,453</w:t>
            </w:r>
          </w:p>
        </w:tc>
        <w:tc>
          <w:tcPr>
            <w:tcW w:w="1405" w:type="dxa"/>
            <w:hideMark/>
          </w:tcPr>
          <w:p w:rsidR="00874D15" w:rsidRPr="005B0796" w:rsidRDefault="00874D15" w:rsidP="00874D15">
            <w:pPr>
              <w:pStyle w:val="TableText"/>
              <w:jc w:val="right"/>
            </w:pPr>
            <w:r w:rsidRPr="005B0796">
              <w:t>65.9 (64.2, 67.7)</w:t>
            </w:r>
          </w:p>
        </w:tc>
        <w:tc>
          <w:tcPr>
            <w:tcW w:w="1404" w:type="dxa"/>
            <w:hideMark/>
          </w:tcPr>
          <w:p w:rsidR="00874D15" w:rsidRPr="005B0796" w:rsidRDefault="00874D15" w:rsidP="00874D15">
            <w:pPr>
              <w:pStyle w:val="TableText"/>
              <w:jc w:val="right"/>
            </w:pPr>
            <w:r w:rsidRPr="005B0796">
              <w:t>5964</w:t>
            </w:r>
          </w:p>
        </w:tc>
        <w:tc>
          <w:tcPr>
            <w:tcW w:w="1405" w:type="dxa"/>
            <w:hideMark/>
          </w:tcPr>
          <w:p w:rsidR="00874D15" w:rsidRPr="005B0796" w:rsidRDefault="00874D15" w:rsidP="00874D15">
            <w:pPr>
              <w:pStyle w:val="TableText"/>
              <w:jc w:val="right"/>
            </w:pPr>
            <w:r w:rsidRPr="005B0796">
              <w:t>33,433</w:t>
            </w:r>
          </w:p>
        </w:tc>
        <w:tc>
          <w:tcPr>
            <w:tcW w:w="1405" w:type="dxa"/>
            <w:hideMark/>
          </w:tcPr>
          <w:p w:rsidR="00874D15" w:rsidRPr="005B0796" w:rsidRDefault="00874D15" w:rsidP="00874D15">
            <w:pPr>
              <w:pStyle w:val="TableText"/>
              <w:jc w:val="right"/>
            </w:pPr>
            <w:r w:rsidRPr="005B0796">
              <w:t>63.7 (60.1, 67.2)</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 xml:space="preserve">In a relationship but not living together </w:t>
            </w:r>
          </w:p>
        </w:tc>
        <w:tc>
          <w:tcPr>
            <w:tcW w:w="1404" w:type="dxa"/>
            <w:hideMark/>
          </w:tcPr>
          <w:p w:rsidR="00874D15" w:rsidRPr="005B0796" w:rsidRDefault="00874D15" w:rsidP="00874D15">
            <w:pPr>
              <w:pStyle w:val="TableText"/>
              <w:jc w:val="right"/>
            </w:pPr>
            <w:r w:rsidRPr="005B0796">
              <w:t>301</w:t>
            </w:r>
          </w:p>
        </w:tc>
        <w:tc>
          <w:tcPr>
            <w:tcW w:w="1405" w:type="dxa"/>
            <w:hideMark/>
          </w:tcPr>
          <w:p w:rsidR="00874D15" w:rsidRPr="005B0796" w:rsidRDefault="00874D15" w:rsidP="00874D15">
            <w:pPr>
              <w:pStyle w:val="TableText"/>
              <w:jc w:val="right"/>
            </w:pPr>
            <w:r w:rsidRPr="005B0796">
              <w:t>2182</w:t>
            </w:r>
          </w:p>
        </w:tc>
        <w:tc>
          <w:tcPr>
            <w:tcW w:w="1405" w:type="dxa"/>
            <w:hideMark/>
          </w:tcPr>
          <w:p w:rsidR="00874D15" w:rsidRPr="005B0796" w:rsidRDefault="00874D15" w:rsidP="00874D15">
            <w:pPr>
              <w:pStyle w:val="TableText"/>
              <w:jc w:val="right"/>
            </w:pPr>
            <w:r w:rsidRPr="005B0796">
              <w:t>8.8 (7.7, 9.9)</w:t>
            </w:r>
          </w:p>
        </w:tc>
        <w:tc>
          <w:tcPr>
            <w:tcW w:w="1404" w:type="dxa"/>
            <w:hideMark/>
          </w:tcPr>
          <w:p w:rsidR="00874D15" w:rsidRPr="005B0796" w:rsidRDefault="00874D15" w:rsidP="00874D15">
            <w:pPr>
              <w:pStyle w:val="TableText"/>
              <w:jc w:val="right"/>
            </w:pPr>
            <w:r w:rsidRPr="005B0796">
              <w:t>1100</w:t>
            </w:r>
          </w:p>
        </w:tc>
        <w:tc>
          <w:tcPr>
            <w:tcW w:w="1405" w:type="dxa"/>
            <w:hideMark/>
          </w:tcPr>
          <w:p w:rsidR="00874D15" w:rsidRPr="005B0796" w:rsidRDefault="00874D15" w:rsidP="00874D15">
            <w:pPr>
              <w:pStyle w:val="TableText"/>
              <w:jc w:val="right"/>
            </w:pPr>
            <w:r w:rsidRPr="005B0796">
              <w:t>8294</w:t>
            </w:r>
          </w:p>
        </w:tc>
        <w:tc>
          <w:tcPr>
            <w:tcW w:w="1405" w:type="dxa"/>
            <w:hideMark/>
          </w:tcPr>
          <w:p w:rsidR="00874D15" w:rsidRPr="005B0796" w:rsidRDefault="00874D15" w:rsidP="00874D15">
            <w:pPr>
              <w:pStyle w:val="TableText"/>
              <w:jc w:val="right"/>
            </w:pPr>
            <w:r w:rsidRPr="005B0796">
              <w:t>15.8 (13.1, 18.9)</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 xml:space="preserve">Not in a relationship </w:t>
            </w:r>
          </w:p>
        </w:tc>
        <w:tc>
          <w:tcPr>
            <w:tcW w:w="1404" w:type="dxa"/>
            <w:hideMark/>
          </w:tcPr>
          <w:p w:rsidR="00874D15" w:rsidRPr="005B0796" w:rsidRDefault="00874D15" w:rsidP="00874D15">
            <w:pPr>
              <w:pStyle w:val="TableText"/>
              <w:jc w:val="right"/>
            </w:pPr>
            <w:r w:rsidRPr="005B0796">
              <w:t>821</w:t>
            </w:r>
          </w:p>
        </w:tc>
        <w:tc>
          <w:tcPr>
            <w:tcW w:w="1405" w:type="dxa"/>
            <w:hideMark/>
          </w:tcPr>
          <w:p w:rsidR="00874D15" w:rsidRPr="005B0796" w:rsidRDefault="00874D15" w:rsidP="00874D15">
            <w:pPr>
              <w:pStyle w:val="TableText"/>
              <w:jc w:val="right"/>
            </w:pPr>
            <w:r w:rsidRPr="005B0796">
              <w:t>5738</w:t>
            </w:r>
          </w:p>
        </w:tc>
        <w:tc>
          <w:tcPr>
            <w:tcW w:w="1405" w:type="dxa"/>
            <w:hideMark/>
          </w:tcPr>
          <w:p w:rsidR="00874D15" w:rsidRPr="005B0796" w:rsidRDefault="00874D15" w:rsidP="00874D15">
            <w:pPr>
              <w:pStyle w:val="TableText"/>
              <w:jc w:val="right"/>
            </w:pPr>
            <w:r w:rsidRPr="005B0796">
              <w:t>23.0 (21.5, 24.7)</w:t>
            </w:r>
          </w:p>
        </w:tc>
        <w:tc>
          <w:tcPr>
            <w:tcW w:w="1404" w:type="dxa"/>
            <w:hideMark/>
          </w:tcPr>
          <w:p w:rsidR="00874D15" w:rsidRPr="005B0796" w:rsidRDefault="00874D15" w:rsidP="00874D15">
            <w:pPr>
              <w:pStyle w:val="TableText"/>
              <w:jc w:val="right"/>
            </w:pPr>
            <w:r w:rsidRPr="005B0796">
              <w:t>1263</w:t>
            </w:r>
          </w:p>
        </w:tc>
        <w:tc>
          <w:tcPr>
            <w:tcW w:w="1405" w:type="dxa"/>
            <w:hideMark/>
          </w:tcPr>
          <w:p w:rsidR="00874D15" w:rsidRPr="005B0796" w:rsidRDefault="00874D15" w:rsidP="00874D15">
            <w:pPr>
              <w:pStyle w:val="TableText"/>
              <w:jc w:val="right"/>
            </w:pPr>
            <w:r w:rsidRPr="005B0796">
              <w:t>9847</w:t>
            </w:r>
          </w:p>
        </w:tc>
        <w:tc>
          <w:tcPr>
            <w:tcW w:w="1405" w:type="dxa"/>
            <w:hideMark/>
          </w:tcPr>
          <w:p w:rsidR="00874D15" w:rsidRPr="005B0796" w:rsidRDefault="00874D15" w:rsidP="00874D15">
            <w:pPr>
              <w:pStyle w:val="TableText"/>
              <w:jc w:val="right"/>
            </w:pPr>
            <w:r w:rsidRPr="005B0796">
              <w:t>18.8 (15.9, 22.0)</w:t>
            </w:r>
          </w:p>
        </w:tc>
      </w:tr>
      <w:tr w:rsidR="00874D15" w:rsidRPr="005B0796" w:rsidTr="00874D15">
        <w:trPr>
          <w:cantSplit/>
          <w:trHeight w:val="20"/>
        </w:trPr>
        <w:tc>
          <w:tcPr>
            <w:tcW w:w="3078" w:type="dxa"/>
            <w:hideMark/>
          </w:tcPr>
          <w:p w:rsidR="00874D15" w:rsidRPr="005B0796" w:rsidRDefault="00874D15" w:rsidP="00874D15">
            <w:pPr>
              <w:pStyle w:val="TableText"/>
              <w:rPr>
                <w:b/>
              </w:rPr>
            </w:pPr>
            <w:r w:rsidRPr="005B0796">
              <w:rPr>
                <w:b/>
              </w:rPr>
              <w:t xml:space="preserve">Education </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Primary/secondary school</w:t>
            </w:r>
          </w:p>
        </w:tc>
        <w:tc>
          <w:tcPr>
            <w:tcW w:w="1404" w:type="dxa"/>
            <w:hideMark/>
          </w:tcPr>
          <w:p w:rsidR="00874D15" w:rsidRPr="005B0796" w:rsidRDefault="00874D15" w:rsidP="00874D15">
            <w:pPr>
              <w:pStyle w:val="TableText"/>
              <w:jc w:val="right"/>
            </w:pPr>
            <w:r w:rsidRPr="005B0796">
              <w:t>1007</w:t>
            </w:r>
          </w:p>
        </w:tc>
        <w:tc>
          <w:tcPr>
            <w:tcW w:w="1405" w:type="dxa"/>
            <w:hideMark/>
          </w:tcPr>
          <w:p w:rsidR="00874D15" w:rsidRPr="005B0796" w:rsidRDefault="00874D15" w:rsidP="00874D15">
            <w:pPr>
              <w:pStyle w:val="TableText"/>
              <w:jc w:val="right"/>
            </w:pPr>
            <w:r w:rsidRPr="005B0796">
              <w:t>7062</w:t>
            </w:r>
          </w:p>
        </w:tc>
        <w:tc>
          <w:tcPr>
            <w:tcW w:w="1405" w:type="dxa"/>
            <w:hideMark/>
          </w:tcPr>
          <w:p w:rsidR="00874D15" w:rsidRPr="005B0796" w:rsidRDefault="00874D15" w:rsidP="00874D15">
            <w:pPr>
              <w:pStyle w:val="TableText"/>
              <w:jc w:val="right"/>
            </w:pPr>
            <w:r w:rsidRPr="005B0796">
              <w:t>28.3 (26.7, 30.0)</w:t>
            </w:r>
          </w:p>
        </w:tc>
        <w:tc>
          <w:tcPr>
            <w:tcW w:w="1404" w:type="dxa"/>
            <w:hideMark/>
          </w:tcPr>
          <w:p w:rsidR="00874D15" w:rsidRPr="005B0796" w:rsidRDefault="00874D15" w:rsidP="00874D15">
            <w:pPr>
              <w:pStyle w:val="TableText"/>
              <w:jc w:val="right"/>
            </w:pPr>
            <w:r w:rsidRPr="005B0796">
              <w:t>1996</w:t>
            </w:r>
          </w:p>
        </w:tc>
        <w:tc>
          <w:tcPr>
            <w:tcW w:w="1405" w:type="dxa"/>
            <w:hideMark/>
          </w:tcPr>
          <w:p w:rsidR="00874D15" w:rsidRPr="005B0796" w:rsidRDefault="00874D15" w:rsidP="00874D15">
            <w:pPr>
              <w:pStyle w:val="TableText"/>
              <w:jc w:val="right"/>
            </w:pPr>
            <w:r w:rsidRPr="005B0796">
              <w:t>15,269</w:t>
            </w:r>
          </w:p>
        </w:tc>
        <w:tc>
          <w:tcPr>
            <w:tcW w:w="1405" w:type="dxa"/>
            <w:hideMark/>
          </w:tcPr>
          <w:p w:rsidR="00874D15" w:rsidRPr="005B0796" w:rsidRDefault="00874D15" w:rsidP="00874D15">
            <w:pPr>
              <w:pStyle w:val="TableText"/>
              <w:jc w:val="right"/>
            </w:pPr>
            <w:r w:rsidRPr="005B0796">
              <w:t>29.1 (25.8, 32.6)</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Certificate</w:t>
            </w:r>
          </w:p>
        </w:tc>
        <w:tc>
          <w:tcPr>
            <w:tcW w:w="1404" w:type="dxa"/>
            <w:hideMark/>
          </w:tcPr>
          <w:p w:rsidR="00874D15" w:rsidRPr="005B0796" w:rsidRDefault="00874D15" w:rsidP="00874D15">
            <w:pPr>
              <w:pStyle w:val="TableText"/>
              <w:jc w:val="right"/>
            </w:pPr>
            <w:r w:rsidRPr="005B0796">
              <w:t>975</w:t>
            </w:r>
          </w:p>
        </w:tc>
        <w:tc>
          <w:tcPr>
            <w:tcW w:w="1405" w:type="dxa"/>
            <w:hideMark/>
          </w:tcPr>
          <w:p w:rsidR="00874D15" w:rsidRPr="005B0796" w:rsidRDefault="00874D15" w:rsidP="00874D15">
            <w:pPr>
              <w:pStyle w:val="TableText"/>
              <w:jc w:val="right"/>
            </w:pPr>
            <w:r w:rsidRPr="005B0796">
              <w:t>7200</w:t>
            </w:r>
          </w:p>
        </w:tc>
        <w:tc>
          <w:tcPr>
            <w:tcW w:w="1405" w:type="dxa"/>
            <w:hideMark/>
          </w:tcPr>
          <w:p w:rsidR="00874D15" w:rsidRPr="005B0796" w:rsidRDefault="00874D15" w:rsidP="00874D15">
            <w:pPr>
              <w:pStyle w:val="TableText"/>
              <w:jc w:val="right"/>
            </w:pPr>
            <w:r w:rsidRPr="005B0796">
              <w:t>28.9 (27.2, 30.6)</w:t>
            </w:r>
          </w:p>
        </w:tc>
        <w:tc>
          <w:tcPr>
            <w:tcW w:w="1404" w:type="dxa"/>
            <w:hideMark/>
          </w:tcPr>
          <w:p w:rsidR="00874D15" w:rsidRPr="005B0796" w:rsidRDefault="00874D15" w:rsidP="00874D15">
            <w:pPr>
              <w:pStyle w:val="TableText"/>
              <w:jc w:val="right"/>
            </w:pPr>
            <w:r w:rsidRPr="005B0796">
              <w:t>1723</w:t>
            </w:r>
          </w:p>
        </w:tc>
        <w:tc>
          <w:tcPr>
            <w:tcW w:w="1405" w:type="dxa"/>
            <w:hideMark/>
          </w:tcPr>
          <w:p w:rsidR="00874D15" w:rsidRPr="005B0796" w:rsidRDefault="00874D15" w:rsidP="00874D15">
            <w:pPr>
              <w:pStyle w:val="TableText"/>
              <w:jc w:val="right"/>
            </w:pPr>
            <w:r w:rsidRPr="005B0796">
              <w:t>16,508</w:t>
            </w:r>
          </w:p>
        </w:tc>
        <w:tc>
          <w:tcPr>
            <w:tcW w:w="1405" w:type="dxa"/>
            <w:hideMark/>
          </w:tcPr>
          <w:p w:rsidR="00874D15" w:rsidRPr="005B0796" w:rsidRDefault="00874D15" w:rsidP="00874D15">
            <w:pPr>
              <w:pStyle w:val="TableText"/>
              <w:jc w:val="right"/>
            </w:pPr>
            <w:r w:rsidRPr="005B0796">
              <w:t>31.4 (28.1, 35.0)</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Diploma</w:t>
            </w:r>
          </w:p>
        </w:tc>
        <w:tc>
          <w:tcPr>
            <w:tcW w:w="1404" w:type="dxa"/>
            <w:hideMark/>
          </w:tcPr>
          <w:p w:rsidR="00874D15" w:rsidRPr="005B0796" w:rsidRDefault="00874D15" w:rsidP="00874D15">
            <w:pPr>
              <w:pStyle w:val="TableText"/>
              <w:jc w:val="right"/>
            </w:pPr>
            <w:r w:rsidRPr="005B0796">
              <w:t>1063</w:t>
            </w:r>
          </w:p>
        </w:tc>
        <w:tc>
          <w:tcPr>
            <w:tcW w:w="1405" w:type="dxa"/>
            <w:hideMark/>
          </w:tcPr>
          <w:p w:rsidR="00874D15" w:rsidRPr="005B0796" w:rsidRDefault="00874D15" w:rsidP="00874D15">
            <w:pPr>
              <w:pStyle w:val="TableText"/>
              <w:jc w:val="right"/>
            </w:pPr>
            <w:r w:rsidRPr="005B0796">
              <w:t>5229</w:t>
            </w:r>
          </w:p>
        </w:tc>
        <w:tc>
          <w:tcPr>
            <w:tcW w:w="1405" w:type="dxa"/>
            <w:hideMark/>
          </w:tcPr>
          <w:p w:rsidR="00874D15" w:rsidRPr="005B0796" w:rsidRDefault="00874D15" w:rsidP="00874D15">
            <w:pPr>
              <w:pStyle w:val="TableText"/>
              <w:jc w:val="right"/>
            </w:pPr>
            <w:r w:rsidRPr="005B0796">
              <w:t>20.9 (19.7, 22.3)</w:t>
            </w:r>
          </w:p>
        </w:tc>
        <w:tc>
          <w:tcPr>
            <w:tcW w:w="1404" w:type="dxa"/>
            <w:hideMark/>
          </w:tcPr>
          <w:p w:rsidR="00874D15" w:rsidRPr="005B0796" w:rsidRDefault="00874D15" w:rsidP="00874D15">
            <w:pPr>
              <w:pStyle w:val="TableText"/>
              <w:jc w:val="right"/>
            </w:pPr>
            <w:r w:rsidRPr="005B0796">
              <w:t>1601</w:t>
            </w:r>
          </w:p>
        </w:tc>
        <w:tc>
          <w:tcPr>
            <w:tcW w:w="1405" w:type="dxa"/>
            <w:hideMark/>
          </w:tcPr>
          <w:p w:rsidR="00874D15" w:rsidRPr="005B0796" w:rsidRDefault="00874D15" w:rsidP="00874D15">
            <w:pPr>
              <w:pStyle w:val="TableText"/>
              <w:jc w:val="right"/>
            </w:pPr>
            <w:r w:rsidRPr="005B0796">
              <w:t>7787</w:t>
            </w:r>
          </w:p>
        </w:tc>
        <w:tc>
          <w:tcPr>
            <w:tcW w:w="1405" w:type="dxa"/>
            <w:hideMark/>
          </w:tcPr>
          <w:p w:rsidR="00874D15" w:rsidRPr="005B0796" w:rsidRDefault="00874D15" w:rsidP="00874D15">
            <w:pPr>
              <w:pStyle w:val="TableText"/>
              <w:jc w:val="right"/>
            </w:pPr>
            <w:r w:rsidRPr="005B0796">
              <w:t>14.8 (13.0, 16.9)</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University</w:t>
            </w:r>
          </w:p>
        </w:tc>
        <w:tc>
          <w:tcPr>
            <w:tcW w:w="1404" w:type="dxa"/>
            <w:hideMark/>
          </w:tcPr>
          <w:p w:rsidR="00874D15" w:rsidRPr="005B0796" w:rsidRDefault="00874D15" w:rsidP="00874D15">
            <w:pPr>
              <w:pStyle w:val="TableText"/>
              <w:jc w:val="right"/>
            </w:pPr>
            <w:r w:rsidRPr="005B0796">
              <w:t>1221</w:t>
            </w:r>
          </w:p>
        </w:tc>
        <w:tc>
          <w:tcPr>
            <w:tcW w:w="1405" w:type="dxa"/>
            <w:hideMark/>
          </w:tcPr>
          <w:p w:rsidR="00874D15" w:rsidRPr="005B0796" w:rsidRDefault="00874D15" w:rsidP="00874D15">
            <w:pPr>
              <w:pStyle w:val="TableText"/>
              <w:jc w:val="right"/>
            </w:pPr>
            <w:r w:rsidRPr="005B0796">
              <w:t>5078</w:t>
            </w:r>
          </w:p>
        </w:tc>
        <w:tc>
          <w:tcPr>
            <w:tcW w:w="1405" w:type="dxa"/>
            <w:hideMark/>
          </w:tcPr>
          <w:p w:rsidR="00874D15" w:rsidRPr="005B0796" w:rsidRDefault="00874D15" w:rsidP="00874D15">
            <w:pPr>
              <w:pStyle w:val="TableText"/>
              <w:jc w:val="right"/>
            </w:pPr>
            <w:r w:rsidRPr="005B0796">
              <w:t>20.4 (19.3, 21.5)</w:t>
            </w:r>
          </w:p>
        </w:tc>
        <w:tc>
          <w:tcPr>
            <w:tcW w:w="1404" w:type="dxa"/>
            <w:hideMark/>
          </w:tcPr>
          <w:p w:rsidR="00874D15" w:rsidRPr="005B0796" w:rsidRDefault="00874D15" w:rsidP="00874D15">
            <w:pPr>
              <w:pStyle w:val="TableText"/>
              <w:jc w:val="right"/>
            </w:pPr>
            <w:r w:rsidRPr="005B0796">
              <w:t>3015</w:t>
            </w:r>
          </w:p>
        </w:tc>
        <w:tc>
          <w:tcPr>
            <w:tcW w:w="1405" w:type="dxa"/>
            <w:hideMark/>
          </w:tcPr>
          <w:p w:rsidR="00874D15" w:rsidRPr="005B0796" w:rsidRDefault="00874D15" w:rsidP="00874D15">
            <w:pPr>
              <w:pStyle w:val="TableText"/>
              <w:jc w:val="right"/>
            </w:pPr>
            <w:r w:rsidRPr="005B0796">
              <w:t>12,025</w:t>
            </w:r>
          </w:p>
        </w:tc>
        <w:tc>
          <w:tcPr>
            <w:tcW w:w="1405" w:type="dxa"/>
            <w:hideMark/>
          </w:tcPr>
          <w:p w:rsidR="00874D15" w:rsidRPr="005B0796" w:rsidRDefault="00874D15" w:rsidP="00874D15">
            <w:pPr>
              <w:pStyle w:val="TableText"/>
              <w:jc w:val="right"/>
            </w:pPr>
            <w:r w:rsidRPr="005B0796">
              <w:t>22.9 (21.6, 24.2)</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rPr>
                <w:b/>
              </w:rPr>
            </w:pPr>
            <w:r w:rsidRPr="005B0796">
              <w:rPr>
                <w:b/>
              </w:rPr>
              <w:t>Employment status</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 xml:space="preserve">Full/part-time paid work </w:t>
            </w:r>
          </w:p>
        </w:tc>
        <w:tc>
          <w:tcPr>
            <w:tcW w:w="1404" w:type="dxa"/>
            <w:hideMark/>
          </w:tcPr>
          <w:p w:rsidR="00874D15" w:rsidRPr="005B0796" w:rsidRDefault="00874D15" w:rsidP="00874D15">
            <w:pPr>
              <w:pStyle w:val="TableText"/>
              <w:jc w:val="right"/>
            </w:pPr>
            <w:r w:rsidRPr="005B0796">
              <w:t>2909</w:t>
            </w:r>
          </w:p>
        </w:tc>
        <w:tc>
          <w:tcPr>
            <w:tcW w:w="1405" w:type="dxa"/>
            <w:hideMark/>
          </w:tcPr>
          <w:p w:rsidR="00874D15" w:rsidRPr="005B0796" w:rsidRDefault="00874D15" w:rsidP="00874D15">
            <w:pPr>
              <w:pStyle w:val="TableText"/>
              <w:jc w:val="right"/>
            </w:pPr>
            <w:r w:rsidRPr="005B0796">
              <w:t>17,063</w:t>
            </w:r>
          </w:p>
        </w:tc>
        <w:tc>
          <w:tcPr>
            <w:tcW w:w="1405" w:type="dxa"/>
            <w:hideMark/>
          </w:tcPr>
          <w:p w:rsidR="00874D15" w:rsidRPr="005B0796" w:rsidRDefault="00874D15" w:rsidP="00874D15">
            <w:pPr>
              <w:pStyle w:val="TableText"/>
              <w:jc w:val="right"/>
            </w:pPr>
            <w:r w:rsidRPr="005B0796">
              <w:t>68.4 (66.8, 70.0)</w:t>
            </w:r>
          </w:p>
        </w:tc>
        <w:tc>
          <w:tcPr>
            <w:tcW w:w="1404" w:type="dxa"/>
            <w:hideMark/>
          </w:tcPr>
          <w:p w:rsidR="00874D15" w:rsidRPr="005B0796" w:rsidRDefault="00874D15" w:rsidP="00874D15">
            <w:pPr>
              <w:pStyle w:val="TableText"/>
              <w:jc w:val="right"/>
            </w:pPr>
            <w:r w:rsidRPr="005B0796">
              <w:t>8480</w:t>
            </w:r>
          </w:p>
        </w:tc>
        <w:tc>
          <w:tcPr>
            <w:tcW w:w="1405" w:type="dxa"/>
            <w:hideMark/>
          </w:tcPr>
          <w:p w:rsidR="00874D15" w:rsidRPr="005B0796" w:rsidRDefault="00874D15" w:rsidP="00874D15">
            <w:pPr>
              <w:pStyle w:val="TableText"/>
              <w:jc w:val="right"/>
            </w:pPr>
            <w:r w:rsidRPr="005B0796">
              <w:t>52,500</w:t>
            </w:r>
          </w:p>
        </w:tc>
        <w:tc>
          <w:tcPr>
            <w:tcW w:w="1405" w:type="dxa"/>
            <w:hideMark/>
          </w:tcPr>
          <w:p w:rsidR="00874D15" w:rsidRPr="005B0796" w:rsidRDefault="00874D15" w:rsidP="00874D15">
            <w:pPr>
              <w:pStyle w:val="TableText"/>
              <w:jc w:val="right"/>
            </w:pPr>
            <w:r w:rsidRPr="005B0796">
              <w:t>100.0</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Unpaid work</w:t>
            </w:r>
          </w:p>
        </w:tc>
        <w:tc>
          <w:tcPr>
            <w:tcW w:w="1404" w:type="dxa"/>
            <w:hideMark/>
          </w:tcPr>
          <w:p w:rsidR="00874D15" w:rsidRPr="005B0796" w:rsidRDefault="00874D15" w:rsidP="00874D15">
            <w:pPr>
              <w:pStyle w:val="TableText"/>
              <w:jc w:val="right"/>
            </w:pPr>
            <w:r w:rsidRPr="005B0796">
              <w:t>151</w:t>
            </w:r>
          </w:p>
        </w:tc>
        <w:tc>
          <w:tcPr>
            <w:tcW w:w="1405" w:type="dxa"/>
            <w:hideMark/>
          </w:tcPr>
          <w:p w:rsidR="00874D15" w:rsidRPr="005B0796" w:rsidRDefault="00874D15" w:rsidP="00874D15">
            <w:pPr>
              <w:pStyle w:val="TableText"/>
              <w:jc w:val="right"/>
            </w:pPr>
            <w:r w:rsidRPr="005B0796">
              <w:t>777</w:t>
            </w:r>
          </w:p>
        </w:tc>
        <w:tc>
          <w:tcPr>
            <w:tcW w:w="1405" w:type="dxa"/>
            <w:hideMark/>
          </w:tcPr>
          <w:p w:rsidR="00874D15" w:rsidRPr="005B0796" w:rsidRDefault="00874D15" w:rsidP="00874D15">
            <w:pPr>
              <w:pStyle w:val="TableText"/>
              <w:jc w:val="right"/>
            </w:pPr>
            <w:r w:rsidRPr="005B0796">
              <w:t>3.1 (2.6, 3.7)</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Unemployed/looking for work</w:t>
            </w:r>
          </w:p>
        </w:tc>
        <w:tc>
          <w:tcPr>
            <w:tcW w:w="1404" w:type="dxa"/>
            <w:hideMark/>
          </w:tcPr>
          <w:p w:rsidR="00874D15" w:rsidRPr="005B0796" w:rsidRDefault="00874D15" w:rsidP="00874D15">
            <w:pPr>
              <w:pStyle w:val="TableText"/>
              <w:jc w:val="right"/>
            </w:pPr>
            <w:r w:rsidRPr="005B0796">
              <w:t>199</w:t>
            </w:r>
          </w:p>
        </w:tc>
        <w:tc>
          <w:tcPr>
            <w:tcW w:w="1405" w:type="dxa"/>
            <w:hideMark/>
          </w:tcPr>
          <w:p w:rsidR="00874D15" w:rsidRPr="005B0796" w:rsidRDefault="00874D15" w:rsidP="00874D15">
            <w:pPr>
              <w:pStyle w:val="TableText"/>
              <w:jc w:val="right"/>
            </w:pPr>
            <w:r w:rsidRPr="005B0796">
              <w:t>1289</w:t>
            </w:r>
          </w:p>
        </w:tc>
        <w:tc>
          <w:tcPr>
            <w:tcW w:w="1405" w:type="dxa"/>
            <w:hideMark/>
          </w:tcPr>
          <w:p w:rsidR="00874D15" w:rsidRPr="005B0796" w:rsidRDefault="00874D15" w:rsidP="00874D15">
            <w:pPr>
              <w:pStyle w:val="TableText"/>
              <w:jc w:val="right"/>
            </w:pPr>
            <w:r w:rsidRPr="005B0796">
              <w:t>5.2 (4.4, 6.1)</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Unemployed – sickness allowance/disability support pension</w:t>
            </w:r>
          </w:p>
        </w:tc>
        <w:tc>
          <w:tcPr>
            <w:tcW w:w="1404" w:type="dxa"/>
            <w:hideMark/>
          </w:tcPr>
          <w:p w:rsidR="00874D15" w:rsidRPr="005B0796" w:rsidRDefault="00874D15" w:rsidP="00874D15">
            <w:pPr>
              <w:pStyle w:val="TableText"/>
              <w:jc w:val="right"/>
            </w:pPr>
            <w:r w:rsidRPr="005B0796">
              <w:t>412</w:t>
            </w:r>
          </w:p>
        </w:tc>
        <w:tc>
          <w:tcPr>
            <w:tcW w:w="1405" w:type="dxa"/>
            <w:hideMark/>
          </w:tcPr>
          <w:p w:rsidR="00874D15" w:rsidRPr="005B0796" w:rsidRDefault="00874D15" w:rsidP="00874D15">
            <w:pPr>
              <w:pStyle w:val="TableText"/>
              <w:jc w:val="right"/>
            </w:pPr>
            <w:r w:rsidRPr="005B0796">
              <w:t>2224</w:t>
            </w:r>
          </w:p>
        </w:tc>
        <w:tc>
          <w:tcPr>
            <w:tcW w:w="1405" w:type="dxa"/>
            <w:hideMark/>
          </w:tcPr>
          <w:p w:rsidR="00874D15" w:rsidRPr="005B0796" w:rsidRDefault="00874D15" w:rsidP="00874D15">
            <w:pPr>
              <w:pStyle w:val="TableText"/>
              <w:jc w:val="right"/>
            </w:pPr>
            <w:r w:rsidRPr="005B0796">
              <w:t>8.9 (8.1, 9.9)</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Student</w:t>
            </w:r>
          </w:p>
        </w:tc>
        <w:tc>
          <w:tcPr>
            <w:tcW w:w="1404" w:type="dxa"/>
            <w:hideMark/>
          </w:tcPr>
          <w:p w:rsidR="00874D15" w:rsidRPr="005B0796" w:rsidRDefault="00874D15" w:rsidP="00874D15">
            <w:pPr>
              <w:pStyle w:val="TableText"/>
              <w:jc w:val="right"/>
            </w:pPr>
            <w:r w:rsidRPr="005B0796">
              <w:t>206</w:t>
            </w:r>
          </w:p>
        </w:tc>
        <w:tc>
          <w:tcPr>
            <w:tcW w:w="1405" w:type="dxa"/>
            <w:hideMark/>
          </w:tcPr>
          <w:p w:rsidR="00874D15" w:rsidRPr="005B0796" w:rsidRDefault="00874D15" w:rsidP="00874D15">
            <w:pPr>
              <w:pStyle w:val="TableText"/>
              <w:jc w:val="right"/>
            </w:pPr>
            <w:r w:rsidRPr="005B0796">
              <w:t>1728</w:t>
            </w:r>
          </w:p>
        </w:tc>
        <w:tc>
          <w:tcPr>
            <w:tcW w:w="1405" w:type="dxa"/>
            <w:hideMark/>
          </w:tcPr>
          <w:p w:rsidR="00874D15" w:rsidRPr="005B0796" w:rsidRDefault="00874D15" w:rsidP="00874D15">
            <w:pPr>
              <w:pStyle w:val="TableText"/>
              <w:jc w:val="right"/>
            </w:pPr>
            <w:r w:rsidRPr="005B0796">
              <w:t>6.9 (5.9, 8.1)</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Retired</w:t>
            </w:r>
          </w:p>
        </w:tc>
        <w:tc>
          <w:tcPr>
            <w:tcW w:w="1404" w:type="dxa"/>
            <w:hideMark/>
          </w:tcPr>
          <w:p w:rsidR="00874D15" w:rsidRPr="005B0796" w:rsidRDefault="00874D15" w:rsidP="00874D15">
            <w:pPr>
              <w:pStyle w:val="TableText"/>
              <w:jc w:val="right"/>
            </w:pPr>
            <w:r w:rsidRPr="005B0796">
              <w:t>377</w:t>
            </w:r>
          </w:p>
        </w:tc>
        <w:tc>
          <w:tcPr>
            <w:tcW w:w="1405" w:type="dxa"/>
            <w:hideMark/>
          </w:tcPr>
          <w:p w:rsidR="00874D15" w:rsidRPr="005B0796" w:rsidRDefault="00874D15" w:rsidP="00874D15">
            <w:pPr>
              <w:pStyle w:val="TableText"/>
              <w:jc w:val="right"/>
            </w:pPr>
            <w:r w:rsidRPr="005B0796">
              <w:t>1373</w:t>
            </w:r>
          </w:p>
        </w:tc>
        <w:tc>
          <w:tcPr>
            <w:tcW w:w="1405" w:type="dxa"/>
            <w:hideMark/>
          </w:tcPr>
          <w:p w:rsidR="00874D15" w:rsidRPr="005B0796" w:rsidRDefault="00874D15" w:rsidP="00874D15">
            <w:pPr>
              <w:pStyle w:val="TableText"/>
              <w:jc w:val="right"/>
            </w:pPr>
            <w:r w:rsidRPr="005B0796">
              <w:t>5.5 (5.0, 6.0)</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antSplit/>
          <w:trHeight w:val="20"/>
        </w:trPr>
        <w:tc>
          <w:tcPr>
            <w:tcW w:w="3078" w:type="dxa"/>
            <w:hideMark/>
          </w:tcPr>
          <w:p w:rsidR="00874D15" w:rsidRPr="005B0796" w:rsidRDefault="00874D15" w:rsidP="00874D15">
            <w:pPr>
              <w:pStyle w:val="TableText"/>
              <w:rPr>
                <w:b/>
              </w:rPr>
            </w:pPr>
            <w:r w:rsidRPr="005B0796">
              <w:rPr>
                <w:b/>
              </w:rPr>
              <w:t>Main source of income</w:t>
            </w: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c>
          <w:tcPr>
            <w:tcW w:w="1404"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Wage/salary/own business/partnership</w:t>
            </w:r>
          </w:p>
        </w:tc>
        <w:tc>
          <w:tcPr>
            <w:tcW w:w="1404" w:type="dxa"/>
            <w:hideMark/>
          </w:tcPr>
          <w:p w:rsidR="00874D15" w:rsidRPr="005B0796" w:rsidRDefault="00874D15" w:rsidP="00874D15">
            <w:pPr>
              <w:pStyle w:val="TableText"/>
              <w:jc w:val="right"/>
            </w:pPr>
            <w:r w:rsidRPr="005B0796">
              <w:t>2590</w:t>
            </w:r>
          </w:p>
        </w:tc>
        <w:tc>
          <w:tcPr>
            <w:tcW w:w="1405" w:type="dxa"/>
            <w:hideMark/>
          </w:tcPr>
          <w:p w:rsidR="00874D15" w:rsidRPr="005B0796" w:rsidRDefault="00874D15" w:rsidP="00874D15">
            <w:pPr>
              <w:pStyle w:val="TableText"/>
              <w:jc w:val="right"/>
            </w:pPr>
            <w:r w:rsidRPr="005B0796">
              <w:t>16,024</w:t>
            </w:r>
          </w:p>
        </w:tc>
        <w:tc>
          <w:tcPr>
            <w:tcW w:w="1405" w:type="dxa"/>
            <w:hideMark/>
          </w:tcPr>
          <w:p w:rsidR="00874D15" w:rsidRPr="005B0796" w:rsidRDefault="00874D15" w:rsidP="00874D15">
            <w:pPr>
              <w:pStyle w:val="TableText"/>
              <w:jc w:val="right"/>
            </w:pPr>
            <w:r w:rsidRPr="005B0796">
              <w:t>64.3 (62.7, 65.8)</w:t>
            </w:r>
          </w:p>
        </w:tc>
        <w:tc>
          <w:tcPr>
            <w:tcW w:w="1404" w:type="dxa"/>
            <w:hideMark/>
          </w:tcPr>
          <w:p w:rsidR="00874D15" w:rsidRPr="005B0796" w:rsidRDefault="00874D15" w:rsidP="00874D15">
            <w:pPr>
              <w:pStyle w:val="TableText"/>
              <w:jc w:val="right"/>
            </w:pPr>
            <w:r w:rsidRPr="005B0796">
              <w:t>8480</w:t>
            </w:r>
          </w:p>
        </w:tc>
        <w:tc>
          <w:tcPr>
            <w:tcW w:w="1405" w:type="dxa"/>
            <w:hideMark/>
          </w:tcPr>
          <w:p w:rsidR="00874D15" w:rsidRPr="005B0796" w:rsidRDefault="00874D15" w:rsidP="00874D15">
            <w:pPr>
              <w:pStyle w:val="TableText"/>
              <w:jc w:val="right"/>
            </w:pPr>
            <w:r w:rsidRPr="005B0796">
              <w:t>52,500</w:t>
            </w:r>
          </w:p>
        </w:tc>
        <w:tc>
          <w:tcPr>
            <w:tcW w:w="1405" w:type="dxa"/>
            <w:hideMark/>
          </w:tcPr>
          <w:p w:rsidR="00874D15" w:rsidRPr="005B0796" w:rsidRDefault="00874D15" w:rsidP="00874D15">
            <w:pPr>
              <w:pStyle w:val="TableText"/>
              <w:jc w:val="right"/>
            </w:pPr>
            <w:r w:rsidRPr="005B0796">
              <w:t>100.0</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Age pension</w:t>
            </w:r>
          </w:p>
        </w:tc>
        <w:tc>
          <w:tcPr>
            <w:tcW w:w="1404" w:type="dxa"/>
            <w:hideMark/>
          </w:tcPr>
          <w:p w:rsidR="00874D15" w:rsidRPr="005B0796" w:rsidRDefault="00874D15" w:rsidP="00874D15">
            <w:pPr>
              <w:pStyle w:val="TableText"/>
              <w:jc w:val="right"/>
            </w:pPr>
            <w:r w:rsidRPr="005B0796">
              <w:t>263</w:t>
            </w:r>
          </w:p>
        </w:tc>
        <w:tc>
          <w:tcPr>
            <w:tcW w:w="1405" w:type="dxa"/>
            <w:hideMark/>
          </w:tcPr>
          <w:p w:rsidR="00874D15" w:rsidRPr="005B0796" w:rsidRDefault="00874D15" w:rsidP="00874D15">
            <w:pPr>
              <w:pStyle w:val="TableText"/>
              <w:jc w:val="right"/>
            </w:pPr>
            <w:r w:rsidRPr="005B0796">
              <w:t>911</w:t>
            </w:r>
          </w:p>
        </w:tc>
        <w:tc>
          <w:tcPr>
            <w:tcW w:w="1405" w:type="dxa"/>
            <w:hideMark/>
          </w:tcPr>
          <w:p w:rsidR="00874D15" w:rsidRPr="005B0796" w:rsidRDefault="00874D15" w:rsidP="00874D15">
            <w:pPr>
              <w:pStyle w:val="TableText"/>
              <w:jc w:val="right"/>
            </w:pPr>
            <w:r w:rsidRPr="005B0796">
              <w:t>3.7 (3.3, 4.1)</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Invalidity service pension</w:t>
            </w:r>
          </w:p>
        </w:tc>
        <w:tc>
          <w:tcPr>
            <w:tcW w:w="1404" w:type="dxa"/>
            <w:hideMark/>
          </w:tcPr>
          <w:p w:rsidR="00874D15" w:rsidRPr="005B0796" w:rsidRDefault="00874D15" w:rsidP="00874D15">
            <w:pPr>
              <w:pStyle w:val="TableText"/>
              <w:jc w:val="right"/>
            </w:pPr>
            <w:r w:rsidRPr="005B0796">
              <w:t>262</w:t>
            </w:r>
          </w:p>
        </w:tc>
        <w:tc>
          <w:tcPr>
            <w:tcW w:w="1405" w:type="dxa"/>
            <w:hideMark/>
          </w:tcPr>
          <w:p w:rsidR="00874D15" w:rsidRPr="005B0796" w:rsidRDefault="00874D15" w:rsidP="00874D15">
            <w:pPr>
              <w:pStyle w:val="TableText"/>
              <w:jc w:val="right"/>
            </w:pPr>
            <w:r w:rsidRPr="005B0796">
              <w:t>1322</w:t>
            </w:r>
          </w:p>
        </w:tc>
        <w:tc>
          <w:tcPr>
            <w:tcW w:w="1405" w:type="dxa"/>
            <w:hideMark/>
          </w:tcPr>
          <w:p w:rsidR="00874D15" w:rsidRPr="005B0796" w:rsidRDefault="00874D15" w:rsidP="00874D15">
            <w:pPr>
              <w:pStyle w:val="TableText"/>
              <w:jc w:val="right"/>
            </w:pPr>
            <w:r w:rsidRPr="005B0796">
              <w:t>5.3 (4.7, 6.0)</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 xml:space="preserve">VEA/SRCA/MRCA compensation </w:t>
            </w:r>
          </w:p>
        </w:tc>
        <w:tc>
          <w:tcPr>
            <w:tcW w:w="1404" w:type="dxa"/>
            <w:hideMark/>
          </w:tcPr>
          <w:p w:rsidR="00874D15" w:rsidRPr="005B0796" w:rsidRDefault="00874D15" w:rsidP="00874D15">
            <w:pPr>
              <w:pStyle w:val="TableText"/>
              <w:jc w:val="right"/>
            </w:pPr>
            <w:r w:rsidRPr="005B0796">
              <w:t>195</w:t>
            </w:r>
          </w:p>
        </w:tc>
        <w:tc>
          <w:tcPr>
            <w:tcW w:w="1405" w:type="dxa"/>
            <w:hideMark/>
          </w:tcPr>
          <w:p w:rsidR="00874D15" w:rsidRPr="005B0796" w:rsidRDefault="00874D15" w:rsidP="00874D15">
            <w:pPr>
              <w:pStyle w:val="TableText"/>
              <w:jc w:val="right"/>
            </w:pPr>
            <w:r w:rsidRPr="005B0796">
              <w:t>1114</w:t>
            </w:r>
          </w:p>
        </w:tc>
        <w:tc>
          <w:tcPr>
            <w:tcW w:w="1405" w:type="dxa"/>
            <w:hideMark/>
          </w:tcPr>
          <w:p w:rsidR="00874D15" w:rsidRPr="005B0796" w:rsidRDefault="00874D15" w:rsidP="00874D15">
            <w:pPr>
              <w:pStyle w:val="TableText"/>
              <w:jc w:val="right"/>
            </w:pPr>
            <w:r w:rsidRPr="005B0796">
              <w:t>4.5 (3.8, 5.2)</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Dividends/interest/investments</w:t>
            </w:r>
          </w:p>
        </w:tc>
        <w:tc>
          <w:tcPr>
            <w:tcW w:w="1404" w:type="dxa"/>
            <w:hideMark/>
          </w:tcPr>
          <w:p w:rsidR="00874D15" w:rsidRPr="005B0796" w:rsidRDefault="00874D15" w:rsidP="00874D15">
            <w:pPr>
              <w:pStyle w:val="TableText"/>
              <w:jc w:val="right"/>
            </w:pPr>
            <w:r w:rsidRPr="005B0796">
              <w:t>27</w:t>
            </w:r>
          </w:p>
        </w:tc>
        <w:tc>
          <w:tcPr>
            <w:tcW w:w="1405" w:type="dxa"/>
            <w:hideMark/>
          </w:tcPr>
          <w:p w:rsidR="00874D15" w:rsidRPr="005B0796" w:rsidRDefault="00874D15" w:rsidP="00874D15">
            <w:pPr>
              <w:pStyle w:val="TableText"/>
              <w:jc w:val="right"/>
            </w:pPr>
            <w:r w:rsidRPr="005B0796">
              <w:t>153</w:t>
            </w:r>
          </w:p>
        </w:tc>
        <w:tc>
          <w:tcPr>
            <w:tcW w:w="1405" w:type="dxa"/>
            <w:hideMark/>
          </w:tcPr>
          <w:p w:rsidR="00874D15" w:rsidRPr="005B0796" w:rsidRDefault="00874D15" w:rsidP="00874D15">
            <w:pPr>
              <w:pStyle w:val="TableText"/>
              <w:jc w:val="right"/>
            </w:pPr>
            <w:r w:rsidRPr="005B0796">
              <w:t>0.6 (0.4, 0.9)</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Other pension/benefit/allowance</w:t>
            </w:r>
          </w:p>
        </w:tc>
        <w:tc>
          <w:tcPr>
            <w:tcW w:w="1404" w:type="dxa"/>
            <w:hideMark/>
          </w:tcPr>
          <w:p w:rsidR="00874D15" w:rsidRPr="005B0796" w:rsidRDefault="00874D15" w:rsidP="00874D15">
            <w:pPr>
              <w:pStyle w:val="TableText"/>
              <w:jc w:val="right"/>
            </w:pPr>
            <w:r w:rsidRPr="005B0796">
              <w:t>183</w:t>
            </w:r>
          </w:p>
        </w:tc>
        <w:tc>
          <w:tcPr>
            <w:tcW w:w="1405" w:type="dxa"/>
            <w:hideMark/>
          </w:tcPr>
          <w:p w:rsidR="00874D15" w:rsidRPr="005B0796" w:rsidRDefault="00874D15" w:rsidP="00874D15">
            <w:pPr>
              <w:pStyle w:val="TableText"/>
              <w:jc w:val="right"/>
            </w:pPr>
            <w:r w:rsidRPr="005B0796">
              <w:t>1342</w:t>
            </w:r>
          </w:p>
        </w:tc>
        <w:tc>
          <w:tcPr>
            <w:tcW w:w="1405" w:type="dxa"/>
            <w:hideMark/>
          </w:tcPr>
          <w:p w:rsidR="00874D15" w:rsidRPr="005B0796" w:rsidRDefault="00874D15" w:rsidP="00874D15">
            <w:pPr>
              <w:pStyle w:val="TableText"/>
              <w:jc w:val="right"/>
            </w:pPr>
            <w:r w:rsidRPr="005B0796">
              <w:t>5.4 (4.6, 6.4)</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Superannuation</w:t>
            </w:r>
          </w:p>
        </w:tc>
        <w:tc>
          <w:tcPr>
            <w:tcW w:w="1404" w:type="dxa"/>
            <w:hideMark/>
          </w:tcPr>
          <w:p w:rsidR="00874D15" w:rsidRPr="005B0796" w:rsidRDefault="00874D15" w:rsidP="00874D15">
            <w:pPr>
              <w:pStyle w:val="TableText"/>
              <w:jc w:val="right"/>
            </w:pPr>
            <w:r w:rsidRPr="005B0796">
              <w:t>404</w:t>
            </w:r>
          </w:p>
        </w:tc>
        <w:tc>
          <w:tcPr>
            <w:tcW w:w="1405" w:type="dxa"/>
            <w:hideMark/>
          </w:tcPr>
          <w:p w:rsidR="00874D15" w:rsidRPr="005B0796" w:rsidRDefault="00874D15" w:rsidP="00874D15">
            <w:pPr>
              <w:pStyle w:val="TableText"/>
              <w:jc w:val="right"/>
            </w:pPr>
            <w:r w:rsidRPr="005B0796">
              <w:t>1590</w:t>
            </w:r>
          </w:p>
        </w:tc>
        <w:tc>
          <w:tcPr>
            <w:tcW w:w="1405" w:type="dxa"/>
            <w:hideMark/>
          </w:tcPr>
          <w:p w:rsidR="00874D15" w:rsidRPr="005B0796" w:rsidRDefault="00874D15" w:rsidP="00874D15">
            <w:pPr>
              <w:pStyle w:val="TableText"/>
              <w:jc w:val="right"/>
            </w:pPr>
            <w:r w:rsidRPr="005B0796">
              <w:t>6.4 (5.8, 7.0)</w:t>
            </w:r>
          </w:p>
        </w:tc>
        <w:tc>
          <w:tcPr>
            <w:tcW w:w="1404"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Other</w:t>
            </w:r>
          </w:p>
        </w:tc>
        <w:tc>
          <w:tcPr>
            <w:tcW w:w="1404" w:type="dxa"/>
            <w:hideMark/>
          </w:tcPr>
          <w:p w:rsidR="00874D15" w:rsidRPr="005B0796" w:rsidRDefault="00874D15" w:rsidP="00874D15">
            <w:pPr>
              <w:pStyle w:val="TableText"/>
              <w:jc w:val="right"/>
            </w:pPr>
            <w:r w:rsidRPr="005B0796">
              <w:t>301</w:t>
            </w:r>
          </w:p>
        </w:tc>
        <w:tc>
          <w:tcPr>
            <w:tcW w:w="1405" w:type="dxa"/>
            <w:hideMark/>
          </w:tcPr>
          <w:p w:rsidR="00874D15" w:rsidRPr="005B0796" w:rsidRDefault="00874D15" w:rsidP="00874D15">
            <w:pPr>
              <w:pStyle w:val="TableText"/>
              <w:jc w:val="right"/>
            </w:pPr>
            <w:r w:rsidRPr="005B0796">
              <w:t>1795</w:t>
            </w:r>
          </w:p>
        </w:tc>
        <w:tc>
          <w:tcPr>
            <w:tcW w:w="1405" w:type="dxa"/>
            <w:hideMark/>
          </w:tcPr>
          <w:p w:rsidR="00874D15" w:rsidRPr="005B0796" w:rsidRDefault="00874D15" w:rsidP="00874D15">
            <w:pPr>
              <w:pStyle w:val="TableText"/>
              <w:jc w:val="right"/>
            </w:pPr>
            <w:r w:rsidRPr="005B0796">
              <w:t>7.2 (6.3, 8.2)</w:t>
            </w:r>
          </w:p>
        </w:tc>
        <w:tc>
          <w:tcPr>
            <w:tcW w:w="1404"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rPr>
                <w:rFonts w:cs="Arial"/>
                <w:color w:val="000000" w:themeColor="text1"/>
              </w:rPr>
            </w:pPr>
            <w:r w:rsidRPr="005B0796">
              <w:rPr>
                <w:rFonts w:cs="Arial"/>
                <w:color w:val="000000" w:themeColor="text1"/>
              </w:rPr>
              <w:t>–</w:t>
            </w:r>
          </w:p>
        </w:tc>
        <w:tc>
          <w:tcPr>
            <w:tcW w:w="1405" w:type="dxa"/>
            <w:hideMark/>
          </w:tcPr>
          <w:p w:rsidR="00874D15" w:rsidRPr="005B0796" w:rsidRDefault="00874D15" w:rsidP="00874D15">
            <w:pPr>
              <w:pStyle w:val="TableText"/>
              <w:jc w:val="right"/>
            </w:pPr>
            <w:r w:rsidRPr="005B0796">
              <w:rPr>
                <w:rFonts w:cs="Arial"/>
                <w:color w:val="000000" w:themeColor="text1"/>
              </w:rPr>
              <w:t>–</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rPr>
                <w:b/>
              </w:rPr>
            </w:pPr>
            <w:r w:rsidRPr="005B0796">
              <w:rPr>
                <w:b/>
              </w:rPr>
              <w:t>Stable housing</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r>
      <w:tr w:rsidR="00874D15" w:rsidRPr="005B0796" w:rsidTr="00874D15">
        <w:trPr>
          <w:cantSplit/>
          <w:trHeight w:val="20"/>
        </w:trPr>
        <w:tc>
          <w:tcPr>
            <w:tcW w:w="3078" w:type="dxa"/>
            <w:hideMark/>
          </w:tcPr>
          <w:p w:rsidR="00874D15" w:rsidRPr="005B0796" w:rsidRDefault="00874D15" w:rsidP="00874D15">
            <w:pPr>
              <w:pStyle w:val="TableText"/>
              <w:ind w:left="144"/>
            </w:pPr>
            <w:r w:rsidRPr="005B0796">
              <w:t xml:space="preserve">No </w:t>
            </w:r>
          </w:p>
        </w:tc>
        <w:tc>
          <w:tcPr>
            <w:tcW w:w="1404" w:type="dxa"/>
            <w:hideMark/>
          </w:tcPr>
          <w:p w:rsidR="00874D15" w:rsidRPr="005B0796" w:rsidRDefault="00874D15" w:rsidP="00874D15">
            <w:pPr>
              <w:pStyle w:val="TableText"/>
              <w:jc w:val="right"/>
            </w:pPr>
            <w:r w:rsidRPr="005B0796">
              <w:t>129</w:t>
            </w:r>
          </w:p>
        </w:tc>
        <w:tc>
          <w:tcPr>
            <w:tcW w:w="1405" w:type="dxa"/>
            <w:hideMark/>
          </w:tcPr>
          <w:p w:rsidR="00874D15" w:rsidRPr="005B0796" w:rsidRDefault="00874D15" w:rsidP="00874D15">
            <w:pPr>
              <w:pStyle w:val="TableText"/>
              <w:jc w:val="right"/>
            </w:pPr>
            <w:r w:rsidRPr="005B0796">
              <w:t>852</w:t>
            </w:r>
          </w:p>
        </w:tc>
        <w:tc>
          <w:tcPr>
            <w:tcW w:w="1405" w:type="dxa"/>
            <w:hideMark/>
          </w:tcPr>
          <w:p w:rsidR="00874D15" w:rsidRPr="005B0796" w:rsidRDefault="00874D15" w:rsidP="00874D15">
            <w:pPr>
              <w:pStyle w:val="TableText"/>
              <w:jc w:val="right"/>
            </w:pPr>
            <w:r w:rsidRPr="005B0796">
              <w:t>3.4 (2.8, 4.2)</w:t>
            </w:r>
          </w:p>
        </w:tc>
        <w:tc>
          <w:tcPr>
            <w:tcW w:w="1404" w:type="dxa"/>
            <w:hideMark/>
          </w:tcPr>
          <w:p w:rsidR="00874D15" w:rsidRPr="005B0796" w:rsidRDefault="00874D15" w:rsidP="00874D15">
            <w:pPr>
              <w:pStyle w:val="TableText"/>
              <w:jc w:val="right"/>
            </w:pPr>
            <w:r w:rsidRPr="005B0796">
              <w:t>233</w:t>
            </w:r>
          </w:p>
        </w:tc>
        <w:tc>
          <w:tcPr>
            <w:tcW w:w="1405" w:type="dxa"/>
            <w:hideMark/>
          </w:tcPr>
          <w:p w:rsidR="00874D15" w:rsidRPr="005B0796" w:rsidRDefault="00874D15" w:rsidP="00874D15">
            <w:pPr>
              <w:pStyle w:val="TableText"/>
              <w:jc w:val="right"/>
            </w:pPr>
            <w:r w:rsidRPr="005B0796">
              <w:t>2287</w:t>
            </w:r>
          </w:p>
        </w:tc>
        <w:tc>
          <w:tcPr>
            <w:tcW w:w="1405" w:type="dxa"/>
            <w:hideMark/>
          </w:tcPr>
          <w:p w:rsidR="00874D15" w:rsidRPr="005B0796" w:rsidRDefault="00874D15" w:rsidP="00874D15">
            <w:pPr>
              <w:pStyle w:val="TableText"/>
              <w:jc w:val="right"/>
            </w:pPr>
            <w:r w:rsidRPr="005B0796">
              <w:t>4.4 (2.9, 6.4)</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cantSplit/>
          <w:trHeight w:val="20"/>
        </w:trPr>
        <w:tc>
          <w:tcPr>
            <w:tcW w:w="3078" w:type="dxa"/>
            <w:hideMark/>
          </w:tcPr>
          <w:p w:rsidR="00874D15" w:rsidRPr="005B0796" w:rsidRDefault="00874D15" w:rsidP="00874D15">
            <w:pPr>
              <w:pStyle w:val="TableText"/>
              <w:ind w:left="144"/>
            </w:pPr>
            <w:r w:rsidRPr="005B0796">
              <w:t>Yes</w:t>
            </w:r>
          </w:p>
        </w:tc>
        <w:tc>
          <w:tcPr>
            <w:tcW w:w="1404" w:type="dxa"/>
            <w:hideMark/>
          </w:tcPr>
          <w:p w:rsidR="00874D15" w:rsidRPr="005B0796" w:rsidRDefault="00874D15" w:rsidP="00874D15">
            <w:pPr>
              <w:pStyle w:val="TableText"/>
              <w:jc w:val="right"/>
            </w:pPr>
            <w:r w:rsidRPr="005B0796">
              <w:t>4089</w:t>
            </w:r>
          </w:p>
        </w:tc>
        <w:tc>
          <w:tcPr>
            <w:tcW w:w="1405" w:type="dxa"/>
            <w:hideMark/>
          </w:tcPr>
          <w:p w:rsidR="00874D15" w:rsidRPr="005B0796" w:rsidRDefault="00874D15" w:rsidP="00874D15">
            <w:pPr>
              <w:pStyle w:val="TableText"/>
              <w:jc w:val="right"/>
            </w:pPr>
            <w:r w:rsidRPr="005B0796">
              <w:t>23378</w:t>
            </w:r>
          </w:p>
        </w:tc>
        <w:tc>
          <w:tcPr>
            <w:tcW w:w="1405" w:type="dxa"/>
            <w:hideMark/>
          </w:tcPr>
          <w:p w:rsidR="00874D15" w:rsidRPr="005B0796" w:rsidRDefault="00874D15" w:rsidP="00874D15">
            <w:pPr>
              <w:pStyle w:val="TableText"/>
              <w:jc w:val="right"/>
            </w:pPr>
            <w:r w:rsidRPr="005B0796">
              <w:t>93.8 (92.8, 94.6)</w:t>
            </w:r>
          </w:p>
        </w:tc>
        <w:tc>
          <w:tcPr>
            <w:tcW w:w="1404" w:type="dxa"/>
            <w:hideMark/>
          </w:tcPr>
          <w:p w:rsidR="00874D15" w:rsidRPr="005B0796" w:rsidRDefault="00874D15" w:rsidP="00874D15">
            <w:pPr>
              <w:pStyle w:val="TableText"/>
              <w:jc w:val="right"/>
            </w:pPr>
            <w:r w:rsidRPr="005B0796">
              <w:t>8043</w:t>
            </w:r>
          </w:p>
        </w:tc>
        <w:tc>
          <w:tcPr>
            <w:tcW w:w="1405" w:type="dxa"/>
            <w:hideMark/>
          </w:tcPr>
          <w:p w:rsidR="00874D15" w:rsidRPr="005B0796" w:rsidRDefault="00874D15" w:rsidP="00874D15">
            <w:pPr>
              <w:pStyle w:val="TableText"/>
              <w:jc w:val="right"/>
            </w:pPr>
            <w:r w:rsidRPr="005B0796">
              <w:t>48,851</w:t>
            </w:r>
          </w:p>
        </w:tc>
        <w:tc>
          <w:tcPr>
            <w:tcW w:w="1405" w:type="dxa"/>
            <w:hideMark/>
          </w:tcPr>
          <w:p w:rsidR="00874D15" w:rsidRPr="005B0796" w:rsidRDefault="00874D15" w:rsidP="00874D15">
            <w:pPr>
              <w:pStyle w:val="TableText"/>
              <w:jc w:val="right"/>
            </w:pPr>
            <w:r w:rsidRPr="005B0796">
              <w:t>93.1 (90.7, 94.9)</w:t>
            </w:r>
          </w:p>
        </w:tc>
      </w:tr>
    </w:tbl>
    <w:p w:rsidR="00874D15" w:rsidRPr="005B0796" w:rsidRDefault="00874D15" w:rsidP="00C106D7">
      <w:pPr>
        <w:pStyle w:val="TableNotes"/>
      </w:pPr>
      <w:r w:rsidRPr="005B0796">
        <w:t>Missing: 2015 Regular ADF: Age group: 148 (3.4%), Relationship status 153 (1.7%), Education 145 (1.7%)</w:t>
      </w:r>
      <w:r w:rsidR="00E96C28">
        <w:t>,</w:t>
      </w:r>
      <w:r w:rsidRPr="005B0796">
        <w:t xml:space="preserve"> Stable </w:t>
      </w:r>
      <w:r w:rsidR="00E96C28" w:rsidRPr="005B0796">
        <w:t xml:space="preserve">housing </w:t>
      </w:r>
      <w:r w:rsidRPr="005B0796">
        <w:t>204 (2.6%)</w:t>
      </w:r>
    </w:p>
    <w:p w:rsidR="00874D15" w:rsidRPr="005B0796" w:rsidRDefault="00874D15" w:rsidP="00C106D7">
      <w:pPr>
        <w:pStyle w:val="TableNotes"/>
      </w:pPr>
      <w:r w:rsidRPr="005B0796">
        <w:t xml:space="preserve">Transitioned ADF: Age group: 55 (1.6%), Relationship status 83 (2.2%), Education 60 (1.5%), Employment 72 (1.9%), Main income 101 (2.7%), Stable </w:t>
      </w:r>
      <w:r w:rsidR="00E96C28" w:rsidRPr="005B0796">
        <w:t xml:space="preserve">housing </w:t>
      </w:r>
      <w:r w:rsidRPr="005B0796">
        <w:t>108 (2.8%)</w:t>
      </w:r>
    </w:p>
    <w:p w:rsidR="00874D15" w:rsidRPr="005B0796" w:rsidRDefault="00874D15" w:rsidP="00C106D7">
      <w:pPr>
        <w:pStyle w:val="TableNotes"/>
      </w:pPr>
      <w:r w:rsidRPr="005B0796">
        <w:t>Note: 95%</w:t>
      </w:r>
      <w:r w:rsidR="00E96C28">
        <w:t xml:space="preserve"> </w:t>
      </w:r>
      <w:r w:rsidRPr="005B0796">
        <w:t xml:space="preserve">CI: 95% </w:t>
      </w:r>
      <w:r w:rsidR="00564689" w:rsidRPr="005B0796">
        <w:t>confidence interval</w:t>
      </w:r>
    </w:p>
    <w:p w:rsidR="00874D15" w:rsidRPr="005B0796" w:rsidRDefault="00874D15" w:rsidP="00C106D7">
      <w:pPr>
        <w:pStyle w:val="TableNotes"/>
      </w:pPr>
      <w:r w:rsidRPr="005B0796">
        <w:rPr>
          <w:b/>
          <w:vertAlign w:val="superscript"/>
        </w:rPr>
        <w:t>*</w:t>
      </w:r>
      <w:r w:rsidR="00E96C28">
        <w:t>No CI</w:t>
      </w:r>
      <w:r w:rsidRPr="005B0796">
        <w:t>s are provided for Sex, Rank, Service and Medical fitness as these variables were used to create strata for weighting.</w:t>
      </w:r>
    </w:p>
    <w:p w:rsidR="00874D15" w:rsidRPr="005B0796" w:rsidRDefault="00874D15" w:rsidP="00C106D7">
      <w:pPr>
        <w:pStyle w:val="TableName"/>
      </w:pPr>
      <w:bookmarkStart w:id="198" w:name="_Ref482013497"/>
      <w:bookmarkStart w:id="199" w:name="_Toc479243376"/>
      <w:bookmarkStart w:id="200" w:name="_Toc482023762"/>
      <w:bookmarkStart w:id="201" w:name="_Toc487014248"/>
      <w:bookmarkStart w:id="202" w:name="_Toc492995551"/>
      <w:bookmarkStart w:id="203" w:name="_Toc51190040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3</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w:t>
      </w:r>
      <w:r w:rsidR="00D30A3C">
        <w:rPr>
          <w:noProof/>
        </w:rPr>
        <w:fldChar w:fldCharType="end"/>
      </w:r>
      <w:bookmarkEnd w:id="198"/>
      <w:r w:rsidRPr="005B0796">
        <w:tab/>
        <w:t>Weighted Service characteristics in the Transitioned ADF and 2015 Regular ADF</w:t>
      </w:r>
      <w:bookmarkEnd w:id="199"/>
      <w:bookmarkEnd w:id="200"/>
      <w:bookmarkEnd w:id="201"/>
      <w:bookmarkEnd w:id="202"/>
      <w:bookmarkEnd w:id="203"/>
    </w:p>
    <w:tbl>
      <w:tblPr>
        <w:tblStyle w:val="TWRPTable"/>
        <w:tblW w:w="5000" w:type="pct"/>
        <w:tblLayout w:type="fixed"/>
        <w:tblLook w:val="04A0" w:firstRow="1" w:lastRow="0" w:firstColumn="1" w:lastColumn="0" w:noHBand="0" w:noVBand="1"/>
        <w:tblDescription w:val="Table 3.2 Weighted Service characteristics in the Transitioned ADF and 2015 Regular ADF"/>
      </w:tblPr>
      <w:tblGrid>
        <w:gridCol w:w="3078"/>
        <w:gridCol w:w="1404"/>
        <w:gridCol w:w="1405"/>
        <w:gridCol w:w="1405"/>
        <w:gridCol w:w="1404"/>
        <w:gridCol w:w="1405"/>
        <w:gridCol w:w="1405"/>
      </w:tblGrid>
      <w:tr w:rsidR="00874D15" w:rsidRPr="005B0796" w:rsidTr="00874D15">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single" w:sz="4" w:space="0" w:color="000000"/>
              <w:bottom w:val="nil"/>
            </w:tcBorders>
          </w:tcPr>
          <w:p w:rsidR="00874D15" w:rsidRPr="005B0796" w:rsidRDefault="00874D15" w:rsidP="00874D15">
            <w:pPr>
              <w:pStyle w:val="TableText"/>
            </w:pPr>
          </w:p>
        </w:tc>
        <w:tc>
          <w:tcPr>
            <w:tcW w:w="4214" w:type="dxa"/>
            <w:gridSpan w:val="3"/>
            <w:hideMark/>
          </w:tcPr>
          <w:p w:rsidR="00874D15" w:rsidRPr="005B0796" w:rsidRDefault="00874D15" w:rsidP="00874D15">
            <w:pPr>
              <w:pStyle w:val="TableText"/>
              <w:jc w:val="center"/>
            </w:pPr>
            <w:r w:rsidRPr="005B0796">
              <w:t>Transitioned ADF</w:t>
            </w:r>
            <w:r w:rsidRPr="005B0796">
              <w:br/>
              <w:t>N</w:t>
            </w:r>
            <w:r w:rsidR="000B08E6" w:rsidRPr="005B0796">
              <w:t xml:space="preserve"> </w:t>
            </w:r>
            <w:r w:rsidRPr="005B0796">
              <w:t>=</w:t>
            </w:r>
            <w:r w:rsidR="000B08E6" w:rsidRPr="005B0796">
              <w:t xml:space="preserve"> </w:t>
            </w:r>
            <w:r w:rsidRPr="005B0796">
              <w:rPr>
                <w:color w:val="000000" w:themeColor="text1"/>
              </w:rPr>
              <w:t>24,932</w:t>
            </w:r>
          </w:p>
        </w:tc>
        <w:tc>
          <w:tcPr>
            <w:tcW w:w="4214" w:type="dxa"/>
            <w:gridSpan w:val="3"/>
            <w:hideMark/>
          </w:tcPr>
          <w:p w:rsidR="00874D15" w:rsidRPr="005B0796" w:rsidRDefault="00874D15" w:rsidP="00874D15">
            <w:pPr>
              <w:pStyle w:val="TableText"/>
              <w:jc w:val="center"/>
            </w:pPr>
            <w:r w:rsidRPr="005B0796">
              <w:t>2015 Regular ADF</w:t>
            </w:r>
            <w:r w:rsidRPr="005B0796">
              <w:br/>
            </w:r>
            <w:r w:rsidRPr="005B0796">
              <w:rPr>
                <w:color w:val="000000" w:themeColor="text1"/>
              </w:rPr>
              <w:t>N = 52,500</w:t>
            </w:r>
          </w:p>
        </w:tc>
      </w:tr>
      <w:tr w:rsidR="00874D15" w:rsidRPr="005B0796" w:rsidTr="00874D15">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nil"/>
            </w:tcBorders>
          </w:tcPr>
          <w:p w:rsidR="00874D15" w:rsidRPr="005B0796" w:rsidRDefault="00874D15" w:rsidP="00874D15">
            <w:pPr>
              <w:pStyle w:val="TableText"/>
              <w:rPr>
                <w:rFonts w:cs="Arial"/>
              </w:rPr>
            </w:pPr>
          </w:p>
        </w:tc>
        <w:tc>
          <w:tcPr>
            <w:tcW w:w="1404" w:type="dxa"/>
            <w:hideMark/>
          </w:tcPr>
          <w:p w:rsidR="00874D15" w:rsidRPr="005B0796" w:rsidRDefault="00874D15" w:rsidP="00874D15">
            <w:pPr>
              <w:pStyle w:val="TableText"/>
              <w:jc w:val="right"/>
              <w:rPr>
                <w:rFonts w:cs="Arial"/>
              </w:rPr>
            </w:pPr>
            <w:r w:rsidRPr="005B0796">
              <w:rPr>
                <w:rFonts w:cs="Arial"/>
              </w:rPr>
              <w:t>n</w:t>
            </w:r>
          </w:p>
        </w:tc>
        <w:tc>
          <w:tcPr>
            <w:tcW w:w="1405" w:type="dxa"/>
            <w:hideMark/>
          </w:tcPr>
          <w:p w:rsidR="00874D15" w:rsidRPr="005B0796" w:rsidRDefault="00874D15" w:rsidP="00874D15">
            <w:pPr>
              <w:pStyle w:val="TableText"/>
              <w:jc w:val="right"/>
              <w:rPr>
                <w:rFonts w:cs="Arial"/>
              </w:rPr>
            </w:pPr>
            <w:r w:rsidRPr="005B0796">
              <w:rPr>
                <w:rFonts w:cs="Arial"/>
              </w:rPr>
              <w:t>Weighted n</w:t>
            </w:r>
          </w:p>
        </w:tc>
        <w:tc>
          <w:tcPr>
            <w:tcW w:w="1405" w:type="dxa"/>
            <w:hideMark/>
          </w:tcPr>
          <w:p w:rsidR="00874D15" w:rsidRPr="005B0796" w:rsidRDefault="00874D15" w:rsidP="00874D15">
            <w:pPr>
              <w:pStyle w:val="TableText"/>
              <w:jc w:val="right"/>
              <w:rPr>
                <w:rFonts w:cs="Arial"/>
              </w:rPr>
            </w:pPr>
            <w:r w:rsidRPr="005B0796">
              <w:rPr>
                <w:rFonts w:cs="Arial"/>
              </w:rPr>
              <w:t>% (95% CI)</w:t>
            </w:r>
          </w:p>
        </w:tc>
        <w:tc>
          <w:tcPr>
            <w:tcW w:w="1404" w:type="dxa"/>
            <w:hideMark/>
          </w:tcPr>
          <w:p w:rsidR="00874D15" w:rsidRPr="005B0796" w:rsidRDefault="00874D15" w:rsidP="00874D15">
            <w:pPr>
              <w:pStyle w:val="TableText"/>
              <w:jc w:val="right"/>
              <w:rPr>
                <w:rFonts w:cs="Arial"/>
              </w:rPr>
            </w:pPr>
            <w:r w:rsidRPr="005B0796">
              <w:rPr>
                <w:rFonts w:cs="Arial"/>
              </w:rPr>
              <w:t>n</w:t>
            </w:r>
          </w:p>
        </w:tc>
        <w:tc>
          <w:tcPr>
            <w:tcW w:w="1405" w:type="dxa"/>
            <w:hideMark/>
          </w:tcPr>
          <w:p w:rsidR="00874D15" w:rsidRPr="005B0796" w:rsidRDefault="00874D15" w:rsidP="00874D15">
            <w:pPr>
              <w:pStyle w:val="TableText"/>
              <w:jc w:val="right"/>
              <w:rPr>
                <w:rFonts w:cs="Arial"/>
              </w:rPr>
            </w:pPr>
            <w:r w:rsidRPr="005B0796">
              <w:rPr>
                <w:rFonts w:cs="Arial"/>
              </w:rPr>
              <w:t>Weighted n</w:t>
            </w:r>
          </w:p>
        </w:tc>
        <w:tc>
          <w:tcPr>
            <w:tcW w:w="1405" w:type="dxa"/>
            <w:hideMark/>
          </w:tcPr>
          <w:p w:rsidR="00874D15" w:rsidRPr="005B0796" w:rsidRDefault="00874D15" w:rsidP="00874D15">
            <w:pPr>
              <w:pStyle w:val="TableText"/>
              <w:jc w:val="right"/>
              <w:rPr>
                <w:rFonts w:cs="Arial"/>
              </w:rPr>
            </w:pPr>
            <w:r w:rsidRPr="005B0796">
              <w:rPr>
                <w:rFonts w:cs="Arial"/>
              </w:rPr>
              <w:t>% (95% CI)</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rPr>
                <w:b/>
              </w:rPr>
            </w:pPr>
            <w:r w:rsidRPr="005B0796">
              <w:rPr>
                <w:b/>
              </w:rPr>
              <w:t>Rank</w:t>
            </w:r>
            <w:r w:rsidRPr="005B0796">
              <w:rPr>
                <w:b/>
                <w:vertAlign w:val="superscript"/>
              </w:rPr>
              <w:t>a,</w:t>
            </w:r>
            <w:r w:rsidRPr="005B0796">
              <w:rPr>
                <w:b/>
              </w:rPr>
              <w:t>*</w:t>
            </w: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c>
          <w:tcPr>
            <w:tcW w:w="1405" w:type="dxa"/>
          </w:tcPr>
          <w:p w:rsidR="00874D15" w:rsidRPr="005B0796" w:rsidRDefault="00874D15" w:rsidP="00874D15">
            <w:pPr>
              <w:pStyle w:val="TableText"/>
              <w:jc w:val="right"/>
              <w:rPr>
                <w:rFonts w:cs="Arial"/>
              </w:rPr>
            </w:pPr>
          </w:p>
        </w:tc>
      </w:tr>
      <w:tr w:rsidR="00874D15" w:rsidRPr="005B0796" w:rsidTr="00874D15">
        <w:tc>
          <w:tcPr>
            <w:tcW w:w="3078" w:type="dxa"/>
            <w:hideMark/>
          </w:tcPr>
          <w:p w:rsidR="00874D15" w:rsidRPr="005B0796" w:rsidRDefault="00874D15" w:rsidP="00874D15">
            <w:pPr>
              <w:pStyle w:val="TableText"/>
              <w:ind w:left="144"/>
            </w:pPr>
            <w:r w:rsidRPr="005B0796">
              <w:t>OFFR</w:t>
            </w:r>
          </w:p>
        </w:tc>
        <w:tc>
          <w:tcPr>
            <w:tcW w:w="1404" w:type="dxa"/>
            <w:hideMark/>
          </w:tcPr>
          <w:p w:rsidR="00874D15" w:rsidRPr="005B0796" w:rsidRDefault="00874D15" w:rsidP="00874D15">
            <w:pPr>
              <w:pStyle w:val="TableText"/>
              <w:jc w:val="right"/>
            </w:pPr>
            <w:r w:rsidRPr="005B0796">
              <w:t>1259</w:t>
            </w:r>
          </w:p>
        </w:tc>
        <w:tc>
          <w:tcPr>
            <w:tcW w:w="1405" w:type="dxa"/>
            <w:hideMark/>
          </w:tcPr>
          <w:p w:rsidR="00874D15" w:rsidRPr="005B0796" w:rsidRDefault="00874D15" w:rsidP="00874D15">
            <w:pPr>
              <w:pStyle w:val="TableText"/>
              <w:jc w:val="right"/>
            </w:pPr>
            <w:r w:rsidRPr="005B0796">
              <w:t>4063</w:t>
            </w:r>
          </w:p>
        </w:tc>
        <w:tc>
          <w:tcPr>
            <w:tcW w:w="1405" w:type="dxa"/>
            <w:hideMark/>
          </w:tcPr>
          <w:p w:rsidR="00874D15" w:rsidRPr="005B0796" w:rsidRDefault="00874D15" w:rsidP="00874D15">
            <w:pPr>
              <w:pStyle w:val="TableText"/>
              <w:jc w:val="right"/>
            </w:pPr>
            <w:r w:rsidRPr="005B0796">
              <w:t>16.3</w:t>
            </w:r>
          </w:p>
        </w:tc>
        <w:tc>
          <w:tcPr>
            <w:tcW w:w="1404" w:type="dxa"/>
            <w:hideMark/>
          </w:tcPr>
          <w:p w:rsidR="00874D15" w:rsidRPr="005B0796" w:rsidRDefault="00874D15" w:rsidP="00874D15">
            <w:pPr>
              <w:pStyle w:val="TableText"/>
              <w:jc w:val="right"/>
            </w:pPr>
            <w:r w:rsidRPr="005B0796">
              <w:t>3538</w:t>
            </w:r>
          </w:p>
        </w:tc>
        <w:tc>
          <w:tcPr>
            <w:tcW w:w="1405" w:type="dxa"/>
            <w:hideMark/>
          </w:tcPr>
          <w:p w:rsidR="00874D15" w:rsidRPr="005B0796" w:rsidRDefault="00874D15" w:rsidP="00874D15">
            <w:pPr>
              <w:pStyle w:val="TableText"/>
              <w:jc w:val="right"/>
            </w:pPr>
            <w:r w:rsidRPr="005B0796">
              <w:t>13,444</w:t>
            </w:r>
          </w:p>
        </w:tc>
        <w:tc>
          <w:tcPr>
            <w:tcW w:w="1405" w:type="dxa"/>
            <w:hideMark/>
          </w:tcPr>
          <w:p w:rsidR="00874D15" w:rsidRPr="005B0796" w:rsidRDefault="00874D15" w:rsidP="00874D15">
            <w:pPr>
              <w:pStyle w:val="TableText"/>
              <w:jc w:val="right"/>
            </w:pPr>
            <w:r w:rsidRPr="005B0796">
              <w:t>25.6</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ind w:left="144"/>
            </w:pPr>
            <w:r w:rsidRPr="005B0796">
              <w:t>NCO</w:t>
            </w:r>
          </w:p>
        </w:tc>
        <w:tc>
          <w:tcPr>
            <w:tcW w:w="1404" w:type="dxa"/>
            <w:hideMark/>
          </w:tcPr>
          <w:p w:rsidR="00874D15" w:rsidRPr="005B0796" w:rsidRDefault="00874D15" w:rsidP="00874D15">
            <w:pPr>
              <w:pStyle w:val="TableText"/>
              <w:jc w:val="right"/>
            </w:pPr>
            <w:r w:rsidRPr="005B0796">
              <w:t>2097</w:t>
            </w:r>
          </w:p>
        </w:tc>
        <w:tc>
          <w:tcPr>
            <w:tcW w:w="1405" w:type="dxa"/>
            <w:hideMark/>
          </w:tcPr>
          <w:p w:rsidR="00874D15" w:rsidRPr="005B0796" w:rsidRDefault="00874D15" w:rsidP="00874D15">
            <w:pPr>
              <w:pStyle w:val="TableText"/>
              <w:jc w:val="right"/>
            </w:pPr>
            <w:r w:rsidRPr="005B0796">
              <w:t>7866</w:t>
            </w:r>
          </w:p>
        </w:tc>
        <w:tc>
          <w:tcPr>
            <w:tcW w:w="1405" w:type="dxa"/>
            <w:hideMark/>
          </w:tcPr>
          <w:p w:rsidR="00874D15" w:rsidRPr="005B0796" w:rsidRDefault="00874D15" w:rsidP="00874D15">
            <w:pPr>
              <w:pStyle w:val="TableText"/>
              <w:jc w:val="right"/>
            </w:pPr>
            <w:r w:rsidRPr="005B0796">
              <w:t>31.6</w:t>
            </w:r>
          </w:p>
        </w:tc>
        <w:tc>
          <w:tcPr>
            <w:tcW w:w="1404" w:type="dxa"/>
            <w:hideMark/>
          </w:tcPr>
          <w:p w:rsidR="00874D15" w:rsidRPr="005B0796" w:rsidRDefault="00874D15" w:rsidP="00874D15">
            <w:pPr>
              <w:pStyle w:val="TableText"/>
              <w:jc w:val="right"/>
            </w:pPr>
            <w:r w:rsidRPr="005B0796">
              <w:t>4336</w:t>
            </w:r>
          </w:p>
        </w:tc>
        <w:tc>
          <w:tcPr>
            <w:tcW w:w="1405" w:type="dxa"/>
            <w:hideMark/>
          </w:tcPr>
          <w:p w:rsidR="00874D15" w:rsidRPr="005B0796" w:rsidRDefault="00874D15" w:rsidP="00874D15">
            <w:pPr>
              <w:pStyle w:val="TableText"/>
              <w:jc w:val="right"/>
            </w:pPr>
            <w:r w:rsidRPr="005B0796">
              <w:t>17,491</w:t>
            </w:r>
          </w:p>
        </w:tc>
        <w:tc>
          <w:tcPr>
            <w:tcW w:w="1405" w:type="dxa"/>
            <w:hideMark/>
          </w:tcPr>
          <w:p w:rsidR="00874D15" w:rsidRPr="005B0796" w:rsidRDefault="00874D15" w:rsidP="00874D15">
            <w:pPr>
              <w:pStyle w:val="TableText"/>
              <w:jc w:val="right"/>
            </w:pPr>
            <w:r w:rsidRPr="005B0796">
              <w:t>33.3</w:t>
            </w:r>
          </w:p>
        </w:tc>
      </w:tr>
      <w:tr w:rsidR="00874D15" w:rsidRPr="005B0796" w:rsidTr="00874D15">
        <w:tc>
          <w:tcPr>
            <w:tcW w:w="3078" w:type="dxa"/>
            <w:hideMark/>
          </w:tcPr>
          <w:p w:rsidR="00874D15" w:rsidRPr="005B0796" w:rsidRDefault="00874D15" w:rsidP="00874D15">
            <w:pPr>
              <w:pStyle w:val="TableText"/>
              <w:ind w:left="144"/>
            </w:pPr>
            <w:r w:rsidRPr="005B0796">
              <w:t>Other Ranks</w:t>
            </w:r>
          </w:p>
        </w:tc>
        <w:tc>
          <w:tcPr>
            <w:tcW w:w="1404" w:type="dxa"/>
            <w:hideMark/>
          </w:tcPr>
          <w:p w:rsidR="00874D15" w:rsidRPr="005B0796" w:rsidRDefault="00874D15" w:rsidP="00874D15">
            <w:pPr>
              <w:pStyle w:val="TableText"/>
              <w:jc w:val="right"/>
            </w:pPr>
            <w:r w:rsidRPr="005B0796">
              <w:t>970</w:t>
            </w:r>
          </w:p>
        </w:tc>
        <w:tc>
          <w:tcPr>
            <w:tcW w:w="1405" w:type="dxa"/>
            <w:hideMark/>
          </w:tcPr>
          <w:p w:rsidR="00874D15" w:rsidRPr="005B0796" w:rsidRDefault="00874D15" w:rsidP="00874D15">
            <w:pPr>
              <w:pStyle w:val="TableText"/>
              <w:jc w:val="right"/>
            </w:pPr>
            <w:r w:rsidRPr="005B0796">
              <w:t>13,003</w:t>
            </w:r>
          </w:p>
        </w:tc>
        <w:tc>
          <w:tcPr>
            <w:tcW w:w="1405" w:type="dxa"/>
            <w:hideMark/>
          </w:tcPr>
          <w:p w:rsidR="00874D15" w:rsidRPr="005B0796" w:rsidRDefault="00874D15" w:rsidP="00874D15">
            <w:pPr>
              <w:pStyle w:val="TableText"/>
              <w:jc w:val="right"/>
            </w:pPr>
            <w:r w:rsidRPr="005B0796">
              <w:t>52.2</w:t>
            </w:r>
          </w:p>
        </w:tc>
        <w:tc>
          <w:tcPr>
            <w:tcW w:w="1404" w:type="dxa"/>
            <w:hideMark/>
          </w:tcPr>
          <w:p w:rsidR="00874D15" w:rsidRPr="005B0796" w:rsidRDefault="00874D15" w:rsidP="00874D15">
            <w:pPr>
              <w:pStyle w:val="TableText"/>
              <w:jc w:val="right"/>
            </w:pPr>
            <w:r w:rsidRPr="005B0796">
              <w:t>606</w:t>
            </w:r>
          </w:p>
        </w:tc>
        <w:tc>
          <w:tcPr>
            <w:tcW w:w="1405" w:type="dxa"/>
            <w:hideMark/>
          </w:tcPr>
          <w:p w:rsidR="00874D15" w:rsidRPr="005B0796" w:rsidRDefault="00874D15" w:rsidP="00874D15">
            <w:pPr>
              <w:pStyle w:val="TableText"/>
              <w:jc w:val="right"/>
            </w:pPr>
            <w:r w:rsidRPr="005B0796">
              <w:t>21,565</w:t>
            </w:r>
          </w:p>
        </w:tc>
        <w:tc>
          <w:tcPr>
            <w:tcW w:w="1405" w:type="dxa"/>
            <w:hideMark/>
          </w:tcPr>
          <w:p w:rsidR="00874D15" w:rsidRPr="005B0796" w:rsidRDefault="00874D15" w:rsidP="00874D15">
            <w:pPr>
              <w:pStyle w:val="TableText"/>
              <w:jc w:val="right"/>
            </w:pPr>
            <w:r w:rsidRPr="005B0796">
              <w:t>41.1</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rPr>
                <w:b/>
              </w:rPr>
            </w:pPr>
            <w:r w:rsidRPr="005B0796">
              <w:rPr>
                <w:b/>
              </w:rPr>
              <w:t>Service</w:t>
            </w:r>
            <w:r w:rsidRPr="005B0796">
              <w:rPr>
                <w:b/>
                <w:vertAlign w:val="superscript"/>
              </w:rPr>
              <w:t>a*</w:t>
            </w: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pP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r>
      <w:tr w:rsidR="00874D15" w:rsidRPr="005B0796" w:rsidTr="00874D15">
        <w:tc>
          <w:tcPr>
            <w:tcW w:w="3078" w:type="dxa"/>
            <w:hideMark/>
          </w:tcPr>
          <w:p w:rsidR="00874D15" w:rsidRPr="005B0796" w:rsidRDefault="00874D15" w:rsidP="00874D15">
            <w:pPr>
              <w:pStyle w:val="TableText"/>
              <w:ind w:left="144"/>
            </w:pPr>
            <w:r w:rsidRPr="005B0796">
              <w:t>Navy</w:t>
            </w:r>
          </w:p>
        </w:tc>
        <w:tc>
          <w:tcPr>
            <w:tcW w:w="1404" w:type="dxa"/>
            <w:hideMark/>
          </w:tcPr>
          <w:p w:rsidR="00874D15" w:rsidRPr="005B0796" w:rsidRDefault="00874D15" w:rsidP="00874D15">
            <w:pPr>
              <w:pStyle w:val="TableText"/>
              <w:jc w:val="right"/>
            </w:pPr>
            <w:r w:rsidRPr="005B0796">
              <w:t>863</w:t>
            </w:r>
          </w:p>
        </w:tc>
        <w:tc>
          <w:tcPr>
            <w:tcW w:w="1405" w:type="dxa"/>
            <w:hideMark/>
          </w:tcPr>
          <w:p w:rsidR="00874D15" w:rsidRPr="005B0796" w:rsidRDefault="00874D15" w:rsidP="00874D15">
            <w:pPr>
              <w:pStyle w:val="TableText"/>
              <w:jc w:val="right"/>
            </w:pPr>
            <w:r w:rsidRPr="005B0796">
              <w:t>5671</w:t>
            </w:r>
          </w:p>
        </w:tc>
        <w:tc>
          <w:tcPr>
            <w:tcW w:w="1405" w:type="dxa"/>
            <w:hideMark/>
          </w:tcPr>
          <w:p w:rsidR="00874D15" w:rsidRPr="005B0796" w:rsidRDefault="00874D15" w:rsidP="00874D15">
            <w:pPr>
              <w:pStyle w:val="TableText"/>
              <w:jc w:val="right"/>
            </w:pPr>
            <w:r w:rsidRPr="005B0796">
              <w:t>22.8 (22.8, 22.8)</w:t>
            </w:r>
          </w:p>
        </w:tc>
        <w:tc>
          <w:tcPr>
            <w:tcW w:w="1404" w:type="dxa"/>
            <w:hideMark/>
          </w:tcPr>
          <w:p w:rsidR="00874D15" w:rsidRPr="005B0796" w:rsidRDefault="00874D15" w:rsidP="00874D15">
            <w:pPr>
              <w:pStyle w:val="TableText"/>
              <w:jc w:val="right"/>
            </w:pPr>
            <w:r w:rsidRPr="005B0796">
              <w:t>2040</w:t>
            </w:r>
          </w:p>
        </w:tc>
        <w:tc>
          <w:tcPr>
            <w:tcW w:w="1405" w:type="dxa"/>
            <w:hideMark/>
          </w:tcPr>
          <w:p w:rsidR="00874D15" w:rsidRPr="005B0796" w:rsidRDefault="00874D15" w:rsidP="00874D15">
            <w:pPr>
              <w:pStyle w:val="TableText"/>
              <w:jc w:val="right"/>
            </w:pPr>
            <w:r w:rsidRPr="005B0796">
              <w:t>13,282</w:t>
            </w:r>
          </w:p>
        </w:tc>
        <w:tc>
          <w:tcPr>
            <w:tcW w:w="1405" w:type="dxa"/>
            <w:hideMark/>
          </w:tcPr>
          <w:p w:rsidR="00874D15" w:rsidRPr="005B0796" w:rsidRDefault="00874D15" w:rsidP="00874D15">
            <w:pPr>
              <w:pStyle w:val="TableText"/>
              <w:jc w:val="right"/>
            </w:pPr>
            <w:r w:rsidRPr="005B0796">
              <w:t>25.3</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ind w:left="144"/>
            </w:pPr>
            <w:r w:rsidRPr="005B0796">
              <w:t xml:space="preserve">Army </w:t>
            </w:r>
          </w:p>
        </w:tc>
        <w:tc>
          <w:tcPr>
            <w:tcW w:w="1404" w:type="dxa"/>
            <w:hideMark/>
          </w:tcPr>
          <w:p w:rsidR="00874D15" w:rsidRPr="005B0796" w:rsidRDefault="00874D15" w:rsidP="00874D15">
            <w:pPr>
              <w:pStyle w:val="TableText"/>
              <w:jc w:val="right"/>
            </w:pPr>
            <w:r w:rsidRPr="005B0796">
              <w:t>2463</w:t>
            </w:r>
          </w:p>
        </w:tc>
        <w:tc>
          <w:tcPr>
            <w:tcW w:w="1405" w:type="dxa"/>
            <w:hideMark/>
          </w:tcPr>
          <w:p w:rsidR="00874D15" w:rsidRPr="005B0796" w:rsidRDefault="00874D15" w:rsidP="00874D15">
            <w:pPr>
              <w:pStyle w:val="TableText"/>
              <w:jc w:val="right"/>
            </w:pPr>
            <w:r w:rsidRPr="005B0796">
              <w:t>15,038</w:t>
            </w:r>
          </w:p>
        </w:tc>
        <w:tc>
          <w:tcPr>
            <w:tcW w:w="1405" w:type="dxa"/>
            <w:hideMark/>
          </w:tcPr>
          <w:p w:rsidR="00874D15" w:rsidRPr="005B0796" w:rsidRDefault="00874D15" w:rsidP="00874D15">
            <w:pPr>
              <w:pStyle w:val="TableText"/>
              <w:jc w:val="right"/>
            </w:pPr>
            <w:r w:rsidRPr="005B0796">
              <w:t>60.3 (60.3, 60.3)</w:t>
            </w:r>
          </w:p>
        </w:tc>
        <w:tc>
          <w:tcPr>
            <w:tcW w:w="1404" w:type="dxa"/>
            <w:hideMark/>
          </w:tcPr>
          <w:p w:rsidR="00874D15" w:rsidRPr="005B0796" w:rsidRDefault="00874D15" w:rsidP="00874D15">
            <w:pPr>
              <w:pStyle w:val="TableText"/>
              <w:jc w:val="right"/>
            </w:pPr>
            <w:r w:rsidRPr="005B0796">
              <w:t>3500</w:t>
            </w:r>
          </w:p>
        </w:tc>
        <w:tc>
          <w:tcPr>
            <w:tcW w:w="1405" w:type="dxa"/>
            <w:hideMark/>
          </w:tcPr>
          <w:p w:rsidR="00874D15" w:rsidRPr="005B0796" w:rsidRDefault="00874D15" w:rsidP="00874D15">
            <w:pPr>
              <w:pStyle w:val="TableText"/>
              <w:jc w:val="right"/>
            </w:pPr>
            <w:r w:rsidRPr="005B0796">
              <w:t>25,798</w:t>
            </w:r>
          </w:p>
        </w:tc>
        <w:tc>
          <w:tcPr>
            <w:tcW w:w="1405" w:type="dxa"/>
            <w:hideMark/>
          </w:tcPr>
          <w:p w:rsidR="00874D15" w:rsidRPr="005B0796" w:rsidRDefault="00874D15" w:rsidP="00874D15">
            <w:pPr>
              <w:pStyle w:val="TableText"/>
              <w:jc w:val="right"/>
            </w:pPr>
            <w:r w:rsidRPr="005B0796">
              <w:t>49.1</w:t>
            </w:r>
          </w:p>
        </w:tc>
      </w:tr>
      <w:tr w:rsidR="00874D15" w:rsidRPr="005B0796" w:rsidTr="00874D15">
        <w:tc>
          <w:tcPr>
            <w:tcW w:w="3078" w:type="dxa"/>
            <w:hideMark/>
          </w:tcPr>
          <w:p w:rsidR="00874D15" w:rsidRPr="005B0796" w:rsidRDefault="00874D15" w:rsidP="00874D15">
            <w:pPr>
              <w:pStyle w:val="TableText"/>
              <w:ind w:left="144"/>
            </w:pPr>
            <w:r w:rsidRPr="005B0796">
              <w:t>Air Force</w:t>
            </w:r>
          </w:p>
        </w:tc>
        <w:tc>
          <w:tcPr>
            <w:tcW w:w="1404" w:type="dxa"/>
            <w:hideMark/>
          </w:tcPr>
          <w:p w:rsidR="00874D15" w:rsidRPr="005B0796" w:rsidRDefault="00874D15" w:rsidP="00874D15">
            <w:pPr>
              <w:pStyle w:val="TableText"/>
              <w:jc w:val="right"/>
            </w:pPr>
            <w:r w:rsidRPr="005B0796">
              <w:t>1000</w:t>
            </w:r>
          </w:p>
        </w:tc>
        <w:tc>
          <w:tcPr>
            <w:tcW w:w="1405" w:type="dxa"/>
            <w:hideMark/>
          </w:tcPr>
          <w:p w:rsidR="00874D15" w:rsidRPr="005B0796" w:rsidRDefault="00874D15" w:rsidP="00874D15">
            <w:pPr>
              <w:pStyle w:val="TableText"/>
              <w:jc w:val="right"/>
            </w:pPr>
            <w:r w:rsidRPr="005B0796">
              <w:t>4223</w:t>
            </w:r>
          </w:p>
        </w:tc>
        <w:tc>
          <w:tcPr>
            <w:tcW w:w="1405" w:type="dxa"/>
            <w:hideMark/>
          </w:tcPr>
          <w:p w:rsidR="00874D15" w:rsidRPr="005B0796" w:rsidRDefault="00874D15" w:rsidP="00874D15">
            <w:pPr>
              <w:pStyle w:val="TableText"/>
              <w:jc w:val="right"/>
            </w:pPr>
            <w:r w:rsidRPr="005B0796">
              <w:t>16.9 (16.9, 16.9)</w:t>
            </w:r>
          </w:p>
        </w:tc>
        <w:tc>
          <w:tcPr>
            <w:tcW w:w="1404" w:type="dxa"/>
            <w:hideMark/>
          </w:tcPr>
          <w:p w:rsidR="00874D15" w:rsidRPr="005B0796" w:rsidRDefault="00874D15" w:rsidP="00874D15">
            <w:pPr>
              <w:pStyle w:val="TableText"/>
              <w:jc w:val="right"/>
            </w:pPr>
            <w:r w:rsidRPr="005B0796">
              <w:t>2940</w:t>
            </w:r>
          </w:p>
        </w:tc>
        <w:tc>
          <w:tcPr>
            <w:tcW w:w="1405" w:type="dxa"/>
            <w:hideMark/>
          </w:tcPr>
          <w:p w:rsidR="00874D15" w:rsidRPr="005B0796" w:rsidRDefault="00874D15" w:rsidP="00874D15">
            <w:pPr>
              <w:pStyle w:val="TableText"/>
              <w:jc w:val="right"/>
            </w:pPr>
            <w:r w:rsidRPr="005B0796">
              <w:t>13,420</w:t>
            </w:r>
          </w:p>
        </w:tc>
        <w:tc>
          <w:tcPr>
            <w:tcW w:w="1405" w:type="dxa"/>
            <w:hideMark/>
          </w:tcPr>
          <w:p w:rsidR="00874D15" w:rsidRPr="005B0796" w:rsidRDefault="00874D15" w:rsidP="00874D15">
            <w:pPr>
              <w:pStyle w:val="TableText"/>
              <w:jc w:val="right"/>
            </w:pPr>
            <w:r w:rsidRPr="005B0796">
              <w:t>25.6</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rPr>
                <w:b/>
              </w:rPr>
            </w:pPr>
            <w:r w:rsidRPr="005B0796">
              <w:rPr>
                <w:b/>
              </w:rPr>
              <w:t>Medical fitness</w:t>
            </w:r>
            <w:r w:rsidRPr="005B0796">
              <w:rPr>
                <w:b/>
                <w:vertAlign w:val="superscript"/>
              </w:rPr>
              <w:t>*</w:t>
            </w: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r>
      <w:tr w:rsidR="00874D15" w:rsidRPr="005B0796" w:rsidTr="00874D15">
        <w:tc>
          <w:tcPr>
            <w:tcW w:w="3078" w:type="dxa"/>
            <w:hideMark/>
          </w:tcPr>
          <w:p w:rsidR="00874D15" w:rsidRPr="005B0796" w:rsidRDefault="00874D15" w:rsidP="00874D15">
            <w:pPr>
              <w:pStyle w:val="TableText"/>
              <w:ind w:left="144"/>
            </w:pPr>
            <w:r w:rsidRPr="005B0796">
              <w:t>Fit</w:t>
            </w:r>
          </w:p>
        </w:tc>
        <w:tc>
          <w:tcPr>
            <w:tcW w:w="1404" w:type="dxa"/>
            <w:hideMark/>
          </w:tcPr>
          <w:p w:rsidR="00874D15" w:rsidRPr="005B0796" w:rsidRDefault="00874D15" w:rsidP="00874D15">
            <w:pPr>
              <w:pStyle w:val="TableText"/>
              <w:jc w:val="right"/>
            </w:pPr>
            <w:r w:rsidRPr="005B0796">
              <w:t>2981</w:t>
            </w:r>
          </w:p>
        </w:tc>
        <w:tc>
          <w:tcPr>
            <w:tcW w:w="1405" w:type="dxa"/>
            <w:hideMark/>
          </w:tcPr>
          <w:p w:rsidR="00874D15" w:rsidRPr="005B0796" w:rsidRDefault="00874D15" w:rsidP="00874D15">
            <w:pPr>
              <w:pStyle w:val="TableText"/>
              <w:jc w:val="right"/>
            </w:pPr>
            <w:r w:rsidRPr="005B0796">
              <w:t>18,273</w:t>
            </w:r>
          </w:p>
        </w:tc>
        <w:tc>
          <w:tcPr>
            <w:tcW w:w="1405" w:type="dxa"/>
            <w:hideMark/>
          </w:tcPr>
          <w:p w:rsidR="00874D15" w:rsidRPr="005B0796" w:rsidRDefault="00874D15" w:rsidP="00874D15">
            <w:pPr>
              <w:pStyle w:val="TableText"/>
              <w:jc w:val="right"/>
            </w:pPr>
            <w:r w:rsidRPr="005B0796">
              <w:t>73.3</w:t>
            </w:r>
          </w:p>
        </w:tc>
        <w:tc>
          <w:tcPr>
            <w:tcW w:w="1404" w:type="dxa"/>
            <w:hideMark/>
          </w:tcPr>
          <w:p w:rsidR="00874D15" w:rsidRPr="005B0796" w:rsidRDefault="00874D15" w:rsidP="00874D15">
            <w:pPr>
              <w:pStyle w:val="TableText"/>
              <w:jc w:val="right"/>
            </w:pPr>
            <w:r w:rsidRPr="005B0796">
              <w:t>7116</w:t>
            </w:r>
          </w:p>
        </w:tc>
        <w:tc>
          <w:tcPr>
            <w:tcW w:w="1405" w:type="dxa"/>
            <w:hideMark/>
          </w:tcPr>
          <w:p w:rsidR="00874D15" w:rsidRPr="005B0796" w:rsidRDefault="00874D15" w:rsidP="00874D15">
            <w:pPr>
              <w:pStyle w:val="TableText"/>
              <w:jc w:val="right"/>
            </w:pPr>
            <w:r w:rsidRPr="005B0796">
              <w:t>46,022</w:t>
            </w:r>
          </w:p>
        </w:tc>
        <w:tc>
          <w:tcPr>
            <w:tcW w:w="1405" w:type="dxa"/>
            <w:hideMark/>
          </w:tcPr>
          <w:p w:rsidR="00874D15" w:rsidRPr="005B0796" w:rsidRDefault="00874D15" w:rsidP="00874D15">
            <w:pPr>
              <w:pStyle w:val="TableText"/>
              <w:jc w:val="right"/>
            </w:pPr>
            <w:r w:rsidRPr="005B0796">
              <w:t>87.7</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ind w:left="144"/>
            </w:pPr>
            <w:r w:rsidRPr="005B0796">
              <w:t>Unfit</w:t>
            </w:r>
          </w:p>
        </w:tc>
        <w:tc>
          <w:tcPr>
            <w:tcW w:w="1404" w:type="dxa"/>
            <w:hideMark/>
          </w:tcPr>
          <w:p w:rsidR="00874D15" w:rsidRPr="005B0796" w:rsidRDefault="00874D15" w:rsidP="00874D15">
            <w:pPr>
              <w:pStyle w:val="TableText"/>
              <w:jc w:val="right"/>
            </w:pPr>
            <w:r w:rsidRPr="005B0796">
              <w:t>1345</w:t>
            </w:r>
          </w:p>
        </w:tc>
        <w:tc>
          <w:tcPr>
            <w:tcW w:w="1405" w:type="dxa"/>
            <w:hideMark/>
          </w:tcPr>
          <w:p w:rsidR="00874D15" w:rsidRPr="005B0796" w:rsidRDefault="00874D15" w:rsidP="00874D15">
            <w:pPr>
              <w:pStyle w:val="TableText"/>
              <w:jc w:val="right"/>
            </w:pPr>
            <w:r w:rsidRPr="005B0796">
              <w:t>6659</w:t>
            </w:r>
          </w:p>
        </w:tc>
        <w:tc>
          <w:tcPr>
            <w:tcW w:w="1405" w:type="dxa"/>
            <w:hideMark/>
          </w:tcPr>
          <w:p w:rsidR="00874D15" w:rsidRPr="005B0796" w:rsidRDefault="00874D15" w:rsidP="00874D15">
            <w:pPr>
              <w:pStyle w:val="TableText"/>
              <w:jc w:val="right"/>
            </w:pPr>
            <w:r w:rsidRPr="005B0796">
              <w:t xml:space="preserve">26.7 </w:t>
            </w:r>
          </w:p>
        </w:tc>
        <w:tc>
          <w:tcPr>
            <w:tcW w:w="1404" w:type="dxa"/>
            <w:hideMark/>
          </w:tcPr>
          <w:p w:rsidR="00874D15" w:rsidRPr="005B0796" w:rsidRDefault="00874D15" w:rsidP="00874D15">
            <w:pPr>
              <w:pStyle w:val="TableText"/>
              <w:jc w:val="right"/>
            </w:pPr>
            <w:r w:rsidRPr="005B0796">
              <w:t>1364</w:t>
            </w:r>
          </w:p>
        </w:tc>
        <w:tc>
          <w:tcPr>
            <w:tcW w:w="1405" w:type="dxa"/>
            <w:hideMark/>
          </w:tcPr>
          <w:p w:rsidR="00874D15" w:rsidRPr="005B0796" w:rsidRDefault="00874D15" w:rsidP="00874D15">
            <w:pPr>
              <w:pStyle w:val="TableText"/>
              <w:jc w:val="right"/>
            </w:pPr>
            <w:r w:rsidRPr="005B0796">
              <w:t>6478</w:t>
            </w:r>
          </w:p>
        </w:tc>
        <w:tc>
          <w:tcPr>
            <w:tcW w:w="1405" w:type="dxa"/>
            <w:hideMark/>
          </w:tcPr>
          <w:p w:rsidR="00874D15" w:rsidRPr="005B0796" w:rsidRDefault="00874D15" w:rsidP="00874D15">
            <w:pPr>
              <w:pStyle w:val="TableText"/>
              <w:jc w:val="right"/>
            </w:pPr>
            <w:r w:rsidRPr="005B0796">
              <w:t>12.3</w:t>
            </w:r>
          </w:p>
        </w:tc>
      </w:tr>
      <w:tr w:rsidR="00874D15" w:rsidRPr="005B0796" w:rsidTr="00874D15">
        <w:tc>
          <w:tcPr>
            <w:tcW w:w="3078" w:type="dxa"/>
            <w:hideMark/>
          </w:tcPr>
          <w:p w:rsidR="00874D15" w:rsidRPr="005B0796" w:rsidRDefault="00874D15" w:rsidP="00874D15">
            <w:pPr>
              <w:pStyle w:val="TableText"/>
              <w:rPr>
                <w:b/>
              </w:rPr>
            </w:pPr>
            <w:r w:rsidRPr="005B0796">
              <w:rPr>
                <w:b/>
              </w:rPr>
              <w:t xml:space="preserve">Time in Regular ADF </w:t>
            </w: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rPr>
                <w:rFonts w:cs="Arial"/>
                <w:color w:val="000000" w:themeColor="text1"/>
              </w:rPr>
            </w:pPr>
          </w:p>
        </w:tc>
        <w:tc>
          <w:tcPr>
            <w:tcW w:w="1405" w:type="dxa"/>
          </w:tcPr>
          <w:p w:rsidR="00874D15" w:rsidRPr="005B0796" w:rsidRDefault="00874D15" w:rsidP="00874D15">
            <w:pPr>
              <w:pStyle w:val="TableText"/>
              <w:jc w:val="right"/>
              <w:rPr>
                <w:rFonts w:cs="Arial"/>
              </w:rPr>
            </w:pPr>
          </w:p>
        </w:tc>
        <w:tc>
          <w:tcPr>
            <w:tcW w:w="1404"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c>
          <w:tcPr>
            <w:tcW w:w="1405" w:type="dxa"/>
          </w:tcPr>
          <w:p w:rsidR="00874D15" w:rsidRPr="005B0796" w:rsidRDefault="00874D15" w:rsidP="00874D15">
            <w:pPr>
              <w:pStyle w:val="TableText"/>
              <w:jc w:val="right"/>
            </w:pP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ind w:left="144"/>
            </w:pPr>
            <w:r w:rsidRPr="005B0796">
              <w:t>1 months – 3.9 years</w:t>
            </w:r>
          </w:p>
        </w:tc>
        <w:tc>
          <w:tcPr>
            <w:tcW w:w="1404" w:type="dxa"/>
            <w:hideMark/>
          </w:tcPr>
          <w:p w:rsidR="00874D15" w:rsidRPr="005B0796" w:rsidRDefault="00874D15" w:rsidP="00874D15">
            <w:pPr>
              <w:pStyle w:val="TableText"/>
              <w:jc w:val="right"/>
            </w:pPr>
            <w:r w:rsidRPr="005B0796">
              <w:t>316</w:t>
            </w:r>
          </w:p>
        </w:tc>
        <w:tc>
          <w:tcPr>
            <w:tcW w:w="1405" w:type="dxa"/>
            <w:hideMark/>
          </w:tcPr>
          <w:p w:rsidR="00874D15" w:rsidRPr="005B0796" w:rsidRDefault="00874D15" w:rsidP="00874D15">
            <w:pPr>
              <w:pStyle w:val="TableText"/>
              <w:jc w:val="right"/>
            </w:pPr>
            <w:r w:rsidRPr="005B0796">
              <w:t>2934</w:t>
            </w:r>
          </w:p>
        </w:tc>
        <w:tc>
          <w:tcPr>
            <w:tcW w:w="1405" w:type="dxa"/>
            <w:hideMark/>
          </w:tcPr>
          <w:p w:rsidR="00874D15" w:rsidRPr="005B0796" w:rsidRDefault="00874D15" w:rsidP="00874D15">
            <w:pPr>
              <w:pStyle w:val="TableText"/>
              <w:jc w:val="right"/>
            </w:pPr>
            <w:r w:rsidRPr="005B0796">
              <w:t>11.8 (10.5, 13.1)</w:t>
            </w:r>
          </w:p>
        </w:tc>
        <w:tc>
          <w:tcPr>
            <w:tcW w:w="1404" w:type="dxa"/>
            <w:hideMark/>
          </w:tcPr>
          <w:p w:rsidR="00874D15" w:rsidRPr="005B0796" w:rsidRDefault="00874D15" w:rsidP="00874D15">
            <w:pPr>
              <w:pStyle w:val="TableText"/>
              <w:jc w:val="right"/>
            </w:pPr>
            <w:r w:rsidRPr="005B0796">
              <w:t>263</w:t>
            </w:r>
          </w:p>
        </w:tc>
        <w:tc>
          <w:tcPr>
            <w:tcW w:w="1405" w:type="dxa"/>
            <w:hideMark/>
          </w:tcPr>
          <w:p w:rsidR="00874D15" w:rsidRPr="005B0796" w:rsidRDefault="00874D15" w:rsidP="00874D15">
            <w:pPr>
              <w:pStyle w:val="TableText"/>
              <w:jc w:val="right"/>
            </w:pPr>
            <w:r w:rsidRPr="005B0796">
              <w:t>6141</w:t>
            </w:r>
          </w:p>
        </w:tc>
        <w:tc>
          <w:tcPr>
            <w:tcW w:w="1405" w:type="dxa"/>
            <w:hideMark/>
          </w:tcPr>
          <w:p w:rsidR="00874D15" w:rsidRPr="005B0796" w:rsidRDefault="00874D15" w:rsidP="00874D15">
            <w:pPr>
              <w:pStyle w:val="TableText"/>
              <w:jc w:val="right"/>
            </w:pPr>
            <w:r w:rsidRPr="005B0796">
              <w:t>11.7 (8.9, 15.1)</w:t>
            </w:r>
          </w:p>
        </w:tc>
      </w:tr>
      <w:tr w:rsidR="00874D15" w:rsidRPr="005B0796" w:rsidTr="00874D15">
        <w:tc>
          <w:tcPr>
            <w:tcW w:w="3078" w:type="dxa"/>
            <w:hideMark/>
          </w:tcPr>
          <w:p w:rsidR="00874D15" w:rsidRPr="005B0796" w:rsidRDefault="00874D15" w:rsidP="00874D15">
            <w:pPr>
              <w:pStyle w:val="TableText"/>
              <w:ind w:left="144"/>
            </w:pPr>
            <w:r w:rsidRPr="005B0796">
              <w:t>4–7.9 years</w:t>
            </w:r>
          </w:p>
        </w:tc>
        <w:tc>
          <w:tcPr>
            <w:tcW w:w="1404" w:type="dxa"/>
            <w:hideMark/>
          </w:tcPr>
          <w:p w:rsidR="00874D15" w:rsidRPr="005B0796" w:rsidRDefault="00874D15" w:rsidP="00874D15">
            <w:pPr>
              <w:pStyle w:val="TableText"/>
              <w:jc w:val="right"/>
            </w:pPr>
            <w:r w:rsidRPr="005B0796">
              <w:t>966</w:t>
            </w:r>
          </w:p>
        </w:tc>
        <w:tc>
          <w:tcPr>
            <w:tcW w:w="1405" w:type="dxa"/>
            <w:hideMark/>
          </w:tcPr>
          <w:p w:rsidR="00874D15" w:rsidRPr="005B0796" w:rsidRDefault="00874D15" w:rsidP="00874D15">
            <w:pPr>
              <w:pStyle w:val="TableText"/>
              <w:jc w:val="right"/>
            </w:pPr>
            <w:r w:rsidRPr="005B0796">
              <w:t>9015</w:t>
            </w:r>
          </w:p>
        </w:tc>
        <w:tc>
          <w:tcPr>
            <w:tcW w:w="1405" w:type="dxa"/>
            <w:hideMark/>
          </w:tcPr>
          <w:p w:rsidR="00874D15" w:rsidRPr="005B0796" w:rsidRDefault="00874D15" w:rsidP="00874D15">
            <w:pPr>
              <w:pStyle w:val="TableText"/>
              <w:jc w:val="right"/>
            </w:pPr>
            <w:r w:rsidRPr="005B0796">
              <w:t>36.2 (34.5, 37.9)</w:t>
            </w:r>
          </w:p>
        </w:tc>
        <w:tc>
          <w:tcPr>
            <w:tcW w:w="1404" w:type="dxa"/>
            <w:hideMark/>
          </w:tcPr>
          <w:p w:rsidR="00874D15" w:rsidRPr="005B0796" w:rsidRDefault="00874D15" w:rsidP="00874D15">
            <w:pPr>
              <w:pStyle w:val="TableText"/>
              <w:jc w:val="right"/>
            </w:pPr>
            <w:r w:rsidRPr="005B0796">
              <w:t>840</w:t>
            </w:r>
          </w:p>
        </w:tc>
        <w:tc>
          <w:tcPr>
            <w:tcW w:w="1405" w:type="dxa"/>
            <w:hideMark/>
          </w:tcPr>
          <w:p w:rsidR="00874D15" w:rsidRPr="005B0796" w:rsidRDefault="00874D15" w:rsidP="00874D15">
            <w:pPr>
              <w:pStyle w:val="TableText"/>
              <w:jc w:val="right"/>
            </w:pPr>
            <w:r w:rsidRPr="005B0796">
              <w:t>9710</w:t>
            </w:r>
          </w:p>
        </w:tc>
        <w:tc>
          <w:tcPr>
            <w:tcW w:w="1405" w:type="dxa"/>
            <w:hideMark/>
          </w:tcPr>
          <w:p w:rsidR="00874D15" w:rsidRPr="005B0796" w:rsidRDefault="00874D15" w:rsidP="00874D15">
            <w:pPr>
              <w:pStyle w:val="TableText"/>
              <w:jc w:val="right"/>
            </w:pPr>
            <w:r w:rsidRPr="005B0796">
              <w:t>18.5 (15.4, 22.0)</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ind w:left="144"/>
            </w:pPr>
            <w:r w:rsidRPr="005B0796">
              <w:t>8–11.9 years</w:t>
            </w:r>
          </w:p>
        </w:tc>
        <w:tc>
          <w:tcPr>
            <w:tcW w:w="1404" w:type="dxa"/>
            <w:hideMark/>
          </w:tcPr>
          <w:p w:rsidR="00874D15" w:rsidRPr="005B0796" w:rsidRDefault="00874D15" w:rsidP="00874D15">
            <w:pPr>
              <w:pStyle w:val="TableText"/>
              <w:jc w:val="right"/>
            </w:pPr>
            <w:r w:rsidRPr="005B0796">
              <w:t>613</w:t>
            </w:r>
          </w:p>
        </w:tc>
        <w:tc>
          <w:tcPr>
            <w:tcW w:w="1405" w:type="dxa"/>
            <w:hideMark/>
          </w:tcPr>
          <w:p w:rsidR="00874D15" w:rsidRPr="005B0796" w:rsidRDefault="00874D15" w:rsidP="00874D15">
            <w:pPr>
              <w:pStyle w:val="TableText"/>
              <w:jc w:val="right"/>
            </w:pPr>
            <w:r w:rsidRPr="005B0796">
              <w:t>3295</w:t>
            </w:r>
          </w:p>
        </w:tc>
        <w:tc>
          <w:tcPr>
            <w:tcW w:w="1405" w:type="dxa"/>
            <w:hideMark/>
          </w:tcPr>
          <w:p w:rsidR="00874D15" w:rsidRPr="005B0796" w:rsidRDefault="00874D15" w:rsidP="00874D15">
            <w:pPr>
              <w:pStyle w:val="TableText"/>
              <w:jc w:val="right"/>
            </w:pPr>
            <w:r w:rsidRPr="005B0796">
              <w:t>13.2 (12.1, 14.4)</w:t>
            </w:r>
          </w:p>
        </w:tc>
        <w:tc>
          <w:tcPr>
            <w:tcW w:w="1404" w:type="dxa"/>
            <w:hideMark/>
          </w:tcPr>
          <w:p w:rsidR="00874D15" w:rsidRPr="005B0796" w:rsidRDefault="00874D15" w:rsidP="00874D15">
            <w:pPr>
              <w:pStyle w:val="TableText"/>
              <w:jc w:val="right"/>
            </w:pPr>
            <w:r w:rsidRPr="005B0796">
              <w:t>1436</w:t>
            </w:r>
          </w:p>
        </w:tc>
        <w:tc>
          <w:tcPr>
            <w:tcW w:w="1405" w:type="dxa"/>
            <w:hideMark/>
          </w:tcPr>
          <w:p w:rsidR="00874D15" w:rsidRPr="005B0796" w:rsidRDefault="00874D15" w:rsidP="00874D15">
            <w:pPr>
              <w:pStyle w:val="TableText"/>
              <w:jc w:val="right"/>
            </w:pPr>
            <w:r w:rsidRPr="005B0796">
              <w:t>10,362</w:t>
            </w:r>
          </w:p>
        </w:tc>
        <w:tc>
          <w:tcPr>
            <w:tcW w:w="1405" w:type="dxa"/>
            <w:hideMark/>
          </w:tcPr>
          <w:p w:rsidR="00874D15" w:rsidRPr="005B0796" w:rsidRDefault="00874D15" w:rsidP="00874D15">
            <w:pPr>
              <w:pStyle w:val="TableText"/>
              <w:jc w:val="right"/>
            </w:pPr>
            <w:r w:rsidRPr="005B0796">
              <w:t>19.7 (16.9, 22.9)</w:t>
            </w:r>
          </w:p>
        </w:tc>
      </w:tr>
      <w:tr w:rsidR="00874D15" w:rsidRPr="005B0796" w:rsidTr="00874D15">
        <w:tc>
          <w:tcPr>
            <w:tcW w:w="3078" w:type="dxa"/>
            <w:hideMark/>
          </w:tcPr>
          <w:p w:rsidR="00874D15" w:rsidRPr="005B0796" w:rsidRDefault="00874D15" w:rsidP="00874D15">
            <w:pPr>
              <w:pStyle w:val="TableText"/>
              <w:ind w:left="144"/>
            </w:pPr>
            <w:r w:rsidRPr="005B0796">
              <w:t>12–15.9 years</w:t>
            </w:r>
          </w:p>
        </w:tc>
        <w:tc>
          <w:tcPr>
            <w:tcW w:w="1404" w:type="dxa"/>
            <w:hideMark/>
          </w:tcPr>
          <w:p w:rsidR="00874D15" w:rsidRPr="005B0796" w:rsidRDefault="00874D15" w:rsidP="00874D15">
            <w:pPr>
              <w:pStyle w:val="TableText"/>
              <w:jc w:val="right"/>
            </w:pPr>
            <w:r w:rsidRPr="005B0796">
              <w:t>478</w:t>
            </w:r>
          </w:p>
        </w:tc>
        <w:tc>
          <w:tcPr>
            <w:tcW w:w="1405" w:type="dxa"/>
            <w:hideMark/>
          </w:tcPr>
          <w:p w:rsidR="00874D15" w:rsidRPr="005B0796" w:rsidRDefault="00874D15" w:rsidP="00874D15">
            <w:pPr>
              <w:pStyle w:val="TableText"/>
              <w:jc w:val="right"/>
            </w:pPr>
            <w:r w:rsidRPr="005B0796">
              <w:t>2086</w:t>
            </w:r>
          </w:p>
        </w:tc>
        <w:tc>
          <w:tcPr>
            <w:tcW w:w="1405" w:type="dxa"/>
            <w:hideMark/>
          </w:tcPr>
          <w:p w:rsidR="00874D15" w:rsidRPr="005B0796" w:rsidRDefault="00874D15" w:rsidP="00874D15">
            <w:pPr>
              <w:pStyle w:val="TableText"/>
              <w:jc w:val="right"/>
            </w:pPr>
            <w:r w:rsidRPr="005B0796">
              <w:t>8.4 (7.6, 9.2)</w:t>
            </w:r>
          </w:p>
        </w:tc>
        <w:tc>
          <w:tcPr>
            <w:tcW w:w="1404" w:type="dxa"/>
            <w:hideMark/>
          </w:tcPr>
          <w:p w:rsidR="00874D15" w:rsidRPr="005B0796" w:rsidRDefault="00874D15" w:rsidP="00874D15">
            <w:pPr>
              <w:pStyle w:val="TableText"/>
              <w:jc w:val="right"/>
            </w:pPr>
            <w:r w:rsidRPr="005B0796">
              <w:t>1389</w:t>
            </w:r>
          </w:p>
        </w:tc>
        <w:tc>
          <w:tcPr>
            <w:tcW w:w="1405" w:type="dxa"/>
            <w:hideMark/>
          </w:tcPr>
          <w:p w:rsidR="00874D15" w:rsidRPr="005B0796" w:rsidRDefault="00874D15" w:rsidP="00874D15">
            <w:pPr>
              <w:pStyle w:val="TableText"/>
              <w:jc w:val="right"/>
            </w:pPr>
            <w:r w:rsidRPr="005B0796">
              <w:t>7568</w:t>
            </w:r>
          </w:p>
        </w:tc>
        <w:tc>
          <w:tcPr>
            <w:tcW w:w="1405" w:type="dxa"/>
            <w:hideMark/>
          </w:tcPr>
          <w:p w:rsidR="00874D15" w:rsidRPr="005B0796" w:rsidRDefault="00874D15" w:rsidP="00874D15">
            <w:pPr>
              <w:pStyle w:val="TableText"/>
              <w:jc w:val="right"/>
            </w:pPr>
            <w:r w:rsidRPr="005B0796">
              <w:t>14.4 (12.4, 16.8)</w:t>
            </w:r>
          </w:p>
        </w:tc>
      </w:tr>
      <w:tr w:rsidR="00874D15" w:rsidRPr="005B0796" w:rsidTr="00874D15">
        <w:trPr>
          <w:cnfStyle w:val="000000100000" w:firstRow="0" w:lastRow="0" w:firstColumn="0" w:lastColumn="0" w:oddVBand="0" w:evenVBand="0" w:oddHBand="1" w:evenHBand="0" w:firstRowFirstColumn="0" w:firstRowLastColumn="0" w:lastRowFirstColumn="0" w:lastRowLastColumn="0"/>
        </w:trPr>
        <w:tc>
          <w:tcPr>
            <w:tcW w:w="3078" w:type="dxa"/>
            <w:hideMark/>
          </w:tcPr>
          <w:p w:rsidR="00874D15" w:rsidRPr="005B0796" w:rsidRDefault="00874D15" w:rsidP="00874D15">
            <w:pPr>
              <w:pStyle w:val="TableText"/>
              <w:ind w:left="144"/>
            </w:pPr>
            <w:r w:rsidRPr="005B0796">
              <w:t>16–19.9 years</w:t>
            </w:r>
          </w:p>
        </w:tc>
        <w:tc>
          <w:tcPr>
            <w:tcW w:w="1404" w:type="dxa"/>
            <w:hideMark/>
          </w:tcPr>
          <w:p w:rsidR="00874D15" w:rsidRPr="005B0796" w:rsidRDefault="00874D15" w:rsidP="00874D15">
            <w:pPr>
              <w:pStyle w:val="TableText"/>
              <w:jc w:val="right"/>
            </w:pPr>
            <w:r w:rsidRPr="005B0796">
              <w:t>265</w:t>
            </w:r>
          </w:p>
        </w:tc>
        <w:tc>
          <w:tcPr>
            <w:tcW w:w="1405" w:type="dxa"/>
            <w:hideMark/>
          </w:tcPr>
          <w:p w:rsidR="00874D15" w:rsidRPr="005B0796" w:rsidRDefault="00874D15" w:rsidP="00874D15">
            <w:pPr>
              <w:pStyle w:val="TableText"/>
              <w:jc w:val="right"/>
            </w:pPr>
            <w:r w:rsidRPr="005B0796">
              <w:t>967</w:t>
            </w:r>
          </w:p>
        </w:tc>
        <w:tc>
          <w:tcPr>
            <w:tcW w:w="1405" w:type="dxa"/>
            <w:hideMark/>
          </w:tcPr>
          <w:p w:rsidR="00874D15" w:rsidRPr="005B0796" w:rsidRDefault="00874D15" w:rsidP="00874D15">
            <w:pPr>
              <w:pStyle w:val="TableText"/>
              <w:jc w:val="right"/>
            </w:pPr>
            <w:r w:rsidRPr="005B0796">
              <w:t>3.9 (3.5, 4.3)</w:t>
            </w:r>
          </w:p>
        </w:tc>
        <w:tc>
          <w:tcPr>
            <w:tcW w:w="1404" w:type="dxa"/>
            <w:hideMark/>
          </w:tcPr>
          <w:p w:rsidR="00874D15" w:rsidRPr="005B0796" w:rsidRDefault="00874D15" w:rsidP="00874D15">
            <w:pPr>
              <w:pStyle w:val="TableText"/>
              <w:jc w:val="right"/>
            </w:pPr>
            <w:r w:rsidRPr="005B0796">
              <w:t>994</w:t>
            </w:r>
          </w:p>
        </w:tc>
        <w:tc>
          <w:tcPr>
            <w:tcW w:w="1405" w:type="dxa"/>
            <w:hideMark/>
          </w:tcPr>
          <w:p w:rsidR="00874D15" w:rsidRPr="005B0796" w:rsidRDefault="00874D15" w:rsidP="00874D15">
            <w:pPr>
              <w:pStyle w:val="TableText"/>
              <w:jc w:val="right"/>
            </w:pPr>
            <w:r w:rsidRPr="005B0796">
              <w:t>4143</w:t>
            </w:r>
          </w:p>
        </w:tc>
        <w:tc>
          <w:tcPr>
            <w:tcW w:w="1405" w:type="dxa"/>
            <w:hideMark/>
          </w:tcPr>
          <w:p w:rsidR="00874D15" w:rsidRPr="005B0796" w:rsidRDefault="00874D15" w:rsidP="00874D15">
            <w:pPr>
              <w:pStyle w:val="TableText"/>
              <w:jc w:val="right"/>
            </w:pPr>
            <w:r w:rsidRPr="005B0796">
              <w:t>7.9 (7.1, 8.8)</w:t>
            </w:r>
          </w:p>
        </w:tc>
      </w:tr>
      <w:tr w:rsidR="00874D15" w:rsidRPr="005B0796" w:rsidTr="00874D15">
        <w:tc>
          <w:tcPr>
            <w:tcW w:w="3078" w:type="dxa"/>
            <w:hideMark/>
          </w:tcPr>
          <w:p w:rsidR="00874D15" w:rsidRPr="005B0796" w:rsidRDefault="00874D15" w:rsidP="00874D15">
            <w:pPr>
              <w:pStyle w:val="TableText"/>
              <w:ind w:left="144"/>
            </w:pPr>
            <w:r w:rsidRPr="005B0796">
              <w:t>20+ years</w:t>
            </w:r>
          </w:p>
        </w:tc>
        <w:tc>
          <w:tcPr>
            <w:tcW w:w="1404" w:type="dxa"/>
            <w:hideMark/>
          </w:tcPr>
          <w:p w:rsidR="00874D15" w:rsidRPr="005B0796" w:rsidRDefault="00874D15" w:rsidP="00874D15">
            <w:pPr>
              <w:pStyle w:val="TableText"/>
              <w:jc w:val="right"/>
            </w:pPr>
            <w:r w:rsidRPr="005B0796">
              <w:t>1580</w:t>
            </w:r>
          </w:p>
        </w:tc>
        <w:tc>
          <w:tcPr>
            <w:tcW w:w="1405" w:type="dxa"/>
            <w:hideMark/>
          </w:tcPr>
          <w:p w:rsidR="00874D15" w:rsidRPr="005B0796" w:rsidRDefault="00874D15" w:rsidP="00874D15">
            <w:pPr>
              <w:pStyle w:val="TableText"/>
              <w:jc w:val="right"/>
            </w:pPr>
            <w:r w:rsidRPr="005B0796">
              <w:t>5772</w:t>
            </w:r>
          </w:p>
        </w:tc>
        <w:tc>
          <w:tcPr>
            <w:tcW w:w="1405" w:type="dxa"/>
            <w:hideMark/>
          </w:tcPr>
          <w:p w:rsidR="00874D15" w:rsidRPr="005B0796" w:rsidRDefault="00874D15" w:rsidP="00874D15">
            <w:pPr>
              <w:pStyle w:val="TableText"/>
              <w:jc w:val="right"/>
            </w:pPr>
            <w:r w:rsidRPr="005B0796">
              <w:t>23.2 (22.4, 23.9)</w:t>
            </w:r>
          </w:p>
        </w:tc>
        <w:tc>
          <w:tcPr>
            <w:tcW w:w="1404" w:type="dxa"/>
            <w:hideMark/>
          </w:tcPr>
          <w:p w:rsidR="00874D15" w:rsidRPr="005B0796" w:rsidRDefault="00874D15" w:rsidP="00874D15">
            <w:pPr>
              <w:pStyle w:val="TableText"/>
              <w:jc w:val="right"/>
            </w:pPr>
            <w:r w:rsidRPr="005B0796">
              <w:t>3413</w:t>
            </w:r>
          </w:p>
        </w:tc>
        <w:tc>
          <w:tcPr>
            <w:tcW w:w="1405" w:type="dxa"/>
            <w:hideMark/>
          </w:tcPr>
          <w:p w:rsidR="00874D15" w:rsidRPr="005B0796" w:rsidRDefault="00874D15" w:rsidP="00874D15">
            <w:pPr>
              <w:pStyle w:val="TableText"/>
              <w:jc w:val="right"/>
            </w:pPr>
            <w:r w:rsidRPr="005B0796">
              <w:t>13,651</w:t>
            </w:r>
          </w:p>
        </w:tc>
        <w:tc>
          <w:tcPr>
            <w:tcW w:w="1405" w:type="dxa"/>
            <w:hideMark/>
          </w:tcPr>
          <w:p w:rsidR="00874D15" w:rsidRPr="005B0796" w:rsidRDefault="00874D15" w:rsidP="00874D15">
            <w:pPr>
              <w:pStyle w:val="TableText"/>
              <w:jc w:val="right"/>
            </w:pPr>
            <w:r w:rsidRPr="005B0796">
              <w:t>26.0 (24.4, 27.7)</w:t>
            </w:r>
          </w:p>
        </w:tc>
      </w:tr>
    </w:tbl>
    <w:p w:rsidR="00874D15" w:rsidRPr="005B0796" w:rsidRDefault="00874D15" w:rsidP="00C106D7">
      <w:pPr>
        <w:pStyle w:val="TableNotes"/>
      </w:pPr>
      <w:bookmarkStart w:id="204" w:name="_Toc341707130"/>
      <w:r w:rsidRPr="005B0796">
        <w:rPr>
          <w:b/>
          <w:vertAlign w:val="superscript"/>
        </w:rPr>
        <w:t>a</w:t>
      </w:r>
      <w:r w:rsidRPr="005B0796">
        <w:rPr>
          <w:vertAlign w:val="superscript"/>
        </w:rPr>
        <w:t>:</w:t>
      </w:r>
      <w:r w:rsidRPr="005B0796">
        <w:t xml:space="preserve"> Either 2015 Regular ADF or on discharge from Regular ADF service</w:t>
      </w:r>
      <w:bookmarkEnd w:id="204"/>
    </w:p>
    <w:p w:rsidR="00874D15" w:rsidRPr="005B0796" w:rsidRDefault="00874D15" w:rsidP="00C106D7">
      <w:pPr>
        <w:pStyle w:val="TableNotes"/>
      </w:pPr>
      <w:r w:rsidRPr="005B0796">
        <w:t>Note: 95%</w:t>
      </w:r>
      <w:r w:rsidR="00E96C28">
        <w:t xml:space="preserve"> </w:t>
      </w:r>
      <w:r w:rsidRPr="005B0796">
        <w:t xml:space="preserve">CI: 95% </w:t>
      </w:r>
      <w:r w:rsidR="00564689" w:rsidRPr="005B0796">
        <w:t>confidence interval</w:t>
      </w:r>
      <w:r w:rsidRPr="005B0796">
        <w:t xml:space="preserve"> </w:t>
      </w:r>
    </w:p>
    <w:p w:rsidR="00874D15" w:rsidRPr="005B0796" w:rsidRDefault="00874D15" w:rsidP="00C106D7">
      <w:pPr>
        <w:pStyle w:val="TableNotes"/>
      </w:pPr>
      <w:r w:rsidRPr="005B0796">
        <w:t>Missing: 2015 Regular ADF: Time in Regular ADF: 145 (1.7%)</w:t>
      </w:r>
    </w:p>
    <w:p w:rsidR="00874D15" w:rsidRPr="005B0796" w:rsidRDefault="00874D15" w:rsidP="00C106D7">
      <w:pPr>
        <w:pStyle w:val="TableNotes"/>
      </w:pPr>
      <w:r w:rsidRPr="005B0796">
        <w:t>Transitioned: Time in Regular ADF: 108 (3.4%)</w:t>
      </w:r>
    </w:p>
    <w:p w:rsidR="00874D15" w:rsidRPr="005B0796" w:rsidRDefault="00874D15" w:rsidP="00C106D7">
      <w:pPr>
        <w:pStyle w:val="TableNotes"/>
        <w:rPr>
          <w:bCs/>
          <w:color w:val="000000" w:themeColor="text1"/>
        </w:rPr>
      </w:pPr>
      <w:r w:rsidRPr="005B0796">
        <w:rPr>
          <w:b/>
          <w:vertAlign w:val="superscript"/>
        </w:rPr>
        <w:t>*</w:t>
      </w:r>
      <w:r w:rsidRPr="005B0796">
        <w:rPr>
          <w:bCs/>
          <w:color w:val="000000" w:themeColor="text1"/>
        </w:rPr>
        <w:t>No CIs are provided for Sex, Rank, Service and Medical fitness as these variables were used to create strata for weighting.</w:t>
      </w:r>
    </w:p>
    <w:p w:rsidR="00874D15" w:rsidRPr="005B0796" w:rsidRDefault="00874D15" w:rsidP="00874D15">
      <w:pPr>
        <w:sectPr w:rsidR="00874D15" w:rsidRPr="005B0796" w:rsidSect="00BE66A5">
          <w:headerReference w:type="even" r:id="rId35"/>
          <w:headerReference w:type="default" r:id="rId36"/>
          <w:footerReference w:type="even" r:id="rId37"/>
          <w:footerReference w:type="default" r:id="rId38"/>
          <w:pgSz w:w="14170" w:h="9979" w:orient="landscape" w:code="243"/>
          <w:pgMar w:top="1872" w:right="1440" w:bottom="1152" w:left="1440" w:header="576" w:footer="576" w:gutter="0"/>
          <w:cols w:space="708"/>
          <w:docGrid w:linePitch="360"/>
        </w:sectPr>
      </w:pPr>
    </w:p>
    <w:p w:rsidR="00C106D7" w:rsidRPr="005B0796" w:rsidRDefault="00C106D7" w:rsidP="00C106D7">
      <w:pPr>
        <w:pStyle w:val="TableName"/>
        <w:rPr>
          <w:rFonts w:asciiTheme="minorHAnsi" w:hAnsiTheme="minorHAnsi"/>
        </w:rPr>
      </w:pPr>
      <w:bookmarkStart w:id="205" w:name="_Ref482013587"/>
      <w:bookmarkStart w:id="206" w:name="_Toc479243377"/>
      <w:bookmarkStart w:id="207" w:name="_Toc482023763"/>
      <w:bookmarkStart w:id="208" w:name="_Toc487014249"/>
      <w:bookmarkStart w:id="209" w:name="_Toc492995552"/>
      <w:bookmarkStart w:id="210" w:name="_Toc511900401"/>
      <w:bookmarkEnd w:id="185"/>
      <w:bookmarkEnd w:id="186"/>
      <w:bookmarkEnd w:id="187"/>
      <w:bookmarkEnd w:id="188"/>
      <w:bookmarkEnd w:id="18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3</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w:t>
      </w:r>
      <w:r w:rsidR="00D30A3C">
        <w:rPr>
          <w:noProof/>
        </w:rPr>
        <w:fldChar w:fldCharType="end"/>
      </w:r>
      <w:bookmarkEnd w:id="205"/>
      <w:r w:rsidRPr="005B0796">
        <w:tab/>
        <w:t>Weighted transition characteristics in the Transitioned ADF</w:t>
      </w:r>
      <w:bookmarkEnd w:id="206"/>
      <w:bookmarkEnd w:id="207"/>
      <w:bookmarkEnd w:id="208"/>
      <w:bookmarkEnd w:id="209"/>
      <w:bookmarkEnd w:id="210"/>
    </w:p>
    <w:tbl>
      <w:tblPr>
        <w:tblStyle w:val="TWRPTable"/>
        <w:tblW w:w="5000" w:type="pct"/>
        <w:tblLayout w:type="fixed"/>
        <w:tblLook w:val="04A0" w:firstRow="1" w:lastRow="0" w:firstColumn="1" w:lastColumn="0" w:noHBand="0" w:noVBand="1"/>
        <w:tblDescription w:val="Table 3.3 Weighted transition characteristics in the Transitioned ADF"/>
      </w:tblPr>
      <w:tblGrid>
        <w:gridCol w:w="2898"/>
        <w:gridCol w:w="1472"/>
        <w:gridCol w:w="1472"/>
        <w:gridCol w:w="1473"/>
      </w:tblGrid>
      <w:tr w:rsidR="00C106D7" w:rsidRPr="005B0796" w:rsidTr="00874D15">
        <w:trPr>
          <w:cnfStyle w:val="100000000000" w:firstRow="1" w:lastRow="0" w:firstColumn="0" w:lastColumn="0" w:oddVBand="0" w:evenVBand="0" w:oddHBand="0" w:evenHBand="0" w:firstRowFirstColumn="0" w:firstRowLastColumn="0" w:lastRowFirstColumn="0" w:lastRowLastColumn="0"/>
          <w:trHeight w:val="20"/>
          <w:tblHeader/>
        </w:trPr>
        <w:tc>
          <w:tcPr>
            <w:tcW w:w="2898" w:type="dxa"/>
            <w:tcBorders>
              <w:top w:val="single" w:sz="4" w:space="0" w:color="000000"/>
              <w:bottom w:val="nil"/>
            </w:tcBorders>
          </w:tcPr>
          <w:p w:rsidR="00C106D7" w:rsidRPr="005B0796" w:rsidRDefault="00C106D7" w:rsidP="000B335D">
            <w:pPr>
              <w:pStyle w:val="TableText"/>
            </w:pPr>
          </w:p>
        </w:tc>
        <w:tc>
          <w:tcPr>
            <w:tcW w:w="4417" w:type="dxa"/>
            <w:gridSpan w:val="3"/>
            <w:hideMark/>
          </w:tcPr>
          <w:p w:rsidR="00C106D7" w:rsidRPr="005B0796" w:rsidRDefault="00C106D7" w:rsidP="00874D15">
            <w:pPr>
              <w:pStyle w:val="TableText"/>
              <w:jc w:val="center"/>
            </w:pPr>
            <w:r w:rsidRPr="005B0796">
              <w:t>Transitioned ADF</w:t>
            </w:r>
            <w:r w:rsidR="00874D15" w:rsidRPr="005B0796">
              <w:br/>
            </w:r>
            <w:r w:rsidRPr="005B0796">
              <w:t xml:space="preserve">N = </w:t>
            </w:r>
            <w:r w:rsidRPr="005B0796">
              <w:rPr>
                <w:color w:val="000000" w:themeColor="text1"/>
              </w:rPr>
              <w:t>24,932</w:t>
            </w:r>
          </w:p>
        </w:tc>
      </w:tr>
      <w:tr w:rsidR="00C106D7" w:rsidRPr="005B0796" w:rsidTr="00874D15">
        <w:trPr>
          <w:cnfStyle w:val="100000000000" w:firstRow="1" w:lastRow="0" w:firstColumn="0" w:lastColumn="0" w:oddVBand="0" w:evenVBand="0" w:oddHBand="0" w:evenHBand="0" w:firstRowFirstColumn="0" w:firstRowLastColumn="0" w:lastRowFirstColumn="0" w:lastRowLastColumn="0"/>
          <w:trHeight w:val="20"/>
          <w:tblHeader/>
        </w:trPr>
        <w:tc>
          <w:tcPr>
            <w:tcW w:w="2898" w:type="dxa"/>
            <w:tcBorders>
              <w:top w:val="nil"/>
            </w:tcBorders>
            <w:hideMark/>
          </w:tcPr>
          <w:p w:rsidR="00C106D7" w:rsidRPr="005B0796" w:rsidRDefault="00C106D7" w:rsidP="00874D15">
            <w:pPr>
              <w:pStyle w:val="TableText"/>
            </w:pPr>
            <w:r w:rsidRPr="005B0796">
              <w:t>Characteristic</w:t>
            </w:r>
          </w:p>
        </w:tc>
        <w:tc>
          <w:tcPr>
            <w:tcW w:w="1472" w:type="dxa"/>
            <w:hideMark/>
          </w:tcPr>
          <w:p w:rsidR="00C106D7" w:rsidRPr="005B0796" w:rsidRDefault="00C106D7" w:rsidP="00874D15">
            <w:pPr>
              <w:pStyle w:val="TableText"/>
              <w:jc w:val="right"/>
              <w:rPr>
                <w:rFonts w:cs="Arial"/>
              </w:rPr>
            </w:pPr>
            <w:r w:rsidRPr="005B0796">
              <w:rPr>
                <w:rFonts w:cs="Arial"/>
              </w:rPr>
              <w:t>n</w:t>
            </w:r>
          </w:p>
        </w:tc>
        <w:tc>
          <w:tcPr>
            <w:tcW w:w="1472" w:type="dxa"/>
            <w:hideMark/>
          </w:tcPr>
          <w:p w:rsidR="00C106D7" w:rsidRPr="005B0796" w:rsidRDefault="00C106D7" w:rsidP="00874D15">
            <w:pPr>
              <w:pStyle w:val="TableText"/>
              <w:jc w:val="right"/>
              <w:rPr>
                <w:rFonts w:cs="Arial"/>
              </w:rPr>
            </w:pPr>
            <w:r w:rsidRPr="005B0796">
              <w:rPr>
                <w:rFonts w:cs="Arial"/>
              </w:rPr>
              <w:t>Weighted n</w:t>
            </w:r>
          </w:p>
        </w:tc>
        <w:tc>
          <w:tcPr>
            <w:tcW w:w="1473" w:type="dxa"/>
            <w:hideMark/>
          </w:tcPr>
          <w:p w:rsidR="00C106D7" w:rsidRPr="005B0796" w:rsidRDefault="00C106D7" w:rsidP="00874D15">
            <w:pPr>
              <w:pStyle w:val="TableText"/>
              <w:jc w:val="right"/>
              <w:rPr>
                <w:rFonts w:cs="Arial"/>
              </w:rPr>
            </w:pPr>
            <w:r w:rsidRPr="005B0796">
              <w:rPr>
                <w:rFonts w:cs="Arial"/>
              </w:rPr>
              <w:t>% (95% CI)</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0B335D">
            <w:pPr>
              <w:pStyle w:val="TableText"/>
              <w:rPr>
                <w:b/>
              </w:rPr>
            </w:pPr>
            <w:r w:rsidRPr="005B0796">
              <w:rPr>
                <w:b/>
              </w:rPr>
              <w:t>Serving status</w:t>
            </w:r>
          </w:p>
        </w:tc>
        <w:tc>
          <w:tcPr>
            <w:tcW w:w="1472" w:type="dxa"/>
          </w:tcPr>
          <w:p w:rsidR="00C106D7" w:rsidRPr="005B0796" w:rsidRDefault="00C106D7" w:rsidP="00874D15">
            <w:pPr>
              <w:pStyle w:val="TableText"/>
              <w:jc w:val="right"/>
              <w:rPr>
                <w:rFonts w:cs="Arial"/>
              </w:rPr>
            </w:pPr>
          </w:p>
        </w:tc>
        <w:tc>
          <w:tcPr>
            <w:tcW w:w="1472" w:type="dxa"/>
          </w:tcPr>
          <w:p w:rsidR="00C106D7" w:rsidRPr="005B0796" w:rsidRDefault="00C106D7" w:rsidP="00874D15">
            <w:pPr>
              <w:pStyle w:val="TableText"/>
              <w:jc w:val="right"/>
              <w:rPr>
                <w:rFonts w:cs="Arial"/>
              </w:rPr>
            </w:pPr>
          </w:p>
        </w:tc>
        <w:tc>
          <w:tcPr>
            <w:tcW w:w="1473" w:type="dxa"/>
          </w:tcPr>
          <w:p w:rsidR="00C106D7" w:rsidRPr="005B0796" w:rsidRDefault="00C106D7" w:rsidP="00874D15">
            <w:pPr>
              <w:pStyle w:val="TableText"/>
              <w:jc w:val="right"/>
              <w:rPr>
                <w:rFonts w:cs="Arial"/>
              </w:rPr>
            </w:pP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Ex-Serving</w:t>
            </w:r>
          </w:p>
        </w:tc>
        <w:tc>
          <w:tcPr>
            <w:tcW w:w="1472" w:type="dxa"/>
            <w:hideMark/>
          </w:tcPr>
          <w:p w:rsidR="00C106D7" w:rsidRPr="005B0796" w:rsidRDefault="00C106D7" w:rsidP="00874D15">
            <w:pPr>
              <w:pStyle w:val="TableText"/>
              <w:jc w:val="right"/>
            </w:pPr>
            <w:r w:rsidRPr="005B0796">
              <w:t>1675</w:t>
            </w:r>
          </w:p>
        </w:tc>
        <w:tc>
          <w:tcPr>
            <w:tcW w:w="1472" w:type="dxa"/>
            <w:hideMark/>
          </w:tcPr>
          <w:p w:rsidR="00C106D7" w:rsidRPr="005B0796" w:rsidRDefault="00C106D7" w:rsidP="00874D15">
            <w:pPr>
              <w:pStyle w:val="TableText"/>
              <w:jc w:val="right"/>
            </w:pPr>
            <w:r w:rsidRPr="005B0796">
              <w:t>10,902</w:t>
            </w:r>
          </w:p>
        </w:tc>
        <w:tc>
          <w:tcPr>
            <w:tcW w:w="1473" w:type="dxa"/>
            <w:hideMark/>
          </w:tcPr>
          <w:p w:rsidR="00C106D7" w:rsidRPr="005B0796" w:rsidRDefault="00C106D7" w:rsidP="00874D15">
            <w:pPr>
              <w:pStyle w:val="TableText"/>
              <w:jc w:val="right"/>
            </w:pPr>
            <w:r w:rsidRPr="005B0796">
              <w:t>43.3 (42.1, 45.4)</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Reservist</w:t>
            </w:r>
          </w:p>
        </w:tc>
        <w:tc>
          <w:tcPr>
            <w:tcW w:w="1472" w:type="dxa"/>
          </w:tcPr>
          <w:p w:rsidR="00C106D7" w:rsidRPr="005B0796" w:rsidRDefault="00C106D7" w:rsidP="00874D15">
            <w:pPr>
              <w:pStyle w:val="TableText"/>
              <w:jc w:val="right"/>
            </w:pPr>
          </w:p>
        </w:tc>
        <w:tc>
          <w:tcPr>
            <w:tcW w:w="1472" w:type="dxa"/>
          </w:tcPr>
          <w:p w:rsidR="00C106D7" w:rsidRPr="005B0796" w:rsidRDefault="00C106D7" w:rsidP="00874D15">
            <w:pPr>
              <w:pStyle w:val="TableText"/>
              <w:jc w:val="right"/>
            </w:pPr>
          </w:p>
        </w:tc>
        <w:tc>
          <w:tcPr>
            <w:tcW w:w="1473" w:type="dxa"/>
          </w:tcPr>
          <w:p w:rsidR="00C106D7" w:rsidRPr="005B0796" w:rsidRDefault="00C106D7" w:rsidP="00874D15">
            <w:pPr>
              <w:pStyle w:val="TableText"/>
              <w:jc w:val="right"/>
            </w:pPr>
          </w:p>
        </w:tc>
      </w:tr>
      <w:tr w:rsidR="00C106D7" w:rsidRPr="005B0796" w:rsidTr="00874D15">
        <w:trPr>
          <w:trHeight w:val="20"/>
        </w:trPr>
        <w:tc>
          <w:tcPr>
            <w:tcW w:w="2898" w:type="dxa"/>
            <w:hideMark/>
          </w:tcPr>
          <w:p w:rsidR="00C106D7" w:rsidRPr="005B0796" w:rsidRDefault="00C106D7" w:rsidP="00874D15">
            <w:pPr>
              <w:pStyle w:val="TableText"/>
              <w:ind w:left="288"/>
            </w:pPr>
            <w:r w:rsidRPr="005B0796">
              <w:t>Active Reservist</w:t>
            </w:r>
          </w:p>
        </w:tc>
        <w:tc>
          <w:tcPr>
            <w:tcW w:w="1472" w:type="dxa"/>
            <w:hideMark/>
          </w:tcPr>
          <w:p w:rsidR="00C106D7" w:rsidRPr="005B0796" w:rsidRDefault="00C106D7" w:rsidP="00874D15">
            <w:pPr>
              <w:pStyle w:val="TableText"/>
              <w:jc w:val="right"/>
            </w:pPr>
            <w:r w:rsidRPr="005B0796">
              <w:t>1398</w:t>
            </w:r>
          </w:p>
        </w:tc>
        <w:tc>
          <w:tcPr>
            <w:tcW w:w="1472" w:type="dxa"/>
            <w:hideMark/>
          </w:tcPr>
          <w:p w:rsidR="00C106D7" w:rsidRPr="005B0796" w:rsidRDefault="00C106D7" w:rsidP="00874D15">
            <w:pPr>
              <w:pStyle w:val="TableText"/>
              <w:jc w:val="right"/>
            </w:pPr>
            <w:r w:rsidRPr="005B0796">
              <w:t>6398</w:t>
            </w:r>
          </w:p>
        </w:tc>
        <w:tc>
          <w:tcPr>
            <w:tcW w:w="1473" w:type="dxa"/>
            <w:hideMark/>
          </w:tcPr>
          <w:p w:rsidR="00C106D7" w:rsidRPr="005B0796" w:rsidRDefault="00C106D7" w:rsidP="00874D15">
            <w:pPr>
              <w:pStyle w:val="TableText"/>
              <w:jc w:val="right"/>
            </w:pPr>
            <w:r w:rsidRPr="005B0796">
              <w:t>25.7 (24.4, 26.9)</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288"/>
            </w:pPr>
            <w:r w:rsidRPr="005B0796">
              <w:t>Inactive Reservist</w:t>
            </w:r>
          </w:p>
        </w:tc>
        <w:tc>
          <w:tcPr>
            <w:tcW w:w="1472" w:type="dxa"/>
            <w:hideMark/>
          </w:tcPr>
          <w:p w:rsidR="00C106D7" w:rsidRPr="005B0796" w:rsidRDefault="00C106D7" w:rsidP="00874D15">
            <w:pPr>
              <w:pStyle w:val="TableText"/>
              <w:jc w:val="right"/>
            </w:pPr>
            <w:r w:rsidRPr="005B0796">
              <w:t>1232</w:t>
            </w:r>
          </w:p>
        </w:tc>
        <w:tc>
          <w:tcPr>
            <w:tcW w:w="1472" w:type="dxa"/>
            <w:hideMark/>
          </w:tcPr>
          <w:p w:rsidR="00C106D7" w:rsidRPr="005B0796" w:rsidRDefault="00C106D7" w:rsidP="00874D15">
            <w:pPr>
              <w:pStyle w:val="TableText"/>
              <w:jc w:val="right"/>
            </w:pPr>
            <w:r w:rsidRPr="005B0796">
              <w:t>7502</w:t>
            </w:r>
          </w:p>
        </w:tc>
        <w:tc>
          <w:tcPr>
            <w:tcW w:w="1473" w:type="dxa"/>
            <w:hideMark/>
          </w:tcPr>
          <w:p w:rsidR="00C106D7" w:rsidRPr="005B0796" w:rsidRDefault="00C106D7" w:rsidP="00874D15">
            <w:pPr>
              <w:pStyle w:val="TableText"/>
              <w:jc w:val="right"/>
            </w:pPr>
            <w:r w:rsidRPr="005B0796">
              <w:t>30.1 (28.5, 31.8)</w:t>
            </w:r>
          </w:p>
        </w:tc>
      </w:tr>
      <w:tr w:rsidR="00C106D7" w:rsidRPr="005B0796" w:rsidTr="00874D15">
        <w:trPr>
          <w:trHeight w:val="20"/>
        </w:trPr>
        <w:tc>
          <w:tcPr>
            <w:tcW w:w="2898" w:type="dxa"/>
            <w:hideMark/>
          </w:tcPr>
          <w:p w:rsidR="00C106D7" w:rsidRPr="005B0796" w:rsidRDefault="00C106D7" w:rsidP="000B335D">
            <w:pPr>
              <w:pStyle w:val="TableText"/>
              <w:rPr>
                <w:b/>
              </w:rPr>
            </w:pPr>
            <w:r w:rsidRPr="005B0796">
              <w:rPr>
                <w:b/>
              </w:rPr>
              <w:t>Years since transition</w:t>
            </w:r>
          </w:p>
        </w:tc>
        <w:tc>
          <w:tcPr>
            <w:tcW w:w="1472" w:type="dxa"/>
          </w:tcPr>
          <w:p w:rsidR="00C106D7" w:rsidRPr="005B0796" w:rsidRDefault="00C106D7" w:rsidP="00874D15">
            <w:pPr>
              <w:pStyle w:val="TableText"/>
              <w:jc w:val="right"/>
            </w:pPr>
          </w:p>
        </w:tc>
        <w:tc>
          <w:tcPr>
            <w:tcW w:w="1472" w:type="dxa"/>
          </w:tcPr>
          <w:p w:rsidR="00C106D7" w:rsidRPr="005B0796" w:rsidRDefault="00C106D7" w:rsidP="00874D15">
            <w:pPr>
              <w:pStyle w:val="TableText"/>
              <w:jc w:val="right"/>
            </w:pPr>
          </w:p>
        </w:tc>
        <w:tc>
          <w:tcPr>
            <w:tcW w:w="1473" w:type="dxa"/>
          </w:tcPr>
          <w:p w:rsidR="00C106D7" w:rsidRPr="005B0796" w:rsidRDefault="00C106D7" w:rsidP="00874D15">
            <w:pPr>
              <w:pStyle w:val="TableText"/>
              <w:jc w:val="right"/>
            </w:pP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0</w:t>
            </w:r>
          </w:p>
        </w:tc>
        <w:tc>
          <w:tcPr>
            <w:tcW w:w="1472" w:type="dxa"/>
            <w:hideMark/>
          </w:tcPr>
          <w:p w:rsidR="00C106D7" w:rsidRPr="005B0796" w:rsidRDefault="00C106D7" w:rsidP="00874D15">
            <w:pPr>
              <w:pStyle w:val="TableText"/>
              <w:jc w:val="right"/>
            </w:pPr>
            <w:r w:rsidRPr="005B0796">
              <w:t>376</w:t>
            </w:r>
          </w:p>
        </w:tc>
        <w:tc>
          <w:tcPr>
            <w:tcW w:w="1472" w:type="dxa"/>
            <w:hideMark/>
          </w:tcPr>
          <w:p w:rsidR="00C106D7" w:rsidRPr="005B0796" w:rsidRDefault="00C106D7" w:rsidP="00874D15">
            <w:pPr>
              <w:pStyle w:val="TableText"/>
              <w:jc w:val="right"/>
            </w:pPr>
            <w:r w:rsidRPr="005B0796">
              <w:t>1945</w:t>
            </w:r>
          </w:p>
        </w:tc>
        <w:tc>
          <w:tcPr>
            <w:tcW w:w="1473" w:type="dxa"/>
            <w:hideMark/>
          </w:tcPr>
          <w:p w:rsidR="00C106D7" w:rsidRPr="005B0796" w:rsidRDefault="00C106D7" w:rsidP="00874D15">
            <w:pPr>
              <w:pStyle w:val="TableText"/>
              <w:jc w:val="right"/>
            </w:pPr>
            <w:r w:rsidRPr="005B0796">
              <w:t>7.8 (6.9, 8.8)</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1</w:t>
            </w:r>
          </w:p>
        </w:tc>
        <w:tc>
          <w:tcPr>
            <w:tcW w:w="1472" w:type="dxa"/>
            <w:hideMark/>
          </w:tcPr>
          <w:p w:rsidR="00C106D7" w:rsidRPr="005B0796" w:rsidRDefault="00C106D7" w:rsidP="00874D15">
            <w:pPr>
              <w:pStyle w:val="TableText"/>
              <w:jc w:val="right"/>
            </w:pPr>
            <w:r w:rsidRPr="005B0796">
              <w:t>852</w:t>
            </w:r>
          </w:p>
        </w:tc>
        <w:tc>
          <w:tcPr>
            <w:tcW w:w="1472" w:type="dxa"/>
            <w:hideMark/>
          </w:tcPr>
          <w:p w:rsidR="00C106D7" w:rsidRPr="005B0796" w:rsidRDefault="00C106D7" w:rsidP="00874D15">
            <w:pPr>
              <w:pStyle w:val="TableText"/>
              <w:jc w:val="right"/>
            </w:pPr>
            <w:r w:rsidRPr="005B0796">
              <w:t>4874</w:t>
            </w:r>
          </w:p>
        </w:tc>
        <w:tc>
          <w:tcPr>
            <w:tcW w:w="1473" w:type="dxa"/>
            <w:hideMark/>
          </w:tcPr>
          <w:p w:rsidR="00C106D7" w:rsidRPr="005B0796" w:rsidRDefault="00C106D7" w:rsidP="00874D15">
            <w:pPr>
              <w:pStyle w:val="TableText"/>
              <w:jc w:val="right"/>
            </w:pPr>
            <w:r w:rsidRPr="005B0796">
              <w:t>19.6 (18.2, 21.0)</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2</w:t>
            </w:r>
          </w:p>
        </w:tc>
        <w:tc>
          <w:tcPr>
            <w:tcW w:w="1472" w:type="dxa"/>
            <w:hideMark/>
          </w:tcPr>
          <w:p w:rsidR="00C106D7" w:rsidRPr="005B0796" w:rsidRDefault="00C106D7" w:rsidP="00874D15">
            <w:pPr>
              <w:pStyle w:val="TableText"/>
              <w:jc w:val="right"/>
            </w:pPr>
            <w:r w:rsidRPr="005B0796">
              <w:t>810</w:t>
            </w:r>
          </w:p>
        </w:tc>
        <w:tc>
          <w:tcPr>
            <w:tcW w:w="1472" w:type="dxa"/>
            <w:hideMark/>
          </w:tcPr>
          <w:p w:rsidR="00C106D7" w:rsidRPr="005B0796" w:rsidRDefault="00C106D7" w:rsidP="00874D15">
            <w:pPr>
              <w:pStyle w:val="TableText"/>
              <w:jc w:val="right"/>
            </w:pPr>
            <w:r w:rsidRPr="005B0796">
              <w:t>4944</w:t>
            </w:r>
          </w:p>
        </w:tc>
        <w:tc>
          <w:tcPr>
            <w:tcW w:w="1473" w:type="dxa"/>
            <w:hideMark/>
          </w:tcPr>
          <w:p w:rsidR="00C106D7" w:rsidRPr="005B0796" w:rsidRDefault="00C106D7" w:rsidP="00874D15">
            <w:pPr>
              <w:pStyle w:val="TableText"/>
              <w:jc w:val="right"/>
            </w:pPr>
            <w:r w:rsidRPr="005B0796">
              <w:t>19.8 (18.4, 21.3)</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3</w:t>
            </w:r>
          </w:p>
        </w:tc>
        <w:tc>
          <w:tcPr>
            <w:tcW w:w="1472" w:type="dxa"/>
            <w:hideMark/>
          </w:tcPr>
          <w:p w:rsidR="00C106D7" w:rsidRPr="005B0796" w:rsidRDefault="00C106D7" w:rsidP="00874D15">
            <w:pPr>
              <w:pStyle w:val="TableText"/>
              <w:jc w:val="right"/>
            </w:pPr>
            <w:r w:rsidRPr="005B0796">
              <w:t>876</w:t>
            </w:r>
          </w:p>
        </w:tc>
        <w:tc>
          <w:tcPr>
            <w:tcW w:w="1472" w:type="dxa"/>
            <w:hideMark/>
          </w:tcPr>
          <w:p w:rsidR="00C106D7" w:rsidRPr="005B0796" w:rsidRDefault="00C106D7" w:rsidP="00874D15">
            <w:pPr>
              <w:pStyle w:val="TableText"/>
              <w:jc w:val="right"/>
            </w:pPr>
            <w:r w:rsidRPr="005B0796">
              <w:t>5233</w:t>
            </w:r>
          </w:p>
        </w:tc>
        <w:tc>
          <w:tcPr>
            <w:tcW w:w="1473" w:type="dxa"/>
            <w:hideMark/>
          </w:tcPr>
          <w:p w:rsidR="00C106D7" w:rsidRPr="005B0796" w:rsidRDefault="00C106D7" w:rsidP="00874D15">
            <w:pPr>
              <w:pStyle w:val="TableText"/>
              <w:jc w:val="right"/>
            </w:pPr>
            <w:r w:rsidRPr="005B0796">
              <w:t>20.9 (19.5, 22.5)</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4</w:t>
            </w:r>
          </w:p>
        </w:tc>
        <w:tc>
          <w:tcPr>
            <w:tcW w:w="1472" w:type="dxa"/>
            <w:hideMark/>
          </w:tcPr>
          <w:p w:rsidR="00C106D7" w:rsidRPr="005B0796" w:rsidRDefault="00C106D7" w:rsidP="00874D15">
            <w:pPr>
              <w:pStyle w:val="TableText"/>
              <w:jc w:val="right"/>
            </w:pPr>
            <w:r w:rsidRPr="005B0796">
              <w:t>663</w:t>
            </w:r>
          </w:p>
        </w:tc>
        <w:tc>
          <w:tcPr>
            <w:tcW w:w="1472" w:type="dxa"/>
            <w:hideMark/>
          </w:tcPr>
          <w:p w:rsidR="00C106D7" w:rsidRPr="005B0796" w:rsidRDefault="00C106D7" w:rsidP="00874D15">
            <w:pPr>
              <w:pStyle w:val="TableText"/>
              <w:jc w:val="right"/>
            </w:pPr>
            <w:r w:rsidRPr="005B0796">
              <w:t>3582</w:t>
            </w:r>
          </w:p>
        </w:tc>
        <w:tc>
          <w:tcPr>
            <w:tcW w:w="1473" w:type="dxa"/>
            <w:hideMark/>
          </w:tcPr>
          <w:p w:rsidR="00C106D7" w:rsidRPr="005B0796" w:rsidRDefault="00C106D7" w:rsidP="00874D15">
            <w:pPr>
              <w:pStyle w:val="TableText"/>
              <w:jc w:val="right"/>
            </w:pPr>
            <w:r w:rsidRPr="005B0796">
              <w:t>14.4 (13.2, 15.6)</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5+</w:t>
            </w:r>
          </w:p>
        </w:tc>
        <w:tc>
          <w:tcPr>
            <w:tcW w:w="1472" w:type="dxa"/>
            <w:hideMark/>
          </w:tcPr>
          <w:p w:rsidR="00C106D7" w:rsidRPr="005B0796" w:rsidRDefault="00C106D7" w:rsidP="00874D15">
            <w:pPr>
              <w:pStyle w:val="TableText"/>
              <w:jc w:val="right"/>
            </w:pPr>
            <w:r w:rsidRPr="005B0796">
              <w:t>503</w:t>
            </w:r>
          </w:p>
        </w:tc>
        <w:tc>
          <w:tcPr>
            <w:tcW w:w="1472" w:type="dxa"/>
            <w:hideMark/>
          </w:tcPr>
          <w:p w:rsidR="00C106D7" w:rsidRPr="005B0796" w:rsidRDefault="00C106D7" w:rsidP="00874D15">
            <w:pPr>
              <w:pStyle w:val="TableText"/>
              <w:jc w:val="right"/>
            </w:pPr>
            <w:r w:rsidRPr="005B0796">
              <w:t>2785</w:t>
            </w:r>
          </w:p>
        </w:tc>
        <w:tc>
          <w:tcPr>
            <w:tcW w:w="1473" w:type="dxa"/>
            <w:hideMark/>
          </w:tcPr>
          <w:p w:rsidR="00C106D7" w:rsidRPr="005B0796" w:rsidRDefault="00C106D7" w:rsidP="00874D15">
            <w:pPr>
              <w:pStyle w:val="TableText"/>
              <w:jc w:val="right"/>
            </w:pPr>
            <w:r w:rsidRPr="005B0796">
              <w:t>11.2 (10.1, 12.3)</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0B335D">
            <w:pPr>
              <w:pStyle w:val="TableText"/>
              <w:rPr>
                <w:b/>
              </w:rPr>
            </w:pPr>
            <w:r w:rsidRPr="005B0796">
              <w:rPr>
                <w:b/>
              </w:rPr>
              <w:t>Type of discharge/resignation</w:t>
            </w:r>
          </w:p>
        </w:tc>
        <w:tc>
          <w:tcPr>
            <w:tcW w:w="1472" w:type="dxa"/>
          </w:tcPr>
          <w:p w:rsidR="00C106D7" w:rsidRPr="005B0796" w:rsidRDefault="00C106D7" w:rsidP="00874D15">
            <w:pPr>
              <w:pStyle w:val="TableText"/>
              <w:jc w:val="right"/>
            </w:pPr>
          </w:p>
        </w:tc>
        <w:tc>
          <w:tcPr>
            <w:tcW w:w="1472" w:type="dxa"/>
          </w:tcPr>
          <w:p w:rsidR="00C106D7" w:rsidRPr="005B0796" w:rsidRDefault="00C106D7" w:rsidP="00874D15">
            <w:pPr>
              <w:pStyle w:val="TableText"/>
              <w:jc w:val="right"/>
            </w:pPr>
          </w:p>
        </w:tc>
        <w:tc>
          <w:tcPr>
            <w:tcW w:w="1473" w:type="dxa"/>
          </w:tcPr>
          <w:p w:rsidR="00C106D7" w:rsidRPr="005B0796" w:rsidRDefault="00C106D7" w:rsidP="00874D15">
            <w:pPr>
              <w:pStyle w:val="TableText"/>
              <w:jc w:val="right"/>
            </w:pP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Compulsory age</w:t>
            </w:r>
          </w:p>
        </w:tc>
        <w:tc>
          <w:tcPr>
            <w:tcW w:w="1472" w:type="dxa"/>
            <w:hideMark/>
          </w:tcPr>
          <w:p w:rsidR="00C106D7" w:rsidRPr="005B0796" w:rsidRDefault="00C106D7" w:rsidP="00874D15">
            <w:pPr>
              <w:pStyle w:val="TableText"/>
              <w:jc w:val="right"/>
            </w:pPr>
            <w:r w:rsidRPr="005B0796">
              <w:t>177</w:t>
            </w:r>
          </w:p>
        </w:tc>
        <w:tc>
          <w:tcPr>
            <w:tcW w:w="1472" w:type="dxa"/>
            <w:hideMark/>
          </w:tcPr>
          <w:p w:rsidR="00C106D7" w:rsidRPr="005B0796" w:rsidRDefault="00C106D7" w:rsidP="00874D15">
            <w:pPr>
              <w:pStyle w:val="TableText"/>
              <w:jc w:val="right"/>
            </w:pPr>
            <w:r w:rsidRPr="005B0796">
              <w:t>612</w:t>
            </w:r>
          </w:p>
        </w:tc>
        <w:tc>
          <w:tcPr>
            <w:tcW w:w="1473" w:type="dxa"/>
            <w:hideMark/>
          </w:tcPr>
          <w:p w:rsidR="00C106D7" w:rsidRPr="005B0796" w:rsidRDefault="00C106D7" w:rsidP="00874D15">
            <w:pPr>
              <w:pStyle w:val="TableText"/>
              <w:jc w:val="right"/>
            </w:pPr>
            <w:r w:rsidRPr="005B0796">
              <w:t>2.5 (2.2, 2.8)</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Own request</w:t>
            </w:r>
          </w:p>
        </w:tc>
        <w:tc>
          <w:tcPr>
            <w:tcW w:w="1472" w:type="dxa"/>
            <w:hideMark/>
          </w:tcPr>
          <w:p w:rsidR="00C106D7" w:rsidRPr="005B0796" w:rsidRDefault="00C106D7" w:rsidP="00874D15">
            <w:pPr>
              <w:pStyle w:val="TableText"/>
              <w:jc w:val="right"/>
            </w:pPr>
            <w:r w:rsidRPr="005B0796">
              <w:t>2408</w:t>
            </w:r>
          </w:p>
        </w:tc>
        <w:tc>
          <w:tcPr>
            <w:tcW w:w="1472" w:type="dxa"/>
            <w:hideMark/>
          </w:tcPr>
          <w:p w:rsidR="00C106D7" w:rsidRPr="005B0796" w:rsidRDefault="00C106D7" w:rsidP="00874D15">
            <w:pPr>
              <w:pStyle w:val="TableText"/>
              <w:jc w:val="right"/>
            </w:pPr>
            <w:r w:rsidRPr="005B0796">
              <w:t>13,383</w:t>
            </w:r>
          </w:p>
        </w:tc>
        <w:tc>
          <w:tcPr>
            <w:tcW w:w="1473" w:type="dxa"/>
            <w:hideMark/>
          </w:tcPr>
          <w:p w:rsidR="00C106D7" w:rsidRPr="005B0796" w:rsidRDefault="00C106D7" w:rsidP="00874D15">
            <w:pPr>
              <w:pStyle w:val="TableText"/>
              <w:jc w:val="right"/>
            </w:pPr>
            <w:r w:rsidRPr="005B0796">
              <w:t>53.7 (52.0, 55.3)</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Unsuitable for further training</w:t>
            </w:r>
          </w:p>
        </w:tc>
        <w:tc>
          <w:tcPr>
            <w:tcW w:w="1472" w:type="dxa"/>
            <w:hideMark/>
          </w:tcPr>
          <w:p w:rsidR="00C106D7" w:rsidRPr="005B0796" w:rsidRDefault="00C106D7" w:rsidP="00874D15">
            <w:pPr>
              <w:pStyle w:val="TableText"/>
              <w:jc w:val="right"/>
            </w:pPr>
            <w:r w:rsidRPr="005B0796">
              <w:t>45</w:t>
            </w:r>
          </w:p>
        </w:tc>
        <w:tc>
          <w:tcPr>
            <w:tcW w:w="1472" w:type="dxa"/>
            <w:hideMark/>
          </w:tcPr>
          <w:p w:rsidR="00C106D7" w:rsidRPr="005B0796" w:rsidRDefault="00C106D7" w:rsidP="00874D15">
            <w:pPr>
              <w:pStyle w:val="TableText"/>
              <w:jc w:val="right"/>
            </w:pPr>
            <w:r w:rsidRPr="005B0796">
              <w:t>485</w:t>
            </w:r>
          </w:p>
        </w:tc>
        <w:tc>
          <w:tcPr>
            <w:tcW w:w="1473" w:type="dxa"/>
            <w:hideMark/>
          </w:tcPr>
          <w:p w:rsidR="00C106D7" w:rsidRPr="005B0796" w:rsidRDefault="00C106D7" w:rsidP="00874D15">
            <w:pPr>
              <w:pStyle w:val="TableText"/>
              <w:jc w:val="right"/>
            </w:pPr>
            <w:r w:rsidRPr="005B0796">
              <w:t>1.9 (1.4, 2.7)</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End of fixed period</w:t>
            </w:r>
          </w:p>
        </w:tc>
        <w:tc>
          <w:tcPr>
            <w:tcW w:w="1472" w:type="dxa"/>
            <w:hideMark/>
          </w:tcPr>
          <w:p w:rsidR="00C106D7" w:rsidRPr="005B0796" w:rsidRDefault="00C106D7" w:rsidP="00874D15">
            <w:pPr>
              <w:pStyle w:val="TableText"/>
              <w:jc w:val="right"/>
            </w:pPr>
            <w:r w:rsidRPr="005B0796">
              <w:t>80</w:t>
            </w:r>
          </w:p>
        </w:tc>
        <w:tc>
          <w:tcPr>
            <w:tcW w:w="1472" w:type="dxa"/>
            <w:hideMark/>
          </w:tcPr>
          <w:p w:rsidR="00C106D7" w:rsidRPr="005B0796" w:rsidRDefault="00C106D7" w:rsidP="00874D15">
            <w:pPr>
              <w:pStyle w:val="TableText"/>
              <w:jc w:val="right"/>
            </w:pPr>
            <w:r w:rsidRPr="005B0796">
              <w:t>532</w:t>
            </w:r>
          </w:p>
        </w:tc>
        <w:tc>
          <w:tcPr>
            <w:tcW w:w="1473" w:type="dxa"/>
            <w:hideMark/>
          </w:tcPr>
          <w:p w:rsidR="00C106D7" w:rsidRPr="005B0796" w:rsidRDefault="00C106D7" w:rsidP="00874D15">
            <w:pPr>
              <w:pStyle w:val="TableText"/>
              <w:jc w:val="right"/>
            </w:pPr>
            <w:r w:rsidRPr="005B0796">
              <w:t>2.1 (1.6, 2.8)</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End of initial enlistment period/return of service obligation</w:t>
            </w:r>
          </w:p>
        </w:tc>
        <w:tc>
          <w:tcPr>
            <w:tcW w:w="1472" w:type="dxa"/>
            <w:hideMark/>
          </w:tcPr>
          <w:p w:rsidR="00C106D7" w:rsidRPr="005B0796" w:rsidRDefault="00C106D7" w:rsidP="00874D15">
            <w:pPr>
              <w:pStyle w:val="TableText"/>
              <w:jc w:val="right"/>
            </w:pPr>
            <w:r w:rsidRPr="005B0796">
              <w:t>113</w:t>
            </w:r>
          </w:p>
        </w:tc>
        <w:tc>
          <w:tcPr>
            <w:tcW w:w="1472" w:type="dxa"/>
            <w:hideMark/>
          </w:tcPr>
          <w:p w:rsidR="00C106D7" w:rsidRPr="005B0796" w:rsidRDefault="00C106D7" w:rsidP="00874D15">
            <w:pPr>
              <w:pStyle w:val="TableText"/>
              <w:jc w:val="right"/>
            </w:pPr>
            <w:r w:rsidRPr="005B0796">
              <w:t>1293</w:t>
            </w:r>
          </w:p>
        </w:tc>
        <w:tc>
          <w:tcPr>
            <w:tcW w:w="1473" w:type="dxa"/>
            <w:hideMark/>
          </w:tcPr>
          <w:p w:rsidR="00C106D7" w:rsidRPr="005B0796" w:rsidRDefault="00C106D7" w:rsidP="00874D15">
            <w:pPr>
              <w:pStyle w:val="TableText"/>
              <w:jc w:val="right"/>
            </w:pPr>
            <w:r w:rsidRPr="005B0796">
              <w:t>5.2 (4.3, 6.3)</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Limited tenured appointment (Officers)</w:t>
            </w:r>
          </w:p>
        </w:tc>
        <w:tc>
          <w:tcPr>
            <w:tcW w:w="1472" w:type="dxa"/>
            <w:hideMark/>
          </w:tcPr>
          <w:p w:rsidR="00C106D7" w:rsidRPr="005B0796" w:rsidRDefault="00C106D7" w:rsidP="00874D15">
            <w:pPr>
              <w:pStyle w:val="TableText"/>
              <w:jc w:val="right"/>
            </w:pPr>
            <w:r w:rsidRPr="005B0796">
              <w:t>22</w:t>
            </w:r>
          </w:p>
        </w:tc>
        <w:tc>
          <w:tcPr>
            <w:tcW w:w="1472" w:type="dxa"/>
            <w:hideMark/>
          </w:tcPr>
          <w:p w:rsidR="00C106D7" w:rsidRPr="005B0796" w:rsidRDefault="00C106D7" w:rsidP="00874D15">
            <w:pPr>
              <w:pStyle w:val="TableText"/>
              <w:jc w:val="right"/>
            </w:pPr>
            <w:r w:rsidRPr="005B0796">
              <w:t>85</w:t>
            </w:r>
          </w:p>
        </w:tc>
        <w:tc>
          <w:tcPr>
            <w:tcW w:w="1473" w:type="dxa"/>
            <w:hideMark/>
          </w:tcPr>
          <w:p w:rsidR="00C106D7" w:rsidRPr="005B0796" w:rsidRDefault="00C106D7" w:rsidP="00874D15">
            <w:pPr>
              <w:pStyle w:val="TableText"/>
              <w:jc w:val="right"/>
            </w:pPr>
            <w:r w:rsidRPr="005B0796">
              <w:t>0.3 (0.2, 0.6)</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Not offered re-engagement</w:t>
            </w:r>
          </w:p>
        </w:tc>
        <w:tc>
          <w:tcPr>
            <w:tcW w:w="1472" w:type="dxa"/>
            <w:hideMark/>
          </w:tcPr>
          <w:p w:rsidR="00C106D7" w:rsidRPr="005B0796" w:rsidRDefault="00C106D7" w:rsidP="00874D15">
            <w:pPr>
              <w:pStyle w:val="TableText"/>
              <w:jc w:val="right"/>
            </w:pPr>
            <w:r w:rsidRPr="005B0796">
              <w:t>9</w:t>
            </w:r>
          </w:p>
        </w:tc>
        <w:tc>
          <w:tcPr>
            <w:tcW w:w="1472" w:type="dxa"/>
            <w:hideMark/>
          </w:tcPr>
          <w:p w:rsidR="00C106D7" w:rsidRPr="005B0796" w:rsidRDefault="00C106D7" w:rsidP="00874D15">
            <w:pPr>
              <w:pStyle w:val="TableText"/>
              <w:jc w:val="right"/>
            </w:pPr>
            <w:r w:rsidRPr="005B0796">
              <w:t>83</w:t>
            </w:r>
          </w:p>
        </w:tc>
        <w:tc>
          <w:tcPr>
            <w:tcW w:w="1473" w:type="dxa"/>
            <w:hideMark/>
          </w:tcPr>
          <w:p w:rsidR="00C106D7" w:rsidRPr="005B0796" w:rsidRDefault="00C106D7" w:rsidP="00874D15">
            <w:pPr>
              <w:pStyle w:val="TableText"/>
              <w:jc w:val="right"/>
            </w:pPr>
            <w:r w:rsidRPr="005B0796">
              <w:t>0.3 (0.2, 0.7)</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Accepted voluntary redundancy</w:t>
            </w:r>
          </w:p>
        </w:tc>
        <w:tc>
          <w:tcPr>
            <w:tcW w:w="1472" w:type="dxa"/>
            <w:hideMark/>
          </w:tcPr>
          <w:p w:rsidR="00C106D7" w:rsidRPr="005B0796" w:rsidRDefault="00C106D7" w:rsidP="00874D15">
            <w:pPr>
              <w:pStyle w:val="TableText"/>
              <w:jc w:val="right"/>
            </w:pPr>
            <w:r w:rsidRPr="005B0796">
              <w:t>150</w:t>
            </w:r>
          </w:p>
        </w:tc>
        <w:tc>
          <w:tcPr>
            <w:tcW w:w="1472" w:type="dxa"/>
            <w:hideMark/>
          </w:tcPr>
          <w:p w:rsidR="00C106D7" w:rsidRPr="005B0796" w:rsidRDefault="00C106D7" w:rsidP="00874D15">
            <w:pPr>
              <w:pStyle w:val="TableText"/>
              <w:jc w:val="right"/>
            </w:pPr>
            <w:r w:rsidRPr="005B0796">
              <w:t>533</w:t>
            </w:r>
          </w:p>
        </w:tc>
        <w:tc>
          <w:tcPr>
            <w:tcW w:w="1473" w:type="dxa"/>
            <w:hideMark/>
          </w:tcPr>
          <w:p w:rsidR="00C106D7" w:rsidRPr="005B0796" w:rsidRDefault="00C106D7" w:rsidP="00874D15">
            <w:pPr>
              <w:pStyle w:val="TableText"/>
              <w:jc w:val="right"/>
            </w:pPr>
            <w:r w:rsidRPr="005B0796">
              <w:t>2.1 (1.9, 2.5)</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Compassionate grounds</w:t>
            </w:r>
          </w:p>
        </w:tc>
        <w:tc>
          <w:tcPr>
            <w:tcW w:w="1472" w:type="dxa"/>
            <w:hideMark/>
          </w:tcPr>
          <w:p w:rsidR="00C106D7" w:rsidRPr="005B0796" w:rsidRDefault="00C106D7" w:rsidP="00874D15">
            <w:pPr>
              <w:pStyle w:val="TableText"/>
              <w:jc w:val="right"/>
            </w:pPr>
            <w:r w:rsidRPr="005B0796">
              <w:t>26</w:t>
            </w:r>
          </w:p>
        </w:tc>
        <w:tc>
          <w:tcPr>
            <w:tcW w:w="1472" w:type="dxa"/>
            <w:hideMark/>
          </w:tcPr>
          <w:p w:rsidR="00C106D7" w:rsidRPr="005B0796" w:rsidRDefault="00C106D7" w:rsidP="00874D15">
            <w:pPr>
              <w:pStyle w:val="TableText"/>
              <w:jc w:val="right"/>
            </w:pPr>
            <w:r w:rsidRPr="005B0796">
              <w:t>150</w:t>
            </w:r>
          </w:p>
        </w:tc>
        <w:tc>
          <w:tcPr>
            <w:tcW w:w="1473" w:type="dxa"/>
            <w:hideMark/>
          </w:tcPr>
          <w:p w:rsidR="00C106D7" w:rsidRPr="005B0796" w:rsidRDefault="00C106D7" w:rsidP="00874D15">
            <w:pPr>
              <w:pStyle w:val="TableText"/>
              <w:jc w:val="right"/>
            </w:pPr>
            <w:r w:rsidRPr="005B0796">
              <w:t>0.6 (0.4, 0.9)</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Non-voluntary discharge – administrative</w:t>
            </w:r>
          </w:p>
        </w:tc>
        <w:tc>
          <w:tcPr>
            <w:tcW w:w="1472" w:type="dxa"/>
            <w:hideMark/>
          </w:tcPr>
          <w:p w:rsidR="00C106D7" w:rsidRPr="005B0796" w:rsidRDefault="00C106D7" w:rsidP="00874D15">
            <w:pPr>
              <w:pStyle w:val="TableText"/>
              <w:jc w:val="right"/>
            </w:pPr>
            <w:r w:rsidRPr="005B0796">
              <w:t>77</w:t>
            </w:r>
          </w:p>
        </w:tc>
        <w:tc>
          <w:tcPr>
            <w:tcW w:w="1472" w:type="dxa"/>
            <w:hideMark/>
          </w:tcPr>
          <w:p w:rsidR="00C106D7" w:rsidRPr="005B0796" w:rsidRDefault="00C106D7" w:rsidP="00874D15">
            <w:pPr>
              <w:pStyle w:val="TableText"/>
              <w:jc w:val="right"/>
            </w:pPr>
            <w:r w:rsidRPr="005B0796">
              <w:t>757</w:t>
            </w:r>
          </w:p>
        </w:tc>
        <w:tc>
          <w:tcPr>
            <w:tcW w:w="1473" w:type="dxa"/>
            <w:hideMark/>
          </w:tcPr>
          <w:p w:rsidR="00C106D7" w:rsidRPr="005B0796" w:rsidRDefault="00C106D7" w:rsidP="00874D15">
            <w:pPr>
              <w:pStyle w:val="TableText"/>
              <w:jc w:val="right"/>
            </w:pPr>
            <w:r w:rsidRPr="005B0796">
              <w:t>3.0 (2.4, 3.9)</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t>Medical discharge</w:t>
            </w:r>
          </w:p>
        </w:tc>
        <w:tc>
          <w:tcPr>
            <w:tcW w:w="1472" w:type="dxa"/>
            <w:hideMark/>
          </w:tcPr>
          <w:p w:rsidR="00C106D7" w:rsidRPr="005B0796" w:rsidRDefault="00C106D7" w:rsidP="00874D15">
            <w:pPr>
              <w:pStyle w:val="TableText"/>
              <w:jc w:val="right"/>
            </w:pPr>
            <w:r w:rsidRPr="005B0796">
              <w:t>911</w:t>
            </w:r>
          </w:p>
        </w:tc>
        <w:tc>
          <w:tcPr>
            <w:tcW w:w="1472" w:type="dxa"/>
            <w:hideMark/>
          </w:tcPr>
          <w:p w:rsidR="00C106D7" w:rsidRPr="005B0796" w:rsidRDefault="00C106D7" w:rsidP="00874D15">
            <w:pPr>
              <w:pStyle w:val="TableText"/>
              <w:jc w:val="right"/>
            </w:pPr>
            <w:r w:rsidRPr="005B0796">
              <w:t>5082</w:t>
            </w:r>
          </w:p>
        </w:tc>
        <w:tc>
          <w:tcPr>
            <w:tcW w:w="1473" w:type="dxa"/>
            <w:hideMark/>
          </w:tcPr>
          <w:p w:rsidR="00C106D7" w:rsidRPr="005B0796" w:rsidRDefault="00C106D7" w:rsidP="00874D15">
            <w:pPr>
              <w:pStyle w:val="TableText"/>
              <w:jc w:val="right"/>
            </w:pPr>
            <w:r w:rsidRPr="005B0796">
              <w:t>20.4 (19.4, 21.4)</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t>Other</w:t>
            </w:r>
          </w:p>
        </w:tc>
        <w:tc>
          <w:tcPr>
            <w:tcW w:w="1472" w:type="dxa"/>
            <w:hideMark/>
          </w:tcPr>
          <w:p w:rsidR="00C106D7" w:rsidRPr="005B0796" w:rsidRDefault="00C106D7" w:rsidP="00874D15">
            <w:pPr>
              <w:pStyle w:val="TableText"/>
              <w:jc w:val="right"/>
            </w:pPr>
            <w:r w:rsidRPr="005B0796">
              <w:t>208</w:t>
            </w:r>
          </w:p>
        </w:tc>
        <w:tc>
          <w:tcPr>
            <w:tcW w:w="1472" w:type="dxa"/>
            <w:hideMark/>
          </w:tcPr>
          <w:p w:rsidR="00C106D7" w:rsidRPr="005B0796" w:rsidRDefault="00C106D7" w:rsidP="00874D15">
            <w:pPr>
              <w:pStyle w:val="TableText"/>
              <w:jc w:val="right"/>
            </w:pPr>
            <w:r w:rsidRPr="005B0796">
              <w:t>1242</w:t>
            </w:r>
          </w:p>
        </w:tc>
        <w:tc>
          <w:tcPr>
            <w:tcW w:w="1473" w:type="dxa"/>
            <w:hideMark/>
          </w:tcPr>
          <w:p w:rsidR="00C106D7" w:rsidRPr="005B0796" w:rsidRDefault="00C106D7" w:rsidP="00874D15">
            <w:pPr>
              <w:pStyle w:val="TableText"/>
              <w:jc w:val="right"/>
            </w:pPr>
            <w:r w:rsidRPr="005B0796">
              <w:t>4.9 (4.2, 5.9)</w:t>
            </w:r>
          </w:p>
        </w:tc>
      </w:tr>
      <w:tr w:rsidR="00C106D7" w:rsidRPr="005B0796" w:rsidTr="00874D15">
        <w:trPr>
          <w:trHeight w:val="20"/>
        </w:trPr>
        <w:tc>
          <w:tcPr>
            <w:tcW w:w="2898" w:type="dxa"/>
            <w:hideMark/>
          </w:tcPr>
          <w:p w:rsidR="00C106D7" w:rsidRPr="005B0796" w:rsidRDefault="00C106D7" w:rsidP="000B335D">
            <w:pPr>
              <w:pStyle w:val="TableText"/>
              <w:rPr>
                <w:b/>
              </w:rPr>
            </w:pPr>
            <w:r w:rsidRPr="005B0796">
              <w:rPr>
                <w:b/>
              </w:rPr>
              <w:t>Main reason for transition</w:t>
            </w:r>
          </w:p>
        </w:tc>
        <w:tc>
          <w:tcPr>
            <w:tcW w:w="1472" w:type="dxa"/>
          </w:tcPr>
          <w:p w:rsidR="00C106D7" w:rsidRPr="005B0796" w:rsidRDefault="00C106D7" w:rsidP="00874D15">
            <w:pPr>
              <w:pStyle w:val="TableText"/>
              <w:jc w:val="right"/>
            </w:pPr>
          </w:p>
        </w:tc>
        <w:tc>
          <w:tcPr>
            <w:tcW w:w="1472" w:type="dxa"/>
          </w:tcPr>
          <w:p w:rsidR="00C106D7" w:rsidRPr="005B0796" w:rsidRDefault="00C106D7" w:rsidP="00874D15">
            <w:pPr>
              <w:pStyle w:val="TableText"/>
              <w:jc w:val="right"/>
            </w:pPr>
          </w:p>
        </w:tc>
        <w:tc>
          <w:tcPr>
            <w:tcW w:w="1473" w:type="dxa"/>
          </w:tcPr>
          <w:p w:rsidR="00C106D7" w:rsidRPr="005B0796" w:rsidRDefault="00C106D7" w:rsidP="00874D15">
            <w:pPr>
              <w:pStyle w:val="TableText"/>
              <w:jc w:val="right"/>
            </w:pP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Better employment prospects in civilian life</w:t>
            </w:r>
          </w:p>
        </w:tc>
        <w:tc>
          <w:tcPr>
            <w:tcW w:w="1472" w:type="dxa"/>
            <w:hideMark/>
          </w:tcPr>
          <w:p w:rsidR="00C106D7" w:rsidRPr="005B0796" w:rsidRDefault="00C106D7" w:rsidP="00874D15">
            <w:pPr>
              <w:pStyle w:val="TableText"/>
              <w:jc w:val="right"/>
            </w:pPr>
            <w:r w:rsidRPr="005B0796">
              <w:t>285</w:t>
            </w:r>
          </w:p>
        </w:tc>
        <w:tc>
          <w:tcPr>
            <w:tcW w:w="1472" w:type="dxa"/>
            <w:hideMark/>
          </w:tcPr>
          <w:p w:rsidR="00C106D7" w:rsidRPr="005B0796" w:rsidRDefault="00C106D7" w:rsidP="00874D15">
            <w:pPr>
              <w:pStyle w:val="TableText"/>
              <w:jc w:val="right"/>
            </w:pPr>
            <w:r w:rsidRPr="005B0796">
              <w:t>1800</w:t>
            </w:r>
          </w:p>
        </w:tc>
        <w:tc>
          <w:tcPr>
            <w:tcW w:w="1473" w:type="dxa"/>
            <w:hideMark/>
          </w:tcPr>
          <w:p w:rsidR="00C106D7" w:rsidRPr="005B0796" w:rsidRDefault="00C106D7" w:rsidP="00874D15">
            <w:pPr>
              <w:pStyle w:val="TableText"/>
              <w:jc w:val="right"/>
            </w:pPr>
            <w:r w:rsidRPr="005B0796">
              <w:t>7.2 (6.3, 8.3)</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Lack of promotion prospects</w:t>
            </w:r>
          </w:p>
        </w:tc>
        <w:tc>
          <w:tcPr>
            <w:tcW w:w="1472" w:type="dxa"/>
            <w:hideMark/>
          </w:tcPr>
          <w:p w:rsidR="00C106D7" w:rsidRPr="005B0796" w:rsidRDefault="00C106D7" w:rsidP="00874D15">
            <w:pPr>
              <w:pStyle w:val="TableText"/>
              <w:jc w:val="right"/>
            </w:pPr>
            <w:r w:rsidRPr="005B0796">
              <w:t>127</w:t>
            </w:r>
          </w:p>
        </w:tc>
        <w:tc>
          <w:tcPr>
            <w:tcW w:w="1472" w:type="dxa"/>
            <w:hideMark/>
          </w:tcPr>
          <w:p w:rsidR="00C106D7" w:rsidRPr="005B0796" w:rsidRDefault="00C106D7" w:rsidP="00874D15">
            <w:pPr>
              <w:pStyle w:val="TableText"/>
              <w:jc w:val="right"/>
            </w:pPr>
            <w:r w:rsidRPr="005B0796">
              <w:t>688</w:t>
            </w:r>
          </w:p>
        </w:tc>
        <w:tc>
          <w:tcPr>
            <w:tcW w:w="1473" w:type="dxa"/>
            <w:hideMark/>
          </w:tcPr>
          <w:p w:rsidR="00C106D7" w:rsidRPr="005B0796" w:rsidRDefault="00C106D7" w:rsidP="00874D15">
            <w:pPr>
              <w:pStyle w:val="TableText"/>
              <w:jc w:val="right"/>
            </w:pPr>
            <w:r w:rsidRPr="005B0796">
              <w:t>2.8 (2.2, 3.4)</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Inability to plan life outside of work</w:t>
            </w:r>
          </w:p>
        </w:tc>
        <w:tc>
          <w:tcPr>
            <w:tcW w:w="1472" w:type="dxa"/>
            <w:hideMark/>
          </w:tcPr>
          <w:p w:rsidR="00C106D7" w:rsidRPr="005B0796" w:rsidRDefault="00C106D7" w:rsidP="00874D15">
            <w:pPr>
              <w:pStyle w:val="TableText"/>
              <w:jc w:val="right"/>
            </w:pPr>
            <w:r w:rsidRPr="005B0796">
              <w:t>82</w:t>
            </w:r>
          </w:p>
        </w:tc>
        <w:tc>
          <w:tcPr>
            <w:tcW w:w="1472" w:type="dxa"/>
            <w:hideMark/>
          </w:tcPr>
          <w:p w:rsidR="00C106D7" w:rsidRPr="005B0796" w:rsidRDefault="00C106D7" w:rsidP="00874D15">
            <w:pPr>
              <w:pStyle w:val="TableText"/>
              <w:jc w:val="right"/>
            </w:pPr>
            <w:r w:rsidRPr="005B0796">
              <w:t>646</w:t>
            </w:r>
          </w:p>
        </w:tc>
        <w:tc>
          <w:tcPr>
            <w:tcW w:w="1473" w:type="dxa"/>
            <w:hideMark/>
          </w:tcPr>
          <w:p w:rsidR="00C106D7" w:rsidRPr="005B0796" w:rsidRDefault="00C106D7" w:rsidP="00874D15">
            <w:pPr>
              <w:pStyle w:val="TableText"/>
              <w:jc w:val="right"/>
            </w:pPr>
            <w:r w:rsidRPr="005B0796">
              <w:t>2.6 (2.0, 3.3)</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Impact of service life on family</w:t>
            </w:r>
          </w:p>
        </w:tc>
        <w:tc>
          <w:tcPr>
            <w:tcW w:w="1472" w:type="dxa"/>
            <w:hideMark/>
          </w:tcPr>
          <w:p w:rsidR="00C106D7" w:rsidRPr="005B0796" w:rsidRDefault="00C106D7" w:rsidP="00874D15">
            <w:pPr>
              <w:pStyle w:val="TableText"/>
              <w:jc w:val="right"/>
            </w:pPr>
            <w:r w:rsidRPr="005B0796">
              <w:t>457</w:t>
            </w:r>
          </w:p>
        </w:tc>
        <w:tc>
          <w:tcPr>
            <w:tcW w:w="1472" w:type="dxa"/>
            <w:hideMark/>
          </w:tcPr>
          <w:p w:rsidR="00C106D7" w:rsidRPr="005B0796" w:rsidRDefault="00C106D7" w:rsidP="00874D15">
            <w:pPr>
              <w:pStyle w:val="TableText"/>
              <w:jc w:val="right"/>
            </w:pPr>
            <w:r w:rsidRPr="005B0796">
              <w:t>2546</w:t>
            </w:r>
          </w:p>
        </w:tc>
        <w:tc>
          <w:tcPr>
            <w:tcW w:w="1473" w:type="dxa"/>
            <w:hideMark/>
          </w:tcPr>
          <w:p w:rsidR="00C106D7" w:rsidRPr="005B0796" w:rsidRDefault="00C106D7" w:rsidP="00874D15">
            <w:pPr>
              <w:pStyle w:val="TableText"/>
              <w:jc w:val="right"/>
            </w:pPr>
            <w:r w:rsidRPr="005B0796">
              <w:t>10.2 (9.2, 11.3)</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Pressure from family</w:t>
            </w:r>
          </w:p>
        </w:tc>
        <w:tc>
          <w:tcPr>
            <w:tcW w:w="1472" w:type="dxa"/>
            <w:hideMark/>
          </w:tcPr>
          <w:p w:rsidR="00C106D7" w:rsidRPr="005B0796" w:rsidRDefault="00C106D7" w:rsidP="00874D15">
            <w:pPr>
              <w:pStyle w:val="TableText"/>
              <w:jc w:val="right"/>
            </w:pPr>
            <w:r w:rsidRPr="005B0796">
              <w:t>46</w:t>
            </w:r>
          </w:p>
        </w:tc>
        <w:tc>
          <w:tcPr>
            <w:tcW w:w="1472" w:type="dxa"/>
            <w:hideMark/>
          </w:tcPr>
          <w:p w:rsidR="00C106D7" w:rsidRPr="005B0796" w:rsidRDefault="00C106D7" w:rsidP="00874D15">
            <w:pPr>
              <w:pStyle w:val="TableText"/>
              <w:jc w:val="right"/>
            </w:pPr>
            <w:r w:rsidRPr="005B0796">
              <w:t>228</w:t>
            </w:r>
          </w:p>
        </w:tc>
        <w:tc>
          <w:tcPr>
            <w:tcW w:w="1473" w:type="dxa"/>
            <w:hideMark/>
          </w:tcPr>
          <w:p w:rsidR="00C106D7" w:rsidRPr="005B0796" w:rsidRDefault="00C106D7" w:rsidP="00874D15">
            <w:pPr>
              <w:pStyle w:val="TableText"/>
              <w:jc w:val="right"/>
            </w:pPr>
            <w:r w:rsidRPr="005B0796">
              <w:t>0.9 (0.7, 1.3)</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Didn</w:t>
            </w:r>
            <w:r w:rsidR="00462A0C" w:rsidRPr="005B0796">
              <w:rPr>
                <w:rFonts w:cs="Arial"/>
              </w:rPr>
              <w:t>’</w:t>
            </w:r>
            <w:r w:rsidRPr="005B0796">
              <w:rPr>
                <w:rFonts w:cs="Arial"/>
              </w:rPr>
              <w:t>t want to be away from home</w:t>
            </w:r>
          </w:p>
        </w:tc>
        <w:tc>
          <w:tcPr>
            <w:tcW w:w="1472" w:type="dxa"/>
            <w:hideMark/>
          </w:tcPr>
          <w:p w:rsidR="00C106D7" w:rsidRPr="005B0796" w:rsidRDefault="00C106D7" w:rsidP="00874D15">
            <w:pPr>
              <w:pStyle w:val="TableText"/>
              <w:jc w:val="right"/>
            </w:pPr>
            <w:r w:rsidRPr="005B0796">
              <w:t>101</w:t>
            </w:r>
          </w:p>
        </w:tc>
        <w:tc>
          <w:tcPr>
            <w:tcW w:w="1472" w:type="dxa"/>
            <w:hideMark/>
          </w:tcPr>
          <w:p w:rsidR="00C106D7" w:rsidRPr="005B0796" w:rsidRDefault="00C106D7" w:rsidP="00874D15">
            <w:pPr>
              <w:pStyle w:val="TableText"/>
              <w:jc w:val="right"/>
            </w:pPr>
            <w:r w:rsidRPr="005B0796">
              <w:t>586</w:t>
            </w:r>
          </w:p>
        </w:tc>
        <w:tc>
          <w:tcPr>
            <w:tcW w:w="1473" w:type="dxa"/>
            <w:hideMark/>
          </w:tcPr>
          <w:p w:rsidR="00C106D7" w:rsidRPr="005B0796" w:rsidRDefault="00C106D7" w:rsidP="00874D15">
            <w:pPr>
              <w:pStyle w:val="TableText"/>
              <w:jc w:val="right"/>
            </w:pPr>
            <w:r w:rsidRPr="005B0796">
              <w:t>2.4 (1.9, 2.9)</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Pregnancy</w:t>
            </w:r>
          </w:p>
        </w:tc>
        <w:tc>
          <w:tcPr>
            <w:tcW w:w="1472" w:type="dxa"/>
            <w:hideMark/>
          </w:tcPr>
          <w:p w:rsidR="00C106D7" w:rsidRPr="005B0796" w:rsidRDefault="00C106D7" w:rsidP="00874D15">
            <w:pPr>
              <w:pStyle w:val="TableText"/>
              <w:jc w:val="right"/>
            </w:pPr>
            <w:r w:rsidRPr="005B0796">
              <w:t>7</w:t>
            </w:r>
          </w:p>
        </w:tc>
        <w:tc>
          <w:tcPr>
            <w:tcW w:w="1472" w:type="dxa"/>
            <w:hideMark/>
          </w:tcPr>
          <w:p w:rsidR="00C106D7" w:rsidRPr="005B0796" w:rsidRDefault="00C106D7" w:rsidP="00874D15">
            <w:pPr>
              <w:pStyle w:val="TableText"/>
              <w:jc w:val="right"/>
            </w:pPr>
            <w:r w:rsidRPr="005B0796">
              <w:t>39</w:t>
            </w:r>
          </w:p>
        </w:tc>
        <w:tc>
          <w:tcPr>
            <w:tcW w:w="1473" w:type="dxa"/>
            <w:hideMark/>
          </w:tcPr>
          <w:p w:rsidR="00C106D7" w:rsidRPr="005B0796" w:rsidRDefault="00C106D7" w:rsidP="00874D15">
            <w:pPr>
              <w:pStyle w:val="TableText"/>
              <w:jc w:val="right"/>
            </w:pPr>
            <w:r w:rsidRPr="005B0796">
              <w:t>0.2 (0.1, 0.4)</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Posting issues (i.e. unhappy with location or nature of postings)</w:t>
            </w:r>
          </w:p>
        </w:tc>
        <w:tc>
          <w:tcPr>
            <w:tcW w:w="1472" w:type="dxa"/>
            <w:hideMark/>
          </w:tcPr>
          <w:p w:rsidR="00C106D7" w:rsidRPr="005B0796" w:rsidRDefault="00C106D7" w:rsidP="00874D15">
            <w:pPr>
              <w:pStyle w:val="TableText"/>
              <w:jc w:val="right"/>
            </w:pPr>
            <w:r w:rsidRPr="005B0796">
              <w:t>224</w:t>
            </w:r>
          </w:p>
        </w:tc>
        <w:tc>
          <w:tcPr>
            <w:tcW w:w="1472" w:type="dxa"/>
            <w:hideMark/>
          </w:tcPr>
          <w:p w:rsidR="00C106D7" w:rsidRPr="005B0796" w:rsidRDefault="00C106D7" w:rsidP="00874D15">
            <w:pPr>
              <w:pStyle w:val="TableText"/>
              <w:jc w:val="right"/>
            </w:pPr>
            <w:r w:rsidRPr="005B0796">
              <w:t>1061</w:t>
            </w:r>
          </w:p>
        </w:tc>
        <w:tc>
          <w:tcPr>
            <w:tcW w:w="1473" w:type="dxa"/>
            <w:hideMark/>
          </w:tcPr>
          <w:p w:rsidR="00C106D7" w:rsidRPr="005B0796" w:rsidRDefault="00C106D7" w:rsidP="00874D15">
            <w:pPr>
              <w:pStyle w:val="TableText"/>
              <w:jc w:val="right"/>
            </w:pPr>
            <w:r w:rsidRPr="005B0796">
              <w:t>4.3 (3.7, 4.9)</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Too many deployments</w:t>
            </w:r>
          </w:p>
        </w:tc>
        <w:tc>
          <w:tcPr>
            <w:tcW w:w="1472" w:type="dxa"/>
            <w:hideMark/>
          </w:tcPr>
          <w:p w:rsidR="00C106D7" w:rsidRPr="005B0796" w:rsidRDefault="00C106D7" w:rsidP="00874D15">
            <w:pPr>
              <w:pStyle w:val="TableText"/>
              <w:jc w:val="right"/>
            </w:pPr>
            <w:r w:rsidRPr="005B0796">
              <w:t>4</w:t>
            </w:r>
          </w:p>
        </w:tc>
        <w:tc>
          <w:tcPr>
            <w:tcW w:w="1472" w:type="dxa"/>
            <w:hideMark/>
          </w:tcPr>
          <w:p w:rsidR="00C106D7" w:rsidRPr="005B0796" w:rsidRDefault="00C106D7" w:rsidP="00874D15">
            <w:pPr>
              <w:pStyle w:val="TableText"/>
              <w:jc w:val="right"/>
            </w:pPr>
            <w:r w:rsidRPr="005B0796">
              <w:t>14</w:t>
            </w:r>
          </w:p>
        </w:tc>
        <w:tc>
          <w:tcPr>
            <w:tcW w:w="1473" w:type="dxa"/>
            <w:hideMark/>
          </w:tcPr>
          <w:p w:rsidR="00C106D7" w:rsidRPr="005B0796" w:rsidRDefault="00C106D7" w:rsidP="00874D15">
            <w:pPr>
              <w:pStyle w:val="TableText"/>
              <w:jc w:val="right"/>
            </w:pPr>
            <w:r w:rsidRPr="005B0796">
              <w:t>0.1 (0.0, 0.1)</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Not enough deployments</w:t>
            </w:r>
          </w:p>
        </w:tc>
        <w:tc>
          <w:tcPr>
            <w:tcW w:w="1472" w:type="dxa"/>
            <w:hideMark/>
          </w:tcPr>
          <w:p w:rsidR="00C106D7" w:rsidRPr="005B0796" w:rsidRDefault="00C106D7" w:rsidP="00874D15">
            <w:pPr>
              <w:pStyle w:val="TableText"/>
              <w:jc w:val="right"/>
            </w:pPr>
            <w:r w:rsidRPr="005B0796">
              <w:t>41</w:t>
            </w:r>
          </w:p>
        </w:tc>
        <w:tc>
          <w:tcPr>
            <w:tcW w:w="1472" w:type="dxa"/>
            <w:hideMark/>
          </w:tcPr>
          <w:p w:rsidR="00C106D7" w:rsidRPr="005B0796" w:rsidRDefault="00C106D7" w:rsidP="00874D15">
            <w:pPr>
              <w:pStyle w:val="TableText"/>
              <w:jc w:val="right"/>
            </w:pPr>
            <w:r w:rsidRPr="005B0796">
              <w:t>341</w:t>
            </w:r>
          </w:p>
        </w:tc>
        <w:tc>
          <w:tcPr>
            <w:tcW w:w="1473" w:type="dxa"/>
            <w:hideMark/>
          </w:tcPr>
          <w:p w:rsidR="00C106D7" w:rsidRPr="005B0796" w:rsidRDefault="00C106D7" w:rsidP="00874D15">
            <w:pPr>
              <w:pStyle w:val="TableText"/>
              <w:jc w:val="right"/>
            </w:pPr>
            <w:r w:rsidRPr="005B0796">
              <w:t>1.4 (0.9, 1.9)</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Because of my experiences on deployment</w:t>
            </w:r>
          </w:p>
        </w:tc>
        <w:tc>
          <w:tcPr>
            <w:tcW w:w="1472" w:type="dxa"/>
            <w:hideMark/>
          </w:tcPr>
          <w:p w:rsidR="00C106D7" w:rsidRPr="005B0796" w:rsidRDefault="00C106D7" w:rsidP="00874D15">
            <w:pPr>
              <w:pStyle w:val="TableText"/>
              <w:jc w:val="right"/>
            </w:pPr>
            <w:r w:rsidRPr="005B0796">
              <w:t>44</w:t>
            </w:r>
          </w:p>
        </w:tc>
        <w:tc>
          <w:tcPr>
            <w:tcW w:w="1472" w:type="dxa"/>
            <w:hideMark/>
          </w:tcPr>
          <w:p w:rsidR="00C106D7" w:rsidRPr="005B0796" w:rsidRDefault="00C106D7" w:rsidP="00874D15">
            <w:pPr>
              <w:pStyle w:val="TableText"/>
              <w:jc w:val="right"/>
            </w:pPr>
            <w:r w:rsidRPr="005B0796">
              <w:t>336</w:t>
            </w:r>
          </w:p>
        </w:tc>
        <w:tc>
          <w:tcPr>
            <w:tcW w:w="1473" w:type="dxa"/>
            <w:hideMark/>
          </w:tcPr>
          <w:p w:rsidR="00C106D7" w:rsidRPr="005B0796" w:rsidRDefault="00C106D7" w:rsidP="00874D15">
            <w:pPr>
              <w:pStyle w:val="TableText"/>
              <w:jc w:val="right"/>
            </w:pPr>
            <w:r w:rsidRPr="005B0796">
              <w:t>1.4 (0.9, 1.9)</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Work not exciting or challenging enough</w:t>
            </w:r>
          </w:p>
        </w:tc>
        <w:tc>
          <w:tcPr>
            <w:tcW w:w="1472" w:type="dxa"/>
            <w:hideMark/>
          </w:tcPr>
          <w:p w:rsidR="00C106D7" w:rsidRPr="005B0796" w:rsidRDefault="00C106D7" w:rsidP="00874D15">
            <w:pPr>
              <w:pStyle w:val="TableText"/>
              <w:jc w:val="right"/>
            </w:pPr>
            <w:r w:rsidRPr="005B0796">
              <w:t>93</w:t>
            </w:r>
          </w:p>
        </w:tc>
        <w:tc>
          <w:tcPr>
            <w:tcW w:w="1472" w:type="dxa"/>
            <w:hideMark/>
          </w:tcPr>
          <w:p w:rsidR="00C106D7" w:rsidRPr="005B0796" w:rsidRDefault="00C106D7" w:rsidP="00874D15">
            <w:pPr>
              <w:pStyle w:val="TableText"/>
              <w:jc w:val="right"/>
            </w:pPr>
            <w:r w:rsidRPr="005B0796">
              <w:t>724</w:t>
            </w:r>
          </w:p>
        </w:tc>
        <w:tc>
          <w:tcPr>
            <w:tcW w:w="1473" w:type="dxa"/>
            <w:hideMark/>
          </w:tcPr>
          <w:p w:rsidR="00C106D7" w:rsidRPr="005B0796" w:rsidRDefault="00C106D7" w:rsidP="00874D15">
            <w:pPr>
              <w:pStyle w:val="TableText"/>
              <w:jc w:val="right"/>
            </w:pPr>
            <w:r w:rsidRPr="005B0796">
              <w:t>2.9 (2.3, 3.7)</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Dissatisfaction with pay</w:t>
            </w:r>
          </w:p>
        </w:tc>
        <w:tc>
          <w:tcPr>
            <w:tcW w:w="1472" w:type="dxa"/>
            <w:hideMark/>
          </w:tcPr>
          <w:p w:rsidR="00C106D7" w:rsidRPr="005B0796" w:rsidRDefault="00C106D7" w:rsidP="00874D15">
            <w:pPr>
              <w:pStyle w:val="TableText"/>
              <w:jc w:val="right"/>
            </w:pPr>
            <w:r w:rsidRPr="005B0796">
              <w:t>31</w:t>
            </w:r>
          </w:p>
        </w:tc>
        <w:tc>
          <w:tcPr>
            <w:tcW w:w="1472" w:type="dxa"/>
            <w:hideMark/>
          </w:tcPr>
          <w:p w:rsidR="00C106D7" w:rsidRPr="005B0796" w:rsidRDefault="00C106D7" w:rsidP="00874D15">
            <w:pPr>
              <w:pStyle w:val="TableText"/>
              <w:jc w:val="right"/>
            </w:pPr>
            <w:r w:rsidRPr="005B0796">
              <w:t>168</w:t>
            </w:r>
          </w:p>
        </w:tc>
        <w:tc>
          <w:tcPr>
            <w:tcW w:w="1473" w:type="dxa"/>
            <w:hideMark/>
          </w:tcPr>
          <w:p w:rsidR="00C106D7" w:rsidRPr="005B0796" w:rsidRDefault="00C106D7" w:rsidP="00874D15">
            <w:pPr>
              <w:pStyle w:val="TableText"/>
              <w:jc w:val="right"/>
            </w:pPr>
            <w:r w:rsidRPr="005B0796">
              <w:t>0.7 (0.4, 1.0)</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Personal experience of harassment/ bullying/discrimination in the ADF</w:t>
            </w:r>
          </w:p>
        </w:tc>
        <w:tc>
          <w:tcPr>
            <w:tcW w:w="1472" w:type="dxa"/>
            <w:hideMark/>
          </w:tcPr>
          <w:p w:rsidR="00C106D7" w:rsidRPr="005B0796" w:rsidRDefault="00C106D7" w:rsidP="00874D15">
            <w:pPr>
              <w:pStyle w:val="TableText"/>
              <w:jc w:val="right"/>
            </w:pPr>
            <w:r w:rsidRPr="005B0796">
              <w:t>157</w:t>
            </w:r>
          </w:p>
        </w:tc>
        <w:tc>
          <w:tcPr>
            <w:tcW w:w="1472" w:type="dxa"/>
            <w:hideMark/>
          </w:tcPr>
          <w:p w:rsidR="00C106D7" w:rsidRPr="005B0796" w:rsidRDefault="00C106D7" w:rsidP="00874D15">
            <w:pPr>
              <w:pStyle w:val="TableText"/>
              <w:jc w:val="right"/>
            </w:pPr>
            <w:r w:rsidRPr="005B0796">
              <w:t>916</w:t>
            </w:r>
          </w:p>
        </w:tc>
        <w:tc>
          <w:tcPr>
            <w:tcW w:w="1473" w:type="dxa"/>
            <w:hideMark/>
          </w:tcPr>
          <w:p w:rsidR="00C106D7" w:rsidRPr="005B0796" w:rsidRDefault="00C106D7" w:rsidP="00874D15">
            <w:pPr>
              <w:pStyle w:val="TableText"/>
              <w:jc w:val="right"/>
            </w:pPr>
            <w:r w:rsidRPr="005B0796">
              <w:t>3.7 (3.1, 4.4)</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Personal experience of violence in the ADF</w:t>
            </w:r>
          </w:p>
        </w:tc>
        <w:tc>
          <w:tcPr>
            <w:tcW w:w="1472" w:type="dxa"/>
            <w:hideMark/>
          </w:tcPr>
          <w:p w:rsidR="00C106D7" w:rsidRPr="005B0796" w:rsidRDefault="00C106D7" w:rsidP="00874D15">
            <w:pPr>
              <w:pStyle w:val="TableText"/>
              <w:jc w:val="right"/>
            </w:pPr>
            <w:r w:rsidRPr="005B0796">
              <w:t>5</w:t>
            </w:r>
          </w:p>
        </w:tc>
        <w:tc>
          <w:tcPr>
            <w:tcW w:w="1472" w:type="dxa"/>
            <w:hideMark/>
          </w:tcPr>
          <w:p w:rsidR="00C106D7" w:rsidRPr="005B0796" w:rsidRDefault="00C106D7" w:rsidP="00874D15">
            <w:pPr>
              <w:pStyle w:val="TableText"/>
              <w:jc w:val="right"/>
            </w:pPr>
            <w:r w:rsidRPr="005B0796">
              <w:t>40</w:t>
            </w:r>
          </w:p>
        </w:tc>
        <w:tc>
          <w:tcPr>
            <w:tcW w:w="1473" w:type="dxa"/>
            <w:hideMark/>
          </w:tcPr>
          <w:p w:rsidR="00C106D7" w:rsidRPr="005B0796" w:rsidRDefault="00C106D7" w:rsidP="00874D15">
            <w:pPr>
              <w:pStyle w:val="TableText"/>
              <w:jc w:val="right"/>
            </w:pPr>
            <w:r w:rsidRPr="005B0796">
              <w:t>0.2 (0.1, 0.4)</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Disciplinary action or criminal offence</w:t>
            </w:r>
          </w:p>
        </w:tc>
        <w:tc>
          <w:tcPr>
            <w:tcW w:w="1472" w:type="dxa"/>
            <w:hideMark/>
          </w:tcPr>
          <w:p w:rsidR="00C106D7" w:rsidRPr="005B0796" w:rsidRDefault="00C106D7" w:rsidP="00874D15">
            <w:pPr>
              <w:pStyle w:val="TableText"/>
              <w:jc w:val="right"/>
            </w:pPr>
            <w:r w:rsidRPr="005B0796">
              <w:t>8</w:t>
            </w:r>
          </w:p>
        </w:tc>
        <w:tc>
          <w:tcPr>
            <w:tcW w:w="1472" w:type="dxa"/>
            <w:hideMark/>
          </w:tcPr>
          <w:p w:rsidR="00C106D7" w:rsidRPr="005B0796" w:rsidRDefault="00C106D7" w:rsidP="00874D15">
            <w:pPr>
              <w:pStyle w:val="TableText"/>
              <w:jc w:val="right"/>
            </w:pPr>
            <w:r w:rsidRPr="005B0796">
              <w:t>74</w:t>
            </w:r>
          </w:p>
        </w:tc>
        <w:tc>
          <w:tcPr>
            <w:tcW w:w="1473" w:type="dxa"/>
            <w:hideMark/>
          </w:tcPr>
          <w:p w:rsidR="00C106D7" w:rsidRPr="005B0796" w:rsidRDefault="00C106D7" w:rsidP="00874D15">
            <w:pPr>
              <w:pStyle w:val="TableText"/>
              <w:jc w:val="right"/>
            </w:pPr>
            <w:r w:rsidRPr="005B0796">
              <w:t>0.3 (0.1, 0.7)</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My service was terminated</w:t>
            </w:r>
          </w:p>
        </w:tc>
        <w:tc>
          <w:tcPr>
            <w:tcW w:w="1472" w:type="dxa"/>
            <w:hideMark/>
          </w:tcPr>
          <w:p w:rsidR="00C106D7" w:rsidRPr="005B0796" w:rsidRDefault="00C106D7" w:rsidP="00874D15">
            <w:pPr>
              <w:pStyle w:val="TableText"/>
              <w:jc w:val="right"/>
            </w:pPr>
            <w:r w:rsidRPr="005B0796">
              <w:t>106</w:t>
            </w:r>
          </w:p>
        </w:tc>
        <w:tc>
          <w:tcPr>
            <w:tcW w:w="1472" w:type="dxa"/>
            <w:hideMark/>
          </w:tcPr>
          <w:p w:rsidR="00C106D7" w:rsidRPr="005B0796" w:rsidRDefault="00C106D7" w:rsidP="00874D15">
            <w:pPr>
              <w:pStyle w:val="TableText"/>
              <w:jc w:val="right"/>
            </w:pPr>
            <w:r w:rsidRPr="005B0796">
              <w:t>677</w:t>
            </w:r>
          </w:p>
        </w:tc>
        <w:tc>
          <w:tcPr>
            <w:tcW w:w="1473" w:type="dxa"/>
            <w:hideMark/>
          </w:tcPr>
          <w:p w:rsidR="00C106D7" w:rsidRPr="005B0796" w:rsidRDefault="00C106D7" w:rsidP="00874D15">
            <w:pPr>
              <w:pStyle w:val="TableText"/>
              <w:jc w:val="right"/>
            </w:pPr>
            <w:r w:rsidRPr="005B0796">
              <w:t>2.7 (2.2, 3.4)</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Physical health problems</w:t>
            </w:r>
          </w:p>
        </w:tc>
        <w:tc>
          <w:tcPr>
            <w:tcW w:w="1472" w:type="dxa"/>
            <w:hideMark/>
          </w:tcPr>
          <w:p w:rsidR="00C106D7" w:rsidRPr="005B0796" w:rsidRDefault="00C106D7" w:rsidP="00874D15">
            <w:pPr>
              <w:pStyle w:val="TableText"/>
              <w:jc w:val="right"/>
            </w:pPr>
            <w:r w:rsidRPr="005B0796">
              <w:t>178</w:t>
            </w:r>
          </w:p>
        </w:tc>
        <w:tc>
          <w:tcPr>
            <w:tcW w:w="1472" w:type="dxa"/>
            <w:hideMark/>
          </w:tcPr>
          <w:p w:rsidR="00C106D7" w:rsidRPr="005B0796" w:rsidRDefault="00C106D7" w:rsidP="00874D15">
            <w:pPr>
              <w:pStyle w:val="TableText"/>
              <w:jc w:val="right"/>
            </w:pPr>
            <w:r w:rsidRPr="005B0796">
              <w:t>1079</w:t>
            </w:r>
          </w:p>
        </w:tc>
        <w:tc>
          <w:tcPr>
            <w:tcW w:w="1473" w:type="dxa"/>
            <w:hideMark/>
          </w:tcPr>
          <w:p w:rsidR="00C106D7" w:rsidRPr="005B0796" w:rsidRDefault="00C106D7" w:rsidP="00874D15">
            <w:pPr>
              <w:pStyle w:val="TableText"/>
              <w:jc w:val="right"/>
            </w:pPr>
            <w:r w:rsidRPr="005B0796">
              <w:t>4.3 (3.6, 5.2)</w:t>
            </w:r>
          </w:p>
        </w:tc>
      </w:tr>
      <w:tr w:rsidR="00C106D7" w:rsidRPr="005B0796" w:rsidTr="00874D15">
        <w:trPr>
          <w:cnfStyle w:val="000000100000" w:firstRow="0" w:lastRow="0" w:firstColumn="0" w:lastColumn="0" w:oddVBand="0" w:evenVBand="0" w:oddHBand="1" w:evenHBand="0" w:firstRowFirstColumn="0" w:firstRowLastColumn="0" w:lastRowFirstColumn="0" w:lastRowLastColumn="0"/>
          <w:trHeight w:val="20"/>
        </w:trPr>
        <w:tc>
          <w:tcPr>
            <w:tcW w:w="2898" w:type="dxa"/>
            <w:hideMark/>
          </w:tcPr>
          <w:p w:rsidR="00C106D7" w:rsidRPr="005B0796" w:rsidRDefault="00C106D7" w:rsidP="00874D15">
            <w:pPr>
              <w:pStyle w:val="TableText"/>
              <w:ind w:left="144"/>
            </w:pPr>
            <w:r w:rsidRPr="005B0796">
              <w:rPr>
                <w:rFonts w:cs="Arial"/>
              </w:rPr>
              <w:t>Mental health problems</w:t>
            </w:r>
          </w:p>
        </w:tc>
        <w:tc>
          <w:tcPr>
            <w:tcW w:w="1472" w:type="dxa"/>
            <w:hideMark/>
          </w:tcPr>
          <w:p w:rsidR="00C106D7" w:rsidRPr="005B0796" w:rsidRDefault="00C106D7" w:rsidP="00874D15">
            <w:pPr>
              <w:pStyle w:val="TableText"/>
              <w:jc w:val="right"/>
            </w:pPr>
            <w:r w:rsidRPr="005B0796">
              <w:t>281</w:t>
            </w:r>
          </w:p>
        </w:tc>
        <w:tc>
          <w:tcPr>
            <w:tcW w:w="1472" w:type="dxa"/>
            <w:hideMark/>
          </w:tcPr>
          <w:p w:rsidR="00C106D7" w:rsidRPr="005B0796" w:rsidRDefault="00C106D7" w:rsidP="00874D15">
            <w:pPr>
              <w:pStyle w:val="TableText"/>
              <w:jc w:val="right"/>
            </w:pPr>
            <w:r w:rsidRPr="005B0796">
              <w:t>1616</w:t>
            </w:r>
          </w:p>
        </w:tc>
        <w:tc>
          <w:tcPr>
            <w:tcW w:w="1473" w:type="dxa"/>
            <w:hideMark/>
          </w:tcPr>
          <w:p w:rsidR="00C106D7" w:rsidRPr="005B0796" w:rsidRDefault="00C106D7" w:rsidP="00874D15">
            <w:pPr>
              <w:pStyle w:val="TableText"/>
              <w:jc w:val="right"/>
            </w:pPr>
            <w:r w:rsidRPr="005B0796">
              <w:t>6.5 (5.7, 7.4)</w:t>
            </w:r>
          </w:p>
        </w:tc>
      </w:tr>
      <w:tr w:rsidR="00C106D7" w:rsidRPr="005B0796" w:rsidTr="00874D15">
        <w:trPr>
          <w:trHeight w:val="20"/>
        </w:trPr>
        <w:tc>
          <w:tcPr>
            <w:tcW w:w="2898" w:type="dxa"/>
            <w:hideMark/>
          </w:tcPr>
          <w:p w:rsidR="00C106D7" w:rsidRPr="005B0796" w:rsidRDefault="00C106D7" w:rsidP="00874D15">
            <w:pPr>
              <w:pStyle w:val="TableText"/>
              <w:ind w:left="144"/>
            </w:pPr>
            <w:r w:rsidRPr="005B0796">
              <w:rPr>
                <w:rFonts w:cs="Arial"/>
              </w:rPr>
              <w:t>Other</w:t>
            </w:r>
          </w:p>
        </w:tc>
        <w:tc>
          <w:tcPr>
            <w:tcW w:w="1472" w:type="dxa"/>
            <w:hideMark/>
          </w:tcPr>
          <w:p w:rsidR="00C106D7" w:rsidRPr="005B0796" w:rsidRDefault="00C106D7" w:rsidP="00874D15">
            <w:pPr>
              <w:pStyle w:val="TableText"/>
              <w:jc w:val="right"/>
            </w:pPr>
            <w:r w:rsidRPr="005B0796">
              <w:t>178</w:t>
            </w:r>
          </w:p>
        </w:tc>
        <w:tc>
          <w:tcPr>
            <w:tcW w:w="1472" w:type="dxa"/>
            <w:hideMark/>
          </w:tcPr>
          <w:p w:rsidR="00C106D7" w:rsidRPr="005B0796" w:rsidRDefault="00C106D7" w:rsidP="00874D15">
            <w:pPr>
              <w:pStyle w:val="TableText"/>
              <w:jc w:val="right"/>
            </w:pPr>
            <w:r w:rsidRPr="005B0796">
              <w:t>1079</w:t>
            </w:r>
          </w:p>
        </w:tc>
        <w:tc>
          <w:tcPr>
            <w:tcW w:w="1473" w:type="dxa"/>
            <w:hideMark/>
          </w:tcPr>
          <w:p w:rsidR="00C106D7" w:rsidRPr="005B0796" w:rsidRDefault="00C106D7" w:rsidP="00874D15">
            <w:pPr>
              <w:pStyle w:val="TableText"/>
              <w:jc w:val="right"/>
            </w:pPr>
            <w:r w:rsidRPr="005B0796">
              <w:t>4.3 (3.6, 5.2)</w:t>
            </w:r>
          </w:p>
        </w:tc>
      </w:tr>
    </w:tbl>
    <w:p w:rsidR="00C106D7" w:rsidRPr="005B0796" w:rsidRDefault="00C106D7" w:rsidP="00C106D7">
      <w:pPr>
        <w:pStyle w:val="TableNotes"/>
        <w:rPr>
          <w:rFonts w:asciiTheme="minorHAnsi" w:hAnsiTheme="minorHAnsi"/>
        </w:rPr>
      </w:pPr>
      <w:r w:rsidRPr="005B0796">
        <w:t>Note: 95%</w:t>
      </w:r>
      <w:r w:rsidR="00E96C28">
        <w:t xml:space="preserve"> </w:t>
      </w:r>
      <w:r w:rsidRPr="005B0796">
        <w:t xml:space="preserve">CI: 95% </w:t>
      </w:r>
      <w:r w:rsidR="00564689" w:rsidRPr="005B0796">
        <w:t>confidence interval</w:t>
      </w:r>
    </w:p>
    <w:p w:rsidR="00C106D7" w:rsidRPr="005B0796" w:rsidRDefault="00C106D7" w:rsidP="00C106D7">
      <w:pPr>
        <w:pStyle w:val="TableNotes"/>
      </w:pPr>
      <w:r w:rsidRPr="005B0796">
        <w:t>Missing: Years since transition: 246 (6.3%), Type of discharge: 100 (2.8%), Main reason 1776 (39.5%)</w:t>
      </w:r>
    </w:p>
    <w:p w:rsidR="00C106D7" w:rsidRPr="005B0796" w:rsidRDefault="009E72D3" w:rsidP="00C106D7">
      <w:r w:rsidRPr="005B0796">
        <w:t>Table 3.4</w:t>
      </w:r>
      <w:r w:rsidR="00C106D7" w:rsidRPr="005B0796">
        <w:t xml:space="preserve"> summarises employment and DVA support characteristics for Transitioned ADF members. Almost two-thirds of Transitioned ADF members reported being engaged in civilian employment (62.8%). For those individuals, the most common industries of employment were government administration and Defence (16.8%), mining (9.9%), construction (8.8%)</w:t>
      </w:r>
      <w:r w:rsidR="00E96C28">
        <w:t>,</w:t>
      </w:r>
      <w:r w:rsidR="00C106D7" w:rsidRPr="005B0796">
        <w:t xml:space="preserve"> and transport and storage (8.6%). Industry of employment was not reported for 1.3%. </w:t>
      </w:r>
      <w:r w:rsidR="00FE34E2" w:rsidRPr="001C4318">
        <w:t>A considerable proportion of the Transitioned ADF reported a period of three months or longer in which they were unemployed (43.7%) since transitioning from the Regular ADF.</w:t>
      </w:r>
      <w:r w:rsidR="00C106D7" w:rsidRPr="005B0796">
        <w:t xml:space="preserve"> More than 43% of Transitioned ADF members reported accessing DVA-funded treatment through either a DVA White Card (39.4%) or DVA Gold Card (4.2%). </w:t>
      </w:r>
    </w:p>
    <w:p w:rsidR="00616631" w:rsidRPr="005B0796" w:rsidRDefault="00616631" w:rsidP="00C53E1B">
      <w:pPr>
        <w:keepLines/>
      </w:pPr>
      <w:bookmarkStart w:id="211" w:name="_Ref484433313"/>
      <w:bookmarkStart w:id="212" w:name="_Toc479243378"/>
      <w:bookmarkStart w:id="213" w:name="_Toc482023764"/>
      <w:bookmarkStart w:id="214" w:name="_Toc487014250"/>
      <w:bookmarkStart w:id="215" w:name="_Toc492995553"/>
      <w:r w:rsidRPr="005B0796">
        <w:t xml:space="preserve">As </w:t>
      </w:r>
      <w:r w:rsidR="00E96C28">
        <w:t>shown</w:t>
      </w:r>
      <w:r w:rsidRPr="005B0796">
        <w:t xml:space="preserve"> in </w:t>
      </w:r>
      <w:r w:rsidR="009E72D3" w:rsidRPr="005B0796">
        <w:t>Table 3.5</w:t>
      </w:r>
      <w:r w:rsidRPr="005B0796">
        <w:t>, approximately 20% of the Transitioned ADF reported joining an ex-service organisation or voluntary group. A small proportion of t</w:t>
      </w:r>
      <w:r w:rsidR="00E96C28">
        <w:t>he Transitioned ADF reported had</w:t>
      </w:r>
      <w:r w:rsidRPr="005B0796">
        <w:t xml:space="preserve"> been arrested (2.9%), convicted (2.1%) or imprisoned (0.1%) since transitioning from Regular ADF</w:t>
      </w:r>
      <w:r w:rsidR="00D565FD" w:rsidRPr="005B0796">
        <w:t xml:space="preserve"> </w:t>
      </w:r>
      <w:r w:rsidRPr="005B0796">
        <w:t>service.</w:t>
      </w:r>
    </w:p>
    <w:p w:rsidR="00C106D7" w:rsidRPr="005B0796" w:rsidRDefault="00C106D7" w:rsidP="00C106D7">
      <w:pPr>
        <w:pStyle w:val="TableName"/>
        <w:rPr>
          <w:rFonts w:cs="Calibri"/>
        </w:rPr>
      </w:pPr>
      <w:bookmarkStart w:id="216" w:name="_Toc51190040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3</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w:t>
      </w:r>
      <w:r w:rsidR="00D30A3C">
        <w:rPr>
          <w:noProof/>
        </w:rPr>
        <w:fldChar w:fldCharType="end"/>
      </w:r>
      <w:bookmarkEnd w:id="211"/>
      <w:r w:rsidRPr="005B0796">
        <w:tab/>
        <w:t>Weighted civilian employment and DVA support in the Transitioned ADF</w:t>
      </w:r>
      <w:bookmarkEnd w:id="212"/>
      <w:bookmarkEnd w:id="213"/>
      <w:bookmarkEnd w:id="214"/>
      <w:bookmarkEnd w:id="215"/>
      <w:bookmarkEnd w:id="216"/>
    </w:p>
    <w:tbl>
      <w:tblPr>
        <w:tblStyle w:val="TWRPTable"/>
        <w:tblW w:w="5000" w:type="pct"/>
        <w:tblLayout w:type="fixed"/>
        <w:tblCellMar>
          <w:left w:w="115" w:type="dxa"/>
          <w:right w:w="115" w:type="dxa"/>
        </w:tblCellMar>
        <w:tblLook w:val="04A0" w:firstRow="1" w:lastRow="0" w:firstColumn="1" w:lastColumn="0" w:noHBand="0" w:noVBand="1"/>
        <w:tblDescription w:val="Table 3.4 Weighted civilian employment and DVA support in the Transitioned ADF"/>
      </w:tblPr>
      <w:tblGrid>
        <w:gridCol w:w="3445"/>
        <w:gridCol w:w="1294"/>
        <w:gridCol w:w="1295"/>
        <w:gridCol w:w="1295"/>
      </w:tblGrid>
      <w:tr w:rsidR="00C106D7" w:rsidRPr="005B0796" w:rsidTr="00BB6C7A">
        <w:trPr>
          <w:cnfStyle w:val="100000000000" w:firstRow="1" w:lastRow="0" w:firstColumn="0" w:lastColumn="0" w:oddVBand="0" w:evenVBand="0" w:oddHBand="0" w:evenHBand="0" w:firstRowFirstColumn="0" w:firstRowLastColumn="0" w:lastRowFirstColumn="0" w:lastRowLastColumn="0"/>
          <w:cantSplit/>
          <w:tblHeader/>
        </w:trPr>
        <w:tc>
          <w:tcPr>
            <w:tcW w:w="3445" w:type="dxa"/>
            <w:tcBorders>
              <w:top w:val="single" w:sz="4" w:space="0" w:color="000000"/>
              <w:bottom w:val="nil"/>
            </w:tcBorders>
          </w:tcPr>
          <w:p w:rsidR="00C106D7" w:rsidRPr="005B0796" w:rsidRDefault="00C106D7" w:rsidP="009C42AA">
            <w:pPr>
              <w:pStyle w:val="TableText"/>
            </w:pPr>
          </w:p>
        </w:tc>
        <w:tc>
          <w:tcPr>
            <w:tcW w:w="3884" w:type="dxa"/>
            <w:gridSpan w:val="3"/>
            <w:hideMark/>
          </w:tcPr>
          <w:p w:rsidR="00C106D7" w:rsidRPr="005B0796" w:rsidRDefault="00C106D7" w:rsidP="009C42AA">
            <w:pPr>
              <w:pStyle w:val="TableText"/>
              <w:jc w:val="center"/>
            </w:pPr>
            <w:r w:rsidRPr="005B0796">
              <w:t>Transitioned ADF</w:t>
            </w:r>
            <w:r w:rsidR="009C42AA" w:rsidRPr="005B0796">
              <w:br/>
            </w:r>
            <w:r w:rsidRPr="005B0796">
              <w:rPr>
                <w:color w:val="000000" w:themeColor="text1"/>
              </w:rPr>
              <w:t>N = 24,932</w:t>
            </w:r>
          </w:p>
        </w:tc>
      </w:tr>
      <w:tr w:rsidR="009C42AA" w:rsidRPr="005B0796" w:rsidTr="00BB6C7A">
        <w:trPr>
          <w:cnfStyle w:val="100000000000" w:firstRow="1" w:lastRow="0" w:firstColumn="0" w:lastColumn="0" w:oddVBand="0" w:evenVBand="0" w:oddHBand="0" w:evenHBand="0" w:firstRowFirstColumn="0" w:firstRowLastColumn="0" w:lastRowFirstColumn="0" w:lastRowLastColumn="0"/>
          <w:cantSplit/>
          <w:tblHeader/>
        </w:trPr>
        <w:tc>
          <w:tcPr>
            <w:tcW w:w="3445" w:type="dxa"/>
            <w:tcBorders>
              <w:top w:val="nil"/>
            </w:tcBorders>
            <w:hideMark/>
          </w:tcPr>
          <w:p w:rsidR="00C106D7" w:rsidRPr="005B0796" w:rsidRDefault="00C106D7" w:rsidP="009C42AA">
            <w:pPr>
              <w:pStyle w:val="TableText"/>
            </w:pPr>
            <w:r w:rsidRPr="005B0796">
              <w:t>Characteristic</w:t>
            </w:r>
          </w:p>
        </w:tc>
        <w:tc>
          <w:tcPr>
            <w:tcW w:w="1294" w:type="dxa"/>
            <w:hideMark/>
          </w:tcPr>
          <w:p w:rsidR="00C106D7" w:rsidRPr="005B0796" w:rsidRDefault="00C106D7" w:rsidP="009C42AA">
            <w:pPr>
              <w:pStyle w:val="TableText"/>
              <w:jc w:val="right"/>
            </w:pPr>
            <w:r w:rsidRPr="005B0796">
              <w:t>n</w:t>
            </w:r>
          </w:p>
        </w:tc>
        <w:tc>
          <w:tcPr>
            <w:tcW w:w="1295" w:type="dxa"/>
            <w:hideMark/>
          </w:tcPr>
          <w:p w:rsidR="00C106D7" w:rsidRPr="005B0796" w:rsidRDefault="00C106D7" w:rsidP="009C42AA">
            <w:pPr>
              <w:pStyle w:val="TableText"/>
              <w:jc w:val="right"/>
            </w:pPr>
            <w:r w:rsidRPr="005B0796">
              <w:t>Weighted n</w:t>
            </w:r>
          </w:p>
        </w:tc>
        <w:tc>
          <w:tcPr>
            <w:tcW w:w="1295" w:type="dxa"/>
            <w:hideMark/>
          </w:tcPr>
          <w:p w:rsidR="00C106D7" w:rsidRPr="005B0796" w:rsidRDefault="00C106D7" w:rsidP="009C42AA">
            <w:pPr>
              <w:pStyle w:val="TableText"/>
              <w:jc w:val="right"/>
            </w:pPr>
            <w:r w:rsidRPr="005B0796">
              <w:t>% (95% CI)</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rPr>
                <w:b/>
              </w:rPr>
            </w:pPr>
            <w:r w:rsidRPr="005B0796">
              <w:rPr>
                <w:b/>
              </w:rPr>
              <w:t>Civilian employment</w:t>
            </w:r>
          </w:p>
        </w:tc>
        <w:tc>
          <w:tcPr>
            <w:tcW w:w="1294"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r>
      <w:tr w:rsidR="009C42AA" w:rsidRPr="005B0796" w:rsidTr="00BB6C7A">
        <w:trPr>
          <w:cantSplit/>
        </w:trPr>
        <w:tc>
          <w:tcPr>
            <w:tcW w:w="3445" w:type="dxa"/>
            <w:hideMark/>
          </w:tcPr>
          <w:p w:rsidR="00C106D7" w:rsidRPr="005B0796" w:rsidRDefault="00C106D7" w:rsidP="009C42AA">
            <w:pPr>
              <w:pStyle w:val="TableText"/>
              <w:ind w:left="144"/>
            </w:pPr>
            <w:r w:rsidRPr="005B0796">
              <w:t>Employed</w:t>
            </w:r>
          </w:p>
        </w:tc>
        <w:tc>
          <w:tcPr>
            <w:tcW w:w="1294" w:type="dxa"/>
            <w:hideMark/>
          </w:tcPr>
          <w:p w:rsidR="00C106D7" w:rsidRPr="005B0796" w:rsidRDefault="00C106D7" w:rsidP="009C42AA">
            <w:pPr>
              <w:pStyle w:val="TableText"/>
              <w:jc w:val="right"/>
            </w:pPr>
            <w:r w:rsidRPr="005B0796">
              <w:t>2516</w:t>
            </w:r>
          </w:p>
        </w:tc>
        <w:tc>
          <w:tcPr>
            <w:tcW w:w="1295" w:type="dxa"/>
            <w:hideMark/>
          </w:tcPr>
          <w:p w:rsidR="00C106D7" w:rsidRPr="005B0796" w:rsidRDefault="00C106D7" w:rsidP="009C42AA">
            <w:pPr>
              <w:pStyle w:val="TableText"/>
              <w:jc w:val="right"/>
            </w:pPr>
            <w:r w:rsidRPr="005B0796">
              <w:t>15,664</w:t>
            </w:r>
          </w:p>
        </w:tc>
        <w:tc>
          <w:tcPr>
            <w:tcW w:w="1295" w:type="dxa"/>
            <w:hideMark/>
          </w:tcPr>
          <w:p w:rsidR="00C106D7" w:rsidRPr="005B0796" w:rsidRDefault="00C106D7" w:rsidP="009C42AA">
            <w:pPr>
              <w:pStyle w:val="TableText"/>
              <w:jc w:val="right"/>
            </w:pPr>
            <w:r w:rsidRPr="005B0796">
              <w:t>62.8 (61.2, 64.4)</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Not employed</w:t>
            </w:r>
          </w:p>
        </w:tc>
        <w:tc>
          <w:tcPr>
            <w:tcW w:w="1294" w:type="dxa"/>
            <w:hideMark/>
          </w:tcPr>
          <w:p w:rsidR="00C106D7" w:rsidRPr="005B0796" w:rsidRDefault="00C106D7" w:rsidP="009C42AA">
            <w:pPr>
              <w:pStyle w:val="TableText"/>
              <w:jc w:val="right"/>
            </w:pPr>
            <w:r w:rsidRPr="005B0796">
              <w:t>1735</w:t>
            </w:r>
          </w:p>
        </w:tc>
        <w:tc>
          <w:tcPr>
            <w:tcW w:w="1295" w:type="dxa"/>
            <w:hideMark/>
          </w:tcPr>
          <w:p w:rsidR="00C106D7" w:rsidRPr="005B0796" w:rsidRDefault="00C106D7" w:rsidP="009C42AA">
            <w:pPr>
              <w:pStyle w:val="TableText"/>
              <w:jc w:val="right"/>
            </w:pPr>
            <w:r w:rsidRPr="005B0796">
              <w:t>8771</w:t>
            </w:r>
          </w:p>
        </w:tc>
        <w:tc>
          <w:tcPr>
            <w:tcW w:w="1295" w:type="dxa"/>
            <w:hideMark/>
          </w:tcPr>
          <w:p w:rsidR="00C106D7" w:rsidRPr="005B0796" w:rsidRDefault="00C106D7" w:rsidP="009C42AA">
            <w:pPr>
              <w:pStyle w:val="TableText"/>
              <w:jc w:val="right"/>
            </w:pPr>
            <w:r w:rsidRPr="005B0796">
              <w:t>35.2 (33.6, 36.8)</w:t>
            </w:r>
          </w:p>
        </w:tc>
      </w:tr>
      <w:tr w:rsidR="009C42AA" w:rsidRPr="005B0796" w:rsidTr="00BB6C7A">
        <w:trPr>
          <w:cantSplit/>
        </w:trPr>
        <w:tc>
          <w:tcPr>
            <w:tcW w:w="3445" w:type="dxa"/>
            <w:hideMark/>
          </w:tcPr>
          <w:p w:rsidR="00C106D7" w:rsidRPr="005B0796" w:rsidRDefault="00C106D7" w:rsidP="009C42AA">
            <w:pPr>
              <w:pStyle w:val="TableText"/>
              <w:rPr>
                <w:b/>
              </w:rPr>
            </w:pPr>
            <w:r w:rsidRPr="005B0796">
              <w:rPr>
                <w:b/>
              </w:rPr>
              <w:t>Hours worked in past week</w:t>
            </w:r>
            <w:r w:rsidRPr="005B0796">
              <w:rPr>
                <w:b/>
                <w:color w:val="000000" w:themeColor="text1"/>
                <w:vertAlign w:val="superscript"/>
              </w:rPr>
              <w:t>a</w:t>
            </w:r>
          </w:p>
        </w:tc>
        <w:tc>
          <w:tcPr>
            <w:tcW w:w="1294"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E96C28" w:rsidP="00E96C28">
            <w:pPr>
              <w:pStyle w:val="TableText"/>
              <w:ind w:left="144"/>
            </w:pPr>
            <w:r>
              <w:t>0–20</w:t>
            </w:r>
          </w:p>
        </w:tc>
        <w:tc>
          <w:tcPr>
            <w:tcW w:w="1294" w:type="dxa"/>
            <w:hideMark/>
          </w:tcPr>
          <w:p w:rsidR="00C106D7" w:rsidRPr="005B0796" w:rsidRDefault="00C106D7" w:rsidP="009C42AA">
            <w:pPr>
              <w:pStyle w:val="TableText"/>
              <w:jc w:val="right"/>
            </w:pPr>
            <w:r w:rsidRPr="005B0796">
              <w:t>250</w:t>
            </w:r>
          </w:p>
        </w:tc>
        <w:tc>
          <w:tcPr>
            <w:tcW w:w="1295" w:type="dxa"/>
            <w:hideMark/>
          </w:tcPr>
          <w:p w:rsidR="00C106D7" w:rsidRPr="005B0796" w:rsidRDefault="00C106D7" w:rsidP="009C42AA">
            <w:pPr>
              <w:pStyle w:val="TableText"/>
              <w:jc w:val="right"/>
            </w:pPr>
            <w:r w:rsidRPr="005B0796">
              <w:t>1652</w:t>
            </w:r>
          </w:p>
        </w:tc>
        <w:tc>
          <w:tcPr>
            <w:tcW w:w="1295" w:type="dxa"/>
            <w:hideMark/>
          </w:tcPr>
          <w:p w:rsidR="00C106D7" w:rsidRPr="005B0796" w:rsidRDefault="00C106D7" w:rsidP="009C42AA">
            <w:pPr>
              <w:pStyle w:val="TableText"/>
              <w:jc w:val="right"/>
            </w:pPr>
            <w:r w:rsidRPr="005B0796">
              <w:t>10.6 (9.1, 12.2)</w:t>
            </w:r>
          </w:p>
        </w:tc>
      </w:tr>
      <w:tr w:rsidR="009C42AA" w:rsidRPr="005B0796" w:rsidTr="00BB6C7A">
        <w:trPr>
          <w:cantSplit/>
        </w:trPr>
        <w:tc>
          <w:tcPr>
            <w:tcW w:w="3445" w:type="dxa"/>
            <w:hideMark/>
          </w:tcPr>
          <w:p w:rsidR="00C106D7" w:rsidRPr="005B0796" w:rsidRDefault="00C106D7" w:rsidP="00E96C28">
            <w:pPr>
              <w:pStyle w:val="TableText"/>
              <w:ind w:left="144"/>
            </w:pPr>
            <w:r w:rsidRPr="005B0796">
              <w:t>21–40</w:t>
            </w:r>
          </w:p>
        </w:tc>
        <w:tc>
          <w:tcPr>
            <w:tcW w:w="1294" w:type="dxa"/>
            <w:hideMark/>
          </w:tcPr>
          <w:p w:rsidR="00C106D7" w:rsidRPr="005B0796" w:rsidRDefault="00C106D7" w:rsidP="009C42AA">
            <w:pPr>
              <w:pStyle w:val="TableText"/>
              <w:jc w:val="right"/>
            </w:pPr>
            <w:r w:rsidRPr="005B0796">
              <w:t>1199</w:t>
            </w:r>
          </w:p>
        </w:tc>
        <w:tc>
          <w:tcPr>
            <w:tcW w:w="1295" w:type="dxa"/>
            <w:hideMark/>
          </w:tcPr>
          <w:p w:rsidR="00C106D7" w:rsidRPr="005B0796" w:rsidRDefault="00C106D7" w:rsidP="009C42AA">
            <w:pPr>
              <w:pStyle w:val="TableText"/>
              <w:jc w:val="right"/>
            </w:pPr>
            <w:r w:rsidRPr="005B0796">
              <w:t>7311</w:t>
            </w:r>
          </w:p>
        </w:tc>
        <w:tc>
          <w:tcPr>
            <w:tcW w:w="1295" w:type="dxa"/>
            <w:hideMark/>
          </w:tcPr>
          <w:p w:rsidR="00C106D7" w:rsidRPr="005B0796" w:rsidRDefault="00C106D7" w:rsidP="009C42AA">
            <w:pPr>
              <w:pStyle w:val="TableText"/>
              <w:jc w:val="right"/>
            </w:pPr>
            <w:r w:rsidRPr="005B0796">
              <w:t>46.7 (44.3, 49.1)</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E96C28">
            <w:pPr>
              <w:pStyle w:val="TableText"/>
              <w:ind w:left="144"/>
            </w:pPr>
            <w:r w:rsidRPr="005B0796">
              <w:t>41–60</w:t>
            </w:r>
          </w:p>
        </w:tc>
        <w:tc>
          <w:tcPr>
            <w:tcW w:w="1294" w:type="dxa"/>
            <w:hideMark/>
          </w:tcPr>
          <w:p w:rsidR="00C106D7" w:rsidRPr="005B0796" w:rsidRDefault="00C106D7" w:rsidP="009C42AA">
            <w:pPr>
              <w:pStyle w:val="TableText"/>
              <w:jc w:val="right"/>
            </w:pPr>
            <w:r w:rsidRPr="005B0796">
              <w:t>790</w:t>
            </w:r>
          </w:p>
        </w:tc>
        <w:tc>
          <w:tcPr>
            <w:tcW w:w="1295" w:type="dxa"/>
            <w:hideMark/>
          </w:tcPr>
          <w:p w:rsidR="00C106D7" w:rsidRPr="005B0796" w:rsidRDefault="00C106D7" w:rsidP="009C42AA">
            <w:pPr>
              <w:pStyle w:val="TableText"/>
              <w:jc w:val="right"/>
            </w:pPr>
            <w:r w:rsidRPr="005B0796">
              <w:t>4949</w:t>
            </w:r>
          </w:p>
        </w:tc>
        <w:tc>
          <w:tcPr>
            <w:tcW w:w="1295" w:type="dxa"/>
            <w:hideMark/>
          </w:tcPr>
          <w:p w:rsidR="00C106D7" w:rsidRPr="005B0796" w:rsidRDefault="00C106D7" w:rsidP="009C42AA">
            <w:pPr>
              <w:pStyle w:val="TableText"/>
              <w:jc w:val="right"/>
            </w:pPr>
            <w:r w:rsidRPr="005B0796">
              <w:t>31.6 (29.4, 33.9)</w:t>
            </w:r>
          </w:p>
        </w:tc>
      </w:tr>
      <w:tr w:rsidR="009C42AA" w:rsidRPr="005B0796" w:rsidTr="00BB6C7A">
        <w:trPr>
          <w:cantSplit/>
        </w:trPr>
        <w:tc>
          <w:tcPr>
            <w:tcW w:w="3445" w:type="dxa"/>
            <w:hideMark/>
          </w:tcPr>
          <w:p w:rsidR="00C106D7" w:rsidRPr="005B0796" w:rsidRDefault="00C106D7" w:rsidP="00E96C28">
            <w:pPr>
              <w:pStyle w:val="TableText"/>
              <w:ind w:left="144"/>
            </w:pPr>
            <w:r w:rsidRPr="005B0796">
              <w:t>61–80</w:t>
            </w:r>
          </w:p>
        </w:tc>
        <w:tc>
          <w:tcPr>
            <w:tcW w:w="1294" w:type="dxa"/>
            <w:hideMark/>
          </w:tcPr>
          <w:p w:rsidR="00C106D7" w:rsidRPr="005B0796" w:rsidRDefault="00C106D7" w:rsidP="009C42AA">
            <w:pPr>
              <w:pStyle w:val="TableText"/>
              <w:jc w:val="right"/>
            </w:pPr>
            <w:r w:rsidRPr="005B0796">
              <w:t>94</w:t>
            </w:r>
          </w:p>
        </w:tc>
        <w:tc>
          <w:tcPr>
            <w:tcW w:w="1295" w:type="dxa"/>
            <w:hideMark/>
          </w:tcPr>
          <w:p w:rsidR="00C106D7" w:rsidRPr="005B0796" w:rsidRDefault="00C106D7" w:rsidP="009C42AA">
            <w:pPr>
              <w:pStyle w:val="TableText"/>
              <w:jc w:val="right"/>
            </w:pPr>
            <w:r w:rsidRPr="005B0796">
              <w:t>576</w:t>
            </w:r>
          </w:p>
        </w:tc>
        <w:tc>
          <w:tcPr>
            <w:tcW w:w="1295" w:type="dxa"/>
            <w:hideMark/>
          </w:tcPr>
          <w:p w:rsidR="00C106D7" w:rsidRPr="005B0796" w:rsidRDefault="00C106D7" w:rsidP="009C42AA">
            <w:pPr>
              <w:pStyle w:val="TableText"/>
              <w:jc w:val="right"/>
            </w:pPr>
            <w:r w:rsidRPr="005B0796">
              <w:t>3.7 (2.9, 4.7)</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E96C28">
            <w:pPr>
              <w:pStyle w:val="TableText"/>
              <w:ind w:left="144"/>
            </w:pPr>
            <w:r w:rsidRPr="005B0796">
              <w:t>80 plus</w:t>
            </w:r>
          </w:p>
        </w:tc>
        <w:tc>
          <w:tcPr>
            <w:tcW w:w="1294" w:type="dxa"/>
            <w:hideMark/>
          </w:tcPr>
          <w:p w:rsidR="00C106D7" w:rsidRPr="005B0796" w:rsidRDefault="00C106D7" w:rsidP="009C42AA">
            <w:pPr>
              <w:pStyle w:val="TableText"/>
              <w:jc w:val="right"/>
            </w:pPr>
            <w:r w:rsidRPr="005B0796">
              <w:t>112</w:t>
            </w:r>
          </w:p>
        </w:tc>
        <w:tc>
          <w:tcPr>
            <w:tcW w:w="1295" w:type="dxa"/>
            <w:hideMark/>
          </w:tcPr>
          <w:p w:rsidR="00C106D7" w:rsidRPr="005B0796" w:rsidRDefault="00C106D7" w:rsidP="009C42AA">
            <w:pPr>
              <w:pStyle w:val="TableText"/>
              <w:jc w:val="right"/>
            </w:pPr>
            <w:r w:rsidRPr="005B0796">
              <w:t>790</w:t>
            </w:r>
          </w:p>
        </w:tc>
        <w:tc>
          <w:tcPr>
            <w:tcW w:w="1295" w:type="dxa"/>
            <w:hideMark/>
          </w:tcPr>
          <w:p w:rsidR="00C106D7" w:rsidRPr="005B0796" w:rsidRDefault="00C106D7" w:rsidP="009C42AA">
            <w:pPr>
              <w:pStyle w:val="TableText"/>
              <w:jc w:val="right"/>
            </w:pPr>
            <w:r w:rsidRPr="005B0796">
              <w:t>5.0 (4.0, 6.3)</w:t>
            </w:r>
          </w:p>
        </w:tc>
      </w:tr>
      <w:tr w:rsidR="009C42AA" w:rsidRPr="005B0796" w:rsidTr="00BB6C7A">
        <w:trPr>
          <w:cantSplit/>
        </w:trPr>
        <w:tc>
          <w:tcPr>
            <w:tcW w:w="3445" w:type="dxa"/>
            <w:hideMark/>
          </w:tcPr>
          <w:p w:rsidR="00C106D7" w:rsidRPr="005B0796" w:rsidRDefault="00C106D7" w:rsidP="009C42AA">
            <w:pPr>
              <w:pStyle w:val="TableText"/>
              <w:rPr>
                <w:b/>
              </w:rPr>
            </w:pPr>
            <w:r w:rsidRPr="005B0796">
              <w:rPr>
                <w:b/>
                <w:color w:val="000000" w:themeColor="text1"/>
              </w:rPr>
              <w:t>Civilian employment industry</w:t>
            </w:r>
            <w:r w:rsidRPr="005B0796">
              <w:rPr>
                <w:b/>
                <w:color w:val="000000" w:themeColor="text1"/>
                <w:vertAlign w:val="superscript"/>
              </w:rPr>
              <w:t>a</w:t>
            </w:r>
          </w:p>
        </w:tc>
        <w:tc>
          <w:tcPr>
            <w:tcW w:w="1294"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Agriculture, forestry and fishing</w:t>
            </w:r>
          </w:p>
        </w:tc>
        <w:tc>
          <w:tcPr>
            <w:tcW w:w="1294" w:type="dxa"/>
            <w:hideMark/>
          </w:tcPr>
          <w:p w:rsidR="00C106D7" w:rsidRPr="005B0796" w:rsidRDefault="00C106D7" w:rsidP="009C42AA">
            <w:pPr>
              <w:pStyle w:val="TableText"/>
              <w:jc w:val="right"/>
            </w:pPr>
            <w:r w:rsidRPr="005B0796">
              <w:t>53</w:t>
            </w:r>
          </w:p>
        </w:tc>
        <w:tc>
          <w:tcPr>
            <w:tcW w:w="1295" w:type="dxa"/>
            <w:hideMark/>
          </w:tcPr>
          <w:p w:rsidR="00C106D7" w:rsidRPr="005B0796" w:rsidRDefault="00C106D7" w:rsidP="009C42AA">
            <w:pPr>
              <w:pStyle w:val="TableText"/>
              <w:jc w:val="right"/>
            </w:pPr>
            <w:r w:rsidRPr="005B0796">
              <w:t>380</w:t>
            </w:r>
          </w:p>
        </w:tc>
        <w:tc>
          <w:tcPr>
            <w:tcW w:w="1295" w:type="dxa"/>
            <w:hideMark/>
          </w:tcPr>
          <w:p w:rsidR="00C106D7" w:rsidRPr="005B0796" w:rsidRDefault="00C106D7" w:rsidP="009C42AA">
            <w:pPr>
              <w:pStyle w:val="TableText"/>
              <w:jc w:val="right"/>
            </w:pPr>
            <w:r w:rsidRPr="005B0796">
              <w:t>2.4 (1.7, 3.4)</w:t>
            </w:r>
          </w:p>
        </w:tc>
      </w:tr>
      <w:tr w:rsidR="009C42AA" w:rsidRPr="005B0796" w:rsidTr="00BB6C7A">
        <w:trPr>
          <w:cantSplit/>
        </w:trPr>
        <w:tc>
          <w:tcPr>
            <w:tcW w:w="3445" w:type="dxa"/>
            <w:hideMark/>
          </w:tcPr>
          <w:p w:rsidR="00C106D7" w:rsidRPr="005B0796" w:rsidRDefault="00C106D7" w:rsidP="009C42AA">
            <w:pPr>
              <w:pStyle w:val="TableText"/>
              <w:ind w:left="144"/>
            </w:pPr>
            <w:r w:rsidRPr="005B0796">
              <w:t>Mining</w:t>
            </w:r>
          </w:p>
        </w:tc>
        <w:tc>
          <w:tcPr>
            <w:tcW w:w="1294" w:type="dxa"/>
            <w:hideMark/>
          </w:tcPr>
          <w:p w:rsidR="00C106D7" w:rsidRPr="005B0796" w:rsidRDefault="00C106D7" w:rsidP="009C42AA">
            <w:pPr>
              <w:pStyle w:val="TableText"/>
              <w:jc w:val="right"/>
            </w:pPr>
            <w:r w:rsidRPr="005B0796">
              <w:t>221</w:t>
            </w:r>
          </w:p>
        </w:tc>
        <w:tc>
          <w:tcPr>
            <w:tcW w:w="1295" w:type="dxa"/>
            <w:hideMark/>
          </w:tcPr>
          <w:p w:rsidR="00C106D7" w:rsidRPr="005B0796" w:rsidRDefault="00C106D7" w:rsidP="009C42AA">
            <w:pPr>
              <w:pStyle w:val="TableText"/>
              <w:jc w:val="right"/>
            </w:pPr>
            <w:r w:rsidRPr="005B0796">
              <w:t>1557</w:t>
            </w:r>
          </w:p>
        </w:tc>
        <w:tc>
          <w:tcPr>
            <w:tcW w:w="1295" w:type="dxa"/>
            <w:hideMark/>
          </w:tcPr>
          <w:p w:rsidR="00C106D7" w:rsidRPr="005B0796" w:rsidRDefault="00C106D7" w:rsidP="009C42AA">
            <w:pPr>
              <w:pStyle w:val="TableText"/>
              <w:jc w:val="right"/>
            </w:pPr>
            <w:r w:rsidRPr="005B0796">
              <w:t>9.9 (8.5, 11.6)</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Manufacturing</w:t>
            </w:r>
          </w:p>
        </w:tc>
        <w:tc>
          <w:tcPr>
            <w:tcW w:w="1294" w:type="dxa"/>
            <w:hideMark/>
          </w:tcPr>
          <w:p w:rsidR="00C106D7" w:rsidRPr="005B0796" w:rsidRDefault="00C106D7" w:rsidP="009C42AA">
            <w:pPr>
              <w:pStyle w:val="TableText"/>
              <w:jc w:val="right"/>
            </w:pPr>
            <w:r w:rsidRPr="005B0796">
              <w:t>92</w:t>
            </w:r>
          </w:p>
        </w:tc>
        <w:tc>
          <w:tcPr>
            <w:tcW w:w="1295" w:type="dxa"/>
            <w:hideMark/>
          </w:tcPr>
          <w:p w:rsidR="00C106D7" w:rsidRPr="005B0796" w:rsidRDefault="00C106D7" w:rsidP="009C42AA">
            <w:pPr>
              <w:pStyle w:val="TableText"/>
              <w:jc w:val="right"/>
            </w:pPr>
            <w:r w:rsidRPr="005B0796">
              <w:t>751</w:t>
            </w:r>
          </w:p>
        </w:tc>
        <w:tc>
          <w:tcPr>
            <w:tcW w:w="1295" w:type="dxa"/>
            <w:hideMark/>
          </w:tcPr>
          <w:p w:rsidR="00C106D7" w:rsidRPr="005B0796" w:rsidRDefault="00C106D7" w:rsidP="009C42AA">
            <w:pPr>
              <w:pStyle w:val="TableText"/>
              <w:jc w:val="right"/>
            </w:pPr>
            <w:r w:rsidRPr="005B0796">
              <w:t>4.8 (3.8, 6.1)</w:t>
            </w:r>
          </w:p>
        </w:tc>
      </w:tr>
      <w:tr w:rsidR="009C42AA" w:rsidRPr="005B0796" w:rsidTr="00BB6C7A">
        <w:trPr>
          <w:cantSplit/>
        </w:trPr>
        <w:tc>
          <w:tcPr>
            <w:tcW w:w="3445" w:type="dxa"/>
            <w:hideMark/>
          </w:tcPr>
          <w:p w:rsidR="00C106D7" w:rsidRPr="005B0796" w:rsidRDefault="00C106D7" w:rsidP="009C42AA">
            <w:pPr>
              <w:pStyle w:val="TableText"/>
              <w:ind w:left="144"/>
            </w:pPr>
            <w:r w:rsidRPr="005B0796">
              <w:t>Electricity, gas and water supply</w:t>
            </w:r>
          </w:p>
        </w:tc>
        <w:tc>
          <w:tcPr>
            <w:tcW w:w="1294" w:type="dxa"/>
            <w:hideMark/>
          </w:tcPr>
          <w:p w:rsidR="00C106D7" w:rsidRPr="005B0796" w:rsidRDefault="00C106D7" w:rsidP="009C42AA">
            <w:pPr>
              <w:pStyle w:val="TableText"/>
              <w:jc w:val="right"/>
            </w:pPr>
            <w:r w:rsidRPr="005B0796">
              <w:t>71</w:t>
            </w:r>
          </w:p>
        </w:tc>
        <w:tc>
          <w:tcPr>
            <w:tcW w:w="1295" w:type="dxa"/>
            <w:hideMark/>
          </w:tcPr>
          <w:p w:rsidR="00C106D7" w:rsidRPr="005B0796" w:rsidRDefault="00C106D7" w:rsidP="009C42AA">
            <w:pPr>
              <w:pStyle w:val="TableText"/>
              <w:jc w:val="right"/>
            </w:pPr>
            <w:r w:rsidRPr="005B0796">
              <w:t>504</w:t>
            </w:r>
          </w:p>
        </w:tc>
        <w:tc>
          <w:tcPr>
            <w:tcW w:w="1295" w:type="dxa"/>
            <w:hideMark/>
          </w:tcPr>
          <w:p w:rsidR="00C106D7" w:rsidRPr="005B0796" w:rsidRDefault="00C106D7" w:rsidP="009C42AA">
            <w:pPr>
              <w:pStyle w:val="TableText"/>
              <w:jc w:val="right"/>
            </w:pPr>
            <w:r w:rsidRPr="005B0796">
              <w:t>3.2 (2.4, 4.2)</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Construction</w:t>
            </w:r>
          </w:p>
        </w:tc>
        <w:tc>
          <w:tcPr>
            <w:tcW w:w="1294" w:type="dxa"/>
            <w:hideMark/>
          </w:tcPr>
          <w:p w:rsidR="00C106D7" w:rsidRPr="005B0796" w:rsidRDefault="00C106D7" w:rsidP="009C42AA">
            <w:pPr>
              <w:pStyle w:val="TableText"/>
              <w:jc w:val="right"/>
            </w:pPr>
            <w:r w:rsidRPr="005B0796">
              <w:t>162</w:t>
            </w:r>
          </w:p>
        </w:tc>
        <w:tc>
          <w:tcPr>
            <w:tcW w:w="1295" w:type="dxa"/>
            <w:hideMark/>
          </w:tcPr>
          <w:p w:rsidR="00C106D7" w:rsidRPr="005B0796" w:rsidRDefault="00C106D7" w:rsidP="009C42AA">
            <w:pPr>
              <w:pStyle w:val="TableText"/>
              <w:jc w:val="right"/>
            </w:pPr>
            <w:r w:rsidRPr="005B0796">
              <w:t>1375</w:t>
            </w:r>
          </w:p>
        </w:tc>
        <w:tc>
          <w:tcPr>
            <w:tcW w:w="1295" w:type="dxa"/>
            <w:hideMark/>
          </w:tcPr>
          <w:p w:rsidR="00C106D7" w:rsidRPr="005B0796" w:rsidRDefault="00C106D7" w:rsidP="009C42AA">
            <w:pPr>
              <w:pStyle w:val="TableText"/>
              <w:jc w:val="right"/>
            </w:pPr>
            <w:r w:rsidRPr="005B0796">
              <w:t>8.8 (7.4, 10.4)</w:t>
            </w:r>
          </w:p>
        </w:tc>
      </w:tr>
      <w:tr w:rsidR="009C42AA" w:rsidRPr="005B0796" w:rsidTr="00BB6C7A">
        <w:trPr>
          <w:cantSplit/>
        </w:trPr>
        <w:tc>
          <w:tcPr>
            <w:tcW w:w="3445" w:type="dxa"/>
            <w:hideMark/>
          </w:tcPr>
          <w:p w:rsidR="00C106D7" w:rsidRPr="005B0796" w:rsidRDefault="00C106D7" w:rsidP="009C42AA">
            <w:pPr>
              <w:pStyle w:val="TableText"/>
              <w:ind w:left="144"/>
            </w:pPr>
            <w:r w:rsidRPr="005B0796">
              <w:t>Wholesale trade</w:t>
            </w:r>
          </w:p>
        </w:tc>
        <w:tc>
          <w:tcPr>
            <w:tcW w:w="1294" w:type="dxa"/>
            <w:hideMark/>
          </w:tcPr>
          <w:p w:rsidR="00C106D7" w:rsidRPr="005B0796" w:rsidRDefault="00C106D7" w:rsidP="009C42AA">
            <w:pPr>
              <w:pStyle w:val="TableText"/>
              <w:jc w:val="right"/>
            </w:pPr>
            <w:r w:rsidRPr="005B0796">
              <w:t>23</w:t>
            </w:r>
          </w:p>
        </w:tc>
        <w:tc>
          <w:tcPr>
            <w:tcW w:w="1295" w:type="dxa"/>
            <w:hideMark/>
          </w:tcPr>
          <w:p w:rsidR="00C106D7" w:rsidRPr="005B0796" w:rsidRDefault="00C106D7" w:rsidP="009C42AA">
            <w:pPr>
              <w:pStyle w:val="TableText"/>
              <w:jc w:val="right"/>
            </w:pPr>
            <w:r w:rsidRPr="005B0796">
              <w:t>188</w:t>
            </w:r>
          </w:p>
        </w:tc>
        <w:tc>
          <w:tcPr>
            <w:tcW w:w="1295" w:type="dxa"/>
            <w:hideMark/>
          </w:tcPr>
          <w:p w:rsidR="00C106D7" w:rsidRPr="005B0796" w:rsidRDefault="00C106D7" w:rsidP="009C42AA">
            <w:pPr>
              <w:pStyle w:val="TableText"/>
              <w:jc w:val="right"/>
            </w:pPr>
            <w:r w:rsidRPr="005B0796">
              <w:t>1.2 (0.8, 1.9)</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Retail trade</w:t>
            </w:r>
          </w:p>
        </w:tc>
        <w:tc>
          <w:tcPr>
            <w:tcW w:w="1294" w:type="dxa"/>
            <w:hideMark/>
          </w:tcPr>
          <w:p w:rsidR="00C106D7" w:rsidRPr="005B0796" w:rsidRDefault="00C106D7" w:rsidP="009C42AA">
            <w:pPr>
              <w:pStyle w:val="TableText"/>
              <w:jc w:val="right"/>
            </w:pPr>
            <w:r w:rsidRPr="005B0796">
              <w:t>116</w:t>
            </w:r>
          </w:p>
        </w:tc>
        <w:tc>
          <w:tcPr>
            <w:tcW w:w="1295" w:type="dxa"/>
            <w:hideMark/>
          </w:tcPr>
          <w:p w:rsidR="00C106D7" w:rsidRPr="005B0796" w:rsidRDefault="00C106D7" w:rsidP="009C42AA">
            <w:pPr>
              <w:pStyle w:val="TableText"/>
              <w:jc w:val="right"/>
            </w:pPr>
            <w:r w:rsidRPr="005B0796">
              <w:t>1058</w:t>
            </w:r>
          </w:p>
        </w:tc>
        <w:tc>
          <w:tcPr>
            <w:tcW w:w="1295" w:type="dxa"/>
            <w:hideMark/>
          </w:tcPr>
          <w:p w:rsidR="00C106D7" w:rsidRPr="005B0796" w:rsidRDefault="00C106D7" w:rsidP="009C42AA">
            <w:pPr>
              <w:pStyle w:val="TableText"/>
              <w:jc w:val="right"/>
            </w:pPr>
            <w:r w:rsidRPr="005B0796">
              <w:t>6.8 (5.5, 8.3)</w:t>
            </w:r>
          </w:p>
        </w:tc>
      </w:tr>
      <w:tr w:rsidR="009C42AA" w:rsidRPr="005B0796" w:rsidTr="00BB6C7A">
        <w:trPr>
          <w:cantSplit/>
        </w:trPr>
        <w:tc>
          <w:tcPr>
            <w:tcW w:w="3445" w:type="dxa"/>
            <w:hideMark/>
          </w:tcPr>
          <w:p w:rsidR="00C106D7" w:rsidRPr="005B0796" w:rsidRDefault="00C106D7" w:rsidP="009C42AA">
            <w:pPr>
              <w:pStyle w:val="TableText"/>
              <w:ind w:left="144"/>
            </w:pPr>
            <w:r w:rsidRPr="005B0796">
              <w:t>Accommodation, cafes and restaurants</w:t>
            </w:r>
          </w:p>
        </w:tc>
        <w:tc>
          <w:tcPr>
            <w:tcW w:w="1294" w:type="dxa"/>
            <w:hideMark/>
          </w:tcPr>
          <w:p w:rsidR="00C106D7" w:rsidRPr="005B0796" w:rsidRDefault="00C106D7" w:rsidP="009C42AA">
            <w:pPr>
              <w:pStyle w:val="TableText"/>
              <w:jc w:val="right"/>
            </w:pPr>
            <w:r w:rsidRPr="005B0796">
              <w:t>54</w:t>
            </w:r>
          </w:p>
        </w:tc>
        <w:tc>
          <w:tcPr>
            <w:tcW w:w="1295" w:type="dxa"/>
            <w:hideMark/>
          </w:tcPr>
          <w:p w:rsidR="00C106D7" w:rsidRPr="005B0796" w:rsidRDefault="00C106D7" w:rsidP="009C42AA">
            <w:pPr>
              <w:pStyle w:val="TableText"/>
              <w:jc w:val="right"/>
            </w:pPr>
            <w:r w:rsidRPr="005B0796">
              <w:t>420</w:t>
            </w:r>
          </w:p>
        </w:tc>
        <w:tc>
          <w:tcPr>
            <w:tcW w:w="1295" w:type="dxa"/>
            <w:hideMark/>
          </w:tcPr>
          <w:p w:rsidR="00C106D7" w:rsidRPr="005B0796" w:rsidRDefault="00C106D7" w:rsidP="009C42AA">
            <w:pPr>
              <w:pStyle w:val="TableText"/>
              <w:jc w:val="right"/>
            </w:pPr>
            <w:r w:rsidRPr="005B0796">
              <w:t>2.7 (1.9, 3.7)</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Transport and storage</w:t>
            </w:r>
          </w:p>
        </w:tc>
        <w:tc>
          <w:tcPr>
            <w:tcW w:w="1294" w:type="dxa"/>
            <w:hideMark/>
          </w:tcPr>
          <w:p w:rsidR="00C106D7" w:rsidRPr="005B0796" w:rsidRDefault="00C106D7" w:rsidP="009C42AA">
            <w:pPr>
              <w:pStyle w:val="TableText"/>
              <w:jc w:val="right"/>
            </w:pPr>
            <w:r w:rsidRPr="005B0796">
              <w:t>230</w:t>
            </w:r>
          </w:p>
        </w:tc>
        <w:tc>
          <w:tcPr>
            <w:tcW w:w="1295" w:type="dxa"/>
            <w:hideMark/>
          </w:tcPr>
          <w:p w:rsidR="00C106D7" w:rsidRPr="005B0796" w:rsidRDefault="00C106D7" w:rsidP="009C42AA">
            <w:pPr>
              <w:pStyle w:val="TableText"/>
              <w:jc w:val="right"/>
            </w:pPr>
            <w:r w:rsidRPr="005B0796">
              <w:t>1340</w:t>
            </w:r>
          </w:p>
        </w:tc>
        <w:tc>
          <w:tcPr>
            <w:tcW w:w="1295" w:type="dxa"/>
            <w:hideMark/>
          </w:tcPr>
          <w:p w:rsidR="00C106D7" w:rsidRPr="005B0796" w:rsidRDefault="00C106D7" w:rsidP="009C42AA">
            <w:pPr>
              <w:pStyle w:val="TableText"/>
              <w:jc w:val="right"/>
            </w:pPr>
            <w:r w:rsidRPr="005B0796">
              <w:t>8.6 (7.3, 9.9)</w:t>
            </w:r>
          </w:p>
        </w:tc>
      </w:tr>
      <w:tr w:rsidR="009C42AA" w:rsidRPr="005B0796" w:rsidTr="00BB6C7A">
        <w:trPr>
          <w:cantSplit/>
        </w:trPr>
        <w:tc>
          <w:tcPr>
            <w:tcW w:w="3445" w:type="dxa"/>
            <w:hideMark/>
          </w:tcPr>
          <w:p w:rsidR="00C106D7" w:rsidRPr="005B0796" w:rsidRDefault="00C106D7" w:rsidP="009C42AA">
            <w:pPr>
              <w:pStyle w:val="TableText"/>
              <w:ind w:left="144"/>
            </w:pPr>
            <w:r w:rsidRPr="005B0796">
              <w:t>Communication services</w:t>
            </w:r>
          </w:p>
        </w:tc>
        <w:tc>
          <w:tcPr>
            <w:tcW w:w="1294" w:type="dxa"/>
            <w:hideMark/>
          </w:tcPr>
          <w:p w:rsidR="00C106D7" w:rsidRPr="005B0796" w:rsidRDefault="00C106D7" w:rsidP="009C42AA">
            <w:pPr>
              <w:pStyle w:val="TableText"/>
              <w:jc w:val="right"/>
            </w:pPr>
            <w:r w:rsidRPr="005B0796">
              <w:t>96</w:t>
            </w:r>
          </w:p>
        </w:tc>
        <w:tc>
          <w:tcPr>
            <w:tcW w:w="1295" w:type="dxa"/>
            <w:hideMark/>
          </w:tcPr>
          <w:p w:rsidR="00C106D7" w:rsidRPr="005B0796" w:rsidRDefault="00C106D7" w:rsidP="009C42AA">
            <w:pPr>
              <w:pStyle w:val="TableText"/>
              <w:jc w:val="right"/>
            </w:pPr>
            <w:r w:rsidRPr="005B0796">
              <w:t>666</w:t>
            </w:r>
          </w:p>
        </w:tc>
        <w:tc>
          <w:tcPr>
            <w:tcW w:w="1295" w:type="dxa"/>
            <w:hideMark/>
          </w:tcPr>
          <w:p w:rsidR="00C106D7" w:rsidRPr="005B0796" w:rsidRDefault="00C106D7" w:rsidP="009C42AA">
            <w:pPr>
              <w:pStyle w:val="TableText"/>
              <w:jc w:val="right"/>
            </w:pPr>
            <w:r w:rsidRPr="005B0796">
              <w:t>4.3 (3.4, 5.4)</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Finance and insurance</w:t>
            </w:r>
          </w:p>
        </w:tc>
        <w:tc>
          <w:tcPr>
            <w:tcW w:w="1294" w:type="dxa"/>
            <w:hideMark/>
          </w:tcPr>
          <w:p w:rsidR="00C106D7" w:rsidRPr="005B0796" w:rsidRDefault="00C106D7" w:rsidP="009C42AA">
            <w:pPr>
              <w:pStyle w:val="TableText"/>
              <w:jc w:val="right"/>
            </w:pPr>
            <w:r w:rsidRPr="005B0796">
              <w:t>35</w:t>
            </w:r>
          </w:p>
        </w:tc>
        <w:tc>
          <w:tcPr>
            <w:tcW w:w="1295" w:type="dxa"/>
            <w:hideMark/>
          </w:tcPr>
          <w:p w:rsidR="00C106D7" w:rsidRPr="005B0796" w:rsidRDefault="00C106D7" w:rsidP="009C42AA">
            <w:pPr>
              <w:pStyle w:val="TableText"/>
              <w:jc w:val="right"/>
            </w:pPr>
            <w:r w:rsidRPr="005B0796">
              <w:t>216</w:t>
            </w:r>
          </w:p>
        </w:tc>
        <w:tc>
          <w:tcPr>
            <w:tcW w:w="1295" w:type="dxa"/>
            <w:hideMark/>
          </w:tcPr>
          <w:p w:rsidR="00C106D7" w:rsidRPr="005B0796" w:rsidRDefault="00C106D7" w:rsidP="009C42AA">
            <w:pPr>
              <w:pStyle w:val="TableText"/>
              <w:jc w:val="right"/>
            </w:pPr>
            <w:r w:rsidRPr="005B0796">
              <w:t>1.4 (0.9, 2.1)</w:t>
            </w:r>
          </w:p>
        </w:tc>
      </w:tr>
      <w:tr w:rsidR="009C42AA" w:rsidRPr="005B0796" w:rsidTr="00BB6C7A">
        <w:trPr>
          <w:cantSplit/>
        </w:trPr>
        <w:tc>
          <w:tcPr>
            <w:tcW w:w="3445" w:type="dxa"/>
            <w:hideMark/>
          </w:tcPr>
          <w:p w:rsidR="00C106D7" w:rsidRPr="005B0796" w:rsidRDefault="00C106D7" w:rsidP="009C42AA">
            <w:pPr>
              <w:pStyle w:val="TableText"/>
              <w:ind w:left="144"/>
            </w:pPr>
            <w:r w:rsidRPr="005B0796">
              <w:t>Property and business services</w:t>
            </w:r>
          </w:p>
        </w:tc>
        <w:tc>
          <w:tcPr>
            <w:tcW w:w="1294" w:type="dxa"/>
            <w:hideMark/>
          </w:tcPr>
          <w:p w:rsidR="00C106D7" w:rsidRPr="005B0796" w:rsidRDefault="00C106D7" w:rsidP="009C42AA">
            <w:pPr>
              <w:pStyle w:val="TableText"/>
              <w:jc w:val="right"/>
            </w:pPr>
            <w:r w:rsidRPr="005B0796">
              <w:t>63</w:t>
            </w:r>
          </w:p>
        </w:tc>
        <w:tc>
          <w:tcPr>
            <w:tcW w:w="1295" w:type="dxa"/>
            <w:hideMark/>
          </w:tcPr>
          <w:p w:rsidR="00C106D7" w:rsidRPr="005B0796" w:rsidRDefault="00C106D7" w:rsidP="009C42AA">
            <w:pPr>
              <w:pStyle w:val="TableText"/>
              <w:jc w:val="right"/>
            </w:pPr>
            <w:r w:rsidRPr="005B0796">
              <w:t>407</w:t>
            </w:r>
          </w:p>
        </w:tc>
        <w:tc>
          <w:tcPr>
            <w:tcW w:w="1295" w:type="dxa"/>
            <w:hideMark/>
          </w:tcPr>
          <w:p w:rsidR="00C106D7" w:rsidRPr="005B0796" w:rsidRDefault="00C106D7" w:rsidP="009C42AA">
            <w:pPr>
              <w:pStyle w:val="TableText"/>
              <w:jc w:val="right"/>
            </w:pPr>
            <w:r w:rsidRPr="005B0796">
              <w:t>2.6 (1.9, 3.5)</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Government administration and Defence</w:t>
            </w:r>
          </w:p>
        </w:tc>
        <w:tc>
          <w:tcPr>
            <w:tcW w:w="1294" w:type="dxa"/>
            <w:hideMark/>
          </w:tcPr>
          <w:p w:rsidR="00C106D7" w:rsidRPr="005B0796" w:rsidRDefault="00C106D7" w:rsidP="009C42AA">
            <w:pPr>
              <w:pStyle w:val="TableText"/>
              <w:jc w:val="right"/>
            </w:pPr>
            <w:r w:rsidRPr="005B0796">
              <w:t>589</w:t>
            </w:r>
          </w:p>
        </w:tc>
        <w:tc>
          <w:tcPr>
            <w:tcW w:w="1295" w:type="dxa"/>
            <w:hideMark/>
          </w:tcPr>
          <w:p w:rsidR="00C106D7" w:rsidRPr="005B0796" w:rsidRDefault="00C106D7" w:rsidP="009C42AA">
            <w:pPr>
              <w:pStyle w:val="TableText"/>
              <w:jc w:val="right"/>
            </w:pPr>
            <w:r w:rsidRPr="005B0796">
              <w:t>2637</w:t>
            </w:r>
          </w:p>
        </w:tc>
        <w:tc>
          <w:tcPr>
            <w:tcW w:w="1295" w:type="dxa"/>
            <w:hideMark/>
          </w:tcPr>
          <w:p w:rsidR="00C106D7" w:rsidRPr="005B0796" w:rsidRDefault="00C106D7" w:rsidP="009C42AA">
            <w:pPr>
              <w:pStyle w:val="TableText"/>
              <w:jc w:val="right"/>
            </w:pPr>
            <w:r w:rsidRPr="005B0796">
              <w:t>16.8 (15.4, 18.4)</w:t>
            </w:r>
          </w:p>
        </w:tc>
      </w:tr>
      <w:tr w:rsidR="009C42AA" w:rsidRPr="005B0796" w:rsidTr="00BB6C7A">
        <w:trPr>
          <w:cantSplit/>
        </w:trPr>
        <w:tc>
          <w:tcPr>
            <w:tcW w:w="3445" w:type="dxa"/>
            <w:hideMark/>
          </w:tcPr>
          <w:p w:rsidR="00C106D7" w:rsidRPr="005B0796" w:rsidRDefault="00C106D7" w:rsidP="009C42AA">
            <w:pPr>
              <w:pStyle w:val="TableText"/>
              <w:ind w:left="144"/>
            </w:pPr>
            <w:r w:rsidRPr="005B0796">
              <w:t>Education</w:t>
            </w:r>
          </w:p>
        </w:tc>
        <w:tc>
          <w:tcPr>
            <w:tcW w:w="1294" w:type="dxa"/>
            <w:hideMark/>
          </w:tcPr>
          <w:p w:rsidR="00C106D7" w:rsidRPr="005B0796" w:rsidRDefault="00C106D7" w:rsidP="009C42AA">
            <w:pPr>
              <w:pStyle w:val="TableText"/>
              <w:jc w:val="right"/>
            </w:pPr>
            <w:r w:rsidRPr="005B0796">
              <w:t>119</w:t>
            </w:r>
          </w:p>
        </w:tc>
        <w:tc>
          <w:tcPr>
            <w:tcW w:w="1295" w:type="dxa"/>
            <w:hideMark/>
          </w:tcPr>
          <w:p w:rsidR="00C106D7" w:rsidRPr="005B0796" w:rsidRDefault="00C106D7" w:rsidP="009C42AA">
            <w:pPr>
              <w:pStyle w:val="TableText"/>
              <w:jc w:val="right"/>
            </w:pPr>
            <w:r w:rsidRPr="005B0796">
              <w:t>598</w:t>
            </w:r>
          </w:p>
        </w:tc>
        <w:tc>
          <w:tcPr>
            <w:tcW w:w="1295" w:type="dxa"/>
            <w:hideMark/>
          </w:tcPr>
          <w:p w:rsidR="00C106D7" w:rsidRPr="005B0796" w:rsidRDefault="00C106D7" w:rsidP="009C42AA">
            <w:pPr>
              <w:pStyle w:val="TableText"/>
              <w:jc w:val="right"/>
            </w:pPr>
            <w:r w:rsidRPr="005B0796">
              <w:t>3.8 (3.1, 4.8)</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Health and community services</w:t>
            </w:r>
          </w:p>
        </w:tc>
        <w:tc>
          <w:tcPr>
            <w:tcW w:w="1294" w:type="dxa"/>
            <w:hideMark/>
          </w:tcPr>
          <w:p w:rsidR="00C106D7" w:rsidRPr="005B0796" w:rsidRDefault="00C106D7" w:rsidP="009C42AA">
            <w:pPr>
              <w:pStyle w:val="TableText"/>
              <w:jc w:val="right"/>
            </w:pPr>
            <w:r w:rsidRPr="005B0796">
              <w:t>226</w:t>
            </w:r>
          </w:p>
        </w:tc>
        <w:tc>
          <w:tcPr>
            <w:tcW w:w="1295" w:type="dxa"/>
            <w:hideMark/>
          </w:tcPr>
          <w:p w:rsidR="00C106D7" w:rsidRPr="005B0796" w:rsidRDefault="00C106D7" w:rsidP="009C42AA">
            <w:pPr>
              <w:pStyle w:val="TableText"/>
              <w:jc w:val="right"/>
            </w:pPr>
            <w:r w:rsidRPr="005B0796">
              <w:t>1210</w:t>
            </w:r>
          </w:p>
        </w:tc>
        <w:tc>
          <w:tcPr>
            <w:tcW w:w="1295" w:type="dxa"/>
            <w:hideMark/>
          </w:tcPr>
          <w:p w:rsidR="00C106D7" w:rsidRPr="005B0796" w:rsidRDefault="00C106D7" w:rsidP="009C42AA">
            <w:pPr>
              <w:pStyle w:val="TableText"/>
              <w:jc w:val="right"/>
            </w:pPr>
            <w:r w:rsidRPr="005B0796">
              <w:t>7.7 (6.6, 9.0)</w:t>
            </w:r>
          </w:p>
        </w:tc>
      </w:tr>
      <w:tr w:rsidR="009C42AA" w:rsidRPr="005B0796" w:rsidTr="00BB6C7A">
        <w:trPr>
          <w:cantSplit/>
        </w:trPr>
        <w:tc>
          <w:tcPr>
            <w:tcW w:w="3445" w:type="dxa"/>
            <w:hideMark/>
          </w:tcPr>
          <w:p w:rsidR="00C106D7" w:rsidRPr="005B0796" w:rsidRDefault="00C106D7" w:rsidP="009C42AA">
            <w:pPr>
              <w:pStyle w:val="TableText"/>
              <w:ind w:left="144"/>
            </w:pPr>
            <w:r w:rsidRPr="005B0796">
              <w:t>Cultural and recreational services</w:t>
            </w:r>
          </w:p>
        </w:tc>
        <w:tc>
          <w:tcPr>
            <w:tcW w:w="1294" w:type="dxa"/>
            <w:hideMark/>
          </w:tcPr>
          <w:p w:rsidR="00C106D7" w:rsidRPr="005B0796" w:rsidRDefault="00C106D7" w:rsidP="009C42AA">
            <w:pPr>
              <w:pStyle w:val="TableText"/>
              <w:jc w:val="right"/>
            </w:pPr>
            <w:r w:rsidRPr="005B0796">
              <w:t>30</w:t>
            </w:r>
          </w:p>
        </w:tc>
        <w:tc>
          <w:tcPr>
            <w:tcW w:w="1295" w:type="dxa"/>
            <w:hideMark/>
          </w:tcPr>
          <w:p w:rsidR="00C106D7" w:rsidRPr="005B0796" w:rsidRDefault="00C106D7" w:rsidP="009C42AA">
            <w:pPr>
              <w:pStyle w:val="TableText"/>
              <w:jc w:val="right"/>
            </w:pPr>
            <w:r w:rsidRPr="005B0796">
              <w:t>201</w:t>
            </w:r>
          </w:p>
        </w:tc>
        <w:tc>
          <w:tcPr>
            <w:tcW w:w="1295" w:type="dxa"/>
            <w:hideMark/>
          </w:tcPr>
          <w:p w:rsidR="00C106D7" w:rsidRPr="005B0796" w:rsidRDefault="00C106D7" w:rsidP="009C42AA">
            <w:pPr>
              <w:pStyle w:val="TableText"/>
              <w:jc w:val="right"/>
            </w:pPr>
            <w:r w:rsidRPr="005B0796">
              <w:t>1.3 (0.8, 1.9)</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Personal and other services</w:t>
            </w:r>
          </w:p>
        </w:tc>
        <w:tc>
          <w:tcPr>
            <w:tcW w:w="1294" w:type="dxa"/>
            <w:hideMark/>
          </w:tcPr>
          <w:p w:rsidR="00C106D7" w:rsidRPr="005B0796" w:rsidRDefault="00C106D7" w:rsidP="009C42AA">
            <w:pPr>
              <w:pStyle w:val="TableText"/>
              <w:jc w:val="right"/>
            </w:pPr>
            <w:r w:rsidRPr="005B0796">
              <w:t>149</w:t>
            </w:r>
          </w:p>
        </w:tc>
        <w:tc>
          <w:tcPr>
            <w:tcW w:w="1295" w:type="dxa"/>
            <w:hideMark/>
          </w:tcPr>
          <w:p w:rsidR="00C106D7" w:rsidRPr="005B0796" w:rsidRDefault="00C106D7" w:rsidP="009C42AA">
            <w:pPr>
              <w:pStyle w:val="TableText"/>
              <w:jc w:val="right"/>
            </w:pPr>
            <w:r w:rsidRPr="005B0796">
              <w:t>908</w:t>
            </w:r>
          </w:p>
        </w:tc>
        <w:tc>
          <w:tcPr>
            <w:tcW w:w="1295" w:type="dxa"/>
            <w:hideMark/>
          </w:tcPr>
          <w:p w:rsidR="00C106D7" w:rsidRPr="005B0796" w:rsidRDefault="00C106D7" w:rsidP="009C42AA">
            <w:pPr>
              <w:pStyle w:val="TableText"/>
              <w:jc w:val="right"/>
            </w:pPr>
            <w:r w:rsidRPr="005B0796">
              <w:t>5.8 (4.8, 7.0)</w:t>
            </w:r>
          </w:p>
        </w:tc>
      </w:tr>
      <w:tr w:rsidR="009C42AA" w:rsidRPr="005B0796" w:rsidTr="00BB6C7A">
        <w:trPr>
          <w:cantSplit/>
        </w:trPr>
        <w:tc>
          <w:tcPr>
            <w:tcW w:w="3445" w:type="dxa"/>
            <w:hideMark/>
          </w:tcPr>
          <w:p w:rsidR="00C106D7" w:rsidRPr="005B0796" w:rsidRDefault="00C106D7" w:rsidP="009C42AA">
            <w:pPr>
              <w:pStyle w:val="TableText"/>
              <w:ind w:left="144"/>
            </w:pPr>
            <w:r w:rsidRPr="005B0796">
              <w:t>Emergency services</w:t>
            </w:r>
          </w:p>
        </w:tc>
        <w:tc>
          <w:tcPr>
            <w:tcW w:w="1294" w:type="dxa"/>
            <w:hideMark/>
          </w:tcPr>
          <w:p w:rsidR="00C106D7" w:rsidRPr="005B0796" w:rsidRDefault="00C106D7" w:rsidP="009C42AA">
            <w:pPr>
              <w:pStyle w:val="TableText"/>
              <w:jc w:val="right"/>
            </w:pPr>
            <w:r w:rsidRPr="005B0796">
              <w:t>153</w:t>
            </w:r>
          </w:p>
        </w:tc>
        <w:tc>
          <w:tcPr>
            <w:tcW w:w="1295" w:type="dxa"/>
            <w:hideMark/>
          </w:tcPr>
          <w:p w:rsidR="00C106D7" w:rsidRPr="005B0796" w:rsidRDefault="00C106D7" w:rsidP="009C42AA">
            <w:pPr>
              <w:pStyle w:val="TableText"/>
              <w:jc w:val="right"/>
            </w:pPr>
            <w:r w:rsidRPr="005B0796">
              <w:t>1044</w:t>
            </w:r>
          </w:p>
        </w:tc>
        <w:tc>
          <w:tcPr>
            <w:tcW w:w="1295" w:type="dxa"/>
            <w:hideMark/>
          </w:tcPr>
          <w:p w:rsidR="00C106D7" w:rsidRPr="005B0796" w:rsidRDefault="00C106D7" w:rsidP="009C42AA">
            <w:pPr>
              <w:pStyle w:val="TableText"/>
              <w:jc w:val="right"/>
            </w:pPr>
            <w:r w:rsidRPr="005B0796">
              <w:t>6.7 (5.5, 8.1)</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rPr>
                <w:b/>
              </w:rPr>
            </w:pPr>
            <w:r w:rsidRPr="005B0796">
              <w:rPr>
                <w:b/>
              </w:rPr>
              <w:t>Unemployment: at least 3-month period since transition</w:t>
            </w:r>
          </w:p>
        </w:tc>
        <w:tc>
          <w:tcPr>
            <w:tcW w:w="1294"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r>
      <w:tr w:rsidR="009C42AA" w:rsidRPr="005B0796" w:rsidTr="00BB6C7A">
        <w:trPr>
          <w:cantSplit/>
        </w:trPr>
        <w:tc>
          <w:tcPr>
            <w:tcW w:w="3445" w:type="dxa"/>
            <w:hideMark/>
          </w:tcPr>
          <w:p w:rsidR="00C106D7" w:rsidRPr="005B0796" w:rsidRDefault="00C106D7" w:rsidP="009C42AA">
            <w:pPr>
              <w:pStyle w:val="TableText"/>
              <w:ind w:left="144"/>
            </w:pPr>
            <w:r w:rsidRPr="005B0796">
              <w:t>Yes</w:t>
            </w:r>
          </w:p>
        </w:tc>
        <w:tc>
          <w:tcPr>
            <w:tcW w:w="1294" w:type="dxa"/>
            <w:hideMark/>
          </w:tcPr>
          <w:p w:rsidR="00C106D7" w:rsidRPr="005B0796" w:rsidRDefault="00C106D7" w:rsidP="009C42AA">
            <w:pPr>
              <w:pStyle w:val="TableText"/>
              <w:jc w:val="right"/>
            </w:pPr>
            <w:r w:rsidRPr="005B0796">
              <w:t>1762</w:t>
            </w:r>
          </w:p>
        </w:tc>
        <w:tc>
          <w:tcPr>
            <w:tcW w:w="1295" w:type="dxa"/>
            <w:hideMark/>
          </w:tcPr>
          <w:p w:rsidR="00C106D7" w:rsidRPr="005B0796" w:rsidRDefault="00C106D7" w:rsidP="009C42AA">
            <w:pPr>
              <w:pStyle w:val="TableText"/>
              <w:jc w:val="right"/>
            </w:pPr>
            <w:r w:rsidRPr="005B0796">
              <w:t>10,906</w:t>
            </w:r>
          </w:p>
        </w:tc>
        <w:tc>
          <w:tcPr>
            <w:tcW w:w="1295" w:type="dxa"/>
            <w:hideMark/>
          </w:tcPr>
          <w:p w:rsidR="00C106D7" w:rsidRPr="005B0796" w:rsidRDefault="00C106D7" w:rsidP="009C42AA">
            <w:pPr>
              <w:pStyle w:val="TableText"/>
              <w:jc w:val="right"/>
            </w:pPr>
            <w:r w:rsidRPr="005B0796">
              <w:t>43.7 (42.0, 45.5)</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No</w:t>
            </w:r>
          </w:p>
        </w:tc>
        <w:tc>
          <w:tcPr>
            <w:tcW w:w="1294" w:type="dxa"/>
            <w:hideMark/>
          </w:tcPr>
          <w:p w:rsidR="00C106D7" w:rsidRPr="005B0796" w:rsidRDefault="00C106D7" w:rsidP="009C42AA">
            <w:pPr>
              <w:pStyle w:val="TableText"/>
              <w:jc w:val="right"/>
            </w:pPr>
            <w:r w:rsidRPr="005B0796">
              <w:t>2455</w:t>
            </w:r>
          </w:p>
        </w:tc>
        <w:tc>
          <w:tcPr>
            <w:tcW w:w="1295" w:type="dxa"/>
            <w:hideMark/>
          </w:tcPr>
          <w:p w:rsidR="00C106D7" w:rsidRPr="005B0796" w:rsidRDefault="00C106D7" w:rsidP="009C42AA">
            <w:pPr>
              <w:pStyle w:val="TableText"/>
              <w:jc w:val="right"/>
            </w:pPr>
            <w:r w:rsidRPr="005B0796">
              <w:t>13,359</w:t>
            </w:r>
          </w:p>
        </w:tc>
        <w:tc>
          <w:tcPr>
            <w:tcW w:w="1295" w:type="dxa"/>
            <w:hideMark/>
          </w:tcPr>
          <w:p w:rsidR="00C106D7" w:rsidRPr="005B0796" w:rsidRDefault="00C106D7" w:rsidP="009C42AA">
            <w:pPr>
              <w:pStyle w:val="TableText"/>
              <w:jc w:val="right"/>
            </w:pPr>
            <w:r w:rsidRPr="005B0796">
              <w:t>53.6 (51.8, 55.3)</w:t>
            </w:r>
          </w:p>
        </w:tc>
      </w:tr>
      <w:tr w:rsidR="009C42AA" w:rsidRPr="005B0796" w:rsidTr="00BB6C7A">
        <w:trPr>
          <w:cantSplit/>
        </w:trPr>
        <w:tc>
          <w:tcPr>
            <w:tcW w:w="3445" w:type="dxa"/>
            <w:hideMark/>
          </w:tcPr>
          <w:p w:rsidR="00C106D7" w:rsidRPr="005B0796" w:rsidRDefault="00C106D7" w:rsidP="009C42AA">
            <w:pPr>
              <w:pStyle w:val="TableText"/>
              <w:rPr>
                <w:b/>
              </w:rPr>
            </w:pPr>
            <w:r w:rsidRPr="005B0796">
              <w:rPr>
                <w:b/>
              </w:rPr>
              <w:t>DVA support since transition</w:t>
            </w:r>
          </w:p>
        </w:tc>
        <w:tc>
          <w:tcPr>
            <w:tcW w:w="1294"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c>
          <w:tcPr>
            <w:tcW w:w="1295" w:type="dxa"/>
          </w:tcPr>
          <w:p w:rsidR="00C106D7" w:rsidRPr="005B0796" w:rsidRDefault="00C106D7" w:rsidP="009C42AA">
            <w:pPr>
              <w:pStyle w:val="TableText"/>
              <w:jc w:val="right"/>
            </w:pP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Treatment support (White or Gold Card)</w:t>
            </w:r>
          </w:p>
        </w:tc>
        <w:tc>
          <w:tcPr>
            <w:tcW w:w="1294" w:type="dxa"/>
            <w:hideMark/>
          </w:tcPr>
          <w:p w:rsidR="00C106D7" w:rsidRPr="005B0796" w:rsidRDefault="00C106D7" w:rsidP="009C42AA">
            <w:pPr>
              <w:pStyle w:val="TableText"/>
              <w:jc w:val="right"/>
            </w:pPr>
            <w:r w:rsidRPr="005B0796">
              <w:t>1773</w:t>
            </w:r>
          </w:p>
        </w:tc>
        <w:tc>
          <w:tcPr>
            <w:tcW w:w="1295" w:type="dxa"/>
            <w:hideMark/>
          </w:tcPr>
          <w:p w:rsidR="00C106D7" w:rsidRPr="005B0796" w:rsidRDefault="00C106D7" w:rsidP="009C42AA">
            <w:pPr>
              <w:pStyle w:val="TableText"/>
              <w:jc w:val="right"/>
            </w:pPr>
            <w:r w:rsidRPr="005B0796">
              <w:t>10,879</w:t>
            </w:r>
          </w:p>
        </w:tc>
        <w:tc>
          <w:tcPr>
            <w:tcW w:w="1295" w:type="dxa"/>
            <w:hideMark/>
          </w:tcPr>
          <w:p w:rsidR="00C106D7" w:rsidRPr="005B0796" w:rsidRDefault="00C106D7" w:rsidP="009C42AA">
            <w:pPr>
              <w:pStyle w:val="TableText"/>
              <w:jc w:val="right"/>
            </w:pPr>
            <w:r w:rsidRPr="005B0796">
              <w:t>43.6 (41.8, 45.5)</w:t>
            </w:r>
          </w:p>
        </w:tc>
      </w:tr>
      <w:tr w:rsidR="009C42AA" w:rsidRPr="005B0796" w:rsidTr="00BB6C7A">
        <w:trPr>
          <w:cantSplit/>
        </w:trPr>
        <w:tc>
          <w:tcPr>
            <w:tcW w:w="3445" w:type="dxa"/>
            <w:hideMark/>
          </w:tcPr>
          <w:p w:rsidR="00C106D7" w:rsidRPr="005B0796" w:rsidRDefault="00C106D7" w:rsidP="009C42AA">
            <w:pPr>
              <w:pStyle w:val="TableText"/>
              <w:ind w:left="144"/>
            </w:pPr>
            <w:r w:rsidRPr="005B0796">
              <w:t>White Card</w:t>
            </w:r>
          </w:p>
        </w:tc>
        <w:tc>
          <w:tcPr>
            <w:tcW w:w="1294" w:type="dxa"/>
            <w:hideMark/>
          </w:tcPr>
          <w:p w:rsidR="00C106D7" w:rsidRPr="005B0796" w:rsidRDefault="00C106D7" w:rsidP="009C42AA">
            <w:pPr>
              <w:pStyle w:val="TableText"/>
              <w:jc w:val="right"/>
            </w:pPr>
            <w:r w:rsidRPr="005B0796">
              <w:t>1565</w:t>
            </w:r>
          </w:p>
        </w:tc>
        <w:tc>
          <w:tcPr>
            <w:tcW w:w="1295" w:type="dxa"/>
            <w:hideMark/>
          </w:tcPr>
          <w:p w:rsidR="00C106D7" w:rsidRPr="005B0796" w:rsidRDefault="00C106D7" w:rsidP="009C42AA">
            <w:pPr>
              <w:pStyle w:val="TableText"/>
              <w:jc w:val="right"/>
            </w:pPr>
            <w:r w:rsidRPr="005B0796">
              <w:t>9834</w:t>
            </w:r>
          </w:p>
        </w:tc>
        <w:tc>
          <w:tcPr>
            <w:tcW w:w="1295" w:type="dxa"/>
            <w:hideMark/>
          </w:tcPr>
          <w:p w:rsidR="00C106D7" w:rsidRPr="005B0796" w:rsidRDefault="00C106D7" w:rsidP="009C42AA">
            <w:pPr>
              <w:pStyle w:val="TableText"/>
              <w:jc w:val="right"/>
            </w:pPr>
            <w:r w:rsidRPr="005B0796">
              <w:t>39.4 (37.6, 41.3)</w:t>
            </w:r>
          </w:p>
        </w:tc>
      </w:tr>
      <w:tr w:rsidR="009C42AA" w:rsidRPr="005B0796" w:rsidTr="00BB6C7A">
        <w:trPr>
          <w:cnfStyle w:val="000000100000" w:firstRow="0" w:lastRow="0" w:firstColumn="0" w:lastColumn="0" w:oddVBand="0" w:evenVBand="0" w:oddHBand="1" w:evenHBand="0" w:firstRowFirstColumn="0" w:firstRowLastColumn="0" w:lastRowFirstColumn="0" w:lastRowLastColumn="0"/>
          <w:cantSplit/>
        </w:trPr>
        <w:tc>
          <w:tcPr>
            <w:tcW w:w="3445" w:type="dxa"/>
            <w:hideMark/>
          </w:tcPr>
          <w:p w:rsidR="00C106D7" w:rsidRPr="005B0796" w:rsidRDefault="00C106D7" w:rsidP="009C42AA">
            <w:pPr>
              <w:pStyle w:val="TableText"/>
              <w:ind w:left="144"/>
            </w:pPr>
            <w:r w:rsidRPr="005B0796">
              <w:t>Gold Card</w:t>
            </w:r>
          </w:p>
        </w:tc>
        <w:tc>
          <w:tcPr>
            <w:tcW w:w="1294" w:type="dxa"/>
            <w:hideMark/>
          </w:tcPr>
          <w:p w:rsidR="00C106D7" w:rsidRPr="005B0796" w:rsidRDefault="00C106D7" w:rsidP="009C42AA">
            <w:pPr>
              <w:pStyle w:val="TableText"/>
              <w:jc w:val="right"/>
            </w:pPr>
            <w:r w:rsidRPr="005B0796">
              <w:t>211</w:t>
            </w:r>
          </w:p>
        </w:tc>
        <w:tc>
          <w:tcPr>
            <w:tcW w:w="1295" w:type="dxa"/>
            <w:hideMark/>
          </w:tcPr>
          <w:p w:rsidR="00C106D7" w:rsidRPr="005B0796" w:rsidRDefault="00C106D7" w:rsidP="009C42AA">
            <w:pPr>
              <w:pStyle w:val="TableText"/>
              <w:jc w:val="right"/>
            </w:pPr>
            <w:r w:rsidRPr="005B0796">
              <w:t>1057</w:t>
            </w:r>
          </w:p>
        </w:tc>
        <w:tc>
          <w:tcPr>
            <w:tcW w:w="1295" w:type="dxa"/>
            <w:hideMark/>
          </w:tcPr>
          <w:p w:rsidR="00C106D7" w:rsidRPr="005B0796" w:rsidRDefault="00C106D7" w:rsidP="009C42AA">
            <w:pPr>
              <w:pStyle w:val="TableText"/>
              <w:jc w:val="right"/>
            </w:pPr>
            <w:r w:rsidRPr="005B0796">
              <w:t>4.2 (3.6, 4.9)</w:t>
            </w:r>
          </w:p>
        </w:tc>
      </w:tr>
    </w:tbl>
    <w:p w:rsidR="00C106D7" w:rsidRPr="005B0796" w:rsidRDefault="00C106D7" w:rsidP="00C106D7">
      <w:pPr>
        <w:pStyle w:val="TableNotes"/>
      </w:pPr>
      <w:r w:rsidRPr="005B0796">
        <w:t xml:space="preserve">a: Proportion of Employed Transition ADF only </w:t>
      </w:r>
    </w:p>
    <w:p w:rsidR="00C106D7" w:rsidRPr="005B0796" w:rsidRDefault="00C106D7" w:rsidP="00C106D7">
      <w:pPr>
        <w:pStyle w:val="TableNotes"/>
        <w:rPr>
          <w:bCs/>
        </w:rPr>
      </w:pPr>
      <w:r w:rsidRPr="005B0796">
        <w:rPr>
          <w:bCs/>
        </w:rPr>
        <w:t>Note: 95%</w:t>
      </w:r>
      <w:r w:rsidR="00E96C28">
        <w:rPr>
          <w:bCs/>
        </w:rPr>
        <w:t xml:space="preserve"> </w:t>
      </w:r>
      <w:r w:rsidRPr="005B0796">
        <w:rPr>
          <w:bCs/>
        </w:rPr>
        <w:t xml:space="preserve">CI: 95% </w:t>
      </w:r>
      <w:r w:rsidR="00564689" w:rsidRPr="005B0796">
        <w:rPr>
          <w:bCs/>
        </w:rPr>
        <w:t>confidence interval</w:t>
      </w:r>
    </w:p>
    <w:p w:rsidR="00C106D7" w:rsidRPr="005B0796" w:rsidRDefault="00C106D7" w:rsidP="00C106D7">
      <w:pPr>
        <w:pStyle w:val="TableNotes"/>
        <w:rPr>
          <w:bCs/>
        </w:rPr>
      </w:pPr>
      <w:r w:rsidRPr="005B0796">
        <w:rPr>
          <w:bCs/>
        </w:rPr>
        <w:t>Missing: Civilian employment: 75 (2.0%), Hours worked 71 (2.5%)</w:t>
      </w:r>
      <w:r w:rsidR="00E96C28">
        <w:rPr>
          <w:bCs/>
        </w:rPr>
        <w:t>,</w:t>
      </w:r>
      <w:r w:rsidRPr="005B0796">
        <w:rPr>
          <w:bCs/>
        </w:rPr>
        <w:t xml:space="preserve"> Industry 34 (1.3%), Unemployment 109 (2.7%)</w:t>
      </w:r>
    </w:p>
    <w:p w:rsidR="00C106D7" w:rsidRPr="005B0796" w:rsidRDefault="00C106D7" w:rsidP="00C106D7">
      <w:pPr>
        <w:pStyle w:val="TableName"/>
      </w:pPr>
      <w:bookmarkStart w:id="217" w:name="_Ref482013640"/>
      <w:bookmarkStart w:id="218" w:name="_Toc479243379"/>
      <w:bookmarkStart w:id="219" w:name="_Toc482023765"/>
      <w:bookmarkStart w:id="220" w:name="_Toc487014251"/>
      <w:bookmarkStart w:id="221" w:name="_Toc492995554"/>
      <w:bookmarkStart w:id="222" w:name="_Toc51190040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3</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5</w:t>
      </w:r>
      <w:r w:rsidR="00D30A3C">
        <w:rPr>
          <w:noProof/>
        </w:rPr>
        <w:fldChar w:fldCharType="end"/>
      </w:r>
      <w:bookmarkEnd w:id="217"/>
      <w:r w:rsidRPr="005B0796">
        <w:tab/>
        <w:t>Weighted ESO engagement and incarcerations in Transitioned ADF</w:t>
      </w:r>
      <w:bookmarkEnd w:id="218"/>
      <w:bookmarkEnd w:id="219"/>
      <w:bookmarkEnd w:id="220"/>
      <w:bookmarkEnd w:id="221"/>
      <w:bookmarkEnd w:id="222"/>
    </w:p>
    <w:tbl>
      <w:tblPr>
        <w:tblStyle w:val="TWRPTable"/>
        <w:tblW w:w="5000" w:type="pct"/>
        <w:tblLayout w:type="fixed"/>
        <w:tblLook w:val="04A0" w:firstRow="1" w:lastRow="0" w:firstColumn="1" w:lastColumn="0" w:noHBand="0" w:noVBand="1"/>
        <w:tblDescription w:val="Table 3.5 Weighted ESO engagement and incarcerations in Transitioned ADF"/>
      </w:tblPr>
      <w:tblGrid>
        <w:gridCol w:w="2881"/>
        <w:gridCol w:w="1478"/>
        <w:gridCol w:w="1478"/>
        <w:gridCol w:w="1478"/>
      </w:tblGrid>
      <w:tr w:rsidR="00C106D7" w:rsidRPr="005B0796" w:rsidTr="009C42AA">
        <w:trPr>
          <w:cnfStyle w:val="100000000000" w:firstRow="1" w:lastRow="0" w:firstColumn="0" w:lastColumn="0" w:oddVBand="0" w:evenVBand="0" w:oddHBand="0" w:evenHBand="0" w:firstRowFirstColumn="0" w:firstRowLastColumn="0" w:lastRowFirstColumn="0" w:lastRowLastColumn="0"/>
          <w:tblHeader/>
        </w:trPr>
        <w:tc>
          <w:tcPr>
            <w:tcW w:w="2881" w:type="dxa"/>
            <w:tcBorders>
              <w:top w:val="single" w:sz="4" w:space="0" w:color="000000"/>
              <w:bottom w:val="nil"/>
            </w:tcBorders>
          </w:tcPr>
          <w:p w:rsidR="00C106D7" w:rsidRPr="005B0796" w:rsidRDefault="00C106D7" w:rsidP="009C42AA">
            <w:pPr>
              <w:pStyle w:val="TableText"/>
              <w:rPr>
                <w:b w:val="0"/>
              </w:rPr>
            </w:pPr>
          </w:p>
        </w:tc>
        <w:tc>
          <w:tcPr>
            <w:tcW w:w="4434" w:type="dxa"/>
            <w:gridSpan w:val="3"/>
            <w:hideMark/>
          </w:tcPr>
          <w:p w:rsidR="00C106D7" w:rsidRPr="005B0796" w:rsidRDefault="00C106D7" w:rsidP="009C42AA">
            <w:pPr>
              <w:pStyle w:val="TableText"/>
              <w:jc w:val="center"/>
              <w:rPr>
                <w:b w:val="0"/>
              </w:rPr>
            </w:pPr>
            <w:r w:rsidRPr="005B0796">
              <w:t>Transitioned ADF</w:t>
            </w:r>
            <w:r w:rsidR="009C42AA" w:rsidRPr="005B0796">
              <w:br/>
            </w:r>
            <w:r w:rsidRPr="005B0796">
              <w:t xml:space="preserve">N = </w:t>
            </w:r>
            <w:r w:rsidRPr="005B0796">
              <w:rPr>
                <w:color w:val="000000" w:themeColor="text1"/>
              </w:rPr>
              <w:t>24,932</w:t>
            </w:r>
          </w:p>
        </w:tc>
      </w:tr>
      <w:tr w:rsidR="009C42AA" w:rsidRPr="005B0796" w:rsidTr="009C42AA">
        <w:trPr>
          <w:cnfStyle w:val="100000000000" w:firstRow="1" w:lastRow="0" w:firstColumn="0" w:lastColumn="0" w:oddVBand="0" w:evenVBand="0" w:oddHBand="0" w:evenHBand="0" w:firstRowFirstColumn="0" w:firstRowLastColumn="0" w:lastRowFirstColumn="0" w:lastRowLastColumn="0"/>
          <w:tblHeader/>
        </w:trPr>
        <w:tc>
          <w:tcPr>
            <w:tcW w:w="2881" w:type="dxa"/>
            <w:tcBorders>
              <w:top w:val="nil"/>
            </w:tcBorders>
            <w:hideMark/>
          </w:tcPr>
          <w:p w:rsidR="00C106D7" w:rsidRPr="005B0796" w:rsidRDefault="00C106D7" w:rsidP="009C42AA">
            <w:pPr>
              <w:pStyle w:val="TableText"/>
            </w:pPr>
            <w:r w:rsidRPr="005B0796">
              <w:t>Characteristic</w:t>
            </w:r>
          </w:p>
        </w:tc>
        <w:tc>
          <w:tcPr>
            <w:tcW w:w="1478" w:type="dxa"/>
            <w:hideMark/>
          </w:tcPr>
          <w:p w:rsidR="00C106D7" w:rsidRPr="005B0796" w:rsidRDefault="00C106D7" w:rsidP="009C42AA">
            <w:pPr>
              <w:pStyle w:val="TableText"/>
              <w:jc w:val="right"/>
              <w:rPr>
                <w:b w:val="0"/>
              </w:rPr>
            </w:pPr>
            <w:r w:rsidRPr="005B0796">
              <w:t>n</w:t>
            </w:r>
          </w:p>
        </w:tc>
        <w:tc>
          <w:tcPr>
            <w:tcW w:w="1478" w:type="dxa"/>
            <w:hideMark/>
          </w:tcPr>
          <w:p w:rsidR="00C106D7" w:rsidRPr="005B0796" w:rsidRDefault="00C106D7" w:rsidP="009C42AA">
            <w:pPr>
              <w:pStyle w:val="TableText"/>
              <w:jc w:val="right"/>
              <w:rPr>
                <w:b w:val="0"/>
              </w:rPr>
            </w:pPr>
            <w:r w:rsidRPr="005B0796">
              <w:t>Weighted n</w:t>
            </w:r>
          </w:p>
        </w:tc>
        <w:tc>
          <w:tcPr>
            <w:tcW w:w="1478" w:type="dxa"/>
            <w:hideMark/>
          </w:tcPr>
          <w:p w:rsidR="00C106D7" w:rsidRPr="005B0796" w:rsidRDefault="00C106D7" w:rsidP="009C42AA">
            <w:pPr>
              <w:pStyle w:val="TableText"/>
              <w:jc w:val="right"/>
              <w:rPr>
                <w:b w:val="0"/>
              </w:rPr>
            </w:pPr>
            <w:r w:rsidRPr="005B0796">
              <w:t>% (95% CI)</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rPr>
                <w:b/>
              </w:rPr>
            </w:pPr>
            <w:r w:rsidRPr="005B0796">
              <w:rPr>
                <w:b/>
              </w:rPr>
              <w:t xml:space="preserve">No. of ex-service organisations joined </w:t>
            </w:r>
          </w:p>
        </w:tc>
        <w:tc>
          <w:tcPr>
            <w:tcW w:w="1478" w:type="dxa"/>
          </w:tcPr>
          <w:p w:rsidR="00C106D7" w:rsidRPr="005B0796" w:rsidRDefault="00C106D7" w:rsidP="009C42AA">
            <w:pPr>
              <w:pStyle w:val="TableText"/>
              <w:jc w:val="right"/>
            </w:pPr>
          </w:p>
        </w:tc>
        <w:tc>
          <w:tcPr>
            <w:tcW w:w="1478" w:type="dxa"/>
          </w:tcPr>
          <w:p w:rsidR="00C106D7" w:rsidRPr="005B0796" w:rsidRDefault="00C106D7" w:rsidP="009C42AA">
            <w:pPr>
              <w:pStyle w:val="TableText"/>
              <w:jc w:val="right"/>
            </w:pPr>
          </w:p>
        </w:tc>
        <w:tc>
          <w:tcPr>
            <w:tcW w:w="1478" w:type="dxa"/>
          </w:tcPr>
          <w:p w:rsidR="00C106D7" w:rsidRPr="005B0796" w:rsidRDefault="00C106D7" w:rsidP="009C42AA">
            <w:pPr>
              <w:pStyle w:val="TableText"/>
              <w:jc w:val="right"/>
            </w:pPr>
          </w:p>
        </w:tc>
      </w:tr>
      <w:tr w:rsidR="00C106D7" w:rsidRPr="005B0796" w:rsidTr="009C42AA">
        <w:tc>
          <w:tcPr>
            <w:tcW w:w="2881" w:type="dxa"/>
            <w:hideMark/>
          </w:tcPr>
          <w:p w:rsidR="00C106D7" w:rsidRPr="005B0796" w:rsidRDefault="00C106D7" w:rsidP="009C42AA">
            <w:pPr>
              <w:pStyle w:val="TableText"/>
              <w:ind w:left="144"/>
            </w:pPr>
            <w:r w:rsidRPr="005B0796">
              <w:t>None</w:t>
            </w:r>
          </w:p>
        </w:tc>
        <w:tc>
          <w:tcPr>
            <w:tcW w:w="1478" w:type="dxa"/>
            <w:hideMark/>
          </w:tcPr>
          <w:p w:rsidR="00C106D7" w:rsidRPr="005B0796" w:rsidRDefault="00C106D7" w:rsidP="009C42AA">
            <w:pPr>
              <w:pStyle w:val="TableText"/>
              <w:jc w:val="right"/>
            </w:pPr>
            <w:r w:rsidRPr="005B0796">
              <w:t>2358</w:t>
            </w:r>
          </w:p>
        </w:tc>
        <w:tc>
          <w:tcPr>
            <w:tcW w:w="1478" w:type="dxa"/>
            <w:hideMark/>
          </w:tcPr>
          <w:p w:rsidR="00C106D7" w:rsidRPr="005B0796" w:rsidRDefault="00C106D7" w:rsidP="009C42AA">
            <w:pPr>
              <w:pStyle w:val="TableText"/>
              <w:jc w:val="right"/>
            </w:pPr>
            <w:r w:rsidRPr="005B0796">
              <w:t>17,359</w:t>
            </w:r>
          </w:p>
        </w:tc>
        <w:tc>
          <w:tcPr>
            <w:tcW w:w="1478" w:type="dxa"/>
            <w:hideMark/>
          </w:tcPr>
          <w:p w:rsidR="00C106D7" w:rsidRPr="005B0796" w:rsidRDefault="00C106D7" w:rsidP="009C42AA">
            <w:pPr>
              <w:pStyle w:val="TableText"/>
              <w:jc w:val="right"/>
            </w:pPr>
            <w:r w:rsidRPr="005B0796">
              <w:t>69.6 (67.7, 71.5)</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1</w:t>
            </w:r>
          </w:p>
        </w:tc>
        <w:tc>
          <w:tcPr>
            <w:tcW w:w="1478" w:type="dxa"/>
            <w:hideMark/>
          </w:tcPr>
          <w:p w:rsidR="00C106D7" w:rsidRPr="005B0796" w:rsidRDefault="00C106D7" w:rsidP="009C42AA">
            <w:pPr>
              <w:pStyle w:val="TableText"/>
              <w:jc w:val="right"/>
            </w:pPr>
            <w:r w:rsidRPr="005B0796">
              <w:t>834</w:t>
            </w:r>
          </w:p>
        </w:tc>
        <w:tc>
          <w:tcPr>
            <w:tcW w:w="1478" w:type="dxa"/>
            <w:hideMark/>
          </w:tcPr>
          <w:p w:rsidR="00C106D7" w:rsidRPr="005B0796" w:rsidRDefault="00C106D7" w:rsidP="009C42AA">
            <w:pPr>
              <w:pStyle w:val="TableText"/>
              <w:jc w:val="right"/>
            </w:pPr>
            <w:r w:rsidRPr="005B0796">
              <w:t>5060</w:t>
            </w:r>
          </w:p>
        </w:tc>
        <w:tc>
          <w:tcPr>
            <w:tcW w:w="1478" w:type="dxa"/>
            <w:hideMark/>
          </w:tcPr>
          <w:p w:rsidR="00C106D7" w:rsidRPr="005B0796" w:rsidRDefault="00C106D7" w:rsidP="009C42AA">
            <w:pPr>
              <w:pStyle w:val="TableText"/>
              <w:jc w:val="right"/>
            </w:pPr>
            <w:r w:rsidRPr="005B0796">
              <w:t>20.3 (18.8, 21.9)</w:t>
            </w:r>
          </w:p>
        </w:tc>
      </w:tr>
      <w:tr w:rsidR="00C106D7" w:rsidRPr="005B0796" w:rsidTr="009C42AA">
        <w:tc>
          <w:tcPr>
            <w:tcW w:w="2881" w:type="dxa"/>
            <w:hideMark/>
          </w:tcPr>
          <w:p w:rsidR="00C106D7" w:rsidRPr="005B0796" w:rsidRDefault="00C106D7" w:rsidP="009C42AA">
            <w:pPr>
              <w:pStyle w:val="TableText"/>
              <w:ind w:left="144"/>
            </w:pPr>
            <w:r w:rsidRPr="005B0796">
              <w:t>2</w:t>
            </w:r>
          </w:p>
        </w:tc>
        <w:tc>
          <w:tcPr>
            <w:tcW w:w="1478" w:type="dxa"/>
            <w:hideMark/>
          </w:tcPr>
          <w:p w:rsidR="00C106D7" w:rsidRPr="005B0796" w:rsidRDefault="00C106D7" w:rsidP="009C42AA">
            <w:pPr>
              <w:pStyle w:val="TableText"/>
              <w:jc w:val="right"/>
            </w:pPr>
            <w:r w:rsidRPr="005B0796">
              <w:t>228</w:t>
            </w:r>
          </w:p>
        </w:tc>
        <w:tc>
          <w:tcPr>
            <w:tcW w:w="1478" w:type="dxa"/>
            <w:hideMark/>
          </w:tcPr>
          <w:p w:rsidR="00C106D7" w:rsidRPr="005B0796" w:rsidRDefault="00C106D7" w:rsidP="009C42AA">
            <w:pPr>
              <w:pStyle w:val="TableText"/>
              <w:jc w:val="right"/>
            </w:pPr>
            <w:r w:rsidRPr="005B0796">
              <w:t>1347</w:t>
            </w:r>
          </w:p>
        </w:tc>
        <w:tc>
          <w:tcPr>
            <w:tcW w:w="1478" w:type="dxa"/>
            <w:hideMark/>
          </w:tcPr>
          <w:p w:rsidR="00C106D7" w:rsidRPr="005B0796" w:rsidRDefault="00C106D7" w:rsidP="009C42AA">
            <w:pPr>
              <w:pStyle w:val="TableText"/>
              <w:jc w:val="right"/>
            </w:pPr>
            <w:r w:rsidRPr="005B0796">
              <w:t>5.4 (4.6, 6.3)</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3</w:t>
            </w:r>
          </w:p>
        </w:tc>
        <w:tc>
          <w:tcPr>
            <w:tcW w:w="1478" w:type="dxa"/>
            <w:hideMark/>
          </w:tcPr>
          <w:p w:rsidR="00C106D7" w:rsidRPr="005B0796" w:rsidRDefault="00C106D7" w:rsidP="009C42AA">
            <w:pPr>
              <w:pStyle w:val="TableText"/>
              <w:jc w:val="right"/>
            </w:pPr>
            <w:r w:rsidRPr="005B0796">
              <w:t>63</w:t>
            </w:r>
          </w:p>
        </w:tc>
        <w:tc>
          <w:tcPr>
            <w:tcW w:w="1478" w:type="dxa"/>
            <w:hideMark/>
          </w:tcPr>
          <w:p w:rsidR="00C106D7" w:rsidRPr="005B0796" w:rsidRDefault="00C106D7" w:rsidP="009C42AA">
            <w:pPr>
              <w:pStyle w:val="TableText"/>
              <w:jc w:val="right"/>
            </w:pPr>
            <w:r w:rsidRPr="005B0796">
              <w:t>374</w:t>
            </w:r>
          </w:p>
        </w:tc>
        <w:tc>
          <w:tcPr>
            <w:tcW w:w="1478" w:type="dxa"/>
            <w:hideMark/>
          </w:tcPr>
          <w:p w:rsidR="00C106D7" w:rsidRPr="005B0796" w:rsidRDefault="00C106D7" w:rsidP="009C42AA">
            <w:pPr>
              <w:pStyle w:val="TableText"/>
              <w:jc w:val="right"/>
            </w:pPr>
            <w:r w:rsidRPr="005B0796">
              <w:t>1.5 (1.1, 2.0)</w:t>
            </w:r>
          </w:p>
        </w:tc>
      </w:tr>
      <w:tr w:rsidR="00C106D7" w:rsidRPr="005B0796" w:rsidTr="009C42AA">
        <w:tc>
          <w:tcPr>
            <w:tcW w:w="2881" w:type="dxa"/>
            <w:hideMark/>
          </w:tcPr>
          <w:p w:rsidR="00C106D7" w:rsidRPr="005B0796" w:rsidRDefault="00C106D7" w:rsidP="009C42AA">
            <w:pPr>
              <w:pStyle w:val="TableText"/>
              <w:ind w:left="144"/>
            </w:pPr>
            <w:r w:rsidRPr="005B0796">
              <w:t>4</w:t>
            </w:r>
          </w:p>
        </w:tc>
        <w:tc>
          <w:tcPr>
            <w:tcW w:w="1478" w:type="dxa"/>
            <w:hideMark/>
          </w:tcPr>
          <w:p w:rsidR="00C106D7" w:rsidRPr="005B0796" w:rsidRDefault="00C106D7" w:rsidP="009C42AA">
            <w:pPr>
              <w:pStyle w:val="TableText"/>
              <w:jc w:val="right"/>
            </w:pPr>
            <w:r w:rsidRPr="005B0796">
              <w:t>17</w:t>
            </w:r>
          </w:p>
        </w:tc>
        <w:tc>
          <w:tcPr>
            <w:tcW w:w="1478" w:type="dxa"/>
            <w:hideMark/>
          </w:tcPr>
          <w:p w:rsidR="00C106D7" w:rsidRPr="005B0796" w:rsidRDefault="00C106D7" w:rsidP="009C42AA">
            <w:pPr>
              <w:pStyle w:val="TableText"/>
              <w:jc w:val="right"/>
            </w:pPr>
            <w:r w:rsidRPr="005B0796">
              <w:t>82</w:t>
            </w:r>
          </w:p>
        </w:tc>
        <w:tc>
          <w:tcPr>
            <w:tcW w:w="1478" w:type="dxa"/>
            <w:hideMark/>
          </w:tcPr>
          <w:p w:rsidR="00C106D7" w:rsidRPr="005B0796" w:rsidRDefault="00C106D7" w:rsidP="009C42AA">
            <w:pPr>
              <w:pStyle w:val="TableText"/>
              <w:jc w:val="right"/>
            </w:pPr>
            <w:r w:rsidRPr="005B0796">
              <w:t>0.3 (0.2, 0.6)</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5 plus</w:t>
            </w:r>
          </w:p>
        </w:tc>
        <w:tc>
          <w:tcPr>
            <w:tcW w:w="1478" w:type="dxa"/>
            <w:hideMark/>
          </w:tcPr>
          <w:p w:rsidR="00C106D7" w:rsidRPr="005B0796" w:rsidRDefault="00C106D7" w:rsidP="009C42AA">
            <w:pPr>
              <w:pStyle w:val="TableText"/>
              <w:jc w:val="right"/>
            </w:pPr>
            <w:r w:rsidRPr="005B0796">
              <w:t>11</w:t>
            </w:r>
          </w:p>
        </w:tc>
        <w:tc>
          <w:tcPr>
            <w:tcW w:w="1478" w:type="dxa"/>
            <w:hideMark/>
          </w:tcPr>
          <w:p w:rsidR="00C106D7" w:rsidRPr="005B0796" w:rsidRDefault="00C106D7" w:rsidP="009C42AA">
            <w:pPr>
              <w:pStyle w:val="TableText"/>
              <w:jc w:val="right"/>
            </w:pPr>
            <w:r w:rsidRPr="005B0796">
              <w:t>47</w:t>
            </w:r>
          </w:p>
        </w:tc>
        <w:tc>
          <w:tcPr>
            <w:tcW w:w="1478" w:type="dxa"/>
            <w:hideMark/>
          </w:tcPr>
          <w:p w:rsidR="00C106D7" w:rsidRPr="005B0796" w:rsidRDefault="00C106D7" w:rsidP="009C42AA">
            <w:pPr>
              <w:pStyle w:val="TableText"/>
              <w:jc w:val="right"/>
            </w:pPr>
            <w:r w:rsidRPr="005B0796">
              <w:t>0.2 (0.1, 0.3)</w:t>
            </w:r>
          </w:p>
        </w:tc>
      </w:tr>
      <w:tr w:rsidR="00C106D7" w:rsidRPr="005B0796" w:rsidTr="009C42AA">
        <w:tc>
          <w:tcPr>
            <w:tcW w:w="2881" w:type="dxa"/>
            <w:hideMark/>
          </w:tcPr>
          <w:p w:rsidR="00C106D7" w:rsidRPr="005B0796" w:rsidRDefault="00C106D7" w:rsidP="009C42AA">
            <w:pPr>
              <w:pStyle w:val="TableText"/>
              <w:rPr>
                <w:b/>
              </w:rPr>
            </w:pPr>
            <w:r w:rsidRPr="005B0796">
              <w:rPr>
                <w:b/>
              </w:rPr>
              <w:t xml:space="preserve">No. of other voluntary groups joined </w:t>
            </w:r>
          </w:p>
        </w:tc>
        <w:tc>
          <w:tcPr>
            <w:tcW w:w="1478" w:type="dxa"/>
          </w:tcPr>
          <w:p w:rsidR="00C106D7" w:rsidRPr="005B0796" w:rsidRDefault="00C106D7" w:rsidP="009C42AA">
            <w:pPr>
              <w:pStyle w:val="TableText"/>
              <w:jc w:val="right"/>
            </w:pPr>
          </w:p>
        </w:tc>
        <w:tc>
          <w:tcPr>
            <w:tcW w:w="1478" w:type="dxa"/>
          </w:tcPr>
          <w:p w:rsidR="00C106D7" w:rsidRPr="005B0796" w:rsidRDefault="00C106D7" w:rsidP="009C42AA">
            <w:pPr>
              <w:pStyle w:val="TableText"/>
              <w:jc w:val="right"/>
            </w:pPr>
          </w:p>
        </w:tc>
        <w:tc>
          <w:tcPr>
            <w:tcW w:w="1478" w:type="dxa"/>
          </w:tcPr>
          <w:p w:rsidR="00C106D7" w:rsidRPr="005B0796" w:rsidRDefault="00C106D7" w:rsidP="009C42AA">
            <w:pPr>
              <w:pStyle w:val="TableText"/>
              <w:jc w:val="right"/>
            </w:pP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None</w:t>
            </w:r>
          </w:p>
        </w:tc>
        <w:tc>
          <w:tcPr>
            <w:tcW w:w="1478" w:type="dxa"/>
            <w:hideMark/>
          </w:tcPr>
          <w:p w:rsidR="00C106D7" w:rsidRPr="005B0796" w:rsidRDefault="00C106D7" w:rsidP="009C42AA">
            <w:pPr>
              <w:pStyle w:val="TableText"/>
              <w:jc w:val="right"/>
            </w:pPr>
            <w:r w:rsidRPr="005B0796">
              <w:t>2204</w:t>
            </w:r>
          </w:p>
        </w:tc>
        <w:tc>
          <w:tcPr>
            <w:tcW w:w="1478" w:type="dxa"/>
            <w:hideMark/>
          </w:tcPr>
          <w:p w:rsidR="00C106D7" w:rsidRPr="005B0796" w:rsidRDefault="00C106D7" w:rsidP="009C42AA">
            <w:pPr>
              <w:pStyle w:val="TableText"/>
              <w:jc w:val="right"/>
            </w:pPr>
            <w:r w:rsidRPr="005B0796">
              <w:t>16,202</w:t>
            </w:r>
          </w:p>
        </w:tc>
        <w:tc>
          <w:tcPr>
            <w:tcW w:w="1478" w:type="dxa"/>
            <w:hideMark/>
          </w:tcPr>
          <w:p w:rsidR="00C106D7" w:rsidRPr="005B0796" w:rsidRDefault="00C106D7" w:rsidP="009C42AA">
            <w:pPr>
              <w:pStyle w:val="TableText"/>
              <w:jc w:val="right"/>
            </w:pPr>
            <w:r w:rsidRPr="005B0796">
              <w:t>64.9 (63.0, 66.9)</w:t>
            </w:r>
          </w:p>
        </w:tc>
      </w:tr>
      <w:tr w:rsidR="00C106D7" w:rsidRPr="005B0796" w:rsidTr="009C42AA">
        <w:tc>
          <w:tcPr>
            <w:tcW w:w="2881" w:type="dxa"/>
            <w:hideMark/>
          </w:tcPr>
          <w:p w:rsidR="00C106D7" w:rsidRPr="005B0796" w:rsidRDefault="00C106D7" w:rsidP="009C42AA">
            <w:pPr>
              <w:pStyle w:val="TableText"/>
              <w:ind w:left="144"/>
            </w:pPr>
            <w:r w:rsidRPr="005B0796">
              <w:t>1</w:t>
            </w:r>
          </w:p>
        </w:tc>
        <w:tc>
          <w:tcPr>
            <w:tcW w:w="1478" w:type="dxa"/>
            <w:hideMark/>
          </w:tcPr>
          <w:p w:rsidR="00C106D7" w:rsidRPr="005B0796" w:rsidRDefault="00C106D7" w:rsidP="009C42AA">
            <w:pPr>
              <w:pStyle w:val="TableText"/>
              <w:jc w:val="right"/>
            </w:pPr>
            <w:r w:rsidRPr="005B0796">
              <w:t>732</w:t>
            </w:r>
          </w:p>
        </w:tc>
        <w:tc>
          <w:tcPr>
            <w:tcW w:w="1478" w:type="dxa"/>
            <w:hideMark/>
          </w:tcPr>
          <w:p w:rsidR="00C106D7" w:rsidRPr="005B0796" w:rsidRDefault="00C106D7" w:rsidP="009C42AA">
            <w:pPr>
              <w:pStyle w:val="TableText"/>
              <w:jc w:val="right"/>
            </w:pPr>
            <w:r w:rsidRPr="005B0796">
              <w:t>4610</w:t>
            </w:r>
          </w:p>
        </w:tc>
        <w:tc>
          <w:tcPr>
            <w:tcW w:w="1478" w:type="dxa"/>
            <w:hideMark/>
          </w:tcPr>
          <w:p w:rsidR="00C106D7" w:rsidRPr="005B0796" w:rsidRDefault="00C106D7" w:rsidP="009C42AA">
            <w:pPr>
              <w:pStyle w:val="TableText"/>
              <w:jc w:val="right"/>
            </w:pPr>
            <w:r w:rsidRPr="005B0796">
              <w:t>18.5 (17.0, 20.1)</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2</w:t>
            </w:r>
          </w:p>
        </w:tc>
        <w:tc>
          <w:tcPr>
            <w:tcW w:w="1478" w:type="dxa"/>
            <w:hideMark/>
          </w:tcPr>
          <w:p w:rsidR="00C106D7" w:rsidRPr="005B0796" w:rsidRDefault="00C106D7" w:rsidP="009C42AA">
            <w:pPr>
              <w:pStyle w:val="TableText"/>
              <w:jc w:val="right"/>
            </w:pPr>
            <w:r w:rsidRPr="005B0796">
              <w:t>345</w:t>
            </w:r>
          </w:p>
        </w:tc>
        <w:tc>
          <w:tcPr>
            <w:tcW w:w="1478" w:type="dxa"/>
            <w:hideMark/>
          </w:tcPr>
          <w:p w:rsidR="00C106D7" w:rsidRPr="005B0796" w:rsidRDefault="00C106D7" w:rsidP="009C42AA">
            <w:pPr>
              <w:pStyle w:val="TableText"/>
              <w:jc w:val="right"/>
            </w:pPr>
            <w:r w:rsidRPr="005B0796">
              <w:t>1961</w:t>
            </w:r>
          </w:p>
        </w:tc>
        <w:tc>
          <w:tcPr>
            <w:tcW w:w="1478" w:type="dxa"/>
            <w:hideMark/>
          </w:tcPr>
          <w:p w:rsidR="00C106D7" w:rsidRPr="005B0796" w:rsidRDefault="00C106D7" w:rsidP="009C42AA">
            <w:pPr>
              <w:pStyle w:val="TableText"/>
              <w:jc w:val="right"/>
            </w:pPr>
            <w:r w:rsidRPr="005B0796">
              <w:t>7.9 (6.9, 8.9)</w:t>
            </w:r>
          </w:p>
        </w:tc>
      </w:tr>
      <w:tr w:rsidR="00C106D7" w:rsidRPr="005B0796" w:rsidTr="009C42AA">
        <w:tc>
          <w:tcPr>
            <w:tcW w:w="2881" w:type="dxa"/>
            <w:hideMark/>
          </w:tcPr>
          <w:p w:rsidR="00C106D7" w:rsidRPr="005B0796" w:rsidRDefault="00C106D7" w:rsidP="009C42AA">
            <w:pPr>
              <w:pStyle w:val="TableText"/>
              <w:ind w:left="144"/>
            </w:pPr>
            <w:r w:rsidRPr="005B0796">
              <w:t>3</w:t>
            </w:r>
          </w:p>
        </w:tc>
        <w:tc>
          <w:tcPr>
            <w:tcW w:w="1478" w:type="dxa"/>
            <w:hideMark/>
          </w:tcPr>
          <w:p w:rsidR="00C106D7" w:rsidRPr="005B0796" w:rsidRDefault="00C106D7" w:rsidP="009C42AA">
            <w:pPr>
              <w:pStyle w:val="TableText"/>
              <w:jc w:val="right"/>
            </w:pPr>
            <w:r w:rsidRPr="005B0796">
              <w:t>133</w:t>
            </w:r>
          </w:p>
        </w:tc>
        <w:tc>
          <w:tcPr>
            <w:tcW w:w="1478" w:type="dxa"/>
            <w:hideMark/>
          </w:tcPr>
          <w:p w:rsidR="00C106D7" w:rsidRPr="005B0796" w:rsidRDefault="00C106D7" w:rsidP="009C42AA">
            <w:pPr>
              <w:pStyle w:val="TableText"/>
              <w:jc w:val="right"/>
            </w:pPr>
            <w:r w:rsidRPr="005B0796">
              <w:t>854</w:t>
            </w:r>
          </w:p>
        </w:tc>
        <w:tc>
          <w:tcPr>
            <w:tcW w:w="1478" w:type="dxa"/>
            <w:hideMark/>
          </w:tcPr>
          <w:p w:rsidR="00C106D7" w:rsidRPr="005B0796" w:rsidRDefault="00C106D7" w:rsidP="009C42AA">
            <w:pPr>
              <w:pStyle w:val="TableText"/>
              <w:jc w:val="right"/>
            </w:pPr>
            <w:r w:rsidRPr="005B0796">
              <w:t>3.4 (2.8, 4.3)</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4</w:t>
            </w:r>
          </w:p>
        </w:tc>
        <w:tc>
          <w:tcPr>
            <w:tcW w:w="1478" w:type="dxa"/>
            <w:hideMark/>
          </w:tcPr>
          <w:p w:rsidR="00C106D7" w:rsidRPr="005B0796" w:rsidRDefault="00C106D7" w:rsidP="009C42AA">
            <w:pPr>
              <w:pStyle w:val="TableText"/>
              <w:jc w:val="right"/>
            </w:pPr>
            <w:r w:rsidRPr="005B0796">
              <w:t>36</w:t>
            </w:r>
          </w:p>
        </w:tc>
        <w:tc>
          <w:tcPr>
            <w:tcW w:w="1478" w:type="dxa"/>
            <w:hideMark/>
          </w:tcPr>
          <w:p w:rsidR="00C106D7" w:rsidRPr="005B0796" w:rsidRDefault="00C106D7" w:rsidP="009C42AA">
            <w:pPr>
              <w:pStyle w:val="TableText"/>
              <w:jc w:val="right"/>
            </w:pPr>
            <w:r w:rsidRPr="005B0796">
              <w:t>208</w:t>
            </w:r>
          </w:p>
        </w:tc>
        <w:tc>
          <w:tcPr>
            <w:tcW w:w="1478" w:type="dxa"/>
            <w:hideMark/>
          </w:tcPr>
          <w:p w:rsidR="00C106D7" w:rsidRPr="005B0796" w:rsidRDefault="00C106D7" w:rsidP="009C42AA">
            <w:pPr>
              <w:pStyle w:val="TableText"/>
              <w:jc w:val="right"/>
            </w:pPr>
            <w:r w:rsidRPr="005B0796">
              <w:t>0.8 (0.6, 1.2)</w:t>
            </w:r>
          </w:p>
        </w:tc>
      </w:tr>
      <w:tr w:rsidR="00C106D7" w:rsidRPr="005B0796" w:rsidTr="009C42AA">
        <w:tc>
          <w:tcPr>
            <w:tcW w:w="2881" w:type="dxa"/>
            <w:hideMark/>
          </w:tcPr>
          <w:p w:rsidR="00C106D7" w:rsidRPr="005B0796" w:rsidRDefault="00C106D7" w:rsidP="009C42AA">
            <w:pPr>
              <w:pStyle w:val="TableText"/>
              <w:ind w:left="144"/>
            </w:pPr>
            <w:r w:rsidRPr="005B0796">
              <w:t>5 plus</w:t>
            </w:r>
          </w:p>
        </w:tc>
        <w:tc>
          <w:tcPr>
            <w:tcW w:w="1478" w:type="dxa"/>
            <w:hideMark/>
          </w:tcPr>
          <w:p w:rsidR="00C106D7" w:rsidRPr="005B0796" w:rsidRDefault="00C106D7" w:rsidP="009C42AA">
            <w:pPr>
              <w:pStyle w:val="TableText"/>
              <w:jc w:val="right"/>
            </w:pPr>
            <w:r w:rsidRPr="005B0796">
              <w:t>27</w:t>
            </w:r>
          </w:p>
        </w:tc>
        <w:tc>
          <w:tcPr>
            <w:tcW w:w="1478" w:type="dxa"/>
            <w:hideMark/>
          </w:tcPr>
          <w:p w:rsidR="00C106D7" w:rsidRPr="005B0796" w:rsidRDefault="00C106D7" w:rsidP="009C42AA">
            <w:pPr>
              <w:pStyle w:val="TableText"/>
              <w:jc w:val="right"/>
            </w:pPr>
            <w:r w:rsidRPr="005B0796">
              <w:t>160</w:t>
            </w:r>
          </w:p>
        </w:tc>
        <w:tc>
          <w:tcPr>
            <w:tcW w:w="1478" w:type="dxa"/>
            <w:hideMark/>
          </w:tcPr>
          <w:p w:rsidR="00C106D7" w:rsidRPr="005B0796" w:rsidRDefault="00C106D7" w:rsidP="009C42AA">
            <w:pPr>
              <w:pStyle w:val="TableText"/>
              <w:jc w:val="right"/>
            </w:pPr>
            <w:r w:rsidRPr="005B0796">
              <w:t>0.6 (0.4, 1.1)</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rPr>
                <w:b/>
              </w:rPr>
            </w:pPr>
            <w:r w:rsidRPr="005B0796">
              <w:rPr>
                <w:b/>
              </w:rPr>
              <w:t>Criminal behaviour since transition</w:t>
            </w:r>
          </w:p>
        </w:tc>
        <w:tc>
          <w:tcPr>
            <w:tcW w:w="1478" w:type="dxa"/>
          </w:tcPr>
          <w:p w:rsidR="00C106D7" w:rsidRPr="005B0796" w:rsidRDefault="00C106D7" w:rsidP="009C42AA">
            <w:pPr>
              <w:pStyle w:val="TableText"/>
              <w:jc w:val="right"/>
            </w:pPr>
          </w:p>
        </w:tc>
        <w:tc>
          <w:tcPr>
            <w:tcW w:w="1478" w:type="dxa"/>
          </w:tcPr>
          <w:p w:rsidR="00C106D7" w:rsidRPr="005B0796" w:rsidRDefault="00C106D7" w:rsidP="009C42AA">
            <w:pPr>
              <w:pStyle w:val="TableText"/>
              <w:jc w:val="right"/>
            </w:pPr>
          </w:p>
        </w:tc>
        <w:tc>
          <w:tcPr>
            <w:tcW w:w="1478" w:type="dxa"/>
          </w:tcPr>
          <w:p w:rsidR="00C106D7" w:rsidRPr="005B0796" w:rsidRDefault="00C106D7" w:rsidP="009C42AA">
            <w:pPr>
              <w:pStyle w:val="TableText"/>
              <w:jc w:val="right"/>
            </w:pPr>
          </w:p>
        </w:tc>
      </w:tr>
      <w:tr w:rsidR="00C106D7" w:rsidRPr="005B0796" w:rsidTr="009C42AA">
        <w:tc>
          <w:tcPr>
            <w:tcW w:w="2881" w:type="dxa"/>
            <w:hideMark/>
          </w:tcPr>
          <w:p w:rsidR="00C106D7" w:rsidRPr="005B0796" w:rsidRDefault="00C106D7" w:rsidP="009C42AA">
            <w:pPr>
              <w:pStyle w:val="TableText"/>
              <w:ind w:left="144"/>
            </w:pPr>
            <w:r w:rsidRPr="005B0796">
              <w:t>Arrested</w:t>
            </w:r>
          </w:p>
        </w:tc>
        <w:tc>
          <w:tcPr>
            <w:tcW w:w="1478" w:type="dxa"/>
            <w:hideMark/>
          </w:tcPr>
          <w:p w:rsidR="00C106D7" w:rsidRPr="005B0796" w:rsidRDefault="00C106D7" w:rsidP="009C42AA">
            <w:pPr>
              <w:pStyle w:val="TableText"/>
              <w:jc w:val="right"/>
            </w:pPr>
            <w:r w:rsidRPr="005B0796">
              <w:t>72</w:t>
            </w:r>
          </w:p>
        </w:tc>
        <w:tc>
          <w:tcPr>
            <w:tcW w:w="1478" w:type="dxa"/>
            <w:hideMark/>
          </w:tcPr>
          <w:p w:rsidR="00C106D7" w:rsidRPr="005B0796" w:rsidRDefault="00C106D7" w:rsidP="009C42AA">
            <w:pPr>
              <w:pStyle w:val="TableText"/>
              <w:jc w:val="right"/>
            </w:pPr>
            <w:r w:rsidRPr="005B0796">
              <w:t>746</w:t>
            </w:r>
          </w:p>
        </w:tc>
        <w:tc>
          <w:tcPr>
            <w:tcW w:w="1478" w:type="dxa"/>
            <w:hideMark/>
          </w:tcPr>
          <w:p w:rsidR="00C106D7" w:rsidRPr="005B0796" w:rsidRDefault="00C106D7" w:rsidP="009C42AA">
            <w:pPr>
              <w:pStyle w:val="TableText"/>
              <w:jc w:val="right"/>
            </w:pPr>
            <w:r w:rsidRPr="005B0796">
              <w:t>2.9 (2.3, 3.9)</w:t>
            </w:r>
          </w:p>
        </w:tc>
      </w:tr>
      <w:tr w:rsidR="00C106D7" w:rsidRPr="005B0796" w:rsidTr="009C42AA">
        <w:trPr>
          <w:cnfStyle w:val="000000100000" w:firstRow="0" w:lastRow="0" w:firstColumn="0" w:lastColumn="0" w:oddVBand="0" w:evenVBand="0" w:oddHBand="1" w:evenHBand="0" w:firstRowFirstColumn="0" w:firstRowLastColumn="0" w:lastRowFirstColumn="0" w:lastRowLastColumn="0"/>
        </w:trPr>
        <w:tc>
          <w:tcPr>
            <w:tcW w:w="2881" w:type="dxa"/>
            <w:hideMark/>
          </w:tcPr>
          <w:p w:rsidR="00C106D7" w:rsidRPr="005B0796" w:rsidRDefault="00C106D7" w:rsidP="009C42AA">
            <w:pPr>
              <w:pStyle w:val="TableText"/>
              <w:ind w:left="144"/>
            </w:pPr>
            <w:r w:rsidRPr="005B0796">
              <w:t>Convicted</w:t>
            </w:r>
          </w:p>
        </w:tc>
        <w:tc>
          <w:tcPr>
            <w:tcW w:w="1478" w:type="dxa"/>
            <w:hideMark/>
          </w:tcPr>
          <w:p w:rsidR="00C106D7" w:rsidRPr="005B0796" w:rsidRDefault="00C106D7" w:rsidP="009C42AA">
            <w:pPr>
              <w:pStyle w:val="TableText"/>
              <w:jc w:val="right"/>
            </w:pPr>
            <w:r w:rsidRPr="005B0796">
              <w:t>47</w:t>
            </w:r>
          </w:p>
        </w:tc>
        <w:tc>
          <w:tcPr>
            <w:tcW w:w="1478" w:type="dxa"/>
            <w:hideMark/>
          </w:tcPr>
          <w:p w:rsidR="00C106D7" w:rsidRPr="005B0796" w:rsidRDefault="00C106D7" w:rsidP="009C42AA">
            <w:pPr>
              <w:pStyle w:val="TableText"/>
              <w:jc w:val="right"/>
            </w:pPr>
            <w:r w:rsidRPr="005B0796">
              <w:t>516</w:t>
            </w:r>
          </w:p>
        </w:tc>
        <w:tc>
          <w:tcPr>
            <w:tcW w:w="1478" w:type="dxa"/>
            <w:hideMark/>
          </w:tcPr>
          <w:p w:rsidR="00C106D7" w:rsidRPr="005B0796" w:rsidRDefault="00C106D7" w:rsidP="009C42AA">
            <w:pPr>
              <w:pStyle w:val="TableText"/>
              <w:jc w:val="right"/>
            </w:pPr>
            <w:r w:rsidRPr="005B0796">
              <w:t>2.1 (1.5, 2.9)</w:t>
            </w:r>
          </w:p>
        </w:tc>
      </w:tr>
    </w:tbl>
    <w:p w:rsidR="00C106D7" w:rsidRPr="005B0796" w:rsidRDefault="00C106D7" w:rsidP="00C106D7">
      <w:pPr>
        <w:pStyle w:val="TableNotes"/>
        <w:rPr>
          <w:rFonts w:asciiTheme="minorHAnsi" w:hAnsiTheme="minorHAnsi"/>
        </w:rPr>
      </w:pPr>
      <w:r w:rsidRPr="005B0796">
        <w:t>Note: 95%</w:t>
      </w:r>
      <w:r w:rsidR="00E96C28">
        <w:t xml:space="preserve"> </w:t>
      </w:r>
      <w:r w:rsidRPr="005B0796">
        <w:t xml:space="preserve">CI: 95% </w:t>
      </w:r>
      <w:r w:rsidR="00564689" w:rsidRPr="005B0796">
        <w:t>confidence interval</w:t>
      </w:r>
    </w:p>
    <w:p w:rsidR="00C106D7" w:rsidRPr="005B0796" w:rsidRDefault="00C106D7" w:rsidP="00C106D7">
      <w:pPr>
        <w:pStyle w:val="TableNotes"/>
      </w:pPr>
      <w:r w:rsidRPr="005B0796">
        <w:t>Missing: Ex</w:t>
      </w:r>
      <w:r w:rsidR="00E96C28">
        <w:t>-</w:t>
      </w:r>
      <w:r w:rsidRPr="005B0796">
        <w:t>service organisations: 60 (2.7%), other organisations 94 (3.8%)</w:t>
      </w:r>
    </w:p>
    <w:p w:rsidR="00BB56F2" w:rsidRPr="005B0796" w:rsidRDefault="00BB56F2" w:rsidP="00D123CA"/>
    <w:p w:rsidR="00377F82" w:rsidRPr="005B0796" w:rsidRDefault="00377F82" w:rsidP="00D123CA">
      <w:pPr>
        <w:sectPr w:rsidR="00377F82" w:rsidRPr="005B0796" w:rsidSect="00874D15">
          <w:headerReference w:type="default" r:id="rId39"/>
          <w:footerReference w:type="even" r:id="rId40"/>
          <w:footerReference w:type="default" r:id="rId41"/>
          <w:pgSz w:w="9979" w:h="14170" w:code="243"/>
          <w:pgMar w:top="1440" w:right="1152" w:bottom="1440" w:left="1728" w:header="576" w:footer="576" w:gutter="0"/>
          <w:cols w:space="708"/>
          <w:docGrid w:linePitch="360"/>
        </w:sectPr>
      </w:pPr>
    </w:p>
    <w:p w:rsidR="00377F82" w:rsidRPr="005B0796" w:rsidRDefault="00377F82" w:rsidP="00377F82">
      <w:pPr>
        <w:pStyle w:val="Heading1"/>
      </w:pPr>
      <w:bookmarkStart w:id="223" w:name="_Toc494449706"/>
      <w:bookmarkStart w:id="224" w:name="_Toc511900288"/>
      <w:r w:rsidRPr="005B0796">
        <w:t>Estimated prevalence of mental disorders</w:t>
      </w:r>
      <w:bookmarkEnd w:id="223"/>
      <w:bookmarkEnd w:id="224"/>
    </w:p>
    <w:p w:rsidR="00377F82" w:rsidRPr="005B0796" w:rsidRDefault="00377F82" w:rsidP="00377F82">
      <w:pPr>
        <w:pStyle w:val="ShadedBullet"/>
      </w:pPr>
      <w:r w:rsidRPr="005B0796">
        <w:t>Almost three in four Transitioned ADF members are estimated to have met criteria for an International Statistical Classification of Diseases and Related Health Problems – 10th Revision</w:t>
      </w:r>
      <w:r w:rsidRPr="005B0796">
        <w:rPr>
          <w:rFonts w:eastAsia="MS ??"/>
        </w:rPr>
        <w:t xml:space="preserve"> (</w:t>
      </w:r>
      <w:r w:rsidRPr="005B0796">
        <w:t xml:space="preserve">ICD-10) mental disorder in their lifetime. </w:t>
      </w:r>
    </w:p>
    <w:p w:rsidR="00377F82" w:rsidRPr="005B0796" w:rsidRDefault="00377F82" w:rsidP="00377F82">
      <w:pPr>
        <w:pStyle w:val="ShadedBullet"/>
      </w:pPr>
      <w:r w:rsidRPr="005B0796">
        <w:t>Almost one in two Transitioned ADF members are estimated to have met criteria for an ICD</w:t>
      </w:r>
      <w:r w:rsidR="00E96C28">
        <w:noBreakHyphen/>
      </w:r>
      <w:r w:rsidRPr="005B0796">
        <w:t>10 mental disorder in the last 12 months.</w:t>
      </w:r>
    </w:p>
    <w:p w:rsidR="00377F82" w:rsidRPr="005B0796" w:rsidRDefault="00377F82" w:rsidP="00377F82">
      <w:pPr>
        <w:pStyle w:val="ShadedBullet"/>
      </w:pPr>
      <w:r w:rsidRPr="005B0796">
        <w:t>Alcohol (47.5%) and anxiety disorders (46.1%) were the most common lifetime disorder classes.</w:t>
      </w:r>
    </w:p>
    <w:p w:rsidR="00377F82" w:rsidRPr="005B0796" w:rsidRDefault="00377F82" w:rsidP="00377F82">
      <w:pPr>
        <w:pStyle w:val="ShadedBullet"/>
      </w:pPr>
      <w:r w:rsidRPr="005B0796">
        <w:t xml:space="preserve">Just under one-quarter of Transitioned ADF members were estimated to have met ICD-10 criteria for posttraumatic stress disorder (PTSD) in their lifetime (24.9%), and just under one in five met the criteria in the last 12 months (17.7%). </w:t>
      </w:r>
    </w:p>
    <w:p w:rsidR="00377F82" w:rsidRPr="005B0796" w:rsidRDefault="00377F82" w:rsidP="00377F82">
      <w:pPr>
        <w:pStyle w:val="ShadedBullet"/>
      </w:pPr>
      <w:r w:rsidRPr="005B0796">
        <w:t>Lifetime and 12-month rates of anxiety disorders were similar.</w:t>
      </w:r>
    </w:p>
    <w:p w:rsidR="00377F82" w:rsidRPr="005B0796" w:rsidRDefault="00377F82" w:rsidP="00377F82">
      <w:pPr>
        <w:pStyle w:val="ShadedBoxText"/>
      </w:pPr>
      <w:r w:rsidRPr="005B0796">
        <w:rPr>
          <w:b/>
        </w:rPr>
        <w:t>Glossary:</w:t>
      </w:r>
      <w:r w:rsidRPr="005B0796">
        <w:t xml:space="preserve"> refer to the Glossary of terms for definitions of key terms in this section.</w:t>
      </w:r>
    </w:p>
    <w:p w:rsidR="00164318" w:rsidRPr="005B0796" w:rsidRDefault="00164318" w:rsidP="00164318">
      <w:pPr>
        <w:spacing w:before="100" w:beforeAutospacing="1" w:after="100" w:afterAutospacing="1"/>
        <w:rPr>
          <w:rFonts w:cs="Calibri"/>
        </w:rPr>
      </w:pPr>
      <w:r w:rsidRPr="005B0796">
        <w:rPr>
          <w:rFonts w:cs="Calibri"/>
        </w:rPr>
        <w:t xml:space="preserve">The following chapter describes the estimated prevalence of lifetime and 12-month ICD-10 mental disorders among ADF members who transitioned from the Regular ADF service between 2010 and 2014 (Transitioned ADF). Transitioned ADF members are grouped into three groups </w:t>
      </w:r>
      <w:r w:rsidR="00E96C28">
        <w:rPr>
          <w:rFonts w:cs="Calibri"/>
        </w:rPr>
        <w:t>that</w:t>
      </w:r>
      <w:r w:rsidRPr="005B0796">
        <w:rPr>
          <w:rFonts w:cs="Calibri"/>
        </w:rPr>
        <w:t xml:space="preserve"> broadly represents their level of continued association and contact with Defence:</w:t>
      </w:r>
    </w:p>
    <w:p w:rsidR="00164318" w:rsidRPr="005B0796" w:rsidRDefault="00164318" w:rsidP="00164318">
      <w:pPr>
        <w:pStyle w:val="Bullet"/>
      </w:pPr>
      <w:r w:rsidRPr="005B0796">
        <w:t>Ex-Serving: individuals who were a Regular (full-time) ADF member prior to 2010, who transitioned from the Regular ADF between 2010 and 2014 and who no longer remain engaged with Defence in a Reservist role. These individuals are classified as discharged from Defence. Discharge may have occurred for medical or administrative reasons, or they may have reached compulsory retirement age.</w:t>
      </w:r>
    </w:p>
    <w:p w:rsidR="00164318" w:rsidRPr="005B0796" w:rsidRDefault="00164318" w:rsidP="00164318">
      <w:pPr>
        <w:pStyle w:val="Bullet"/>
      </w:pPr>
      <w:r w:rsidRPr="005B0796">
        <w:t xml:space="preserve">Active Reservists: individuals who were a Regular ADF member before 2010 but who have now transitioned into an Active Reservist position. As an Active Reservist they are required to complete a minimum number of service days per year. </w:t>
      </w:r>
    </w:p>
    <w:p w:rsidR="00164318" w:rsidRPr="005B0796" w:rsidRDefault="00164318" w:rsidP="00B81E95">
      <w:pPr>
        <w:pStyle w:val="Bullet"/>
      </w:pPr>
      <w:r w:rsidRPr="005B0796">
        <w:t>Inactive Reservists: Regular ADF members before 2010 but who have now transitioned into the Inactive Reserves. They represent a latent capability that Service Chiefs can call upon as required to provide voluntary service. Defence may call upon them to perform a specific</w:t>
      </w:r>
      <w:r w:rsidR="00462A0C" w:rsidRPr="005B0796">
        <w:t xml:space="preserve"> </w:t>
      </w:r>
      <w:r w:rsidRPr="005B0796">
        <w:t>task.</w:t>
      </w:r>
    </w:p>
    <w:p w:rsidR="00164318" w:rsidRPr="005B0796" w:rsidRDefault="00164318" w:rsidP="00B81E95">
      <w:r w:rsidRPr="005B0796">
        <w:t xml:space="preserve">This chapter provides prevalence estimates for three classes of ICD-10 mental disorder </w:t>
      </w:r>
      <w:r w:rsidR="00E96C28">
        <w:t xml:space="preserve">– </w:t>
      </w:r>
      <w:r w:rsidRPr="005B0796">
        <w:t>anxiety disorder, affective disorder and alcohol disorder</w:t>
      </w:r>
      <w:r w:rsidR="00E96C28">
        <w:t xml:space="preserve"> –</w:t>
      </w:r>
      <w:r w:rsidRPr="005B0796">
        <w:t xml:space="preserve"> as well as providing a detailed analysis of PTSD as a distinct disorder. PTSD is presented separately due to the strong relationship between the risks of military service and PTSD, </w:t>
      </w:r>
      <w:r w:rsidR="00E96C28">
        <w:t xml:space="preserve">and </w:t>
      </w:r>
      <w:r w:rsidRPr="005B0796">
        <w:t>ongoing community concern</w:t>
      </w:r>
      <w:r w:rsidR="00E96C28">
        <w:t>,</w:t>
      </w:r>
      <w:r w:rsidRPr="005B0796">
        <w:t xml:space="preserve"> and to provide greater clarity about how it differs from other anxiety disorders. Within the ICD-10 classification system, PTSD is still classed with anxiety disorders, unlike recent changes in the </w:t>
      </w:r>
      <w:r w:rsidRPr="005B0796">
        <w:rPr>
          <w:rFonts w:eastAsia="Cambria"/>
          <w:i/>
          <w:szCs w:val="22"/>
        </w:rPr>
        <w:t>Diagnostic and Statistical Manual of Mental Disorders, Fifth Edition</w:t>
      </w:r>
      <w:r w:rsidRPr="005B0796">
        <w:rPr>
          <w:rFonts w:eastAsia="Cambria"/>
          <w:szCs w:val="22"/>
        </w:rPr>
        <w:t xml:space="preserve"> (</w:t>
      </w:r>
      <w:r w:rsidRPr="005B0796">
        <w:t xml:space="preserve">DSM-5), where PTSD is now a separate category </w:t>
      </w:r>
      <w:r w:rsidRPr="005B0796">
        <w:fldChar w:fldCharType="begin"/>
      </w:r>
      <w:r w:rsidRPr="005B0796">
        <w:instrText xml:space="preserve"> ADDIN EN.CITE &lt;EndNote&gt;&lt;Cite&gt;&lt;Author&gt;McFarlane&lt;/Author&gt;&lt;Year&gt;2014&lt;/Year&gt;&lt;RecNum&gt;550&lt;/RecNum&gt;&lt;DisplayText&gt;(McFarlane, 2014)&lt;/DisplayText&gt;&lt;record&gt;&lt;rec-number&gt;550&lt;/rec-number&gt;&lt;foreign-keys&gt;&lt;key app="EN" db-id="arwdrezp9sdawxevtfyxtfw10exvr5exxfed" timestamp="1479079307"&gt;550&lt;/key&gt;&lt;/foreign-keys&gt;&lt;ref-type name="Journal Article"&gt;17&lt;/ref-type&gt;&lt;contributors&gt;&lt;authors&gt;&lt;author&gt;McFarlane, A. C.&lt;/author&gt;&lt;/authors&gt;&lt;/contributors&gt;&lt;auth-address&gt;Centre for Traumatic Stress Studies, University of Adelaide, Adelaide, SA 5062, Australia. Electronic address: alexander.mcfarlane@adelaide.edu.au.&lt;/auth-address&gt;&lt;titles&gt;&lt;title&gt;PTSD and DSM-5: unintended consequences of change&lt;/title&gt;&lt;secondary-title&gt;Lancet Psychiatry&lt;/secondary-title&gt;&lt;alt-title&gt;The lancet. Psychiatry&lt;/alt-title&gt;&lt;/titles&gt;&lt;periodical&gt;&lt;full-title&gt;Lancet Psychiatry&lt;/full-title&gt;&lt;abbr-1&gt;The lancet. Psychiatry&lt;/abbr-1&gt;&lt;/periodical&gt;&lt;alt-periodical&gt;&lt;full-title&gt;Lancet Psychiatry&lt;/full-title&gt;&lt;abbr-1&gt;The lancet. Psychiatry&lt;/abbr-1&gt;&lt;/alt-periodical&gt;&lt;pages&gt;246-7&lt;/pages&gt;&lt;volume&gt;1&lt;/volume&gt;&lt;number&gt;4&lt;/number&gt;&lt;dates&gt;&lt;year&gt;2014&lt;/year&gt;&lt;pub-dates&gt;&lt;date&gt;Sep&lt;/date&gt;&lt;/pub-dates&gt;&lt;/dates&gt;&lt;isbn&gt;2215-0374 (Electronic)&amp;#xD;2215-0366 (Linking)&lt;/isbn&gt;&lt;accession-num&gt;26360842&lt;/accession-num&gt;&lt;urls&gt;&lt;related-urls&gt;&lt;url&gt;http://www.ncbi.nlm.nih.gov/pubmed/26360842&lt;/url&gt;&lt;/related-urls&gt;&lt;/urls&gt;&lt;electronic-resource-num&gt;10.1016/S2215-0366(14)70321-9&lt;/electronic-resource-num&gt;&lt;/record&gt;&lt;/Cite&gt;&lt;/EndNote&gt;</w:instrText>
      </w:r>
      <w:r w:rsidRPr="005B0796">
        <w:fldChar w:fldCharType="separate"/>
      </w:r>
      <w:r w:rsidRPr="005B0796">
        <w:t>(McFarlane, 2014)</w:t>
      </w:r>
      <w:r w:rsidRPr="005B0796">
        <w:fldChar w:fldCharType="end"/>
      </w:r>
      <w:r w:rsidRPr="005B0796">
        <w:t xml:space="preserve">. </w:t>
      </w:r>
    </w:p>
    <w:p w:rsidR="00164318" w:rsidRPr="005B0796" w:rsidRDefault="00164318" w:rsidP="00B81E95">
      <w:r w:rsidRPr="005B0796">
        <w:t xml:space="preserve">Accordingly, the class </w:t>
      </w:r>
      <w:r w:rsidR="00462A0C" w:rsidRPr="005B0796">
        <w:t>‘</w:t>
      </w:r>
      <w:r w:rsidRPr="005B0796">
        <w:t>any anxiety disorder</w:t>
      </w:r>
      <w:r w:rsidR="00462A0C" w:rsidRPr="005B0796">
        <w:t>’</w:t>
      </w:r>
      <w:r w:rsidRPr="005B0796">
        <w:t xml:space="preserve"> is defined in this report in two ways: </w:t>
      </w:r>
    </w:p>
    <w:p w:rsidR="00164318" w:rsidRPr="005B0796" w:rsidRDefault="00164318" w:rsidP="00B81E95">
      <w:pPr>
        <w:pStyle w:val="Bullet"/>
      </w:pPr>
      <w:r w:rsidRPr="005B0796">
        <w:t xml:space="preserve">Anxiety disorder: the most inclusive definition of this class of disorder and includes all of the individual ICD-10 anxiety disorders assessed and presented throughout the report (that is, panic attack, panic disorder, agoraphobia, social phobia, specific phobia, GAD, </w:t>
      </w:r>
      <w:bookmarkStart w:id="225" w:name="_Hlk489446939"/>
      <w:r w:rsidRPr="005B0796">
        <w:t xml:space="preserve">OCD </w:t>
      </w:r>
      <w:bookmarkEnd w:id="225"/>
      <w:r w:rsidRPr="005B0796">
        <w:t xml:space="preserve">and PTSD) </w:t>
      </w:r>
    </w:p>
    <w:p w:rsidR="00164318" w:rsidRPr="005B0796" w:rsidRDefault="00164318" w:rsidP="00164318">
      <w:pPr>
        <w:pStyle w:val="Bullet"/>
      </w:pPr>
      <w:r w:rsidRPr="005B0796">
        <w:t>Anxiety disorder (excluding PTSD): this variable is scored in the same way as above but excludes PTSD. This definition is included to provide greater clarity in relation to how the prevalence of the remaining anxiety disorders differ</w:t>
      </w:r>
      <w:r w:rsidR="00E96C28">
        <w:t>s</w:t>
      </w:r>
      <w:r w:rsidRPr="005B0796">
        <w:t xml:space="preserve"> in relation to </w:t>
      </w:r>
      <w:r w:rsidR="00E96C28">
        <w:t xml:space="preserve">that of </w:t>
      </w:r>
      <w:r w:rsidRPr="005B0796">
        <w:t>PTSD</w:t>
      </w:r>
      <w:r w:rsidR="00E96C28">
        <w:t>,</w:t>
      </w:r>
      <w:r w:rsidRPr="005B0796">
        <w:t xml:space="preserve"> which we already know has a strong relationship with military service. </w:t>
      </w:r>
    </w:p>
    <w:p w:rsidR="00164318" w:rsidRPr="005B0796" w:rsidRDefault="00164318" w:rsidP="00B81E95">
      <w:r w:rsidRPr="005B0796">
        <w:t>As a key goal of this study is to inform service delivery, the prevalence of mental disorder comorbidity in this population is provided</w:t>
      </w:r>
      <w:r w:rsidR="00E96C28">
        <w:t>,</w:t>
      </w:r>
      <w:r w:rsidRPr="005B0796">
        <w:t xml:space="preserve"> as well as an overview of the prevalence of suicidality.</w:t>
      </w:r>
    </w:p>
    <w:p w:rsidR="00164318" w:rsidRPr="005B0796" w:rsidRDefault="00164318" w:rsidP="00B81E95">
      <w:r w:rsidRPr="005B0796">
        <w:t>In addition to reporting estimated prevalence in the entire population, this section also compares the estimated prevalence of mental disorder, comorbidity and suicidality, using a range of key variables with a known or suspected association with mental disorder. Grouping factors were chosen following extensive consultation with DVA and Defence on the types of factors hypothesised to moderate or predict rates of mental disorder in the Transitioned ADF:</w:t>
      </w:r>
    </w:p>
    <w:p w:rsidR="00164318" w:rsidRPr="005B0796" w:rsidRDefault="00164318" w:rsidP="000B08E6">
      <w:pPr>
        <w:pStyle w:val="Bullet"/>
        <w:spacing w:after="120"/>
      </w:pPr>
      <w:r w:rsidRPr="005B0796">
        <w:t>Demographic factors:</w:t>
      </w:r>
    </w:p>
    <w:p w:rsidR="00164318" w:rsidRPr="005B0796" w:rsidRDefault="00164318" w:rsidP="000B08E6">
      <w:pPr>
        <w:pStyle w:val="Dash"/>
        <w:spacing w:after="120"/>
      </w:pPr>
      <w:r w:rsidRPr="005B0796">
        <w:t>sex: male, female</w:t>
      </w:r>
    </w:p>
    <w:p w:rsidR="00164318" w:rsidRPr="005B0796" w:rsidRDefault="00164318" w:rsidP="00B81E95">
      <w:pPr>
        <w:pStyle w:val="Dash"/>
      </w:pPr>
      <w:r w:rsidRPr="005B0796">
        <w:t>age: 18–27, 28–37, 38–47, 48–57, 58+</w:t>
      </w:r>
    </w:p>
    <w:p w:rsidR="00164318" w:rsidRPr="005B0796" w:rsidRDefault="00164318" w:rsidP="000B08E6">
      <w:pPr>
        <w:pStyle w:val="Bullet"/>
        <w:spacing w:after="120"/>
      </w:pPr>
      <w:r w:rsidRPr="005B0796">
        <w:t xml:space="preserve">Service factors: </w:t>
      </w:r>
    </w:p>
    <w:p w:rsidR="00164318" w:rsidRPr="005B0796" w:rsidRDefault="00164318" w:rsidP="000B08E6">
      <w:pPr>
        <w:pStyle w:val="Dash"/>
        <w:spacing w:after="120"/>
      </w:pPr>
      <w:r w:rsidRPr="005B0796">
        <w:t>Service: Navy, Army, Air Force</w:t>
      </w:r>
    </w:p>
    <w:p w:rsidR="00164318" w:rsidRPr="005B0796" w:rsidRDefault="00164318" w:rsidP="000B08E6">
      <w:pPr>
        <w:pStyle w:val="Dash"/>
        <w:spacing w:after="120"/>
      </w:pPr>
      <w:r w:rsidRPr="005B0796">
        <w:t>rank: Commissioned Officer (OFFR), Non-Commissioned Officer (NCO), Other Ranks (OR)</w:t>
      </w:r>
    </w:p>
    <w:p w:rsidR="00164318" w:rsidRPr="005B0796" w:rsidRDefault="00164318" w:rsidP="000B08E6">
      <w:pPr>
        <w:pStyle w:val="Dash"/>
        <w:spacing w:after="120"/>
      </w:pPr>
      <w:r w:rsidRPr="005B0796">
        <w:t>deployment status:</w:t>
      </w:r>
    </w:p>
    <w:p w:rsidR="00164318" w:rsidRPr="005B0796" w:rsidRDefault="00164318" w:rsidP="00B81E95">
      <w:pPr>
        <w:pStyle w:val="Dot"/>
      </w:pPr>
      <w:r w:rsidRPr="005B0796">
        <w:t xml:space="preserve">Never </w:t>
      </w:r>
      <w:r w:rsidR="00E96C28">
        <w:t>d</w:t>
      </w:r>
      <w:r w:rsidRPr="005B0796">
        <w:t xml:space="preserve">eployed – individuals who did not endorse any of the listed deployments in the self-report survey AND did not endorse any of the </w:t>
      </w:r>
      <w:r w:rsidR="00E96C28">
        <w:t>d</w:t>
      </w:r>
      <w:r w:rsidRPr="005B0796">
        <w:t xml:space="preserve">eployment exposures </w:t>
      </w:r>
    </w:p>
    <w:p w:rsidR="00164318" w:rsidRPr="005B0796" w:rsidRDefault="00164318" w:rsidP="00B81E95">
      <w:pPr>
        <w:pStyle w:val="Dot"/>
      </w:pPr>
      <w:r w:rsidRPr="005B0796">
        <w:t>Deployed –</w:t>
      </w:r>
      <w:r w:rsidRPr="005B0796">
        <w:rPr>
          <w:b/>
        </w:rPr>
        <w:t xml:space="preserve"> </w:t>
      </w:r>
      <w:r w:rsidRPr="005B0796">
        <w:t xml:space="preserve">Individuals who endorsed one or more of the listed deployments in the self-report survey OR endorsed one or more of the deployment exposures </w:t>
      </w:r>
    </w:p>
    <w:p w:rsidR="00164318" w:rsidRPr="005B0796" w:rsidRDefault="00164318" w:rsidP="00B81E95">
      <w:pPr>
        <w:pStyle w:val="Dash"/>
      </w:pPr>
      <w:r w:rsidRPr="005B0796">
        <w:t>years of service in the Regular ADF subgrouped as follows: 3 months – 3.9 years, 4–7.9 years, 8–11.9 years, 12–15.9 years, 16–19.9 years and &gt; 20 years.</w:t>
      </w:r>
    </w:p>
    <w:p w:rsidR="00164318" w:rsidRPr="005B0796" w:rsidRDefault="00164318" w:rsidP="000B08E6">
      <w:pPr>
        <w:pStyle w:val="Bullet"/>
        <w:spacing w:after="120"/>
      </w:pPr>
      <w:r w:rsidRPr="005B0796">
        <w:t xml:space="preserve">Transition factors: </w:t>
      </w:r>
    </w:p>
    <w:p w:rsidR="00164318" w:rsidRPr="005B0796" w:rsidRDefault="00164318" w:rsidP="000B08E6">
      <w:pPr>
        <w:pStyle w:val="Dash"/>
        <w:spacing w:after="120"/>
      </w:pPr>
      <w:r w:rsidRPr="005B0796">
        <w:t>years since transition: 0 (less th</w:t>
      </w:r>
      <w:r w:rsidR="00E96C28">
        <w:t>an 1 year), 1, 2, 3, 4, 5 years</w:t>
      </w:r>
    </w:p>
    <w:p w:rsidR="00164318" w:rsidRPr="005B0796" w:rsidRDefault="00164318" w:rsidP="000B08E6">
      <w:pPr>
        <w:pStyle w:val="Dash"/>
        <w:spacing w:after="120"/>
      </w:pPr>
      <w:r w:rsidRPr="005B0796">
        <w:t>type of discharge: medical discharge</w:t>
      </w:r>
      <w:r w:rsidRPr="005B0796">
        <w:rPr>
          <w:b/>
        </w:rPr>
        <w:t xml:space="preserve"> </w:t>
      </w:r>
      <w:r w:rsidRPr="005B0796">
        <w:t>(an involuntary termination of the client</w:t>
      </w:r>
      <w:r w:rsidR="00462A0C" w:rsidRPr="005B0796">
        <w:t>’</w:t>
      </w:r>
      <w:r w:rsidRPr="005B0796">
        <w:t>s employment by the ADF on the grounds of permanent or at least long-term unfitness to serve, or unfitness for deployment to operational (warlike) se</w:t>
      </w:r>
      <w:r w:rsidR="00E96C28">
        <w:t>rvice, or non</w:t>
      </w:r>
      <w:r w:rsidR="00E96C28">
        <w:noBreakHyphen/>
        <w:t>medical discharge</w:t>
      </w:r>
    </w:p>
    <w:p w:rsidR="00164318" w:rsidRPr="005B0796" w:rsidRDefault="00164318" w:rsidP="00B81E95">
      <w:pPr>
        <w:pStyle w:val="Dash"/>
      </w:pPr>
      <w:r w:rsidRPr="005B0796">
        <w:t>DVA client status: DVA client/non-DVA client (this was taken from an indicator on the Military and Veteran Research Study Roll</w:t>
      </w:r>
      <w:r w:rsidR="000C15B8">
        <w:t>)</w:t>
      </w:r>
      <w:r w:rsidRPr="005B0796">
        <w:t xml:space="preserve">. DVA clients included those receiving a fortnightly payment, treatment card holders, and those who have had their </w:t>
      </w:r>
      <w:r w:rsidRPr="005B0796">
        <w:rPr>
          <w:rFonts w:eastAsia="MS ??"/>
        </w:rPr>
        <w:t>illness or injury liability claim accepted as service-related</w:t>
      </w:r>
      <w:r w:rsidRPr="005B0796">
        <w:t>.</w:t>
      </w:r>
    </w:p>
    <w:p w:rsidR="00164318" w:rsidRPr="005B0796" w:rsidRDefault="00164318" w:rsidP="00B81E95">
      <w:r w:rsidRPr="005B0796">
        <w:t>All tests of statistical significance (odds ratios) in this chapter are adjusted for age, sex, Service and rank.</w:t>
      </w:r>
    </w:p>
    <w:p w:rsidR="00164318" w:rsidRPr="005B0796" w:rsidRDefault="009E72D3" w:rsidP="00B81E95">
      <w:r w:rsidRPr="005B0796">
        <w:t>Table 4.1</w:t>
      </w:r>
      <w:r w:rsidR="00164318" w:rsidRPr="005B0796">
        <w:t xml:space="preserve"> </w:t>
      </w:r>
      <w:r w:rsidR="000B08E6" w:rsidRPr="005B0796">
        <w:t xml:space="preserve">and </w:t>
      </w:r>
      <w:r w:rsidRPr="005B0796">
        <w:t>Table 4.2</w:t>
      </w:r>
      <w:r w:rsidR="000B08E6" w:rsidRPr="005B0796">
        <w:t xml:space="preserve"> </w:t>
      </w:r>
      <w:r w:rsidR="00164318" w:rsidRPr="005B0796">
        <w:t xml:space="preserve">show the lifetime and 12-month estimated prevalence of ICD-10 anxiety disorders, affective disorders, alcohol disorder and PTSD. Almost three in four Transitioned ADF members are estimated to have met criteria for any ICD-10 mental disorder in their lifetime, with just under 50% estimated to have met criteria in the last 12 months. Alcohol </w:t>
      </w:r>
      <w:r w:rsidR="00E96C28">
        <w:t xml:space="preserve">disorders </w:t>
      </w:r>
      <w:r w:rsidR="00164318" w:rsidRPr="005B0796">
        <w:t>(47.5%) and anxiety disorders (46.1%) were the most prevalent lifetime disorder classes, with lower rates of affective disorders (39.6%). Just under one-quarter of Transitioned ADF members were estimated to have met ICD-10 criteria for PTSD in their lifetime (24.9%), and just under one in five in the last 12</w:t>
      </w:r>
      <w:r w:rsidR="00E96C28">
        <w:t> </w:t>
      </w:r>
      <w:r w:rsidR="00164318" w:rsidRPr="005B0796">
        <w:t xml:space="preserve">months (17.7%). While the estimated prevalence of 12-month alcohol disorder was substantially lower than lifetime rates, which would generally be expected, the differences between 12-month and lifetime rates of anxiety disorders, affective disorders, and PTSD specifically, were noticeably less. Interestingly, the proportion of Transitioned ADF with 12-month PTSD (17.7%) is only slightly lower than the proportion with another type of anxiety disorder (19.3%). </w:t>
      </w:r>
    </w:p>
    <w:p w:rsidR="000E4D49" w:rsidRPr="005B0796" w:rsidRDefault="000B08E6" w:rsidP="000E4D49">
      <w:pPr>
        <w:pStyle w:val="TableName"/>
        <w:rPr>
          <w:rFonts w:cs="Calibri"/>
        </w:rPr>
      </w:pPr>
      <w:bookmarkStart w:id="226" w:name="_Ref494275106"/>
      <w:bookmarkStart w:id="227" w:name="_Toc492995555"/>
      <w:bookmarkStart w:id="228" w:name="_Toc51190040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w:t>
      </w:r>
      <w:r w:rsidR="00D30A3C">
        <w:rPr>
          <w:noProof/>
        </w:rPr>
        <w:fldChar w:fldCharType="end"/>
      </w:r>
      <w:bookmarkEnd w:id="226"/>
      <w:r w:rsidRPr="005B0796">
        <w:tab/>
      </w:r>
      <w:r w:rsidR="000E4D49" w:rsidRPr="005B0796">
        <w:t>Estimated prevalence of lifetime ICD-10 anxiety, affective, alcohol and any disorder in Transitioned ADF</w:t>
      </w:r>
      <w:bookmarkEnd w:id="227"/>
      <w:bookmarkEnd w:id="228"/>
    </w:p>
    <w:tbl>
      <w:tblPr>
        <w:tblStyle w:val="TWRPTable"/>
        <w:tblW w:w="5000" w:type="pct"/>
        <w:tblLayout w:type="fixed"/>
        <w:tblCellMar>
          <w:left w:w="115" w:type="dxa"/>
          <w:right w:w="115" w:type="dxa"/>
        </w:tblCellMar>
        <w:tblLook w:val="04A0" w:firstRow="1" w:lastRow="0" w:firstColumn="1" w:lastColumn="0" w:noHBand="0" w:noVBand="1"/>
        <w:tblDescription w:val="Table 4.1 Estimated prevalence of lifetime ICD-10 anxiety, affective, alcohol and any disorders in Transitioned ADF"/>
      </w:tblPr>
      <w:tblGrid>
        <w:gridCol w:w="3085"/>
        <w:gridCol w:w="1414"/>
        <w:gridCol w:w="1415"/>
        <w:gridCol w:w="1415"/>
      </w:tblGrid>
      <w:tr w:rsidR="00164318" w:rsidRPr="005B0796" w:rsidTr="00325071">
        <w:trPr>
          <w:cnfStyle w:val="100000000000" w:firstRow="1" w:lastRow="0" w:firstColumn="0" w:lastColumn="0" w:oddVBand="0" w:evenVBand="0" w:oddHBand="0" w:evenHBand="0" w:firstRowFirstColumn="0" w:firstRowLastColumn="0" w:lastRowFirstColumn="0" w:lastRowLastColumn="0"/>
          <w:cantSplit/>
          <w:tblHeader/>
        </w:trPr>
        <w:tc>
          <w:tcPr>
            <w:tcW w:w="3085" w:type="dxa"/>
            <w:tcBorders>
              <w:top w:val="single" w:sz="4" w:space="0" w:color="000000"/>
              <w:bottom w:val="nil"/>
            </w:tcBorders>
            <w:noWrap/>
            <w:hideMark/>
          </w:tcPr>
          <w:p w:rsidR="00164318" w:rsidRPr="005B0796" w:rsidRDefault="00164318" w:rsidP="00325071">
            <w:pPr>
              <w:pStyle w:val="TableText"/>
              <w:rPr>
                <w:lang w:eastAsia="en-AU"/>
              </w:rPr>
            </w:pPr>
          </w:p>
        </w:tc>
        <w:tc>
          <w:tcPr>
            <w:tcW w:w="4244" w:type="dxa"/>
            <w:gridSpan w:val="3"/>
            <w:noWrap/>
          </w:tcPr>
          <w:p w:rsidR="00164318" w:rsidRPr="005B0796" w:rsidRDefault="00164318" w:rsidP="00E96C28">
            <w:pPr>
              <w:pStyle w:val="TableText"/>
              <w:jc w:val="center"/>
              <w:rPr>
                <w:lang w:eastAsia="en-AU"/>
              </w:rPr>
            </w:pPr>
            <w:r w:rsidRPr="005B0796">
              <w:rPr>
                <w:lang w:eastAsia="en-AU"/>
              </w:rPr>
              <w:t>Transitioned ADF (</w:t>
            </w:r>
            <w:r w:rsidR="00E96C28">
              <w:rPr>
                <w:lang w:eastAsia="en-AU"/>
              </w:rPr>
              <w:t>N</w:t>
            </w:r>
            <w:r w:rsidRPr="005B0796">
              <w:rPr>
                <w:lang w:eastAsia="en-AU"/>
              </w:rPr>
              <w:t xml:space="preserve"> = 24,932)</w:t>
            </w:r>
          </w:p>
        </w:tc>
      </w:tr>
      <w:tr w:rsidR="00164318" w:rsidRPr="005B0796" w:rsidTr="00325071">
        <w:trPr>
          <w:cnfStyle w:val="100000000000" w:firstRow="1" w:lastRow="0" w:firstColumn="0" w:lastColumn="0" w:oddVBand="0" w:evenVBand="0" w:oddHBand="0" w:evenHBand="0" w:firstRowFirstColumn="0" w:firstRowLastColumn="0" w:lastRowFirstColumn="0" w:lastRowLastColumn="0"/>
          <w:cantSplit/>
          <w:tblHeader/>
        </w:trPr>
        <w:tc>
          <w:tcPr>
            <w:tcW w:w="3085" w:type="dxa"/>
            <w:tcBorders>
              <w:top w:val="nil"/>
            </w:tcBorders>
            <w:noWrap/>
            <w:hideMark/>
          </w:tcPr>
          <w:p w:rsidR="00164318" w:rsidRPr="005B0796" w:rsidRDefault="000E4D49" w:rsidP="00325071">
            <w:pPr>
              <w:pStyle w:val="TableText"/>
              <w:rPr>
                <w:lang w:eastAsia="en-AU"/>
              </w:rPr>
            </w:pPr>
            <w:r w:rsidRPr="005B0796">
              <w:rPr>
                <w:lang w:eastAsia="en-AU"/>
              </w:rPr>
              <w:t>Lifetime ICD-10 disorder</w:t>
            </w:r>
          </w:p>
        </w:tc>
        <w:tc>
          <w:tcPr>
            <w:tcW w:w="1414" w:type="dxa"/>
            <w:noWrap/>
            <w:hideMark/>
          </w:tcPr>
          <w:p w:rsidR="00164318" w:rsidRPr="005B0796" w:rsidRDefault="00164318" w:rsidP="00325071">
            <w:pPr>
              <w:pStyle w:val="TableText"/>
              <w:jc w:val="right"/>
              <w:rPr>
                <w:lang w:eastAsia="en-AU"/>
              </w:rPr>
            </w:pPr>
            <w:r w:rsidRPr="005B0796">
              <w:rPr>
                <w:lang w:eastAsia="en-AU"/>
              </w:rPr>
              <w:t>Weighted n</w:t>
            </w:r>
          </w:p>
        </w:tc>
        <w:tc>
          <w:tcPr>
            <w:tcW w:w="1415" w:type="dxa"/>
            <w:hideMark/>
          </w:tcPr>
          <w:p w:rsidR="00164318" w:rsidRPr="005B0796" w:rsidRDefault="00164318" w:rsidP="00325071">
            <w:pPr>
              <w:pStyle w:val="TableText"/>
              <w:jc w:val="right"/>
              <w:rPr>
                <w:lang w:eastAsia="en-AU"/>
              </w:rPr>
            </w:pPr>
            <w:r w:rsidRPr="005B0796">
              <w:rPr>
                <w:lang w:eastAsia="en-AU"/>
              </w:rPr>
              <w:t>%</w:t>
            </w:r>
          </w:p>
        </w:tc>
        <w:tc>
          <w:tcPr>
            <w:tcW w:w="1415" w:type="dxa"/>
            <w:hideMark/>
          </w:tcPr>
          <w:p w:rsidR="00164318" w:rsidRPr="005B0796" w:rsidRDefault="00164318" w:rsidP="00325071">
            <w:pPr>
              <w:pStyle w:val="TableText"/>
              <w:jc w:val="right"/>
              <w:rPr>
                <w:lang w:eastAsia="en-AU"/>
              </w:rPr>
            </w:pPr>
            <w:r w:rsidRPr="005B0796">
              <w:rPr>
                <w:lang w:eastAsia="en-AU"/>
              </w:rPr>
              <w:t>95% CI</w:t>
            </w:r>
          </w:p>
        </w:tc>
      </w:tr>
      <w:tr w:rsidR="00164318" w:rsidRPr="005B0796" w:rsidTr="00325071">
        <w:trPr>
          <w:cnfStyle w:val="000000100000" w:firstRow="0" w:lastRow="0" w:firstColumn="0" w:lastColumn="0" w:oddVBand="0" w:evenVBand="0" w:oddHBand="1" w:evenHBand="0" w:firstRowFirstColumn="0" w:firstRowLastColumn="0" w:lastRowFirstColumn="0" w:lastRowLastColumn="0"/>
          <w:cantSplit/>
        </w:trPr>
        <w:tc>
          <w:tcPr>
            <w:tcW w:w="3085" w:type="dxa"/>
            <w:hideMark/>
          </w:tcPr>
          <w:p w:rsidR="00164318" w:rsidRPr="005B0796" w:rsidRDefault="00164318" w:rsidP="00325071">
            <w:pPr>
              <w:pStyle w:val="TableText"/>
              <w:rPr>
                <w:lang w:eastAsia="en-AU"/>
              </w:rPr>
            </w:pPr>
            <w:r w:rsidRPr="005B0796">
              <w:rPr>
                <w:rFonts w:cs="@헤드라인A"/>
                <w:lang w:eastAsia="en-AU"/>
              </w:rPr>
              <w:t xml:space="preserve">Anxiety disorder </w:t>
            </w:r>
          </w:p>
        </w:tc>
        <w:tc>
          <w:tcPr>
            <w:tcW w:w="1414" w:type="dxa"/>
            <w:noWrap/>
            <w:hideMark/>
          </w:tcPr>
          <w:p w:rsidR="00164318" w:rsidRPr="005B0796" w:rsidRDefault="00164318" w:rsidP="00325071">
            <w:pPr>
              <w:pStyle w:val="TableText"/>
              <w:jc w:val="right"/>
              <w:rPr>
                <w:lang w:eastAsia="en-AU"/>
              </w:rPr>
            </w:pPr>
            <w:r w:rsidRPr="005B0796">
              <w:rPr>
                <w:rFonts w:cs="@헤드라인A"/>
                <w:lang w:eastAsia="en-AU"/>
              </w:rPr>
              <w:t>11,378</w:t>
            </w:r>
          </w:p>
        </w:tc>
        <w:tc>
          <w:tcPr>
            <w:tcW w:w="1415" w:type="dxa"/>
            <w:noWrap/>
            <w:hideMark/>
          </w:tcPr>
          <w:p w:rsidR="00164318" w:rsidRPr="005B0796" w:rsidRDefault="00164318" w:rsidP="00325071">
            <w:pPr>
              <w:pStyle w:val="TableText"/>
              <w:jc w:val="right"/>
              <w:rPr>
                <w:lang w:eastAsia="en-AU"/>
              </w:rPr>
            </w:pPr>
            <w:r w:rsidRPr="005B0796">
              <w:rPr>
                <w:rFonts w:cs="@헤드라인A"/>
                <w:lang w:eastAsia="en-AU"/>
              </w:rPr>
              <w:t>46.1</w:t>
            </w:r>
          </w:p>
        </w:tc>
        <w:tc>
          <w:tcPr>
            <w:tcW w:w="1415" w:type="dxa"/>
            <w:noWrap/>
            <w:hideMark/>
          </w:tcPr>
          <w:p w:rsidR="00164318" w:rsidRPr="005B0796" w:rsidRDefault="00164318" w:rsidP="00325071">
            <w:pPr>
              <w:pStyle w:val="TableText"/>
              <w:jc w:val="right"/>
              <w:rPr>
                <w:lang w:eastAsia="en-AU"/>
              </w:rPr>
            </w:pPr>
            <w:r w:rsidRPr="005B0796">
              <w:rPr>
                <w:lang w:eastAsia="en-AU"/>
              </w:rPr>
              <w:t>41.4, 50.9</w:t>
            </w:r>
          </w:p>
        </w:tc>
      </w:tr>
      <w:tr w:rsidR="00164318" w:rsidRPr="005B0796" w:rsidTr="00325071">
        <w:trPr>
          <w:cantSplit/>
        </w:trPr>
        <w:tc>
          <w:tcPr>
            <w:tcW w:w="3085" w:type="dxa"/>
            <w:hideMark/>
          </w:tcPr>
          <w:p w:rsidR="00164318" w:rsidRPr="005B0796" w:rsidRDefault="00164318" w:rsidP="00325071">
            <w:pPr>
              <w:pStyle w:val="TableText"/>
              <w:rPr>
                <w:rFonts w:cs="@헤드라인A"/>
                <w:lang w:eastAsia="en-AU"/>
              </w:rPr>
            </w:pPr>
            <w:r w:rsidRPr="005B0796">
              <w:rPr>
                <w:rFonts w:cs="@헤드라인A"/>
                <w:lang w:eastAsia="en-AU"/>
              </w:rPr>
              <w:t>Anxiety disorder (excluding PTSD)</w:t>
            </w:r>
          </w:p>
        </w:tc>
        <w:tc>
          <w:tcPr>
            <w:tcW w:w="1414" w:type="dxa"/>
            <w:noWrap/>
            <w:hideMark/>
          </w:tcPr>
          <w:p w:rsidR="00164318" w:rsidRPr="005B0796" w:rsidRDefault="00164318" w:rsidP="00325071">
            <w:pPr>
              <w:pStyle w:val="TableText"/>
              <w:jc w:val="right"/>
              <w:rPr>
                <w:rFonts w:cs="@헤드라인A"/>
                <w:lang w:eastAsia="en-AU"/>
              </w:rPr>
            </w:pPr>
            <w:r w:rsidRPr="005B0796">
              <w:rPr>
                <w:rFonts w:cs="@헤드라인A"/>
                <w:lang w:eastAsia="en-AU"/>
              </w:rPr>
              <w:t>7976</w:t>
            </w:r>
          </w:p>
        </w:tc>
        <w:tc>
          <w:tcPr>
            <w:tcW w:w="1415" w:type="dxa"/>
            <w:noWrap/>
            <w:hideMark/>
          </w:tcPr>
          <w:p w:rsidR="00164318" w:rsidRPr="005B0796" w:rsidRDefault="00164318" w:rsidP="00325071">
            <w:pPr>
              <w:pStyle w:val="TableText"/>
              <w:jc w:val="right"/>
              <w:rPr>
                <w:rFonts w:cs="@헤드라인A"/>
                <w:lang w:eastAsia="en-AU"/>
              </w:rPr>
            </w:pPr>
            <w:r w:rsidRPr="005B0796">
              <w:rPr>
                <w:rFonts w:cs="@헤드라인A"/>
                <w:lang w:eastAsia="en-AU"/>
              </w:rPr>
              <w:t xml:space="preserve">31.9 </w:t>
            </w:r>
          </w:p>
        </w:tc>
        <w:tc>
          <w:tcPr>
            <w:tcW w:w="1415" w:type="dxa"/>
            <w:noWrap/>
            <w:hideMark/>
          </w:tcPr>
          <w:p w:rsidR="00164318" w:rsidRPr="005B0796" w:rsidRDefault="00164318" w:rsidP="00325071">
            <w:pPr>
              <w:pStyle w:val="TableText"/>
              <w:jc w:val="right"/>
              <w:rPr>
                <w:lang w:eastAsia="en-AU"/>
              </w:rPr>
            </w:pPr>
            <w:r w:rsidRPr="005B0796">
              <w:rPr>
                <w:lang w:eastAsia="en-AU"/>
              </w:rPr>
              <w:t>27.7, 36.6</w:t>
            </w:r>
          </w:p>
        </w:tc>
      </w:tr>
      <w:tr w:rsidR="00164318" w:rsidRPr="005B0796" w:rsidTr="00325071">
        <w:trPr>
          <w:cnfStyle w:val="000000100000" w:firstRow="0" w:lastRow="0" w:firstColumn="0" w:lastColumn="0" w:oddVBand="0" w:evenVBand="0" w:oddHBand="1" w:evenHBand="0" w:firstRowFirstColumn="0" w:firstRowLastColumn="0" w:lastRowFirstColumn="0" w:lastRowLastColumn="0"/>
          <w:cantSplit/>
        </w:trPr>
        <w:tc>
          <w:tcPr>
            <w:tcW w:w="3085" w:type="dxa"/>
            <w:hideMark/>
          </w:tcPr>
          <w:p w:rsidR="00164318" w:rsidRPr="005B0796" w:rsidRDefault="00164318" w:rsidP="00325071">
            <w:pPr>
              <w:pStyle w:val="TableText"/>
              <w:rPr>
                <w:rFonts w:cs="@헤드라인A"/>
                <w:lang w:eastAsia="en-AU"/>
              </w:rPr>
            </w:pPr>
            <w:r w:rsidRPr="005B0796">
              <w:rPr>
                <w:rFonts w:cs="@헤드라인A"/>
                <w:lang w:eastAsia="en-AU"/>
              </w:rPr>
              <w:t>Anxiety disorder (ABS)</w:t>
            </w:r>
          </w:p>
        </w:tc>
        <w:tc>
          <w:tcPr>
            <w:tcW w:w="1414" w:type="dxa"/>
            <w:noWrap/>
            <w:hideMark/>
          </w:tcPr>
          <w:p w:rsidR="00164318" w:rsidRPr="005B0796" w:rsidRDefault="00164318" w:rsidP="00325071">
            <w:pPr>
              <w:pStyle w:val="TableText"/>
              <w:jc w:val="right"/>
              <w:rPr>
                <w:rFonts w:cs="@헤드라인A"/>
                <w:lang w:eastAsia="en-AU"/>
              </w:rPr>
            </w:pPr>
            <w:r w:rsidRPr="005B0796">
              <w:rPr>
                <w:rFonts w:cs="@헤드라인A"/>
                <w:lang w:eastAsia="en-AU"/>
              </w:rPr>
              <w:t>10,421</w:t>
            </w:r>
          </w:p>
        </w:tc>
        <w:tc>
          <w:tcPr>
            <w:tcW w:w="1415" w:type="dxa"/>
            <w:noWrap/>
            <w:hideMark/>
          </w:tcPr>
          <w:p w:rsidR="00164318" w:rsidRPr="005B0796" w:rsidRDefault="00164318" w:rsidP="00325071">
            <w:pPr>
              <w:pStyle w:val="TableText"/>
              <w:jc w:val="right"/>
              <w:rPr>
                <w:rFonts w:cs="@헤드라인A"/>
                <w:lang w:eastAsia="en-AU"/>
              </w:rPr>
            </w:pPr>
            <w:r w:rsidRPr="005B0796">
              <w:rPr>
                <w:rFonts w:cs="@헤드라인A"/>
                <w:lang w:eastAsia="en-AU"/>
              </w:rPr>
              <w:t xml:space="preserve">41.8 </w:t>
            </w:r>
          </w:p>
        </w:tc>
        <w:tc>
          <w:tcPr>
            <w:tcW w:w="1415" w:type="dxa"/>
            <w:noWrap/>
            <w:hideMark/>
          </w:tcPr>
          <w:p w:rsidR="00164318" w:rsidRPr="005B0796" w:rsidRDefault="00164318" w:rsidP="00325071">
            <w:pPr>
              <w:pStyle w:val="TableText"/>
              <w:jc w:val="right"/>
              <w:rPr>
                <w:lang w:eastAsia="en-AU"/>
              </w:rPr>
            </w:pPr>
            <w:r w:rsidRPr="005B0796">
              <w:rPr>
                <w:lang w:eastAsia="en-AU"/>
              </w:rPr>
              <w:t>37.1, 46.6</w:t>
            </w:r>
          </w:p>
        </w:tc>
      </w:tr>
      <w:tr w:rsidR="00164318" w:rsidRPr="005B0796" w:rsidTr="00325071">
        <w:trPr>
          <w:cantSplit/>
        </w:trPr>
        <w:tc>
          <w:tcPr>
            <w:tcW w:w="3085" w:type="dxa"/>
            <w:hideMark/>
          </w:tcPr>
          <w:p w:rsidR="00164318" w:rsidRPr="005B0796" w:rsidRDefault="00164318" w:rsidP="00325071">
            <w:pPr>
              <w:pStyle w:val="TableText"/>
              <w:rPr>
                <w:lang w:eastAsia="en-AU"/>
              </w:rPr>
            </w:pPr>
            <w:r w:rsidRPr="005B0796">
              <w:rPr>
                <w:rFonts w:cs="@헤드라인A"/>
                <w:lang w:eastAsia="en-AU"/>
              </w:rPr>
              <w:t>Affective disorder</w:t>
            </w:r>
          </w:p>
        </w:tc>
        <w:tc>
          <w:tcPr>
            <w:tcW w:w="1414" w:type="dxa"/>
            <w:noWrap/>
            <w:hideMark/>
          </w:tcPr>
          <w:p w:rsidR="00164318" w:rsidRPr="005B0796" w:rsidRDefault="00164318" w:rsidP="00325071">
            <w:pPr>
              <w:pStyle w:val="TableText"/>
              <w:jc w:val="right"/>
              <w:rPr>
                <w:lang w:eastAsia="en-AU"/>
              </w:rPr>
            </w:pPr>
            <w:r w:rsidRPr="005B0796">
              <w:rPr>
                <w:rFonts w:cs="@헤드라인A"/>
                <w:lang w:eastAsia="en-AU"/>
              </w:rPr>
              <w:t>9769</w:t>
            </w:r>
          </w:p>
        </w:tc>
        <w:tc>
          <w:tcPr>
            <w:tcW w:w="1415" w:type="dxa"/>
            <w:noWrap/>
            <w:hideMark/>
          </w:tcPr>
          <w:p w:rsidR="00164318" w:rsidRPr="005B0796" w:rsidRDefault="00164318" w:rsidP="00325071">
            <w:pPr>
              <w:pStyle w:val="TableText"/>
              <w:jc w:val="right"/>
              <w:rPr>
                <w:lang w:eastAsia="en-AU"/>
              </w:rPr>
            </w:pPr>
            <w:r w:rsidRPr="005B0796">
              <w:rPr>
                <w:rFonts w:cs="@헤드라인A"/>
                <w:lang w:eastAsia="en-AU"/>
              </w:rPr>
              <w:t>39.6</w:t>
            </w:r>
          </w:p>
        </w:tc>
        <w:tc>
          <w:tcPr>
            <w:tcW w:w="1415" w:type="dxa"/>
            <w:noWrap/>
            <w:hideMark/>
          </w:tcPr>
          <w:p w:rsidR="00164318" w:rsidRPr="005B0796" w:rsidRDefault="00164318" w:rsidP="00325071">
            <w:pPr>
              <w:pStyle w:val="TableText"/>
              <w:jc w:val="right"/>
              <w:rPr>
                <w:lang w:eastAsia="en-AU"/>
              </w:rPr>
            </w:pPr>
            <w:r w:rsidRPr="005B0796">
              <w:rPr>
                <w:lang w:eastAsia="en-AU"/>
              </w:rPr>
              <w:t>35.0, 44.4</w:t>
            </w:r>
          </w:p>
        </w:tc>
      </w:tr>
      <w:tr w:rsidR="00164318" w:rsidRPr="005B0796" w:rsidTr="00325071">
        <w:trPr>
          <w:cnfStyle w:val="000000100000" w:firstRow="0" w:lastRow="0" w:firstColumn="0" w:lastColumn="0" w:oddVBand="0" w:evenVBand="0" w:oddHBand="1" w:evenHBand="0" w:firstRowFirstColumn="0" w:firstRowLastColumn="0" w:lastRowFirstColumn="0" w:lastRowLastColumn="0"/>
          <w:cantSplit/>
        </w:trPr>
        <w:tc>
          <w:tcPr>
            <w:tcW w:w="3085" w:type="dxa"/>
            <w:hideMark/>
          </w:tcPr>
          <w:p w:rsidR="00164318" w:rsidRPr="005B0796" w:rsidRDefault="00164318" w:rsidP="00325071">
            <w:pPr>
              <w:pStyle w:val="TableText"/>
              <w:rPr>
                <w:lang w:eastAsia="en-AU"/>
              </w:rPr>
            </w:pPr>
            <w:r w:rsidRPr="005B0796">
              <w:rPr>
                <w:rFonts w:cs="@헤드라인A"/>
                <w:lang w:eastAsia="en-AU"/>
              </w:rPr>
              <w:t>Alcohol disorder</w:t>
            </w:r>
          </w:p>
        </w:tc>
        <w:tc>
          <w:tcPr>
            <w:tcW w:w="1414" w:type="dxa"/>
            <w:noWrap/>
            <w:hideMark/>
          </w:tcPr>
          <w:p w:rsidR="00164318" w:rsidRPr="005B0796" w:rsidRDefault="00164318" w:rsidP="00325071">
            <w:pPr>
              <w:pStyle w:val="TableText"/>
              <w:jc w:val="right"/>
              <w:rPr>
                <w:lang w:eastAsia="en-AU"/>
              </w:rPr>
            </w:pPr>
            <w:r w:rsidRPr="005B0796">
              <w:rPr>
                <w:rFonts w:cs="@헤드라인A"/>
                <w:lang w:eastAsia="en-AU"/>
              </w:rPr>
              <w:t>11,714</w:t>
            </w:r>
          </w:p>
        </w:tc>
        <w:tc>
          <w:tcPr>
            <w:tcW w:w="1415" w:type="dxa"/>
            <w:noWrap/>
            <w:hideMark/>
          </w:tcPr>
          <w:p w:rsidR="00164318" w:rsidRPr="005B0796" w:rsidRDefault="00164318" w:rsidP="00325071">
            <w:pPr>
              <w:pStyle w:val="TableText"/>
              <w:jc w:val="right"/>
              <w:rPr>
                <w:lang w:eastAsia="en-AU"/>
              </w:rPr>
            </w:pPr>
            <w:r w:rsidRPr="005B0796">
              <w:rPr>
                <w:rFonts w:cs="@헤드라인A"/>
                <w:lang w:eastAsia="en-AU"/>
              </w:rPr>
              <w:t>47.5</w:t>
            </w:r>
          </w:p>
        </w:tc>
        <w:tc>
          <w:tcPr>
            <w:tcW w:w="1415" w:type="dxa"/>
            <w:noWrap/>
            <w:hideMark/>
          </w:tcPr>
          <w:p w:rsidR="00164318" w:rsidRPr="005B0796" w:rsidRDefault="00164318" w:rsidP="00325071">
            <w:pPr>
              <w:pStyle w:val="TableText"/>
              <w:jc w:val="right"/>
              <w:rPr>
                <w:lang w:eastAsia="en-AU"/>
              </w:rPr>
            </w:pPr>
            <w:r w:rsidRPr="005B0796">
              <w:rPr>
                <w:lang w:eastAsia="en-AU"/>
              </w:rPr>
              <w:t>42.8, 52.2</w:t>
            </w:r>
          </w:p>
        </w:tc>
      </w:tr>
      <w:tr w:rsidR="00164318" w:rsidRPr="005B0796" w:rsidTr="00325071">
        <w:trPr>
          <w:cantSplit/>
        </w:trPr>
        <w:tc>
          <w:tcPr>
            <w:tcW w:w="3085" w:type="dxa"/>
            <w:noWrap/>
            <w:hideMark/>
          </w:tcPr>
          <w:p w:rsidR="00164318" w:rsidRPr="005B0796" w:rsidRDefault="00164318" w:rsidP="00325071">
            <w:pPr>
              <w:pStyle w:val="TableText"/>
              <w:rPr>
                <w:lang w:eastAsia="en-AU"/>
              </w:rPr>
            </w:pPr>
            <w:r w:rsidRPr="005B0796">
              <w:rPr>
                <w:rFonts w:cs="@헤드라인A"/>
                <w:lang w:eastAsia="en-AU"/>
              </w:rPr>
              <w:t>PTSD</w:t>
            </w:r>
          </w:p>
        </w:tc>
        <w:tc>
          <w:tcPr>
            <w:tcW w:w="1414" w:type="dxa"/>
            <w:noWrap/>
            <w:hideMark/>
          </w:tcPr>
          <w:p w:rsidR="00164318" w:rsidRPr="005B0796" w:rsidRDefault="00164318" w:rsidP="00325071">
            <w:pPr>
              <w:pStyle w:val="TableText"/>
              <w:jc w:val="right"/>
              <w:rPr>
                <w:lang w:eastAsia="en-AU"/>
              </w:rPr>
            </w:pPr>
            <w:r w:rsidRPr="005B0796">
              <w:rPr>
                <w:rFonts w:cs="@헤드라인A"/>
                <w:lang w:eastAsia="en-AU"/>
              </w:rPr>
              <w:t>6134</w:t>
            </w:r>
          </w:p>
        </w:tc>
        <w:tc>
          <w:tcPr>
            <w:tcW w:w="1415" w:type="dxa"/>
            <w:noWrap/>
            <w:hideMark/>
          </w:tcPr>
          <w:p w:rsidR="00164318" w:rsidRPr="005B0796" w:rsidRDefault="00164318" w:rsidP="00325071">
            <w:pPr>
              <w:pStyle w:val="TableText"/>
              <w:jc w:val="right"/>
              <w:rPr>
                <w:lang w:eastAsia="en-AU"/>
              </w:rPr>
            </w:pPr>
            <w:r w:rsidRPr="005B0796">
              <w:rPr>
                <w:rFonts w:cs="@헤드라인A"/>
                <w:lang w:eastAsia="en-AU"/>
              </w:rPr>
              <w:t>24.9</w:t>
            </w:r>
          </w:p>
        </w:tc>
        <w:tc>
          <w:tcPr>
            <w:tcW w:w="1415" w:type="dxa"/>
            <w:noWrap/>
            <w:hideMark/>
          </w:tcPr>
          <w:p w:rsidR="00164318" w:rsidRPr="005B0796" w:rsidRDefault="00164318" w:rsidP="00325071">
            <w:pPr>
              <w:pStyle w:val="TableText"/>
              <w:jc w:val="right"/>
              <w:rPr>
                <w:lang w:eastAsia="en-AU"/>
              </w:rPr>
            </w:pPr>
            <w:r w:rsidRPr="005B0796">
              <w:rPr>
                <w:lang w:eastAsia="en-AU"/>
              </w:rPr>
              <w:t>20.9, 29.3</w:t>
            </w:r>
          </w:p>
        </w:tc>
      </w:tr>
      <w:tr w:rsidR="00164318" w:rsidRPr="005B0796" w:rsidTr="00325071">
        <w:trPr>
          <w:cnfStyle w:val="000000100000" w:firstRow="0" w:lastRow="0" w:firstColumn="0" w:lastColumn="0" w:oddVBand="0" w:evenVBand="0" w:oddHBand="1" w:evenHBand="0" w:firstRowFirstColumn="0" w:firstRowLastColumn="0" w:lastRowFirstColumn="0" w:lastRowLastColumn="0"/>
          <w:cantSplit/>
        </w:trPr>
        <w:tc>
          <w:tcPr>
            <w:tcW w:w="3085" w:type="dxa"/>
            <w:noWrap/>
            <w:hideMark/>
          </w:tcPr>
          <w:p w:rsidR="00164318" w:rsidRPr="005B0796" w:rsidRDefault="00164318" w:rsidP="00325071">
            <w:pPr>
              <w:pStyle w:val="TableText"/>
              <w:rPr>
                <w:lang w:eastAsia="en-AU"/>
              </w:rPr>
            </w:pPr>
            <w:r w:rsidRPr="005B0796">
              <w:rPr>
                <w:rFonts w:cs="@헤드라인A"/>
                <w:lang w:eastAsia="en-AU"/>
              </w:rPr>
              <w:t>Any disorder</w:t>
            </w:r>
          </w:p>
        </w:tc>
        <w:tc>
          <w:tcPr>
            <w:tcW w:w="1414" w:type="dxa"/>
            <w:noWrap/>
            <w:hideMark/>
          </w:tcPr>
          <w:p w:rsidR="00164318" w:rsidRPr="005B0796" w:rsidRDefault="00164318" w:rsidP="00325071">
            <w:pPr>
              <w:pStyle w:val="TableText"/>
              <w:jc w:val="right"/>
              <w:rPr>
                <w:lang w:eastAsia="en-AU"/>
              </w:rPr>
            </w:pPr>
            <w:r w:rsidRPr="005B0796">
              <w:rPr>
                <w:rFonts w:cs="@헤드라인A"/>
                <w:lang w:eastAsia="en-AU"/>
              </w:rPr>
              <w:t>18,435</w:t>
            </w:r>
          </w:p>
        </w:tc>
        <w:tc>
          <w:tcPr>
            <w:tcW w:w="1415" w:type="dxa"/>
            <w:noWrap/>
            <w:hideMark/>
          </w:tcPr>
          <w:p w:rsidR="00164318" w:rsidRPr="005B0796" w:rsidRDefault="00164318" w:rsidP="00325071">
            <w:pPr>
              <w:pStyle w:val="TableText"/>
              <w:jc w:val="right"/>
              <w:rPr>
                <w:lang w:eastAsia="en-AU"/>
              </w:rPr>
            </w:pPr>
            <w:r w:rsidRPr="005B0796">
              <w:rPr>
                <w:rFonts w:cs="@헤드라인A"/>
                <w:lang w:eastAsia="en-AU"/>
              </w:rPr>
              <w:t>74.7</w:t>
            </w:r>
          </w:p>
        </w:tc>
        <w:tc>
          <w:tcPr>
            <w:tcW w:w="1415" w:type="dxa"/>
            <w:noWrap/>
            <w:hideMark/>
          </w:tcPr>
          <w:p w:rsidR="00164318" w:rsidRPr="005B0796" w:rsidRDefault="00164318" w:rsidP="00325071">
            <w:pPr>
              <w:pStyle w:val="TableText"/>
              <w:jc w:val="right"/>
              <w:rPr>
                <w:lang w:eastAsia="en-AU"/>
              </w:rPr>
            </w:pPr>
            <w:r w:rsidRPr="005B0796">
              <w:rPr>
                <w:lang w:eastAsia="en-AU"/>
              </w:rPr>
              <w:t>70.5, 78.5</w:t>
            </w:r>
          </w:p>
        </w:tc>
      </w:tr>
    </w:tbl>
    <w:p w:rsidR="000E4D49" w:rsidRPr="005B0796" w:rsidRDefault="000E4D49" w:rsidP="000E4D49">
      <w:pPr>
        <w:pStyle w:val="TableNotes"/>
      </w:pPr>
      <w:bookmarkStart w:id="229" w:name="_Ref484519034"/>
      <w:bookmarkStart w:id="230" w:name="_Toc482023767"/>
      <w:bookmarkStart w:id="231" w:name="_Toc487014253"/>
      <w:bookmarkStart w:id="232" w:name="_Toc492995556"/>
      <w:r w:rsidRPr="005B0796">
        <w:t>Note</w:t>
      </w:r>
      <w:r w:rsidR="008C2520" w:rsidRPr="005B0796">
        <w:t>s</w:t>
      </w:r>
      <w:r w:rsidRPr="005B0796">
        <w:t>:</w:t>
      </w:r>
      <w:r w:rsidR="008C2520" w:rsidRPr="005B0796">
        <w:br/>
      </w:r>
      <w:r w:rsidRPr="005B0796">
        <w:t>A description of each of the ICD-10 disorder classes is provided in the glossary</w:t>
      </w:r>
    </w:p>
    <w:p w:rsidR="000E4D49" w:rsidRPr="005B0796" w:rsidRDefault="000E4D49" w:rsidP="000E4D49">
      <w:pPr>
        <w:pStyle w:val="TableNotes"/>
      </w:pPr>
      <w:r w:rsidRPr="005B0796">
        <w:t>95%</w:t>
      </w:r>
      <w:r w:rsidR="00E96C28">
        <w:t xml:space="preserve"> </w:t>
      </w:r>
      <w:r w:rsidRPr="005B0796">
        <w:t xml:space="preserve">CI: 95% </w:t>
      </w:r>
      <w:r w:rsidR="00564689" w:rsidRPr="005B0796">
        <w:t>confidence interval</w:t>
      </w:r>
    </w:p>
    <w:p w:rsidR="00164318" w:rsidRPr="005B0796" w:rsidRDefault="000E4D49" w:rsidP="000E4D49">
      <w:pPr>
        <w:pStyle w:val="TableName"/>
        <w:rPr>
          <w:shd w:val="clear" w:color="auto" w:fill="FFFFFF"/>
        </w:rPr>
      </w:pPr>
      <w:bookmarkStart w:id="233" w:name="_Ref494275118"/>
      <w:bookmarkStart w:id="234" w:name="_Toc51190040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w:t>
      </w:r>
      <w:r w:rsidR="00D30A3C">
        <w:rPr>
          <w:noProof/>
        </w:rPr>
        <w:fldChar w:fldCharType="end"/>
      </w:r>
      <w:bookmarkEnd w:id="229"/>
      <w:bookmarkEnd w:id="233"/>
      <w:r w:rsidRPr="005B0796">
        <w:tab/>
        <w:t>Estimated prevalence of 12-month ICD-10 anxiety, affective, alcohol</w:t>
      </w:r>
      <w:r w:rsidR="00E96C28">
        <w:t xml:space="preserve"> and</w:t>
      </w:r>
      <w:r w:rsidRPr="005B0796">
        <w:t xml:space="preserve"> any disorder, and PTSD in Transitioned ADF</w:t>
      </w:r>
      <w:bookmarkEnd w:id="230"/>
      <w:bookmarkEnd w:id="231"/>
      <w:bookmarkEnd w:id="232"/>
      <w:bookmarkEnd w:id="234"/>
    </w:p>
    <w:tbl>
      <w:tblPr>
        <w:tblStyle w:val="TWRPTable"/>
        <w:tblW w:w="5000" w:type="pct"/>
        <w:tblLayout w:type="fixed"/>
        <w:tblLook w:val="04A0" w:firstRow="1" w:lastRow="0" w:firstColumn="1" w:lastColumn="0" w:noHBand="0" w:noVBand="1"/>
        <w:tblDescription w:val="Table 4.2 Estimated prevalence of 12-month ICD-10 anxiety, affective, alcohol, any disorder, and PTSD in Transitioned ADF"/>
      </w:tblPr>
      <w:tblGrid>
        <w:gridCol w:w="3078"/>
        <w:gridCol w:w="1412"/>
        <w:gridCol w:w="1412"/>
        <w:gridCol w:w="1413"/>
      </w:tblGrid>
      <w:tr w:rsidR="00164318" w:rsidRPr="005B0796" w:rsidTr="00BF795F">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single" w:sz="4" w:space="0" w:color="000000"/>
              <w:bottom w:val="nil"/>
            </w:tcBorders>
            <w:noWrap/>
            <w:hideMark/>
          </w:tcPr>
          <w:p w:rsidR="00164318" w:rsidRPr="005B0796" w:rsidRDefault="00164318" w:rsidP="00BF795F">
            <w:pPr>
              <w:pStyle w:val="TableText"/>
            </w:pPr>
          </w:p>
        </w:tc>
        <w:tc>
          <w:tcPr>
            <w:tcW w:w="4237" w:type="dxa"/>
            <w:gridSpan w:val="3"/>
            <w:noWrap/>
          </w:tcPr>
          <w:p w:rsidR="00164318" w:rsidRPr="005B0796" w:rsidRDefault="00164318" w:rsidP="00BF795F">
            <w:pPr>
              <w:pStyle w:val="TableText"/>
              <w:jc w:val="center"/>
            </w:pPr>
            <w:r w:rsidRPr="005B0796">
              <w:t>Transitioned ADF (N = 24,932)</w:t>
            </w:r>
          </w:p>
        </w:tc>
      </w:tr>
      <w:tr w:rsidR="00164318" w:rsidRPr="005B0796" w:rsidTr="00BF795F">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nil"/>
            </w:tcBorders>
            <w:noWrap/>
            <w:hideMark/>
          </w:tcPr>
          <w:p w:rsidR="00164318" w:rsidRPr="005B0796" w:rsidRDefault="00BF795F" w:rsidP="00BF795F">
            <w:pPr>
              <w:pStyle w:val="TableText"/>
            </w:pPr>
            <w:r w:rsidRPr="005B0796">
              <w:t>12-month ICD-10 disorder</w:t>
            </w:r>
          </w:p>
        </w:tc>
        <w:tc>
          <w:tcPr>
            <w:tcW w:w="1412" w:type="dxa"/>
            <w:noWrap/>
            <w:hideMark/>
          </w:tcPr>
          <w:p w:rsidR="00164318" w:rsidRPr="005B0796" w:rsidRDefault="00164318" w:rsidP="00BF795F">
            <w:pPr>
              <w:pStyle w:val="TableText"/>
              <w:jc w:val="right"/>
            </w:pPr>
            <w:r w:rsidRPr="005B0796">
              <w:t>Weighted n</w:t>
            </w:r>
          </w:p>
        </w:tc>
        <w:tc>
          <w:tcPr>
            <w:tcW w:w="1412" w:type="dxa"/>
            <w:hideMark/>
          </w:tcPr>
          <w:p w:rsidR="00164318" w:rsidRPr="005B0796" w:rsidRDefault="00164318" w:rsidP="00BF795F">
            <w:pPr>
              <w:pStyle w:val="TableText"/>
              <w:jc w:val="right"/>
            </w:pPr>
            <w:r w:rsidRPr="005B0796">
              <w:t>%</w:t>
            </w:r>
          </w:p>
        </w:tc>
        <w:tc>
          <w:tcPr>
            <w:tcW w:w="1413" w:type="dxa"/>
            <w:hideMark/>
          </w:tcPr>
          <w:p w:rsidR="00164318" w:rsidRPr="005B0796" w:rsidRDefault="00164318" w:rsidP="00BF795F">
            <w:pPr>
              <w:pStyle w:val="TableText"/>
              <w:jc w:val="right"/>
            </w:pPr>
            <w:r w:rsidRPr="005B0796">
              <w:t>95% CI</w:t>
            </w:r>
          </w:p>
        </w:tc>
      </w:tr>
      <w:tr w:rsidR="00164318" w:rsidRPr="005B0796" w:rsidTr="00BF795F">
        <w:trPr>
          <w:cnfStyle w:val="000000100000" w:firstRow="0" w:lastRow="0" w:firstColumn="0" w:lastColumn="0" w:oddVBand="0" w:evenVBand="0" w:oddHBand="1" w:evenHBand="0" w:firstRowFirstColumn="0" w:firstRowLastColumn="0" w:lastRowFirstColumn="0" w:lastRowLastColumn="0"/>
        </w:trPr>
        <w:tc>
          <w:tcPr>
            <w:tcW w:w="3078" w:type="dxa"/>
            <w:hideMark/>
          </w:tcPr>
          <w:p w:rsidR="00164318" w:rsidRPr="005B0796" w:rsidRDefault="00164318" w:rsidP="00BF795F">
            <w:pPr>
              <w:pStyle w:val="TableText"/>
              <w:rPr>
                <w:lang w:eastAsia="en-AU"/>
              </w:rPr>
            </w:pPr>
            <w:r w:rsidRPr="005B0796">
              <w:rPr>
                <w:rFonts w:cs="@헤드라인A"/>
                <w:lang w:eastAsia="en-AU"/>
              </w:rPr>
              <w:t xml:space="preserve">Anxiety disorder </w:t>
            </w:r>
          </w:p>
        </w:tc>
        <w:tc>
          <w:tcPr>
            <w:tcW w:w="1412" w:type="dxa"/>
            <w:noWrap/>
            <w:hideMark/>
          </w:tcPr>
          <w:p w:rsidR="00164318" w:rsidRPr="005B0796" w:rsidRDefault="00164318" w:rsidP="00BF795F">
            <w:pPr>
              <w:pStyle w:val="TableText"/>
              <w:jc w:val="right"/>
              <w:rPr>
                <w:lang w:eastAsia="en-AU"/>
              </w:rPr>
            </w:pPr>
            <w:r w:rsidRPr="005B0796">
              <w:rPr>
                <w:rFonts w:cs="@헤드라인A"/>
                <w:kern w:val="24"/>
              </w:rPr>
              <w:t>9232</w:t>
            </w:r>
          </w:p>
        </w:tc>
        <w:tc>
          <w:tcPr>
            <w:tcW w:w="1412" w:type="dxa"/>
            <w:noWrap/>
            <w:hideMark/>
          </w:tcPr>
          <w:p w:rsidR="00164318" w:rsidRPr="005B0796" w:rsidRDefault="00164318" w:rsidP="00BF795F">
            <w:pPr>
              <w:pStyle w:val="TableText"/>
              <w:jc w:val="right"/>
              <w:rPr>
                <w:lang w:eastAsia="en-AU"/>
              </w:rPr>
            </w:pPr>
            <w:r w:rsidRPr="005B0796">
              <w:rPr>
                <w:rFonts w:cs="@헤드라인A"/>
                <w:kern w:val="24"/>
              </w:rPr>
              <w:t>37.0</w:t>
            </w:r>
          </w:p>
        </w:tc>
        <w:tc>
          <w:tcPr>
            <w:tcW w:w="1413" w:type="dxa"/>
            <w:noWrap/>
            <w:hideMark/>
          </w:tcPr>
          <w:p w:rsidR="00164318" w:rsidRPr="005B0796" w:rsidRDefault="00164318" w:rsidP="00BF795F">
            <w:pPr>
              <w:pStyle w:val="TableText"/>
              <w:jc w:val="right"/>
              <w:rPr>
                <w:lang w:eastAsia="en-AU"/>
              </w:rPr>
            </w:pPr>
            <w:r w:rsidRPr="005B0796">
              <w:rPr>
                <w:rFonts w:cs="@헤드라인A"/>
                <w:kern w:val="24"/>
              </w:rPr>
              <w:t>32.6, 41.7</w:t>
            </w:r>
          </w:p>
        </w:tc>
      </w:tr>
      <w:tr w:rsidR="00164318" w:rsidRPr="005B0796" w:rsidTr="00BF795F">
        <w:tc>
          <w:tcPr>
            <w:tcW w:w="3078" w:type="dxa"/>
            <w:hideMark/>
          </w:tcPr>
          <w:p w:rsidR="00164318" w:rsidRPr="005B0796" w:rsidRDefault="00164318" w:rsidP="00BF795F">
            <w:pPr>
              <w:pStyle w:val="TableText"/>
              <w:rPr>
                <w:rFonts w:cs="@헤드라인A"/>
                <w:lang w:eastAsia="en-AU"/>
              </w:rPr>
            </w:pPr>
            <w:r w:rsidRPr="005B0796">
              <w:rPr>
                <w:rFonts w:cs="@헤드라인A"/>
                <w:lang w:eastAsia="en-AU"/>
              </w:rPr>
              <w:t>Anxiety disorder (excluding PTSD)</w:t>
            </w:r>
          </w:p>
        </w:tc>
        <w:tc>
          <w:tcPr>
            <w:tcW w:w="1412" w:type="dxa"/>
            <w:noWrap/>
            <w:hideMark/>
          </w:tcPr>
          <w:p w:rsidR="00164318" w:rsidRPr="005B0796" w:rsidRDefault="00164318" w:rsidP="00BF795F">
            <w:pPr>
              <w:pStyle w:val="TableText"/>
              <w:jc w:val="right"/>
              <w:rPr>
                <w:kern w:val="24"/>
              </w:rPr>
            </w:pPr>
            <w:r w:rsidRPr="005B0796">
              <w:rPr>
                <w:kern w:val="24"/>
              </w:rPr>
              <w:t>4822</w:t>
            </w:r>
          </w:p>
        </w:tc>
        <w:tc>
          <w:tcPr>
            <w:tcW w:w="1412" w:type="dxa"/>
            <w:noWrap/>
            <w:hideMark/>
          </w:tcPr>
          <w:p w:rsidR="00164318" w:rsidRPr="005B0796" w:rsidRDefault="00164318" w:rsidP="00BF795F">
            <w:pPr>
              <w:pStyle w:val="TableText"/>
              <w:jc w:val="right"/>
              <w:rPr>
                <w:kern w:val="24"/>
              </w:rPr>
            </w:pPr>
            <w:r w:rsidRPr="005B0796">
              <w:rPr>
                <w:kern w:val="24"/>
              </w:rPr>
              <w:t>19.3</w:t>
            </w:r>
          </w:p>
        </w:tc>
        <w:tc>
          <w:tcPr>
            <w:tcW w:w="1413" w:type="dxa"/>
            <w:noWrap/>
            <w:hideMark/>
          </w:tcPr>
          <w:p w:rsidR="00164318" w:rsidRPr="005B0796" w:rsidRDefault="00164318" w:rsidP="00BF795F">
            <w:pPr>
              <w:pStyle w:val="TableText"/>
              <w:jc w:val="right"/>
              <w:rPr>
                <w:kern w:val="24"/>
              </w:rPr>
            </w:pPr>
            <w:r w:rsidRPr="005B0796">
              <w:rPr>
                <w:kern w:val="24"/>
              </w:rPr>
              <w:t>15.8, 23.5</w:t>
            </w:r>
          </w:p>
        </w:tc>
      </w:tr>
      <w:tr w:rsidR="00164318" w:rsidRPr="005B0796" w:rsidTr="00BF795F">
        <w:trPr>
          <w:cnfStyle w:val="000000100000" w:firstRow="0" w:lastRow="0" w:firstColumn="0" w:lastColumn="0" w:oddVBand="0" w:evenVBand="0" w:oddHBand="1" w:evenHBand="0" w:firstRowFirstColumn="0" w:firstRowLastColumn="0" w:lastRowFirstColumn="0" w:lastRowLastColumn="0"/>
        </w:trPr>
        <w:tc>
          <w:tcPr>
            <w:tcW w:w="3078" w:type="dxa"/>
            <w:hideMark/>
          </w:tcPr>
          <w:p w:rsidR="00164318" w:rsidRPr="005B0796" w:rsidRDefault="00164318" w:rsidP="00BF795F">
            <w:pPr>
              <w:pStyle w:val="TableText"/>
              <w:rPr>
                <w:rFonts w:cs="@헤드라인A"/>
                <w:lang w:eastAsia="en-AU"/>
              </w:rPr>
            </w:pPr>
            <w:r w:rsidRPr="005B0796">
              <w:rPr>
                <w:rFonts w:cs="@헤드라인A"/>
                <w:lang w:eastAsia="en-AU"/>
              </w:rPr>
              <w:t>Anxiety disorder (ABS)</w:t>
            </w:r>
          </w:p>
        </w:tc>
        <w:tc>
          <w:tcPr>
            <w:tcW w:w="1412" w:type="dxa"/>
            <w:noWrap/>
            <w:hideMark/>
          </w:tcPr>
          <w:p w:rsidR="00164318" w:rsidRPr="005B0796" w:rsidRDefault="00164318" w:rsidP="00BF795F">
            <w:pPr>
              <w:pStyle w:val="TableText"/>
              <w:jc w:val="right"/>
              <w:rPr>
                <w:kern w:val="24"/>
              </w:rPr>
            </w:pPr>
            <w:r w:rsidRPr="005B0796">
              <w:rPr>
                <w:kern w:val="24"/>
              </w:rPr>
              <w:t>7694</w:t>
            </w:r>
          </w:p>
        </w:tc>
        <w:tc>
          <w:tcPr>
            <w:tcW w:w="1412" w:type="dxa"/>
            <w:noWrap/>
            <w:hideMark/>
          </w:tcPr>
          <w:p w:rsidR="00164318" w:rsidRPr="005B0796" w:rsidRDefault="00164318" w:rsidP="00BF795F">
            <w:pPr>
              <w:pStyle w:val="TableText"/>
              <w:jc w:val="right"/>
              <w:rPr>
                <w:kern w:val="24"/>
              </w:rPr>
            </w:pPr>
            <w:r w:rsidRPr="005B0796">
              <w:rPr>
                <w:kern w:val="24"/>
              </w:rPr>
              <w:t>30.9</w:t>
            </w:r>
          </w:p>
        </w:tc>
        <w:tc>
          <w:tcPr>
            <w:tcW w:w="1413" w:type="dxa"/>
            <w:noWrap/>
            <w:hideMark/>
          </w:tcPr>
          <w:p w:rsidR="00164318" w:rsidRPr="005B0796" w:rsidRDefault="00164318" w:rsidP="00BF795F">
            <w:pPr>
              <w:pStyle w:val="TableText"/>
              <w:jc w:val="right"/>
              <w:rPr>
                <w:kern w:val="24"/>
              </w:rPr>
            </w:pPr>
            <w:r w:rsidRPr="005B0796">
              <w:rPr>
                <w:kern w:val="24"/>
              </w:rPr>
              <w:t>26.6, 35.5</w:t>
            </w:r>
          </w:p>
        </w:tc>
      </w:tr>
      <w:tr w:rsidR="00164318" w:rsidRPr="005B0796" w:rsidTr="00BF795F">
        <w:tc>
          <w:tcPr>
            <w:tcW w:w="3078" w:type="dxa"/>
            <w:hideMark/>
          </w:tcPr>
          <w:p w:rsidR="00164318" w:rsidRPr="005B0796" w:rsidRDefault="00164318" w:rsidP="00BF795F">
            <w:pPr>
              <w:pStyle w:val="TableText"/>
              <w:rPr>
                <w:lang w:eastAsia="en-AU"/>
              </w:rPr>
            </w:pPr>
            <w:r w:rsidRPr="005B0796">
              <w:rPr>
                <w:rFonts w:cs="@헤드라인A"/>
                <w:lang w:eastAsia="en-AU"/>
              </w:rPr>
              <w:t>Affective disorder</w:t>
            </w:r>
          </w:p>
        </w:tc>
        <w:tc>
          <w:tcPr>
            <w:tcW w:w="1412" w:type="dxa"/>
            <w:noWrap/>
            <w:hideMark/>
          </w:tcPr>
          <w:p w:rsidR="00164318" w:rsidRPr="005B0796" w:rsidRDefault="00164318" w:rsidP="00BF795F">
            <w:pPr>
              <w:pStyle w:val="TableText"/>
              <w:jc w:val="right"/>
              <w:rPr>
                <w:lang w:eastAsia="en-AU"/>
              </w:rPr>
            </w:pPr>
            <w:r w:rsidRPr="005B0796">
              <w:rPr>
                <w:kern w:val="24"/>
              </w:rPr>
              <w:t>5755</w:t>
            </w:r>
          </w:p>
        </w:tc>
        <w:tc>
          <w:tcPr>
            <w:tcW w:w="1412" w:type="dxa"/>
            <w:noWrap/>
            <w:hideMark/>
          </w:tcPr>
          <w:p w:rsidR="00164318" w:rsidRPr="005B0796" w:rsidRDefault="00164318" w:rsidP="00BF795F">
            <w:pPr>
              <w:pStyle w:val="TableText"/>
              <w:jc w:val="right"/>
              <w:rPr>
                <w:lang w:eastAsia="en-AU"/>
              </w:rPr>
            </w:pPr>
            <w:r w:rsidRPr="005B0796">
              <w:rPr>
                <w:kern w:val="24"/>
              </w:rPr>
              <w:t>23.1</w:t>
            </w:r>
          </w:p>
        </w:tc>
        <w:tc>
          <w:tcPr>
            <w:tcW w:w="1413" w:type="dxa"/>
            <w:noWrap/>
            <w:hideMark/>
          </w:tcPr>
          <w:p w:rsidR="00164318" w:rsidRPr="005B0796" w:rsidRDefault="00164318" w:rsidP="00BF795F">
            <w:pPr>
              <w:pStyle w:val="TableText"/>
              <w:jc w:val="right"/>
              <w:rPr>
                <w:lang w:eastAsia="en-AU"/>
              </w:rPr>
            </w:pPr>
            <w:r w:rsidRPr="005B0796">
              <w:rPr>
                <w:kern w:val="24"/>
              </w:rPr>
              <w:t>19.2, 27.5</w:t>
            </w:r>
          </w:p>
        </w:tc>
      </w:tr>
      <w:tr w:rsidR="00164318" w:rsidRPr="005B0796" w:rsidTr="00BF795F">
        <w:trPr>
          <w:cnfStyle w:val="000000100000" w:firstRow="0" w:lastRow="0" w:firstColumn="0" w:lastColumn="0" w:oddVBand="0" w:evenVBand="0" w:oddHBand="1" w:evenHBand="0" w:firstRowFirstColumn="0" w:firstRowLastColumn="0" w:lastRowFirstColumn="0" w:lastRowLastColumn="0"/>
        </w:trPr>
        <w:tc>
          <w:tcPr>
            <w:tcW w:w="3078" w:type="dxa"/>
            <w:hideMark/>
          </w:tcPr>
          <w:p w:rsidR="00164318" w:rsidRPr="005B0796" w:rsidRDefault="00164318" w:rsidP="00BF795F">
            <w:pPr>
              <w:pStyle w:val="TableText"/>
              <w:rPr>
                <w:lang w:eastAsia="en-AU"/>
              </w:rPr>
            </w:pPr>
            <w:r w:rsidRPr="005B0796">
              <w:rPr>
                <w:rFonts w:cs="@헤드라인A"/>
                <w:lang w:eastAsia="en-AU"/>
              </w:rPr>
              <w:t>Alcohol disorder</w:t>
            </w:r>
          </w:p>
        </w:tc>
        <w:tc>
          <w:tcPr>
            <w:tcW w:w="1412" w:type="dxa"/>
            <w:noWrap/>
            <w:hideMark/>
          </w:tcPr>
          <w:p w:rsidR="00164318" w:rsidRPr="005B0796" w:rsidRDefault="00164318" w:rsidP="00BF795F">
            <w:pPr>
              <w:pStyle w:val="TableText"/>
              <w:jc w:val="right"/>
              <w:rPr>
                <w:lang w:eastAsia="en-AU"/>
              </w:rPr>
            </w:pPr>
            <w:r w:rsidRPr="005B0796">
              <w:rPr>
                <w:kern w:val="24"/>
              </w:rPr>
              <w:t>3219</w:t>
            </w:r>
          </w:p>
        </w:tc>
        <w:tc>
          <w:tcPr>
            <w:tcW w:w="1412" w:type="dxa"/>
            <w:noWrap/>
            <w:hideMark/>
          </w:tcPr>
          <w:p w:rsidR="00164318" w:rsidRPr="005B0796" w:rsidRDefault="00164318" w:rsidP="00BF795F">
            <w:pPr>
              <w:pStyle w:val="TableText"/>
              <w:jc w:val="right"/>
              <w:rPr>
                <w:lang w:eastAsia="en-AU"/>
              </w:rPr>
            </w:pPr>
            <w:r w:rsidRPr="005B0796">
              <w:rPr>
                <w:kern w:val="24"/>
              </w:rPr>
              <w:t>12.9</w:t>
            </w:r>
          </w:p>
        </w:tc>
        <w:tc>
          <w:tcPr>
            <w:tcW w:w="1413" w:type="dxa"/>
            <w:noWrap/>
            <w:hideMark/>
          </w:tcPr>
          <w:p w:rsidR="00164318" w:rsidRPr="005B0796" w:rsidRDefault="00164318" w:rsidP="00BF795F">
            <w:pPr>
              <w:pStyle w:val="TableText"/>
              <w:jc w:val="right"/>
              <w:rPr>
                <w:lang w:eastAsia="en-AU"/>
              </w:rPr>
            </w:pPr>
            <w:r w:rsidRPr="005B0796">
              <w:rPr>
                <w:kern w:val="24"/>
              </w:rPr>
              <w:t>9.8, 16.9</w:t>
            </w:r>
          </w:p>
        </w:tc>
      </w:tr>
      <w:tr w:rsidR="00164318" w:rsidRPr="005B0796" w:rsidTr="00BF795F">
        <w:tc>
          <w:tcPr>
            <w:tcW w:w="3078" w:type="dxa"/>
            <w:noWrap/>
            <w:hideMark/>
          </w:tcPr>
          <w:p w:rsidR="00164318" w:rsidRPr="005B0796" w:rsidRDefault="00164318" w:rsidP="00BF795F">
            <w:pPr>
              <w:pStyle w:val="TableText"/>
              <w:rPr>
                <w:lang w:eastAsia="en-AU"/>
              </w:rPr>
            </w:pPr>
            <w:r w:rsidRPr="005B0796">
              <w:rPr>
                <w:rFonts w:cs="@헤드라인A"/>
                <w:lang w:eastAsia="en-AU"/>
              </w:rPr>
              <w:t>Posttraumatic stress disorder</w:t>
            </w:r>
          </w:p>
        </w:tc>
        <w:tc>
          <w:tcPr>
            <w:tcW w:w="1412" w:type="dxa"/>
            <w:noWrap/>
            <w:hideMark/>
          </w:tcPr>
          <w:p w:rsidR="00164318" w:rsidRPr="005B0796" w:rsidRDefault="00164318" w:rsidP="00BF795F">
            <w:pPr>
              <w:pStyle w:val="TableText"/>
              <w:jc w:val="right"/>
              <w:rPr>
                <w:lang w:eastAsia="en-AU"/>
              </w:rPr>
            </w:pPr>
            <w:r w:rsidRPr="005B0796">
              <w:rPr>
                <w:rFonts w:cs="@헤드라인A"/>
                <w:kern w:val="24"/>
              </w:rPr>
              <w:t>4408</w:t>
            </w:r>
          </w:p>
        </w:tc>
        <w:tc>
          <w:tcPr>
            <w:tcW w:w="1412" w:type="dxa"/>
            <w:noWrap/>
            <w:hideMark/>
          </w:tcPr>
          <w:p w:rsidR="00164318" w:rsidRPr="005B0796" w:rsidRDefault="00164318" w:rsidP="00BF795F">
            <w:pPr>
              <w:pStyle w:val="TableText"/>
              <w:jc w:val="right"/>
              <w:rPr>
                <w:lang w:eastAsia="en-AU"/>
              </w:rPr>
            </w:pPr>
            <w:r w:rsidRPr="005B0796">
              <w:rPr>
                <w:rFonts w:cs="@헤드라인A"/>
                <w:kern w:val="24"/>
              </w:rPr>
              <w:t>17.7</w:t>
            </w:r>
          </w:p>
        </w:tc>
        <w:tc>
          <w:tcPr>
            <w:tcW w:w="1413" w:type="dxa"/>
            <w:noWrap/>
            <w:hideMark/>
          </w:tcPr>
          <w:p w:rsidR="00164318" w:rsidRPr="005B0796" w:rsidRDefault="00164318" w:rsidP="00BF795F">
            <w:pPr>
              <w:pStyle w:val="TableText"/>
              <w:jc w:val="right"/>
              <w:rPr>
                <w:lang w:eastAsia="en-AU"/>
              </w:rPr>
            </w:pPr>
            <w:r w:rsidRPr="005B0796">
              <w:rPr>
                <w:rFonts w:cs="@헤드라인A"/>
                <w:kern w:val="24"/>
              </w:rPr>
              <w:t>14.5, 21.3</w:t>
            </w:r>
          </w:p>
        </w:tc>
      </w:tr>
      <w:tr w:rsidR="00164318" w:rsidRPr="005B0796" w:rsidTr="00BF795F">
        <w:trPr>
          <w:cnfStyle w:val="000000100000" w:firstRow="0" w:lastRow="0" w:firstColumn="0" w:lastColumn="0" w:oddVBand="0" w:evenVBand="0" w:oddHBand="1" w:evenHBand="0" w:firstRowFirstColumn="0" w:firstRowLastColumn="0" w:lastRowFirstColumn="0" w:lastRowLastColumn="0"/>
        </w:trPr>
        <w:tc>
          <w:tcPr>
            <w:tcW w:w="3078" w:type="dxa"/>
            <w:noWrap/>
            <w:hideMark/>
          </w:tcPr>
          <w:p w:rsidR="00164318" w:rsidRPr="005B0796" w:rsidRDefault="00164318" w:rsidP="00BF795F">
            <w:pPr>
              <w:pStyle w:val="TableText"/>
              <w:rPr>
                <w:lang w:eastAsia="en-AU"/>
              </w:rPr>
            </w:pPr>
            <w:r w:rsidRPr="005B0796">
              <w:rPr>
                <w:rFonts w:cs="@헤드라인A"/>
                <w:lang w:eastAsia="en-AU"/>
              </w:rPr>
              <w:t>Any disorder</w:t>
            </w:r>
          </w:p>
        </w:tc>
        <w:tc>
          <w:tcPr>
            <w:tcW w:w="1412" w:type="dxa"/>
            <w:noWrap/>
            <w:hideMark/>
          </w:tcPr>
          <w:p w:rsidR="00164318" w:rsidRPr="005B0796" w:rsidRDefault="00164318" w:rsidP="00BF795F">
            <w:pPr>
              <w:pStyle w:val="TableText"/>
              <w:jc w:val="right"/>
              <w:rPr>
                <w:lang w:eastAsia="en-AU"/>
              </w:rPr>
            </w:pPr>
            <w:r w:rsidRPr="005B0796">
              <w:rPr>
                <w:rFonts w:cs="@헤드라인A"/>
                <w:kern w:val="24"/>
              </w:rPr>
              <w:t>11,558</w:t>
            </w:r>
          </w:p>
        </w:tc>
        <w:tc>
          <w:tcPr>
            <w:tcW w:w="1412" w:type="dxa"/>
            <w:noWrap/>
            <w:hideMark/>
          </w:tcPr>
          <w:p w:rsidR="00164318" w:rsidRPr="005B0796" w:rsidRDefault="00164318" w:rsidP="00BF795F">
            <w:pPr>
              <w:pStyle w:val="TableText"/>
              <w:jc w:val="right"/>
              <w:rPr>
                <w:lang w:eastAsia="en-AU"/>
              </w:rPr>
            </w:pPr>
            <w:r w:rsidRPr="005B0796">
              <w:rPr>
                <w:rFonts w:cs="@헤드라인A"/>
                <w:kern w:val="24"/>
              </w:rPr>
              <w:t>46.4</w:t>
            </w:r>
          </w:p>
        </w:tc>
        <w:tc>
          <w:tcPr>
            <w:tcW w:w="1413" w:type="dxa"/>
            <w:noWrap/>
            <w:hideMark/>
          </w:tcPr>
          <w:p w:rsidR="00164318" w:rsidRPr="005B0796" w:rsidRDefault="00164318" w:rsidP="00BF795F">
            <w:pPr>
              <w:pStyle w:val="TableText"/>
              <w:jc w:val="right"/>
              <w:rPr>
                <w:lang w:eastAsia="en-AU"/>
              </w:rPr>
            </w:pPr>
            <w:r w:rsidRPr="005B0796">
              <w:rPr>
                <w:rFonts w:cs="@헤드라인A"/>
                <w:kern w:val="24"/>
              </w:rPr>
              <w:t>41.7, 51.1</w:t>
            </w:r>
          </w:p>
        </w:tc>
      </w:tr>
    </w:tbl>
    <w:p w:rsidR="000E4D49" w:rsidRPr="005B0796" w:rsidRDefault="000E4D49" w:rsidP="000E4D49">
      <w:pPr>
        <w:pStyle w:val="TableNotes"/>
      </w:pPr>
      <w:r w:rsidRPr="005B0796">
        <w:t>Note</w:t>
      </w:r>
      <w:r w:rsidR="008C2520" w:rsidRPr="005B0796">
        <w:t>s</w:t>
      </w:r>
      <w:r w:rsidRPr="005B0796">
        <w:t>:</w:t>
      </w:r>
      <w:r w:rsidR="008C2520" w:rsidRPr="005B0796">
        <w:br/>
      </w:r>
      <w:r w:rsidRPr="005B0796">
        <w:t>A description of each of the ICD-10 disorder classes is provided in the glossary</w:t>
      </w:r>
    </w:p>
    <w:p w:rsidR="00164318" w:rsidRPr="005B0796" w:rsidRDefault="000E4D49" w:rsidP="000E4D49">
      <w:pPr>
        <w:pStyle w:val="TableNotes"/>
        <w:rPr>
          <w:lang w:eastAsia="en-AU"/>
        </w:rPr>
      </w:pPr>
      <w:r w:rsidRPr="005B0796">
        <w:rPr>
          <w:rFonts w:cs="Calibri"/>
          <w:bCs/>
        </w:rPr>
        <w:t>95%</w:t>
      </w:r>
      <w:r w:rsidR="00E96C28">
        <w:rPr>
          <w:rFonts w:cs="Calibri"/>
          <w:bCs/>
        </w:rPr>
        <w:t xml:space="preserve"> </w:t>
      </w:r>
      <w:r w:rsidRPr="005B0796">
        <w:rPr>
          <w:rFonts w:cs="Calibri"/>
          <w:bCs/>
        </w:rPr>
        <w:t xml:space="preserve">CI: 95% </w:t>
      </w:r>
      <w:r w:rsidR="00564689" w:rsidRPr="005B0796">
        <w:rPr>
          <w:rFonts w:cs="Calibri"/>
          <w:bCs/>
        </w:rPr>
        <w:t>confidence interval</w:t>
      </w:r>
    </w:p>
    <w:p w:rsidR="00164318" w:rsidRPr="005B0796" w:rsidRDefault="00164318" w:rsidP="000E4D49">
      <w:pPr>
        <w:pStyle w:val="Heading2"/>
      </w:pPr>
      <w:bookmarkStart w:id="235" w:name="_Toc482021342"/>
      <w:bookmarkStart w:id="236" w:name="_Toc482024433"/>
      <w:bookmarkStart w:id="237" w:name="_Toc487011191"/>
      <w:bookmarkStart w:id="238" w:name="_Toc494449707"/>
      <w:bookmarkStart w:id="239" w:name="_Toc511900289"/>
      <w:r w:rsidRPr="005B0796">
        <w:t>Estimated prevalence of anxiety disorders in Transitioned ADF</w:t>
      </w:r>
      <w:bookmarkStart w:id="240" w:name="_Toc482011730"/>
      <w:bookmarkEnd w:id="235"/>
      <w:bookmarkEnd w:id="236"/>
      <w:bookmarkEnd w:id="237"/>
      <w:bookmarkEnd w:id="238"/>
      <w:bookmarkEnd w:id="239"/>
      <w:bookmarkEnd w:id="240"/>
    </w:p>
    <w:p w:rsidR="000E4D49" w:rsidRPr="005B0796" w:rsidRDefault="000E4D49" w:rsidP="00231128">
      <w:pPr>
        <w:pStyle w:val="ShadedBullet"/>
      </w:pPr>
      <w:r w:rsidRPr="005B0796">
        <w:t xml:space="preserve">Anxiety disorders were the most common class of 12-month mental disorder among the Transitioned ADF, with over one in three (37.0%) meeting criteria for an anxiety disorder in the last 12 months. </w:t>
      </w:r>
    </w:p>
    <w:p w:rsidR="000E4D49" w:rsidRPr="005B0796" w:rsidRDefault="000E4D49" w:rsidP="00231128">
      <w:pPr>
        <w:pStyle w:val="ShadedBullet"/>
      </w:pPr>
      <w:r w:rsidRPr="005B0796">
        <w:t>PTSD (17.7%), panic attacks (17.0%), agoraphobia (11.9%) and social phobia (11.0%) were the most common types of anxiety disorders in the Transitioned ADF.</w:t>
      </w:r>
    </w:p>
    <w:p w:rsidR="000E4D49" w:rsidRPr="005B0796" w:rsidRDefault="000E4D49" w:rsidP="00231128">
      <w:pPr>
        <w:pStyle w:val="ShadedBullet"/>
      </w:pPr>
      <w:r w:rsidRPr="005B0796">
        <w:t xml:space="preserve">Ex-serving members had significantly greater rates of anxiety disorders compared to Inactive and Active Reservists. </w:t>
      </w:r>
    </w:p>
    <w:p w:rsidR="000E4D49" w:rsidRPr="005B0796" w:rsidRDefault="000E4D49" w:rsidP="00231128">
      <w:pPr>
        <w:pStyle w:val="ShadedBullet"/>
      </w:pPr>
      <w:r w:rsidRPr="005B0796">
        <w:t xml:space="preserve">Transitioned Army and Air Force members were more likely to have met criteria for PTSD compared to Transitioned Navy members. </w:t>
      </w:r>
    </w:p>
    <w:p w:rsidR="000E4D49" w:rsidRPr="005B0796" w:rsidRDefault="000E4D49" w:rsidP="00231128">
      <w:pPr>
        <w:pStyle w:val="ShadedBullet"/>
      </w:pPr>
      <w:r w:rsidRPr="005B0796">
        <w:t>Anxiety disorders were greater for Transitioned Non-Commissioned Officers compared to Transitioned Officers.</w:t>
      </w:r>
    </w:p>
    <w:p w:rsidR="000E4D49" w:rsidRPr="005B0796" w:rsidRDefault="000E4D49" w:rsidP="000E4D49">
      <w:pPr>
        <w:pStyle w:val="ShadedBullet"/>
      </w:pPr>
      <w:r w:rsidRPr="005B0796">
        <w:t xml:space="preserve">PTSD was the most prevalent condition among those who had been deployed during their service career, followed by panic attacks and agoraphobia. </w:t>
      </w:r>
    </w:p>
    <w:p w:rsidR="000E4D49" w:rsidRPr="005B0796" w:rsidRDefault="000E4D49" w:rsidP="000E4D49">
      <w:pPr>
        <w:pStyle w:val="ShadedBullet"/>
        <w:rPr>
          <w:rFonts w:eastAsiaTheme="minorEastAsia"/>
          <w:color w:val="auto"/>
        </w:rPr>
      </w:pPr>
      <w:r w:rsidRPr="005B0796">
        <w:t>Anxiety disorders were most commonly observed in Transitioned ADF members who were medically discharged and who were DVA clients.</w:t>
      </w:r>
    </w:p>
    <w:p w:rsidR="000E4D49" w:rsidRPr="005B0796" w:rsidRDefault="000E4D49" w:rsidP="000E4D49">
      <w:pPr>
        <w:pStyle w:val="ShadedBoxText"/>
      </w:pPr>
      <w:r w:rsidRPr="005B0796">
        <w:rPr>
          <w:b/>
        </w:rPr>
        <w:t>Glossary: r</w:t>
      </w:r>
      <w:r w:rsidRPr="005B0796">
        <w:t>efer to the Glossary of terms for definitions of key terms in this section.</w:t>
      </w:r>
    </w:p>
    <w:p w:rsidR="00164318" w:rsidRPr="005B0796" w:rsidRDefault="00164318" w:rsidP="00BF795F">
      <w:r w:rsidRPr="005B0796">
        <w:t>The following section summarises the estimated prevalence of 12-month ICD-10 anxiety disorders among ADF members in the first five years post-transition (among those transitioned from the Regular ADF between 2010 and 2014). The section includes associated predictors such as demographics (sex, age)</w:t>
      </w:r>
      <w:r w:rsidR="00E96C28">
        <w:t>;</w:t>
      </w:r>
      <w:r w:rsidRPr="005B0796">
        <w:t xml:space="preserve"> rank; years of service; deployment status) and transition (transition status, years since transition, type of discharge). The association between anxiety disorder and DVA status is also outlined. As PTSD is particularly relevant to the military population, the section also examines the relationship between trauma exposure and PTSD. </w:t>
      </w:r>
    </w:p>
    <w:p w:rsidR="00164318" w:rsidRPr="005B0796" w:rsidRDefault="00164318" w:rsidP="00BF795F">
      <w:r w:rsidRPr="005B0796">
        <w:t>The Mental Health and Wellbeing Transition Study examined eight types of anxiety disorders:</w:t>
      </w:r>
    </w:p>
    <w:p w:rsidR="00164318" w:rsidRPr="005B0796" w:rsidRDefault="00164318" w:rsidP="00BF795F">
      <w:pPr>
        <w:pStyle w:val="Bullet"/>
      </w:pPr>
      <w:r w:rsidRPr="005B0796">
        <w:rPr>
          <w:b/>
        </w:rPr>
        <w:t>Panic attack</w:t>
      </w:r>
      <w:r w:rsidRPr="00E96C28">
        <w:rPr>
          <w:b/>
        </w:rPr>
        <w:t>:</w:t>
      </w:r>
      <w:r w:rsidRPr="005B0796">
        <w:t xml:space="preserve"> sudden onset of extreme fear or anxiety, often accompanied by palpitations, chest pain, choking sensations, dizziness and sometimes feelings of unreality, fear of dying, losing control or going mad</w:t>
      </w:r>
    </w:p>
    <w:p w:rsidR="00164318" w:rsidRPr="005B0796" w:rsidRDefault="00164318" w:rsidP="00BF795F">
      <w:pPr>
        <w:pStyle w:val="Bullet"/>
      </w:pPr>
      <w:r w:rsidRPr="005B0796">
        <w:rPr>
          <w:b/>
        </w:rPr>
        <w:t>Panic disorder</w:t>
      </w:r>
      <w:r w:rsidRPr="00E96C28">
        <w:rPr>
          <w:b/>
        </w:rPr>
        <w:t>:</w:t>
      </w:r>
      <w:r w:rsidRPr="005B0796">
        <w:t xml:space="preserve"> regular panic attacks that are unpredictable in nature</w:t>
      </w:r>
    </w:p>
    <w:p w:rsidR="00164318" w:rsidRPr="005B0796" w:rsidRDefault="00164318" w:rsidP="00BF795F">
      <w:pPr>
        <w:pStyle w:val="Bullet"/>
      </w:pPr>
      <w:r w:rsidRPr="005B0796">
        <w:rPr>
          <w:b/>
        </w:rPr>
        <w:t>Agoraphobia</w:t>
      </w:r>
      <w:r w:rsidRPr="00E96C28">
        <w:rPr>
          <w:b/>
        </w:rPr>
        <w:t>:</w:t>
      </w:r>
      <w:r w:rsidRPr="005B0796">
        <w:rPr>
          <w:i/>
        </w:rPr>
        <w:t xml:space="preserve"> </w:t>
      </w:r>
      <w:r w:rsidRPr="005B0796">
        <w:t>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rsidR="00164318" w:rsidRPr="005B0796" w:rsidRDefault="00164318" w:rsidP="00BF795F">
      <w:pPr>
        <w:pStyle w:val="Bullet"/>
      </w:pPr>
      <w:r w:rsidRPr="005B0796">
        <w:rPr>
          <w:b/>
        </w:rPr>
        <w:t>Social phobia</w:t>
      </w:r>
      <w:r w:rsidRPr="00E96C28">
        <w:rPr>
          <w:b/>
        </w:rPr>
        <w:t>:</w:t>
      </w:r>
      <w:r w:rsidRPr="005B0796">
        <w:rPr>
          <w:i/>
        </w:rPr>
        <w:t xml:space="preserve"> </w:t>
      </w:r>
      <w:r w:rsidRPr="005B0796">
        <w:t xml:space="preserve">marked fear or avoidance of being the centre of attention or being in situations where it is possible to behave in a humiliating or embarrassing way, accompanied by anxiety symptoms, as well as blushing, fear of vomiting, or fear of defecation or micturition. </w:t>
      </w:r>
    </w:p>
    <w:p w:rsidR="00164318" w:rsidRPr="005B0796" w:rsidRDefault="00164318" w:rsidP="00BF795F">
      <w:pPr>
        <w:pStyle w:val="Bullet"/>
      </w:pPr>
      <w:r w:rsidRPr="005B0796">
        <w:rPr>
          <w:b/>
        </w:rPr>
        <w:t>Specific phobia</w:t>
      </w:r>
      <w:r w:rsidRPr="00E96C28">
        <w:rPr>
          <w:b/>
        </w:rPr>
        <w:t>:</w:t>
      </w:r>
      <w:r w:rsidRPr="005B0796">
        <w:t xml:space="preserve"> marked fear or avoidance of a specific object or situation such as animals, birds, insects, heights, thunder, flying, small enclosed spaces, </w:t>
      </w:r>
      <w:r w:rsidR="00E96C28">
        <w:t xml:space="preserve">the </w:t>
      </w:r>
      <w:r w:rsidRPr="005B0796">
        <w:t xml:space="preserve">sight of blood or injury, injections, dentists or hospitals, and accompanied by anxiety symptoms as described in </w:t>
      </w:r>
      <w:r w:rsidR="00462A0C" w:rsidRPr="005B0796">
        <w:t>‘</w:t>
      </w:r>
      <w:r w:rsidRPr="005B0796">
        <w:t>Agoraphobia</w:t>
      </w:r>
      <w:r w:rsidR="00462A0C" w:rsidRPr="005B0796">
        <w:t>’</w:t>
      </w:r>
      <w:r w:rsidRPr="005B0796">
        <w:t xml:space="preserve">. </w:t>
      </w:r>
    </w:p>
    <w:p w:rsidR="00164318" w:rsidRPr="005B0796" w:rsidRDefault="00164318" w:rsidP="00BF795F">
      <w:pPr>
        <w:pStyle w:val="Bullet"/>
      </w:pPr>
      <w:r w:rsidRPr="005B0796">
        <w:rPr>
          <w:b/>
        </w:rPr>
        <w:t>Generalised anxiety disorder (GAD)</w:t>
      </w:r>
      <w:r w:rsidRPr="00E96C28">
        <w:rPr>
          <w:b/>
        </w:rPr>
        <w:t>:</w:t>
      </w:r>
      <w:r w:rsidRPr="00E96C28">
        <w:t xml:space="preserve"> </w:t>
      </w:r>
      <w:r w:rsidRPr="005B0796">
        <w:t>generalised and persistent worry, anxiety or apprehension about everyday events and activities, lasting a minimum of six months that is accompanied by anxiety symptoms</w:t>
      </w:r>
      <w:r w:rsidR="000C15B8" w:rsidRPr="005B0796">
        <w:t xml:space="preserve"> as described in ‘Agoraphobia’</w:t>
      </w:r>
      <w:r w:rsidRPr="005B0796">
        <w:t xml:space="preserve">. </w:t>
      </w:r>
      <w:r w:rsidR="000C15B8">
        <w:t xml:space="preserve">Other </w:t>
      </w:r>
      <w:r w:rsidRPr="005B0796">
        <w:t xml:space="preserve">symptoms </w:t>
      </w:r>
      <w:r w:rsidR="000C15B8">
        <w:t xml:space="preserve">may include symptoms </w:t>
      </w:r>
      <w:r w:rsidRPr="005B0796">
        <w:t xml:space="preserve">of tension, such as </w:t>
      </w:r>
      <w:r w:rsidR="00E96C28">
        <w:t xml:space="preserve">the </w:t>
      </w:r>
      <w:r w:rsidRPr="005B0796">
        <w:t xml:space="preserve">inability to relax and muscle tension, and other non-specific symptoms, such as irritability and difficulty in concentrating. </w:t>
      </w:r>
    </w:p>
    <w:p w:rsidR="00164318" w:rsidRPr="005B0796" w:rsidRDefault="00164318" w:rsidP="00BF795F">
      <w:pPr>
        <w:pStyle w:val="Bullet"/>
      </w:pPr>
      <w:r w:rsidRPr="005B0796">
        <w:rPr>
          <w:b/>
        </w:rPr>
        <w:t>Obsessive-compulsive disorder (OCD)</w:t>
      </w:r>
      <w:r w:rsidRPr="005B0796">
        <w:t>: characterised by obsessional thoughts (ideas, images, impulses) or compulsive acts (ritualised behavio</w:t>
      </w:r>
      <w:r w:rsidR="00D565FD" w:rsidRPr="005B0796">
        <w:t>u</w:t>
      </w:r>
      <w:r w:rsidRPr="005B0796">
        <w:t>r). These thoughts and acts are often distressing and typically cannot be avoided, despite the sufferer recognising their ineffectiveness</w:t>
      </w:r>
    </w:p>
    <w:p w:rsidR="00164318" w:rsidRPr="005B0796" w:rsidRDefault="00164318" w:rsidP="00BF795F">
      <w:pPr>
        <w:pStyle w:val="Bullet"/>
        <w:rPr>
          <w:i/>
        </w:rPr>
      </w:pPr>
      <w:r w:rsidRPr="005B0796">
        <w:rPr>
          <w:b/>
        </w:rPr>
        <w:t>Posttraumatic stress disorder (PTSD)</w:t>
      </w:r>
      <w:r w:rsidRPr="005B0796">
        <w:t>:</w:t>
      </w:r>
      <w:r w:rsidRPr="005B0796">
        <w:rPr>
          <w:i/>
        </w:rPr>
        <w:t xml:space="preserve"> </w:t>
      </w:r>
      <w:r w:rsidRPr="005B0796">
        <w:t>stress reaction to an exceptionally threatening or traumatic event that would cause pervasive distress in almost anyone. Symptoms are categorised into three groups: re-experiencing memories or flashbacks, avoidance symptoms, and either hyperarousal (increased arousal and sensitivity to cues) or inability to recall important parts of the experience.</w:t>
      </w:r>
    </w:p>
    <w:p w:rsidR="00164318" w:rsidRPr="005B0796" w:rsidRDefault="00164318" w:rsidP="00BF795F">
      <w:pPr>
        <w:pStyle w:val="Heading3"/>
      </w:pPr>
      <w:bookmarkStart w:id="241" w:name="_Toc487011192"/>
      <w:bookmarkStart w:id="242" w:name="_Toc494449708"/>
      <w:bookmarkStart w:id="243" w:name="_Toc511900290"/>
      <w:r w:rsidRPr="005B0796">
        <w:t>Transitioned ADF population</w:t>
      </w:r>
      <w:bookmarkEnd w:id="241"/>
      <w:bookmarkEnd w:id="242"/>
      <w:bookmarkEnd w:id="243"/>
    </w:p>
    <w:p w:rsidR="00164318" w:rsidRPr="005B0796" w:rsidRDefault="009E72D3" w:rsidP="00BF795F">
      <w:r w:rsidRPr="005B0796">
        <w:t>Table 4.3</w:t>
      </w:r>
      <w:r w:rsidR="00164318" w:rsidRPr="005B0796">
        <w:t xml:space="preserve"> summarises the estimated 12-month prevalence of ICD-10 anxiety disorders in the Transitioned ADF. This was the most common class of mental disorder in the Transitioned ADF, with 37.0% (95% CI 32.6, 41.7) meeting criteria for an anxiety disorder in the 12 months before interview. PTSD (17.7%, 95% CI 14.5, 21.3), panic attacks (17.0%, 95% CI 13.8, 20.8), agoraphobia (11.9%, 95% CI 9.1, 15.5) and social phobia (11.0%, 95% CI 8.4, 14.3) were the most common anxiety disorders in this population.</w:t>
      </w:r>
    </w:p>
    <w:p w:rsidR="000E4D49" w:rsidRPr="005B0796" w:rsidRDefault="000E4D49" w:rsidP="000E4D49">
      <w:pPr>
        <w:pStyle w:val="TableName"/>
        <w:rPr>
          <w:rFonts w:cs="Calibri"/>
        </w:rPr>
      </w:pPr>
      <w:bookmarkStart w:id="244" w:name="_Ref484519712"/>
      <w:bookmarkStart w:id="245" w:name="_Toc482023779"/>
      <w:bookmarkStart w:id="246" w:name="_Toc487014254"/>
      <w:bookmarkStart w:id="247" w:name="_Toc492995557"/>
      <w:bookmarkStart w:id="248" w:name="_Toc51190040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w:t>
      </w:r>
      <w:r w:rsidR="00D30A3C">
        <w:rPr>
          <w:noProof/>
        </w:rPr>
        <w:fldChar w:fldCharType="end"/>
      </w:r>
      <w:bookmarkEnd w:id="244"/>
      <w:r w:rsidRPr="005B0796">
        <w:tab/>
        <w:t>Estimated prevalence of 12-month ICD-10 anxiety disorders</w:t>
      </w:r>
      <w:bookmarkEnd w:id="245"/>
      <w:bookmarkEnd w:id="246"/>
      <w:bookmarkEnd w:id="247"/>
      <w:bookmarkEnd w:id="248"/>
    </w:p>
    <w:tbl>
      <w:tblPr>
        <w:tblStyle w:val="TWRPTable"/>
        <w:tblW w:w="5000" w:type="pct"/>
        <w:tblLayout w:type="fixed"/>
        <w:tblCellMar>
          <w:left w:w="115" w:type="dxa"/>
          <w:right w:w="115" w:type="dxa"/>
        </w:tblCellMar>
        <w:tblLook w:val="04A0" w:firstRow="1" w:lastRow="0" w:firstColumn="1" w:lastColumn="0" w:noHBand="0" w:noVBand="1"/>
        <w:tblDescription w:val="Table 4.3 Estimated prevalence of 12-month ICD-10 anxiety disorders"/>
      </w:tblPr>
      <w:tblGrid>
        <w:gridCol w:w="3085"/>
        <w:gridCol w:w="1414"/>
        <w:gridCol w:w="1415"/>
        <w:gridCol w:w="1415"/>
      </w:tblGrid>
      <w:tr w:rsidR="00164318" w:rsidRPr="005B0796" w:rsidTr="00720C8C">
        <w:trPr>
          <w:cnfStyle w:val="100000000000" w:firstRow="1" w:lastRow="0" w:firstColumn="0" w:lastColumn="0" w:oddVBand="0" w:evenVBand="0" w:oddHBand="0" w:evenHBand="0" w:firstRowFirstColumn="0" w:firstRowLastColumn="0" w:lastRowFirstColumn="0" w:lastRowLastColumn="0"/>
          <w:cantSplit/>
          <w:tblHeader/>
        </w:trPr>
        <w:tc>
          <w:tcPr>
            <w:tcW w:w="3085" w:type="dxa"/>
            <w:tcBorders>
              <w:top w:val="single" w:sz="4" w:space="0" w:color="000000"/>
              <w:bottom w:val="nil"/>
            </w:tcBorders>
            <w:noWrap/>
            <w:hideMark/>
          </w:tcPr>
          <w:p w:rsidR="00164318" w:rsidRPr="005B0796" w:rsidRDefault="00164318" w:rsidP="00720C8C">
            <w:pPr>
              <w:pStyle w:val="TableText"/>
              <w:rPr>
                <w:lang w:eastAsia="en-AU"/>
              </w:rPr>
            </w:pPr>
          </w:p>
        </w:tc>
        <w:tc>
          <w:tcPr>
            <w:tcW w:w="4244" w:type="dxa"/>
            <w:gridSpan w:val="3"/>
            <w:noWrap/>
            <w:hideMark/>
          </w:tcPr>
          <w:p w:rsidR="00164318" w:rsidRPr="005B0796" w:rsidRDefault="00164318" w:rsidP="00720C8C">
            <w:pPr>
              <w:pStyle w:val="TableText"/>
              <w:jc w:val="center"/>
              <w:rPr>
                <w:lang w:eastAsia="en-AU"/>
              </w:rPr>
            </w:pPr>
            <w:r w:rsidRPr="005B0796">
              <w:rPr>
                <w:lang w:eastAsia="en-AU"/>
              </w:rPr>
              <w:t xml:space="preserve">Transitioned ADF </w:t>
            </w:r>
            <w:r w:rsidRPr="005B0796">
              <w:rPr>
                <w:lang w:eastAsia="en-AU"/>
              </w:rPr>
              <w:br/>
              <w:t>(N = 24,932)</w:t>
            </w:r>
          </w:p>
        </w:tc>
      </w:tr>
      <w:tr w:rsidR="00164318" w:rsidRPr="005B0796" w:rsidTr="00720C8C">
        <w:trPr>
          <w:cnfStyle w:val="100000000000" w:firstRow="1" w:lastRow="0" w:firstColumn="0" w:lastColumn="0" w:oddVBand="0" w:evenVBand="0" w:oddHBand="0" w:evenHBand="0" w:firstRowFirstColumn="0" w:firstRowLastColumn="0" w:lastRowFirstColumn="0" w:lastRowLastColumn="0"/>
          <w:cantSplit/>
          <w:tblHeader/>
        </w:trPr>
        <w:tc>
          <w:tcPr>
            <w:tcW w:w="3085" w:type="dxa"/>
            <w:tcBorders>
              <w:top w:val="nil"/>
            </w:tcBorders>
            <w:noWrap/>
            <w:hideMark/>
          </w:tcPr>
          <w:p w:rsidR="00164318" w:rsidRPr="005B0796" w:rsidRDefault="00BF795F" w:rsidP="00720C8C">
            <w:pPr>
              <w:pStyle w:val="TableText"/>
              <w:rPr>
                <w:lang w:eastAsia="en-AU"/>
              </w:rPr>
            </w:pPr>
            <w:r w:rsidRPr="005B0796">
              <w:rPr>
                <w:lang w:eastAsia="en-AU"/>
              </w:rPr>
              <w:t xml:space="preserve">ICD-10 </w:t>
            </w:r>
            <w:r w:rsidR="00231128" w:rsidRPr="005B0796">
              <w:rPr>
                <w:lang w:eastAsia="en-AU"/>
              </w:rPr>
              <w:t>anxiety disorder</w:t>
            </w:r>
          </w:p>
        </w:tc>
        <w:tc>
          <w:tcPr>
            <w:tcW w:w="1414" w:type="dxa"/>
            <w:noWrap/>
            <w:hideMark/>
          </w:tcPr>
          <w:p w:rsidR="00164318" w:rsidRPr="005B0796" w:rsidRDefault="00164318" w:rsidP="00720C8C">
            <w:pPr>
              <w:pStyle w:val="TableText"/>
              <w:jc w:val="right"/>
              <w:rPr>
                <w:lang w:eastAsia="en-AU"/>
              </w:rPr>
            </w:pPr>
            <w:r w:rsidRPr="005B0796">
              <w:rPr>
                <w:lang w:eastAsia="en-AU"/>
              </w:rPr>
              <w:t>Weighted n</w:t>
            </w:r>
          </w:p>
        </w:tc>
        <w:tc>
          <w:tcPr>
            <w:tcW w:w="1415" w:type="dxa"/>
            <w:hideMark/>
          </w:tcPr>
          <w:p w:rsidR="00164318" w:rsidRPr="005B0796" w:rsidRDefault="00164318" w:rsidP="00720C8C">
            <w:pPr>
              <w:pStyle w:val="TableText"/>
              <w:jc w:val="right"/>
              <w:rPr>
                <w:lang w:eastAsia="en-AU"/>
              </w:rPr>
            </w:pPr>
            <w:r w:rsidRPr="005B0796">
              <w:rPr>
                <w:lang w:eastAsia="en-AU"/>
              </w:rPr>
              <w:t>%</w:t>
            </w:r>
          </w:p>
        </w:tc>
        <w:tc>
          <w:tcPr>
            <w:tcW w:w="1415" w:type="dxa"/>
            <w:hideMark/>
          </w:tcPr>
          <w:p w:rsidR="00164318" w:rsidRPr="005B0796" w:rsidRDefault="00164318" w:rsidP="00720C8C">
            <w:pPr>
              <w:pStyle w:val="TableText"/>
              <w:jc w:val="right"/>
              <w:rPr>
                <w:lang w:eastAsia="en-AU"/>
              </w:rPr>
            </w:pPr>
            <w:r w:rsidRPr="005B0796">
              <w:rPr>
                <w:lang w:eastAsia="en-AU"/>
              </w:rPr>
              <w:t>95% CI</w:t>
            </w:r>
          </w:p>
        </w:tc>
      </w:tr>
      <w:tr w:rsidR="00164318" w:rsidRPr="005B0796" w:rsidTr="00720C8C">
        <w:trPr>
          <w:cnfStyle w:val="000000100000" w:firstRow="0" w:lastRow="0" w:firstColumn="0" w:lastColumn="0" w:oddVBand="0" w:evenVBand="0" w:oddHBand="1" w:evenHBand="0" w:firstRowFirstColumn="0" w:firstRowLastColumn="0" w:lastRowFirstColumn="0" w:lastRowLastColumn="0"/>
          <w:cantSplit/>
        </w:trPr>
        <w:tc>
          <w:tcPr>
            <w:tcW w:w="3085" w:type="dxa"/>
            <w:noWrap/>
            <w:hideMark/>
          </w:tcPr>
          <w:p w:rsidR="00164318" w:rsidRPr="005B0796" w:rsidRDefault="00164318" w:rsidP="00720C8C">
            <w:pPr>
              <w:pStyle w:val="TableText"/>
              <w:rPr>
                <w:lang w:eastAsia="en-AU"/>
              </w:rPr>
            </w:pPr>
            <w:r w:rsidRPr="005B0796">
              <w:rPr>
                <w:lang w:eastAsia="en-AU"/>
              </w:rPr>
              <w:t>Panic attack</w:t>
            </w:r>
          </w:p>
        </w:tc>
        <w:tc>
          <w:tcPr>
            <w:tcW w:w="1414" w:type="dxa"/>
            <w:noWrap/>
            <w:hideMark/>
          </w:tcPr>
          <w:p w:rsidR="00164318" w:rsidRPr="005B0796" w:rsidRDefault="00164318" w:rsidP="00720C8C">
            <w:pPr>
              <w:pStyle w:val="TableText"/>
              <w:jc w:val="right"/>
              <w:rPr>
                <w:lang w:eastAsia="en-AU"/>
              </w:rPr>
            </w:pPr>
            <w:r w:rsidRPr="005B0796">
              <w:rPr>
                <w:lang w:eastAsia="en-AU"/>
              </w:rPr>
              <w:t>4244</w:t>
            </w:r>
          </w:p>
        </w:tc>
        <w:tc>
          <w:tcPr>
            <w:tcW w:w="1415" w:type="dxa"/>
            <w:hideMark/>
          </w:tcPr>
          <w:p w:rsidR="00164318" w:rsidRPr="005B0796" w:rsidRDefault="00164318" w:rsidP="00720C8C">
            <w:pPr>
              <w:pStyle w:val="TableText"/>
              <w:jc w:val="right"/>
              <w:rPr>
                <w:lang w:eastAsia="en-AU"/>
              </w:rPr>
            </w:pPr>
            <w:r w:rsidRPr="005B0796">
              <w:rPr>
                <w:lang w:eastAsia="en-AU"/>
              </w:rPr>
              <w:t>17.0</w:t>
            </w:r>
          </w:p>
        </w:tc>
        <w:tc>
          <w:tcPr>
            <w:tcW w:w="1415" w:type="dxa"/>
            <w:hideMark/>
          </w:tcPr>
          <w:p w:rsidR="00164318" w:rsidRPr="005B0796" w:rsidRDefault="00164318" w:rsidP="00720C8C">
            <w:pPr>
              <w:pStyle w:val="TableText"/>
              <w:jc w:val="right"/>
              <w:rPr>
                <w:lang w:eastAsia="en-AU"/>
              </w:rPr>
            </w:pPr>
            <w:r w:rsidRPr="005B0796">
              <w:rPr>
                <w:lang w:eastAsia="en-AU"/>
              </w:rPr>
              <w:t>13.8, 20.8</w:t>
            </w:r>
          </w:p>
        </w:tc>
      </w:tr>
      <w:tr w:rsidR="00164318" w:rsidRPr="005B0796" w:rsidTr="00720C8C">
        <w:trPr>
          <w:cantSplit/>
        </w:trPr>
        <w:tc>
          <w:tcPr>
            <w:tcW w:w="3085" w:type="dxa"/>
            <w:noWrap/>
            <w:hideMark/>
          </w:tcPr>
          <w:p w:rsidR="00164318" w:rsidRPr="005B0796" w:rsidRDefault="00164318" w:rsidP="00720C8C">
            <w:pPr>
              <w:pStyle w:val="TableText"/>
              <w:rPr>
                <w:lang w:eastAsia="en-AU"/>
              </w:rPr>
            </w:pPr>
            <w:r w:rsidRPr="005B0796">
              <w:rPr>
                <w:lang w:eastAsia="en-AU"/>
              </w:rPr>
              <w:t>Panic disorder</w:t>
            </w:r>
          </w:p>
        </w:tc>
        <w:tc>
          <w:tcPr>
            <w:tcW w:w="1414" w:type="dxa"/>
            <w:noWrap/>
            <w:hideMark/>
          </w:tcPr>
          <w:p w:rsidR="00164318" w:rsidRPr="005B0796" w:rsidRDefault="00164318" w:rsidP="00720C8C">
            <w:pPr>
              <w:pStyle w:val="TableText"/>
              <w:jc w:val="right"/>
              <w:rPr>
                <w:lang w:eastAsia="en-AU"/>
              </w:rPr>
            </w:pPr>
            <w:r w:rsidRPr="005B0796">
              <w:rPr>
                <w:lang w:eastAsia="en-AU"/>
              </w:rPr>
              <w:t>1344</w:t>
            </w:r>
          </w:p>
        </w:tc>
        <w:tc>
          <w:tcPr>
            <w:tcW w:w="1415" w:type="dxa"/>
            <w:hideMark/>
          </w:tcPr>
          <w:p w:rsidR="00164318" w:rsidRPr="005B0796" w:rsidRDefault="00164318" w:rsidP="00720C8C">
            <w:pPr>
              <w:pStyle w:val="TableText"/>
              <w:jc w:val="right"/>
              <w:rPr>
                <w:lang w:eastAsia="en-AU"/>
              </w:rPr>
            </w:pPr>
            <w:r w:rsidRPr="005B0796">
              <w:rPr>
                <w:lang w:eastAsia="en-AU"/>
              </w:rPr>
              <w:t>5.4</w:t>
            </w:r>
          </w:p>
        </w:tc>
        <w:tc>
          <w:tcPr>
            <w:tcW w:w="1415" w:type="dxa"/>
            <w:hideMark/>
          </w:tcPr>
          <w:p w:rsidR="00164318" w:rsidRPr="005B0796" w:rsidRDefault="00164318" w:rsidP="00720C8C">
            <w:pPr>
              <w:pStyle w:val="TableText"/>
              <w:jc w:val="right"/>
              <w:rPr>
                <w:lang w:eastAsia="en-AU"/>
              </w:rPr>
            </w:pPr>
            <w:r w:rsidRPr="005B0796">
              <w:rPr>
                <w:lang w:eastAsia="en-AU"/>
              </w:rPr>
              <w:t>3.6, 8.0</w:t>
            </w:r>
          </w:p>
        </w:tc>
      </w:tr>
      <w:tr w:rsidR="00164318" w:rsidRPr="005B0796" w:rsidTr="00720C8C">
        <w:trPr>
          <w:cnfStyle w:val="000000100000" w:firstRow="0" w:lastRow="0" w:firstColumn="0" w:lastColumn="0" w:oddVBand="0" w:evenVBand="0" w:oddHBand="1" w:evenHBand="0" w:firstRowFirstColumn="0" w:firstRowLastColumn="0" w:lastRowFirstColumn="0" w:lastRowLastColumn="0"/>
          <w:cantSplit/>
        </w:trPr>
        <w:tc>
          <w:tcPr>
            <w:tcW w:w="3085" w:type="dxa"/>
            <w:noWrap/>
            <w:hideMark/>
          </w:tcPr>
          <w:p w:rsidR="00164318" w:rsidRPr="005B0796" w:rsidRDefault="00164318" w:rsidP="00720C8C">
            <w:pPr>
              <w:pStyle w:val="TableText"/>
              <w:rPr>
                <w:lang w:eastAsia="en-AU"/>
              </w:rPr>
            </w:pPr>
            <w:r w:rsidRPr="005B0796">
              <w:rPr>
                <w:lang w:eastAsia="en-AU"/>
              </w:rPr>
              <w:t>Agoraphobia</w:t>
            </w:r>
          </w:p>
        </w:tc>
        <w:tc>
          <w:tcPr>
            <w:tcW w:w="1414" w:type="dxa"/>
            <w:noWrap/>
            <w:hideMark/>
          </w:tcPr>
          <w:p w:rsidR="00164318" w:rsidRPr="005B0796" w:rsidRDefault="00164318" w:rsidP="00720C8C">
            <w:pPr>
              <w:pStyle w:val="TableText"/>
              <w:jc w:val="right"/>
              <w:rPr>
                <w:lang w:eastAsia="en-AU"/>
              </w:rPr>
            </w:pPr>
            <w:r w:rsidRPr="005B0796">
              <w:rPr>
                <w:lang w:eastAsia="en-AU"/>
              </w:rPr>
              <w:t>2975</w:t>
            </w:r>
          </w:p>
        </w:tc>
        <w:tc>
          <w:tcPr>
            <w:tcW w:w="1415" w:type="dxa"/>
            <w:hideMark/>
          </w:tcPr>
          <w:p w:rsidR="00164318" w:rsidRPr="005B0796" w:rsidRDefault="00164318" w:rsidP="00720C8C">
            <w:pPr>
              <w:pStyle w:val="TableText"/>
              <w:jc w:val="right"/>
              <w:rPr>
                <w:lang w:eastAsia="en-AU"/>
              </w:rPr>
            </w:pPr>
            <w:r w:rsidRPr="005B0796">
              <w:rPr>
                <w:lang w:eastAsia="en-AU"/>
              </w:rPr>
              <w:t>11.9</w:t>
            </w:r>
          </w:p>
        </w:tc>
        <w:tc>
          <w:tcPr>
            <w:tcW w:w="1415" w:type="dxa"/>
            <w:hideMark/>
          </w:tcPr>
          <w:p w:rsidR="00164318" w:rsidRPr="005B0796" w:rsidRDefault="00164318" w:rsidP="00720C8C">
            <w:pPr>
              <w:pStyle w:val="TableText"/>
              <w:jc w:val="right"/>
              <w:rPr>
                <w:lang w:eastAsia="en-AU"/>
              </w:rPr>
            </w:pPr>
            <w:r w:rsidRPr="005B0796">
              <w:rPr>
                <w:lang w:eastAsia="en-AU"/>
              </w:rPr>
              <w:t>9.1, 15.5</w:t>
            </w:r>
          </w:p>
        </w:tc>
      </w:tr>
      <w:tr w:rsidR="00164318" w:rsidRPr="005B0796" w:rsidTr="00720C8C">
        <w:trPr>
          <w:cantSplit/>
        </w:trPr>
        <w:tc>
          <w:tcPr>
            <w:tcW w:w="3085" w:type="dxa"/>
            <w:noWrap/>
            <w:hideMark/>
          </w:tcPr>
          <w:p w:rsidR="00164318" w:rsidRPr="005B0796" w:rsidRDefault="00164318" w:rsidP="00720C8C">
            <w:pPr>
              <w:pStyle w:val="TableText"/>
              <w:rPr>
                <w:lang w:eastAsia="en-AU"/>
              </w:rPr>
            </w:pPr>
            <w:r w:rsidRPr="005B0796">
              <w:rPr>
                <w:lang w:eastAsia="en-AU"/>
              </w:rPr>
              <w:t>Social phobia</w:t>
            </w:r>
          </w:p>
        </w:tc>
        <w:tc>
          <w:tcPr>
            <w:tcW w:w="1414" w:type="dxa"/>
            <w:noWrap/>
            <w:hideMark/>
          </w:tcPr>
          <w:p w:rsidR="00164318" w:rsidRPr="005B0796" w:rsidRDefault="00164318" w:rsidP="00720C8C">
            <w:pPr>
              <w:pStyle w:val="TableText"/>
              <w:jc w:val="right"/>
              <w:rPr>
                <w:lang w:eastAsia="en-AU"/>
              </w:rPr>
            </w:pPr>
            <w:r w:rsidRPr="005B0796">
              <w:rPr>
                <w:lang w:eastAsia="en-AU"/>
              </w:rPr>
              <w:t>2738</w:t>
            </w:r>
          </w:p>
        </w:tc>
        <w:tc>
          <w:tcPr>
            <w:tcW w:w="1415" w:type="dxa"/>
            <w:hideMark/>
          </w:tcPr>
          <w:p w:rsidR="00164318" w:rsidRPr="005B0796" w:rsidRDefault="00164318" w:rsidP="00720C8C">
            <w:pPr>
              <w:pStyle w:val="TableText"/>
              <w:jc w:val="right"/>
              <w:rPr>
                <w:lang w:eastAsia="en-AU"/>
              </w:rPr>
            </w:pPr>
            <w:r w:rsidRPr="005B0796">
              <w:rPr>
                <w:lang w:eastAsia="en-AU"/>
              </w:rPr>
              <w:t>11.0</w:t>
            </w:r>
          </w:p>
        </w:tc>
        <w:tc>
          <w:tcPr>
            <w:tcW w:w="1415" w:type="dxa"/>
            <w:hideMark/>
          </w:tcPr>
          <w:p w:rsidR="00164318" w:rsidRPr="005B0796" w:rsidRDefault="00164318" w:rsidP="00720C8C">
            <w:pPr>
              <w:pStyle w:val="TableText"/>
              <w:jc w:val="right"/>
              <w:rPr>
                <w:lang w:eastAsia="en-AU"/>
              </w:rPr>
            </w:pPr>
            <w:r w:rsidRPr="005B0796">
              <w:rPr>
                <w:lang w:eastAsia="en-AU"/>
              </w:rPr>
              <w:t>8.4, 14.3</w:t>
            </w:r>
          </w:p>
        </w:tc>
      </w:tr>
      <w:tr w:rsidR="00164318" w:rsidRPr="005B0796" w:rsidTr="00720C8C">
        <w:trPr>
          <w:cnfStyle w:val="000000100000" w:firstRow="0" w:lastRow="0" w:firstColumn="0" w:lastColumn="0" w:oddVBand="0" w:evenVBand="0" w:oddHBand="1" w:evenHBand="0" w:firstRowFirstColumn="0" w:firstRowLastColumn="0" w:lastRowFirstColumn="0" w:lastRowLastColumn="0"/>
          <w:cantSplit/>
        </w:trPr>
        <w:tc>
          <w:tcPr>
            <w:tcW w:w="3085" w:type="dxa"/>
            <w:noWrap/>
            <w:hideMark/>
          </w:tcPr>
          <w:p w:rsidR="00164318" w:rsidRPr="005B0796" w:rsidRDefault="00164318" w:rsidP="00720C8C">
            <w:pPr>
              <w:pStyle w:val="TableText"/>
              <w:rPr>
                <w:lang w:eastAsia="en-AU"/>
              </w:rPr>
            </w:pPr>
            <w:r w:rsidRPr="005B0796">
              <w:rPr>
                <w:lang w:eastAsia="en-AU"/>
              </w:rPr>
              <w:t>Specific phobia</w:t>
            </w:r>
          </w:p>
        </w:tc>
        <w:tc>
          <w:tcPr>
            <w:tcW w:w="1414" w:type="dxa"/>
            <w:noWrap/>
            <w:hideMark/>
          </w:tcPr>
          <w:p w:rsidR="00164318" w:rsidRPr="005B0796" w:rsidRDefault="00164318" w:rsidP="00720C8C">
            <w:pPr>
              <w:pStyle w:val="TableText"/>
              <w:jc w:val="right"/>
              <w:rPr>
                <w:lang w:eastAsia="en-AU"/>
              </w:rPr>
            </w:pPr>
            <w:r w:rsidRPr="005B0796">
              <w:rPr>
                <w:lang w:eastAsia="en-AU"/>
              </w:rPr>
              <w:t>1936</w:t>
            </w:r>
          </w:p>
        </w:tc>
        <w:tc>
          <w:tcPr>
            <w:tcW w:w="1415" w:type="dxa"/>
            <w:hideMark/>
          </w:tcPr>
          <w:p w:rsidR="00164318" w:rsidRPr="005B0796" w:rsidRDefault="00164318" w:rsidP="00720C8C">
            <w:pPr>
              <w:pStyle w:val="TableText"/>
              <w:jc w:val="right"/>
              <w:rPr>
                <w:lang w:eastAsia="en-AU"/>
              </w:rPr>
            </w:pPr>
            <w:r w:rsidRPr="005B0796">
              <w:rPr>
                <w:lang w:eastAsia="en-AU"/>
              </w:rPr>
              <w:t>7.8</w:t>
            </w:r>
          </w:p>
        </w:tc>
        <w:tc>
          <w:tcPr>
            <w:tcW w:w="1415" w:type="dxa"/>
            <w:hideMark/>
          </w:tcPr>
          <w:p w:rsidR="00164318" w:rsidRPr="005B0796" w:rsidRDefault="00164318" w:rsidP="00720C8C">
            <w:pPr>
              <w:pStyle w:val="TableText"/>
              <w:jc w:val="right"/>
              <w:rPr>
                <w:lang w:eastAsia="en-AU"/>
              </w:rPr>
            </w:pPr>
            <w:r w:rsidRPr="005B0796">
              <w:rPr>
                <w:lang w:eastAsia="en-AU"/>
              </w:rPr>
              <w:t>5.8, 10.3</w:t>
            </w:r>
          </w:p>
        </w:tc>
      </w:tr>
      <w:tr w:rsidR="00164318" w:rsidRPr="005B0796" w:rsidTr="00720C8C">
        <w:trPr>
          <w:cantSplit/>
        </w:trPr>
        <w:tc>
          <w:tcPr>
            <w:tcW w:w="3085" w:type="dxa"/>
            <w:noWrap/>
            <w:hideMark/>
          </w:tcPr>
          <w:p w:rsidR="00164318" w:rsidRPr="005B0796" w:rsidRDefault="00164318" w:rsidP="00720C8C">
            <w:pPr>
              <w:pStyle w:val="TableText"/>
              <w:rPr>
                <w:lang w:eastAsia="en-AU"/>
              </w:rPr>
            </w:pPr>
            <w:r w:rsidRPr="005B0796">
              <w:rPr>
                <w:lang w:eastAsia="en-AU"/>
              </w:rPr>
              <w:t>Generalised anxiety disorder</w:t>
            </w:r>
          </w:p>
        </w:tc>
        <w:tc>
          <w:tcPr>
            <w:tcW w:w="1414" w:type="dxa"/>
            <w:noWrap/>
            <w:hideMark/>
          </w:tcPr>
          <w:p w:rsidR="00164318" w:rsidRPr="005B0796" w:rsidRDefault="00164318" w:rsidP="00720C8C">
            <w:pPr>
              <w:pStyle w:val="TableText"/>
              <w:jc w:val="right"/>
              <w:rPr>
                <w:lang w:eastAsia="en-AU"/>
              </w:rPr>
            </w:pPr>
            <w:r w:rsidRPr="005B0796">
              <w:rPr>
                <w:lang w:eastAsia="en-AU"/>
              </w:rPr>
              <w:t>917</w:t>
            </w:r>
          </w:p>
        </w:tc>
        <w:tc>
          <w:tcPr>
            <w:tcW w:w="1415" w:type="dxa"/>
            <w:hideMark/>
          </w:tcPr>
          <w:p w:rsidR="00164318" w:rsidRPr="005B0796" w:rsidRDefault="00164318" w:rsidP="00720C8C">
            <w:pPr>
              <w:pStyle w:val="TableText"/>
              <w:jc w:val="right"/>
              <w:rPr>
                <w:lang w:eastAsia="en-AU"/>
              </w:rPr>
            </w:pPr>
            <w:r w:rsidRPr="005B0796">
              <w:rPr>
                <w:lang w:eastAsia="en-AU"/>
              </w:rPr>
              <w:t>3.7</w:t>
            </w:r>
          </w:p>
        </w:tc>
        <w:tc>
          <w:tcPr>
            <w:tcW w:w="1415" w:type="dxa"/>
            <w:hideMark/>
          </w:tcPr>
          <w:p w:rsidR="00164318" w:rsidRPr="005B0796" w:rsidRDefault="00164318" w:rsidP="00720C8C">
            <w:pPr>
              <w:pStyle w:val="TableText"/>
              <w:jc w:val="right"/>
              <w:rPr>
                <w:lang w:eastAsia="en-AU"/>
              </w:rPr>
            </w:pPr>
            <w:r w:rsidRPr="005B0796">
              <w:rPr>
                <w:lang w:eastAsia="en-AU"/>
              </w:rPr>
              <w:t>2.2, 6.0</w:t>
            </w:r>
          </w:p>
        </w:tc>
      </w:tr>
      <w:tr w:rsidR="00164318" w:rsidRPr="005B0796" w:rsidTr="00720C8C">
        <w:trPr>
          <w:cnfStyle w:val="000000100000" w:firstRow="0" w:lastRow="0" w:firstColumn="0" w:lastColumn="0" w:oddVBand="0" w:evenVBand="0" w:oddHBand="1" w:evenHBand="0" w:firstRowFirstColumn="0" w:firstRowLastColumn="0" w:lastRowFirstColumn="0" w:lastRowLastColumn="0"/>
          <w:cantSplit/>
        </w:trPr>
        <w:tc>
          <w:tcPr>
            <w:tcW w:w="3085" w:type="dxa"/>
            <w:noWrap/>
            <w:hideMark/>
          </w:tcPr>
          <w:p w:rsidR="00164318" w:rsidRPr="005B0796" w:rsidRDefault="00164318" w:rsidP="00720C8C">
            <w:pPr>
              <w:pStyle w:val="TableText"/>
              <w:rPr>
                <w:lang w:eastAsia="en-AU"/>
              </w:rPr>
            </w:pPr>
            <w:r w:rsidRPr="005B0796">
              <w:rPr>
                <w:lang w:eastAsia="en-AU"/>
              </w:rPr>
              <w:t>Obsessive-compulsive disorder</w:t>
            </w:r>
          </w:p>
        </w:tc>
        <w:tc>
          <w:tcPr>
            <w:tcW w:w="1414" w:type="dxa"/>
            <w:noWrap/>
            <w:hideMark/>
          </w:tcPr>
          <w:p w:rsidR="00164318" w:rsidRPr="005B0796" w:rsidRDefault="00164318" w:rsidP="00720C8C">
            <w:pPr>
              <w:pStyle w:val="TableText"/>
              <w:jc w:val="right"/>
              <w:rPr>
                <w:lang w:eastAsia="en-AU"/>
              </w:rPr>
            </w:pPr>
            <w:r w:rsidRPr="005B0796">
              <w:rPr>
                <w:lang w:eastAsia="en-AU"/>
              </w:rPr>
              <w:t>1029</w:t>
            </w:r>
          </w:p>
        </w:tc>
        <w:tc>
          <w:tcPr>
            <w:tcW w:w="1415" w:type="dxa"/>
            <w:hideMark/>
          </w:tcPr>
          <w:p w:rsidR="00164318" w:rsidRPr="005B0796" w:rsidRDefault="00164318" w:rsidP="00720C8C">
            <w:pPr>
              <w:pStyle w:val="TableText"/>
              <w:jc w:val="right"/>
              <w:rPr>
                <w:lang w:eastAsia="en-AU"/>
              </w:rPr>
            </w:pPr>
            <w:r w:rsidRPr="005B0796">
              <w:rPr>
                <w:lang w:eastAsia="en-AU"/>
              </w:rPr>
              <w:t>4.1</w:t>
            </w:r>
          </w:p>
        </w:tc>
        <w:tc>
          <w:tcPr>
            <w:tcW w:w="1415" w:type="dxa"/>
            <w:hideMark/>
          </w:tcPr>
          <w:p w:rsidR="00164318" w:rsidRPr="005B0796" w:rsidRDefault="00164318" w:rsidP="00720C8C">
            <w:pPr>
              <w:pStyle w:val="TableText"/>
              <w:jc w:val="right"/>
              <w:rPr>
                <w:lang w:eastAsia="en-AU"/>
              </w:rPr>
            </w:pPr>
            <w:r w:rsidRPr="005B0796">
              <w:rPr>
                <w:lang w:eastAsia="en-AU"/>
              </w:rPr>
              <w:t>2.6, 6.6</w:t>
            </w:r>
          </w:p>
        </w:tc>
      </w:tr>
      <w:tr w:rsidR="00164318" w:rsidRPr="005B0796" w:rsidTr="00720C8C">
        <w:trPr>
          <w:cantSplit/>
        </w:trPr>
        <w:tc>
          <w:tcPr>
            <w:tcW w:w="3085" w:type="dxa"/>
            <w:noWrap/>
            <w:hideMark/>
          </w:tcPr>
          <w:p w:rsidR="00164318" w:rsidRPr="005B0796" w:rsidRDefault="00164318" w:rsidP="00720C8C">
            <w:pPr>
              <w:pStyle w:val="TableText"/>
              <w:rPr>
                <w:lang w:eastAsia="en-AU"/>
              </w:rPr>
            </w:pPr>
            <w:r w:rsidRPr="005B0796">
              <w:rPr>
                <w:lang w:eastAsia="en-AU"/>
              </w:rPr>
              <w:t>Posttraumatic stress disorder</w:t>
            </w:r>
          </w:p>
        </w:tc>
        <w:tc>
          <w:tcPr>
            <w:tcW w:w="1414" w:type="dxa"/>
            <w:noWrap/>
            <w:hideMark/>
          </w:tcPr>
          <w:p w:rsidR="00164318" w:rsidRPr="005B0796" w:rsidRDefault="00164318" w:rsidP="00720C8C">
            <w:pPr>
              <w:pStyle w:val="TableText"/>
              <w:jc w:val="right"/>
              <w:rPr>
                <w:lang w:eastAsia="en-AU"/>
              </w:rPr>
            </w:pPr>
            <w:r w:rsidRPr="005B0796">
              <w:rPr>
                <w:lang w:eastAsia="en-AU"/>
              </w:rPr>
              <w:t>4408</w:t>
            </w:r>
          </w:p>
        </w:tc>
        <w:tc>
          <w:tcPr>
            <w:tcW w:w="1415" w:type="dxa"/>
            <w:hideMark/>
          </w:tcPr>
          <w:p w:rsidR="00164318" w:rsidRPr="005B0796" w:rsidRDefault="00164318" w:rsidP="00720C8C">
            <w:pPr>
              <w:pStyle w:val="TableText"/>
              <w:jc w:val="right"/>
              <w:rPr>
                <w:lang w:eastAsia="en-AU"/>
              </w:rPr>
            </w:pPr>
            <w:r w:rsidRPr="005B0796">
              <w:rPr>
                <w:lang w:eastAsia="en-AU"/>
              </w:rPr>
              <w:t>17.7</w:t>
            </w:r>
          </w:p>
        </w:tc>
        <w:tc>
          <w:tcPr>
            <w:tcW w:w="1415" w:type="dxa"/>
            <w:hideMark/>
          </w:tcPr>
          <w:p w:rsidR="00164318" w:rsidRPr="005B0796" w:rsidRDefault="00164318" w:rsidP="00720C8C">
            <w:pPr>
              <w:pStyle w:val="TableText"/>
              <w:jc w:val="right"/>
              <w:rPr>
                <w:lang w:eastAsia="en-AU"/>
              </w:rPr>
            </w:pPr>
            <w:r w:rsidRPr="005B0796">
              <w:rPr>
                <w:lang w:eastAsia="en-AU"/>
              </w:rPr>
              <w:t>14.5, 21.3</w:t>
            </w:r>
          </w:p>
        </w:tc>
      </w:tr>
      <w:tr w:rsidR="00164318" w:rsidRPr="005B0796" w:rsidTr="00720C8C">
        <w:trPr>
          <w:cnfStyle w:val="000000100000" w:firstRow="0" w:lastRow="0" w:firstColumn="0" w:lastColumn="0" w:oddVBand="0" w:evenVBand="0" w:oddHBand="1" w:evenHBand="0" w:firstRowFirstColumn="0" w:firstRowLastColumn="0" w:lastRowFirstColumn="0" w:lastRowLastColumn="0"/>
          <w:cantSplit/>
        </w:trPr>
        <w:tc>
          <w:tcPr>
            <w:tcW w:w="3085" w:type="dxa"/>
            <w:noWrap/>
            <w:hideMark/>
          </w:tcPr>
          <w:p w:rsidR="00164318" w:rsidRPr="005B0796" w:rsidRDefault="00164318" w:rsidP="00720C8C">
            <w:pPr>
              <w:pStyle w:val="TableText"/>
              <w:rPr>
                <w:lang w:eastAsia="en-AU"/>
              </w:rPr>
            </w:pPr>
            <w:r w:rsidRPr="005B0796">
              <w:rPr>
                <w:lang w:eastAsia="en-AU"/>
              </w:rPr>
              <w:t>Any anxiety disorder</w:t>
            </w:r>
          </w:p>
        </w:tc>
        <w:tc>
          <w:tcPr>
            <w:tcW w:w="1414" w:type="dxa"/>
            <w:noWrap/>
            <w:hideMark/>
          </w:tcPr>
          <w:p w:rsidR="00164318" w:rsidRPr="005B0796" w:rsidRDefault="00164318" w:rsidP="00720C8C">
            <w:pPr>
              <w:pStyle w:val="TableText"/>
              <w:jc w:val="right"/>
              <w:rPr>
                <w:lang w:eastAsia="en-AU"/>
              </w:rPr>
            </w:pPr>
            <w:r w:rsidRPr="005B0796">
              <w:rPr>
                <w:lang w:eastAsia="en-AU"/>
              </w:rPr>
              <w:t>9232</w:t>
            </w:r>
          </w:p>
        </w:tc>
        <w:tc>
          <w:tcPr>
            <w:tcW w:w="1415" w:type="dxa"/>
            <w:hideMark/>
          </w:tcPr>
          <w:p w:rsidR="00164318" w:rsidRPr="005B0796" w:rsidRDefault="00164318" w:rsidP="00720C8C">
            <w:pPr>
              <w:pStyle w:val="TableText"/>
              <w:jc w:val="right"/>
              <w:rPr>
                <w:lang w:eastAsia="en-AU"/>
              </w:rPr>
            </w:pPr>
            <w:r w:rsidRPr="005B0796">
              <w:rPr>
                <w:lang w:eastAsia="en-AU"/>
              </w:rPr>
              <w:t>37.0</w:t>
            </w:r>
          </w:p>
        </w:tc>
        <w:tc>
          <w:tcPr>
            <w:tcW w:w="1415" w:type="dxa"/>
            <w:hideMark/>
          </w:tcPr>
          <w:p w:rsidR="00164318" w:rsidRPr="005B0796" w:rsidRDefault="00164318" w:rsidP="00720C8C">
            <w:pPr>
              <w:pStyle w:val="TableText"/>
              <w:jc w:val="right"/>
              <w:rPr>
                <w:lang w:eastAsia="en-AU"/>
              </w:rPr>
            </w:pPr>
            <w:r w:rsidRPr="005B0796">
              <w:rPr>
                <w:lang w:eastAsia="en-AU"/>
              </w:rPr>
              <w:t>32.6, 41.7</w:t>
            </w:r>
          </w:p>
        </w:tc>
      </w:tr>
    </w:tbl>
    <w:p w:rsidR="00EF53A1" w:rsidRPr="005B0796" w:rsidRDefault="00EF53A1" w:rsidP="00EF53A1">
      <w:pPr>
        <w:pStyle w:val="TableNotes"/>
      </w:pPr>
      <w:r w:rsidRPr="005B0796">
        <w:t xml:space="preserve">Note: 95% CI: 95% </w:t>
      </w:r>
      <w:r w:rsidR="00564689" w:rsidRPr="005B0796">
        <w:t>confidence interval</w:t>
      </w:r>
    </w:p>
    <w:p w:rsidR="00164318" w:rsidRPr="005B0796" w:rsidRDefault="00164318" w:rsidP="00BF795F">
      <w:pPr>
        <w:pStyle w:val="Heading4"/>
      </w:pPr>
      <w:r w:rsidRPr="005B0796">
        <w:t>Transition status</w:t>
      </w:r>
    </w:p>
    <w:p w:rsidR="00164318" w:rsidRPr="005B0796" w:rsidRDefault="009E72D3" w:rsidP="008D3AC8">
      <w:r w:rsidRPr="005B0796">
        <w:t>Table 4.4</w:t>
      </w:r>
      <w:r w:rsidR="00164318" w:rsidRPr="005B0796">
        <w:t xml:space="preserve"> and </w:t>
      </w:r>
      <w:r w:rsidRPr="005B0796">
        <w:t>Figure 4.1</w:t>
      </w:r>
      <w:r w:rsidR="00164318" w:rsidRPr="005B0796">
        <w:t xml:space="preserve"> summarise 12-month anxiety disorder by transition status. Ex</w:t>
      </w:r>
      <w:r w:rsidR="00E96C28">
        <w:noBreakHyphen/>
      </w:r>
      <w:r w:rsidR="00164318" w:rsidRPr="005B0796">
        <w:t>Serving Transitioned ADF members had significantly greater estimated rates of 12</w:t>
      </w:r>
      <w:r w:rsidR="00E96C28">
        <w:noBreakHyphen/>
      </w:r>
      <w:r w:rsidR="00164318" w:rsidRPr="005B0796">
        <w:t>month ICD-10 anxiety disorders compared to both Inactive Reservists (OR 2.3, 95% CI 1.4 3.8) and Active Reservists (OR 1.7, 95% CI 1.0, 2.9). Except for OCD, where there were no significant differences between the groups, all other anxiety disorders were higher among Ex-Serving Transitioned ADF members. Compared to both Inactive and Active Reservists, Ex-Serving Transitioned ADF members were more significantly more likely to have met criteria for panic attacks (vs Inactive: OR 4.4, 95% CI 2.2, 8.5; vs Active: OR 2.1, 95% CI 1.1, 4.2); agoraphobia (vs Inactive: OR 3.2, 95% CI 1.4, 7.2; vs Active: OR 3.1, 95% CI 1.2, 7.9); social phobia (vs Inactive: OR 2.8, 95% CI 1.1, 7.1; vs Active: OR 5.5, 95% CI 2.9, 10.5); and specific phobia (vs Inactive: OR 5.9, 95% CI 3.1, 11.5; vs Active: OR 3.1, 95% CI 1.5, 6.7) in the past 12</w:t>
      </w:r>
      <w:r w:rsidR="00F6614D">
        <w:t> </w:t>
      </w:r>
      <w:r w:rsidR="00164318" w:rsidRPr="005B0796">
        <w:t>months. Compared to Inactive Reservists, Ex-Serving Transitioned ADF members were nearly four times more likely to have a 12-month panic disorder (OR 3.8, 95% CI 1.7, 8.5), five times more likely to meet criteria for GAD (OR 5.0, 95% CI 1.9, 13.7) and twice as likely to meet criteria for 12-month PTSD (OR 2.1, 95% CI 1.1, 3.9).</w:t>
      </w:r>
    </w:p>
    <w:p w:rsidR="008D3AC8" w:rsidRPr="005B0796" w:rsidRDefault="008D3AC8" w:rsidP="00EF53A1">
      <w:pPr>
        <w:pStyle w:val="FigureName"/>
      </w:pPr>
      <w:bookmarkStart w:id="249" w:name="_Ref494275450"/>
      <w:bookmarkStart w:id="250" w:name="_Toc511900518"/>
      <w:bookmarkStart w:id="251" w:name="_Ref484519720"/>
      <w:bookmarkStart w:id="252" w:name="_Toc482023780"/>
      <w:bookmarkStart w:id="253" w:name="_Toc487014255"/>
      <w:bookmarkStart w:id="254" w:name="_Toc49299555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w:t>
      </w:r>
      <w:r w:rsidR="00D30A3C">
        <w:rPr>
          <w:noProof/>
        </w:rPr>
        <w:fldChar w:fldCharType="end"/>
      </w:r>
      <w:bookmarkEnd w:id="249"/>
      <w:r w:rsidRPr="005B0796">
        <w:tab/>
        <w:t>Estimated prevalence of 12</w:t>
      </w:r>
      <w:r w:rsidR="00F6614D">
        <w:t>-month ICD-10 anxiety disorder,</w:t>
      </w:r>
      <w:r w:rsidRPr="005B0796">
        <w:t xml:space="preserve"> by transition status</w:t>
      </w:r>
      <w:bookmarkEnd w:id="250"/>
    </w:p>
    <w:tbl>
      <w:tblPr>
        <w:tblW w:w="0" w:type="auto"/>
        <w:tblLook w:val="04A0" w:firstRow="1" w:lastRow="0" w:firstColumn="1" w:lastColumn="0" w:noHBand="0" w:noVBand="1"/>
      </w:tblPr>
      <w:tblGrid>
        <w:gridCol w:w="7315"/>
      </w:tblGrid>
      <w:tr w:rsidR="008D3AC8" w:rsidRPr="005B0796" w:rsidTr="00EF53A1">
        <w:trPr>
          <w:trHeight w:val="4710"/>
        </w:trPr>
        <w:tc>
          <w:tcPr>
            <w:tcW w:w="7315" w:type="dxa"/>
          </w:tcPr>
          <w:p w:rsidR="008D3AC8" w:rsidRPr="005B0796" w:rsidRDefault="008D3AC8" w:rsidP="0019239D">
            <w:r w:rsidRPr="005B0796">
              <w:rPr>
                <w:noProof/>
                <w:lang w:eastAsia="en-AU"/>
              </w:rPr>
              <w:drawing>
                <wp:inline distT="0" distB="0" distL="0" distR="0" wp14:anchorId="6B4B299E" wp14:editId="3D8874C8">
                  <wp:extent cx="4581525" cy="3105150"/>
                  <wp:effectExtent l="0" t="0" r="9525" b="19050"/>
                  <wp:docPr id="111" name="Chart 111" descr="Figure 4.1 Estimated prevalence of 12-month ICD-10 anxiety disorders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8D3AC8" w:rsidRPr="005B0796" w:rsidRDefault="008D3AC8" w:rsidP="00EF53A1">
      <w:pPr>
        <w:pStyle w:val="TableNotes"/>
      </w:pPr>
      <w:bookmarkStart w:id="255" w:name="_Ref484693678"/>
      <w:r w:rsidRPr="005B0796">
        <w:t>Panic attack: Ex-Serving vs Inactive: OR 4.4, 95% CI 2.2, 8.5; Ex-Serving vs Active: OR 2.1, 95% CI 1.1, 4.2</w:t>
      </w:r>
    </w:p>
    <w:p w:rsidR="008D3AC8" w:rsidRPr="005B0796" w:rsidRDefault="008D3AC8" w:rsidP="00EF53A1">
      <w:pPr>
        <w:pStyle w:val="TableNotes"/>
      </w:pPr>
      <w:r w:rsidRPr="005B0796">
        <w:t>Panic disorder: Ex-Serving vs Inactive: OR 3.8, 95% CI 1.7, 8.5</w:t>
      </w:r>
    </w:p>
    <w:p w:rsidR="008D3AC8" w:rsidRPr="005B0796" w:rsidRDefault="008D3AC8" w:rsidP="00EF53A1">
      <w:pPr>
        <w:pStyle w:val="TableNotes"/>
      </w:pPr>
      <w:r w:rsidRPr="005B0796">
        <w:t>Agoraphobia: Ex-Serving vs Inactive: OR 3.2, 95% CI 1.4, 7.2; Ex-Serving vs Active: OR 3.1, 95% CI 1.2, 7.9</w:t>
      </w:r>
    </w:p>
    <w:p w:rsidR="008D3AC8" w:rsidRPr="005B0796" w:rsidRDefault="008D3AC8" w:rsidP="00EF53A1">
      <w:pPr>
        <w:pStyle w:val="TableNotes"/>
      </w:pPr>
      <w:r w:rsidRPr="005B0796">
        <w:t>Social phobia: Ex-Serving vs Inactive: OR 2.8, 95% CI 1.1, 7.1; Ex-Serving vs Active: OR 5.5, 95% CI 2.9, 10.5</w:t>
      </w:r>
    </w:p>
    <w:p w:rsidR="008D3AC8" w:rsidRPr="005B0796" w:rsidRDefault="008D3AC8" w:rsidP="00EF53A1">
      <w:pPr>
        <w:pStyle w:val="TableNotes"/>
      </w:pPr>
      <w:r w:rsidRPr="005B0796">
        <w:t>Specific phobia: Ex-Serving vs Inactive: OR 5.9, 95% CI 3.1, 11.5; Ex-Serving vs Active: OR 3.1, 95% CI 1.5, 6.7</w:t>
      </w:r>
    </w:p>
    <w:p w:rsidR="008D3AC8" w:rsidRPr="005B0796" w:rsidRDefault="008D3AC8" w:rsidP="00EF53A1">
      <w:pPr>
        <w:pStyle w:val="TableNotes"/>
      </w:pPr>
      <w:r w:rsidRPr="005B0796">
        <w:t>GAD: Ex-Serving vs Inactive: OR 5.0, 95% CI 1.9, 13.7</w:t>
      </w:r>
    </w:p>
    <w:p w:rsidR="008D3AC8" w:rsidRPr="005B0796" w:rsidRDefault="008D3AC8" w:rsidP="00EF53A1">
      <w:pPr>
        <w:pStyle w:val="TableNotes"/>
      </w:pPr>
      <w:r w:rsidRPr="005B0796">
        <w:t>PTSD: Ex-Serving vs Inactive: OR 2.1, 95% CI 1.1, 3.9</w:t>
      </w:r>
    </w:p>
    <w:p w:rsidR="008D3AC8" w:rsidRPr="005B0796" w:rsidRDefault="008D3AC8" w:rsidP="00EF53A1">
      <w:pPr>
        <w:pStyle w:val="TableNotes"/>
      </w:pPr>
      <w:r w:rsidRPr="005B0796">
        <w:t xml:space="preserve">Any anxiety disorder: Ex-Serving vs Inactive: </w:t>
      </w:r>
      <w:r w:rsidRPr="005B0796">
        <w:rPr>
          <w:lang w:eastAsia="en-AU"/>
        </w:rPr>
        <w:t>OR 2.3, 95% CI 1.4, 3.8</w:t>
      </w:r>
      <w:r w:rsidRPr="005B0796">
        <w:t xml:space="preserve">; Ex-Serving vs Active: </w:t>
      </w:r>
      <w:r w:rsidRPr="005B0796">
        <w:rPr>
          <w:lang w:eastAsia="en-AU"/>
        </w:rPr>
        <w:t>OR 1.7, 95% CI 1.0, 2.9</w:t>
      </w:r>
      <w:bookmarkEnd w:id="255"/>
      <w:r w:rsidRPr="005B0796">
        <w:rPr>
          <w:lang w:eastAsia="en-AU"/>
        </w:rPr>
        <w:t xml:space="preserve">. </w:t>
      </w:r>
      <w:r w:rsidRPr="005B0796">
        <w:t>Note: Ex-Serving, Inactive Reservists and Active Reservists</w:t>
      </w:r>
    </w:p>
    <w:p w:rsidR="005C3E97" w:rsidRPr="005B0796" w:rsidRDefault="005C3E97" w:rsidP="005C3E97">
      <w:pPr>
        <w:sectPr w:rsidR="005C3E97" w:rsidRPr="005B0796" w:rsidSect="00377F82">
          <w:type w:val="oddPage"/>
          <w:pgSz w:w="9979" w:h="14170" w:code="243"/>
          <w:pgMar w:top="1440" w:right="1152" w:bottom="1440" w:left="1728" w:header="576" w:footer="576" w:gutter="0"/>
          <w:cols w:space="708"/>
          <w:docGrid w:linePitch="360"/>
        </w:sectPr>
      </w:pPr>
    </w:p>
    <w:p w:rsidR="00EF53A1" w:rsidRPr="005B0796" w:rsidRDefault="00EF53A1" w:rsidP="00EF53A1">
      <w:pPr>
        <w:pStyle w:val="TableName"/>
        <w:rPr>
          <w:rFonts w:cs="Calibri"/>
        </w:rPr>
      </w:pPr>
      <w:bookmarkStart w:id="256" w:name="_Ref494275273"/>
      <w:bookmarkStart w:id="257" w:name="_Toc51190040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w:t>
      </w:r>
      <w:r w:rsidR="00D30A3C">
        <w:rPr>
          <w:noProof/>
        </w:rPr>
        <w:fldChar w:fldCharType="end"/>
      </w:r>
      <w:bookmarkEnd w:id="251"/>
      <w:bookmarkEnd w:id="256"/>
      <w:r w:rsidRPr="005B0796">
        <w:tab/>
        <w:t>Estimated prevalence of 12-month ICD-10 anxiety disorders</w:t>
      </w:r>
      <w:r w:rsidR="00F6614D">
        <w:t>,</w:t>
      </w:r>
      <w:r w:rsidRPr="005B0796">
        <w:t xml:space="preserve"> by transition status</w:t>
      </w:r>
      <w:bookmarkEnd w:id="252"/>
      <w:bookmarkEnd w:id="253"/>
      <w:bookmarkEnd w:id="254"/>
      <w:bookmarkEnd w:id="257"/>
    </w:p>
    <w:tbl>
      <w:tblPr>
        <w:tblStyle w:val="TWRPTable"/>
        <w:tblW w:w="5000" w:type="pct"/>
        <w:tblLayout w:type="fixed"/>
        <w:tblLook w:val="04A0" w:firstRow="1" w:lastRow="0" w:firstColumn="1" w:lastColumn="0" w:noHBand="0" w:noVBand="1"/>
        <w:tblDescription w:val="Table 4.4 Estimated prevalence of 12-month ICD-10 anxiety disorders by transition status"/>
      </w:tblPr>
      <w:tblGrid>
        <w:gridCol w:w="2448"/>
        <w:gridCol w:w="1006"/>
        <w:gridCol w:w="1006"/>
        <w:gridCol w:w="1007"/>
        <w:gridCol w:w="1006"/>
        <w:gridCol w:w="1007"/>
        <w:gridCol w:w="1006"/>
        <w:gridCol w:w="1007"/>
        <w:gridCol w:w="1006"/>
        <w:gridCol w:w="1007"/>
      </w:tblGrid>
      <w:tr w:rsidR="00720C8C" w:rsidRPr="005B0796" w:rsidTr="005C3E97">
        <w:trPr>
          <w:cnfStyle w:val="100000000000" w:firstRow="1" w:lastRow="0" w:firstColumn="0" w:lastColumn="0" w:oddVBand="0" w:evenVBand="0" w:oddHBand="0" w:evenHBand="0" w:firstRowFirstColumn="0" w:firstRowLastColumn="0" w:lastRowFirstColumn="0" w:lastRowLastColumn="0"/>
          <w:cantSplit/>
          <w:tblHeader/>
        </w:trPr>
        <w:tc>
          <w:tcPr>
            <w:tcW w:w="2448" w:type="dxa"/>
            <w:vMerge w:val="restart"/>
            <w:noWrap/>
            <w:hideMark/>
          </w:tcPr>
          <w:p w:rsidR="00720C8C" w:rsidRPr="005B0796" w:rsidRDefault="00720C8C" w:rsidP="00231128">
            <w:pPr>
              <w:pStyle w:val="TableText"/>
            </w:pPr>
            <w:r w:rsidRPr="005B0796">
              <w:rPr>
                <w:lang w:eastAsia="en-AU"/>
              </w:rPr>
              <w:t xml:space="preserve">ICD-10 </w:t>
            </w:r>
            <w:r w:rsidR="00231128" w:rsidRPr="005B0796">
              <w:rPr>
                <w:lang w:eastAsia="en-AU"/>
              </w:rPr>
              <w:t>anxiety disorder</w:t>
            </w:r>
          </w:p>
        </w:tc>
        <w:tc>
          <w:tcPr>
            <w:tcW w:w="9058" w:type="dxa"/>
            <w:gridSpan w:val="9"/>
            <w:noWrap/>
            <w:hideMark/>
          </w:tcPr>
          <w:p w:rsidR="00720C8C" w:rsidRPr="005B0796" w:rsidRDefault="00720C8C" w:rsidP="00720C8C">
            <w:pPr>
              <w:pStyle w:val="TableText"/>
              <w:jc w:val="center"/>
              <w:rPr>
                <w:lang w:eastAsia="en-AU"/>
              </w:rPr>
            </w:pPr>
            <w:r w:rsidRPr="005B0796">
              <w:rPr>
                <w:lang w:eastAsia="en-AU"/>
              </w:rPr>
              <w:t>Transition status</w:t>
            </w:r>
          </w:p>
        </w:tc>
      </w:tr>
      <w:tr w:rsidR="00720C8C" w:rsidRPr="005B0796" w:rsidTr="005C3E97">
        <w:trPr>
          <w:cnfStyle w:val="100000000000" w:firstRow="1" w:lastRow="0" w:firstColumn="0" w:lastColumn="0" w:oddVBand="0" w:evenVBand="0" w:oddHBand="0" w:evenHBand="0" w:firstRowFirstColumn="0" w:firstRowLastColumn="0" w:lastRowFirstColumn="0" w:lastRowLastColumn="0"/>
          <w:cantSplit/>
          <w:tblHeader/>
        </w:trPr>
        <w:tc>
          <w:tcPr>
            <w:tcW w:w="2448" w:type="dxa"/>
            <w:vMerge/>
            <w:hideMark/>
          </w:tcPr>
          <w:p w:rsidR="00720C8C" w:rsidRPr="005B0796" w:rsidRDefault="00720C8C" w:rsidP="00720C8C">
            <w:pPr>
              <w:pStyle w:val="TableText"/>
              <w:rPr>
                <w:lang w:eastAsia="en-AU"/>
              </w:rPr>
            </w:pPr>
          </w:p>
        </w:tc>
        <w:tc>
          <w:tcPr>
            <w:tcW w:w="3019" w:type="dxa"/>
            <w:gridSpan w:val="3"/>
            <w:noWrap/>
            <w:hideMark/>
          </w:tcPr>
          <w:p w:rsidR="00720C8C" w:rsidRPr="005B0796" w:rsidRDefault="00720C8C" w:rsidP="00720C8C">
            <w:pPr>
              <w:pStyle w:val="TableText"/>
              <w:jc w:val="center"/>
              <w:rPr>
                <w:lang w:eastAsia="en-AU"/>
              </w:rPr>
            </w:pPr>
            <w:r w:rsidRPr="005B0796">
              <w:rPr>
                <w:lang w:eastAsia="en-AU"/>
              </w:rPr>
              <w:t xml:space="preserve">Ex-Serving </w:t>
            </w:r>
            <w:r w:rsidRPr="005B0796">
              <w:rPr>
                <w:lang w:eastAsia="en-AU"/>
              </w:rPr>
              <w:br/>
              <w:t>(n = 11,440)</w:t>
            </w:r>
          </w:p>
        </w:tc>
        <w:tc>
          <w:tcPr>
            <w:tcW w:w="3019" w:type="dxa"/>
            <w:gridSpan w:val="3"/>
            <w:noWrap/>
            <w:hideMark/>
          </w:tcPr>
          <w:p w:rsidR="00720C8C" w:rsidRPr="005B0796" w:rsidRDefault="00720C8C" w:rsidP="00720C8C">
            <w:pPr>
              <w:pStyle w:val="TableText"/>
              <w:jc w:val="center"/>
              <w:rPr>
                <w:lang w:eastAsia="en-AU"/>
              </w:rPr>
            </w:pPr>
            <w:r w:rsidRPr="005B0796">
              <w:rPr>
                <w:lang w:eastAsia="en-AU"/>
              </w:rPr>
              <w:t>Inactive Reservists</w:t>
            </w:r>
            <w:r w:rsidRPr="005B0796">
              <w:rPr>
                <w:lang w:eastAsia="en-AU"/>
              </w:rPr>
              <w:br/>
              <w:t>(n = 6447)</w:t>
            </w:r>
          </w:p>
        </w:tc>
        <w:tc>
          <w:tcPr>
            <w:tcW w:w="3020" w:type="dxa"/>
            <w:gridSpan w:val="3"/>
            <w:noWrap/>
            <w:hideMark/>
          </w:tcPr>
          <w:p w:rsidR="00720C8C" w:rsidRPr="005B0796" w:rsidRDefault="00720C8C" w:rsidP="00720C8C">
            <w:pPr>
              <w:pStyle w:val="TableText"/>
              <w:jc w:val="center"/>
              <w:rPr>
                <w:lang w:eastAsia="en-AU"/>
              </w:rPr>
            </w:pPr>
            <w:r w:rsidRPr="005B0796">
              <w:rPr>
                <w:lang w:eastAsia="en-AU"/>
              </w:rPr>
              <w:t xml:space="preserve">Active Reservists </w:t>
            </w:r>
            <w:r w:rsidRPr="005B0796">
              <w:rPr>
                <w:lang w:eastAsia="en-AU"/>
              </w:rPr>
              <w:br/>
              <w:t>(n = 6968)</w:t>
            </w:r>
          </w:p>
        </w:tc>
      </w:tr>
      <w:tr w:rsidR="00720C8C" w:rsidRPr="005B0796" w:rsidTr="005C3E97">
        <w:trPr>
          <w:cnfStyle w:val="100000000000" w:firstRow="1" w:lastRow="0" w:firstColumn="0" w:lastColumn="0" w:oddVBand="0" w:evenVBand="0" w:oddHBand="0" w:evenHBand="0" w:firstRowFirstColumn="0" w:firstRowLastColumn="0" w:lastRowFirstColumn="0" w:lastRowLastColumn="0"/>
          <w:cantSplit/>
          <w:tblHeader/>
        </w:trPr>
        <w:tc>
          <w:tcPr>
            <w:tcW w:w="2448" w:type="dxa"/>
            <w:vMerge/>
            <w:noWrap/>
            <w:hideMark/>
          </w:tcPr>
          <w:p w:rsidR="00720C8C" w:rsidRPr="005B0796" w:rsidRDefault="00720C8C" w:rsidP="00720C8C">
            <w:pPr>
              <w:pStyle w:val="TableText"/>
              <w:rPr>
                <w:lang w:eastAsia="en-AU"/>
              </w:rPr>
            </w:pPr>
          </w:p>
        </w:tc>
        <w:tc>
          <w:tcPr>
            <w:tcW w:w="1006" w:type="dxa"/>
            <w:noWrap/>
            <w:hideMark/>
          </w:tcPr>
          <w:p w:rsidR="00720C8C" w:rsidRPr="005B0796" w:rsidRDefault="00720C8C" w:rsidP="00720C8C">
            <w:pPr>
              <w:pStyle w:val="TableText"/>
              <w:jc w:val="right"/>
              <w:rPr>
                <w:lang w:eastAsia="en-AU"/>
              </w:rPr>
            </w:pPr>
            <w:r w:rsidRPr="005B0796">
              <w:rPr>
                <w:lang w:eastAsia="en-AU"/>
              </w:rPr>
              <w:t>Weighted n</w:t>
            </w:r>
          </w:p>
        </w:tc>
        <w:tc>
          <w:tcPr>
            <w:tcW w:w="1006" w:type="dxa"/>
            <w:hideMark/>
          </w:tcPr>
          <w:p w:rsidR="00720C8C" w:rsidRPr="005B0796" w:rsidRDefault="00720C8C" w:rsidP="00720C8C">
            <w:pPr>
              <w:pStyle w:val="TableText"/>
              <w:jc w:val="right"/>
              <w:rPr>
                <w:lang w:eastAsia="en-AU"/>
              </w:rPr>
            </w:pPr>
            <w:r w:rsidRPr="005B0796">
              <w:rPr>
                <w:lang w:eastAsia="en-AU"/>
              </w:rPr>
              <w:t>%</w:t>
            </w:r>
          </w:p>
        </w:tc>
        <w:tc>
          <w:tcPr>
            <w:tcW w:w="1007" w:type="dxa"/>
            <w:hideMark/>
          </w:tcPr>
          <w:p w:rsidR="00720C8C" w:rsidRPr="005B0796" w:rsidRDefault="00720C8C" w:rsidP="00720C8C">
            <w:pPr>
              <w:pStyle w:val="TableText"/>
              <w:jc w:val="right"/>
              <w:rPr>
                <w:lang w:eastAsia="en-AU"/>
              </w:rPr>
            </w:pPr>
            <w:r w:rsidRPr="005B0796">
              <w:rPr>
                <w:lang w:eastAsia="en-AU"/>
              </w:rPr>
              <w:t>95% CI</w:t>
            </w:r>
          </w:p>
        </w:tc>
        <w:tc>
          <w:tcPr>
            <w:tcW w:w="1006" w:type="dxa"/>
            <w:noWrap/>
            <w:hideMark/>
          </w:tcPr>
          <w:p w:rsidR="00720C8C" w:rsidRPr="005B0796" w:rsidRDefault="00720C8C" w:rsidP="00720C8C">
            <w:pPr>
              <w:pStyle w:val="TableText"/>
              <w:jc w:val="right"/>
              <w:rPr>
                <w:lang w:eastAsia="en-AU"/>
              </w:rPr>
            </w:pPr>
            <w:r w:rsidRPr="005B0796">
              <w:rPr>
                <w:lang w:eastAsia="en-AU"/>
              </w:rPr>
              <w:t>Weighted n</w:t>
            </w:r>
          </w:p>
        </w:tc>
        <w:tc>
          <w:tcPr>
            <w:tcW w:w="1007" w:type="dxa"/>
            <w:hideMark/>
          </w:tcPr>
          <w:p w:rsidR="00720C8C" w:rsidRPr="005B0796" w:rsidRDefault="00720C8C" w:rsidP="00720C8C">
            <w:pPr>
              <w:pStyle w:val="TableText"/>
              <w:jc w:val="right"/>
              <w:rPr>
                <w:lang w:eastAsia="en-AU"/>
              </w:rPr>
            </w:pPr>
            <w:r w:rsidRPr="005B0796">
              <w:rPr>
                <w:lang w:eastAsia="en-AU"/>
              </w:rPr>
              <w:t>%</w:t>
            </w:r>
          </w:p>
        </w:tc>
        <w:tc>
          <w:tcPr>
            <w:tcW w:w="1006" w:type="dxa"/>
            <w:hideMark/>
          </w:tcPr>
          <w:p w:rsidR="00720C8C" w:rsidRPr="005B0796" w:rsidRDefault="00720C8C" w:rsidP="00720C8C">
            <w:pPr>
              <w:pStyle w:val="TableText"/>
              <w:jc w:val="right"/>
              <w:rPr>
                <w:lang w:eastAsia="en-AU"/>
              </w:rPr>
            </w:pPr>
            <w:r w:rsidRPr="005B0796">
              <w:rPr>
                <w:lang w:eastAsia="en-AU"/>
              </w:rPr>
              <w:t>95% CI</w:t>
            </w:r>
          </w:p>
        </w:tc>
        <w:tc>
          <w:tcPr>
            <w:tcW w:w="1007" w:type="dxa"/>
            <w:hideMark/>
          </w:tcPr>
          <w:p w:rsidR="00720C8C" w:rsidRPr="005B0796" w:rsidRDefault="00720C8C" w:rsidP="00720C8C">
            <w:pPr>
              <w:pStyle w:val="TableText"/>
              <w:jc w:val="right"/>
              <w:rPr>
                <w:lang w:eastAsia="en-AU"/>
              </w:rPr>
            </w:pPr>
            <w:r w:rsidRPr="005B0796">
              <w:rPr>
                <w:lang w:eastAsia="en-AU"/>
              </w:rPr>
              <w:t>Weighted n</w:t>
            </w:r>
          </w:p>
        </w:tc>
        <w:tc>
          <w:tcPr>
            <w:tcW w:w="1006" w:type="dxa"/>
            <w:hideMark/>
          </w:tcPr>
          <w:p w:rsidR="00720C8C" w:rsidRPr="005B0796" w:rsidRDefault="00720C8C" w:rsidP="00720C8C">
            <w:pPr>
              <w:pStyle w:val="TableText"/>
              <w:jc w:val="right"/>
              <w:rPr>
                <w:lang w:eastAsia="en-AU"/>
              </w:rPr>
            </w:pPr>
            <w:r w:rsidRPr="005B0796">
              <w:rPr>
                <w:lang w:eastAsia="en-AU"/>
              </w:rPr>
              <w:t>%</w:t>
            </w:r>
          </w:p>
        </w:tc>
        <w:tc>
          <w:tcPr>
            <w:tcW w:w="1007" w:type="dxa"/>
            <w:hideMark/>
          </w:tcPr>
          <w:p w:rsidR="00720C8C" w:rsidRPr="005B0796" w:rsidRDefault="00720C8C" w:rsidP="00720C8C">
            <w:pPr>
              <w:pStyle w:val="TableText"/>
              <w:jc w:val="right"/>
              <w:rPr>
                <w:lang w:eastAsia="en-AU"/>
              </w:rPr>
            </w:pPr>
            <w:r w:rsidRPr="005B0796">
              <w:rPr>
                <w:lang w:eastAsia="en-AU"/>
              </w:rPr>
              <w:t>95% CI</w:t>
            </w:r>
          </w:p>
        </w:tc>
      </w:tr>
      <w:tr w:rsidR="005C3E97" w:rsidRPr="005B0796" w:rsidTr="005C3E97">
        <w:trPr>
          <w:cnfStyle w:val="000000100000" w:firstRow="0" w:lastRow="0" w:firstColumn="0" w:lastColumn="0" w:oddVBand="0" w:evenVBand="0" w:oddHBand="1" w:evenHBand="0" w:firstRowFirstColumn="0" w:firstRowLastColumn="0" w:lastRowFirstColumn="0" w:lastRowLastColumn="0"/>
          <w:cantSplit/>
        </w:trPr>
        <w:tc>
          <w:tcPr>
            <w:tcW w:w="2448" w:type="dxa"/>
            <w:noWrap/>
            <w:hideMark/>
          </w:tcPr>
          <w:p w:rsidR="00164318" w:rsidRPr="005B0796" w:rsidRDefault="00164318" w:rsidP="00720C8C">
            <w:pPr>
              <w:pStyle w:val="TableText"/>
              <w:rPr>
                <w:lang w:eastAsia="en-AU"/>
              </w:rPr>
            </w:pPr>
            <w:r w:rsidRPr="005B0796">
              <w:rPr>
                <w:lang w:eastAsia="en-AU"/>
              </w:rPr>
              <w:t>Panic attack</w:t>
            </w:r>
            <w:r w:rsidRPr="005B0796">
              <w:rPr>
                <w:vertAlign w:val="superscript"/>
                <w:lang w:eastAsia="en-AU"/>
              </w:rPr>
              <w:t>a</w:t>
            </w:r>
          </w:p>
        </w:tc>
        <w:tc>
          <w:tcPr>
            <w:tcW w:w="1006" w:type="dxa"/>
            <w:noWrap/>
            <w:hideMark/>
          </w:tcPr>
          <w:p w:rsidR="00164318" w:rsidRPr="005B0796" w:rsidRDefault="00164318" w:rsidP="00720C8C">
            <w:pPr>
              <w:pStyle w:val="TableText"/>
              <w:jc w:val="right"/>
              <w:rPr>
                <w:lang w:eastAsia="en-AU"/>
              </w:rPr>
            </w:pPr>
            <w:r w:rsidRPr="005B0796">
              <w:rPr>
                <w:lang w:eastAsia="en-AU"/>
              </w:rPr>
              <w:t>2688</w:t>
            </w:r>
          </w:p>
        </w:tc>
        <w:tc>
          <w:tcPr>
            <w:tcW w:w="1006" w:type="dxa"/>
            <w:hideMark/>
          </w:tcPr>
          <w:p w:rsidR="00164318" w:rsidRPr="005B0796" w:rsidRDefault="00164318" w:rsidP="00720C8C">
            <w:pPr>
              <w:pStyle w:val="TableText"/>
              <w:jc w:val="right"/>
              <w:rPr>
                <w:lang w:eastAsia="en-AU"/>
              </w:rPr>
            </w:pPr>
            <w:r w:rsidRPr="005B0796">
              <w:rPr>
                <w:lang w:eastAsia="en-AU"/>
              </w:rPr>
              <w:t>23.5</w:t>
            </w:r>
          </w:p>
        </w:tc>
        <w:tc>
          <w:tcPr>
            <w:tcW w:w="1007" w:type="dxa"/>
            <w:hideMark/>
          </w:tcPr>
          <w:p w:rsidR="00164318" w:rsidRPr="005B0796" w:rsidRDefault="00164318" w:rsidP="00720C8C">
            <w:pPr>
              <w:pStyle w:val="TableText"/>
              <w:jc w:val="right"/>
              <w:rPr>
                <w:lang w:eastAsia="en-AU"/>
              </w:rPr>
            </w:pPr>
            <w:r w:rsidRPr="005B0796">
              <w:rPr>
                <w:lang w:eastAsia="en-AU"/>
              </w:rPr>
              <w:t>17.7, 30.4</w:t>
            </w:r>
          </w:p>
        </w:tc>
        <w:tc>
          <w:tcPr>
            <w:tcW w:w="1006" w:type="dxa"/>
            <w:noWrap/>
            <w:hideMark/>
          </w:tcPr>
          <w:p w:rsidR="00164318" w:rsidRPr="005B0796" w:rsidRDefault="00164318" w:rsidP="00720C8C">
            <w:pPr>
              <w:pStyle w:val="TableText"/>
              <w:jc w:val="right"/>
              <w:rPr>
                <w:lang w:eastAsia="en-AU"/>
              </w:rPr>
            </w:pPr>
            <w:r w:rsidRPr="005B0796">
              <w:rPr>
                <w:lang w:eastAsia="en-AU"/>
              </w:rPr>
              <w:t>658</w:t>
            </w:r>
          </w:p>
        </w:tc>
        <w:tc>
          <w:tcPr>
            <w:tcW w:w="1007" w:type="dxa"/>
            <w:hideMark/>
          </w:tcPr>
          <w:p w:rsidR="00164318" w:rsidRPr="005B0796" w:rsidRDefault="00164318" w:rsidP="00720C8C">
            <w:pPr>
              <w:pStyle w:val="TableText"/>
              <w:jc w:val="right"/>
              <w:rPr>
                <w:lang w:eastAsia="en-AU"/>
              </w:rPr>
            </w:pPr>
            <w:r w:rsidRPr="005B0796">
              <w:rPr>
                <w:lang w:eastAsia="en-AU"/>
              </w:rPr>
              <w:t>10.2</w:t>
            </w:r>
          </w:p>
        </w:tc>
        <w:tc>
          <w:tcPr>
            <w:tcW w:w="1006" w:type="dxa"/>
            <w:hideMark/>
          </w:tcPr>
          <w:p w:rsidR="00164318" w:rsidRPr="005B0796" w:rsidRDefault="00164318" w:rsidP="005C3E97">
            <w:pPr>
              <w:pStyle w:val="TableText"/>
              <w:jc w:val="right"/>
              <w:rPr>
                <w:lang w:eastAsia="en-AU"/>
              </w:rPr>
            </w:pPr>
            <w:r w:rsidRPr="005B0796">
              <w:rPr>
                <w:lang w:eastAsia="en-AU"/>
              </w:rPr>
              <w:t>7.1, 14.5</w:t>
            </w:r>
          </w:p>
        </w:tc>
        <w:tc>
          <w:tcPr>
            <w:tcW w:w="1007" w:type="dxa"/>
            <w:hideMark/>
          </w:tcPr>
          <w:p w:rsidR="00164318" w:rsidRPr="005B0796" w:rsidRDefault="00164318" w:rsidP="00720C8C">
            <w:pPr>
              <w:pStyle w:val="TableText"/>
              <w:jc w:val="right"/>
              <w:rPr>
                <w:lang w:eastAsia="en-AU"/>
              </w:rPr>
            </w:pPr>
            <w:r w:rsidRPr="005B0796">
              <w:rPr>
                <w:lang w:eastAsia="en-AU"/>
              </w:rPr>
              <w:t>913</w:t>
            </w:r>
          </w:p>
        </w:tc>
        <w:tc>
          <w:tcPr>
            <w:tcW w:w="1006" w:type="dxa"/>
            <w:hideMark/>
          </w:tcPr>
          <w:p w:rsidR="00164318" w:rsidRPr="005B0796" w:rsidRDefault="00164318" w:rsidP="00720C8C">
            <w:pPr>
              <w:pStyle w:val="TableText"/>
              <w:jc w:val="right"/>
              <w:rPr>
                <w:lang w:eastAsia="en-AU"/>
              </w:rPr>
            </w:pPr>
            <w:r w:rsidRPr="005B0796">
              <w:rPr>
                <w:lang w:eastAsia="en-AU"/>
              </w:rPr>
              <w:t>13.1</w:t>
            </w:r>
          </w:p>
        </w:tc>
        <w:tc>
          <w:tcPr>
            <w:tcW w:w="1007" w:type="dxa"/>
            <w:hideMark/>
          </w:tcPr>
          <w:p w:rsidR="00164318" w:rsidRPr="005B0796" w:rsidRDefault="00164318" w:rsidP="00720C8C">
            <w:pPr>
              <w:pStyle w:val="TableText"/>
              <w:jc w:val="right"/>
              <w:rPr>
                <w:lang w:eastAsia="en-AU"/>
              </w:rPr>
            </w:pPr>
            <w:r w:rsidRPr="005B0796">
              <w:rPr>
                <w:lang w:eastAsia="en-AU"/>
              </w:rPr>
              <w:t>8.4, 19.7</w:t>
            </w:r>
          </w:p>
        </w:tc>
      </w:tr>
      <w:tr w:rsidR="00164318" w:rsidRPr="005B0796" w:rsidTr="005C3E97">
        <w:trPr>
          <w:cantSplit/>
        </w:trPr>
        <w:tc>
          <w:tcPr>
            <w:tcW w:w="2448" w:type="dxa"/>
            <w:noWrap/>
            <w:hideMark/>
          </w:tcPr>
          <w:p w:rsidR="00164318" w:rsidRPr="005B0796" w:rsidRDefault="00164318" w:rsidP="00720C8C">
            <w:pPr>
              <w:pStyle w:val="TableText"/>
              <w:rPr>
                <w:lang w:eastAsia="en-AU"/>
              </w:rPr>
            </w:pPr>
            <w:r w:rsidRPr="005B0796">
              <w:rPr>
                <w:lang w:eastAsia="en-AU"/>
              </w:rPr>
              <w:t xml:space="preserve">Panic </w:t>
            </w:r>
            <w:r w:rsidR="00F6614D" w:rsidRPr="005B0796">
              <w:rPr>
                <w:lang w:eastAsia="en-AU"/>
              </w:rPr>
              <w:t>disorder</w:t>
            </w:r>
            <w:r w:rsidR="00F6614D" w:rsidRPr="005B0796">
              <w:rPr>
                <w:vertAlign w:val="superscript"/>
                <w:lang w:eastAsia="en-AU"/>
              </w:rPr>
              <w:t>b</w:t>
            </w:r>
          </w:p>
        </w:tc>
        <w:tc>
          <w:tcPr>
            <w:tcW w:w="1006" w:type="dxa"/>
            <w:noWrap/>
            <w:hideMark/>
          </w:tcPr>
          <w:p w:rsidR="00164318" w:rsidRPr="005B0796" w:rsidRDefault="00164318" w:rsidP="00720C8C">
            <w:pPr>
              <w:pStyle w:val="TableText"/>
              <w:jc w:val="right"/>
              <w:rPr>
                <w:lang w:eastAsia="en-AU"/>
              </w:rPr>
            </w:pPr>
            <w:r w:rsidRPr="005B0796">
              <w:rPr>
                <w:lang w:eastAsia="en-AU"/>
              </w:rPr>
              <w:t>892</w:t>
            </w:r>
          </w:p>
        </w:tc>
        <w:tc>
          <w:tcPr>
            <w:tcW w:w="1006" w:type="dxa"/>
            <w:hideMark/>
          </w:tcPr>
          <w:p w:rsidR="00164318" w:rsidRPr="005B0796" w:rsidRDefault="00164318" w:rsidP="00720C8C">
            <w:pPr>
              <w:pStyle w:val="TableText"/>
              <w:jc w:val="right"/>
              <w:rPr>
                <w:lang w:eastAsia="en-AU"/>
              </w:rPr>
            </w:pPr>
            <w:r w:rsidRPr="005B0796">
              <w:rPr>
                <w:lang w:eastAsia="en-AU"/>
              </w:rPr>
              <w:t>7.8</w:t>
            </w:r>
          </w:p>
        </w:tc>
        <w:tc>
          <w:tcPr>
            <w:tcW w:w="1007" w:type="dxa"/>
            <w:hideMark/>
          </w:tcPr>
          <w:p w:rsidR="00164318" w:rsidRPr="005B0796" w:rsidRDefault="00164318" w:rsidP="00720C8C">
            <w:pPr>
              <w:pStyle w:val="TableText"/>
              <w:jc w:val="right"/>
              <w:rPr>
                <w:lang w:eastAsia="en-AU"/>
              </w:rPr>
            </w:pPr>
            <w:r w:rsidRPr="005B0796">
              <w:rPr>
                <w:lang w:eastAsia="en-AU"/>
              </w:rPr>
              <w:t>4.5, 13.2</w:t>
            </w:r>
          </w:p>
        </w:tc>
        <w:tc>
          <w:tcPr>
            <w:tcW w:w="1006" w:type="dxa"/>
            <w:noWrap/>
            <w:hideMark/>
          </w:tcPr>
          <w:p w:rsidR="00164318" w:rsidRPr="005B0796" w:rsidRDefault="00164318" w:rsidP="00720C8C">
            <w:pPr>
              <w:pStyle w:val="TableText"/>
              <w:jc w:val="right"/>
              <w:rPr>
                <w:lang w:eastAsia="en-AU"/>
              </w:rPr>
            </w:pPr>
            <w:r w:rsidRPr="005B0796">
              <w:rPr>
                <w:lang w:eastAsia="en-AU"/>
              </w:rPr>
              <w:t>148</w:t>
            </w:r>
          </w:p>
        </w:tc>
        <w:tc>
          <w:tcPr>
            <w:tcW w:w="1007" w:type="dxa"/>
            <w:hideMark/>
          </w:tcPr>
          <w:p w:rsidR="00164318" w:rsidRPr="005B0796" w:rsidRDefault="00164318" w:rsidP="00720C8C">
            <w:pPr>
              <w:pStyle w:val="TableText"/>
              <w:jc w:val="right"/>
              <w:rPr>
                <w:lang w:eastAsia="en-AU"/>
              </w:rPr>
            </w:pPr>
            <w:r w:rsidRPr="005B0796">
              <w:rPr>
                <w:lang w:eastAsia="en-AU"/>
              </w:rPr>
              <w:t>2.3</w:t>
            </w:r>
          </w:p>
        </w:tc>
        <w:tc>
          <w:tcPr>
            <w:tcW w:w="1006" w:type="dxa"/>
            <w:hideMark/>
          </w:tcPr>
          <w:p w:rsidR="00164318" w:rsidRPr="005B0796" w:rsidRDefault="00164318" w:rsidP="005C3E97">
            <w:pPr>
              <w:pStyle w:val="TableText"/>
              <w:jc w:val="right"/>
              <w:rPr>
                <w:lang w:eastAsia="en-AU"/>
              </w:rPr>
            </w:pPr>
            <w:r w:rsidRPr="005B0796">
              <w:rPr>
                <w:lang w:eastAsia="en-AU"/>
              </w:rPr>
              <w:t>1.3, 4.2</w:t>
            </w:r>
          </w:p>
        </w:tc>
        <w:tc>
          <w:tcPr>
            <w:tcW w:w="1007" w:type="dxa"/>
            <w:hideMark/>
          </w:tcPr>
          <w:p w:rsidR="00164318" w:rsidRPr="005B0796" w:rsidRDefault="00164318" w:rsidP="00720C8C">
            <w:pPr>
              <w:pStyle w:val="TableText"/>
              <w:jc w:val="right"/>
              <w:rPr>
                <w:lang w:eastAsia="en-AU"/>
              </w:rPr>
            </w:pPr>
            <w:r w:rsidRPr="005B0796">
              <w:rPr>
                <w:lang w:eastAsia="en-AU"/>
              </w:rPr>
              <w:t>314</w:t>
            </w:r>
          </w:p>
        </w:tc>
        <w:tc>
          <w:tcPr>
            <w:tcW w:w="1006" w:type="dxa"/>
            <w:hideMark/>
          </w:tcPr>
          <w:p w:rsidR="00164318" w:rsidRPr="005B0796" w:rsidRDefault="00164318" w:rsidP="00720C8C">
            <w:pPr>
              <w:pStyle w:val="TableText"/>
              <w:jc w:val="right"/>
              <w:rPr>
                <w:lang w:eastAsia="en-AU"/>
              </w:rPr>
            </w:pPr>
            <w:r w:rsidRPr="005B0796">
              <w:rPr>
                <w:lang w:eastAsia="en-AU"/>
              </w:rPr>
              <w:t>4.5</w:t>
            </w:r>
          </w:p>
        </w:tc>
        <w:tc>
          <w:tcPr>
            <w:tcW w:w="1007" w:type="dxa"/>
            <w:hideMark/>
          </w:tcPr>
          <w:p w:rsidR="00164318" w:rsidRPr="005B0796" w:rsidRDefault="00164318" w:rsidP="005C3E97">
            <w:pPr>
              <w:pStyle w:val="TableText"/>
              <w:jc w:val="right"/>
              <w:rPr>
                <w:lang w:eastAsia="en-AU"/>
              </w:rPr>
            </w:pPr>
            <w:r w:rsidRPr="005B0796">
              <w:rPr>
                <w:lang w:eastAsia="en-AU"/>
              </w:rPr>
              <w:t>2.2, 9.1</w:t>
            </w:r>
          </w:p>
        </w:tc>
      </w:tr>
      <w:tr w:rsidR="005C3E97" w:rsidRPr="005B0796" w:rsidTr="005C3E97">
        <w:trPr>
          <w:cnfStyle w:val="000000100000" w:firstRow="0" w:lastRow="0" w:firstColumn="0" w:lastColumn="0" w:oddVBand="0" w:evenVBand="0" w:oddHBand="1" w:evenHBand="0" w:firstRowFirstColumn="0" w:firstRowLastColumn="0" w:lastRowFirstColumn="0" w:lastRowLastColumn="0"/>
          <w:cantSplit/>
        </w:trPr>
        <w:tc>
          <w:tcPr>
            <w:tcW w:w="2448" w:type="dxa"/>
            <w:noWrap/>
            <w:hideMark/>
          </w:tcPr>
          <w:p w:rsidR="00164318" w:rsidRPr="005B0796" w:rsidRDefault="00164318" w:rsidP="00720C8C">
            <w:pPr>
              <w:pStyle w:val="TableText"/>
              <w:rPr>
                <w:lang w:eastAsia="en-AU"/>
              </w:rPr>
            </w:pPr>
            <w:r w:rsidRPr="005B0796">
              <w:rPr>
                <w:lang w:eastAsia="en-AU"/>
              </w:rPr>
              <w:t>Agoraphobia</w:t>
            </w:r>
            <w:r w:rsidRPr="005B0796">
              <w:rPr>
                <w:vertAlign w:val="superscript"/>
                <w:lang w:eastAsia="en-AU"/>
              </w:rPr>
              <w:t>c</w:t>
            </w:r>
          </w:p>
        </w:tc>
        <w:tc>
          <w:tcPr>
            <w:tcW w:w="1006" w:type="dxa"/>
            <w:noWrap/>
            <w:hideMark/>
          </w:tcPr>
          <w:p w:rsidR="00164318" w:rsidRPr="005B0796" w:rsidRDefault="00164318" w:rsidP="00720C8C">
            <w:pPr>
              <w:pStyle w:val="TableText"/>
              <w:jc w:val="right"/>
              <w:rPr>
                <w:lang w:eastAsia="en-AU"/>
              </w:rPr>
            </w:pPr>
            <w:r w:rsidRPr="005B0796">
              <w:rPr>
                <w:lang w:eastAsia="en-AU"/>
              </w:rPr>
              <w:t>2082</w:t>
            </w:r>
          </w:p>
        </w:tc>
        <w:tc>
          <w:tcPr>
            <w:tcW w:w="1006" w:type="dxa"/>
            <w:hideMark/>
          </w:tcPr>
          <w:p w:rsidR="00164318" w:rsidRPr="005B0796" w:rsidRDefault="00164318" w:rsidP="00720C8C">
            <w:pPr>
              <w:pStyle w:val="TableText"/>
              <w:jc w:val="right"/>
              <w:rPr>
                <w:lang w:eastAsia="en-AU"/>
              </w:rPr>
            </w:pPr>
            <w:r w:rsidRPr="005B0796">
              <w:rPr>
                <w:lang w:eastAsia="en-AU"/>
              </w:rPr>
              <w:t>18.2</w:t>
            </w:r>
          </w:p>
        </w:tc>
        <w:tc>
          <w:tcPr>
            <w:tcW w:w="1007" w:type="dxa"/>
            <w:hideMark/>
          </w:tcPr>
          <w:p w:rsidR="00164318" w:rsidRPr="005B0796" w:rsidRDefault="00164318" w:rsidP="00720C8C">
            <w:pPr>
              <w:pStyle w:val="TableText"/>
              <w:jc w:val="right"/>
              <w:rPr>
                <w:lang w:eastAsia="en-AU"/>
              </w:rPr>
            </w:pPr>
            <w:r w:rsidRPr="005B0796">
              <w:rPr>
                <w:lang w:eastAsia="en-AU"/>
              </w:rPr>
              <w:t>13.1, 24.7</w:t>
            </w:r>
          </w:p>
        </w:tc>
        <w:tc>
          <w:tcPr>
            <w:tcW w:w="1006" w:type="dxa"/>
            <w:noWrap/>
            <w:hideMark/>
          </w:tcPr>
          <w:p w:rsidR="00164318" w:rsidRPr="005B0796" w:rsidRDefault="00164318" w:rsidP="00720C8C">
            <w:pPr>
              <w:pStyle w:val="TableText"/>
              <w:jc w:val="right"/>
              <w:rPr>
                <w:lang w:eastAsia="en-AU"/>
              </w:rPr>
            </w:pPr>
            <w:r w:rsidRPr="005B0796">
              <w:rPr>
                <w:lang w:eastAsia="en-AU"/>
              </w:rPr>
              <w:t>426</w:t>
            </w:r>
          </w:p>
        </w:tc>
        <w:tc>
          <w:tcPr>
            <w:tcW w:w="1007" w:type="dxa"/>
            <w:hideMark/>
          </w:tcPr>
          <w:p w:rsidR="00164318" w:rsidRPr="005B0796" w:rsidRDefault="00164318" w:rsidP="00720C8C">
            <w:pPr>
              <w:pStyle w:val="TableText"/>
              <w:jc w:val="right"/>
              <w:rPr>
                <w:lang w:eastAsia="en-AU"/>
              </w:rPr>
            </w:pPr>
            <w:r w:rsidRPr="005B0796">
              <w:rPr>
                <w:lang w:eastAsia="en-AU"/>
              </w:rPr>
              <w:t>6.6</w:t>
            </w:r>
          </w:p>
        </w:tc>
        <w:tc>
          <w:tcPr>
            <w:tcW w:w="1006" w:type="dxa"/>
            <w:hideMark/>
          </w:tcPr>
          <w:p w:rsidR="00164318" w:rsidRPr="005B0796" w:rsidRDefault="00164318" w:rsidP="005C3E97">
            <w:pPr>
              <w:pStyle w:val="TableText"/>
              <w:jc w:val="right"/>
              <w:rPr>
                <w:lang w:eastAsia="en-AU"/>
              </w:rPr>
            </w:pPr>
            <w:r w:rsidRPr="005B0796">
              <w:rPr>
                <w:lang w:eastAsia="en-AU"/>
              </w:rPr>
              <w:t>3.3, 12.6</w:t>
            </w:r>
          </w:p>
        </w:tc>
        <w:tc>
          <w:tcPr>
            <w:tcW w:w="1007" w:type="dxa"/>
            <w:hideMark/>
          </w:tcPr>
          <w:p w:rsidR="00164318" w:rsidRPr="005B0796" w:rsidRDefault="00164318" w:rsidP="00720C8C">
            <w:pPr>
              <w:pStyle w:val="TableText"/>
              <w:jc w:val="right"/>
              <w:rPr>
                <w:lang w:eastAsia="en-AU"/>
              </w:rPr>
            </w:pPr>
            <w:r w:rsidRPr="005B0796">
              <w:rPr>
                <w:lang w:eastAsia="en-AU"/>
              </w:rPr>
              <w:t>474</w:t>
            </w:r>
          </w:p>
        </w:tc>
        <w:tc>
          <w:tcPr>
            <w:tcW w:w="1006" w:type="dxa"/>
            <w:hideMark/>
          </w:tcPr>
          <w:p w:rsidR="00164318" w:rsidRPr="005B0796" w:rsidRDefault="00164318" w:rsidP="00720C8C">
            <w:pPr>
              <w:pStyle w:val="TableText"/>
              <w:jc w:val="right"/>
              <w:rPr>
                <w:lang w:eastAsia="en-AU"/>
              </w:rPr>
            </w:pPr>
            <w:r w:rsidRPr="005B0796">
              <w:rPr>
                <w:lang w:eastAsia="en-AU"/>
              </w:rPr>
              <w:t>6.8</w:t>
            </w:r>
          </w:p>
        </w:tc>
        <w:tc>
          <w:tcPr>
            <w:tcW w:w="1007" w:type="dxa"/>
            <w:hideMark/>
          </w:tcPr>
          <w:p w:rsidR="00164318" w:rsidRPr="005B0796" w:rsidRDefault="00164318" w:rsidP="00720C8C">
            <w:pPr>
              <w:pStyle w:val="TableText"/>
              <w:jc w:val="right"/>
              <w:rPr>
                <w:lang w:eastAsia="en-AU"/>
              </w:rPr>
            </w:pPr>
            <w:r w:rsidRPr="005B0796">
              <w:rPr>
                <w:lang w:eastAsia="en-AU"/>
              </w:rPr>
              <w:t>3.4, 13.1</w:t>
            </w:r>
          </w:p>
        </w:tc>
      </w:tr>
      <w:tr w:rsidR="00164318" w:rsidRPr="005B0796" w:rsidTr="005C3E97">
        <w:trPr>
          <w:cantSplit/>
        </w:trPr>
        <w:tc>
          <w:tcPr>
            <w:tcW w:w="2448" w:type="dxa"/>
            <w:noWrap/>
            <w:hideMark/>
          </w:tcPr>
          <w:p w:rsidR="00164318" w:rsidRPr="005B0796" w:rsidRDefault="00164318" w:rsidP="00720C8C">
            <w:pPr>
              <w:pStyle w:val="TableText"/>
              <w:rPr>
                <w:lang w:eastAsia="en-AU"/>
              </w:rPr>
            </w:pPr>
            <w:r w:rsidRPr="005B0796">
              <w:rPr>
                <w:lang w:eastAsia="en-AU"/>
              </w:rPr>
              <w:t>Social phobia</w:t>
            </w:r>
            <w:r w:rsidRPr="005B0796">
              <w:rPr>
                <w:vertAlign w:val="superscript"/>
                <w:lang w:eastAsia="en-AU"/>
              </w:rPr>
              <w:t>d</w:t>
            </w:r>
          </w:p>
        </w:tc>
        <w:tc>
          <w:tcPr>
            <w:tcW w:w="1006" w:type="dxa"/>
            <w:noWrap/>
            <w:hideMark/>
          </w:tcPr>
          <w:p w:rsidR="00164318" w:rsidRPr="005B0796" w:rsidRDefault="00164318" w:rsidP="00720C8C">
            <w:pPr>
              <w:pStyle w:val="TableText"/>
              <w:jc w:val="right"/>
              <w:rPr>
                <w:lang w:eastAsia="en-AU"/>
              </w:rPr>
            </w:pPr>
            <w:r w:rsidRPr="005B0796">
              <w:rPr>
                <w:lang w:eastAsia="en-AU"/>
              </w:rPr>
              <w:t>1819</w:t>
            </w:r>
          </w:p>
        </w:tc>
        <w:tc>
          <w:tcPr>
            <w:tcW w:w="1006" w:type="dxa"/>
            <w:hideMark/>
          </w:tcPr>
          <w:p w:rsidR="00164318" w:rsidRPr="005B0796" w:rsidRDefault="00164318" w:rsidP="00720C8C">
            <w:pPr>
              <w:pStyle w:val="TableText"/>
              <w:jc w:val="right"/>
              <w:rPr>
                <w:lang w:eastAsia="en-AU"/>
              </w:rPr>
            </w:pPr>
            <w:r w:rsidRPr="005B0796">
              <w:rPr>
                <w:lang w:eastAsia="en-AU"/>
              </w:rPr>
              <w:t>15.9</w:t>
            </w:r>
          </w:p>
        </w:tc>
        <w:tc>
          <w:tcPr>
            <w:tcW w:w="1007" w:type="dxa"/>
            <w:hideMark/>
          </w:tcPr>
          <w:p w:rsidR="00164318" w:rsidRPr="005B0796" w:rsidRDefault="00164318" w:rsidP="00720C8C">
            <w:pPr>
              <w:pStyle w:val="TableText"/>
              <w:jc w:val="right"/>
              <w:rPr>
                <w:lang w:eastAsia="en-AU"/>
              </w:rPr>
            </w:pPr>
            <w:r w:rsidRPr="005B0796">
              <w:rPr>
                <w:lang w:eastAsia="en-AU"/>
              </w:rPr>
              <w:t>11.1, 22.2</w:t>
            </w:r>
          </w:p>
        </w:tc>
        <w:tc>
          <w:tcPr>
            <w:tcW w:w="1006" w:type="dxa"/>
            <w:noWrap/>
            <w:hideMark/>
          </w:tcPr>
          <w:p w:rsidR="00164318" w:rsidRPr="005B0796" w:rsidRDefault="00164318" w:rsidP="00720C8C">
            <w:pPr>
              <w:pStyle w:val="TableText"/>
              <w:jc w:val="right"/>
              <w:rPr>
                <w:lang w:eastAsia="en-AU"/>
              </w:rPr>
            </w:pPr>
            <w:r w:rsidRPr="005B0796">
              <w:rPr>
                <w:lang w:eastAsia="en-AU"/>
              </w:rPr>
              <w:t>638</w:t>
            </w:r>
          </w:p>
        </w:tc>
        <w:tc>
          <w:tcPr>
            <w:tcW w:w="1007" w:type="dxa"/>
            <w:hideMark/>
          </w:tcPr>
          <w:p w:rsidR="00164318" w:rsidRPr="005B0796" w:rsidRDefault="00164318" w:rsidP="00720C8C">
            <w:pPr>
              <w:pStyle w:val="TableText"/>
              <w:jc w:val="right"/>
              <w:rPr>
                <w:lang w:eastAsia="en-AU"/>
              </w:rPr>
            </w:pPr>
            <w:r w:rsidRPr="005B0796">
              <w:rPr>
                <w:lang w:eastAsia="en-AU"/>
              </w:rPr>
              <w:t>9.9</w:t>
            </w:r>
          </w:p>
        </w:tc>
        <w:tc>
          <w:tcPr>
            <w:tcW w:w="1006" w:type="dxa"/>
            <w:hideMark/>
          </w:tcPr>
          <w:p w:rsidR="00164318" w:rsidRPr="005B0796" w:rsidRDefault="00164318" w:rsidP="005C3E97">
            <w:pPr>
              <w:pStyle w:val="TableText"/>
              <w:jc w:val="right"/>
              <w:rPr>
                <w:lang w:eastAsia="en-AU"/>
              </w:rPr>
            </w:pPr>
            <w:r w:rsidRPr="005B0796">
              <w:rPr>
                <w:lang w:eastAsia="en-AU"/>
              </w:rPr>
              <w:t>6.1, 15.7</w:t>
            </w:r>
          </w:p>
        </w:tc>
        <w:tc>
          <w:tcPr>
            <w:tcW w:w="1007" w:type="dxa"/>
            <w:hideMark/>
          </w:tcPr>
          <w:p w:rsidR="00164318" w:rsidRPr="005B0796" w:rsidRDefault="00164318" w:rsidP="00720C8C">
            <w:pPr>
              <w:pStyle w:val="TableText"/>
              <w:jc w:val="right"/>
              <w:rPr>
                <w:lang w:eastAsia="en-AU"/>
              </w:rPr>
            </w:pPr>
            <w:r w:rsidRPr="005B0796">
              <w:rPr>
                <w:lang w:eastAsia="en-AU"/>
              </w:rPr>
              <w:t>244</w:t>
            </w:r>
          </w:p>
        </w:tc>
        <w:tc>
          <w:tcPr>
            <w:tcW w:w="1006" w:type="dxa"/>
            <w:hideMark/>
          </w:tcPr>
          <w:p w:rsidR="00164318" w:rsidRPr="005B0796" w:rsidRDefault="00164318" w:rsidP="00720C8C">
            <w:pPr>
              <w:pStyle w:val="TableText"/>
              <w:jc w:val="right"/>
              <w:rPr>
                <w:lang w:eastAsia="en-AU"/>
              </w:rPr>
            </w:pPr>
            <w:r w:rsidRPr="005B0796">
              <w:rPr>
                <w:lang w:eastAsia="en-AU"/>
              </w:rPr>
              <w:t>3.5</w:t>
            </w:r>
          </w:p>
        </w:tc>
        <w:tc>
          <w:tcPr>
            <w:tcW w:w="1007" w:type="dxa"/>
            <w:hideMark/>
          </w:tcPr>
          <w:p w:rsidR="00164318" w:rsidRPr="005B0796" w:rsidRDefault="00164318" w:rsidP="005C3E97">
            <w:pPr>
              <w:pStyle w:val="TableText"/>
              <w:jc w:val="right"/>
              <w:rPr>
                <w:lang w:eastAsia="en-AU"/>
              </w:rPr>
            </w:pPr>
            <w:r w:rsidRPr="005B0796">
              <w:rPr>
                <w:lang w:eastAsia="en-AU"/>
              </w:rPr>
              <w:t>2.1, 5.8</w:t>
            </w:r>
          </w:p>
        </w:tc>
      </w:tr>
      <w:tr w:rsidR="005C3E97" w:rsidRPr="005B0796" w:rsidTr="005C3E97">
        <w:trPr>
          <w:cnfStyle w:val="000000100000" w:firstRow="0" w:lastRow="0" w:firstColumn="0" w:lastColumn="0" w:oddVBand="0" w:evenVBand="0" w:oddHBand="1" w:evenHBand="0" w:firstRowFirstColumn="0" w:firstRowLastColumn="0" w:lastRowFirstColumn="0" w:lastRowLastColumn="0"/>
          <w:cantSplit/>
        </w:trPr>
        <w:tc>
          <w:tcPr>
            <w:tcW w:w="2448" w:type="dxa"/>
            <w:noWrap/>
            <w:hideMark/>
          </w:tcPr>
          <w:p w:rsidR="00164318" w:rsidRPr="005B0796" w:rsidRDefault="00164318" w:rsidP="00720C8C">
            <w:pPr>
              <w:pStyle w:val="TableText"/>
              <w:rPr>
                <w:lang w:eastAsia="en-AU"/>
              </w:rPr>
            </w:pPr>
            <w:r w:rsidRPr="005B0796">
              <w:rPr>
                <w:lang w:eastAsia="en-AU"/>
              </w:rPr>
              <w:t>Specific phobia</w:t>
            </w:r>
            <w:r w:rsidRPr="005B0796">
              <w:rPr>
                <w:vertAlign w:val="superscript"/>
                <w:lang w:eastAsia="en-AU"/>
              </w:rPr>
              <w:t>e</w:t>
            </w:r>
          </w:p>
        </w:tc>
        <w:tc>
          <w:tcPr>
            <w:tcW w:w="1006" w:type="dxa"/>
            <w:noWrap/>
            <w:hideMark/>
          </w:tcPr>
          <w:p w:rsidR="00164318" w:rsidRPr="005B0796" w:rsidRDefault="00164318" w:rsidP="00720C8C">
            <w:pPr>
              <w:pStyle w:val="TableText"/>
              <w:jc w:val="right"/>
              <w:rPr>
                <w:lang w:eastAsia="en-AU"/>
              </w:rPr>
            </w:pPr>
            <w:r w:rsidRPr="005B0796">
              <w:rPr>
                <w:lang w:eastAsia="en-AU"/>
              </w:rPr>
              <w:t>1373</w:t>
            </w:r>
          </w:p>
        </w:tc>
        <w:tc>
          <w:tcPr>
            <w:tcW w:w="1006" w:type="dxa"/>
            <w:hideMark/>
          </w:tcPr>
          <w:p w:rsidR="00164318" w:rsidRPr="005B0796" w:rsidRDefault="00164318" w:rsidP="00720C8C">
            <w:pPr>
              <w:pStyle w:val="TableText"/>
              <w:jc w:val="right"/>
              <w:rPr>
                <w:lang w:eastAsia="en-AU"/>
              </w:rPr>
            </w:pPr>
            <w:r w:rsidRPr="005B0796">
              <w:rPr>
                <w:lang w:eastAsia="en-AU"/>
              </w:rPr>
              <w:t>12.0</w:t>
            </w:r>
          </w:p>
        </w:tc>
        <w:tc>
          <w:tcPr>
            <w:tcW w:w="1007" w:type="dxa"/>
            <w:hideMark/>
          </w:tcPr>
          <w:p w:rsidR="00164318" w:rsidRPr="005B0796" w:rsidRDefault="00164318" w:rsidP="00720C8C">
            <w:pPr>
              <w:pStyle w:val="TableText"/>
              <w:jc w:val="right"/>
              <w:rPr>
                <w:lang w:eastAsia="en-AU"/>
              </w:rPr>
            </w:pPr>
            <w:r w:rsidRPr="005B0796">
              <w:rPr>
                <w:lang w:eastAsia="en-AU"/>
              </w:rPr>
              <w:t>8.3, 17.0</w:t>
            </w:r>
          </w:p>
        </w:tc>
        <w:tc>
          <w:tcPr>
            <w:tcW w:w="1006" w:type="dxa"/>
            <w:noWrap/>
            <w:hideMark/>
          </w:tcPr>
          <w:p w:rsidR="00164318" w:rsidRPr="005B0796" w:rsidRDefault="00164318" w:rsidP="00720C8C">
            <w:pPr>
              <w:pStyle w:val="TableText"/>
              <w:jc w:val="right"/>
              <w:rPr>
                <w:lang w:eastAsia="en-AU"/>
              </w:rPr>
            </w:pPr>
            <w:r w:rsidRPr="005B0796">
              <w:rPr>
                <w:lang w:eastAsia="en-AU"/>
              </w:rPr>
              <w:t>168</w:t>
            </w:r>
          </w:p>
        </w:tc>
        <w:tc>
          <w:tcPr>
            <w:tcW w:w="1007" w:type="dxa"/>
            <w:hideMark/>
          </w:tcPr>
          <w:p w:rsidR="00164318" w:rsidRPr="005B0796" w:rsidRDefault="00164318" w:rsidP="00720C8C">
            <w:pPr>
              <w:pStyle w:val="TableText"/>
              <w:jc w:val="right"/>
              <w:rPr>
                <w:lang w:eastAsia="en-AU"/>
              </w:rPr>
            </w:pPr>
            <w:r w:rsidRPr="005B0796">
              <w:rPr>
                <w:lang w:eastAsia="en-AU"/>
              </w:rPr>
              <w:t>2.6</w:t>
            </w:r>
          </w:p>
        </w:tc>
        <w:tc>
          <w:tcPr>
            <w:tcW w:w="1006" w:type="dxa"/>
            <w:hideMark/>
          </w:tcPr>
          <w:p w:rsidR="00164318" w:rsidRPr="005B0796" w:rsidRDefault="00164318" w:rsidP="005C3E97">
            <w:pPr>
              <w:pStyle w:val="TableText"/>
              <w:jc w:val="right"/>
              <w:rPr>
                <w:lang w:eastAsia="en-AU"/>
              </w:rPr>
            </w:pPr>
            <w:r w:rsidRPr="005B0796">
              <w:rPr>
                <w:lang w:eastAsia="en-AU"/>
              </w:rPr>
              <w:t>1.5, 4.5</w:t>
            </w:r>
          </w:p>
        </w:tc>
        <w:tc>
          <w:tcPr>
            <w:tcW w:w="1007" w:type="dxa"/>
            <w:hideMark/>
          </w:tcPr>
          <w:p w:rsidR="00164318" w:rsidRPr="005B0796" w:rsidRDefault="00164318" w:rsidP="00720C8C">
            <w:pPr>
              <w:pStyle w:val="TableText"/>
              <w:jc w:val="right"/>
              <w:rPr>
                <w:lang w:eastAsia="en-AU"/>
              </w:rPr>
            </w:pPr>
            <w:r w:rsidRPr="005B0796">
              <w:rPr>
                <w:lang w:eastAsia="en-AU"/>
              </w:rPr>
              <w:t>425</w:t>
            </w:r>
          </w:p>
        </w:tc>
        <w:tc>
          <w:tcPr>
            <w:tcW w:w="1006" w:type="dxa"/>
            <w:hideMark/>
          </w:tcPr>
          <w:p w:rsidR="00164318" w:rsidRPr="005B0796" w:rsidRDefault="00164318" w:rsidP="00720C8C">
            <w:pPr>
              <w:pStyle w:val="TableText"/>
              <w:jc w:val="right"/>
              <w:rPr>
                <w:lang w:eastAsia="en-AU"/>
              </w:rPr>
            </w:pPr>
            <w:r w:rsidRPr="005B0796">
              <w:rPr>
                <w:lang w:eastAsia="en-AU"/>
              </w:rPr>
              <w:t>6.1</w:t>
            </w:r>
          </w:p>
        </w:tc>
        <w:tc>
          <w:tcPr>
            <w:tcW w:w="1007" w:type="dxa"/>
            <w:hideMark/>
          </w:tcPr>
          <w:p w:rsidR="00164318" w:rsidRPr="005B0796" w:rsidRDefault="00164318" w:rsidP="00720C8C">
            <w:pPr>
              <w:pStyle w:val="TableText"/>
              <w:jc w:val="right"/>
              <w:rPr>
                <w:lang w:eastAsia="en-AU"/>
              </w:rPr>
            </w:pPr>
            <w:r w:rsidRPr="005B0796">
              <w:rPr>
                <w:lang w:eastAsia="en-AU"/>
              </w:rPr>
              <w:t>3.5, 10.6</w:t>
            </w:r>
          </w:p>
        </w:tc>
      </w:tr>
      <w:tr w:rsidR="00164318" w:rsidRPr="005B0796" w:rsidTr="005C3E97">
        <w:trPr>
          <w:cantSplit/>
        </w:trPr>
        <w:tc>
          <w:tcPr>
            <w:tcW w:w="2448" w:type="dxa"/>
            <w:noWrap/>
            <w:hideMark/>
          </w:tcPr>
          <w:p w:rsidR="00164318" w:rsidRPr="005B0796" w:rsidRDefault="00164318" w:rsidP="00720C8C">
            <w:pPr>
              <w:pStyle w:val="TableText"/>
              <w:rPr>
                <w:lang w:eastAsia="en-AU"/>
              </w:rPr>
            </w:pPr>
            <w:r w:rsidRPr="005B0796">
              <w:rPr>
                <w:lang w:eastAsia="en-AU"/>
              </w:rPr>
              <w:t>Generalised anxiety disorder</w:t>
            </w:r>
            <w:r w:rsidRPr="005B0796">
              <w:rPr>
                <w:vertAlign w:val="superscript"/>
                <w:lang w:eastAsia="en-AU"/>
              </w:rPr>
              <w:t>f</w:t>
            </w:r>
          </w:p>
        </w:tc>
        <w:tc>
          <w:tcPr>
            <w:tcW w:w="1006" w:type="dxa"/>
            <w:noWrap/>
            <w:hideMark/>
          </w:tcPr>
          <w:p w:rsidR="00164318" w:rsidRPr="005B0796" w:rsidRDefault="00164318" w:rsidP="00720C8C">
            <w:pPr>
              <w:pStyle w:val="TableText"/>
              <w:jc w:val="right"/>
              <w:rPr>
                <w:lang w:eastAsia="en-AU"/>
              </w:rPr>
            </w:pPr>
            <w:r w:rsidRPr="005B0796">
              <w:rPr>
                <w:lang w:eastAsia="en-AU"/>
              </w:rPr>
              <w:t>709</w:t>
            </w:r>
          </w:p>
        </w:tc>
        <w:tc>
          <w:tcPr>
            <w:tcW w:w="1006" w:type="dxa"/>
            <w:hideMark/>
          </w:tcPr>
          <w:p w:rsidR="00164318" w:rsidRPr="005B0796" w:rsidRDefault="00164318" w:rsidP="00720C8C">
            <w:pPr>
              <w:pStyle w:val="TableText"/>
              <w:jc w:val="right"/>
              <w:rPr>
                <w:lang w:eastAsia="en-AU"/>
              </w:rPr>
            </w:pPr>
            <w:r w:rsidRPr="005B0796">
              <w:rPr>
                <w:lang w:eastAsia="en-AU"/>
              </w:rPr>
              <w:t>6.2</w:t>
            </w:r>
          </w:p>
        </w:tc>
        <w:tc>
          <w:tcPr>
            <w:tcW w:w="1007" w:type="dxa"/>
            <w:hideMark/>
          </w:tcPr>
          <w:p w:rsidR="00164318" w:rsidRPr="005B0796" w:rsidRDefault="00164318" w:rsidP="00720C8C">
            <w:pPr>
              <w:pStyle w:val="TableText"/>
              <w:jc w:val="right"/>
              <w:rPr>
                <w:lang w:eastAsia="en-AU"/>
              </w:rPr>
            </w:pPr>
            <w:r w:rsidRPr="005B0796">
              <w:rPr>
                <w:lang w:eastAsia="en-AU"/>
              </w:rPr>
              <w:t>3.5, 10.8</w:t>
            </w:r>
          </w:p>
        </w:tc>
        <w:tc>
          <w:tcPr>
            <w:tcW w:w="1006" w:type="dxa"/>
            <w:noWrap/>
            <w:hideMark/>
          </w:tcPr>
          <w:p w:rsidR="00164318" w:rsidRPr="005B0796" w:rsidRDefault="00164318" w:rsidP="00720C8C">
            <w:pPr>
              <w:pStyle w:val="TableText"/>
              <w:jc w:val="right"/>
              <w:rPr>
                <w:lang w:eastAsia="en-AU"/>
              </w:rPr>
            </w:pPr>
            <w:r w:rsidRPr="005B0796">
              <w:rPr>
                <w:lang w:eastAsia="en-AU"/>
              </w:rPr>
              <w:t>77</w:t>
            </w:r>
          </w:p>
        </w:tc>
        <w:tc>
          <w:tcPr>
            <w:tcW w:w="1007" w:type="dxa"/>
            <w:hideMark/>
          </w:tcPr>
          <w:p w:rsidR="00164318" w:rsidRPr="005B0796" w:rsidRDefault="00164318" w:rsidP="00720C8C">
            <w:pPr>
              <w:pStyle w:val="TableText"/>
              <w:jc w:val="right"/>
              <w:rPr>
                <w:lang w:eastAsia="en-AU"/>
              </w:rPr>
            </w:pPr>
            <w:r w:rsidRPr="005B0796">
              <w:rPr>
                <w:lang w:eastAsia="en-AU"/>
              </w:rPr>
              <w:t>1.2</w:t>
            </w:r>
          </w:p>
        </w:tc>
        <w:tc>
          <w:tcPr>
            <w:tcW w:w="1006" w:type="dxa"/>
            <w:hideMark/>
          </w:tcPr>
          <w:p w:rsidR="00164318" w:rsidRPr="005B0796" w:rsidRDefault="00164318" w:rsidP="005C3E97">
            <w:pPr>
              <w:pStyle w:val="TableText"/>
              <w:jc w:val="right"/>
              <w:rPr>
                <w:lang w:eastAsia="en-AU"/>
              </w:rPr>
            </w:pPr>
            <w:r w:rsidRPr="005B0796">
              <w:rPr>
                <w:lang w:eastAsia="en-AU"/>
              </w:rPr>
              <w:t>0.5, 2.8</w:t>
            </w:r>
          </w:p>
        </w:tc>
        <w:tc>
          <w:tcPr>
            <w:tcW w:w="1007" w:type="dxa"/>
            <w:hideMark/>
          </w:tcPr>
          <w:p w:rsidR="00164318" w:rsidRPr="005B0796" w:rsidRDefault="00164318" w:rsidP="00720C8C">
            <w:pPr>
              <w:pStyle w:val="TableText"/>
              <w:jc w:val="right"/>
              <w:rPr>
                <w:lang w:eastAsia="en-AU"/>
              </w:rPr>
            </w:pPr>
            <w:r w:rsidRPr="005B0796">
              <w:rPr>
                <w:lang w:eastAsia="en-AU"/>
              </w:rPr>
              <w:t>139</w:t>
            </w:r>
          </w:p>
        </w:tc>
        <w:tc>
          <w:tcPr>
            <w:tcW w:w="1006" w:type="dxa"/>
            <w:hideMark/>
          </w:tcPr>
          <w:p w:rsidR="00164318" w:rsidRPr="005B0796" w:rsidRDefault="00164318" w:rsidP="00720C8C">
            <w:pPr>
              <w:pStyle w:val="TableText"/>
              <w:jc w:val="right"/>
              <w:rPr>
                <w:lang w:eastAsia="en-AU"/>
              </w:rPr>
            </w:pPr>
            <w:r w:rsidRPr="005B0796">
              <w:rPr>
                <w:lang w:eastAsia="en-AU"/>
              </w:rPr>
              <w:t>2.0</w:t>
            </w:r>
          </w:p>
        </w:tc>
        <w:tc>
          <w:tcPr>
            <w:tcW w:w="1007" w:type="dxa"/>
            <w:hideMark/>
          </w:tcPr>
          <w:p w:rsidR="00164318" w:rsidRPr="005B0796" w:rsidRDefault="00164318" w:rsidP="00720C8C">
            <w:pPr>
              <w:pStyle w:val="TableText"/>
              <w:jc w:val="right"/>
              <w:rPr>
                <w:lang w:eastAsia="en-AU"/>
              </w:rPr>
            </w:pPr>
            <w:r w:rsidRPr="005B0796">
              <w:rPr>
                <w:lang w:eastAsia="en-AU"/>
              </w:rPr>
              <w:t>0.4, 8.6</w:t>
            </w:r>
          </w:p>
        </w:tc>
      </w:tr>
      <w:tr w:rsidR="005C3E97" w:rsidRPr="005B0796" w:rsidTr="005C3E97">
        <w:trPr>
          <w:cnfStyle w:val="000000100000" w:firstRow="0" w:lastRow="0" w:firstColumn="0" w:lastColumn="0" w:oddVBand="0" w:evenVBand="0" w:oddHBand="1" w:evenHBand="0" w:firstRowFirstColumn="0" w:firstRowLastColumn="0" w:lastRowFirstColumn="0" w:lastRowLastColumn="0"/>
          <w:cantSplit/>
        </w:trPr>
        <w:tc>
          <w:tcPr>
            <w:tcW w:w="2448" w:type="dxa"/>
            <w:noWrap/>
            <w:hideMark/>
          </w:tcPr>
          <w:p w:rsidR="00164318" w:rsidRPr="005B0796" w:rsidRDefault="00164318" w:rsidP="00720C8C">
            <w:pPr>
              <w:pStyle w:val="TableText"/>
              <w:rPr>
                <w:lang w:eastAsia="en-AU"/>
              </w:rPr>
            </w:pPr>
            <w:r w:rsidRPr="005B0796">
              <w:rPr>
                <w:lang w:eastAsia="en-AU"/>
              </w:rPr>
              <w:t>Obsessive-compulsive disorder</w:t>
            </w:r>
          </w:p>
        </w:tc>
        <w:tc>
          <w:tcPr>
            <w:tcW w:w="1006" w:type="dxa"/>
            <w:noWrap/>
            <w:hideMark/>
          </w:tcPr>
          <w:p w:rsidR="00164318" w:rsidRPr="005B0796" w:rsidRDefault="00164318" w:rsidP="00720C8C">
            <w:pPr>
              <w:pStyle w:val="TableText"/>
              <w:jc w:val="right"/>
              <w:rPr>
                <w:lang w:eastAsia="en-AU"/>
              </w:rPr>
            </w:pPr>
            <w:r w:rsidRPr="005B0796">
              <w:rPr>
                <w:lang w:eastAsia="en-AU"/>
              </w:rPr>
              <w:t>332</w:t>
            </w:r>
          </w:p>
        </w:tc>
        <w:tc>
          <w:tcPr>
            <w:tcW w:w="1006" w:type="dxa"/>
            <w:hideMark/>
          </w:tcPr>
          <w:p w:rsidR="00164318" w:rsidRPr="005B0796" w:rsidRDefault="00164318" w:rsidP="00720C8C">
            <w:pPr>
              <w:pStyle w:val="TableText"/>
              <w:jc w:val="right"/>
              <w:rPr>
                <w:lang w:eastAsia="en-AU"/>
              </w:rPr>
            </w:pPr>
            <w:r w:rsidRPr="005B0796">
              <w:rPr>
                <w:lang w:eastAsia="en-AU"/>
              </w:rPr>
              <w:t>2.9</w:t>
            </w:r>
          </w:p>
        </w:tc>
        <w:tc>
          <w:tcPr>
            <w:tcW w:w="1007" w:type="dxa"/>
            <w:hideMark/>
          </w:tcPr>
          <w:p w:rsidR="00164318" w:rsidRPr="005B0796" w:rsidRDefault="00164318" w:rsidP="00720C8C">
            <w:pPr>
              <w:pStyle w:val="TableText"/>
              <w:jc w:val="right"/>
              <w:rPr>
                <w:lang w:eastAsia="en-AU"/>
              </w:rPr>
            </w:pPr>
            <w:r w:rsidRPr="005B0796">
              <w:rPr>
                <w:lang w:eastAsia="en-AU"/>
              </w:rPr>
              <w:t>1.4, 6.0</w:t>
            </w:r>
          </w:p>
        </w:tc>
        <w:tc>
          <w:tcPr>
            <w:tcW w:w="1006" w:type="dxa"/>
            <w:noWrap/>
            <w:hideMark/>
          </w:tcPr>
          <w:p w:rsidR="00164318" w:rsidRPr="005B0796" w:rsidRDefault="00164318" w:rsidP="00720C8C">
            <w:pPr>
              <w:pStyle w:val="TableText"/>
              <w:jc w:val="right"/>
              <w:rPr>
                <w:lang w:eastAsia="en-AU"/>
              </w:rPr>
            </w:pPr>
            <w:r w:rsidRPr="005B0796">
              <w:rPr>
                <w:lang w:eastAsia="en-AU"/>
              </w:rPr>
              <w:t>309</w:t>
            </w:r>
          </w:p>
        </w:tc>
        <w:tc>
          <w:tcPr>
            <w:tcW w:w="1007" w:type="dxa"/>
            <w:hideMark/>
          </w:tcPr>
          <w:p w:rsidR="00164318" w:rsidRPr="005B0796" w:rsidRDefault="00164318" w:rsidP="00720C8C">
            <w:pPr>
              <w:pStyle w:val="TableText"/>
              <w:jc w:val="right"/>
              <w:rPr>
                <w:lang w:eastAsia="en-AU"/>
              </w:rPr>
            </w:pPr>
            <w:r w:rsidRPr="005B0796">
              <w:rPr>
                <w:lang w:eastAsia="en-AU"/>
              </w:rPr>
              <w:t>4.8</w:t>
            </w:r>
          </w:p>
        </w:tc>
        <w:tc>
          <w:tcPr>
            <w:tcW w:w="1006" w:type="dxa"/>
            <w:hideMark/>
          </w:tcPr>
          <w:p w:rsidR="00164318" w:rsidRPr="005B0796" w:rsidRDefault="00164318" w:rsidP="005C3E97">
            <w:pPr>
              <w:pStyle w:val="TableText"/>
              <w:jc w:val="right"/>
              <w:rPr>
                <w:lang w:eastAsia="en-AU"/>
              </w:rPr>
            </w:pPr>
            <w:r w:rsidRPr="005B0796">
              <w:rPr>
                <w:lang w:eastAsia="en-AU"/>
              </w:rPr>
              <w:t>2.1, 10.5</w:t>
            </w:r>
          </w:p>
        </w:tc>
        <w:tc>
          <w:tcPr>
            <w:tcW w:w="1007" w:type="dxa"/>
            <w:hideMark/>
          </w:tcPr>
          <w:p w:rsidR="00164318" w:rsidRPr="005B0796" w:rsidRDefault="00164318" w:rsidP="00720C8C">
            <w:pPr>
              <w:pStyle w:val="TableText"/>
              <w:jc w:val="right"/>
              <w:rPr>
                <w:lang w:eastAsia="en-AU"/>
              </w:rPr>
            </w:pPr>
            <w:r w:rsidRPr="005B0796">
              <w:rPr>
                <w:lang w:eastAsia="en-AU"/>
              </w:rPr>
              <w:t>383</w:t>
            </w:r>
          </w:p>
        </w:tc>
        <w:tc>
          <w:tcPr>
            <w:tcW w:w="1006" w:type="dxa"/>
            <w:hideMark/>
          </w:tcPr>
          <w:p w:rsidR="00164318" w:rsidRPr="005B0796" w:rsidRDefault="00164318" w:rsidP="00720C8C">
            <w:pPr>
              <w:pStyle w:val="TableText"/>
              <w:jc w:val="right"/>
              <w:rPr>
                <w:lang w:eastAsia="en-AU"/>
              </w:rPr>
            </w:pPr>
            <w:r w:rsidRPr="005B0796">
              <w:rPr>
                <w:lang w:eastAsia="en-AU"/>
              </w:rPr>
              <w:t>5.5</w:t>
            </w:r>
          </w:p>
        </w:tc>
        <w:tc>
          <w:tcPr>
            <w:tcW w:w="1007" w:type="dxa"/>
            <w:hideMark/>
          </w:tcPr>
          <w:p w:rsidR="00164318" w:rsidRPr="005B0796" w:rsidRDefault="00164318" w:rsidP="00720C8C">
            <w:pPr>
              <w:pStyle w:val="TableText"/>
              <w:jc w:val="right"/>
              <w:rPr>
                <w:lang w:eastAsia="en-AU"/>
              </w:rPr>
            </w:pPr>
            <w:r w:rsidRPr="005B0796">
              <w:rPr>
                <w:lang w:eastAsia="en-AU"/>
              </w:rPr>
              <w:t>2.3, 12.7</w:t>
            </w:r>
          </w:p>
        </w:tc>
      </w:tr>
      <w:tr w:rsidR="00164318" w:rsidRPr="005B0796" w:rsidTr="005C3E97">
        <w:trPr>
          <w:cantSplit/>
        </w:trPr>
        <w:tc>
          <w:tcPr>
            <w:tcW w:w="2448" w:type="dxa"/>
            <w:noWrap/>
            <w:hideMark/>
          </w:tcPr>
          <w:p w:rsidR="00164318" w:rsidRPr="005B0796" w:rsidRDefault="00164318" w:rsidP="00720C8C">
            <w:pPr>
              <w:pStyle w:val="TableText"/>
              <w:rPr>
                <w:lang w:eastAsia="en-AU"/>
              </w:rPr>
            </w:pPr>
            <w:r w:rsidRPr="005B0796">
              <w:rPr>
                <w:lang w:eastAsia="en-AU"/>
              </w:rPr>
              <w:t>Posttraumatic stress disorder</w:t>
            </w:r>
            <w:r w:rsidRPr="005B0796">
              <w:rPr>
                <w:vertAlign w:val="superscript"/>
                <w:lang w:eastAsia="en-AU"/>
              </w:rPr>
              <w:t>g</w:t>
            </w:r>
          </w:p>
        </w:tc>
        <w:tc>
          <w:tcPr>
            <w:tcW w:w="1006" w:type="dxa"/>
            <w:noWrap/>
            <w:hideMark/>
          </w:tcPr>
          <w:p w:rsidR="00164318" w:rsidRPr="005B0796" w:rsidRDefault="00164318" w:rsidP="00720C8C">
            <w:pPr>
              <w:pStyle w:val="TableText"/>
              <w:jc w:val="right"/>
              <w:rPr>
                <w:lang w:eastAsia="en-AU"/>
              </w:rPr>
            </w:pPr>
            <w:r w:rsidRPr="005B0796">
              <w:rPr>
                <w:lang w:eastAsia="en-AU"/>
              </w:rPr>
              <w:t>2437</w:t>
            </w:r>
          </w:p>
        </w:tc>
        <w:tc>
          <w:tcPr>
            <w:tcW w:w="1006" w:type="dxa"/>
            <w:hideMark/>
          </w:tcPr>
          <w:p w:rsidR="00164318" w:rsidRPr="005B0796" w:rsidRDefault="00164318" w:rsidP="00720C8C">
            <w:pPr>
              <w:pStyle w:val="TableText"/>
              <w:jc w:val="right"/>
              <w:rPr>
                <w:lang w:eastAsia="en-AU"/>
              </w:rPr>
            </w:pPr>
            <w:r w:rsidRPr="005B0796">
              <w:rPr>
                <w:lang w:eastAsia="en-AU"/>
              </w:rPr>
              <w:t>21.3</w:t>
            </w:r>
          </w:p>
        </w:tc>
        <w:tc>
          <w:tcPr>
            <w:tcW w:w="1007" w:type="dxa"/>
            <w:hideMark/>
          </w:tcPr>
          <w:p w:rsidR="00164318" w:rsidRPr="005B0796" w:rsidRDefault="00164318" w:rsidP="00720C8C">
            <w:pPr>
              <w:pStyle w:val="TableText"/>
              <w:jc w:val="right"/>
              <w:rPr>
                <w:lang w:eastAsia="en-AU"/>
              </w:rPr>
            </w:pPr>
            <w:r w:rsidRPr="005B0796">
              <w:rPr>
                <w:lang w:eastAsia="en-AU"/>
              </w:rPr>
              <w:t>16.0, 27.8</w:t>
            </w:r>
          </w:p>
        </w:tc>
        <w:tc>
          <w:tcPr>
            <w:tcW w:w="1006" w:type="dxa"/>
            <w:noWrap/>
            <w:hideMark/>
          </w:tcPr>
          <w:p w:rsidR="00164318" w:rsidRPr="005B0796" w:rsidRDefault="00164318" w:rsidP="00720C8C">
            <w:pPr>
              <w:pStyle w:val="TableText"/>
              <w:jc w:val="right"/>
              <w:rPr>
                <w:lang w:eastAsia="en-AU"/>
              </w:rPr>
            </w:pPr>
            <w:r w:rsidRPr="005B0796">
              <w:rPr>
                <w:lang w:eastAsia="en-AU"/>
              </w:rPr>
              <w:t>1006</w:t>
            </w:r>
          </w:p>
        </w:tc>
        <w:tc>
          <w:tcPr>
            <w:tcW w:w="1007" w:type="dxa"/>
            <w:hideMark/>
          </w:tcPr>
          <w:p w:rsidR="00164318" w:rsidRPr="005B0796" w:rsidRDefault="00164318" w:rsidP="00720C8C">
            <w:pPr>
              <w:pStyle w:val="TableText"/>
              <w:jc w:val="right"/>
              <w:rPr>
                <w:lang w:eastAsia="en-AU"/>
              </w:rPr>
            </w:pPr>
            <w:r w:rsidRPr="005B0796">
              <w:rPr>
                <w:lang w:eastAsia="en-AU"/>
              </w:rPr>
              <w:t>15.6</w:t>
            </w:r>
          </w:p>
        </w:tc>
        <w:tc>
          <w:tcPr>
            <w:tcW w:w="1006" w:type="dxa"/>
            <w:hideMark/>
          </w:tcPr>
          <w:p w:rsidR="00164318" w:rsidRPr="005B0796" w:rsidRDefault="00164318" w:rsidP="00720C8C">
            <w:pPr>
              <w:pStyle w:val="TableText"/>
              <w:jc w:val="right"/>
              <w:rPr>
                <w:lang w:eastAsia="en-AU"/>
              </w:rPr>
            </w:pPr>
            <w:r w:rsidRPr="005B0796">
              <w:rPr>
                <w:lang w:eastAsia="en-AU"/>
              </w:rPr>
              <w:t>11.1, 21.5</w:t>
            </w:r>
          </w:p>
        </w:tc>
        <w:tc>
          <w:tcPr>
            <w:tcW w:w="1007" w:type="dxa"/>
            <w:hideMark/>
          </w:tcPr>
          <w:p w:rsidR="00164318" w:rsidRPr="005B0796" w:rsidRDefault="00164318" w:rsidP="00720C8C">
            <w:pPr>
              <w:pStyle w:val="TableText"/>
              <w:jc w:val="right"/>
              <w:rPr>
                <w:lang w:eastAsia="en-AU"/>
              </w:rPr>
            </w:pPr>
            <w:r w:rsidRPr="005B0796">
              <w:rPr>
                <w:lang w:eastAsia="en-AU"/>
              </w:rPr>
              <w:t>948</w:t>
            </w:r>
          </w:p>
        </w:tc>
        <w:tc>
          <w:tcPr>
            <w:tcW w:w="1006" w:type="dxa"/>
            <w:hideMark/>
          </w:tcPr>
          <w:p w:rsidR="00164318" w:rsidRPr="005B0796" w:rsidRDefault="00164318" w:rsidP="00720C8C">
            <w:pPr>
              <w:pStyle w:val="TableText"/>
              <w:jc w:val="right"/>
              <w:rPr>
                <w:lang w:eastAsia="en-AU"/>
              </w:rPr>
            </w:pPr>
            <w:r w:rsidRPr="005B0796">
              <w:rPr>
                <w:lang w:eastAsia="en-AU"/>
              </w:rPr>
              <w:t>13.6</w:t>
            </w:r>
          </w:p>
        </w:tc>
        <w:tc>
          <w:tcPr>
            <w:tcW w:w="1007" w:type="dxa"/>
            <w:hideMark/>
          </w:tcPr>
          <w:p w:rsidR="00164318" w:rsidRPr="005B0796" w:rsidRDefault="00164318" w:rsidP="00720C8C">
            <w:pPr>
              <w:pStyle w:val="TableText"/>
              <w:jc w:val="right"/>
              <w:rPr>
                <w:lang w:eastAsia="en-AU"/>
              </w:rPr>
            </w:pPr>
            <w:r w:rsidRPr="005B0796">
              <w:rPr>
                <w:lang w:eastAsia="en-AU"/>
              </w:rPr>
              <w:t>8.7, 20.6</w:t>
            </w:r>
          </w:p>
        </w:tc>
      </w:tr>
      <w:tr w:rsidR="005C3E97" w:rsidRPr="005B0796" w:rsidTr="005C3E97">
        <w:trPr>
          <w:cnfStyle w:val="000000100000" w:firstRow="0" w:lastRow="0" w:firstColumn="0" w:lastColumn="0" w:oddVBand="0" w:evenVBand="0" w:oddHBand="1" w:evenHBand="0" w:firstRowFirstColumn="0" w:firstRowLastColumn="0" w:lastRowFirstColumn="0" w:lastRowLastColumn="0"/>
          <w:cantSplit/>
        </w:trPr>
        <w:tc>
          <w:tcPr>
            <w:tcW w:w="2448" w:type="dxa"/>
            <w:noWrap/>
            <w:hideMark/>
          </w:tcPr>
          <w:p w:rsidR="00164318" w:rsidRPr="005B0796" w:rsidRDefault="00164318" w:rsidP="00720C8C">
            <w:pPr>
              <w:pStyle w:val="TableText"/>
              <w:rPr>
                <w:lang w:eastAsia="en-AU"/>
              </w:rPr>
            </w:pPr>
            <w:r w:rsidRPr="005B0796">
              <w:rPr>
                <w:lang w:eastAsia="en-AU"/>
              </w:rPr>
              <w:t>Any anxiety disorder</w:t>
            </w:r>
            <w:r w:rsidRPr="005B0796">
              <w:rPr>
                <w:vertAlign w:val="superscript"/>
                <w:lang w:eastAsia="en-AU"/>
              </w:rPr>
              <w:t>h</w:t>
            </w:r>
          </w:p>
        </w:tc>
        <w:tc>
          <w:tcPr>
            <w:tcW w:w="1006" w:type="dxa"/>
            <w:noWrap/>
            <w:hideMark/>
          </w:tcPr>
          <w:p w:rsidR="00164318" w:rsidRPr="005B0796" w:rsidRDefault="00164318" w:rsidP="00720C8C">
            <w:pPr>
              <w:pStyle w:val="TableText"/>
              <w:jc w:val="right"/>
              <w:rPr>
                <w:lang w:eastAsia="en-AU"/>
              </w:rPr>
            </w:pPr>
            <w:r w:rsidRPr="005B0796">
              <w:rPr>
                <w:lang w:eastAsia="en-AU"/>
              </w:rPr>
              <w:t>5102</w:t>
            </w:r>
          </w:p>
        </w:tc>
        <w:tc>
          <w:tcPr>
            <w:tcW w:w="1006" w:type="dxa"/>
            <w:hideMark/>
          </w:tcPr>
          <w:p w:rsidR="00164318" w:rsidRPr="005B0796" w:rsidRDefault="00164318" w:rsidP="00720C8C">
            <w:pPr>
              <w:pStyle w:val="TableText"/>
              <w:jc w:val="right"/>
              <w:rPr>
                <w:lang w:eastAsia="en-AU"/>
              </w:rPr>
            </w:pPr>
            <w:r w:rsidRPr="005B0796">
              <w:rPr>
                <w:lang w:eastAsia="en-AU"/>
              </w:rPr>
              <w:t>44.6</w:t>
            </w:r>
          </w:p>
        </w:tc>
        <w:tc>
          <w:tcPr>
            <w:tcW w:w="1007" w:type="dxa"/>
            <w:hideMark/>
          </w:tcPr>
          <w:p w:rsidR="00164318" w:rsidRPr="005B0796" w:rsidRDefault="00164318" w:rsidP="00720C8C">
            <w:pPr>
              <w:pStyle w:val="TableText"/>
              <w:jc w:val="right"/>
              <w:rPr>
                <w:lang w:eastAsia="en-AU"/>
              </w:rPr>
            </w:pPr>
            <w:r w:rsidRPr="005B0796">
              <w:rPr>
                <w:lang w:eastAsia="en-AU"/>
              </w:rPr>
              <w:t>37.2, 52.2</w:t>
            </w:r>
          </w:p>
        </w:tc>
        <w:tc>
          <w:tcPr>
            <w:tcW w:w="1006" w:type="dxa"/>
            <w:noWrap/>
            <w:hideMark/>
          </w:tcPr>
          <w:p w:rsidR="00164318" w:rsidRPr="005B0796" w:rsidRDefault="00164318" w:rsidP="00720C8C">
            <w:pPr>
              <w:pStyle w:val="TableText"/>
              <w:jc w:val="right"/>
              <w:rPr>
                <w:lang w:eastAsia="en-AU"/>
              </w:rPr>
            </w:pPr>
            <w:r w:rsidRPr="005B0796">
              <w:rPr>
                <w:lang w:eastAsia="en-AU"/>
              </w:rPr>
              <w:t>1902</w:t>
            </w:r>
          </w:p>
        </w:tc>
        <w:tc>
          <w:tcPr>
            <w:tcW w:w="1007" w:type="dxa"/>
            <w:hideMark/>
          </w:tcPr>
          <w:p w:rsidR="00164318" w:rsidRPr="005B0796" w:rsidRDefault="00164318" w:rsidP="00720C8C">
            <w:pPr>
              <w:pStyle w:val="TableText"/>
              <w:jc w:val="right"/>
              <w:rPr>
                <w:lang w:eastAsia="en-AU"/>
              </w:rPr>
            </w:pPr>
            <w:r w:rsidRPr="005B0796">
              <w:rPr>
                <w:lang w:eastAsia="en-AU"/>
              </w:rPr>
              <w:t>29.5</w:t>
            </w:r>
          </w:p>
        </w:tc>
        <w:tc>
          <w:tcPr>
            <w:tcW w:w="1006" w:type="dxa"/>
            <w:hideMark/>
          </w:tcPr>
          <w:p w:rsidR="00164318" w:rsidRPr="005B0796" w:rsidRDefault="00164318" w:rsidP="00720C8C">
            <w:pPr>
              <w:pStyle w:val="TableText"/>
              <w:jc w:val="right"/>
              <w:rPr>
                <w:lang w:eastAsia="en-AU"/>
              </w:rPr>
            </w:pPr>
            <w:r w:rsidRPr="005B0796">
              <w:rPr>
                <w:lang w:eastAsia="en-AU"/>
              </w:rPr>
              <w:t>22.5, 37.5</w:t>
            </w:r>
          </w:p>
        </w:tc>
        <w:tc>
          <w:tcPr>
            <w:tcW w:w="1007" w:type="dxa"/>
            <w:hideMark/>
          </w:tcPr>
          <w:p w:rsidR="00164318" w:rsidRPr="005B0796" w:rsidRDefault="00164318" w:rsidP="00720C8C">
            <w:pPr>
              <w:pStyle w:val="TableText"/>
              <w:jc w:val="right"/>
              <w:rPr>
                <w:lang w:eastAsia="en-AU"/>
              </w:rPr>
            </w:pPr>
            <w:r w:rsidRPr="005B0796">
              <w:rPr>
                <w:lang w:eastAsia="en-AU"/>
              </w:rPr>
              <w:t>2223</w:t>
            </w:r>
          </w:p>
        </w:tc>
        <w:tc>
          <w:tcPr>
            <w:tcW w:w="1006" w:type="dxa"/>
            <w:hideMark/>
          </w:tcPr>
          <w:p w:rsidR="00164318" w:rsidRPr="005B0796" w:rsidRDefault="00164318" w:rsidP="00720C8C">
            <w:pPr>
              <w:pStyle w:val="TableText"/>
              <w:jc w:val="right"/>
              <w:rPr>
                <w:lang w:eastAsia="en-AU"/>
              </w:rPr>
            </w:pPr>
            <w:r w:rsidRPr="005B0796">
              <w:rPr>
                <w:lang w:eastAsia="en-AU"/>
              </w:rPr>
              <w:t>31.9</w:t>
            </w:r>
          </w:p>
        </w:tc>
        <w:tc>
          <w:tcPr>
            <w:tcW w:w="1007" w:type="dxa"/>
            <w:hideMark/>
          </w:tcPr>
          <w:p w:rsidR="00164318" w:rsidRPr="005B0796" w:rsidRDefault="00164318" w:rsidP="00720C8C">
            <w:pPr>
              <w:pStyle w:val="TableText"/>
              <w:jc w:val="right"/>
              <w:rPr>
                <w:lang w:eastAsia="en-AU"/>
              </w:rPr>
            </w:pPr>
            <w:r w:rsidRPr="005B0796">
              <w:rPr>
                <w:lang w:eastAsia="en-AU"/>
              </w:rPr>
              <w:t>24.9, 39.9</w:t>
            </w:r>
          </w:p>
        </w:tc>
      </w:tr>
    </w:tbl>
    <w:p w:rsidR="00EF53A1" w:rsidRPr="005B0796" w:rsidRDefault="00EF53A1" w:rsidP="00EF53A1">
      <w:pPr>
        <w:pStyle w:val="TableNotes"/>
      </w:pPr>
      <w:bookmarkStart w:id="258" w:name="_Ref486412984"/>
      <w:bookmarkStart w:id="259" w:name="_Toc487014349"/>
      <w:r w:rsidRPr="005B0796">
        <w:rPr>
          <w:vertAlign w:val="superscript"/>
        </w:rPr>
        <w:t>a</w:t>
      </w:r>
      <w:r w:rsidRPr="005B0796">
        <w:t xml:space="preserve"> Ex-Serving vs Inactive: OR 4.4, 95% CI 2.2, 8.5; Ex-Serving vs Active: OR 2.1, 95% CI 1.1, 4.2</w:t>
      </w:r>
    </w:p>
    <w:p w:rsidR="00EF53A1" w:rsidRPr="005B0796" w:rsidRDefault="00EF53A1" w:rsidP="00EF53A1">
      <w:pPr>
        <w:pStyle w:val="TableNotes"/>
      </w:pPr>
      <w:r w:rsidRPr="005B0796">
        <w:rPr>
          <w:vertAlign w:val="superscript"/>
        </w:rPr>
        <w:t>b</w:t>
      </w:r>
      <w:r w:rsidRPr="005B0796">
        <w:t xml:space="preserve"> Ex-Serving vs Inactive: OR 3.8, 95% CI 1.7, 8.5</w:t>
      </w:r>
    </w:p>
    <w:p w:rsidR="00EF53A1" w:rsidRPr="005B0796" w:rsidRDefault="00EF53A1" w:rsidP="00EF53A1">
      <w:pPr>
        <w:pStyle w:val="TableNotes"/>
      </w:pPr>
      <w:r w:rsidRPr="005B0796">
        <w:rPr>
          <w:vertAlign w:val="superscript"/>
        </w:rPr>
        <w:t>c</w:t>
      </w:r>
      <w:r w:rsidRPr="005B0796">
        <w:t xml:space="preserve"> Ex-Serving vs Inactive: OR 3.2, 95% CI 1.4, 7.2; Ex-Serving vs Active: OR 3.1, 95% CI 1.2, 7.9</w:t>
      </w:r>
    </w:p>
    <w:p w:rsidR="00EF53A1" w:rsidRPr="005B0796" w:rsidRDefault="00EF53A1" w:rsidP="00EF53A1">
      <w:pPr>
        <w:pStyle w:val="TableNotes"/>
      </w:pPr>
      <w:r w:rsidRPr="005B0796">
        <w:rPr>
          <w:vertAlign w:val="superscript"/>
        </w:rPr>
        <w:t xml:space="preserve">d </w:t>
      </w:r>
      <w:r w:rsidRPr="005B0796">
        <w:t>Ex-Serving vs Inactive: OR 2.8, 95% CI 1.1, 7.1; Ex-Serving vs Active: OR 5.5, 95% CI 2.9, 10.5</w:t>
      </w:r>
    </w:p>
    <w:p w:rsidR="00EF53A1" w:rsidRPr="005B0796" w:rsidRDefault="00EF53A1" w:rsidP="00EF53A1">
      <w:pPr>
        <w:pStyle w:val="TableNotes"/>
      </w:pPr>
      <w:r w:rsidRPr="005B0796">
        <w:rPr>
          <w:vertAlign w:val="superscript"/>
        </w:rPr>
        <w:t>e</w:t>
      </w:r>
      <w:r w:rsidRPr="005B0796">
        <w:t xml:space="preserve"> Ex-Serving vs Inactive: OR 5.9, 95% CI 3.1, 11.5; Ex-Serving vs Active: OR 3.1, 95% CI 1.5, 6.7</w:t>
      </w:r>
    </w:p>
    <w:p w:rsidR="00EF53A1" w:rsidRPr="005B0796" w:rsidRDefault="00EF53A1" w:rsidP="00EF53A1">
      <w:pPr>
        <w:pStyle w:val="TableNotes"/>
      </w:pPr>
      <w:r w:rsidRPr="005B0796">
        <w:rPr>
          <w:vertAlign w:val="superscript"/>
        </w:rPr>
        <w:t xml:space="preserve">f </w:t>
      </w:r>
      <w:r w:rsidRPr="005B0796">
        <w:t>Ex-Serving vs Inactive: OR 5.0, 95% CI 1.9, 13.7</w:t>
      </w:r>
    </w:p>
    <w:p w:rsidR="00EF53A1" w:rsidRPr="005B0796" w:rsidRDefault="00EF53A1" w:rsidP="00EF53A1">
      <w:pPr>
        <w:pStyle w:val="TableNotes"/>
      </w:pPr>
      <w:r w:rsidRPr="005B0796">
        <w:rPr>
          <w:vertAlign w:val="superscript"/>
        </w:rPr>
        <w:t>g</w:t>
      </w:r>
      <w:r w:rsidRPr="005B0796">
        <w:t xml:space="preserve"> Ex-Serving vs Inactive: OR 2.1, 95% CI 1.1, 3.9</w:t>
      </w:r>
    </w:p>
    <w:p w:rsidR="00EF53A1" w:rsidRPr="005B0796" w:rsidRDefault="00EF53A1" w:rsidP="00EF53A1">
      <w:pPr>
        <w:pStyle w:val="TableNotes"/>
      </w:pPr>
      <w:r w:rsidRPr="005B0796">
        <w:rPr>
          <w:vertAlign w:val="superscript"/>
        </w:rPr>
        <w:t>h</w:t>
      </w:r>
      <w:r w:rsidRPr="005B0796">
        <w:t xml:space="preserve"> Ex-Serving vs Inactive: OR 2.3, 95% CI 1.4 3.8; Ex-Serving vs Active: OR 1.7, 95% CI 1.0, 2.9</w:t>
      </w:r>
    </w:p>
    <w:p w:rsidR="00EF53A1" w:rsidRPr="005B0796" w:rsidRDefault="00EF53A1" w:rsidP="00EF53A1">
      <w:pPr>
        <w:pStyle w:val="TableNotes"/>
      </w:pPr>
      <w:r w:rsidRPr="005B0796">
        <w:t xml:space="preserve">Note: 95% CI: 95% </w:t>
      </w:r>
      <w:r w:rsidR="00564689" w:rsidRPr="005B0796">
        <w:t>confidence interval</w:t>
      </w:r>
    </w:p>
    <w:p w:rsidR="005C3E97" w:rsidRPr="005B0796" w:rsidRDefault="005C3E97" w:rsidP="005C3E97">
      <w:pPr>
        <w:sectPr w:rsidR="005C3E97" w:rsidRPr="005B0796" w:rsidSect="005C3E97">
          <w:footerReference w:type="even" r:id="rId43"/>
          <w:footerReference w:type="default" r:id="rId44"/>
          <w:pgSz w:w="14170" w:h="9979" w:orient="landscape" w:code="243"/>
          <w:pgMar w:top="1728" w:right="1440" w:bottom="1152" w:left="1440" w:header="576" w:footer="576" w:gutter="0"/>
          <w:cols w:space="708"/>
          <w:docGrid w:linePitch="360"/>
        </w:sectPr>
      </w:pPr>
    </w:p>
    <w:p w:rsidR="00164318" w:rsidRPr="005B0796" w:rsidRDefault="00164318" w:rsidP="005C3E97">
      <w:pPr>
        <w:pStyle w:val="Heading3"/>
        <w:rPr>
          <w:rFonts w:eastAsia="Times New Roman"/>
        </w:rPr>
      </w:pPr>
      <w:bookmarkStart w:id="260" w:name="_Toc482021344"/>
      <w:bookmarkStart w:id="261" w:name="_Toc482024435"/>
      <w:bookmarkStart w:id="262" w:name="_Toc487011193"/>
      <w:bookmarkStart w:id="263" w:name="_Toc494449709"/>
      <w:bookmarkStart w:id="264" w:name="_Toc511900291"/>
      <w:bookmarkEnd w:id="258"/>
      <w:bookmarkEnd w:id="259"/>
      <w:r w:rsidRPr="005B0796">
        <w:t>Demographic factors</w:t>
      </w:r>
      <w:bookmarkEnd w:id="260"/>
      <w:bookmarkEnd w:id="261"/>
      <w:bookmarkEnd w:id="262"/>
      <w:bookmarkEnd w:id="263"/>
      <w:bookmarkEnd w:id="264"/>
    </w:p>
    <w:p w:rsidR="00164318" w:rsidRPr="005B0796" w:rsidRDefault="00164318" w:rsidP="005C3E97">
      <w:pPr>
        <w:pStyle w:val="Heading4"/>
      </w:pPr>
      <w:r w:rsidRPr="005B0796">
        <w:t>Sex</w:t>
      </w:r>
    </w:p>
    <w:p w:rsidR="00164318" w:rsidRPr="005B0796" w:rsidRDefault="00164318" w:rsidP="00F83362">
      <w:r w:rsidRPr="005B0796">
        <w:t xml:space="preserve">Overall, compared to males, females tended to have slightly higher estimated rates of 12-month anxiety disorders (41.9% vs 36.3%) including panic attacks (22.8% vs 16.2%), social phobia (14.9% vs 10.4%) and PTSD (24.8% vs 16.6%). In contrast, males had slightly higher rates of panic disorder (5.7% vs 3.0%) and agoraphobia (12.5% vs 7.9%). </w:t>
      </w:r>
      <w:r w:rsidR="00F6614D">
        <w:t>However, t</w:t>
      </w:r>
      <w:r w:rsidRPr="005B0796">
        <w:t>hese differences were not statistically significant (</w:t>
      </w:r>
      <w:r w:rsidR="009E72D3" w:rsidRPr="005B0796">
        <w:t>Table 4.5</w:t>
      </w:r>
      <w:r w:rsidRPr="005B0796">
        <w:t xml:space="preserve"> and </w:t>
      </w:r>
      <w:r w:rsidR="009E72D3" w:rsidRPr="005B0796">
        <w:t>Figure 4.2</w:t>
      </w:r>
      <w:r w:rsidRPr="005B0796">
        <w:t xml:space="preserve">). </w:t>
      </w:r>
    </w:p>
    <w:p w:rsidR="008D3AC8" w:rsidRPr="005B0796" w:rsidRDefault="008D3AC8" w:rsidP="00340FA8">
      <w:pPr>
        <w:pStyle w:val="Heading4"/>
      </w:pPr>
      <w:bookmarkStart w:id="265" w:name="_Ref484519729"/>
      <w:bookmarkStart w:id="266" w:name="_Toc482023781"/>
      <w:bookmarkStart w:id="267" w:name="_Toc487014256"/>
      <w:bookmarkStart w:id="268" w:name="_Toc492995559"/>
      <w:r w:rsidRPr="005B0796">
        <w:t>Age</w:t>
      </w:r>
    </w:p>
    <w:p w:rsidR="008D3AC8" w:rsidRPr="005B0796" w:rsidRDefault="008D3AC8" w:rsidP="0084663B">
      <w:pPr>
        <w:keepLines/>
      </w:pPr>
      <w:r w:rsidRPr="005B0796">
        <w:t>Table 4.6 and Figure 4.3 show the estimated prevalence of 12-month anxiety disorder</w:t>
      </w:r>
      <w:r w:rsidR="00F6614D">
        <w:t>s,</w:t>
      </w:r>
      <w:r w:rsidRPr="005B0796">
        <w:t xml:space="preserve"> by age. Overall, there was little difference in the prevalence of anxiety disorders between the different age groups. The lowest reported prevalence for anxiety disorders was in the 48–57 age group (34.3%), with the 38–47 age group reporting the highest prevalence. In terms of the individual anxiety disorder types, Transitioned ADF members in the 28–37 age group reported the highest prevalence of panic disorder and social phobia. In contrast, panic attacks, agoraphobia and GAD were most prevalent in the 38–47 age group; specific phobia was most prevalent in the 48–57 age group; PTSD was most prevalent in the 58+ age group; and OCD was most prevalent in the 18–27 age group. Statistical tests showed no linear effect for age. The only disorder that showed a significant difference in prevalence by age was OCD, with rates among those aged 28–37 (0.8%, 95% CI 0.4, 1.9) significantly lower than for those aged 18–27 (10.8%, 95% CI 4.6, 23.3) (OR 0.1, 95% CI 0.0, 0.3). </w:t>
      </w:r>
    </w:p>
    <w:p w:rsidR="00EF53A1" w:rsidRPr="005B0796" w:rsidRDefault="00EF53A1" w:rsidP="00700D82">
      <w:pPr>
        <w:pStyle w:val="TableName"/>
        <w:rPr>
          <w:rFonts w:cs="Calibri"/>
        </w:rPr>
      </w:pPr>
      <w:bookmarkStart w:id="269" w:name="_Toc51190040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5</w:t>
      </w:r>
      <w:r w:rsidR="00D30A3C">
        <w:rPr>
          <w:noProof/>
        </w:rPr>
        <w:fldChar w:fldCharType="end"/>
      </w:r>
      <w:bookmarkEnd w:id="265"/>
      <w:r w:rsidRPr="005B0796">
        <w:tab/>
        <w:t>Estimated prevalence of 12-month ICD-10 anxiety disorders in Transitioned ADF members</w:t>
      </w:r>
      <w:r w:rsidR="00F6614D">
        <w:t>,</w:t>
      </w:r>
      <w:r w:rsidRPr="005B0796">
        <w:t xml:space="preserve"> by sex</w:t>
      </w:r>
      <w:bookmarkEnd w:id="266"/>
      <w:bookmarkEnd w:id="267"/>
      <w:bookmarkEnd w:id="268"/>
      <w:bookmarkEnd w:id="269"/>
    </w:p>
    <w:tbl>
      <w:tblPr>
        <w:tblStyle w:val="TWRPTable"/>
        <w:tblW w:w="5000" w:type="pct"/>
        <w:tblLayout w:type="fixed"/>
        <w:tblCellMar>
          <w:left w:w="115" w:type="dxa"/>
          <w:right w:w="115" w:type="dxa"/>
        </w:tblCellMar>
        <w:tblLook w:val="04A0" w:firstRow="1" w:lastRow="0" w:firstColumn="1" w:lastColumn="0" w:noHBand="0" w:noVBand="1"/>
        <w:tblDescription w:val="Table 4.5 Estimated prevalence of 12-month ICD-10 anxiety disorders in Transitioned ADF members by sex"/>
      </w:tblPr>
      <w:tblGrid>
        <w:gridCol w:w="2185"/>
        <w:gridCol w:w="857"/>
        <w:gridCol w:w="857"/>
        <w:gridCol w:w="858"/>
        <w:gridCol w:w="857"/>
        <w:gridCol w:w="857"/>
        <w:gridCol w:w="858"/>
      </w:tblGrid>
      <w:tr w:rsidR="00164318" w:rsidRPr="005B0796" w:rsidTr="002735C8">
        <w:trPr>
          <w:cnfStyle w:val="100000000000" w:firstRow="1" w:lastRow="0" w:firstColumn="0" w:lastColumn="0" w:oddVBand="0" w:evenVBand="0" w:oddHBand="0" w:evenHBand="0" w:firstRowFirstColumn="0" w:firstRowLastColumn="0" w:lastRowFirstColumn="0" w:lastRowLastColumn="0"/>
          <w:cantSplit/>
          <w:tblHeader/>
        </w:trPr>
        <w:tc>
          <w:tcPr>
            <w:tcW w:w="2185" w:type="dxa"/>
            <w:vMerge w:val="restart"/>
            <w:tcBorders>
              <w:top w:val="single" w:sz="4" w:space="0" w:color="000000"/>
              <w:bottom w:val="nil"/>
            </w:tcBorders>
            <w:noWrap/>
            <w:hideMark/>
          </w:tcPr>
          <w:p w:rsidR="00164318" w:rsidRPr="005B0796" w:rsidRDefault="00164318" w:rsidP="002735C8">
            <w:pPr>
              <w:pStyle w:val="TableText"/>
            </w:pPr>
          </w:p>
        </w:tc>
        <w:tc>
          <w:tcPr>
            <w:tcW w:w="5144" w:type="dxa"/>
            <w:gridSpan w:val="6"/>
            <w:noWrap/>
            <w:hideMark/>
          </w:tcPr>
          <w:p w:rsidR="00164318" w:rsidRPr="005B0796" w:rsidRDefault="00164318" w:rsidP="002735C8">
            <w:pPr>
              <w:pStyle w:val="TableText"/>
              <w:jc w:val="center"/>
            </w:pPr>
            <w:r w:rsidRPr="005B0796">
              <w:t>Sex</w:t>
            </w:r>
          </w:p>
        </w:tc>
      </w:tr>
      <w:tr w:rsidR="00164318" w:rsidRPr="005B0796" w:rsidTr="002735C8">
        <w:trPr>
          <w:cnfStyle w:val="100000000000" w:firstRow="1" w:lastRow="0" w:firstColumn="0" w:lastColumn="0" w:oddVBand="0" w:evenVBand="0" w:oddHBand="0" w:evenHBand="0" w:firstRowFirstColumn="0" w:firstRowLastColumn="0" w:lastRowFirstColumn="0" w:lastRowLastColumn="0"/>
          <w:cantSplit/>
          <w:tblHeader/>
        </w:trPr>
        <w:tc>
          <w:tcPr>
            <w:tcW w:w="2185" w:type="dxa"/>
            <w:vMerge/>
            <w:tcBorders>
              <w:top w:val="nil"/>
              <w:bottom w:val="nil"/>
            </w:tcBorders>
            <w:hideMark/>
          </w:tcPr>
          <w:p w:rsidR="00164318" w:rsidRPr="005B0796" w:rsidRDefault="00164318" w:rsidP="002735C8">
            <w:pPr>
              <w:pStyle w:val="TableText"/>
            </w:pPr>
          </w:p>
        </w:tc>
        <w:tc>
          <w:tcPr>
            <w:tcW w:w="2572" w:type="dxa"/>
            <w:gridSpan w:val="3"/>
            <w:noWrap/>
            <w:hideMark/>
          </w:tcPr>
          <w:p w:rsidR="00164318" w:rsidRPr="005B0796" w:rsidRDefault="00164318" w:rsidP="002735C8">
            <w:pPr>
              <w:pStyle w:val="TableText"/>
              <w:jc w:val="center"/>
            </w:pPr>
            <w:r w:rsidRPr="005B0796">
              <w:t>Male (n = 21,671)</w:t>
            </w:r>
          </w:p>
        </w:tc>
        <w:tc>
          <w:tcPr>
            <w:tcW w:w="2572" w:type="dxa"/>
            <w:gridSpan w:val="3"/>
            <w:noWrap/>
            <w:hideMark/>
          </w:tcPr>
          <w:p w:rsidR="00164318" w:rsidRPr="005B0796" w:rsidRDefault="00164318" w:rsidP="002735C8">
            <w:pPr>
              <w:pStyle w:val="TableText"/>
              <w:jc w:val="center"/>
            </w:pPr>
            <w:r w:rsidRPr="005B0796">
              <w:t>Female (n = 3261)</w:t>
            </w:r>
          </w:p>
        </w:tc>
      </w:tr>
      <w:tr w:rsidR="00164318" w:rsidRPr="005B0796" w:rsidTr="002735C8">
        <w:trPr>
          <w:cnfStyle w:val="100000000000" w:firstRow="1" w:lastRow="0" w:firstColumn="0" w:lastColumn="0" w:oddVBand="0" w:evenVBand="0" w:oddHBand="0" w:evenHBand="0" w:firstRowFirstColumn="0" w:firstRowLastColumn="0" w:lastRowFirstColumn="0" w:lastRowLastColumn="0"/>
          <w:cantSplit/>
          <w:tblHeader/>
        </w:trPr>
        <w:tc>
          <w:tcPr>
            <w:tcW w:w="2185" w:type="dxa"/>
            <w:tcBorders>
              <w:top w:val="nil"/>
            </w:tcBorders>
            <w:noWrap/>
            <w:hideMark/>
          </w:tcPr>
          <w:p w:rsidR="00164318" w:rsidRPr="005B0796" w:rsidRDefault="002735C8" w:rsidP="002735C8">
            <w:pPr>
              <w:pStyle w:val="TableText"/>
            </w:pPr>
            <w:r w:rsidRPr="005B0796">
              <w:t xml:space="preserve">ICD-10 </w:t>
            </w:r>
            <w:r w:rsidR="00231128" w:rsidRPr="005B0796">
              <w:t>anxiety disorder</w:t>
            </w:r>
          </w:p>
        </w:tc>
        <w:tc>
          <w:tcPr>
            <w:tcW w:w="857" w:type="dxa"/>
            <w:noWrap/>
            <w:hideMark/>
          </w:tcPr>
          <w:p w:rsidR="00164318" w:rsidRPr="005B0796" w:rsidRDefault="00164318" w:rsidP="002735C8">
            <w:pPr>
              <w:pStyle w:val="TableText"/>
              <w:jc w:val="right"/>
            </w:pPr>
            <w:r w:rsidRPr="005B0796">
              <w:t>Weighted n</w:t>
            </w:r>
          </w:p>
        </w:tc>
        <w:tc>
          <w:tcPr>
            <w:tcW w:w="857" w:type="dxa"/>
            <w:hideMark/>
          </w:tcPr>
          <w:p w:rsidR="00164318" w:rsidRPr="005B0796" w:rsidRDefault="00164318" w:rsidP="002735C8">
            <w:pPr>
              <w:pStyle w:val="TableText"/>
              <w:jc w:val="right"/>
            </w:pPr>
            <w:r w:rsidRPr="005B0796">
              <w:t>%</w:t>
            </w:r>
          </w:p>
        </w:tc>
        <w:tc>
          <w:tcPr>
            <w:tcW w:w="858" w:type="dxa"/>
            <w:hideMark/>
          </w:tcPr>
          <w:p w:rsidR="00164318" w:rsidRPr="005B0796" w:rsidRDefault="00164318" w:rsidP="002735C8">
            <w:pPr>
              <w:pStyle w:val="TableText"/>
              <w:jc w:val="right"/>
            </w:pPr>
            <w:r w:rsidRPr="005B0796">
              <w:t>95% CI</w:t>
            </w:r>
          </w:p>
        </w:tc>
        <w:tc>
          <w:tcPr>
            <w:tcW w:w="857" w:type="dxa"/>
            <w:noWrap/>
            <w:hideMark/>
          </w:tcPr>
          <w:p w:rsidR="00164318" w:rsidRPr="005B0796" w:rsidRDefault="00164318" w:rsidP="002735C8">
            <w:pPr>
              <w:pStyle w:val="TableText"/>
              <w:jc w:val="right"/>
            </w:pPr>
            <w:r w:rsidRPr="005B0796">
              <w:t>Weighted n</w:t>
            </w:r>
          </w:p>
        </w:tc>
        <w:tc>
          <w:tcPr>
            <w:tcW w:w="857" w:type="dxa"/>
            <w:hideMark/>
          </w:tcPr>
          <w:p w:rsidR="00164318" w:rsidRPr="005B0796" w:rsidRDefault="00164318" w:rsidP="002735C8">
            <w:pPr>
              <w:pStyle w:val="TableText"/>
              <w:jc w:val="right"/>
            </w:pPr>
            <w:r w:rsidRPr="005B0796">
              <w:t>%</w:t>
            </w:r>
          </w:p>
        </w:tc>
        <w:tc>
          <w:tcPr>
            <w:tcW w:w="858" w:type="dxa"/>
            <w:hideMark/>
          </w:tcPr>
          <w:p w:rsidR="00164318" w:rsidRPr="005B0796" w:rsidRDefault="00164318" w:rsidP="002735C8">
            <w:pPr>
              <w:pStyle w:val="TableText"/>
              <w:jc w:val="right"/>
            </w:pPr>
            <w:r w:rsidRPr="005B0796">
              <w:t>95% CI</w:t>
            </w:r>
          </w:p>
        </w:tc>
      </w:tr>
      <w:tr w:rsidR="002735C8" w:rsidRPr="005B0796" w:rsidTr="002735C8">
        <w:trPr>
          <w:cnfStyle w:val="000000100000" w:firstRow="0" w:lastRow="0" w:firstColumn="0" w:lastColumn="0" w:oddVBand="0" w:evenVBand="0" w:oddHBand="1" w:evenHBand="0" w:firstRowFirstColumn="0" w:firstRowLastColumn="0" w:lastRowFirstColumn="0" w:lastRowLastColumn="0"/>
          <w:cantSplit/>
        </w:trPr>
        <w:tc>
          <w:tcPr>
            <w:tcW w:w="2185" w:type="dxa"/>
            <w:noWrap/>
            <w:hideMark/>
          </w:tcPr>
          <w:p w:rsidR="00164318" w:rsidRPr="005B0796" w:rsidRDefault="00164318" w:rsidP="002735C8">
            <w:pPr>
              <w:pStyle w:val="TableText"/>
              <w:rPr>
                <w:lang w:eastAsia="en-AU"/>
              </w:rPr>
            </w:pPr>
            <w:r w:rsidRPr="005B0796">
              <w:rPr>
                <w:lang w:eastAsia="en-AU"/>
              </w:rPr>
              <w:t>Panic attack</w:t>
            </w:r>
          </w:p>
        </w:tc>
        <w:tc>
          <w:tcPr>
            <w:tcW w:w="857" w:type="dxa"/>
            <w:noWrap/>
            <w:hideMark/>
          </w:tcPr>
          <w:p w:rsidR="00164318" w:rsidRPr="005B0796" w:rsidRDefault="00164318" w:rsidP="002735C8">
            <w:pPr>
              <w:pStyle w:val="TableText"/>
              <w:jc w:val="right"/>
              <w:rPr>
                <w:lang w:eastAsia="en-AU"/>
              </w:rPr>
            </w:pPr>
            <w:r w:rsidRPr="005B0796">
              <w:rPr>
                <w:lang w:eastAsia="en-AU"/>
              </w:rPr>
              <w:t>3500</w:t>
            </w:r>
          </w:p>
        </w:tc>
        <w:tc>
          <w:tcPr>
            <w:tcW w:w="857" w:type="dxa"/>
            <w:noWrap/>
            <w:hideMark/>
          </w:tcPr>
          <w:p w:rsidR="00164318" w:rsidRPr="005B0796" w:rsidRDefault="00164318" w:rsidP="002735C8">
            <w:pPr>
              <w:pStyle w:val="TableText"/>
              <w:jc w:val="right"/>
              <w:rPr>
                <w:lang w:eastAsia="en-AU"/>
              </w:rPr>
            </w:pPr>
            <w:r w:rsidRPr="005B0796">
              <w:rPr>
                <w:lang w:eastAsia="en-AU"/>
              </w:rPr>
              <w:t>16.2</w:t>
            </w:r>
          </w:p>
        </w:tc>
        <w:tc>
          <w:tcPr>
            <w:tcW w:w="858" w:type="dxa"/>
            <w:noWrap/>
            <w:hideMark/>
          </w:tcPr>
          <w:p w:rsidR="00164318" w:rsidRPr="005B0796" w:rsidRDefault="00164318" w:rsidP="002735C8">
            <w:pPr>
              <w:pStyle w:val="TableText"/>
              <w:jc w:val="right"/>
              <w:rPr>
                <w:lang w:eastAsia="en-AU"/>
              </w:rPr>
            </w:pPr>
            <w:r w:rsidRPr="005B0796">
              <w:rPr>
                <w:lang w:eastAsia="en-AU"/>
              </w:rPr>
              <w:t>12.7, 20.4</w:t>
            </w:r>
          </w:p>
        </w:tc>
        <w:tc>
          <w:tcPr>
            <w:tcW w:w="857" w:type="dxa"/>
            <w:noWrap/>
            <w:hideMark/>
          </w:tcPr>
          <w:p w:rsidR="00164318" w:rsidRPr="005B0796" w:rsidRDefault="00164318" w:rsidP="002735C8">
            <w:pPr>
              <w:pStyle w:val="TableText"/>
              <w:jc w:val="right"/>
              <w:rPr>
                <w:lang w:eastAsia="en-AU"/>
              </w:rPr>
            </w:pPr>
            <w:r w:rsidRPr="005B0796">
              <w:rPr>
                <w:lang w:eastAsia="en-AU"/>
              </w:rPr>
              <w:t>744</w:t>
            </w:r>
          </w:p>
        </w:tc>
        <w:tc>
          <w:tcPr>
            <w:tcW w:w="857" w:type="dxa"/>
            <w:hideMark/>
          </w:tcPr>
          <w:p w:rsidR="00164318" w:rsidRPr="005B0796" w:rsidRDefault="00164318" w:rsidP="002735C8">
            <w:pPr>
              <w:pStyle w:val="TableText"/>
              <w:jc w:val="right"/>
              <w:rPr>
                <w:lang w:eastAsia="en-AU"/>
              </w:rPr>
            </w:pPr>
            <w:r w:rsidRPr="005B0796">
              <w:rPr>
                <w:lang w:eastAsia="en-AU"/>
              </w:rPr>
              <w:t>22.8</w:t>
            </w:r>
          </w:p>
        </w:tc>
        <w:tc>
          <w:tcPr>
            <w:tcW w:w="858" w:type="dxa"/>
            <w:hideMark/>
          </w:tcPr>
          <w:p w:rsidR="00164318" w:rsidRPr="005B0796" w:rsidRDefault="00164318" w:rsidP="002735C8">
            <w:pPr>
              <w:pStyle w:val="TableText"/>
              <w:jc w:val="right"/>
              <w:rPr>
                <w:lang w:eastAsia="en-AU"/>
              </w:rPr>
            </w:pPr>
            <w:r w:rsidRPr="005B0796">
              <w:rPr>
                <w:lang w:eastAsia="en-AU"/>
              </w:rPr>
              <w:t>16.4, 30.9</w:t>
            </w:r>
          </w:p>
        </w:tc>
      </w:tr>
      <w:tr w:rsidR="00164318" w:rsidRPr="005B0796" w:rsidTr="002735C8">
        <w:trPr>
          <w:cantSplit/>
        </w:trPr>
        <w:tc>
          <w:tcPr>
            <w:tcW w:w="2185" w:type="dxa"/>
            <w:noWrap/>
            <w:hideMark/>
          </w:tcPr>
          <w:p w:rsidR="00164318" w:rsidRPr="005B0796" w:rsidRDefault="00164318" w:rsidP="002735C8">
            <w:pPr>
              <w:pStyle w:val="TableText"/>
              <w:rPr>
                <w:lang w:eastAsia="en-AU"/>
              </w:rPr>
            </w:pPr>
            <w:r w:rsidRPr="005B0796">
              <w:rPr>
                <w:lang w:eastAsia="en-AU"/>
              </w:rPr>
              <w:t>Panic disorder</w:t>
            </w:r>
          </w:p>
        </w:tc>
        <w:tc>
          <w:tcPr>
            <w:tcW w:w="857" w:type="dxa"/>
            <w:noWrap/>
            <w:hideMark/>
          </w:tcPr>
          <w:p w:rsidR="00164318" w:rsidRPr="005B0796" w:rsidRDefault="00164318" w:rsidP="002735C8">
            <w:pPr>
              <w:pStyle w:val="TableText"/>
              <w:jc w:val="right"/>
              <w:rPr>
                <w:lang w:eastAsia="en-AU"/>
              </w:rPr>
            </w:pPr>
            <w:r w:rsidRPr="005B0796">
              <w:rPr>
                <w:lang w:eastAsia="en-AU"/>
              </w:rPr>
              <w:t>1246</w:t>
            </w:r>
          </w:p>
        </w:tc>
        <w:tc>
          <w:tcPr>
            <w:tcW w:w="857" w:type="dxa"/>
            <w:hideMark/>
          </w:tcPr>
          <w:p w:rsidR="00164318" w:rsidRPr="005B0796" w:rsidRDefault="00164318" w:rsidP="002735C8">
            <w:pPr>
              <w:pStyle w:val="TableText"/>
              <w:jc w:val="right"/>
              <w:rPr>
                <w:lang w:eastAsia="en-AU"/>
              </w:rPr>
            </w:pPr>
            <w:r w:rsidRPr="005B0796">
              <w:rPr>
                <w:lang w:eastAsia="en-AU"/>
              </w:rPr>
              <w:t>5.7</w:t>
            </w:r>
          </w:p>
        </w:tc>
        <w:tc>
          <w:tcPr>
            <w:tcW w:w="858" w:type="dxa"/>
            <w:hideMark/>
          </w:tcPr>
          <w:p w:rsidR="00164318" w:rsidRPr="005B0796" w:rsidRDefault="00164318" w:rsidP="002735C8">
            <w:pPr>
              <w:pStyle w:val="TableText"/>
              <w:jc w:val="right"/>
              <w:rPr>
                <w:lang w:eastAsia="en-AU"/>
              </w:rPr>
            </w:pPr>
            <w:r w:rsidRPr="005B0796">
              <w:rPr>
                <w:lang w:eastAsia="en-AU"/>
              </w:rPr>
              <w:t>3.7, 8.8</w:t>
            </w:r>
          </w:p>
        </w:tc>
        <w:tc>
          <w:tcPr>
            <w:tcW w:w="857" w:type="dxa"/>
            <w:noWrap/>
            <w:hideMark/>
          </w:tcPr>
          <w:p w:rsidR="00164318" w:rsidRPr="005B0796" w:rsidRDefault="00164318" w:rsidP="002735C8">
            <w:pPr>
              <w:pStyle w:val="TableText"/>
              <w:jc w:val="right"/>
              <w:rPr>
                <w:lang w:eastAsia="en-AU"/>
              </w:rPr>
            </w:pPr>
            <w:r w:rsidRPr="005B0796">
              <w:rPr>
                <w:lang w:eastAsia="en-AU"/>
              </w:rPr>
              <w:t>98</w:t>
            </w:r>
          </w:p>
        </w:tc>
        <w:tc>
          <w:tcPr>
            <w:tcW w:w="857" w:type="dxa"/>
            <w:hideMark/>
          </w:tcPr>
          <w:p w:rsidR="00164318" w:rsidRPr="005B0796" w:rsidRDefault="00164318" w:rsidP="002735C8">
            <w:pPr>
              <w:pStyle w:val="TableText"/>
              <w:jc w:val="right"/>
              <w:rPr>
                <w:lang w:eastAsia="en-AU"/>
              </w:rPr>
            </w:pPr>
            <w:r w:rsidRPr="005B0796">
              <w:rPr>
                <w:lang w:eastAsia="en-AU"/>
              </w:rPr>
              <w:t>3.0</w:t>
            </w:r>
          </w:p>
        </w:tc>
        <w:tc>
          <w:tcPr>
            <w:tcW w:w="858" w:type="dxa"/>
            <w:hideMark/>
          </w:tcPr>
          <w:p w:rsidR="00164318" w:rsidRPr="005B0796" w:rsidRDefault="00164318" w:rsidP="002735C8">
            <w:pPr>
              <w:pStyle w:val="TableText"/>
              <w:jc w:val="right"/>
              <w:rPr>
                <w:lang w:eastAsia="en-AU"/>
              </w:rPr>
            </w:pPr>
            <w:r w:rsidRPr="005B0796">
              <w:rPr>
                <w:lang w:eastAsia="en-AU"/>
              </w:rPr>
              <w:t>1.4, 6.1</w:t>
            </w:r>
          </w:p>
        </w:tc>
      </w:tr>
      <w:tr w:rsidR="002735C8" w:rsidRPr="005B0796" w:rsidTr="002735C8">
        <w:trPr>
          <w:cnfStyle w:val="000000100000" w:firstRow="0" w:lastRow="0" w:firstColumn="0" w:lastColumn="0" w:oddVBand="0" w:evenVBand="0" w:oddHBand="1" w:evenHBand="0" w:firstRowFirstColumn="0" w:firstRowLastColumn="0" w:lastRowFirstColumn="0" w:lastRowLastColumn="0"/>
          <w:cantSplit/>
        </w:trPr>
        <w:tc>
          <w:tcPr>
            <w:tcW w:w="2185" w:type="dxa"/>
            <w:noWrap/>
            <w:hideMark/>
          </w:tcPr>
          <w:p w:rsidR="00164318" w:rsidRPr="005B0796" w:rsidRDefault="00164318" w:rsidP="002735C8">
            <w:pPr>
              <w:pStyle w:val="TableText"/>
              <w:rPr>
                <w:lang w:eastAsia="en-AU"/>
              </w:rPr>
            </w:pPr>
            <w:r w:rsidRPr="005B0796">
              <w:rPr>
                <w:lang w:eastAsia="en-AU"/>
              </w:rPr>
              <w:t>Agoraphobia</w:t>
            </w:r>
          </w:p>
        </w:tc>
        <w:tc>
          <w:tcPr>
            <w:tcW w:w="857" w:type="dxa"/>
            <w:noWrap/>
            <w:hideMark/>
          </w:tcPr>
          <w:p w:rsidR="00164318" w:rsidRPr="005B0796" w:rsidRDefault="00164318" w:rsidP="002735C8">
            <w:pPr>
              <w:pStyle w:val="TableText"/>
              <w:jc w:val="right"/>
              <w:rPr>
                <w:lang w:eastAsia="en-AU"/>
              </w:rPr>
            </w:pPr>
            <w:r w:rsidRPr="005B0796">
              <w:rPr>
                <w:lang w:eastAsia="en-AU"/>
              </w:rPr>
              <w:t>2718</w:t>
            </w:r>
          </w:p>
        </w:tc>
        <w:tc>
          <w:tcPr>
            <w:tcW w:w="857" w:type="dxa"/>
            <w:hideMark/>
          </w:tcPr>
          <w:p w:rsidR="00164318" w:rsidRPr="005B0796" w:rsidRDefault="00164318" w:rsidP="002735C8">
            <w:pPr>
              <w:pStyle w:val="TableText"/>
              <w:jc w:val="right"/>
              <w:rPr>
                <w:lang w:eastAsia="en-AU"/>
              </w:rPr>
            </w:pPr>
            <w:r w:rsidRPr="005B0796">
              <w:rPr>
                <w:lang w:eastAsia="en-AU"/>
              </w:rPr>
              <w:t>12.5</w:t>
            </w:r>
          </w:p>
        </w:tc>
        <w:tc>
          <w:tcPr>
            <w:tcW w:w="858" w:type="dxa"/>
            <w:hideMark/>
          </w:tcPr>
          <w:p w:rsidR="00164318" w:rsidRPr="005B0796" w:rsidRDefault="00164318" w:rsidP="002735C8">
            <w:pPr>
              <w:pStyle w:val="TableText"/>
              <w:jc w:val="right"/>
              <w:rPr>
                <w:lang w:eastAsia="en-AU"/>
              </w:rPr>
            </w:pPr>
            <w:r w:rsidRPr="005B0796">
              <w:rPr>
                <w:lang w:eastAsia="en-AU"/>
              </w:rPr>
              <w:t>9.4, 16.5</w:t>
            </w:r>
          </w:p>
        </w:tc>
        <w:tc>
          <w:tcPr>
            <w:tcW w:w="857" w:type="dxa"/>
            <w:noWrap/>
            <w:hideMark/>
          </w:tcPr>
          <w:p w:rsidR="00164318" w:rsidRPr="005B0796" w:rsidRDefault="00164318" w:rsidP="002735C8">
            <w:pPr>
              <w:pStyle w:val="TableText"/>
              <w:jc w:val="right"/>
              <w:rPr>
                <w:lang w:eastAsia="en-AU"/>
              </w:rPr>
            </w:pPr>
            <w:r w:rsidRPr="005B0796">
              <w:rPr>
                <w:lang w:eastAsia="en-AU"/>
              </w:rPr>
              <w:t>257</w:t>
            </w:r>
          </w:p>
        </w:tc>
        <w:tc>
          <w:tcPr>
            <w:tcW w:w="857" w:type="dxa"/>
            <w:noWrap/>
            <w:hideMark/>
          </w:tcPr>
          <w:p w:rsidR="00164318" w:rsidRPr="005B0796" w:rsidRDefault="00164318" w:rsidP="002735C8">
            <w:pPr>
              <w:pStyle w:val="TableText"/>
              <w:jc w:val="right"/>
              <w:rPr>
                <w:lang w:eastAsia="en-AU"/>
              </w:rPr>
            </w:pPr>
            <w:r w:rsidRPr="005B0796">
              <w:rPr>
                <w:lang w:eastAsia="en-AU"/>
              </w:rPr>
              <w:t>7.9</w:t>
            </w:r>
          </w:p>
        </w:tc>
        <w:tc>
          <w:tcPr>
            <w:tcW w:w="858" w:type="dxa"/>
            <w:hideMark/>
          </w:tcPr>
          <w:p w:rsidR="00164318" w:rsidRPr="005B0796" w:rsidRDefault="00164318" w:rsidP="002735C8">
            <w:pPr>
              <w:pStyle w:val="TableText"/>
              <w:jc w:val="right"/>
              <w:rPr>
                <w:lang w:eastAsia="en-AU"/>
              </w:rPr>
            </w:pPr>
            <w:r w:rsidRPr="005B0796">
              <w:rPr>
                <w:lang w:eastAsia="en-AU"/>
              </w:rPr>
              <w:t>3.3, 17.7</w:t>
            </w:r>
          </w:p>
        </w:tc>
      </w:tr>
      <w:tr w:rsidR="00164318" w:rsidRPr="005B0796" w:rsidTr="002735C8">
        <w:trPr>
          <w:cantSplit/>
        </w:trPr>
        <w:tc>
          <w:tcPr>
            <w:tcW w:w="2185" w:type="dxa"/>
            <w:noWrap/>
            <w:hideMark/>
          </w:tcPr>
          <w:p w:rsidR="00164318" w:rsidRPr="005B0796" w:rsidRDefault="00164318" w:rsidP="002735C8">
            <w:pPr>
              <w:pStyle w:val="TableText"/>
              <w:rPr>
                <w:lang w:eastAsia="en-AU"/>
              </w:rPr>
            </w:pPr>
            <w:r w:rsidRPr="005B0796">
              <w:rPr>
                <w:lang w:eastAsia="en-AU"/>
              </w:rPr>
              <w:t>Social phobia</w:t>
            </w:r>
          </w:p>
        </w:tc>
        <w:tc>
          <w:tcPr>
            <w:tcW w:w="857" w:type="dxa"/>
            <w:noWrap/>
            <w:hideMark/>
          </w:tcPr>
          <w:p w:rsidR="00164318" w:rsidRPr="005B0796" w:rsidRDefault="00164318" w:rsidP="002735C8">
            <w:pPr>
              <w:pStyle w:val="TableText"/>
              <w:jc w:val="right"/>
              <w:rPr>
                <w:lang w:eastAsia="en-AU"/>
              </w:rPr>
            </w:pPr>
            <w:r w:rsidRPr="005B0796">
              <w:rPr>
                <w:lang w:eastAsia="en-AU"/>
              </w:rPr>
              <w:t>2253</w:t>
            </w:r>
          </w:p>
        </w:tc>
        <w:tc>
          <w:tcPr>
            <w:tcW w:w="857" w:type="dxa"/>
            <w:hideMark/>
          </w:tcPr>
          <w:p w:rsidR="00164318" w:rsidRPr="005B0796" w:rsidRDefault="00164318" w:rsidP="002735C8">
            <w:pPr>
              <w:pStyle w:val="TableText"/>
              <w:jc w:val="right"/>
              <w:rPr>
                <w:lang w:eastAsia="en-AU"/>
              </w:rPr>
            </w:pPr>
            <w:r w:rsidRPr="005B0796">
              <w:rPr>
                <w:lang w:eastAsia="en-AU"/>
              </w:rPr>
              <w:t>10.4</w:t>
            </w:r>
          </w:p>
        </w:tc>
        <w:tc>
          <w:tcPr>
            <w:tcW w:w="858" w:type="dxa"/>
            <w:hideMark/>
          </w:tcPr>
          <w:p w:rsidR="00164318" w:rsidRPr="005B0796" w:rsidRDefault="00164318" w:rsidP="002735C8">
            <w:pPr>
              <w:pStyle w:val="TableText"/>
              <w:jc w:val="right"/>
              <w:rPr>
                <w:lang w:eastAsia="en-AU"/>
              </w:rPr>
            </w:pPr>
            <w:r w:rsidRPr="005B0796">
              <w:rPr>
                <w:lang w:eastAsia="en-AU"/>
              </w:rPr>
              <w:t>7.5, 14.3</w:t>
            </w:r>
          </w:p>
        </w:tc>
        <w:tc>
          <w:tcPr>
            <w:tcW w:w="857" w:type="dxa"/>
            <w:noWrap/>
            <w:hideMark/>
          </w:tcPr>
          <w:p w:rsidR="00164318" w:rsidRPr="005B0796" w:rsidRDefault="00164318" w:rsidP="002735C8">
            <w:pPr>
              <w:pStyle w:val="TableText"/>
              <w:jc w:val="right"/>
              <w:rPr>
                <w:lang w:eastAsia="en-AU"/>
              </w:rPr>
            </w:pPr>
            <w:r w:rsidRPr="005B0796">
              <w:rPr>
                <w:lang w:eastAsia="en-AU"/>
              </w:rPr>
              <w:t>485</w:t>
            </w:r>
          </w:p>
        </w:tc>
        <w:tc>
          <w:tcPr>
            <w:tcW w:w="857" w:type="dxa"/>
            <w:hideMark/>
          </w:tcPr>
          <w:p w:rsidR="00164318" w:rsidRPr="005B0796" w:rsidRDefault="00164318" w:rsidP="002735C8">
            <w:pPr>
              <w:pStyle w:val="TableText"/>
              <w:jc w:val="right"/>
              <w:rPr>
                <w:lang w:eastAsia="en-AU"/>
              </w:rPr>
            </w:pPr>
            <w:r w:rsidRPr="005B0796">
              <w:rPr>
                <w:lang w:eastAsia="en-AU"/>
              </w:rPr>
              <w:t>14.9</w:t>
            </w:r>
          </w:p>
        </w:tc>
        <w:tc>
          <w:tcPr>
            <w:tcW w:w="858" w:type="dxa"/>
            <w:hideMark/>
          </w:tcPr>
          <w:p w:rsidR="00164318" w:rsidRPr="005B0796" w:rsidRDefault="00164318" w:rsidP="002735C8">
            <w:pPr>
              <w:pStyle w:val="TableText"/>
              <w:jc w:val="right"/>
              <w:rPr>
                <w:lang w:eastAsia="en-AU"/>
              </w:rPr>
            </w:pPr>
            <w:r w:rsidRPr="005B0796">
              <w:rPr>
                <w:lang w:eastAsia="en-AU"/>
              </w:rPr>
              <w:t>11.9, 18.4</w:t>
            </w:r>
          </w:p>
        </w:tc>
      </w:tr>
      <w:tr w:rsidR="002735C8" w:rsidRPr="005B0796" w:rsidTr="002735C8">
        <w:trPr>
          <w:cnfStyle w:val="000000100000" w:firstRow="0" w:lastRow="0" w:firstColumn="0" w:lastColumn="0" w:oddVBand="0" w:evenVBand="0" w:oddHBand="1" w:evenHBand="0" w:firstRowFirstColumn="0" w:firstRowLastColumn="0" w:lastRowFirstColumn="0" w:lastRowLastColumn="0"/>
          <w:cantSplit/>
        </w:trPr>
        <w:tc>
          <w:tcPr>
            <w:tcW w:w="2185" w:type="dxa"/>
            <w:noWrap/>
            <w:hideMark/>
          </w:tcPr>
          <w:p w:rsidR="00164318" w:rsidRPr="005B0796" w:rsidRDefault="00164318" w:rsidP="002735C8">
            <w:pPr>
              <w:pStyle w:val="TableText"/>
              <w:rPr>
                <w:lang w:eastAsia="en-AU"/>
              </w:rPr>
            </w:pPr>
            <w:r w:rsidRPr="005B0796">
              <w:rPr>
                <w:lang w:eastAsia="en-AU"/>
              </w:rPr>
              <w:t>Specific phobia</w:t>
            </w:r>
          </w:p>
        </w:tc>
        <w:tc>
          <w:tcPr>
            <w:tcW w:w="857" w:type="dxa"/>
            <w:noWrap/>
            <w:hideMark/>
          </w:tcPr>
          <w:p w:rsidR="00164318" w:rsidRPr="005B0796" w:rsidRDefault="00164318" w:rsidP="002735C8">
            <w:pPr>
              <w:pStyle w:val="TableText"/>
              <w:jc w:val="right"/>
              <w:rPr>
                <w:lang w:eastAsia="en-AU"/>
              </w:rPr>
            </w:pPr>
            <w:r w:rsidRPr="005B0796">
              <w:rPr>
                <w:lang w:eastAsia="en-AU"/>
              </w:rPr>
              <w:t>1651</w:t>
            </w:r>
          </w:p>
        </w:tc>
        <w:tc>
          <w:tcPr>
            <w:tcW w:w="857" w:type="dxa"/>
            <w:hideMark/>
          </w:tcPr>
          <w:p w:rsidR="00164318" w:rsidRPr="005B0796" w:rsidRDefault="00164318" w:rsidP="002735C8">
            <w:pPr>
              <w:pStyle w:val="TableText"/>
              <w:jc w:val="right"/>
              <w:rPr>
                <w:lang w:eastAsia="en-AU"/>
              </w:rPr>
            </w:pPr>
            <w:r w:rsidRPr="005B0796">
              <w:rPr>
                <w:lang w:eastAsia="en-AU"/>
              </w:rPr>
              <w:t>7.6</w:t>
            </w:r>
          </w:p>
        </w:tc>
        <w:tc>
          <w:tcPr>
            <w:tcW w:w="858" w:type="dxa"/>
            <w:hideMark/>
          </w:tcPr>
          <w:p w:rsidR="00164318" w:rsidRPr="005B0796" w:rsidRDefault="00164318" w:rsidP="002735C8">
            <w:pPr>
              <w:pStyle w:val="TableText"/>
              <w:jc w:val="right"/>
              <w:rPr>
                <w:lang w:eastAsia="en-AU"/>
              </w:rPr>
            </w:pPr>
            <w:r w:rsidRPr="005B0796">
              <w:rPr>
                <w:lang w:eastAsia="en-AU"/>
              </w:rPr>
              <w:t>5.5, 10.4</w:t>
            </w:r>
          </w:p>
        </w:tc>
        <w:tc>
          <w:tcPr>
            <w:tcW w:w="857" w:type="dxa"/>
            <w:noWrap/>
            <w:hideMark/>
          </w:tcPr>
          <w:p w:rsidR="00164318" w:rsidRPr="005B0796" w:rsidRDefault="00164318" w:rsidP="002735C8">
            <w:pPr>
              <w:pStyle w:val="TableText"/>
              <w:jc w:val="right"/>
              <w:rPr>
                <w:lang w:eastAsia="en-AU"/>
              </w:rPr>
            </w:pPr>
            <w:r w:rsidRPr="005B0796">
              <w:rPr>
                <w:lang w:eastAsia="en-AU"/>
              </w:rPr>
              <w:t>285</w:t>
            </w:r>
          </w:p>
        </w:tc>
        <w:tc>
          <w:tcPr>
            <w:tcW w:w="857" w:type="dxa"/>
            <w:hideMark/>
          </w:tcPr>
          <w:p w:rsidR="00164318" w:rsidRPr="005B0796" w:rsidRDefault="00164318" w:rsidP="002735C8">
            <w:pPr>
              <w:pStyle w:val="TableText"/>
              <w:jc w:val="right"/>
              <w:rPr>
                <w:lang w:eastAsia="en-AU"/>
              </w:rPr>
            </w:pPr>
            <w:r w:rsidRPr="005B0796">
              <w:rPr>
                <w:lang w:eastAsia="en-AU"/>
              </w:rPr>
              <w:t>8.7</w:t>
            </w:r>
          </w:p>
        </w:tc>
        <w:tc>
          <w:tcPr>
            <w:tcW w:w="858" w:type="dxa"/>
            <w:hideMark/>
          </w:tcPr>
          <w:p w:rsidR="00164318" w:rsidRPr="005B0796" w:rsidRDefault="00164318" w:rsidP="002735C8">
            <w:pPr>
              <w:pStyle w:val="TableText"/>
              <w:jc w:val="right"/>
              <w:rPr>
                <w:lang w:eastAsia="en-AU"/>
              </w:rPr>
            </w:pPr>
            <w:r w:rsidRPr="005B0796">
              <w:rPr>
                <w:lang w:eastAsia="en-AU"/>
              </w:rPr>
              <w:t>4.7, 15.7</w:t>
            </w:r>
          </w:p>
        </w:tc>
      </w:tr>
      <w:tr w:rsidR="00164318" w:rsidRPr="005B0796" w:rsidTr="002735C8">
        <w:trPr>
          <w:cantSplit/>
        </w:trPr>
        <w:tc>
          <w:tcPr>
            <w:tcW w:w="2185" w:type="dxa"/>
            <w:noWrap/>
            <w:hideMark/>
          </w:tcPr>
          <w:p w:rsidR="00164318" w:rsidRPr="005B0796" w:rsidRDefault="00164318" w:rsidP="002735C8">
            <w:pPr>
              <w:pStyle w:val="TableText"/>
              <w:rPr>
                <w:lang w:eastAsia="en-AU"/>
              </w:rPr>
            </w:pPr>
            <w:r w:rsidRPr="005B0796">
              <w:rPr>
                <w:lang w:eastAsia="en-AU"/>
              </w:rPr>
              <w:t>Generalised anxiety disorder</w:t>
            </w:r>
          </w:p>
        </w:tc>
        <w:tc>
          <w:tcPr>
            <w:tcW w:w="857" w:type="dxa"/>
            <w:noWrap/>
            <w:hideMark/>
          </w:tcPr>
          <w:p w:rsidR="00164318" w:rsidRPr="005B0796" w:rsidRDefault="00164318" w:rsidP="002735C8">
            <w:pPr>
              <w:pStyle w:val="TableText"/>
              <w:jc w:val="right"/>
              <w:rPr>
                <w:lang w:eastAsia="en-AU"/>
              </w:rPr>
            </w:pPr>
            <w:r w:rsidRPr="005B0796">
              <w:rPr>
                <w:lang w:eastAsia="en-AU"/>
              </w:rPr>
              <w:t>815</w:t>
            </w:r>
          </w:p>
        </w:tc>
        <w:tc>
          <w:tcPr>
            <w:tcW w:w="857" w:type="dxa"/>
            <w:hideMark/>
          </w:tcPr>
          <w:p w:rsidR="00164318" w:rsidRPr="005B0796" w:rsidRDefault="00164318" w:rsidP="002735C8">
            <w:pPr>
              <w:pStyle w:val="TableText"/>
              <w:jc w:val="right"/>
              <w:rPr>
                <w:lang w:eastAsia="en-AU"/>
              </w:rPr>
            </w:pPr>
            <w:r w:rsidRPr="005B0796">
              <w:rPr>
                <w:lang w:eastAsia="en-AU"/>
              </w:rPr>
              <w:t>3.8</w:t>
            </w:r>
          </w:p>
        </w:tc>
        <w:tc>
          <w:tcPr>
            <w:tcW w:w="858" w:type="dxa"/>
            <w:hideMark/>
          </w:tcPr>
          <w:p w:rsidR="00164318" w:rsidRPr="005B0796" w:rsidRDefault="00164318" w:rsidP="002735C8">
            <w:pPr>
              <w:pStyle w:val="TableText"/>
              <w:jc w:val="right"/>
              <w:rPr>
                <w:lang w:eastAsia="en-AU"/>
              </w:rPr>
            </w:pPr>
            <w:r w:rsidRPr="005B0796">
              <w:rPr>
                <w:lang w:eastAsia="en-AU"/>
              </w:rPr>
              <w:t>2.2, 6.5</w:t>
            </w:r>
          </w:p>
        </w:tc>
        <w:tc>
          <w:tcPr>
            <w:tcW w:w="857" w:type="dxa"/>
            <w:noWrap/>
            <w:hideMark/>
          </w:tcPr>
          <w:p w:rsidR="00164318" w:rsidRPr="005B0796" w:rsidRDefault="00164318" w:rsidP="002735C8">
            <w:pPr>
              <w:pStyle w:val="TableText"/>
              <w:jc w:val="right"/>
              <w:rPr>
                <w:lang w:eastAsia="en-AU"/>
              </w:rPr>
            </w:pPr>
            <w:r w:rsidRPr="005B0796">
              <w:rPr>
                <w:lang w:eastAsia="en-AU"/>
              </w:rPr>
              <w:t>102</w:t>
            </w:r>
          </w:p>
        </w:tc>
        <w:tc>
          <w:tcPr>
            <w:tcW w:w="857" w:type="dxa"/>
            <w:hideMark/>
          </w:tcPr>
          <w:p w:rsidR="00164318" w:rsidRPr="005B0796" w:rsidRDefault="00164318" w:rsidP="002735C8">
            <w:pPr>
              <w:pStyle w:val="TableText"/>
              <w:jc w:val="right"/>
              <w:rPr>
                <w:lang w:eastAsia="en-AU"/>
              </w:rPr>
            </w:pPr>
            <w:r w:rsidRPr="005B0796">
              <w:rPr>
                <w:lang w:eastAsia="en-AU"/>
              </w:rPr>
              <w:t>3.1</w:t>
            </w:r>
          </w:p>
        </w:tc>
        <w:tc>
          <w:tcPr>
            <w:tcW w:w="858" w:type="dxa"/>
            <w:hideMark/>
          </w:tcPr>
          <w:p w:rsidR="00164318" w:rsidRPr="005B0796" w:rsidRDefault="00164318" w:rsidP="002735C8">
            <w:pPr>
              <w:pStyle w:val="TableText"/>
              <w:jc w:val="right"/>
              <w:rPr>
                <w:lang w:eastAsia="en-AU"/>
              </w:rPr>
            </w:pPr>
            <w:r w:rsidRPr="005B0796">
              <w:rPr>
                <w:lang w:eastAsia="en-AU"/>
              </w:rPr>
              <w:t>1.5, 6.4</w:t>
            </w:r>
          </w:p>
        </w:tc>
      </w:tr>
      <w:tr w:rsidR="002735C8" w:rsidRPr="005B0796" w:rsidTr="002735C8">
        <w:trPr>
          <w:cnfStyle w:val="000000100000" w:firstRow="0" w:lastRow="0" w:firstColumn="0" w:lastColumn="0" w:oddVBand="0" w:evenVBand="0" w:oddHBand="1" w:evenHBand="0" w:firstRowFirstColumn="0" w:firstRowLastColumn="0" w:lastRowFirstColumn="0" w:lastRowLastColumn="0"/>
          <w:cantSplit/>
        </w:trPr>
        <w:tc>
          <w:tcPr>
            <w:tcW w:w="2185" w:type="dxa"/>
            <w:noWrap/>
            <w:hideMark/>
          </w:tcPr>
          <w:p w:rsidR="00164318" w:rsidRPr="005B0796" w:rsidRDefault="00164318" w:rsidP="002735C8">
            <w:pPr>
              <w:pStyle w:val="TableText"/>
              <w:rPr>
                <w:lang w:eastAsia="en-AU"/>
              </w:rPr>
            </w:pPr>
            <w:r w:rsidRPr="005B0796">
              <w:rPr>
                <w:lang w:eastAsia="en-AU"/>
              </w:rPr>
              <w:t>Obsessive-compulsive disorder</w:t>
            </w:r>
          </w:p>
        </w:tc>
        <w:tc>
          <w:tcPr>
            <w:tcW w:w="857" w:type="dxa"/>
            <w:noWrap/>
            <w:hideMark/>
          </w:tcPr>
          <w:p w:rsidR="00164318" w:rsidRPr="005B0796" w:rsidRDefault="00164318" w:rsidP="002735C8">
            <w:pPr>
              <w:pStyle w:val="TableText"/>
              <w:jc w:val="right"/>
              <w:rPr>
                <w:lang w:eastAsia="en-AU"/>
              </w:rPr>
            </w:pPr>
            <w:r w:rsidRPr="005B0796">
              <w:rPr>
                <w:lang w:eastAsia="en-AU"/>
              </w:rPr>
              <w:t>894</w:t>
            </w:r>
          </w:p>
        </w:tc>
        <w:tc>
          <w:tcPr>
            <w:tcW w:w="857" w:type="dxa"/>
            <w:hideMark/>
          </w:tcPr>
          <w:p w:rsidR="00164318" w:rsidRPr="005B0796" w:rsidRDefault="00164318" w:rsidP="002735C8">
            <w:pPr>
              <w:pStyle w:val="TableText"/>
              <w:jc w:val="right"/>
              <w:rPr>
                <w:lang w:eastAsia="en-AU"/>
              </w:rPr>
            </w:pPr>
            <w:r w:rsidRPr="005B0796">
              <w:rPr>
                <w:lang w:eastAsia="en-AU"/>
              </w:rPr>
              <w:t>4.1</w:t>
            </w:r>
          </w:p>
        </w:tc>
        <w:tc>
          <w:tcPr>
            <w:tcW w:w="858" w:type="dxa"/>
            <w:hideMark/>
          </w:tcPr>
          <w:p w:rsidR="00164318" w:rsidRPr="005B0796" w:rsidRDefault="00164318" w:rsidP="002735C8">
            <w:pPr>
              <w:pStyle w:val="TableText"/>
              <w:jc w:val="right"/>
              <w:rPr>
                <w:lang w:eastAsia="en-AU"/>
              </w:rPr>
            </w:pPr>
            <w:r w:rsidRPr="005B0796">
              <w:rPr>
                <w:lang w:eastAsia="en-AU"/>
              </w:rPr>
              <w:t>2.5, 6.8</w:t>
            </w:r>
          </w:p>
        </w:tc>
        <w:tc>
          <w:tcPr>
            <w:tcW w:w="857" w:type="dxa"/>
            <w:noWrap/>
            <w:hideMark/>
          </w:tcPr>
          <w:p w:rsidR="00164318" w:rsidRPr="005B0796" w:rsidRDefault="00164318" w:rsidP="002735C8">
            <w:pPr>
              <w:pStyle w:val="TableText"/>
              <w:jc w:val="right"/>
              <w:rPr>
                <w:lang w:eastAsia="en-AU"/>
              </w:rPr>
            </w:pPr>
            <w:r w:rsidRPr="005B0796">
              <w:rPr>
                <w:lang w:eastAsia="en-AU"/>
              </w:rPr>
              <w:t>135</w:t>
            </w:r>
          </w:p>
        </w:tc>
        <w:tc>
          <w:tcPr>
            <w:tcW w:w="857" w:type="dxa"/>
            <w:hideMark/>
          </w:tcPr>
          <w:p w:rsidR="00164318" w:rsidRPr="005B0796" w:rsidRDefault="00164318" w:rsidP="002735C8">
            <w:pPr>
              <w:pStyle w:val="TableText"/>
              <w:jc w:val="right"/>
              <w:rPr>
                <w:lang w:eastAsia="en-AU"/>
              </w:rPr>
            </w:pPr>
            <w:r w:rsidRPr="005B0796">
              <w:rPr>
                <w:lang w:eastAsia="en-AU"/>
              </w:rPr>
              <w:t>4.1</w:t>
            </w:r>
          </w:p>
        </w:tc>
        <w:tc>
          <w:tcPr>
            <w:tcW w:w="858" w:type="dxa"/>
            <w:hideMark/>
          </w:tcPr>
          <w:p w:rsidR="00164318" w:rsidRPr="005B0796" w:rsidRDefault="00164318" w:rsidP="002735C8">
            <w:pPr>
              <w:pStyle w:val="TableText"/>
              <w:jc w:val="right"/>
              <w:rPr>
                <w:lang w:eastAsia="en-AU"/>
              </w:rPr>
            </w:pPr>
            <w:r w:rsidRPr="005B0796">
              <w:rPr>
                <w:lang w:eastAsia="en-AU"/>
              </w:rPr>
              <w:t>1.3, 12.1</w:t>
            </w:r>
          </w:p>
        </w:tc>
      </w:tr>
      <w:tr w:rsidR="00164318" w:rsidRPr="005B0796" w:rsidTr="002735C8">
        <w:trPr>
          <w:cantSplit/>
        </w:trPr>
        <w:tc>
          <w:tcPr>
            <w:tcW w:w="2185" w:type="dxa"/>
            <w:noWrap/>
            <w:hideMark/>
          </w:tcPr>
          <w:p w:rsidR="00164318" w:rsidRPr="005B0796" w:rsidRDefault="00164318" w:rsidP="002735C8">
            <w:pPr>
              <w:pStyle w:val="TableText"/>
              <w:rPr>
                <w:lang w:eastAsia="en-AU"/>
              </w:rPr>
            </w:pPr>
            <w:r w:rsidRPr="005B0796">
              <w:rPr>
                <w:lang w:eastAsia="en-AU"/>
              </w:rPr>
              <w:t>Posttraumatic stress disorder</w:t>
            </w:r>
          </w:p>
        </w:tc>
        <w:tc>
          <w:tcPr>
            <w:tcW w:w="857" w:type="dxa"/>
            <w:noWrap/>
            <w:hideMark/>
          </w:tcPr>
          <w:p w:rsidR="00164318" w:rsidRPr="005B0796" w:rsidRDefault="00164318" w:rsidP="002735C8">
            <w:pPr>
              <w:pStyle w:val="TableText"/>
              <w:jc w:val="right"/>
              <w:rPr>
                <w:lang w:eastAsia="en-AU"/>
              </w:rPr>
            </w:pPr>
            <w:r w:rsidRPr="005B0796">
              <w:rPr>
                <w:lang w:eastAsia="en-AU"/>
              </w:rPr>
              <w:t>3598</w:t>
            </w:r>
          </w:p>
        </w:tc>
        <w:tc>
          <w:tcPr>
            <w:tcW w:w="857" w:type="dxa"/>
            <w:hideMark/>
          </w:tcPr>
          <w:p w:rsidR="00164318" w:rsidRPr="005B0796" w:rsidRDefault="00164318" w:rsidP="002735C8">
            <w:pPr>
              <w:pStyle w:val="TableText"/>
              <w:jc w:val="right"/>
              <w:rPr>
                <w:lang w:eastAsia="en-AU"/>
              </w:rPr>
            </w:pPr>
            <w:r w:rsidRPr="005B0796">
              <w:rPr>
                <w:lang w:eastAsia="en-AU"/>
              </w:rPr>
              <w:t>16.6</w:t>
            </w:r>
          </w:p>
        </w:tc>
        <w:tc>
          <w:tcPr>
            <w:tcW w:w="858" w:type="dxa"/>
            <w:hideMark/>
          </w:tcPr>
          <w:p w:rsidR="00164318" w:rsidRPr="005B0796" w:rsidRDefault="00164318" w:rsidP="002735C8">
            <w:pPr>
              <w:pStyle w:val="TableText"/>
              <w:jc w:val="right"/>
              <w:rPr>
                <w:lang w:eastAsia="en-AU"/>
              </w:rPr>
            </w:pPr>
            <w:r w:rsidRPr="005B0796">
              <w:rPr>
                <w:lang w:eastAsia="en-AU"/>
              </w:rPr>
              <w:t>13.2, 20.7</w:t>
            </w:r>
          </w:p>
        </w:tc>
        <w:tc>
          <w:tcPr>
            <w:tcW w:w="857" w:type="dxa"/>
            <w:noWrap/>
            <w:hideMark/>
          </w:tcPr>
          <w:p w:rsidR="00164318" w:rsidRPr="005B0796" w:rsidRDefault="00164318" w:rsidP="002735C8">
            <w:pPr>
              <w:pStyle w:val="TableText"/>
              <w:jc w:val="right"/>
              <w:rPr>
                <w:lang w:eastAsia="en-AU"/>
              </w:rPr>
            </w:pPr>
            <w:r w:rsidRPr="005B0796">
              <w:rPr>
                <w:lang w:eastAsia="en-AU"/>
              </w:rPr>
              <w:t>810</w:t>
            </w:r>
          </w:p>
        </w:tc>
        <w:tc>
          <w:tcPr>
            <w:tcW w:w="857" w:type="dxa"/>
            <w:hideMark/>
          </w:tcPr>
          <w:p w:rsidR="00164318" w:rsidRPr="005B0796" w:rsidRDefault="00164318" w:rsidP="002735C8">
            <w:pPr>
              <w:pStyle w:val="TableText"/>
              <w:jc w:val="right"/>
              <w:rPr>
                <w:lang w:eastAsia="en-AU"/>
              </w:rPr>
            </w:pPr>
            <w:r w:rsidRPr="005B0796">
              <w:rPr>
                <w:lang w:eastAsia="en-AU"/>
              </w:rPr>
              <w:t>24.8</w:t>
            </w:r>
          </w:p>
        </w:tc>
        <w:tc>
          <w:tcPr>
            <w:tcW w:w="858" w:type="dxa"/>
            <w:hideMark/>
          </w:tcPr>
          <w:p w:rsidR="00164318" w:rsidRPr="005B0796" w:rsidRDefault="00164318" w:rsidP="002735C8">
            <w:pPr>
              <w:pStyle w:val="TableText"/>
              <w:jc w:val="right"/>
              <w:rPr>
                <w:lang w:eastAsia="en-AU"/>
              </w:rPr>
            </w:pPr>
            <w:r w:rsidRPr="005B0796">
              <w:rPr>
                <w:lang w:eastAsia="en-AU"/>
              </w:rPr>
              <w:t>18.2, 32.8</w:t>
            </w:r>
          </w:p>
        </w:tc>
      </w:tr>
      <w:tr w:rsidR="002735C8" w:rsidRPr="005B0796" w:rsidTr="002735C8">
        <w:trPr>
          <w:cnfStyle w:val="000000100000" w:firstRow="0" w:lastRow="0" w:firstColumn="0" w:lastColumn="0" w:oddVBand="0" w:evenVBand="0" w:oddHBand="1" w:evenHBand="0" w:firstRowFirstColumn="0" w:firstRowLastColumn="0" w:lastRowFirstColumn="0" w:lastRowLastColumn="0"/>
          <w:cantSplit/>
        </w:trPr>
        <w:tc>
          <w:tcPr>
            <w:tcW w:w="2185" w:type="dxa"/>
            <w:noWrap/>
            <w:hideMark/>
          </w:tcPr>
          <w:p w:rsidR="00164318" w:rsidRPr="005B0796" w:rsidRDefault="00164318" w:rsidP="002735C8">
            <w:pPr>
              <w:pStyle w:val="TableText"/>
              <w:rPr>
                <w:lang w:eastAsia="en-AU"/>
              </w:rPr>
            </w:pPr>
            <w:r w:rsidRPr="005B0796">
              <w:rPr>
                <w:lang w:eastAsia="en-AU"/>
              </w:rPr>
              <w:t>Any anxiety disorder</w:t>
            </w:r>
          </w:p>
        </w:tc>
        <w:tc>
          <w:tcPr>
            <w:tcW w:w="857" w:type="dxa"/>
            <w:noWrap/>
            <w:hideMark/>
          </w:tcPr>
          <w:p w:rsidR="00164318" w:rsidRPr="005B0796" w:rsidRDefault="00164318" w:rsidP="002735C8">
            <w:pPr>
              <w:pStyle w:val="TableText"/>
              <w:jc w:val="right"/>
              <w:rPr>
                <w:lang w:eastAsia="en-AU"/>
              </w:rPr>
            </w:pPr>
            <w:r w:rsidRPr="005B0796">
              <w:rPr>
                <w:lang w:eastAsia="en-AU"/>
              </w:rPr>
              <w:t>7865</w:t>
            </w:r>
          </w:p>
        </w:tc>
        <w:tc>
          <w:tcPr>
            <w:tcW w:w="857" w:type="dxa"/>
            <w:hideMark/>
          </w:tcPr>
          <w:p w:rsidR="00164318" w:rsidRPr="005B0796" w:rsidRDefault="00164318" w:rsidP="002735C8">
            <w:pPr>
              <w:pStyle w:val="TableText"/>
              <w:jc w:val="right"/>
              <w:rPr>
                <w:lang w:eastAsia="en-AU"/>
              </w:rPr>
            </w:pPr>
            <w:r w:rsidRPr="005B0796">
              <w:rPr>
                <w:lang w:eastAsia="en-AU"/>
              </w:rPr>
              <w:t>36.3</w:t>
            </w:r>
          </w:p>
        </w:tc>
        <w:tc>
          <w:tcPr>
            <w:tcW w:w="858" w:type="dxa"/>
            <w:hideMark/>
          </w:tcPr>
          <w:p w:rsidR="00164318" w:rsidRPr="005B0796" w:rsidRDefault="00164318" w:rsidP="002735C8">
            <w:pPr>
              <w:pStyle w:val="TableText"/>
              <w:jc w:val="right"/>
              <w:rPr>
                <w:lang w:eastAsia="en-AU"/>
              </w:rPr>
            </w:pPr>
            <w:r w:rsidRPr="005B0796">
              <w:rPr>
                <w:lang w:eastAsia="en-AU"/>
              </w:rPr>
              <w:t>31.5, 41.4</w:t>
            </w:r>
          </w:p>
        </w:tc>
        <w:tc>
          <w:tcPr>
            <w:tcW w:w="857" w:type="dxa"/>
            <w:noWrap/>
            <w:hideMark/>
          </w:tcPr>
          <w:p w:rsidR="00164318" w:rsidRPr="005B0796" w:rsidRDefault="00164318" w:rsidP="002735C8">
            <w:pPr>
              <w:pStyle w:val="TableText"/>
              <w:jc w:val="right"/>
              <w:rPr>
                <w:lang w:eastAsia="en-AU"/>
              </w:rPr>
            </w:pPr>
            <w:r w:rsidRPr="005B0796">
              <w:rPr>
                <w:lang w:eastAsia="en-AU"/>
              </w:rPr>
              <w:t>1367</w:t>
            </w:r>
          </w:p>
        </w:tc>
        <w:tc>
          <w:tcPr>
            <w:tcW w:w="857" w:type="dxa"/>
            <w:hideMark/>
          </w:tcPr>
          <w:p w:rsidR="00164318" w:rsidRPr="005B0796" w:rsidRDefault="00164318" w:rsidP="002735C8">
            <w:pPr>
              <w:pStyle w:val="TableText"/>
              <w:jc w:val="right"/>
              <w:rPr>
                <w:lang w:eastAsia="en-AU"/>
              </w:rPr>
            </w:pPr>
            <w:r w:rsidRPr="005B0796">
              <w:rPr>
                <w:lang w:eastAsia="en-AU"/>
              </w:rPr>
              <w:t>41.9</w:t>
            </w:r>
          </w:p>
        </w:tc>
        <w:tc>
          <w:tcPr>
            <w:tcW w:w="858" w:type="dxa"/>
            <w:hideMark/>
          </w:tcPr>
          <w:p w:rsidR="00164318" w:rsidRPr="005B0796" w:rsidRDefault="00164318" w:rsidP="002735C8">
            <w:pPr>
              <w:pStyle w:val="TableText"/>
              <w:jc w:val="right"/>
              <w:rPr>
                <w:lang w:eastAsia="en-AU"/>
              </w:rPr>
            </w:pPr>
            <w:r w:rsidRPr="005B0796">
              <w:rPr>
                <w:lang w:eastAsia="en-AU"/>
              </w:rPr>
              <w:t>32.3, 52.2</w:t>
            </w:r>
          </w:p>
        </w:tc>
      </w:tr>
    </w:tbl>
    <w:p w:rsidR="00EF53A1" w:rsidRPr="005B0796" w:rsidRDefault="00EF53A1" w:rsidP="00EF53A1">
      <w:pPr>
        <w:pStyle w:val="TableNotes"/>
      </w:pPr>
      <w:r w:rsidRPr="005B0796">
        <w:t>Note: 95%</w:t>
      </w:r>
      <w:r w:rsidR="00F6614D">
        <w:t xml:space="preserve"> </w:t>
      </w:r>
      <w:r w:rsidRPr="005B0796">
        <w:t xml:space="preserve">CI: 95% </w:t>
      </w:r>
      <w:r w:rsidR="00564689" w:rsidRPr="005B0796">
        <w:t>confidence interval</w:t>
      </w:r>
    </w:p>
    <w:p w:rsidR="00EF53A1" w:rsidRPr="005B0796" w:rsidRDefault="00EF53A1" w:rsidP="00700D82">
      <w:pPr>
        <w:pStyle w:val="FigureName"/>
      </w:pPr>
      <w:bookmarkStart w:id="270" w:name="_Ref484521165"/>
      <w:bookmarkStart w:id="271" w:name="_Toc482023826"/>
      <w:bookmarkStart w:id="272" w:name="_Toc487014350"/>
      <w:bookmarkStart w:id="273" w:name="_Toc51190051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w:t>
      </w:r>
      <w:r w:rsidR="00D30A3C">
        <w:rPr>
          <w:noProof/>
        </w:rPr>
        <w:fldChar w:fldCharType="end"/>
      </w:r>
      <w:bookmarkEnd w:id="270"/>
      <w:r w:rsidRPr="005B0796">
        <w:tab/>
        <w:t>Estimated prevalence of 12-month ICD-10 anxiety disorders in Transitioned ADF members</w:t>
      </w:r>
      <w:r w:rsidR="00F6614D">
        <w:t>,</w:t>
      </w:r>
      <w:r w:rsidRPr="005B0796">
        <w:t xml:space="preserve"> by sex</w:t>
      </w:r>
      <w:bookmarkEnd w:id="271"/>
      <w:bookmarkEnd w:id="272"/>
      <w:bookmarkEnd w:id="273"/>
    </w:p>
    <w:tbl>
      <w:tblPr>
        <w:tblW w:w="5000" w:type="pct"/>
        <w:tblLayout w:type="fixed"/>
        <w:tblCellMar>
          <w:left w:w="115" w:type="dxa"/>
          <w:right w:w="115" w:type="dxa"/>
        </w:tblCellMar>
        <w:tblLook w:val="04A0" w:firstRow="1" w:lastRow="0" w:firstColumn="1" w:lastColumn="0" w:noHBand="0" w:noVBand="1"/>
      </w:tblPr>
      <w:tblGrid>
        <w:gridCol w:w="7329"/>
      </w:tblGrid>
      <w:tr w:rsidR="00164318" w:rsidRPr="005B0796" w:rsidTr="00340FA8">
        <w:trPr>
          <w:cantSplit/>
        </w:trPr>
        <w:tc>
          <w:tcPr>
            <w:tcW w:w="9690" w:type="dxa"/>
          </w:tcPr>
          <w:p w:rsidR="00164318" w:rsidRPr="005B0796" w:rsidRDefault="00164318" w:rsidP="0019239D">
            <w:r w:rsidRPr="005B0796">
              <w:rPr>
                <w:i/>
                <w:noProof/>
                <w:lang w:eastAsia="en-AU"/>
              </w:rPr>
              <w:drawing>
                <wp:inline distT="0" distB="0" distL="0" distR="0" wp14:anchorId="36F4E32A" wp14:editId="6BBB992C">
                  <wp:extent cx="4543425" cy="3143250"/>
                  <wp:effectExtent l="0" t="0" r="0" b="0"/>
                  <wp:docPr id="74" name="Chart 74" descr="Figure 4.2 Estimated prevalence of 12-month ICD-10 anxiety disorders in Transitioned ADF member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164318" w:rsidRPr="005B0796" w:rsidRDefault="00164318" w:rsidP="00164318"/>
    <w:p w:rsidR="009E1108" w:rsidRPr="005B0796" w:rsidRDefault="009E1108" w:rsidP="009E1108">
      <w:pPr>
        <w:sectPr w:rsidR="009E1108" w:rsidRPr="005B0796" w:rsidSect="005C3E97">
          <w:footerReference w:type="even" r:id="rId46"/>
          <w:footerReference w:type="default" r:id="rId47"/>
          <w:pgSz w:w="9979" w:h="14170" w:code="243"/>
          <w:pgMar w:top="1440" w:right="1152" w:bottom="1440" w:left="1728" w:header="576" w:footer="576" w:gutter="0"/>
          <w:cols w:space="708"/>
          <w:docGrid w:linePitch="360"/>
        </w:sectPr>
      </w:pPr>
    </w:p>
    <w:p w:rsidR="00D060FC" w:rsidRPr="005B0796" w:rsidRDefault="00D060FC" w:rsidP="00EF53A1">
      <w:pPr>
        <w:pStyle w:val="TableName"/>
      </w:pPr>
      <w:bookmarkStart w:id="274" w:name="_Ref494275919"/>
      <w:bookmarkStart w:id="275" w:name="_Toc51190040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6</w:t>
      </w:r>
      <w:r w:rsidR="00D30A3C">
        <w:rPr>
          <w:noProof/>
        </w:rPr>
        <w:fldChar w:fldCharType="end"/>
      </w:r>
      <w:bookmarkEnd w:id="274"/>
      <w:r w:rsidR="00EF53A1" w:rsidRPr="005B0796">
        <w:tab/>
      </w:r>
      <w:r w:rsidRPr="005B0796">
        <w:t>Estimated prevalence of 12-month ICD-10 anxiety disorders in Transitioned ADF members, by anxiety disorder type and age</w:t>
      </w:r>
      <w:bookmarkEnd w:id="275"/>
    </w:p>
    <w:tbl>
      <w:tblPr>
        <w:tblStyle w:val="TWRPTable"/>
        <w:tblW w:w="5000" w:type="pct"/>
        <w:tblLayout w:type="fixed"/>
        <w:tblCellMar>
          <w:left w:w="115" w:type="dxa"/>
          <w:right w:w="115" w:type="dxa"/>
        </w:tblCellMar>
        <w:tblLook w:val="04A0" w:firstRow="1" w:lastRow="0" w:firstColumn="1" w:lastColumn="0" w:noHBand="0" w:noVBand="1"/>
        <w:tblDescription w:val="Table 4.6 Estimated prevalence of 12-month ICD-10 anxiety disorders in Transitioned ADF members, by anxiety disorder type and age"/>
      </w:tblPr>
      <w:tblGrid>
        <w:gridCol w:w="1015"/>
        <w:gridCol w:w="810"/>
        <w:gridCol w:w="540"/>
        <w:gridCol w:w="823"/>
        <w:gridCol w:w="797"/>
        <w:gridCol w:w="540"/>
        <w:gridCol w:w="746"/>
        <w:gridCol w:w="784"/>
        <w:gridCol w:w="540"/>
        <w:gridCol w:w="759"/>
        <w:gridCol w:w="771"/>
        <w:gridCol w:w="540"/>
        <w:gridCol w:w="772"/>
        <w:gridCol w:w="758"/>
        <w:gridCol w:w="540"/>
        <w:gridCol w:w="785"/>
      </w:tblGrid>
      <w:tr w:rsidR="00340FA8" w:rsidRPr="005B0796" w:rsidTr="00F6614D">
        <w:trPr>
          <w:cnfStyle w:val="100000000000" w:firstRow="1" w:lastRow="0" w:firstColumn="0" w:lastColumn="0" w:oddVBand="0" w:evenVBand="0" w:oddHBand="0" w:evenHBand="0" w:firstRowFirstColumn="0" w:firstRowLastColumn="0" w:lastRowFirstColumn="0" w:lastRowLastColumn="0"/>
          <w:cantSplit/>
          <w:tblHeader/>
        </w:trPr>
        <w:tc>
          <w:tcPr>
            <w:tcW w:w="1015" w:type="dxa"/>
            <w:vMerge w:val="restart"/>
            <w:noWrap/>
            <w:hideMark/>
          </w:tcPr>
          <w:p w:rsidR="00340FA8" w:rsidRPr="005B0796" w:rsidRDefault="00340FA8" w:rsidP="00231128">
            <w:pPr>
              <w:pStyle w:val="TableText"/>
              <w:rPr>
                <w:lang w:eastAsia="en-AU"/>
              </w:rPr>
            </w:pPr>
            <w:r w:rsidRPr="005B0796">
              <w:rPr>
                <w:lang w:eastAsia="en-AU"/>
              </w:rPr>
              <w:t xml:space="preserve">ICD-10 </w:t>
            </w:r>
            <w:r w:rsidR="00231128" w:rsidRPr="005B0796">
              <w:rPr>
                <w:lang w:eastAsia="en-AU"/>
              </w:rPr>
              <w:t>anxiety disorder</w:t>
            </w:r>
          </w:p>
        </w:tc>
        <w:tc>
          <w:tcPr>
            <w:tcW w:w="10505" w:type="dxa"/>
            <w:gridSpan w:val="15"/>
            <w:noWrap/>
            <w:hideMark/>
          </w:tcPr>
          <w:p w:rsidR="00340FA8" w:rsidRPr="005B0796" w:rsidRDefault="00340FA8" w:rsidP="00340FA8">
            <w:pPr>
              <w:pStyle w:val="TableText"/>
              <w:jc w:val="center"/>
            </w:pPr>
            <w:r w:rsidRPr="005B0796">
              <w:t>Age</w:t>
            </w:r>
          </w:p>
        </w:tc>
      </w:tr>
      <w:tr w:rsidR="00340FA8" w:rsidRPr="005B0796" w:rsidTr="00F6614D">
        <w:trPr>
          <w:cnfStyle w:val="100000000000" w:firstRow="1" w:lastRow="0" w:firstColumn="0" w:lastColumn="0" w:oddVBand="0" w:evenVBand="0" w:oddHBand="0" w:evenHBand="0" w:firstRowFirstColumn="0" w:firstRowLastColumn="0" w:lastRowFirstColumn="0" w:lastRowLastColumn="0"/>
          <w:cantSplit/>
          <w:tblHeader/>
        </w:trPr>
        <w:tc>
          <w:tcPr>
            <w:tcW w:w="1015" w:type="dxa"/>
            <w:vMerge/>
            <w:hideMark/>
          </w:tcPr>
          <w:p w:rsidR="00340FA8" w:rsidRPr="005B0796" w:rsidRDefault="00340FA8" w:rsidP="00340FA8">
            <w:pPr>
              <w:pStyle w:val="TableText"/>
              <w:rPr>
                <w:b w:val="0"/>
                <w:lang w:eastAsia="en-AU"/>
              </w:rPr>
            </w:pPr>
          </w:p>
        </w:tc>
        <w:tc>
          <w:tcPr>
            <w:tcW w:w="2173" w:type="dxa"/>
            <w:gridSpan w:val="3"/>
            <w:noWrap/>
            <w:hideMark/>
          </w:tcPr>
          <w:p w:rsidR="00340FA8" w:rsidRPr="005B0796" w:rsidRDefault="00340FA8" w:rsidP="00340FA8">
            <w:pPr>
              <w:pStyle w:val="TableText"/>
              <w:jc w:val="center"/>
            </w:pPr>
            <w:r w:rsidRPr="005B0796">
              <w:t>18–27 (n = 5195)</w:t>
            </w:r>
          </w:p>
        </w:tc>
        <w:tc>
          <w:tcPr>
            <w:tcW w:w="2083" w:type="dxa"/>
            <w:gridSpan w:val="3"/>
            <w:noWrap/>
            <w:hideMark/>
          </w:tcPr>
          <w:p w:rsidR="00340FA8" w:rsidRPr="005B0796" w:rsidRDefault="00340FA8" w:rsidP="00340FA8">
            <w:pPr>
              <w:pStyle w:val="TableText"/>
              <w:jc w:val="center"/>
            </w:pPr>
            <w:r w:rsidRPr="005B0796">
              <w:t>28–37 (n = 8808)</w:t>
            </w:r>
          </w:p>
        </w:tc>
        <w:tc>
          <w:tcPr>
            <w:tcW w:w="2083" w:type="dxa"/>
            <w:gridSpan w:val="3"/>
            <w:noWrap/>
            <w:hideMark/>
          </w:tcPr>
          <w:p w:rsidR="00340FA8" w:rsidRPr="005B0796" w:rsidRDefault="00340FA8" w:rsidP="00340FA8">
            <w:pPr>
              <w:pStyle w:val="TableText"/>
              <w:jc w:val="center"/>
            </w:pPr>
            <w:r w:rsidRPr="005B0796">
              <w:t>38–47 (n = 5215)</w:t>
            </w:r>
          </w:p>
        </w:tc>
        <w:tc>
          <w:tcPr>
            <w:tcW w:w="2083" w:type="dxa"/>
            <w:gridSpan w:val="3"/>
            <w:noWrap/>
            <w:hideMark/>
          </w:tcPr>
          <w:p w:rsidR="00340FA8" w:rsidRPr="005B0796" w:rsidRDefault="00340FA8" w:rsidP="00340FA8">
            <w:pPr>
              <w:pStyle w:val="TableText"/>
              <w:jc w:val="center"/>
            </w:pPr>
            <w:r w:rsidRPr="005B0796">
              <w:t>48–57 (n = 3389)</w:t>
            </w:r>
          </w:p>
        </w:tc>
        <w:tc>
          <w:tcPr>
            <w:tcW w:w="2083" w:type="dxa"/>
            <w:gridSpan w:val="3"/>
            <w:noWrap/>
            <w:hideMark/>
          </w:tcPr>
          <w:p w:rsidR="00340FA8" w:rsidRPr="005B0796" w:rsidRDefault="00340FA8" w:rsidP="00340FA8">
            <w:pPr>
              <w:pStyle w:val="TableText"/>
              <w:jc w:val="center"/>
            </w:pPr>
            <w:r w:rsidRPr="005B0796">
              <w:t>58+ (n = 1937)</w:t>
            </w:r>
          </w:p>
        </w:tc>
      </w:tr>
      <w:tr w:rsidR="00340FA8" w:rsidRPr="005B0796" w:rsidTr="00F6614D">
        <w:trPr>
          <w:cnfStyle w:val="100000000000" w:firstRow="1" w:lastRow="0" w:firstColumn="0" w:lastColumn="0" w:oddVBand="0" w:evenVBand="0" w:oddHBand="0" w:evenHBand="0" w:firstRowFirstColumn="0" w:firstRowLastColumn="0" w:lastRowFirstColumn="0" w:lastRowLastColumn="0"/>
          <w:cantSplit/>
          <w:tblHeader/>
        </w:trPr>
        <w:tc>
          <w:tcPr>
            <w:tcW w:w="1015" w:type="dxa"/>
            <w:vMerge/>
            <w:noWrap/>
            <w:hideMark/>
          </w:tcPr>
          <w:p w:rsidR="00340FA8" w:rsidRPr="005B0796" w:rsidRDefault="00340FA8" w:rsidP="00340FA8">
            <w:pPr>
              <w:pStyle w:val="TableText"/>
              <w:rPr>
                <w:b w:val="0"/>
                <w:lang w:eastAsia="en-AU"/>
              </w:rPr>
            </w:pPr>
          </w:p>
        </w:tc>
        <w:tc>
          <w:tcPr>
            <w:tcW w:w="810" w:type="dxa"/>
            <w:noWrap/>
            <w:hideMark/>
          </w:tcPr>
          <w:p w:rsidR="00340FA8" w:rsidRPr="005B0796" w:rsidRDefault="00340FA8" w:rsidP="00231128">
            <w:pPr>
              <w:pStyle w:val="TableText"/>
              <w:jc w:val="right"/>
            </w:pPr>
            <w:r w:rsidRPr="005B0796">
              <w:t xml:space="preserve">Weighted n </w:t>
            </w:r>
          </w:p>
        </w:tc>
        <w:tc>
          <w:tcPr>
            <w:tcW w:w="540" w:type="dxa"/>
            <w:hideMark/>
          </w:tcPr>
          <w:p w:rsidR="00340FA8" w:rsidRPr="005B0796" w:rsidRDefault="00340FA8" w:rsidP="00340FA8">
            <w:pPr>
              <w:pStyle w:val="TableText"/>
              <w:jc w:val="right"/>
            </w:pPr>
            <w:r w:rsidRPr="005B0796">
              <w:t>%</w:t>
            </w:r>
          </w:p>
        </w:tc>
        <w:tc>
          <w:tcPr>
            <w:tcW w:w="823" w:type="dxa"/>
            <w:hideMark/>
          </w:tcPr>
          <w:p w:rsidR="00340FA8" w:rsidRPr="005B0796" w:rsidRDefault="00340FA8" w:rsidP="00340FA8">
            <w:pPr>
              <w:pStyle w:val="TableText"/>
              <w:jc w:val="right"/>
            </w:pPr>
            <w:r w:rsidRPr="005B0796">
              <w:t>95% CI</w:t>
            </w:r>
          </w:p>
        </w:tc>
        <w:tc>
          <w:tcPr>
            <w:tcW w:w="797" w:type="dxa"/>
            <w:noWrap/>
            <w:hideMark/>
          </w:tcPr>
          <w:p w:rsidR="00340FA8" w:rsidRPr="005B0796" w:rsidRDefault="00340FA8" w:rsidP="00231128">
            <w:pPr>
              <w:pStyle w:val="TableText"/>
              <w:jc w:val="right"/>
            </w:pPr>
            <w:r w:rsidRPr="005B0796">
              <w:t>Weighted n</w:t>
            </w:r>
          </w:p>
        </w:tc>
        <w:tc>
          <w:tcPr>
            <w:tcW w:w="540" w:type="dxa"/>
            <w:hideMark/>
          </w:tcPr>
          <w:p w:rsidR="00340FA8" w:rsidRPr="005B0796" w:rsidRDefault="00340FA8" w:rsidP="00340FA8">
            <w:pPr>
              <w:pStyle w:val="TableText"/>
              <w:jc w:val="right"/>
            </w:pPr>
            <w:r w:rsidRPr="005B0796">
              <w:t>%</w:t>
            </w:r>
          </w:p>
        </w:tc>
        <w:tc>
          <w:tcPr>
            <w:tcW w:w="746" w:type="dxa"/>
            <w:hideMark/>
          </w:tcPr>
          <w:p w:rsidR="00340FA8" w:rsidRPr="005B0796" w:rsidRDefault="00340FA8" w:rsidP="00340FA8">
            <w:pPr>
              <w:pStyle w:val="TableText"/>
              <w:jc w:val="right"/>
            </w:pPr>
            <w:r w:rsidRPr="005B0796">
              <w:t>95% CI</w:t>
            </w:r>
          </w:p>
        </w:tc>
        <w:tc>
          <w:tcPr>
            <w:tcW w:w="784" w:type="dxa"/>
            <w:noWrap/>
            <w:hideMark/>
          </w:tcPr>
          <w:p w:rsidR="00340FA8" w:rsidRPr="005B0796" w:rsidRDefault="00340FA8" w:rsidP="00231128">
            <w:pPr>
              <w:pStyle w:val="TableText"/>
              <w:jc w:val="right"/>
            </w:pPr>
            <w:r w:rsidRPr="005B0796">
              <w:t>Weighted n</w:t>
            </w:r>
          </w:p>
        </w:tc>
        <w:tc>
          <w:tcPr>
            <w:tcW w:w="540" w:type="dxa"/>
            <w:hideMark/>
          </w:tcPr>
          <w:p w:rsidR="00340FA8" w:rsidRPr="005B0796" w:rsidRDefault="00340FA8" w:rsidP="00340FA8">
            <w:pPr>
              <w:pStyle w:val="TableText"/>
              <w:jc w:val="right"/>
            </w:pPr>
            <w:r w:rsidRPr="005B0796">
              <w:t>%</w:t>
            </w:r>
          </w:p>
        </w:tc>
        <w:tc>
          <w:tcPr>
            <w:tcW w:w="759" w:type="dxa"/>
            <w:hideMark/>
          </w:tcPr>
          <w:p w:rsidR="00340FA8" w:rsidRPr="005B0796" w:rsidRDefault="00340FA8" w:rsidP="00340FA8">
            <w:pPr>
              <w:pStyle w:val="TableText"/>
              <w:jc w:val="right"/>
            </w:pPr>
            <w:r w:rsidRPr="005B0796">
              <w:t>95% CI</w:t>
            </w:r>
          </w:p>
        </w:tc>
        <w:tc>
          <w:tcPr>
            <w:tcW w:w="771" w:type="dxa"/>
            <w:noWrap/>
            <w:hideMark/>
          </w:tcPr>
          <w:p w:rsidR="00340FA8" w:rsidRPr="005B0796" w:rsidRDefault="00340FA8" w:rsidP="00231128">
            <w:pPr>
              <w:pStyle w:val="TableText"/>
              <w:jc w:val="right"/>
            </w:pPr>
            <w:r w:rsidRPr="005B0796">
              <w:t>Weighted n</w:t>
            </w:r>
          </w:p>
        </w:tc>
        <w:tc>
          <w:tcPr>
            <w:tcW w:w="540" w:type="dxa"/>
            <w:hideMark/>
          </w:tcPr>
          <w:p w:rsidR="00340FA8" w:rsidRPr="005B0796" w:rsidRDefault="00340FA8" w:rsidP="00340FA8">
            <w:pPr>
              <w:pStyle w:val="TableText"/>
              <w:jc w:val="right"/>
            </w:pPr>
            <w:r w:rsidRPr="005B0796">
              <w:t>%</w:t>
            </w:r>
          </w:p>
        </w:tc>
        <w:tc>
          <w:tcPr>
            <w:tcW w:w="772" w:type="dxa"/>
            <w:hideMark/>
          </w:tcPr>
          <w:p w:rsidR="00340FA8" w:rsidRPr="005B0796" w:rsidRDefault="00340FA8" w:rsidP="00340FA8">
            <w:pPr>
              <w:pStyle w:val="TableText"/>
              <w:jc w:val="right"/>
            </w:pPr>
            <w:r w:rsidRPr="005B0796">
              <w:t>95% CI</w:t>
            </w:r>
          </w:p>
        </w:tc>
        <w:tc>
          <w:tcPr>
            <w:tcW w:w="758" w:type="dxa"/>
            <w:noWrap/>
            <w:hideMark/>
          </w:tcPr>
          <w:p w:rsidR="00340FA8" w:rsidRPr="005B0796" w:rsidRDefault="00340FA8" w:rsidP="00231128">
            <w:pPr>
              <w:pStyle w:val="TableText"/>
              <w:jc w:val="right"/>
            </w:pPr>
            <w:r w:rsidRPr="005B0796">
              <w:t>Weighted n</w:t>
            </w:r>
          </w:p>
        </w:tc>
        <w:tc>
          <w:tcPr>
            <w:tcW w:w="540" w:type="dxa"/>
            <w:hideMark/>
          </w:tcPr>
          <w:p w:rsidR="00340FA8" w:rsidRPr="005B0796" w:rsidRDefault="00340FA8" w:rsidP="00340FA8">
            <w:pPr>
              <w:pStyle w:val="TableText"/>
              <w:jc w:val="right"/>
            </w:pPr>
            <w:r w:rsidRPr="005B0796">
              <w:t>%</w:t>
            </w:r>
          </w:p>
        </w:tc>
        <w:tc>
          <w:tcPr>
            <w:tcW w:w="785" w:type="dxa"/>
            <w:hideMark/>
          </w:tcPr>
          <w:p w:rsidR="00340FA8" w:rsidRPr="005B0796" w:rsidRDefault="00340FA8" w:rsidP="00340FA8">
            <w:pPr>
              <w:pStyle w:val="TableText"/>
              <w:jc w:val="right"/>
            </w:pPr>
            <w:r w:rsidRPr="005B0796">
              <w:t>95% CI</w:t>
            </w:r>
          </w:p>
        </w:tc>
      </w:tr>
      <w:tr w:rsidR="00340FA8" w:rsidRPr="005B0796" w:rsidTr="00F6614D">
        <w:trPr>
          <w:cnfStyle w:val="000000100000" w:firstRow="0" w:lastRow="0" w:firstColumn="0" w:lastColumn="0" w:oddVBand="0" w:evenVBand="0" w:oddHBand="1" w:evenHBand="0" w:firstRowFirstColumn="0" w:firstRowLastColumn="0" w:lastRowFirstColumn="0" w:lastRowLastColumn="0"/>
          <w:cantSplit/>
        </w:trPr>
        <w:tc>
          <w:tcPr>
            <w:tcW w:w="1015" w:type="dxa"/>
            <w:noWrap/>
            <w:hideMark/>
          </w:tcPr>
          <w:p w:rsidR="00D060FC" w:rsidRPr="005B0796" w:rsidRDefault="00D060FC" w:rsidP="00340FA8">
            <w:pPr>
              <w:pStyle w:val="TableText"/>
              <w:rPr>
                <w:lang w:eastAsia="en-AU"/>
              </w:rPr>
            </w:pPr>
            <w:r w:rsidRPr="005B0796">
              <w:rPr>
                <w:lang w:eastAsia="en-AU"/>
              </w:rPr>
              <w:t>Panic attack</w:t>
            </w:r>
          </w:p>
        </w:tc>
        <w:tc>
          <w:tcPr>
            <w:tcW w:w="810" w:type="dxa"/>
            <w:noWrap/>
            <w:hideMark/>
          </w:tcPr>
          <w:p w:rsidR="00D060FC" w:rsidRPr="005B0796" w:rsidRDefault="00D060FC" w:rsidP="00340FA8">
            <w:pPr>
              <w:pStyle w:val="TableText"/>
              <w:jc w:val="right"/>
              <w:rPr>
                <w:lang w:eastAsia="en-AU"/>
              </w:rPr>
            </w:pPr>
            <w:r w:rsidRPr="005B0796">
              <w:rPr>
                <w:lang w:eastAsia="en-AU"/>
              </w:rPr>
              <w:t>796</w:t>
            </w:r>
          </w:p>
        </w:tc>
        <w:tc>
          <w:tcPr>
            <w:tcW w:w="540" w:type="dxa"/>
            <w:hideMark/>
          </w:tcPr>
          <w:p w:rsidR="00D060FC" w:rsidRPr="005B0796" w:rsidRDefault="00D060FC" w:rsidP="00340FA8">
            <w:pPr>
              <w:pStyle w:val="TableText"/>
              <w:jc w:val="right"/>
              <w:rPr>
                <w:lang w:eastAsia="en-AU"/>
              </w:rPr>
            </w:pPr>
            <w:r w:rsidRPr="005B0796">
              <w:rPr>
                <w:lang w:eastAsia="en-GB"/>
              </w:rPr>
              <w:t>15.3</w:t>
            </w:r>
          </w:p>
        </w:tc>
        <w:tc>
          <w:tcPr>
            <w:tcW w:w="823" w:type="dxa"/>
            <w:hideMark/>
          </w:tcPr>
          <w:p w:rsidR="00D060FC" w:rsidRPr="005B0796" w:rsidRDefault="00D060FC" w:rsidP="00340FA8">
            <w:pPr>
              <w:pStyle w:val="TableText"/>
              <w:jc w:val="right"/>
              <w:rPr>
                <w:lang w:eastAsia="en-AU"/>
              </w:rPr>
            </w:pPr>
            <w:r w:rsidRPr="005B0796">
              <w:rPr>
                <w:lang w:eastAsia="en-GB"/>
              </w:rPr>
              <w:t>7.4, 28.9</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1369</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15.5</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9.5, 24.4</w:t>
            </w:r>
          </w:p>
        </w:tc>
        <w:tc>
          <w:tcPr>
            <w:tcW w:w="784" w:type="dxa"/>
            <w:noWrap/>
            <w:hideMark/>
          </w:tcPr>
          <w:p w:rsidR="00D060FC" w:rsidRPr="005B0796" w:rsidRDefault="00D060FC" w:rsidP="00340FA8">
            <w:pPr>
              <w:pStyle w:val="TableText"/>
              <w:jc w:val="right"/>
              <w:rPr>
                <w:lang w:eastAsia="en-AU"/>
              </w:rPr>
            </w:pPr>
            <w:r w:rsidRPr="005B0796">
              <w:rPr>
                <w:lang w:eastAsia="en-AU"/>
              </w:rPr>
              <w:t>907</w:t>
            </w:r>
          </w:p>
        </w:tc>
        <w:tc>
          <w:tcPr>
            <w:tcW w:w="540" w:type="dxa"/>
            <w:hideMark/>
          </w:tcPr>
          <w:p w:rsidR="00D060FC" w:rsidRPr="005B0796" w:rsidRDefault="00D060FC" w:rsidP="00340FA8">
            <w:pPr>
              <w:pStyle w:val="TableText"/>
              <w:jc w:val="right"/>
              <w:rPr>
                <w:lang w:eastAsia="en-AU"/>
              </w:rPr>
            </w:pPr>
            <w:r w:rsidRPr="005B0796">
              <w:rPr>
                <w:lang w:eastAsia="en-GB"/>
              </w:rPr>
              <w:t>17.4</w:t>
            </w:r>
          </w:p>
        </w:tc>
        <w:tc>
          <w:tcPr>
            <w:tcW w:w="759" w:type="dxa"/>
            <w:hideMark/>
          </w:tcPr>
          <w:p w:rsidR="00D060FC" w:rsidRPr="005B0796" w:rsidRDefault="00D060FC" w:rsidP="00340FA8">
            <w:pPr>
              <w:pStyle w:val="TableText"/>
              <w:jc w:val="right"/>
              <w:rPr>
                <w:lang w:eastAsia="en-AU"/>
              </w:rPr>
            </w:pPr>
            <w:r w:rsidRPr="005B0796">
              <w:rPr>
                <w:lang w:eastAsia="en-GB"/>
              </w:rPr>
              <w:t>12.4, 23.9</w:t>
            </w:r>
          </w:p>
        </w:tc>
        <w:tc>
          <w:tcPr>
            <w:tcW w:w="771" w:type="dxa"/>
            <w:noWrap/>
            <w:hideMark/>
          </w:tcPr>
          <w:p w:rsidR="00D060FC" w:rsidRPr="005B0796" w:rsidRDefault="00D060FC" w:rsidP="00340FA8">
            <w:pPr>
              <w:pStyle w:val="TableText"/>
              <w:jc w:val="right"/>
              <w:rPr>
                <w:lang w:eastAsia="en-AU"/>
              </w:rPr>
            </w:pPr>
            <w:r w:rsidRPr="005B0796">
              <w:rPr>
                <w:lang w:eastAsia="en-AU"/>
              </w:rPr>
              <w:t>584</w:t>
            </w:r>
          </w:p>
        </w:tc>
        <w:tc>
          <w:tcPr>
            <w:tcW w:w="540" w:type="dxa"/>
            <w:hideMark/>
          </w:tcPr>
          <w:p w:rsidR="00D060FC" w:rsidRPr="005B0796" w:rsidRDefault="00D060FC" w:rsidP="00340FA8">
            <w:pPr>
              <w:pStyle w:val="TableText"/>
              <w:jc w:val="right"/>
              <w:rPr>
                <w:lang w:eastAsia="en-AU"/>
              </w:rPr>
            </w:pPr>
            <w:r w:rsidRPr="005B0796">
              <w:rPr>
                <w:lang w:eastAsia="en-GB"/>
              </w:rPr>
              <w:t>17.2</w:t>
            </w:r>
          </w:p>
        </w:tc>
        <w:tc>
          <w:tcPr>
            <w:tcW w:w="772" w:type="dxa"/>
            <w:hideMark/>
          </w:tcPr>
          <w:p w:rsidR="00D060FC" w:rsidRPr="005B0796" w:rsidRDefault="00D060FC" w:rsidP="00340FA8">
            <w:pPr>
              <w:pStyle w:val="TableText"/>
              <w:jc w:val="right"/>
              <w:rPr>
                <w:lang w:eastAsia="en-AU"/>
              </w:rPr>
            </w:pPr>
            <w:r w:rsidRPr="005B0796">
              <w:rPr>
                <w:lang w:eastAsia="en-GB"/>
              </w:rPr>
              <w:t>12.9, 22.5</w:t>
            </w:r>
          </w:p>
        </w:tc>
        <w:tc>
          <w:tcPr>
            <w:tcW w:w="758" w:type="dxa"/>
            <w:noWrap/>
            <w:hideMark/>
          </w:tcPr>
          <w:p w:rsidR="00D060FC" w:rsidRPr="005B0796" w:rsidRDefault="00D060FC" w:rsidP="00340FA8">
            <w:pPr>
              <w:pStyle w:val="TableText"/>
              <w:jc w:val="right"/>
              <w:rPr>
                <w:lang w:eastAsia="en-AU"/>
              </w:rPr>
            </w:pPr>
            <w:r w:rsidRPr="005B0796">
              <w:rPr>
                <w:lang w:eastAsia="en-AU"/>
              </w:rPr>
              <w:t>300</w:t>
            </w:r>
          </w:p>
        </w:tc>
        <w:tc>
          <w:tcPr>
            <w:tcW w:w="540" w:type="dxa"/>
            <w:hideMark/>
          </w:tcPr>
          <w:p w:rsidR="00D060FC" w:rsidRPr="005B0796" w:rsidRDefault="00D060FC" w:rsidP="00340FA8">
            <w:pPr>
              <w:pStyle w:val="TableText"/>
              <w:jc w:val="right"/>
              <w:rPr>
                <w:lang w:eastAsia="en-AU"/>
              </w:rPr>
            </w:pPr>
            <w:r w:rsidRPr="005B0796">
              <w:rPr>
                <w:lang w:eastAsia="en-GB"/>
              </w:rPr>
              <w:t>15.5</w:t>
            </w:r>
          </w:p>
        </w:tc>
        <w:tc>
          <w:tcPr>
            <w:tcW w:w="785" w:type="dxa"/>
            <w:hideMark/>
          </w:tcPr>
          <w:p w:rsidR="00D060FC" w:rsidRPr="005B0796" w:rsidRDefault="00D060FC" w:rsidP="00340FA8">
            <w:pPr>
              <w:pStyle w:val="TableText"/>
              <w:jc w:val="right"/>
              <w:rPr>
                <w:lang w:eastAsia="en-AU"/>
              </w:rPr>
            </w:pPr>
            <w:r w:rsidRPr="005B0796">
              <w:rPr>
                <w:lang w:eastAsia="en-GB"/>
              </w:rPr>
              <w:t>8.7, 26.1</w:t>
            </w:r>
          </w:p>
        </w:tc>
      </w:tr>
      <w:tr w:rsidR="00D060FC" w:rsidRPr="005B0796" w:rsidTr="00F6614D">
        <w:trPr>
          <w:cantSplit/>
        </w:trPr>
        <w:tc>
          <w:tcPr>
            <w:tcW w:w="1015" w:type="dxa"/>
            <w:noWrap/>
            <w:hideMark/>
          </w:tcPr>
          <w:p w:rsidR="00D060FC" w:rsidRPr="005B0796" w:rsidRDefault="00D060FC" w:rsidP="00340FA8">
            <w:pPr>
              <w:pStyle w:val="TableText"/>
              <w:rPr>
                <w:lang w:eastAsia="en-AU"/>
              </w:rPr>
            </w:pPr>
            <w:r w:rsidRPr="005B0796">
              <w:rPr>
                <w:lang w:eastAsia="en-AU"/>
              </w:rPr>
              <w:t>Panic disorder</w:t>
            </w:r>
          </w:p>
        </w:tc>
        <w:tc>
          <w:tcPr>
            <w:tcW w:w="810" w:type="dxa"/>
            <w:noWrap/>
            <w:hideMark/>
          </w:tcPr>
          <w:p w:rsidR="00D060FC" w:rsidRPr="005B0796" w:rsidRDefault="00D060FC" w:rsidP="00340FA8">
            <w:pPr>
              <w:pStyle w:val="TableText"/>
              <w:jc w:val="right"/>
              <w:rPr>
                <w:lang w:eastAsia="en-AU"/>
              </w:rPr>
            </w:pPr>
            <w:r w:rsidRPr="005B0796">
              <w:rPr>
                <w:lang w:eastAsia="en-AU"/>
              </w:rPr>
              <w:t>250</w:t>
            </w:r>
          </w:p>
        </w:tc>
        <w:tc>
          <w:tcPr>
            <w:tcW w:w="540" w:type="dxa"/>
            <w:hideMark/>
          </w:tcPr>
          <w:p w:rsidR="00D060FC" w:rsidRPr="005B0796" w:rsidRDefault="00D060FC" w:rsidP="00340FA8">
            <w:pPr>
              <w:pStyle w:val="TableText"/>
              <w:jc w:val="right"/>
              <w:rPr>
                <w:lang w:eastAsia="en-AU"/>
              </w:rPr>
            </w:pPr>
            <w:r w:rsidRPr="005B0796">
              <w:rPr>
                <w:lang w:eastAsia="en-GB"/>
              </w:rPr>
              <w:t>4.8</w:t>
            </w:r>
          </w:p>
        </w:tc>
        <w:tc>
          <w:tcPr>
            <w:tcW w:w="823" w:type="dxa"/>
            <w:hideMark/>
          </w:tcPr>
          <w:p w:rsidR="00D060FC" w:rsidRPr="005B0796" w:rsidRDefault="00D060FC" w:rsidP="00340FA8">
            <w:pPr>
              <w:pStyle w:val="TableText"/>
              <w:jc w:val="right"/>
              <w:rPr>
                <w:lang w:eastAsia="en-AU"/>
              </w:rPr>
            </w:pPr>
            <w:r w:rsidRPr="005B0796">
              <w:rPr>
                <w:lang w:eastAsia="en-GB"/>
              </w:rPr>
              <w:t>1.3, 16.5</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616</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7.0</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3.2, 14.5</w:t>
            </w:r>
          </w:p>
        </w:tc>
        <w:tc>
          <w:tcPr>
            <w:tcW w:w="784" w:type="dxa"/>
            <w:noWrap/>
            <w:hideMark/>
          </w:tcPr>
          <w:p w:rsidR="00D060FC" w:rsidRPr="005B0796" w:rsidRDefault="00D060FC" w:rsidP="00340FA8">
            <w:pPr>
              <w:pStyle w:val="TableText"/>
              <w:jc w:val="right"/>
              <w:rPr>
                <w:lang w:eastAsia="en-AU"/>
              </w:rPr>
            </w:pPr>
            <w:r w:rsidRPr="005B0796">
              <w:rPr>
                <w:lang w:eastAsia="en-AU"/>
              </w:rPr>
              <w:t>261</w:t>
            </w:r>
          </w:p>
        </w:tc>
        <w:tc>
          <w:tcPr>
            <w:tcW w:w="540" w:type="dxa"/>
            <w:hideMark/>
          </w:tcPr>
          <w:p w:rsidR="00D060FC" w:rsidRPr="005B0796" w:rsidRDefault="00D060FC" w:rsidP="00340FA8">
            <w:pPr>
              <w:pStyle w:val="TableText"/>
              <w:jc w:val="right"/>
              <w:rPr>
                <w:lang w:eastAsia="en-AU"/>
              </w:rPr>
            </w:pPr>
            <w:r w:rsidRPr="005B0796">
              <w:rPr>
                <w:lang w:eastAsia="en-GB"/>
              </w:rPr>
              <w:t>5.0</w:t>
            </w:r>
          </w:p>
        </w:tc>
        <w:tc>
          <w:tcPr>
            <w:tcW w:w="759" w:type="dxa"/>
            <w:hideMark/>
          </w:tcPr>
          <w:p w:rsidR="00D060FC" w:rsidRPr="005B0796" w:rsidRDefault="00D060FC" w:rsidP="00340FA8">
            <w:pPr>
              <w:pStyle w:val="TableText"/>
              <w:jc w:val="right"/>
              <w:rPr>
                <w:lang w:eastAsia="en-AU"/>
              </w:rPr>
            </w:pPr>
            <w:r w:rsidRPr="005B0796">
              <w:rPr>
                <w:lang w:eastAsia="en-GB"/>
              </w:rPr>
              <w:t>3.1, 7.9</w:t>
            </w:r>
          </w:p>
        </w:tc>
        <w:tc>
          <w:tcPr>
            <w:tcW w:w="771" w:type="dxa"/>
            <w:noWrap/>
            <w:hideMark/>
          </w:tcPr>
          <w:p w:rsidR="00D060FC" w:rsidRPr="005B0796" w:rsidRDefault="00D060FC" w:rsidP="00340FA8">
            <w:pPr>
              <w:pStyle w:val="TableText"/>
              <w:jc w:val="right"/>
              <w:rPr>
                <w:lang w:eastAsia="en-AU"/>
              </w:rPr>
            </w:pPr>
            <w:r w:rsidRPr="005B0796">
              <w:rPr>
                <w:lang w:eastAsia="en-AU"/>
              </w:rPr>
              <w:t>171</w:t>
            </w:r>
          </w:p>
        </w:tc>
        <w:tc>
          <w:tcPr>
            <w:tcW w:w="540" w:type="dxa"/>
            <w:hideMark/>
          </w:tcPr>
          <w:p w:rsidR="00D060FC" w:rsidRPr="005B0796" w:rsidRDefault="00D060FC" w:rsidP="00340FA8">
            <w:pPr>
              <w:pStyle w:val="TableText"/>
              <w:jc w:val="right"/>
              <w:rPr>
                <w:lang w:eastAsia="en-AU"/>
              </w:rPr>
            </w:pPr>
            <w:r w:rsidRPr="005B0796">
              <w:rPr>
                <w:lang w:eastAsia="en-GB"/>
              </w:rPr>
              <w:t>5.0</w:t>
            </w:r>
          </w:p>
        </w:tc>
        <w:tc>
          <w:tcPr>
            <w:tcW w:w="772" w:type="dxa"/>
            <w:hideMark/>
          </w:tcPr>
          <w:p w:rsidR="00D060FC" w:rsidRPr="005B0796" w:rsidRDefault="00D060FC" w:rsidP="00340FA8">
            <w:pPr>
              <w:pStyle w:val="TableText"/>
              <w:jc w:val="right"/>
              <w:rPr>
                <w:lang w:eastAsia="en-AU"/>
              </w:rPr>
            </w:pPr>
            <w:r w:rsidRPr="005B0796">
              <w:rPr>
                <w:lang w:eastAsia="en-GB"/>
              </w:rPr>
              <w:t>3.1, 8.1</w:t>
            </w:r>
          </w:p>
        </w:tc>
        <w:tc>
          <w:tcPr>
            <w:tcW w:w="758" w:type="dxa"/>
            <w:noWrap/>
            <w:hideMark/>
          </w:tcPr>
          <w:p w:rsidR="00D060FC" w:rsidRPr="005B0796" w:rsidRDefault="00D060FC" w:rsidP="00340FA8">
            <w:pPr>
              <w:pStyle w:val="TableText"/>
              <w:jc w:val="right"/>
              <w:rPr>
                <w:lang w:eastAsia="en-AU"/>
              </w:rPr>
            </w:pPr>
            <w:r w:rsidRPr="005B0796">
              <w:rPr>
                <w:lang w:eastAsia="en-AU"/>
              </w:rPr>
              <w:t>69</w:t>
            </w:r>
          </w:p>
        </w:tc>
        <w:tc>
          <w:tcPr>
            <w:tcW w:w="540" w:type="dxa"/>
            <w:hideMark/>
          </w:tcPr>
          <w:p w:rsidR="00D060FC" w:rsidRPr="005B0796" w:rsidRDefault="00D060FC" w:rsidP="00340FA8">
            <w:pPr>
              <w:pStyle w:val="TableText"/>
              <w:jc w:val="right"/>
              <w:rPr>
                <w:lang w:eastAsia="en-AU"/>
              </w:rPr>
            </w:pPr>
            <w:r w:rsidRPr="005B0796">
              <w:rPr>
                <w:lang w:eastAsia="en-GB"/>
              </w:rPr>
              <w:t>3.6</w:t>
            </w:r>
          </w:p>
        </w:tc>
        <w:tc>
          <w:tcPr>
            <w:tcW w:w="785" w:type="dxa"/>
            <w:hideMark/>
          </w:tcPr>
          <w:p w:rsidR="00D060FC" w:rsidRPr="005B0796" w:rsidRDefault="00D060FC" w:rsidP="00340FA8">
            <w:pPr>
              <w:pStyle w:val="TableText"/>
              <w:jc w:val="right"/>
              <w:rPr>
                <w:lang w:eastAsia="en-AU"/>
              </w:rPr>
            </w:pPr>
            <w:r w:rsidRPr="005B0796">
              <w:rPr>
                <w:lang w:eastAsia="en-GB"/>
              </w:rPr>
              <w:t>1.8, 7.1</w:t>
            </w:r>
          </w:p>
        </w:tc>
      </w:tr>
      <w:tr w:rsidR="00340FA8" w:rsidRPr="005B0796" w:rsidTr="00F6614D">
        <w:trPr>
          <w:cnfStyle w:val="000000100000" w:firstRow="0" w:lastRow="0" w:firstColumn="0" w:lastColumn="0" w:oddVBand="0" w:evenVBand="0" w:oddHBand="1" w:evenHBand="0" w:firstRowFirstColumn="0" w:firstRowLastColumn="0" w:lastRowFirstColumn="0" w:lastRowLastColumn="0"/>
          <w:cantSplit/>
        </w:trPr>
        <w:tc>
          <w:tcPr>
            <w:tcW w:w="1015" w:type="dxa"/>
            <w:noWrap/>
            <w:hideMark/>
          </w:tcPr>
          <w:p w:rsidR="00D060FC" w:rsidRPr="005B0796" w:rsidRDefault="00D060FC" w:rsidP="00340FA8">
            <w:pPr>
              <w:pStyle w:val="TableText"/>
              <w:rPr>
                <w:lang w:eastAsia="en-AU"/>
              </w:rPr>
            </w:pPr>
            <w:r w:rsidRPr="005B0796">
              <w:rPr>
                <w:lang w:eastAsia="en-AU"/>
              </w:rPr>
              <w:t>Agoraphobia</w:t>
            </w:r>
          </w:p>
        </w:tc>
        <w:tc>
          <w:tcPr>
            <w:tcW w:w="810" w:type="dxa"/>
            <w:noWrap/>
            <w:hideMark/>
          </w:tcPr>
          <w:p w:rsidR="00D060FC" w:rsidRPr="005B0796" w:rsidRDefault="00D060FC" w:rsidP="00340FA8">
            <w:pPr>
              <w:pStyle w:val="TableText"/>
              <w:jc w:val="right"/>
              <w:rPr>
                <w:lang w:eastAsia="en-AU"/>
              </w:rPr>
            </w:pPr>
            <w:r w:rsidRPr="005B0796">
              <w:rPr>
                <w:lang w:eastAsia="en-AU"/>
              </w:rPr>
              <w:t>507</w:t>
            </w:r>
          </w:p>
        </w:tc>
        <w:tc>
          <w:tcPr>
            <w:tcW w:w="540" w:type="dxa"/>
            <w:hideMark/>
          </w:tcPr>
          <w:p w:rsidR="00D060FC" w:rsidRPr="005B0796" w:rsidRDefault="00D060FC" w:rsidP="00340FA8">
            <w:pPr>
              <w:pStyle w:val="TableText"/>
              <w:jc w:val="right"/>
              <w:rPr>
                <w:lang w:eastAsia="en-AU"/>
              </w:rPr>
            </w:pPr>
            <w:r w:rsidRPr="005B0796">
              <w:rPr>
                <w:lang w:eastAsia="en-GB"/>
              </w:rPr>
              <w:t>9.8</w:t>
            </w:r>
          </w:p>
        </w:tc>
        <w:tc>
          <w:tcPr>
            <w:tcW w:w="823" w:type="dxa"/>
            <w:hideMark/>
          </w:tcPr>
          <w:p w:rsidR="00D060FC" w:rsidRPr="005B0796" w:rsidRDefault="00D060FC" w:rsidP="00340FA8">
            <w:pPr>
              <w:pStyle w:val="TableText"/>
              <w:jc w:val="right"/>
              <w:rPr>
                <w:lang w:eastAsia="en-AU"/>
              </w:rPr>
            </w:pPr>
            <w:r w:rsidRPr="005B0796">
              <w:rPr>
                <w:lang w:eastAsia="en-GB"/>
              </w:rPr>
              <w:t>3.8, 23.1</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1085</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12.3</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7.0, 20.7</w:t>
            </w:r>
          </w:p>
        </w:tc>
        <w:tc>
          <w:tcPr>
            <w:tcW w:w="784" w:type="dxa"/>
            <w:noWrap/>
            <w:hideMark/>
          </w:tcPr>
          <w:p w:rsidR="00D060FC" w:rsidRPr="005B0796" w:rsidRDefault="00D060FC" w:rsidP="00340FA8">
            <w:pPr>
              <w:pStyle w:val="TableText"/>
              <w:jc w:val="right"/>
              <w:rPr>
                <w:lang w:eastAsia="en-AU"/>
              </w:rPr>
            </w:pPr>
            <w:r w:rsidRPr="005B0796">
              <w:rPr>
                <w:lang w:eastAsia="en-AU"/>
              </w:rPr>
              <w:t>862</w:t>
            </w:r>
          </w:p>
        </w:tc>
        <w:tc>
          <w:tcPr>
            <w:tcW w:w="540" w:type="dxa"/>
            <w:hideMark/>
          </w:tcPr>
          <w:p w:rsidR="00D060FC" w:rsidRPr="005B0796" w:rsidRDefault="00D060FC" w:rsidP="00340FA8">
            <w:pPr>
              <w:pStyle w:val="TableText"/>
              <w:jc w:val="right"/>
              <w:rPr>
                <w:lang w:eastAsia="en-AU"/>
              </w:rPr>
            </w:pPr>
            <w:r w:rsidRPr="005B0796">
              <w:rPr>
                <w:lang w:eastAsia="en-GB"/>
              </w:rPr>
              <w:t>16.6</w:t>
            </w:r>
          </w:p>
        </w:tc>
        <w:tc>
          <w:tcPr>
            <w:tcW w:w="759" w:type="dxa"/>
            <w:hideMark/>
          </w:tcPr>
          <w:p w:rsidR="00D060FC" w:rsidRPr="005B0796" w:rsidRDefault="00D060FC" w:rsidP="00340FA8">
            <w:pPr>
              <w:pStyle w:val="TableText"/>
              <w:jc w:val="right"/>
              <w:rPr>
                <w:lang w:eastAsia="en-AU"/>
              </w:rPr>
            </w:pPr>
            <w:r w:rsidRPr="005B0796">
              <w:rPr>
                <w:lang w:eastAsia="en-GB"/>
              </w:rPr>
              <w:t>10.7, 24.8</w:t>
            </w:r>
          </w:p>
        </w:tc>
        <w:tc>
          <w:tcPr>
            <w:tcW w:w="771" w:type="dxa"/>
            <w:noWrap/>
            <w:hideMark/>
          </w:tcPr>
          <w:p w:rsidR="00D060FC" w:rsidRPr="005B0796" w:rsidRDefault="00D060FC" w:rsidP="00340FA8">
            <w:pPr>
              <w:pStyle w:val="TableText"/>
              <w:jc w:val="right"/>
              <w:rPr>
                <w:lang w:eastAsia="en-AU"/>
              </w:rPr>
            </w:pPr>
            <w:r w:rsidRPr="005B0796">
              <w:rPr>
                <w:lang w:eastAsia="en-AU"/>
              </w:rPr>
              <w:t>366</w:t>
            </w:r>
          </w:p>
        </w:tc>
        <w:tc>
          <w:tcPr>
            <w:tcW w:w="540" w:type="dxa"/>
            <w:hideMark/>
          </w:tcPr>
          <w:p w:rsidR="00D060FC" w:rsidRPr="005B0796" w:rsidRDefault="00D060FC" w:rsidP="00340FA8">
            <w:pPr>
              <w:pStyle w:val="TableText"/>
              <w:jc w:val="right"/>
              <w:rPr>
                <w:lang w:eastAsia="en-AU"/>
              </w:rPr>
            </w:pPr>
            <w:r w:rsidRPr="005B0796">
              <w:rPr>
                <w:lang w:eastAsia="en-GB"/>
              </w:rPr>
              <w:t>10.8</w:t>
            </w:r>
          </w:p>
        </w:tc>
        <w:tc>
          <w:tcPr>
            <w:tcW w:w="772" w:type="dxa"/>
            <w:hideMark/>
          </w:tcPr>
          <w:p w:rsidR="00D060FC" w:rsidRPr="005B0796" w:rsidRDefault="00D060FC" w:rsidP="00340FA8">
            <w:pPr>
              <w:pStyle w:val="TableText"/>
              <w:jc w:val="right"/>
              <w:rPr>
                <w:lang w:eastAsia="en-AU"/>
              </w:rPr>
            </w:pPr>
            <w:r w:rsidRPr="005B0796">
              <w:rPr>
                <w:lang w:eastAsia="en-GB"/>
              </w:rPr>
              <w:t>7.4, 15.5</w:t>
            </w:r>
          </w:p>
        </w:tc>
        <w:tc>
          <w:tcPr>
            <w:tcW w:w="758" w:type="dxa"/>
            <w:noWrap/>
            <w:hideMark/>
          </w:tcPr>
          <w:p w:rsidR="00D060FC" w:rsidRPr="005B0796" w:rsidRDefault="00D060FC" w:rsidP="00340FA8">
            <w:pPr>
              <w:pStyle w:val="TableText"/>
              <w:jc w:val="right"/>
              <w:rPr>
                <w:lang w:eastAsia="en-AU"/>
              </w:rPr>
            </w:pPr>
            <w:r w:rsidRPr="005B0796">
              <w:rPr>
                <w:lang w:eastAsia="en-AU"/>
              </w:rPr>
              <w:t>180</w:t>
            </w:r>
          </w:p>
        </w:tc>
        <w:tc>
          <w:tcPr>
            <w:tcW w:w="540" w:type="dxa"/>
            <w:hideMark/>
          </w:tcPr>
          <w:p w:rsidR="00D060FC" w:rsidRPr="005B0796" w:rsidRDefault="00D060FC" w:rsidP="00340FA8">
            <w:pPr>
              <w:pStyle w:val="TableText"/>
              <w:jc w:val="right"/>
              <w:rPr>
                <w:lang w:eastAsia="en-AU"/>
              </w:rPr>
            </w:pPr>
            <w:r w:rsidRPr="005B0796">
              <w:rPr>
                <w:lang w:eastAsia="en-GB"/>
              </w:rPr>
              <w:t>9.3</w:t>
            </w:r>
          </w:p>
        </w:tc>
        <w:tc>
          <w:tcPr>
            <w:tcW w:w="785" w:type="dxa"/>
            <w:hideMark/>
          </w:tcPr>
          <w:p w:rsidR="00D060FC" w:rsidRPr="005B0796" w:rsidRDefault="00D060FC" w:rsidP="00340FA8">
            <w:pPr>
              <w:pStyle w:val="TableText"/>
              <w:jc w:val="right"/>
              <w:rPr>
                <w:lang w:eastAsia="en-AU"/>
              </w:rPr>
            </w:pPr>
            <w:r w:rsidRPr="005B0796">
              <w:rPr>
                <w:lang w:eastAsia="en-GB"/>
              </w:rPr>
              <w:t>4.3, 18.9</w:t>
            </w:r>
          </w:p>
        </w:tc>
      </w:tr>
      <w:tr w:rsidR="00D060FC" w:rsidRPr="005B0796" w:rsidTr="00F6614D">
        <w:trPr>
          <w:cantSplit/>
        </w:trPr>
        <w:tc>
          <w:tcPr>
            <w:tcW w:w="1015" w:type="dxa"/>
            <w:noWrap/>
            <w:hideMark/>
          </w:tcPr>
          <w:p w:rsidR="00D060FC" w:rsidRPr="005B0796" w:rsidRDefault="00D060FC" w:rsidP="00340FA8">
            <w:pPr>
              <w:pStyle w:val="TableText"/>
              <w:rPr>
                <w:lang w:eastAsia="en-AU"/>
              </w:rPr>
            </w:pPr>
            <w:r w:rsidRPr="005B0796">
              <w:rPr>
                <w:lang w:eastAsia="en-AU"/>
              </w:rPr>
              <w:t>Social phobia</w:t>
            </w:r>
          </w:p>
        </w:tc>
        <w:tc>
          <w:tcPr>
            <w:tcW w:w="810" w:type="dxa"/>
            <w:noWrap/>
            <w:hideMark/>
          </w:tcPr>
          <w:p w:rsidR="00D060FC" w:rsidRPr="005B0796" w:rsidRDefault="00D060FC" w:rsidP="00340FA8">
            <w:pPr>
              <w:pStyle w:val="TableText"/>
              <w:jc w:val="right"/>
              <w:rPr>
                <w:lang w:eastAsia="en-AU"/>
              </w:rPr>
            </w:pPr>
            <w:r w:rsidRPr="005B0796">
              <w:rPr>
                <w:lang w:eastAsia="en-AU"/>
              </w:rPr>
              <w:t>551</w:t>
            </w:r>
          </w:p>
        </w:tc>
        <w:tc>
          <w:tcPr>
            <w:tcW w:w="540" w:type="dxa"/>
            <w:hideMark/>
          </w:tcPr>
          <w:p w:rsidR="00D060FC" w:rsidRPr="005B0796" w:rsidRDefault="00D060FC" w:rsidP="00340FA8">
            <w:pPr>
              <w:pStyle w:val="TableText"/>
              <w:jc w:val="right"/>
              <w:rPr>
                <w:lang w:eastAsia="en-AU"/>
              </w:rPr>
            </w:pPr>
            <w:r w:rsidRPr="005B0796">
              <w:rPr>
                <w:lang w:eastAsia="en-GB"/>
              </w:rPr>
              <w:t>10.6</w:t>
            </w:r>
          </w:p>
        </w:tc>
        <w:tc>
          <w:tcPr>
            <w:tcW w:w="823" w:type="dxa"/>
            <w:hideMark/>
          </w:tcPr>
          <w:p w:rsidR="00D060FC" w:rsidRPr="005B0796" w:rsidRDefault="00D060FC" w:rsidP="00340FA8">
            <w:pPr>
              <w:pStyle w:val="TableText"/>
              <w:jc w:val="right"/>
              <w:rPr>
                <w:lang w:eastAsia="en-AU"/>
              </w:rPr>
            </w:pPr>
            <w:r w:rsidRPr="005B0796">
              <w:rPr>
                <w:lang w:eastAsia="en-GB"/>
              </w:rPr>
              <w:t>4.4, 23.2</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1047</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11.9</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6.6, 20.4</w:t>
            </w:r>
          </w:p>
        </w:tc>
        <w:tc>
          <w:tcPr>
            <w:tcW w:w="784" w:type="dxa"/>
            <w:noWrap/>
            <w:hideMark/>
          </w:tcPr>
          <w:p w:rsidR="00D060FC" w:rsidRPr="005B0796" w:rsidRDefault="00D060FC" w:rsidP="00340FA8">
            <w:pPr>
              <w:pStyle w:val="TableText"/>
              <w:jc w:val="right"/>
              <w:rPr>
                <w:lang w:eastAsia="en-AU"/>
              </w:rPr>
            </w:pPr>
            <w:r w:rsidRPr="005B0796">
              <w:rPr>
                <w:lang w:eastAsia="en-AU"/>
              </w:rPr>
              <w:t>579</w:t>
            </w:r>
          </w:p>
        </w:tc>
        <w:tc>
          <w:tcPr>
            <w:tcW w:w="540" w:type="dxa"/>
            <w:hideMark/>
          </w:tcPr>
          <w:p w:rsidR="00D060FC" w:rsidRPr="005B0796" w:rsidRDefault="00D060FC" w:rsidP="00340FA8">
            <w:pPr>
              <w:pStyle w:val="TableText"/>
              <w:jc w:val="right"/>
              <w:rPr>
                <w:lang w:eastAsia="en-AU"/>
              </w:rPr>
            </w:pPr>
            <w:r w:rsidRPr="005B0796">
              <w:rPr>
                <w:lang w:eastAsia="en-GB"/>
              </w:rPr>
              <w:t>11.1</w:t>
            </w:r>
          </w:p>
        </w:tc>
        <w:tc>
          <w:tcPr>
            <w:tcW w:w="759" w:type="dxa"/>
            <w:hideMark/>
          </w:tcPr>
          <w:p w:rsidR="00D060FC" w:rsidRPr="005B0796" w:rsidRDefault="00D060FC" w:rsidP="00340FA8">
            <w:pPr>
              <w:pStyle w:val="TableText"/>
              <w:jc w:val="right"/>
              <w:rPr>
                <w:lang w:eastAsia="en-AU"/>
              </w:rPr>
            </w:pPr>
            <w:r w:rsidRPr="005B0796">
              <w:rPr>
                <w:lang w:eastAsia="en-GB"/>
              </w:rPr>
              <w:t>6.9, 17.4</w:t>
            </w:r>
          </w:p>
        </w:tc>
        <w:tc>
          <w:tcPr>
            <w:tcW w:w="771" w:type="dxa"/>
            <w:noWrap/>
            <w:hideMark/>
          </w:tcPr>
          <w:p w:rsidR="00D060FC" w:rsidRPr="005B0796" w:rsidRDefault="00D060FC" w:rsidP="00340FA8">
            <w:pPr>
              <w:pStyle w:val="TableText"/>
              <w:jc w:val="right"/>
              <w:rPr>
                <w:lang w:eastAsia="en-AU"/>
              </w:rPr>
            </w:pPr>
            <w:r w:rsidRPr="005B0796">
              <w:rPr>
                <w:lang w:eastAsia="en-AU"/>
              </w:rPr>
              <w:t>321</w:t>
            </w:r>
          </w:p>
        </w:tc>
        <w:tc>
          <w:tcPr>
            <w:tcW w:w="540" w:type="dxa"/>
            <w:hideMark/>
          </w:tcPr>
          <w:p w:rsidR="00D060FC" w:rsidRPr="005B0796" w:rsidRDefault="00D060FC" w:rsidP="00340FA8">
            <w:pPr>
              <w:pStyle w:val="TableText"/>
              <w:jc w:val="right"/>
              <w:rPr>
                <w:lang w:eastAsia="en-AU"/>
              </w:rPr>
            </w:pPr>
            <w:r w:rsidRPr="005B0796">
              <w:rPr>
                <w:lang w:eastAsia="en-GB"/>
              </w:rPr>
              <w:t>9.5</w:t>
            </w:r>
          </w:p>
        </w:tc>
        <w:tc>
          <w:tcPr>
            <w:tcW w:w="772" w:type="dxa"/>
            <w:hideMark/>
          </w:tcPr>
          <w:p w:rsidR="00D060FC" w:rsidRPr="005B0796" w:rsidRDefault="00D060FC" w:rsidP="00340FA8">
            <w:pPr>
              <w:pStyle w:val="TableText"/>
              <w:jc w:val="right"/>
              <w:rPr>
                <w:lang w:eastAsia="en-AU"/>
              </w:rPr>
            </w:pPr>
            <w:r w:rsidRPr="005B0796">
              <w:rPr>
                <w:lang w:eastAsia="en-GB"/>
              </w:rPr>
              <w:t>6.3, 14.0</w:t>
            </w:r>
          </w:p>
        </w:tc>
        <w:tc>
          <w:tcPr>
            <w:tcW w:w="758" w:type="dxa"/>
            <w:noWrap/>
            <w:hideMark/>
          </w:tcPr>
          <w:p w:rsidR="00D060FC" w:rsidRPr="005B0796" w:rsidRDefault="00D060FC" w:rsidP="00340FA8">
            <w:pPr>
              <w:pStyle w:val="TableText"/>
              <w:jc w:val="right"/>
              <w:rPr>
                <w:lang w:eastAsia="en-AU"/>
              </w:rPr>
            </w:pPr>
            <w:r w:rsidRPr="005B0796">
              <w:rPr>
                <w:lang w:eastAsia="en-AU"/>
              </w:rPr>
              <w:t>68</w:t>
            </w:r>
          </w:p>
        </w:tc>
        <w:tc>
          <w:tcPr>
            <w:tcW w:w="540" w:type="dxa"/>
            <w:hideMark/>
          </w:tcPr>
          <w:p w:rsidR="00D060FC" w:rsidRPr="005B0796" w:rsidRDefault="00D060FC" w:rsidP="00340FA8">
            <w:pPr>
              <w:pStyle w:val="TableText"/>
              <w:jc w:val="right"/>
              <w:rPr>
                <w:lang w:eastAsia="en-AU"/>
              </w:rPr>
            </w:pPr>
            <w:r w:rsidRPr="005B0796">
              <w:rPr>
                <w:lang w:eastAsia="en-GB"/>
              </w:rPr>
              <w:t>3.5</w:t>
            </w:r>
          </w:p>
        </w:tc>
        <w:tc>
          <w:tcPr>
            <w:tcW w:w="785" w:type="dxa"/>
            <w:hideMark/>
          </w:tcPr>
          <w:p w:rsidR="00D060FC" w:rsidRPr="005B0796" w:rsidRDefault="00D060FC" w:rsidP="00340FA8">
            <w:pPr>
              <w:pStyle w:val="TableText"/>
              <w:jc w:val="right"/>
              <w:rPr>
                <w:lang w:eastAsia="en-AU"/>
              </w:rPr>
            </w:pPr>
            <w:r w:rsidRPr="005B0796">
              <w:rPr>
                <w:lang w:eastAsia="en-GB"/>
              </w:rPr>
              <w:t>1.7, 7.1</w:t>
            </w:r>
          </w:p>
        </w:tc>
      </w:tr>
      <w:tr w:rsidR="00340FA8" w:rsidRPr="005B0796" w:rsidTr="00F6614D">
        <w:trPr>
          <w:cnfStyle w:val="000000100000" w:firstRow="0" w:lastRow="0" w:firstColumn="0" w:lastColumn="0" w:oddVBand="0" w:evenVBand="0" w:oddHBand="1" w:evenHBand="0" w:firstRowFirstColumn="0" w:firstRowLastColumn="0" w:lastRowFirstColumn="0" w:lastRowLastColumn="0"/>
          <w:cantSplit/>
        </w:trPr>
        <w:tc>
          <w:tcPr>
            <w:tcW w:w="1015" w:type="dxa"/>
            <w:noWrap/>
            <w:hideMark/>
          </w:tcPr>
          <w:p w:rsidR="00D060FC" w:rsidRPr="005B0796" w:rsidRDefault="00D060FC" w:rsidP="00340FA8">
            <w:pPr>
              <w:pStyle w:val="TableText"/>
              <w:rPr>
                <w:lang w:eastAsia="en-AU"/>
              </w:rPr>
            </w:pPr>
            <w:r w:rsidRPr="005B0796">
              <w:rPr>
                <w:lang w:eastAsia="en-AU"/>
              </w:rPr>
              <w:t>Specific phobia</w:t>
            </w:r>
          </w:p>
        </w:tc>
        <w:tc>
          <w:tcPr>
            <w:tcW w:w="810" w:type="dxa"/>
            <w:noWrap/>
            <w:hideMark/>
          </w:tcPr>
          <w:p w:rsidR="00D060FC" w:rsidRPr="005B0796" w:rsidRDefault="00D060FC" w:rsidP="00340FA8">
            <w:pPr>
              <w:pStyle w:val="TableText"/>
              <w:jc w:val="right"/>
              <w:rPr>
                <w:lang w:eastAsia="en-AU"/>
              </w:rPr>
            </w:pPr>
            <w:r w:rsidRPr="005B0796">
              <w:rPr>
                <w:lang w:eastAsia="en-AU"/>
              </w:rPr>
              <w:t>139</w:t>
            </w:r>
          </w:p>
        </w:tc>
        <w:tc>
          <w:tcPr>
            <w:tcW w:w="540" w:type="dxa"/>
            <w:hideMark/>
          </w:tcPr>
          <w:p w:rsidR="00D060FC" w:rsidRPr="005B0796" w:rsidRDefault="00D060FC" w:rsidP="00340FA8">
            <w:pPr>
              <w:pStyle w:val="TableText"/>
              <w:jc w:val="right"/>
              <w:rPr>
                <w:lang w:eastAsia="en-AU"/>
              </w:rPr>
            </w:pPr>
            <w:r w:rsidRPr="005B0796">
              <w:rPr>
                <w:lang w:eastAsia="en-GB"/>
              </w:rPr>
              <w:t>2.7</w:t>
            </w:r>
          </w:p>
        </w:tc>
        <w:tc>
          <w:tcPr>
            <w:tcW w:w="823" w:type="dxa"/>
            <w:hideMark/>
          </w:tcPr>
          <w:p w:rsidR="00D060FC" w:rsidRPr="005B0796" w:rsidRDefault="00D060FC" w:rsidP="00340FA8">
            <w:pPr>
              <w:pStyle w:val="TableText"/>
              <w:jc w:val="right"/>
              <w:rPr>
                <w:lang w:eastAsia="en-AU"/>
              </w:rPr>
            </w:pPr>
            <w:r w:rsidRPr="005B0796">
              <w:rPr>
                <w:lang w:eastAsia="en-GB"/>
              </w:rPr>
              <w:t>0.7, 9.5</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625</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7.1</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3.3, 14.4</w:t>
            </w:r>
          </w:p>
        </w:tc>
        <w:tc>
          <w:tcPr>
            <w:tcW w:w="784" w:type="dxa"/>
            <w:noWrap/>
            <w:hideMark/>
          </w:tcPr>
          <w:p w:rsidR="00D060FC" w:rsidRPr="005B0796" w:rsidRDefault="00D060FC" w:rsidP="00340FA8">
            <w:pPr>
              <w:pStyle w:val="TableText"/>
              <w:jc w:val="right"/>
              <w:rPr>
                <w:lang w:eastAsia="en-AU"/>
              </w:rPr>
            </w:pPr>
            <w:r w:rsidRPr="005B0796">
              <w:rPr>
                <w:lang w:eastAsia="en-AU"/>
              </w:rPr>
              <w:t>478</w:t>
            </w:r>
          </w:p>
        </w:tc>
        <w:tc>
          <w:tcPr>
            <w:tcW w:w="540" w:type="dxa"/>
            <w:hideMark/>
          </w:tcPr>
          <w:p w:rsidR="00D060FC" w:rsidRPr="005B0796" w:rsidRDefault="00D060FC" w:rsidP="00340FA8">
            <w:pPr>
              <w:pStyle w:val="TableText"/>
              <w:jc w:val="right"/>
              <w:rPr>
                <w:lang w:eastAsia="en-AU"/>
              </w:rPr>
            </w:pPr>
            <w:r w:rsidRPr="005B0796">
              <w:rPr>
                <w:lang w:eastAsia="en-GB"/>
              </w:rPr>
              <w:t>9.2</w:t>
            </w:r>
          </w:p>
        </w:tc>
        <w:tc>
          <w:tcPr>
            <w:tcW w:w="759" w:type="dxa"/>
            <w:hideMark/>
          </w:tcPr>
          <w:p w:rsidR="00D060FC" w:rsidRPr="005B0796" w:rsidRDefault="00D060FC" w:rsidP="00340FA8">
            <w:pPr>
              <w:pStyle w:val="TableText"/>
              <w:jc w:val="right"/>
              <w:rPr>
                <w:lang w:eastAsia="en-AU"/>
              </w:rPr>
            </w:pPr>
            <w:r w:rsidRPr="005B0796">
              <w:rPr>
                <w:lang w:eastAsia="en-GB"/>
              </w:rPr>
              <w:t>5.3, 15.5</w:t>
            </w:r>
          </w:p>
        </w:tc>
        <w:tc>
          <w:tcPr>
            <w:tcW w:w="771" w:type="dxa"/>
            <w:noWrap/>
            <w:hideMark/>
          </w:tcPr>
          <w:p w:rsidR="00D060FC" w:rsidRPr="005B0796" w:rsidRDefault="00D060FC" w:rsidP="00340FA8">
            <w:pPr>
              <w:pStyle w:val="TableText"/>
              <w:jc w:val="right"/>
              <w:rPr>
                <w:lang w:eastAsia="en-AU"/>
              </w:rPr>
            </w:pPr>
            <w:r w:rsidRPr="005B0796">
              <w:rPr>
                <w:lang w:eastAsia="en-AU"/>
              </w:rPr>
              <w:t>430</w:t>
            </w:r>
          </w:p>
        </w:tc>
        <w:tc>
          <w:tcPr>
            <w:tcW w:w="540" w:type="dxa"/>
            <w:hideMark/>
          </w:tcPr>
          <w:p w:rsidR="00D060FC" w:rsidRPr="005B0796" w:rsidRDefault="00D060FC" w:rsidP="00340FA8">
            <w:pPr>
              <w:pStyle w:val="TableText"/>
              <w:jc w:val="right"/>
              <w:rPr>
                <w:lang w:eastAsia="en-AU"/>
              </w:rPr>
            </w:pPr>
            <w:r w:rsidRPr="005B0796">
              <w:rPr>
                <w:lang w:eastAsia="en-GB"/>
              </w:rPr>
              <w:t>12.7</w:t>
            </w:r>
          </w:p>
        </w:tc>
        <w:tc>
          <w:tcPr>
            <w:tcW w:w="772" w:type="dxa"/>
            <w:hideMark/>
          </w:tcPr>
          <w:p w:rsidR="00D060FC" w:rsidRPr="005B0796" w:rsidRDefault="00D060FC" w:rsidP="00340FA8">
            <w:pPr>
              <w:pStyle w:val="TableText"/>
              <w:jc w:val="right"/>
              <w:rPr>
                <w:lang w:eastAsia="en-AU"/>
              </w:rPr>
            </w:pPr>
            <w:r w:rsidRPr="005B0796">
              <w:rPr>
                <w:lang w:eastAsia="en-GB"/>
              </w:rPr>
              <w:t>9.0, 17.6</w:t>
            </w:r>
          </w:p>
        </w:tc>
        <w:tc>
          <w:tcPr>
            <w:tcW w:w="758" w:type="dxa"/>
            <w:noWrap/>
            <w:hideMark/>
          </w:tcPr>
          <w:p w:rsidR="00D060FC" w:rsidRPr="005B0796" w:rsidRDefault="00D060FC" w:rsidP="00340FA8">
            <w:pPr>
              <w:pStyle w:val="TableText"/>
              <w:jc w:val="right"/>
              <w:rPr>
                <w:lang w:eastAsia="en-AU"/>
              </w:rPr>
            </w:pPr>
            <w:r w:rsidRPr="005B0796">
              <w:rPr>
                <w:lang w:eastAsia="en-AU"/>
              </w:rPr>
              <w:t>181</w:t>
            </w:r>
          </w:p>
        </w:tc>
        <w:tc>
          <w:tcPr>
            <w:tcW w:w="540" w:type="dxa"/>
            <w:hideMark/>
          </w:tcPr>
          <w:p w:rsidR="00D060FC" w:rsidRPr="005B0796" w:rsidRDefault="00D060FC" w:rsidP="00340FA8">
            <w:pPr>
              <w:pStyle w:val="TableText"/>
              <w:jc w:val="right"/>
              <w:rPr>
                <w:lang w:eastAsia="en-AU"/>
              </w:rPr>
            </w:pPr>
            <w:r w:rsidRPr="005B0796">
              <w:rPr>
                <w:lang w:eastAsia="en-GB"/>
              </w:rPr>
              <w:t>9.4</w:t>
            </w:r>
          </w:p>
        </w:tc>
        <w:tc>
          <w:tcPr>
            <w:tcW w:w="785" w:type="dxa"/>
            <w:hideMark/>
          </w:tcPr>
          <w:p w:rsidR="00D060FC" w:rsidRPr="005B0796" w:rsidRDefault="00D060FC" w:rsidP="00340FA8">
            <w:pPr>
              <w:pStyle w:val="TableText"/>
              <w:jc w:val="right"/>
              <w:rPr>
                <w:lang w:eastAsia="en-AU"/>
              </w:rPr>
            </w:pPr>
            <w:r w:rsidRPr="005B0796">
              <w:rPr>
                <w:lang w:eastAsia="en-GB"/>
              </w:rPr>
              <w:t>6.2, 13.8</w:t>
            </w:r>
          </w:p>
        </w:tc>
      </w:tr>
      <w:tr w:rsidR="00D060FC" w:rsidRPr="005B0796" w:rsidTr="00F6614D">
        <w:trPr>
          <w:cantSplit/>
        </w:trPr>
        <w:tc>
          <w:tcPr>
            <w:tcW w:w="1015" w:type="dxa"/>
            <w:noWrap/>
            <w:hideMark/>
          </w:tcPr>
          <w:p w:rsidR="00D060FC" w:rsidRPr="005B0796" w:rsidRDefault="00D060FC" w:rsidP="00340FA8">
            <w:pPr>
              <w:pStyle w:val="TableText"/>
              <w:rPr>
                <w:lang w:eastAsia="en-AU"/>
              </w:rPr>
            </w:pPr>
            <w:r w:rsidRPr="005B0796">
              <w:rPr>
                <w:lang w:eastAsia="en-AU"/>
              </w:rPr>
              <w:t>Generalised anxiety disorder</w:t>
            </w:r>
          </w:p>
        </w:tc>
        <w:tc>
          <w:tcPr>
            <w:tcW w:w="810" w:type="dxa"/>
            <w:noWrap/>
            <w:hideMark/>
          </w:tcPr>
          <w:p w:rsidR="00D060FC" w:rsidRPr="005B0796" w:rsidRDefault="00D060FC" w:rsidP="00340FA8">
            <w:pPr>
              <w:pStyle w:val="TableText"/>
              <w:jc w:val="right"/>
              <w:rPr>
                <w:lang w:eastAsia="en-AU"/>
              </w:rPr>
            </w:pPr>
            <w:r w:rsidRPr="005B0796">
              <w:rPr>
                <w:lang w:eastAsia="en-AU"/>
              </w:rPr>
              <w:t>0</w:t>
            </w:r>
          </w:p>
        </w:tc>
        <w:tc>
          <w:tcPr>
            <w:tcW w:w="540" w:type="dxa"/>
            <w:hideMark/>
          </w:tcPr>
          <w:p w:rsidR="00D060FC" w:rsidRPr="005B0796" w:rsidRDefault="00D060FC" w:rsidP="00340FA8">
            <w:pPr>
              <w:pStyle w:val="TableText"/>
              <w:jc w:val="right"/>
              <w:rPr>
                <w:lang w:eastAsia="en-AU"/>
              </w:rPr>
            </w:pPr>
            <w:r w:rsidRPr="005B0796">
              <w:rPr>
                <w:lang w:eastAsia="en-AU"/>
              </w:rPr>
              <w:t>0.0</w:t>
            </w:r>
          </w:p>
        </w:tc>
        <w:tc>
          <w:tcPr>
            <w:tcW w:w="823" w:type="dxa"/>
            <w:hideMark/>
          </w:tcPr>
          <w:p w:rsidR="00D060FC" w:rsidRPr="005B0796" w:rsidRDefault="00D060FC" w:rsidP="00340FA8">
            <w:pPr>
              <w:pStyle w:val="TableText"/>
              <w:jc w:val="right"/>
              <w:rPr>
                <w:lang w:eastAsia="en-AU"/>
              </w:rPr>
            </w:pPr>
            <w:r w:rsidRPr="005B0796">
              <w:rPr>
                <w:lang w:eastAsia="en-AU"/>
              </w:rPr>
              <w:t>0.0, 0.0</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346</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3.9</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1.5, 10.1</w:t>
            </w:r>
          </w:p>
        </w:tc>
        <w:tc>
          <w:tcPr>
            <w:tcW w:w="784" w:type="dxa"/>
            <w:noWrap/>
            <w:hideMark/>
          </w:tcPr>
          <w:p w:rsidR="00D060FC" w:rsidRPr="005B0796" w:rsidRDefault="00D060FC" w:rsidP="00340FA8">
            <w:pPr>
              <w:pStyle w:val="TableText"/>
              <w:jc w:val="right"/>
              <w:rPr>
                <w:lang w:eastAsia="en-AU"/>
              </w:rPr>
            </w:pPr>
            <w:r w:rsidRPr="005B0796">
              <w:rPr>
                <w:lang w:eastAsia="en-AU"/>
              </w:rPr>
              <w:t>443</w:t>
            </w:r>
          </w:p>
        </w:tc>
        <w:tc>
          <w:tcPr>
            <w:tcW w:w="540" w:type="dxa"/>
            <w:hideMark/>
          </w:tcPr>
          <w:p w:rsidR="00D060FC" w:rsidRPr="005B0796" w:rsidRDefault="00D060FC" w:rsidP="00340FA8">
            <w:pPr>
              <w:pStyle w:val="TableText"/>
              <w:jc w:val="right"/>
              <w:rPr>
                <w:lang w:eastAsia="en-AU"/>
              </w:rPr>
            </w:pPr>
            <w:r w:rsidRPr="005B0796">
              <w:rPr>
                <w:lang w:eastAsia="en-GB"/>
              </w:rPr>
              <w:t>8.5</w:t>
            </w:r>
          </w:p>
        </w:tc>
        <w:tc>
          <w:tcPr>
            <w:tcW w:w="759" w:type="dxa"/>
            <w:hideMark/>
          </w:tcPr>
          <w:p w:rsidR="00D060FC" w:rsidRPr="005B0796" w:rsidRDefault="00D060FC" w:rsidP="00340FA8">
            <w:pPr>
              <w:pStyle w:val="TableText"/>
              <w:jc w:val="right"/>
              <w:rPr>
                <w:lang w:eastAsia="en-AU"/>
              </w:rPr>
            </w:pPr>
            <w:r w:rsidRPr="005B0796">
              <w:rPr>
                <w:lang w:eastAsia="en-GB"/>
              </w:rPr>
              <w:t>3.9, 17.3</w:t>
            </w:r>
          </w:p>
        </w:tc>
        <w:tc>
          <w:tcPr>
            <w:tcW w:w="771" w:type="dxa"/>
            <w:noWrap/>
            <w:hideMark/>
          </w:tcPr>
          <w:p w:rsidR="00D060FC" w:rsidRPr="005B0796" w:rsidRDefault="00D060FC" w:rsidP="00340FA8">
            <w:pPr>
              <w:pStyle w:val="TableText"/>
              <w:jc w:val="right"/>
              <w:rPr>
                <w:lang w:eastAsia="en-AU"/>
              </w:rPr>
            </w:pPr>
            <w:r w:rsidRPr="005B0796">
              <w:rPr>
                <w:lang w:eastAsia="en-AU"/>
              </w:rPr>
              <w:t>124</w:t>
            </w:r>
          </w:p>
        </w:tc>
        <w:tc>
          <w:tcPr>
            <w:tcW w:w="540" w:type="dxa"/>
            <w:hideMark/>
          </w:tcPr>
          <w:p w:rsidR="00D060FC" w:rsidRPr="005B0796" w:rsidRDefault="00D060FC" w:rsidP="00340FA8">
            <w:pPr>
              <w:pStyle w:val="TableText"/>
              <w:jc w:val="right"/>
              <w:rPr>
                <w:lang w:eastAsia="en-AU"/>
              </w:rPr>
            </w:pPr>
            <w:r w:rsidRPr="005B0796">
              <w:rPr>
                <w:lang w:eastAsia="en-GB"/>
              </w:rPr>
              <w:t>3.7</w:t>
            </w:r>
          </w:p>
        </w:tc>
        <w:tc>
          <w:tcPr>
            <w:tcW w:w="772" w:type="dxa"/>
            <w:hideMark/>
          </w:tcPr>
          <w:p w:rsidR="00D060FC" w:rsidRPr="005B0796" w:rsidRDefault="00D060FC" w:rsidP="00340FA8">
            <w:pPr>
              <w:pStyle w:val="TableText"/>
              <w:jc w:val="right"/>
              <w:rPr>
                <w:lang w:eastAsia="en-AU"/>
              </w:rPr>
            </w:pPr>
            <w:r w:rsidRPr="005B0796">
              <w:rPr>
                <w:lang w:eastAsia="en-GB"/>
              </w:rPr>
              <w:t>1.9, 7.1</w:t>
            </w:r>
          </w:p>
        </w:tc>
        <w:tc>
          <w:tcPr>
            <w:tcW w:w="758" w:type="dxa"/>
            <w:noWrap/>
            <w:hideMark/>
          </w:tcPr>
          <w:p w:rsidR="00D060FC" w:rsidRPr="005B0796" w:rsidRDefault="00D060FC" w:rsidP="00340FA8">
            <w:pPr>
              <w:pStyle w:val="TableText"/>
              <w:jc w:val="right"/>
              <w:rPr>
                <w:lang w:eastAsia="en-AU"/>
              </w:rPr>
            </w:pPr>
            <w:r w:rsidRPr="005B0796">
              <w:rPr>
                <w:lang w:eastAsia="en-AU"/>
              </w:rPr>
              <w:t>25</w:t>
            </w:r>
          </w:p>
        </w:tc>
        <w:tc>
          <w:tcPr>
            <w:tcW w:w="540" w:type="dxa"/>
            <w:hideMark/>
          </w:tcPr>
          <w:p w:rsidR="00D060FC" w:rsidRPr="005B0796" w:rsidRDefault="00D060FC" w:rsidP="00340FA8">
            <w:pPr>
              <w:pStyle w:val="TableText"/>
              <w:jc w:val="right"/>
              <w:rPr>
                <w:lang w:eastAsia="en-AU"/>
              </w:rPr>
            </w:pPr>
            <w:r w:rsidRPr="005B0796">
              <w:rPr>
                <w:lang w:eastAsia="en-GB"/>
              </w:rPr>
              <w:t>1.3</w:t>
            </w:r>
          </w:p>
        </w:tc>
        <w:tc>
          <w:tcPr>
            <w:tcW w:w="785" w:type="dxa"/>
            <w:hideMark/>
          </w:tcPr>
          <w:p w:rsidR="00D060FC" w:rsidRPr="005B0796" w:rsidRDefault="00D060FC" w:rsidP="00340FA8">
            <w:pPr>
              <w:pStyle w:val="TableText"/>
              <w:jc w:val="right"/>
              <w:rPr>
                <w:lang w:eastAsia="en-AU"/>
              </w:rPr>
            </w:pPr>
            <w:r w:rsidRPr="005B0796">
              <w:rPr>
                <w:lang w:eastAsia="en-GB"/>
              </w:rPr>
              <w:t>0.4, 3.8</w:t>
            </w:r>
          </w:p>
        </w:tc>
      </w:tr>
      <w:tr w:rsidR="00340FA8" w:rsidRPr="005B0796" w:rsidTr="00F6614D">
        <w:trPr>
          <w:cnfStyle w:val="000000100000" w:firstRow="0" w:lastRow="0" w:firstColumn="0" w:lastColumn="0" w:oddVBand="0" w:evenVBand="0" w:oddHBand="1" w:evenHBand="0" w:firstRowFirstColumn="0" w:firstRowLastColumn="0" w:lastRowFirstColumn="0" w:lastRowLastColumn="0"/>
          <w:cantSplit/>
        </w:trPr>
        <w:tc>
          <w:tcPr>
            <w:tcW w:w="1015" w:type="dxa"/>
            <w:noWrap/>
            <w:hideMark/>
          </w:tcPr>
          <w:p w:rsidR="00D060FC" w:rsidRPr="005B0796" w:rsidRDefault="00D060FC" w:rsidP="00340FA8">
            <w:pPr>
              <w:pStyle w:val="TableText"/>
              <w:rPr>
                <w:lang w:eastAsia="en-AU"/>
              </w:rPr>
            </w:pPr>
            <w:r w:rsidRPr="005B0796">
              <w:rPr>
                <w:lang w:eastAsia="en-AU"/>
              </w:rPr>
              <w:t>Obsessive- compulsive disorder</w:t>
            </w:r>
            <w:r w:rsidRPr="005B0796">
              <w:rPr>
                <w:vertAlign w:val="superscript"/>
                <w:lang w:eastAsia="en-AU"/>
              </w:rPr>
              <w:t>a</w:t>
            </w:r>
          </w:p>
        </w:tc>
        <w:tc>
          <w:tcPr>
            <w:tcW w:w="810" w:type="dxa"/>
            <w:noWrap/>
            <w:hideMark/>
          </w:tcPr>
          <w:p w:rsidR="00D060FC" w:rsidRPr="005B0796" w:rsidRDefault="00D060FC" w:rsidP="00340FA8">
            <w:pPr>
              <w:pStyle w:val="TableText"/>
              <w:jc w:val="right"/>
              <w:rPr>
                <w:lang w:eastAsia="en-AU"/>
              </w:rPr>
            </w:pPr>
            <w:r w:rsidRPr="005B0796">
              <w:rPr>
                <w:lang w:eastAsia="en-AU"/>
              </w:rPr>
              <w:t>558</w:t>
            </w:r>
          </w:p>
        </w:tc>
        <w:tc>
          <w:tcPr>
            <w:tcW w:w="540" w:type="dxa"/>
            <w:hideMark/>
          </w:tcPr>
          <w:p w:rsidR="00D060FC" w:rsidRPr="005B0796" w:rsidRDefault="00D060FC" w:rsidP="00340FA8">
            <w:pPr>
              <w:pStyle w:val="TableText"/>
              <w:jc w:val="right"/>
              <w:rPr>
                <w:lang w:eastAsia="en-AU"/>
              </w:rPr>
            </w:pPr>
            <w:r w:rsidRPr="005B0796">
              <w:rPr>
                <w:lang w:eastAsia="en-GB"/>
              </w:rPr>
              <w:t>10.8</w:t>
            </w:r>
          </w:p>
        </w:tc>
        <w:tc>
          <w:tcPr>
            <w:tcW w:w="823" w:type="dxa"/>
            <w:hideMark/>
          </w:tcPr>
          <w:p w:rsidR="00D060FC" w:rsidRPr="005B0796" w:rsidRDefault="00D060FC" w:rsidP="00340FA8">
            <w:pPr>
              <w:pStyle w:val="TableText"/>
              <w:jc w:val="right"/>
              <w:rPr>
                <w:lang w:eastAsia="en-AU"/>
              </w:rPr>
            </w:pPr>
            <w:r w:rsidRPr="005B0796">
              <w:rPr>
                <w:lang w:eastAsia="en-GB"/>
              </w:rPr>
              <w:t>4.6, 23.3</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72</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0.8</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0.4, 1.9</w:t>
            </w:r>
          </w:p>
        </w:tc>
        <w:tc>
          <w:tcPr>
            <w:tcW w:w="784" w:type="dxa"/>
            <w:hideMark/>
          </w:tcPr>
          <w:p w:rsidR="00D060FC" w:rsidRPr="005B0796" w:rsidRDefault="00D060FC" w:rsidP="00340FA8">
            <w:pPr>
              <w:pStyle w:val="TableText"/>
              <w:jc w:val="right"/>
              <w:rPr>
                <w:lang w:eastAsia="en-AU"/>
              </w:rPr>
            </w:pPr>
            <w:r w:rsidRPr="005B0796">
              <w:rPr>
                <w:lang w:eastAsia="en-AU"/>
              </w:rPr>
              <w:t>127</w:t>
            </w:r>
          </w:p>
        </w:tc>
        <w:tc>
          <w:tcPr>
            <w:tcW w:w="540" w:type="dxa"/>
            <w:hideMark/>
          </w:tcPr>
          <w:p w:rsidR="00D060FC" w:rsidRPr="005B0796" w:rsidRDefault="00D060FC" w:rsidP="00340FA8">
            <w:pPr>
              <w:pStyle w:val="TableText"/>
              <w:jc w:val="right"/>
              <w:rPr>
                <w:lang w:eastAsia="en-AU"/>
              </w:rPr>
            </w:pPr>
            <w:r w:rsidRPr="005B0796">
              <w:rPr>
                <w:lang w:eastAsia="en-GB"/>
              </w:rPr>
              <w:t>2.4</w:t>
            </w:r>
          </w:p>
        </w:tc>
        <w:tc>
          <w:tcPr>
            <w:tcW w:w="759" w:type="dxa"/>
            <w:hideMark/>
          </w:tcPr>
          <w:p w:rsidR="00D060FC" w:rsidRPr="005B0796" w:rsidRDefault="00D060FC" w:rsidP="00340FA8">
            <w:pPr>
              <w:pStyle w:val="TableText"/>
              <w:jc w:val="right"/>
              <w:rPr>
                <w:lang w:eastAsia="en-AU"/>
              </w:rPr>
            </w:pPr>
            <w:r w:rsidRPr="005B0796">
              <w:rPr>
                <w:lang w:eastAsia="en-GB"/>
              </w:rPr>
              <w:t>1.3, 4.6</w:t>
            </w:r>
          </w:p>
        </w:tc>
        <w:tc>
          <w:tcPr>
            <w:tcW w:w="771" w:type="dxa"/>
            <w:hideMark/>
          </w:tcPr>
          <w:p w:rsidR="00D060FC" w:rsidRPr="005B0796" w:rsidRDefault="00D060FC" w:rsidP="00340FA8">
            <w:pPr>
              <w:pStyle w:val="TableText"/>
              <w:jc w:val="right"/>
              <w:rPr>
                <w:lang w:eastAsia="en-AU"/>
              </w:rPr>
            </w:pPr>
            <w:r w:rsidRPr="005B0796">
              <w:rPr>
                <w:lang w:eastAsia="en-AU"/>
              </w:rPr>
              <w:t>130</w:t>
            </w:r>
          </w:p>
        </w:tc>
        <w:tc>
          <w:tcPr>
            <w:tcW w:w="540" w:type="dxa"/>
            <w:hideMark/>
          </w:tcPr>
          <w:p w:rsidR="00D060FC" w:rsidRPr="005B0796" w:rsidRDefault="00D060FC" w:rsidP="00340FA8">
            <w:pPr>
              <w:pStyle w:val="TableText"/>
              <w:jc w:val="right"/>
              <w:rPr>
                <w:lang w:eastAsia="en-AU"/>
              </w:rPr>
            </w:pPr>
            <w:r w:rsidRPr="005B0796">
              <w:rPr>
                <w:lang w:eastAsia="en-GB"/>
              </w:rPr>
              <w:t>3.9</w:t>
            </w:r>
          </w:p>
        </w:tc>
        <w:tc>
          <w:tcPr>
            <w:tcW w:w="772" w:type="dxa"/>
            <w:hideMark/>
          </w:tcPr>
          <w:p w:rsidR="00D060FC" w:rsidRPr="005B0796" w:rsidRDefault="00D060FC" w:rsidP="00340FA8">
            <w:pPr>
              <w:pStyle w:val="TableText"/>
              <w:jc w:val="right"/>
              <w:rPr>
                <w:lang w:eastAsia="en-AU"/>
              </w:rPr>
            </w:pPr>
            <w:r w:rsidRPr="005B0796">
              <w:rPr>
                <w:lang w:eastAsia="en-GB"/>
              </w:rPr>
              <w:t>1.9, 7.4</w:t>
            </w:r>
          </w:p>
        </w:tc>
        <w:tc>
          <w:tcPr>
            <w:tcW w:w="758" w:type="dxa"/>
            <w:hideMark/>
          </w:tcPr>
          <w:p w:rsidR="00D060FC" w:rsidRPr="005B0796" w:rsidRDefault="00D060FC" w:rsidP="00340FA8">
            <w:pPr>
              <w:pStyle w:val="TableText"/>
              <w:jc w:val="right"/>
              <w:rPr>
                <w:lang w:eastAsia="en-AU"/>
              </w:rPr>
            </w:pPr>
            <w:r w:rsidRPr="005B0796">
              <w:rPr>
                <w:lang w:eastAsia="en-AU"/>
              </w:rPr>
              <w:t>122</w:t>
            </w:r>
          </w:p>
        </w:tc>
        <w:tc>
          <w:tcPr>
            <w:tcW w:w="540" w:type="dxa"/>
            <w:hideMark/>
          </w:tcPr>
          <w:p w:rsidR="00D060FC" w:rsidRPr="005B0796" w:rsidRDefault="00D060FC" w:rsidP="00340FA8">
            <w:pPr>
              <w:pStyle w:val="TableText"/>
              <w:jc w:val="right"/>
              <w:rPr>
                <w:lang w:eastAsia="en-AU"/>
              </w:rPr>
            </w:pPr>
            <w:r w:rsidRPr="005B0796">
              <w:rPr>
                <w:lang w:eastAsia="en-GB"/>
              </w:rPr>
              <w:t>6.3</w:t>
            </w:r>
          </w:p>
        </w:tc>
        <w:tc>
          <w:tcPr>
            <w:tcW w:w="785" w:type="dxa"/>
            <w:hideMark/>
          </w:tcPr>
          <w:p w:rsidR="00D060FC" w:rsidRPr="005B0796" w:rsidRDefault="00D060FC" w:rsidP="00340FA8">
            <w:pPr>
              <w:pStyle w:val="TableText"/>
              <w:jc w:val="right"/>
              <w:rPr>
                <w:lang w:eastAsia="en-AU"/>
              </w:rPr>
            </w:pPr>
            <w:r w:rsidRPr="005B0796">
              <w:rPr>
                <w:lang w:eastAsia="en-GB"/>
              </w:rPr>
              <w:t>2.1, 17.4</w:t>
            </w:r>
          </w:p>
        </w:tc>
      </w:tr>
      <w:tr w:rsidR="00D060FC" w:rsidRPr="005B0796" w:rsidTr="00F6614D">
        <w:trPr>
          <w:cantSplit/>
        </w:trPr>
        <w:tc>
          <w:tcPr>
            <w:tcW w:w="1015" w:type="dxa"/>
            <w:noWrap/>
            <w:hideMark/>
          </w:tcPr>
          <w:p w:rsidR="00D060FC" w:rsidRPr="005B0796" w:rsidRDefault="00D060FC" w:rsidP="00340FA8">
            <w:pPr>
              <w:pStyle w:val="TableText"/>
              <w:rPr>
                <w:lang w:eastAsia="en-AU"/>
              </w:rPr>
            </w:pPr>
            <w:r w:rsidRPr="005B0796">
              <w:rPr>
                <w:lang w:eastAsia="en-AU"/>
              </w:rPr>
              <w:t>Posttraumatic stress disorder</w:t>
            </w:r>
          </w:p>
        </w:tc>
        <w:tc>
          <w:tcPr>
            <w:tcW w:w="810" w:type="dxa"/>
            <w:noWrap/>
            <w:hideMark/>
          </w:tcPr>
          <w:p w:rsidR="00D060FC" w:rsidRPr="005B0796" w:rsidRDefault="00D060FC" w:rsidP="00340FA8">
            <w:pPr>
              <w:pStyle w:val="TableText"/>
              <w:jc w:val="right"/>
              <w:rPr>
                <w:lang w:eastAsia="en-AU"/>
              </w:rPr>
            </w:pPr>
            <w:r w:rsidRPr="005B0796">
              <w:rPr>
                <w:lang w:eastAsia="en-AU"/>
              </w:rPr>
              <w:t>711</w:t>
            </w:r>
          </w:p>
        </w:tc>
        <w:tc>
          <w:tcPr>
            <w:tcW w:w="540" w:type="dxa"/>
            <w:hideMark/>
          </w:tcPr>
          <w:p w:rsidR="00D060FC" w:rsidRPr="005B0796" w:rsidRDefault="00D060FC" w:rsidP="00340FA8">
            <w:pPr>
              <w:pStyle w:val="TableText"/>
              <w:jc w:val="right"/>
              <w:rPr>
                <w:lang w:eastAsia="en-AU"/>
              </w:rPr>
            </w:pPr>
            <w:r w:rsidRPr="005B0796">
              <w:rPr>
                <w:lang w:eastAsia="en-GB"/>
              </w:rPr>
              <w:t>13.7</w:t>
            </w:r>
          </w:p>
        </w:tc>
        <w:tc>
          <w:tcPr>
            <w:tcW w:w="823" w:type="dxa"/>
            <w:hideMark/>
          </w:tcPr>
          <w:p w:rsidR="00D060FC" w:rsidRPr="005B0796" w:rsidRDefault="00D060FC" w:rsidP="00340FA8">
            <w:pPr>
              <w:pStyle w:val="TableText"/>
              <w:jc w:val="right"/>
              <w:rPr>
                <w:lang w:eastAsia="en-AU"/>
              </w:rPr>
            </w:pPr>
            <w:r w:rsidRPr="005B0796">
              <w:rPr>
                <w:lang w:eastAsia="en-GB"/>
              </w:rPr>
              <w:t>6.6, 26.2</w:t>
            </w:r>
          </w:p>
        </w:tc>
        <w:tc>
          <w:tcPr>
            <w:tcW w:w="797" w:type="dxa"/>
            <w:noWrap/>
            <w:hideMark/>
          </w:tcPr>
          <w:p w:rsidR="00D060FC" w:rsidRPr="005B0796" w:rsidRDefault="00D060FC" w:rsidP="00340FA8">
            <w:pPr>
              <w:pStyle w:val="TableText"/>
              <w:jc w:val="right"/>
              <w:rPr>
                <w:color w:val="000000" w:themeColor="text1"/>
                <w:lang w:eastAsia="en-AU"/>
              </w:rPr>
            </w:pPr>
            <w:r w:rsidRPr="005B0796">
              <w:rPr>
                <w:color w:val="000000" w:themeColor="text1"/>
                <w:lang w:eastAsia="en-AU"/>
              </w:rPr>
              <w:t>1499</w:t>
            </w:r>
          </w:p>
        </w:tc>
        <w:tc>
          <w:tcPr>
            <w:tcW w:w="540"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17.0</w:t>
            </w:r>
          </w:p>
        </w:tc>
        <w:tc>
          <w:tcPr>
            <w:tcW w:w="746" w:type="dxa"/>
            <w:hideMark/>
          </w:tcPr>
          <w:p w:rsidR="00D060FC" w:rsidRPr="005B0796" w:rsidRDefault="00D060FC" w:rsidP="00340FA8">
            <w:pPr>
              <w:pStyle w:val="TableText"/>
              <w:jc w:val="right"/>
              <w:rPr>
                <w:color w:val="000000" w:themeColor="text1"/>
                <w:lang w:eastAsia="en-AU"/>
              </w:rPr>
            </w:pPr>
            <w:r w:rsidRPr="005B0796">
              <w:rPr>
                <w:color w:val="000000" w:themeColor="text1"/>
                <w:lang w:eastAsia="en-GB"/>
              </w:rPr>
              <w:t>10.7, 26.0</w:t>
            </w:r>
          </w:p>
        </w:tc>
        <w:tc>
          <w:tcPr>
            <w:tcW w:w="784" w:type="dxa"/>
            <w:hideMark/>
          </w:tcPr>
          <w:p w:rsidR="00D060FC" w:rsidRPr="005B0796" w:rsidRDefault="00D060FC" w:rsidP="00340FA8">
            <w:pPr>
              <w:pStyle w:val="TableText"/>
              <w:jc w:val="right"/>
              <w:rPr>
                <w:lang w:eastAsia="en-AU"/>
              </w:rPr>
            </w:pPr>
            <w:r w:rsidRPr="005B0796">
              <w:rPr>
                <w:lang w:eastAsia="en-AU"/>
              </w:rPr>
              <w:t>894</w:t>
            </w:r>
          </w:p>
        </w:tc>
        <w:tc>
          <w:tcPr>
            <w:tcW w:w="540" w:type="dxa"/>
            <w:hideMark/>
          </w:tcPr>
          <w:p w:rsidR="00D060FC" w:rsidRPr="005B0796" w:rsidRDefault="00D060FC" w:rsidP="00340FA8">
            <w:pPr>
              <w:pStyle w:val="TableText"/>
              <w:jc w:val="right"/>
              <w:rPr>
                <w:lang w:eastAsia="en-AU"/>
              </w:rPr>
            </w:pPr>
            <w:r w:rsidRPr="005B0796">
              <w:rPr>
                <w:lang w:eastAsia="en-GB"/>
              </w:rPr>
              <w:t>17.2</w:t>
            </w:r>
          </w:p>
        </w:tc>
        <w:tc>
          <w:tcPr>
            <w:tcW w:w="759" w:type="dxa"/>
            <w:hideMark/>
          </w:tcPr>
          <w:p w:rsidR="00D060FC" w:rsidRPr="005B0796" w:rsidRDefault="00D060FC" w:rsidP="00340FA8">
            <w:pPr>
              <w:pStyle w:val="TableText"/>
              <w:jc w:val="right"/>
              <w:rPr>
                <w:lang w:eastAsia="en-AU"/>
              </w:rPr>
            </w:pPr>
            <w:r w:rsidRPr="005B0796">
              <w:rPr>
                <w:lang w:eastAsia="en-GB"/>
              </w:rPr>
              <w:t>11.7, 24.4</w:t>
            </w:r>
          </w:p>
        </w:tc>
        <w:tc>
          <w:tcPr>
            <w:tcW w:w="771" w:type="dxa"/>
            <w:hideMark/>
          </w:tcPr>
          <w:p w:rsidR="00D060FC" w:rsidRPr="005B0796" w:rsidRDefault="00D060FC" w:rsidP="00340FA8">
            <w:pPr>
              <w:pStyle w:val="TableText"/>
              <w:jc w:val="right"/>
              <w:rPr>
                <w:lang w:eastAsia="en-AU"/>
              </w:rPr>
            </w:pPr>
            <w:r w:rsidRPr="005B0796">
              <w:rPr>
                <w:lang w:eastAsia="en-AU"/>
              </w:rPr>
              <w:t>613</w:t>
            </w:r>
          </w:p>
        </w:tc>
        <w:tc>
          <w:tcPr>
            <w:tcW w:w="540" w:type="dxa"/>
            <w:hideMark/>
          </w:tcPr>
          <w:p w:rsidR="00D060FC" w:rsidRPr="005B0796" w:rsidRDefault="00D060FC" w:rsidP="00340FA8">
            <w:pPr>
              <w:pStyle w:val="TableText"/>
              <w:jc w:val="right"/>
              <w:rPr>
                <w:lang w:eastAsia="en-AU"/>
              </w:rPr>
            </w:pPr>
            <w:r w:rsidRPr="005B0796">
              <w:rPr>
                <w:lang w:eastAsia="en-GB"/>
              </w:rPr>
              <w:t>18.1</w:t>
            </w:r>
          </w:p>
        </w:tc>
        <w:tc>
          <w:tcPr>
            <w:tcW w:w="772" w:type="dxa"/>
            <w:hideMark/>
          </w:tcPr>
          <w:p w:rsidR="00D060FC" w:rsidRPr="005B0796" w:rsidRDefault="00D060FC" w:rsidP="00340FA8">
            <w:pPr>
              <w:pStyle w:val="TableText"/>
              <w:jc w:val="right"/>
              <w:rPr>
                <w:lang w:eastAsia="en-AU"/>
              </w:rPr>
            </w:pPr>
            <w:r w:rsidRPr="005B0796">
              <w:rPr>
                <w:lang w:eastAsia="en-GB"/>
              </w:rPr>
              <w:t>13.7, 23.5</w:t>
            </w:r>
          </w:p>
        </w:tc>
        <w:tc>
          <w:tcPr>
            <w:tcW w:w="758" w:type="dxa"/>
            <w:hideMark/>
          </w:tcPr>
          <w:p w:rsidR="00D060FC" w:rsidRPr="005B0796" w:rsidRDefault="00D060FC" w:rsidP="00340FA8">
            <w:pPr>
              <w:pStyle w:val="TableText"/>
              <w:jc w:val="right"/>
              <w:rPr>
                <w:lang w:eastAsia="en-AU"/>
              </w:rPr>
            </w:pPr>
            <w:r w:rsidRPr="005B0796">
              <w:rPr>
                <w:lang w:eastAsia="en-AU"/>
              </w:rPr>
              <w:t>360</w:t>
            </w:r>
          </w:p>
        </w:tc>
        <w:tc>
          <w:tcPr>
            <w:tcW w:w="540" w:type="dxa"/>
            <w:hideMark/>
          </w:tcPr>
          <w:p w:rsidR="00D060FC" w:rsidRPr="005B0796" w:rsidRDefault="00D060FC" w:rsidP="00340FA8">
            <w:pPr>
              <w:pStyle w:val="TableText"/>
              <w:jc w:val="right"/>
              <w:rPr>
                <w:lang w:eastAsia="en-AU"/>
              </w:rPr>
            </w:pPr>
            <w:r w:rsidRPr="005B0796">
              <w:rPr>
                <w:lang w:eastAsia="en-GB"/>
              </w:rPr>
              <w:t>18.6</w:t>
            </w:r>
          </w:p>
        </w:tc>
        <w:tc>
          <w:tcPr>
            <w:tcW w:w="785" w:type="dxa"/>
            <w:hideMark/>
          </w:tcPr>
          <w:p w:rsidR="00D060FC" w:rsidRPr="005B0796" w:rsidRDefault="00D060FC" w:rsidP="00340FA8">
            <w:pPr>
              <w:pStyle w:val="TableText"/>
              <w:jc w:val="right"/>
              <w:rPr>
                <w:lang w:eastAsia="en-AU"/>
              </w:rPr>
            </w:pPr>
            <w:r w:rsidRPr="005B0796">
              <w:rPr>
                <w:lang w:eastAsia="en-GB"/>
              </w:rPr>
              <w:t>12.4, 26.9</w:t>
            </w:r>
          </w:p>
        </w:tc>
      </w:tr>
      <w:tr w:rsidR="00340FA8" w:rsidRPr="005B0796" w:rsidTr="00F6614D">
        <w:trPr>
          <w:cnfStyle w:val="000000100000" w:firstRow="0" w:lastRow="0" w:firstColumn="0" w:lastColumn="0" w:oddVBand="0" w:evenVBand="0" w:oddHBand="1" w:evenHBand="0" w:firstRowFirstColumn="0" w:firstRowLastColumn="0" w:lastRowFirstColumn="0" w:lastRowLastColumn="0"/>
          <w:cantSplit/>
        </w:trPr>
        <w:tc>
          <w:tcPr>
            <w:tcW w:w="1015" w:type="dxa"/>
            <w:noWrap/>
            <w:hideMark/>
          </w:tcPr>
          <w:p w:rsidR="00D060FC" w:rsidRPr="005B0796" w:rsidRDefault="00D060FC" w:rsidP="00340FA8">
            <w:pPr>
              <w:pStyle w:val="TableText"/>
              <w:rPr>
                <w:lang w:eastAsia="en-AU"/>
              </w:rPr>
            </w:pPr>
            <w:r w:rsidRPr="005B0796">
              <w:rPr>
                <w:lang w:eastAsia="en-AU"/>
              </w:rPr>
              <w:t>Any anxiety disorder</w:t>
            </w:r>
          </w:p>
        </w:tc>
        <w:tc>
          <w:tcPr>
            <w:tcW w:w="810" w:type="dxa"/>
            <w:noWrap/>
            <w:hideMark/>
          </w:tcPr>
          <w:p w:rsidR="00D060FC" w:rsidRPr="005B0796" w:rsidRDefault="00D060FC" w:rsidP="00340FA8">
            <w:pPr>
              <w:pStyle w:val="TableText"/>
              <w:jc w:val="right"/>
              <w:rPr>
                <w:lang w:eastAsia="en-GB"/>
              </w:rPr>
            </w:pPr>
            <w:r w:rsidRPr="005B0796">
              <w:rPr>
                <w:lang w:eastAsia="en-GB"/>
              </w:rPr>
              <w:t>1885</w:t>
            </w:r>
          </w:p>
        </w:tc>
        <w:tc>
          <w:tcPr>
            <w:tcW w:w="540" w:type="dxa"/>
            <w:hideMark/>
          </w:tcPr>
          <w:p w:rsidR="00D060FC" w:rsidRPr="005B0796" w:rsidRDefault="00D060FC" w:rsidP="00340FA8">
            <w:pPr>
              <w:pStyle w:val="TableText"/>
              <w:jc w:val="right"/>
              <w:rPr>
                <w:lang w:eastAsia="en-GB"/>
              </w:rPr>
            </w:pPr>
            <w:r w:rsidRPr="005B0796">
              <w:rPr>
                <w:lang w:eastAsia="en-GB"/>
              </w:rPr>
              <w:t>36.3</w:t>
            </w:r>
          </w:p>
        </w:tc>
        <w:tc>
          <w:tcPr>
            <w:tcW w:w="823" w:type="dxa"/>
            <w:hideMark/>
          </w:tcPr>
          <w:p w:rsidR="00D060FC" w:rsidRPr="005B0796" w:rsidRDefault="00D060FC" w:rsidP="00340FA8">
            <w:pPr>
              <w:pStyle w:val="TableText"/>
              <w:jc w:val="right"/>
              <w:rPr>
                <w:lang w:eastAsia="en-GB"/>
              </w:rPr>
            </w:pPr>
            <w:r w:rsidRPr="005B0796">
              <w:rPr>
                <w:lang w:eastAsia="en-GB"/>
              </w:rPr>
              <w:t>23.9, 50.7</w:t>
            </w:r>
          </w:p>
        </w:tc>
        <w:tc>
          <w:tcPr>
            <w:tcW w:w="797" w:type="dxa"/>
            <w:noWrap/>
            <w:hideMark/>
          </w:tcPr>
          <w:p w:rsidR="00D060FC" w:rsidRPr="005B0796" w:rsidRDefault="00D060FC" w:rsidP="00340FA8">
            <w:pPr>
              <w:pStyle w:val="TableText"/>
              <w:jc w:val="right"/>
              <w:rPr>
                <w:color w:val="000000" w:themeColor="text1"/>
                <w:lang w:eastAsia="en-GB"/>
              </w:rPr>
            </w:pPr>
            <w:r w:rsidRPr="005B0796">
              <w:rPr>
                <w:color w:val="000000" w:themeColor="text1"/>
                <w:lang w:eastAsia="en-GB"/>
              </w:rPr>
              <w:t>3219</w:t>
            </w:r>
          </w:p>
        </w:tc>
        <w:tc>
          <w:tcPr>
            <w:tcW w:w="540" w:type="dxa"/>
            <w:hideMark/>
          </w:tcPr>
          <w:p w:rsidR="00D060FC" w:rsidRPr="005B0796" w:rsidRDefault="00D060FC" w:rsidP="00340FA8">
            <w:pPr>
              <w:pStyle w:val="TableText"/>
              <w:jc w:val="right"/>
              <w:rPr>
                <w:color w:val="000000" w:themeColor="text1"/>
                <w:lang w:eastAsia="en-GB"/>
              </w:rPr>
            </w:pPr>
            <w:r w:rsidRPr="005B0796">
              <w:rPr>
                <w:color w:val="000000" w:themeColor="text1"/>
                <w:lang w:eastAsia="en-GB"/>
              </w:rPr>
              <w:t>36.6</w:t>
            </w:r>
          </w:p>
        </w:tc>
        <w:tc>
          <w:tcPr>
            <w:tcW w:w="746" w:type="dxa"/>
            <w:hideMark/>
          </w:tcPr>
          <w:p w:rsidR="00D060FC" w:rsidRPr="005B0796" w:rsidRDefault="00D060FC" w:rsidP="00340FA8">
            <w:pPr>
              <w:pStyle w:val="TableText"/>
              <w:jc w:val="right"/>
              <w:rPr>
                <w:color w:val="000000" w:themeColor="text1"/>
                <w:lang w:eastAsia="en-GB"/>
              </w:rPr>
            </w:pPr>
            <w:r w:rsidRPr="005B0796">
              <w:rPr>
                <w:color w:val="000000" w:themeColor="text1"/>
                <w:lang w:eastAsia="en-GB"/>
              </w:rPr>
              <w:t>27.5, 46.7</w:t>
            </w:r>
          </w:p>
        </w:tc>
        <w:tc>
          <w:tcPr>
            <w:tcW w:w="784" w:type="dxa"/>
            <w:hideMark/>
          </w:tcPr>
          <w:p w:rsidR="00D060FC" w:rsidRPr="005B0796" w:rsidRDefault="00D060FC" w:rsidP="00340FA8">
            <w:pPr>
              <w:pStyle w:val="TableText"/>
              <w:jc w:val="right"/>
              <w:rPr>
                <w:lang w:eastAsia="en-GB"/>
              </w:rPr>
            </w:pPr>
            <w:r w:rsidRPr="005B0796">
              <w:rPr>
                <w:lang w:eastAsia="en-GB"/>
              </w:rPr>
              <w:t>1962</w:t>
            </w:r>
          </w:p>
        </w:tc>
        <w:tc>
          <w:tcPr>
            <w:tcW w:w="540" w:type="dxa"/>
            <w:hideMark/>
          </w:tcPr>
          <w:p w:rsidR="00D060FC" w:rsidRPr="005B0796" w:rsidRDefault="00D060FC" w:rsidP="00340FA8">
            <w:pPr>
              <w:pStyle w:val="TableText"/>
              <w:jc w:val="right"/>
              <w:rPr>
                <w:lang w:eastAsia="en-GB"/>
              </w:rPr>
            </w:pPr>
            <w:r w:rsidRPr="005B0796">
              <w:rPr>
                <w:lang w:eastAsia="en-GB"/>
              </w:rPr>
              <w:t>37.6</w:t>
            </w:r>
          </w:p>
        </w:tc>
        <w:tc>
          <w:tcPr>
            <w:tcW w:w="759" w:type="dxa"/>
            <w:hideMark/>
          </w:tcPr>
          <w:p w:rsidR="00D060FC" w:rsidRPr="005B0796" w:rsidRDefault="00D060FC" w:rsidP="00340FA8">
            <w:pPr>
              <w:pStyle w:val="TableText"/>
              <w:jc w:val="right"/>
              <w:rPr>
                <w:lang w:eastAsia="en-GB"/>
              </w:rPr>
            </w:pPr>
            <w:r w:rsidRPr="005B0796">
              <w:rPr>
                <w:lang w:eastAsia="en-GB"/>
              </w:rPr>
              <w:t>29.2, 46.8</w:t>
            </w:r>
          </w:p>
        </w:tc>
        <w:tc>
          <w:tcPr>
            <w:tcW w:w="771" w:type="dxa"/>
            <w:hideMark/>
          </w:tcPr>
          <w:p w:rsidR="00D060FC" w:rsidRPr="005B0796" w:rsidRDefault="00D060FC" w:rsidP="00340FA8">
            <w:pPr>
              <w:pStyle w:val="TableText"/>
              <w:jc w:val="right"/>
              <w:rPr>
                <w:lang w:eastAsia="en-GB"/>
              </w:rPr>
            </w:pPr>
            <w:r w:rsidRPr="005B0796">
              <w:rPr>
                <w:lang w:eastAsia="en-GB"/>
              </w:rPr>
              <w:t>1161</w:t>
            </w:r>
          </w:p>
        </w:tc>
        <w:tc>
          <w:tcPr>
            <w:tcW w:w="540" w:type="dxa"/>
            <w:hideMark/>
          </w:tcPr>
          <w:p w:rsidR="00D060FC" w:rsidRPr="005B0796" w:rsidRDefault="00D060FC" w:rsidP="00340FA8">
            <w:pPr>
              <w:pStyle w:val="TableText"/>
              <w:jc w:val="right"/>
              <w:rPr>
                <w:lang w:eastAsia="en-GB"/>
              </w:rPr>
            </w:pPr>
            <w:r w:rsidRPr="005B0796">
              <w:rPr>
                <w:lang w:eastAsia="en-GB"/>
              </w:rPr>
              <w:t>34.3</w:t>
            </w:r>
          </w:p>
        </w:tc>
        <w:tc>
          <w:tcPr>
            <w:tcW w:w="772" w:type="dxa"/>
            <w:hideMark/>
          </w:tcPr>
          <w:p w:rsidR="00D060FC" w:rsidRPr="005B0796" w:rsidRDefault="00D060FC" w:rsidP="00340FA8">
            <w:pPr>
              <w:pStyle w:val="TableText"/>
              <w:jc w:val="right"/>
              <w:rPr>
                <w:lang w:eastAsia="en-GB"/>
              </w:rPr>
            </w:pPr>
            <w:r w:rsidRPr="005B0796">
              <w:rPr>
                <w:lang w:eastAsia="en-GB"/>
              </w:rPr>
              <w:t>28.3, 40.7</w:t>
            </w:r>
          </w:p>
        </w:tc>
        <w:tc>
          <w:tcPr>
            <w:tcW w:w="758" w:type="dxa"/>
            <w:hideMark/>
          </w:tcPr>
          <w:p w:rsidR="00D060FC" w:rsidRPr="005B0796" w:rsidRDefault="00D060FC" w:rsidP="00340FA8">
            <w:pPr>
              <w:pStyle w:val="TableText"/>
              <w:jc w:val="right"/>
              <w:rPr>
                <w:lang w:eastAsia="en-GB"/>
              </w:rPr>
            </w:pPr>
            <w:r w:rsidRPr="005B0796">
              <w:rPr>
                <w:lang w:eastAsia="en-GB"/>
              </w:rPr>
              <w:t>707</w:t>
            </w:r>
          </w:p>
        </w:tc>
        <w:tc>
          <w:tcPr>
            <w:tcW w:w="540" w:type="dxa"/>
            <w:hideMark/>
          </w:tcPr>
          <w:p w:rsidR="00D060FC" w:rsidRPr="005B0796" w:rsidRDefault="00D060FC" w:rsidP="00340FA8">
            <w:pPr>
              <w:pStyle w:val="TableText"/>
              <w:jc w:val="right"/>
              <w:rPr>
                <w:lang w:eastAsia="en-GB"/>
              </w:rPr>
            </w:pPr>
            <w:r w:rsidRPr="005B0796">
              <w:rPr>
                <w:lang w:eastAsia="en-GB"/>
              </w:rPr>
              <w:t>36.5</w:t>
            </w:r>
          </w:p>
        </w:tc>
        <w:tc>
          <w:tcPr>
            <w:tcW w:w="785" w:type="dxa"/>
            <w:hideMark/>
          </w:tcPr>
          <w:p w:rsidR="00D060FC" w:rsidRPr="005B0796" w:rsidRDefault="00D060FC" w:rsidP="00340FA8">
            <w:pPr>
              <w:pStyle w:val="TableText"/>
              <w:jc w:val="right"/>
              <w:rPr>
                <w:lang w:eastAsia="en-GB"/>
              </w:rPr>
            </w:pPr>
            <w:r w:rsidRPr="005B0796">
              <w:rPr>
                <w:lang w:eastAsia="en-GB"/>
              </w:rPr>
              <w:t>28.5, 45.3</w:t>
            </w:r>
          </w:p>
        </w:tc>
      </w:tr>
    </w:tbl>
    <w:p w:rsidR="00EF53A1" w:rsidRPr="005B0796" w:rsidRDefault="00EF53A1" w:rsidP="00EF53A1">
      <w:pPr>
        <w:pStyle w:val="TableNotes"/>
      </w:pPr>
      <w:bookmarkStart w:id="276" w:name="_Ref486415418"/>
      <w:bookmarkStart w:id="277" w:name="_Toc487014351"/>
      <w:r w:rsidRPr="005B0796">
        <w:rPr>
          <w:rFonts w:eastAsia="Times New Roman" w:cs="Calibri"/>
          <w:vertAlign w:val="superscript"/>
          <w:lang w:eastAsia="en-AU"/>
        </w:rPr>
        <w:t>a</w:t>
      </w:r>
      <w:r w:rsidRPr="005B0796">
        <w:t xml:space="preserve"> 28–37 age group vs 18</w:t>
      </w:r>
      <w:r w:rsidR="00F6614D">
        <w:t>–</w:t>
      </w:r>
      <w:r w:rsidRPr="005B0796">
        <w:t>27 age group: OR 0.1, 95% CI 0.0, 0.3</w:t>
      </w:r>
    </w:p>
    <w:p w:rsidR="00EF53A1" w:rsidRPr="005B0796" w:rsidRDefault="00EF53A1" w:rsidP="00EF53A1">
      <w:pPr>
        <w:pStyle w:val="TableNotes"/>
        <w:rPr>
          <w:rFonts w:cs="Calibri"/>
          <w:bCs/>
        </w:rPr>
      </w:pPr>
      <w:r w:rsidRPr="005B0796">
        <w:rPr>
          <w:rFonts w:cs="Calibri"/>
          <w:bCs/>
        </w:rPr>
        <w:t xml:space="preserve">Note: 95% CI: 95% </w:t>
      </w:r>
      <w:r w:rsidR="00564689" w:rsidRPr="005B0796">
        <w:rPr>
          <w:rFonts w:cs="Calibri"/>
          <w:bCs/>
        </w:rPr>
        <w:t>confidence interval</w:t>
      </w:r>
    </w:p>
    <w:p w:rsidR="00EF53A1" w:rsidRPr="005B0796" w:rsidRDefault="00EF53A1" w:rsidP="00EF53A1">
      <w:pPr>
        <w:pStyle w:val="FigureName"/>
      </w:pPr>
      <w:bookmarkStart w:id="278" w:name="_Ref494275935"/>
      <w:bookmarkStart w:id="279" w:name="_Toc51190052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w:t>
      </w:r>
      <w:r w:rsidR="00D30A3C">
        <w:rPr>
          <w:noProof/>
        </w:rPr>
        <w:fldChar w:fldCharType="end"/>
      </w:r>
      <w:bookmarkEnd w:id="276"/>
      <w:bookmarkEnd w:id="278"/>
      <w:r w:rsidRPr="005B0796">
        <w:tab/>
        <w:t>Estimated prevalence of 12-month ICD-10 anxiety disorders in Transitioned ADF members, by anxiety disorder type and age</w:t>
      </w:r>
      <w:bookmarkEnd w:id="277"/>
      <w:bookmarkEnd w:id="279"/>
    </w:p>
    <w:tbl>
      <w:tblPr>
        <w:tblW w:w="5000" w:type="pct"/>
        <w:tblLayout w:type="fixed"/>
        <w:tblCellMar>
          <w:left w:w="115" w:type="dxa"/>
          <w:right w:w="115" w:type="dxa"/>
        </w:tblCellMar>
        <w:tblLook w:val="04A0" w:firstRow="1" w:lastRow="0" w:firstColumn="1" w:lastColumn="0" w:noHBand="0" w:noVBand="1"/>
      </w:tblPr>
      <w:tblGrid>
        <w:gridCol w:w="11520"/>
      </w:tblGrid>
      <w:tr w:rsidR="00D060FC" w:rsidRPr="005B0796" w:rsidTr="0035777C">
        <w:trPr>
          <w:cantSplit/>
          <w:trHeight w:val="6030"/>
        </w:trPr>
        <w:tc>
          <w:tcPr>
            <w:tcW w:w="11520" w:type="dxa"/>
          </w:tcPr>
          <w:p w:rsidR="00D060FC" w:rsidRPr="005B0796" w:rsidRDefault="00D060FC" w:rsidP="0019239D">
            <w:r w:rsidRPr="005B0796">
              <w:rPr>
                <w:i/>
                <w:noProof/>
                <w:sz w:val="18"/>
                <w:szCs w:val="18"/>
                <w:lang w:eastAsia="en-AU"/>
              </w:rPr>
              <w:drawing>
                <wp:inline distT="0" distB="0" distL="0" distR="0" wp14:anchorId="16F021CD" wp14:editId="154D6FD8">
                  <wp:extent cx="7239000" cy="3762375"/>
                  <wp:effectExtent l="0" t="0" r="0" b="0"/>
                  <wp:docPr id="76" name="Chart 76" descr="Figure 4.3 Estimated prevalence of 12-month ICD-10 anxiety disorders in Transitioned ADF members, by anxiety disorder type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D060FC" w:rsidRPr="005B0796" w:rsidRDefault="00EF53A1" w:rsidP="00EF53A1">
      <w:pPr>
        <w:pStyle w:val="TableNotes"/>
        <w:rPr>
          <w:i/>
        </w:rPr>
      </w:pPr>
      <w:bookmarkStart w:id="280" w:name="_Ref484521178"/>
      <w:bookmarkStart w:id="281" w:name="_Toc482023827"/>
      <w:r w:rsidRPr="005B0796">
        <w:t>Obsessive-compulsive disorder: 28–37 age group vs 18–27 age group: OR 0.1, 95% CI 0.0, 0.3</w:t>
      </w:r>
      <w:bookmarkEnd w:id="280"/>
      <w:bookmarkEnd w:id="281"/>
    </w:p>
    <w:p w:rsidR="009E1108" w:rsidRPr="005B0796" w:rsidRDefault="009E1108" w:rsidP="009E1108">
      <w:pPr>
        <w:sectPr w:rsidR="009E1108" w:rsidRPr="005B0796" w:rsidSect="00BE66A5">
          <w:headerReference w:type="even" r:id="rId49"/>
          <w:headerReference w:type="default" r:id="rId50"/>
          <w:footerReference w:type="even" r:id="rId51"/>
          <w:footerReference w:type="default" r:id="rId52"/>
          <w:pgSz w:w="14170" w:h="9979" w:orient="landscape" w:code="243"/>
          <w:pgMar w:top="1872" w:right="1440" w:bottom="1152" w:left="1440" w:header="576" w:footer="576" w:gutter="0"/>
          <w:cols w:space="708"/>
          <w:docGrid w:linePitch="360"/>
        </w:sectPr>
      </w:pPr>
    </w:p>
    <w:p w:rsidR="00D060FC" w:rsidRPr="005B0796" w:rsidRDefault="00D060FC" w:rsidP="00045B87">
      <w:pPr>
        <w:pStyle w:val="Heading3"/>
        <w:rPr>
          <w:rFonts w:eastAsia="Times New Roman"/>
        </w:rPr>
      </w:pPr>
      <w:bookmarkStart w:id="282" w:name="_Toc482011736"/>
      <w:bookmarkStart w:id="283" w:name="_Toc482011743"/>
      <w:bookmarkStart w:id="284" w:name="_Toc482011751"/>
      <w:bookmarkStart w:id="285" w:name="_Toc482021198"/>
      <w:bookmarkStart w:id="286" w:name="_Toc482021364"/>
      <w:bookmarkStart w:id="287" w:name="_Toc482021530"/>
      <w:bookmarkStart w:id="288" w:name="_Toc482021690"/>
      <w:bookmarkStart w:id="289" w:name="_Toc482021862"/>
      <w:bookmarkStart w:id="290" w:name="_Toc482022022"/>
      <w:bookmarkStart w:id="291" w:name="_Toc482022182"/>
      <w:bookmarkStart w:id="292" w:name="_Toc482022348"/>
      <w:bookmarkStart w:id="293" w:name="_Toc482022508"/>
      <w:bookmarkStart w:id="294" w:name="_Toc482023398"/>
      <w:bookmarkStart w:id="295" w:name="_Toc482023654"/>
      <w:bookmarkStart w:id="296" w:name="_Toc482024015"/>
      <w:bookmarkStart w:id="297" w:name="_Toc482024454"/>
      <w:bookmarkStart w:id="298" w:name="_Toc482011752"/>
      <w:bookmarkStart w:id="299" w:name="_Toc482011755"/>
      <w:bookmarkStart w:id="300" w:name="_Toc482011758"/>
      <w:bookmarkStart w:id="301" w:name="_Toc482011764"/>
      <w:bookmarkStart w:id="302" w:name="_Toc482011765"/>
      <w:bookmarkStart w:id="303" w:name="_Toc482011772"/>
      <w:bookmarkStart w:id="304" w:name="_Toc482011779"/>
      <w:bookmarkStart w:id="305" w:name="_Toc482021226"/>
      <w:bookmarkStart w:id="306" w:name="_Toc482021392"/>
      <w:bookmarkStart w:id="307" w:name="_Toc482021558"/>
      <w:bookmarkStart w:id="308" w:name="_Toc482021718"/>
      <w:bookmarkStart w:id="309" w:name="_Toc482021890"/>
      <w:bookmarkStart w:id="310" w:name="_Toc482022050"/>
      <w:bookmarkStart w:id="311" w:name="_Toc482022210"/>
      <w:bookmarkStart w:id="312" w:name="_Toc482022376"/>
      <w:bookmarkStart w:id="313" w:name="_Toc482022536"/>
      <w:bookmarkStart w:id="314" w:name="_Toc482023427"/>
      <w:bookmarkStart w:id="315" w:name="_Toc482023683"/>
      <w:bookmarkStart w:id="316" w:name="_Toc482011781"/>
      <w:bookmarkStart w:id="317" w:name="_Toc482021228"/>
      <w:bookmarkStart w:id="318" w:name="_Toc482021394"/>
      <w:bookmarkStart w:id="319" w:name="_Toc482021560"/>
      <w:bookmarkStart w:id="320" w:name="_Toc482021720"/>
      <w:bookmarkStart w:id="321" w:name="_Toc482021892"/>
      <w:bookmarkStart w:id="322" w:name="_Toc482022052"/>
      <w:bookmarkStart w:id="323" w:name="_Toc482022212"/>
      <w:bookmarkStart w:id="324" w:name="_Toc482022378"/>
      <w:bookmarkStart w:id="325" w:name="_Toc482022538"/>
      <w:bookmarkStart w:id="326" w:name="_Toc482023429"/>
      <w:bookmarkStart w:id="327" w:name="_Toc482023685"/>
      <w:bookmarkStart w:id="328" w:name="_Toc482011786"/>
      <w:bookmarkStart w:id="329" w:name="_Toc482021233"/>
      <w:bookmarkStart w:id="330" w:name="_Toc482021399"/>
      <w:bookmarkStart w:id="331" w:name="_Toc482021565"/>
      <w:bookmarkStart w:id="332" w:name="_Toc482021725"/>
      <w:bookmarkStart w:id="333" w:name="_Toc482021897"/>
      <w:bookmarkStart w:id="334" w:name="_Toc482022057"/>
      <w:bookmarkStart w:id="335" w:name="_Toc482022217"/>
      <w:bookmarkStart w:id="336" w:name="_Toc482022383"/>
      <w:bookmarkStart w:id="337" w:name="_Toc482022543"/>
      <w:bookmarkStart w:id="338" w:name="_Toc482023434"/>
      <w:bookmarkStart w:id="339" w:name="_Toc482023690"/>
      <w:bookmarkStart w:id="340" w:name="_Toc482021406"/>
      <w:bookmarkStart w:id="341" w:name="_Toc482011794"/>
      <w:bookmarkStart w:id="342" w:name="_Toc482021241"/>
      <w:bookmarkStart w:id="343" w:name="_Toc482021407"/>
      <w:bookmarkStart w:id="344" w:name="_Toc482021573"/>
      <w:bookmarkStart w:id="345" w:name="_Toc482021733"/>
      <w:bookmarkStart w:id="346" w:name="_Toc482021905"/>
      <w:bookmarkStart w:id="347" w:name="_Toc482022065"/>
      <w:bookmarkStart w:id="348" w:name="_Toc482022225"/>
      <w:bookmarkStart w:id="349" w:name="_Toc482022391"/>
      <w:bookmarkStart w:id="350" w:name="_Toc482022551"/>
      <w:bookmarkStart w:id="351" w:name="_Toc482023442"/>
      <w:bookmarkStart w:id="352" w:name="_Toc482023698"/>
      <w:bookmarkStart w:id="353" w:name="_Toc482024060"/>
      <w:bookmarkStart w:id="354" w:name="_Toc482024499"/>
      <w:bookmarkStart w:id="355" w:name="_Toc482021459"/>
      <w:bookmarkStart w:id="356" w:name="_Toc482011849"/>
      <w:bookmarkStart w:id="357" w:name="_Toc482021296"/>
      <w:bookmarkStart w:id="358" w:name="_Toc482021462"/>
      <w:bookmarkStart w:id="359" w:name="_Toc482021628"/>
      <w:bookmarkStart w:id="360" w:name="_Toc482021788"/>
      <w:bookmarkStart w:id="361" w:name="_Toc482021960"/>
      <w:bookmarkStart w:id="362" w:name="_Toc482022120"/>
      <w:bookmarkStart w:id="363" w:name="_Toc482022280"/>
      <w:bookmarkStart w:id="364" w:name="_Toc482022446"/>
      <w:bookmarkStart w:id="365" w:name="_Toc482022606"/>
      <w:bookmarkStart w:id="366" w:name="_Toc482023497"/>
      <w:bookmarkStart w:id="367" w:name="_Toc482023753"/>
      <w:bookmarkStart w:id="368" w:name="_Toc482024115"/>
      <w:bookmarkStart w:id="369" w:name="_Toc482024552"/>
      <w:bookmarkStart w:id="370" w:name="_Toc482011850"/>
      <w:bookmarkStart w:id="371" w:name="_Toc482021297"/>
      <w:bookmarkStart w:id="372" w:name="_Toc482021463"/>
      <w:bookmarkStart w:id="373" w:name="_Toc482021629"/>
      <w:bookmarkStart w:id="374" w:name="_Toc482021789"/>
      <w:bookmarkStart w:id="375" w:name="_Toc482021961"/>
      <w:bookmarkStart w:id="376" w:name="_Toc482022121"/>
      <w:bookmarkStart w:id="377" w:name="_Toc482022281"/>
      <w:bookmarkStart w:id="378" w:name="_Toc482022447"/>
      <w:bookmarkStart w:id="379" w:name="_Toc482022607"/>
      <w:bookmarkStart w:id="380" w:name="_Toc482023498"/>
      <w:bookmarkStart w:id="381" w:name="_Toc482023754"/>
      <w:bookmarkStart w:id="382" w:name="_Toc482024116"/>
      <w:bookmarkStart w:id="383" w:name="_Toc482024553"/>
      <w:bookmarkStart w:id="384" w:name="_Toc482021345"/>
      <w:bookmarkStart w:id="385" w:name="_Toc482024436"/>
      <w:bookmarkStart w:id="386" w:name="_Toc487011194"/>
      <w:bookmarkStart w:id="387" w:name="_Toc494449710"/>
      <w:bookmarkStart w:id="388" w:name="_Toc51190029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5B0796">
        <w:t>Service factors</w:t>
      </w:r>
      <w:bookmarkEnd w:id="384"/>
      <w:bookmarkEnd w:id="385"/>
      <w:bookmarkEnd w:id="386"/>
      <w:bookmarkEnd w:id="387"/>
      <w:bookmarkEnd w:id="388"/>
    </w:p>
    <w:p w:rsidR="00D060FC" w:rsidRPr="005B0796" w:rsidRDefault="00D060FC" w:rsidP="00045B87">
      <w:pPr>
        <w:pStyle w:val="Heading4"/>
      </w:pPr>
      <w:r w:rsidRPr="005B0796">
        <w:t>Service</w:t>
      </w:r>
    </w:p>
    <w:p w:rsidR="00D060FC" w:rsidRPr="005B0796" w:rsidRDefault="00D060FC" w:rsidP="00045B87">
      <w:r w:rsidRPr="005B0796">
        <w:t>When the individual Services were considered (</w:t>
      </w:r>
      <w:r w:rsidR="009E72D3" w:rsidRPr="005B0796">
        <w:t>Table 4.7</w:t>
      </w:r>
      <w:r w:rsidRPr="005B0796">
        <w:t xml:space="preserve">, </w:t>
      </w:r>
      <w:r w:rsidR="009E72D3" w:rsidRPr="005B0796">
        <w:t>Figure 4.4</w:t>
      </w:r>
      <w:r w:rsidRPr="005B0796">
        <w:t>), Transitioned Army and Air Force members showed no significant differences in the prevalence of anxiety disorder. Looking at specific diagnoses, compared to Transitioned Navy members, Transitioned Army (OR 2.6, 95% CI 1.6, 4.2) and Air Force (OR 1.6, 95% CI 0.9, 3.1) members were significantly more likely to have meet criteria for 12</w:t>
      </w:r>
      <w:r w:rsidRPr="005B0796">
        <w:noBreakHyphen/>
        <w:t xml:space="preserve">month PTSD. </w:t>
      </w:r>
    </w:p>
    <w:p w:rsidR="008D3AC8" w:rsidRPr="005B0796" w:rsidRDefault="008D3AC8" w:rsidP="00DE2EDB">
      <w:pPr>
        <w:pStyle w:val="Heading4"/>
      </w:pPr>
      <w:bookmarkStart w:id="389" w:name="_Ref484519745"/>
      <w:bookmarkStart w:id="390" w:name="_Toc482023783"/>
      <w:bookmarkStart w:id="391" w:name="_Toc487014258"/>
      <w:bookmarkStart w:id="392" w:name="_Toc492995561"/>
      <w:r w:rsidRPr="005B0796">
        <w:t>Rank</w:t>
      </w:r>
    </w:p>
    <w:p w:rsidR="008D3AC8" w:rsidRPr="005B0796" w:rsidRDefault="008D3AC8" w:rsidP="00DE2EDB">
      <w:r w:rsidRPr="005B0796">
        <w:t>Table 4.8 and Figure 4.5 show the estimated prevalence of 12-month anxiety disorders, by rank at time of transition. The likelihood of having any 12-month ICD-10 anxiety disorder was greater for Non-Commissioned Officers compared to Officers (OR 1.6, 95% CI 1.2, 2.2). When examining the individual anxiety disorders, Non-Commissioned Officers had higher rates of panic attacks (OR 1.7, 95% CI 1.1, 2.6), agoraphobia (OR 2.6, 95% CI 1.5, 4.4), social phobia (OR 1.9, 95% CI 1.1, 3.3), OCD (OR 2.3, 95% CI 1.0, 5.4) and PTSD (OR 1.5, 95% CI 1.0, 2.1) compared with Officers. There were no significant differences between the ranks for panic disorder, specific phobia and generalised anxiety disorder. Similarly, Other Ranks showed no significant differences when compared with Officers or Non</w:t>
      </w:r>
      <w:r w:rsidRPr="005B0796">
        <w:noBreakHyphen/>
        <w:t>Commissioned Officers.</w:t>
      </w:r>
    </w:p>
    <w:p w:rsidR="00EF53A1" w:rsidRPr="005B0796" w:rsidRDefault="00EF53A1" w:rsidP="00EF53A1">
      <w:pPr>
        <w:pStyle w:val="TableName"/>
        <w:rPr>
          <w:rFonts w:cs="Calibri"/>
        </w:rPr>
      </w:pPr>
      <w:bookmarkStart w:id="393" w:name="_Toc51190041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7</w:t>
      </w:r>
      <w:r w:rsidR="00D30A3C">
        <w:rPr>
          <w:noProof/>
        </w:rPr>
        <w:fldChar w:fldCharType="end"/>
      </w:r>
      <w:bookmarkEnd w:id="389"/>
      <w:r w:rsidRPr="005B0796">
        <w:tab/>
      </w:r>
      <w:r w:rsidRPr="005B0796">
        <w:rPr>
          <w:lang w:eastAsia="en-AU"/>
        </w:rPr>
        <w:t>Estimated prevalence of 12-month ICD-10 anxiety disorders in Transitioned ADF members (Navy, Army and Air Force)</w:t>
      </w:r>
      <w:bookmarkEnd w:id="390"/>
      <w:bookmarkEnd w:id="391"/>
      <w:bookmarkEnd w:id="392"/>
      <w:bookmarkEnd w:id="393"/>
    </w:p>
    <w:tbl>
      <w:tblPr>
        <w:tblStyle w:val="TWRPTable"/>
        <w:tblW w:w="5000" w:type="pct"/>
        <w:tblLayout w:type="fixed"/>
        <w:tblLook w:val="04A0" w:firstRow="1" w:lastRow="0" w:firstColumn="1" w:lastColumn="0" w:noHBand="0" w:noVBand="1"/>
        <w:tblDescription w:val="Table 4.7 Estimated prevalence of 12-month ICD-10 anxiety disorders in Transitioned ADF members (Navy, Army and Air Force)"/>
      </w:tblPr>
      <w:tblGrid>
        <w:gridCol w:w="1278"/>
        <w:gridCol w:w="810"/>
        <w:gridCol w:w="450"/>
        <w:gridCol w:w="752"/>
        <w:gridCol w:w="778"/>
        <w:gridCol w:w="450"/>
        <w:gridCol w:w="784"/>
        <w:gridCol w:w="746"/>
        <w:gridCol w:w="540"/>
        <w:gridCol w:w="727"/>
      </w:tblGrid>
      <w:tr w:rsidR="00231128" w:rsidRPr="005B0796" w:rsidTr="0032007D">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val="restart"/>
            <w:tcBorders>
              <w:top w:val="single" w:sz="4" w:space="0" w:color="000000"/>
            </w:tcBorders>
            <w:noWrap/>
            <w:hideMark/>
          </w:tcPr>
          <w:p w:rsidR="00231128" w:rsidRPr="005B0796" w:rsidRDefault="00231128" w:rsidP="00045B87">
            <w:pPr>
              <w:pStyle w:val="TableText"/>
            </w:pPr>
            <w:r w:rsidRPr="005B0796">
              <w:t>ICD-10 anxiety disorder</w:t>
            </w:r>
          </w:p>
        </w:tc>
        <w:tc>
          <w:tcPr>
            <w:tcW w:w="6037" w:type="dxa"/>
            <w:gridSpan w:val="9"/>
            <w:noWrap/>
            <w:hideMark/>
          </w:tcPr>
          <w:p w:rsidR="00231128" w:rsidRPr="005B0796" w:rsidRDefault="00231128" w:rsidP="00045B87">
            <w:pPr>
              <w:pStyle w:val="TableText"/>
              <w:jc w:val="center"/>
            </w:pPr>
            <w:r w:rsidRPr="005B0796">
              <w:t>Service at transition</w:t>
            </w:r>
          </w:p>
        </w:tc>
      </w:tr>
      <w:tr w:rsidR="00231128" w:rsidRPr="005B0796" w:rsidTr="0032007D">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hideMark/>
          </w:tcPr>
          <w:p w:rsidR="00231128" w:rsidRPr="005B0796" w:rsidRDefault="00231128" w:rsidP="00045B87">
            <w:pPr>
              <w:pStyle w:val="TableText"/>
            </w:pPr>
          </w:p>
        </w:tc>
        <w:tc>
          <w:tcPr>
            <w:tcW w:w="2012" w:type="dxa"/>
            <w:gridSpan w:val="3"/>
            <w:noWrap/>
            <w:hideMark/>
          </w:tcPr>
          <w:p w:rsidR="00231128" w:rsidRPr="005B0796" w:rsidRDefault="00520FC8" w:rsidP="00045B87">
            <w:pPr>
              <w:pStyle w:val="TableText"/>
              <w:jc w:val="center"/>
            </w:pPr>
            <w:r w:rsidRPr="005B0796">
              <w:t>Navy (n = 5671)</w:t>
            </w:r>
          </w:p>
        </w:tc>
        <w:tc>
          <w:tcPr>
            <w:tcW w:w="2012" w:type="dxa"/>
            <w:gridSpan w:val="3"/>
            <w:noWrap/>
            <w:hideMark/>
          </w:tcPr>
          <w:p w:rsidR="00231128" w:rsidRPr="005B0796" w:rsidRDefault="00520FC8" w:rsidP="00045B87">
            <w:pPr>
              <w:pStyle w:val="TableText"/>
              <w:jc w:val="center"/>
            </w:pPr>
            <w:r w:rsidRPr="005B0796">
              <w:t>Army (n = 15,038)</w:t>
            </w:r>
          </w:p>
        </w:tc>
        <w:tc>
          <w:tcPr>
            <w:tcW w:w="2013" w:type="dxa"/>
            <w:gridSpan w:val="3"/>
            <w:noWrap/>
            <w:hideMark/>
          </w:tcPr>
          <w:p w:rsidR="00231128" w:rsidRPr="005B0796" w:rsidRDefault="00231128" w:rsidP="00045B87">
            <w:pPr>
              <w:pStyle w:val="TableText"/>
              <w:jc w:val="center"/>
            </w:pPr>
            <w:r w:rsidRPr="005B0796">
              <w:t>Air Force (n = 4223)</w:t>
            </w:r>
          </w:p>
        </w:tc>
      </w:tr>
      <w:tr w:rsidR="00231128" w:rsidRPr="005B0796" w:rsidTr="0032007D">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noWrap/>
            <w:hideMark/>
          </w:tcPr>
          <w:p w:rsidR="00231128" w:rsidRPr="005B0796" w:rsidRDefault="00231128" w:rsidP="00045B87">
            <w:pPr>
              <w:pStyle w:val="TableText"/>
            </w:pPr>
          </w:p>
        </w:tc>
        <w:tc>
          <w:tcPr>
            <w:tcW w:w="810" w:type="dxa"/>
            <w:noWrap/>
            <w:hideMark/>
          </w:tcPr>
          <w:p w:rsidR="00231128" w:rsidRPr="005B0796" w:rsidRDefault="00231128" w:rsidP="0084663B">
            <w:pPr>
              <w:pStyle w:val="TableText"/>
              <w:jc w:val="right"/>
            </w:pPr>
            <w:r w:rsidRPr="005B0796">
              <w:t>Weighted n</w:t>
            </w:r>
          </w:p>
        </w:tc>
        <w:tc>
          <w:tcPr>
            <w:tcW w:w="450" w:type="dxa"/>
            <w:hideMark/>
          </w:tcPr>
          <w:p w:rsidR="00231128" w:rsidRPr="005B0796" w:rsidRDefault="00231128" w:rsidP="00045B87">
            <w:pPr>
              <w:pStyle w:val="TableText"/>
              <w:jc w:val="right"/>
            </w:pPr>
            <w:r w:rsidRPr="005B0796">
              <w:t>%</w:t>
            </w:r>
          </w:p>
        </w:tc>
        <w:tc>
          <w:tcPr>
            <w:tcW w:w="752" w:type="dxa"/>
            <w:hideMark/>
          </w:tcPr>
          <w:p w:rsidR="00231128" w:rsidRPr="005B0796" w:rsidRDefault="00231128" w:rsidP="00045B87">
            <w:pPr>
              <w:pStyle w:val="TableText"/>
              <w:jc w:val="right"/>
            </w:pPr>
            <w:r w:rsidRPr="005B0796">
              <w:t>95% CI</w:t>
            </w:r>
          </w:p>
        </w:tc>
        <w:tc>
          <w:tcPr>
            <w:tcW w:w="778" w:type="dxa"/>
            <w:noWrap/>
            <w:hideMark/>
          </w:tcPr>
          <w:p w:rsidR="00231128" w:rsidRPr="005B0796" w:rsidRDefault="008C2520" w:rsidP="00045B87">
            <w:pPr>
              <w:pStyle w:val="TableText"/>
              <w:jc w:val="right"/>
            </w:pPr>
            <w:r w:rsidRPr="005B0796">
              <w:t>Weigh</w:t>
            </w:r>
            <w:r w:rsidR="00231128" w:rsidRPr="005B0796">
              <w:t>ted n</w:t>
            </w:r>
          </w:p>
        </w:tc>
        <w:tc>
          <w:tcPr>
            <w:tcW w:w="450" w:type="dxa"/>
            <w:hideMark/>
          </w:tcPr>
          <w:p w:rsidR="00231128" w:rsidRPr="005B0796" w:rsidRDefault="00231128" w:rsidP="00045B87">
            <w:pPr>
              <w:pStyle w:val="TableText"/>
              <w:jc w:val="right"/>
            </w:pPr>
            <w:r w:rsidRPr="005B0796">
              <w:t>%</w:t>
            </w:r>
          </w:p>
        </w:tc>
        <w:tc>
          <w:tcPr>
            <w:tcW w:w="784" w:type="dxa"/>
            <w:hideMark/>
          </w:tcPr>
          <w:p w:rsidR="00231128" w:rsidRPr="005B0796" w:rsidRDefault="00231128" w:rsidP="00045B87">
            <w:pPr>
              <w:pStyle w:val="TableText"/>
              <w:jc w:val="right"/>
            </w:pPr>
            <w:r w:rsidRPr="005B0796">
              <w:t>95% CI</w:t>
            </w:r>
          </w:p>
        </w:tc>
        <w:tc>
          <w:tcPr>
            <w:tcW w:w="746" w:type="dxa"/>
            <w:noWrap/>
            <w:hideMark/>
          </w:tcPr>
          <w:p w:rsidR="00231128" w:rsidRPr="005B0796" w:rsidRDefault="00231128" w:rsidP="0084663B">
            <w:pPr>
              <w:pStyle w:val="TableText"/>
              <w:jc w:val="right"/>
            </w:pPr>
            <w:r w:rsidRPr="005B0796">
              <w:t>Weighted n</w:t>
            </w:r>
          </w:p>
        </w:tc>
        <w:tc>
          <w:tcPr>
            <w:tcW w:w="540" w:type="dxa"/>
            <w:hideMark/>
          </w:tcPr>
          <w:p w:rsidR="00231128" w:rsidRPr="005B0796" w:rsidRDefault="00231128" w:rsidP="00045B87">
            <w:pPr>
              <w:pStyle w:val="TableText"/>
              <w:jc w:val="right"/>
            </w:pPr>
            <w:r w:rsidRPr="005B0796">
              <w:t>%</w:t>
            </w:r>
          </w:p>
        </w:tc>
        <w:tc>
          <w:tcPr>
            <w:tcW w:w="727" w:type="dxa"/>
            <w:hideMark/>
          </w:tcPr>
          <w:p w:rsidR="00231128" w:rsidRPr="005B0796" w:rsidRDefault="00231128" w:rsidP="00045B87">
            <w:pPr>
              <w:pStyle w:val="TableText"/>
              <w:jc w:val="right"/>
            </w:pPr>
            <w:r w:rsidRPr="005B0796">
              <w:t>95% CI</w:t>
            </w:r>
          </w:p>
        </w:tc>
      </w:tr>
      <w:tr w:rsidR="00520FC8" w:rsidRPr="005B0796" w:rsidTr="00520FC8">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520FC8" w:rsidRPr="005B0796" w:rsidRDefault="00520FC8" w:rsidP="00045B87">
            <w:pPr>
              <w:pStyle w:val="TableText"/>
              <w:rPr>
                <w:lang w:eastAsia="en-AU"/>
              </w:rPr>
            </w:pPr>
            <w:r w:rsidRPr="005B0796">
              <w:rPr>
                <w:lang w:eastAsia="en-AU"/>
              </w:rPr>
              <w:t>Panic attack</w:t>
            </w:r>
          </w:p>
        </w:tc>
        <w:tc>
          <w:tcPr>
            <w:tcW w:w="810" w:type="dxa"/>
            <w:noWrap/>
          </w:tcPr>
          <w:p w:rsidR="00520FC8" w:rsidRPr="005B0796" w:rsidRDefault="00520FC8" w:rsidP="00520FC8">
            <w:pPr>
              <w:pStyle w:val="TableText"/>
              <w:jc w:val="right"/>
              <w:rPr>
                <w:lang w:eastAsia="en-AU"/>
              </w:rPr>
            </w:pPr>
            <w:r w:rsidRPr="005B0796">
              <w:rPr>
                <w:lang w:eastAsia="en-AU"/>
              </w:rPr>
              <w:t>859</w:t>
            </w:r>
          </w:p>
        </w:tc>
        <w:tc>
          <w:tcPr>
            <w:tcW w:w="450" w:type="dxa"/>
          </w:tcPr>
          <w:p w:rsidR="00520FC8" w:rsidRPr="005B0796" w:rsidRDefault="00520FC8" w:rsidP="00520FC8">
            <w:pPr>
              <w:pStyle w:val="TableText"/>
              <w:jc w:val="right"/>
              <w:rPr>
                <w:lang w:eastAsia="en-AU"/>
              </w:rPr>
            </w:pPr>
            <w:r w:rsidRPr="005B0796">
              <w:rPr>
                <w:lang w:eastAsia="en-AU"/>
              </w:rPr>
              <w:t>15.1</w:t>
            </w:r>
          </w:p>
        </w:tc>
        <w:tc>
          <w:tcPr>
            <w:tcW w:w="752" w:type="dxa"/>
          </w:tcPr>
          <w:p w:rsidR="00520FC8" w:rsidRPr="005B0796" w:rsidRDefault="00520FC8" w:rsidP="00520FC8">
            <w:pPr>
              <w:pStyle w:val="TableText"/>
              <w:jc w:val="right"/>
              <w:rPr>
                <w:lang w:eastAsia="en-AU"/>
              </w:rPr>
            </w:pPr>
            <w:r w:rsidRPr="005B0796">
              <w:rPr>
                <w:lang w:eastAsia="en-AU"/>
              </w:rPr>
              <w:t>9.2, 24.0</w:t>
            </w:r>
          </w:p>
        </w:tc>
        <w:tc>
          <w:tcPr>
            <w:tcW w:w="778" w:type="dxa"/>
            <w:noWrap/>
          </w:tcPr>
          <w:p w:rsidR="00520FC8" w:rsidRPr="005B0796" w:rsidRDefault="00520FC8" w:rsidP="00520FC8">
            <w:pPr>
              <w:pStyle w:val="TableText"/>
              <w:jc w:val="right"/>
              <w:rPr>
                <w:lang w:eastAsia="en-AU"/>
              </w:rPr>
            </w:pPr>
            <w:r w:rsidRPr="005B0796">
              <w:rPr>
                <w:lang w:eastAsia="en-AU"/>
              </w:rPr>
              <w:t>2485</w:t>
            </w:r>
          </w:p>
        </w:tc>
        <w:tc>
          <w:tcPr>
            <w:tcW w:w="450" w:type="dxa"/>
          </w:tcPr>
          <w:p w:rsidR="00520FC8" w:rsidRPr="005B0796" w:rsidRDefault="00520FC8" w:rsidP="00520FC8">
            <w:pPr>
              <w:pStyle w:val="TableText"/>
              <w:jc w:val="right"/>
              <w:rPr>
                <w:lang w:eastAsia="en-AU"/>
              </w:rPr>
            </w:pPr>
            <w:r w:rsidRPr="005B0796">
              <w:rPr>
                <w:lang w:eastAsia="en-AU"/>
              </w:rPr>
              <w:t>16.5</w:t>
            </w:r>
          </w:p>
        </w:tc>
        <w:tc>
          <w:tcPr>
            <w:tcW w:w="784" w:type="dxa"/>
          </w:tcPr>
          <w:p w:rsidR="00520FC8" w:rsidRPr="005B0796" w:rsidRDefault="00520FC8" w:rsidP="00520FC8">
            <w:pPr>
              <w:pStyle w:val="TableText"/>
              <w:jc w:val="right"/>
              <w:rPr>
                <w:lang w:eastAsia="en-AU"/>
              </w:rPr>
            </w:pPr>
            <w:r w:rsidRPr="005B0796">
              <w:rPr>
                <w:lang w:eastAsia="en-AU"/>
              </w:rPr>
              <w:t>12.3, 21.8</w:t>
            </w:r>
          </w:p>
        </w:tc>
        <w:tc>
          <w:tcPr>
            <w:tcW w:w="746" w:type="dxa"/>
            <w:noWrap/>
            <w:hideMark/>
          </w:tcPr>
          <w:p w:rsidR="00520FC8" w:rsidRPr="005B0796" w:rsidRDefault="00520FC8" w:rsidP="00045B87">
            <w:pPr>
              <w:pStyle w:val="TableText"/>
              <w:jc w:val="right"/>
              <w:rPr>
                <w:lang w:eastAsia="en-AU"/>
              </w:rPr>
            </w:pPr>
            <w:r w:rsidRPr="005B0796">
              <w:rPr>
                <w:lang w:eastAsia="en-AU"/>
              </w:rPr>
              <w:t>901</w:t>
            </w:r>
          </w:p>
        </w:tc>
        <w:tc>
          <w:tcPr>
            <w:tcW w:w="540" w:type="dxa"/>
            <w:hideMark/>
          </w:tcPr>
          <w:p w:rsidR="00520FC8" w:rsidRPr="005B0796" w:rsidRDefault="00520FC8" w:rsidP="00045B87">
            <w:pPr>
              <w:pStyle w:val="TableText"/>
              <w:jc w:val="right"/>
              <w:rPr>
                <w:lang w:eastAsia="en-AU"/>
              </w:rPr>
            </w:pPr>
            <w:r w:rsidRPr="005B0796">
              <w:rPr>
                <w:lang w:eastAsia="en-AU"/>
              </w:rPr>
              <w:t>21.3</w:t>
            </w:r>
          </w:p>
        </w:tc>
        <w:tc>
          <w:tcPr>
            <w:tcW w:w="727" w:type="dxa"/>
            <w:hideMark/>
          </w:tcPr>
          <w:p w:rsidR="00520FC8" w:rsidRPr="005B0796" w:rsidRDefault="00520FC8" w:rsidP="00045B87">
            <w:pPr>
              <w:pStyle w:val="TableText"/>
              <w:jc w:val="right"/>
              <w:rPr>
                <w:lang w:eastAsia="en-AU"/>
              </w:rPr>
            </w:pPr>
            <w:r w:rsidRPr="005B0796">
              <w:rPr>
                <w:lang w:eastAsia="en-AU"/>
              </w:rPr>
              <w:t>15.9, 27.9</w:t>
            </w:r>
          </w:p>
        </w:tc>
      </w:tr>
      <w:tr w:rsidR="00520FC8" w:rsidRPr="005B0796" w:rsidTr="00520FC8">
        <w:trPr>
          <w:cantSplit/>
        </w:trPr>
        <w:tc>
          <w:tcPr>
            <w:tcW w:w="1278" w:type="dxa"/>
            <w:noWrap/>
            <w:hideMark/>
          </w:tcPr>
          <w:p w:rsidR="00520FC8" w:rsidRPr="005B0796" w:rsidRDefault="00520FC8" w:rsidP="00045B87">
            <w:pPr>
              <w:pStyle w:val="TableText"/>
              <w:rPr>
                <w:lang w:eastAsia="en-AU"/>
              </w:rPr>
            </w:pPr>
            <w:r w:rsidRPr="005B0796">
              <w:rPr>
                <w:lang w:eastAsia="en-AU"/>
              </w:rPr>
              <w:t>Panic disorder</w:t>
            </w:r>
          </w:p>
        </w:tc>
        <w:tc>
          <w:tcPr>
            <w:tcW w:w="810" w:type="dxa"/>
            <w:noWrap/>
          </w:tcPr>
          <w:p w:rsidR="00520FC8" w:rsidRPr="005B0796" w:rsidRDefault="00520FC8" w:rsidP="00520FC8">
            <w:pPr>
              <w:pStyle w:val="TableText"/>
              <w:jc w:val="right"/>
              <w:rPr>
                <w:lang w:eastAsia="en-AU"/>
              </w:rPr>
            </w:pPr>
            <w:r w:rsidRPr="005B0796">
              <w:rPr>
                <w:lang w:eastAsia="en-AU"/>
              </w:rPr>
              <w:t>353</w:t>
            </w:r>
          </w:p>
        </w:tc>
        <w:tc>
          <w:tcPr>
            <w:tcW w:w="450" w:type="dxa"/>
          </w:tcPr>
          <w:p w:rsidR="00520FC8" w:rsidRPr="005B0796" w:rsidRDefault="00520FC8" w:rsidP="00520FC8">
            <w:pPr>
              <w:pStyle w:val="TableText"/>
              <w:jc w:val="right"/>
              <w:rPr>
                <w:lang w:eastAsia="en-AU"/>
              </w:rPr>
            </w:pPr>
            <w:r w:rsidRPr="005B0796">
              <w:rPr>
                <w:lang w:eastAsia="en-AU"/>
              </w:rPr>
              <w:t>6.2</w:t>
            </w:r>
          </w:p>
        </w:tc>
        <w:tc>
          <w:tcPr>
            <w:tcW w:w="752" w:type="dxa"/>
          </w:tcPr>
          <w:p w:rsidR="00520FC8" w:rsidRPr="005B0796" w:rsidRDefault="00520FC8" w:rsidP="00520FC8">
            <w:pPr>
              <w:pStyle w:val="TableText"/>
              <w:jc w:val="right"/>
              <w:rPr>
                <w:lang w:eastAsia="en-AU"/>
              </w:rPr>
            </w:pPr>
            <w:r w:rsidRPr="005B0796">
              <w:rPr>
                <w:lang w:eastAsia="en-AU"/>
              </w:rPr>
              <w:t>2.7, 13.8</w:t>
            </w:r>
          </w:p>
        </w:tc>
        <w:tc>
          <w:tcPr>
            <w:tcW w:w="778" w:type="dxa"/>
            <w:noWrap/>
          </w:tcPr>
          <w:p w:rsidR="00520FC8" w:rsidRPr="005B0796" w:rsidRDefault="00520FC8" w:rsidP="00520FC8">
            <w:pPr>
              <w:pStyle w:val="TableText"/>
              <w:jc w:val="right"/>
              <w:rPr>
                <w:lang w:eastAsia="en-AU"/>
              </w:rPr>
            </w:pPr>
            <w:r w:rsidRPr="005B0796">
              <w:rPr>
                <w:lang w:eastAsia="en-AU"/>
              </w:rPr>
              <w:t>847</w:t>
            </w:r>
          </w:p>
        </w:tc>
        <w:tc>
          <w:tcPr>
            <w:tcW w:w="450" w:type="dxa"/>
          </w:tcPr>
          <w:p w:rsidR="00520FC8" w:rsidRPr="005B0796" w:rsidRDefault="00520FC8" w:rsidP="00520FC8">
            <w:pPr>
              <w:pStyle w:val="TableText"/>
              <w:jc w:val="right"/>
              <w:rPr>
                <w:lang w:eastAsia="en-AU"/>
              </w:rPr>
            </w:pPr>
            <w:r w:rsidRPr="005B0796">
              <w:rPr>
                <w:lang w:eastAsia="en-AU"/>
              </w:rPr>
              <w:t>5.6</w:t>
            </w:r>
          </w:p>
        </w:tc>
        <w:tc>
          <w:tcPr>
            <w:tcW w:w="784" w:type="dxa"/>
          </w:tcPr>
          <w:p w:rsidR="00520FC8" w:rsidRPr="005B0796" w:rsidRDefault="00520FC8" w:rsidP="00520FC8">
            <w:pPr>
              <w:pStyle w:val="TableText"/>
              <w:jc w:val="right"/>
              <w:rPr>
                <w:lang w:eastAsia="en-AU"/>
              </w:rPr>
            </w:pPr>
            <w:r w:rsidRPr="005B0796">
              <w:rPr>
                <w:lang w:eastAsia="en-AU"/>
              </w:rPr>
              <w:t>3.3, 9.4</w:t>
            </w:r>
          </w:p>
        </w:tc>
        <w:tc>
          <w:tcPr>
            <w:tcW w:w="746" w:type="dxa"/>
            <w:noWrap/>
            <w:hideMark/>
          </w:tcPr>
          <w:p w:rsidR="00520FC8" w:rsidRPr="005B0796" w:rsidRDefault="00520FC8" w:rsidP="00045B87">
            <w:pPr>
              <w:pStyle w:val="TableText"/>
              <w:jc w:val="right"/>
              <w:rPr>
                <w:lang w:eastAsia="en-AU"/>
              </w:rPr>
            </w:pPr>
            <w:r w:rsidRPr="005B0796">
              <w:rPr>
                <w:lang w:eastAsia="en-AU"/>
              </w:rPr>
              <w:t>144</w:t>
            </w:r>
          </w:p>
        </w:tc>
        <w:tc>
          <w:tcPr>
            <w:tcW w:w="540" w:type="dxa"/>
            <w:hideMark/>
          </w:tcPr>
          <w:p w:rsidR="00520FC8" w:rsidRPr="005B0796" w:rsidRDefault="00520FC8" w:rsidP="00045B87">
            <w:pPr>
              <w:pStyle w:val="TableText"/>
              <w:jc w:val="right"/>
              <w:rPr>
                <w:lang w:eastAsia="en-AU"/>
              </w:rPr>
            </w:pPr>
            <w:r w:rsidRPr="005B0796">
              <w:rPr>
                <w:lang w:eastAsia="en-AU"/>
              </w:rPr>
              <w:t>3.4</w:t>
            </w:r>
          </w:p>
        </w:tc>
        <w:tc>
          <w:tcPr>
            <w:tcW w:w="727" w:type="dxa"/>
            <w:hideMark/>
          </w:tcPr>
          <w:p w:rsidR="00520FC8" w:rsidRPr="005B0796" w:rsidRDefault="00520FC8" w:rsidP="00045B87">
            <w:pPr>
              <w:pStyle w:val="TableText"/>
              <w:jc w:val="right"/>
              <w:rPr>
                <w:lang w:eastAsia="en-AU"/>
              </w:rPr>
            </w:pPr>
            <w:r w:rsidRPr="005B0796">
              <w:rPr>
                <w:lang w:eastAsia="en-AU"/>
              </w:rPr>
              <w:t>2.0, 5.8</w:t>
            </w:r>
          </w:p>
        </w:tc>
      </w:tr>
      <w:tr w:rsidR="00520FC8" w:rsidRPr="005B0796" w:rsidTr="00520FC8">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520FC8" w:rsidRPr="005B0796" w:rsidRDefault="00520FC8" w:rsidP="00045B87">
            <w:pPr>
              <w:pStyle w:val="TableText"/>
              <w:rPr>
                <w:lang w:eastAsia="en-AU"/>
              </w:rPr>
            </w:pPr>
            <w:r w:rsidRPr="005B0796">
              <w:rPr>
                <w:lang w:eastAsia="en-AU"/>
              </w:rPr>
              <w:t>Agoraphobia</w:t>
            </w:r>
          </w:p>
        </w:tc>
        <w:tc>
          <w:tcPr>
            <w:tcW w:w="810" w:type="dxa"/>
            <w:noWrap/>
          </w:tcPr>
          <w:p w:rsidR="00520FC8" w:rsidRPr="005B0796" w:rsidRDefault="00520FC8" w:rsidP="00520FC8">
            <w:pPr>
              <w:pStyle w:val="TableText"/>
              <w:jc w:val="right"/>
              <w:rPr>
                <w:lang w:eastAsia="en-AU"/>
              </w:rPr>
            </w:pPr>
            <w:r w:rsidRPr="005B0796">
              <w:rPr>
                <w:lang w:eastAsia="en-AU"/>
              </w:rPr>
              <w:t>661</w:t>
            </w:r>
          </w:p>
        </w:tc>
        <w:tc>
          <w:tcPr>
            <w:tcW w:w="450" w:type="dxa"/>
          </w:tcPr>
          <w:p w:rsidR="00520FC8" w:rsidRPr="005B0796" w:rsidRDefault="00520FC8" w:rsidP="00520FC8">
            <w:pPr>
              <w:pStyle w:val="TableText"/>
              <w:jc w:val="right"/>
              <w:rPr>
                <w:lang w:eastAsia="en-AU"/>
              </w:rPr>
            </w:pPr>
            <w:r w:rsidRPr="005B0796">
              <w:rPr>
                <w:lang w:eastAsia="en-AU"/>
              </w:rPr>
              <w:t>11.7</w:t>
            </w:r>
          </w:p>
        </w:tc>
        <w:tc>
          <w:tcPr>
            <w:tcW w:w="752" w:type="dxa"/>
          </w:tcPr>
          <w:p w:rsidR="00520FC8" w:rsidRPr="005B0796" w:rsidRDefault="00520FC8" w:rsidP="00520FC8">
            <w:pPr>
              <w:pStyle w:val="TableText"/>
              <w:jc w:val="right"/>
              <w:rPr>
                <w:lang w:eastAsia="en-AU"/>
              </w:rPr>
            </w:pPr>
            <w:r w:rsidRPr="005B0796">
              <w:rPr>
                <w:lang w:eastAsia="en-AU"/>
              </w:rPr>
              <w:t>6.6, 19.7</w:t>
            </w:r>
          </w:p>
        </w:tc>
        <w:tc>
          <w:tcPr>
            <w:tcW w:w="778" w:type="dxa"/>
            <w:noWrap/>
          </w:tcPr>
          <w:p w:rsidR="00520FC8" w:rsidRPr="005B0796" w:rsidRDefault="00520FC8" w:rsidP="00520FC8">
            <w:pPr>
              <w:pStyle w:val="TableText"/>
              <w:jc w:val="right"/>
              <w:rPr>
                <w:lang w:eastAsia="en-AU"/>
              </w:rPr>
            </w:pPr>
            <w:r w:rsidRPr="005B0796">
              <w:rPr>
                <w:lang w:eastAsia="en-AU"/>
              </w:rPr>
              <w:t>1977</w:t>
            </w:r>
          </w:p>
        </w:tc>
        <w:tc>
          <w:tcPr>
            <w:tcW w:w="450" w:type="dxa"/>
          </w:tcPr>
          <w:p w:rsidR="00520FC8" w:rsidRPr="005B0796" w:rsidRDefault="00520FC8" w:rsidP="00520FC8">
            <w:pPr>
              <w:pStyle w:val="TableText"/>
              <w:jc w:val="right"/>
              <w:rPr>
                <w:lang w:eastAsia="en-AU"/>
              </w:rPr>
            </w:pPr>
            <w:r w:rsidRPr="005B0796">
              <w:rPr>
                <w:lang w:eastAsia="en-AU"/>
              </w:rPr>
              <w:t>13.1</w:t>
            </w:r>
          </w:p>
        </w:tc>
        <w:tc>
          <w:tcPr>
            <w:tcW w:w="784" w:type="dxa"/>
          </w:tcPr>
          <w:p w:rsidR="00520FC8" w:rsidRPr="005B0796" w:rsidRDefault="00520FC8" w:rsidP="00520FC8">
            <w:pPr>
              <w:pStyle w:val="TableText"/>
              <w:jc w:val="right"/>
              <w:rPr>
                <w:lang w:eastAsia="en-AU"/>
              </w:rPr>
            </w:pPr>
            <w:r w:rsidRPr="005B0796">
              <w:rPr>
                <w:lang w:eastAsia="en-AU"/>
              </w:rPr>
              <w:t>9.2, 18.4</w:t>
            </w:r>
          </w:p>
        </w:tc>
        <w:tc>
          <w:tcPr>
            <w:tcW w:w="746" w:type="dxa"/>
            <w:noWrap/>
            <w:hideMark/>
          </w:tcPr>
          <w:p w:rsidR="00520FC8" w:rsidRPr="005B0796" w:rsidRDefault="00520FC8" w:rsidP="00045B87">
            <w:pPr>
              <w:pStyle w:val="TableText"/>
              <w:jc w:val="right"/>
              <w:rPr>
                <w:lang w:eastAsia="en-AU"/>
              </w:rPr>
            </w:pPr>
            <w:r w:rsidRPr="005B0796">
              <w:rPr>
                <w:lang w:eastAsia="en-AU"/>
              </w:rPr>
              <w:t>337</w:t>
            </w:r>
          </w:p>
        </w:tc>
        <w:tc>
          <w:tcPr>
            <w:tcW w:w="540" w:type="dxa"/>
            <w:hideMark/>
          </w:tcPr>
          <w:p w:rsidR="00520FC8" w:rsidRPr="005B0796" w:rsidRDefault="00520FC8" w:rsidP="00045B87">
            <w:pPr>
              <w:pStyle w:val="TableText"/>
              <w:jc w:val="right"/>
              <w:rPr>
                <w:lang w:eastAsia="en-AU"/>
              </w:rPr>
            </w:pPr>
            <w:r w:rsidRPr="005B0796">
              <w:rPr>
                <w:lang w:eastAsia="en-AU"/>
              </w:rPr>
              <w:t>8.0</w:t>
            </w:r>
          </w:p>
        </w:tc>
        <w:tc>
          <w:tcPr>
            <w:tcW w:w="727" w:type="dxa"/>
            <w:hideMark/>
          </w:tcPr>
          <w:p w:rsidR="00520FC8" w:rsidRPr="005B0796" w:rsidRDefault="00520FC8" w:rsidP="00045B87">
            <w:pPr>
              <w:pStyle w:val="TableText"/>
              <w:jc w:val="right"/>
              <w:rPr>
                <w:lang w:eastAsia="en-AU"/>
              </w:rPr>
            </w:pPr>
            <w:r w:rsidRPr="005B0796">
              <w:rPr>
                <w:lang w:eastAsia="en-AU"/>
              </w:rPr>
              <w:t>4.7, 13.3</w:t>
            </w:r>
          </w:p>
        </w:tc>
      </w:tr>
      <w:tr w:rsidR="00520FC8" w:rsidRPr="005B0796" w:rsidTr="00520FC8">
        <w:trPr>
          <w:cantSplit/>
        </w:trPr>
        <w:tc>
          <w:tcPr>
            <w:tcW w:w="1278" w:type="dxa"/>
            <w:noWrap/>
            <w:hideMark/>
          </w:tcPr>
          <w:p w:rsidR="00520FC8" w:rsidRPr="005B0796" w:rsidRDefault="00520FC8" w:rsidP="00045B87">
            <w:pPr>
              <w:pStyle w:val="TableText"/>
              <w:rPr>
                <w:lang w:eastAsia="en-AU"/>
              </w:rPr>
            </w:pPr>
            <w:r w:rsidRPr="005B0796">
              <w:rPr>
                <w:lang w:eastAsia="en-AU"/>
              </w:rPr>
              <w:t>Social phobia</w:t>
            </w:r>
          </w:p>
        </w:tc>
        <w:tc>
          <w:tcPr>
            <w:tcW w:w="810" w:type="dxa"/>
            <w:noWrap/>
          </w:tcPr>
          <w:p w:rsidR="00520FC8" w:rsidRPr="005B0796" w:rsidRDefault="00520FC8" w:rsidP="00520FC8">
            <w:pPr>
              <w:pStyle w:val="TableText"/>
              <w:jc w:val="right"/>
              <w:rPr>
                <w:lang w:eastAsia="en-AU"/>
              </w:rPr>
            </w:pPr>
            <w:r w:rsidRPr="005B0796">
              <w:rPr>
                <w:lang w:eastAsia="en-AU"/>
              </w:rPr>
              <w:t>596</w:t>
            </w:r>
          </w:p>
        </w:tc>
        <w:tc>
          <w:tcPr>
            <w:tcW w:w="450" w:type="dxa"/>
          </w:tcPr>
          <w:p w:rsidR="00520FC8" w:rsidRPr="005B0796" w:rsidRDefault="00520FC8" w:rsidP="00520FC8">
            <w:pPr>
              <w:pStyle w:val="TableText"/>
              <w:jc w:val="right"/>
              <w:rPr>
                <w:lang w:eastAsia="en-AU"/>
              </w:rPr>
            </w:pPr>
            <w:r w:rsidRPr="005B0796">
              <w:rPr>
                <w:lang w:eastAsia="en-AU"/>
              </w:rPr>
              <w:t>10.5</w:t>
            </w:r>
          </w:p>
        </w:tc>
        <w:tc>
          <w:tcPr>
            <w:tcW w:w="752" w:type="dxa"/>
          </w:tcPr>
          <w:p w:rsidR="00520FC8" w:rsidRPr="005B0796" w:rsidRDefault="00520FC8" w:rsidP="00520FC8">
            <w:pPr>
              <w:pStyle w:val="TableText"/>
              <w:jc w:val="right"/>
              <w:rPr>
                <w:lang w:eastAsia="en-AU"/>
              </w:rPr>
            </w:pPr>
            <w:r w:rsidRPr="005B0796">
              <w:rPr>
                <w:lang w:eastAsia="en-AU"/>
              </w:rPr>
              <w:t>5.8, 18.2</w:t>
            </w:r>
          </w:p>
        </w:tc>
        <w:tc>
          <w:tcPr>
            <w:tcW w:w="778" w:type="dxa"/>
            <w:noWrap/>
          </w:tcPr>
          <w:p w:rsidR="00520FC8" w:rsidRPr="005B0796" w:rsidRDefault="00520FC8" w:rsidP="00520FC8">
            <w:pPr>
              <w:pStyle w:val="TableText"/>
              <w:jc w:val="right"/>
              <w:rPr>
                <w:lang w:eastAsia="en-AU"/>
              </w:rPr>
            </w:pPr>
            <w:r w:rsidRPr="005B0796">
              <w:rPr>
                <w:lang w:eastAsia="en-AU"/>
              </w:rPr>
              <w:t>1404</w:t>
            </w:r>
          </w:p>
        </w:tc>
        <w:tc>
          <w:tcPr>
            <w:tcW w:w="450" w:type="dxa"/>
          </w:tcPr>
          <w:p w:rsidR="00520FC8" w:rsidRPr="005B0796" w:rsidRDefault="00520FC8" w:rsidP="00520FC8">
            <w:pPr>
              <w:pStyle w:val="TableText"/>
              <w:jc w:val="right"/>
              <w:rPr>
                <w:lang w:eastAsia="en-AU"/>
              </w:rPr>
            </w:pPr>
            <w:r w:rsidRPr="005B0796">
              <w:rPr>
                <w:lang w:eastAsia="en-AU"/>
              </w:rPr>
              <w:t>9.3</w:t>
            </w:r>
          </w:p>
        </w:tc>
        <w:tc>
          <w:tcPr>
            <w:tcW w:w="784" w:type="dxa"/>
          </w:tcPr>
          <w:p w:rsidR="00520FC8" w:rsidRPr="005B0796" w:rsidRDefault="00520FC8" w:rsidP="00520FC8">
            <w:pPr>
              <w:pStyle w:val="TableText"/>
              <w:jc w:val="right"/>
              <w:rPr>
                <w:lang w:eastAsia="en-AU"/>
              </w:rPr>
            </w:pPr>
            <w:r w:rsidRPr="005B0796">
              <w:rPr>
                <w:lang w:eastAsia="en-AU"/>
              </w:rPr>
              <w:t>6.0, 14.2</w:t>
            </w:r>
          </w:p>
        </w:tc>
        <w:tc>
          <w:tcPr>
            <w:tcW w:w="746" w:type="dxa"/>
            <w:noWrap/>
            <w:hideMark/>
          </w:tcPr>
          <w:p w:rsidR="00520FC8" w:rsidRPr="005B0796" w:rsidRDefault="00520FC8" w:rsidP="00045B87">
            <w:pPr>
              <w:pStyle w:val="TableText"/>
              <w:jc w:val="right"/>
              <w:rPr>
                <w:lang w:eastAsia="en-AU"/>
              </w:rPr>
            </w:pPr>
            <w:r w:rsidRPr="005B0796">
              <w:rPr>
                <w:lang w:eastAsia="en-AU"/>
              </w:rPr>
              <w:t>739</w:t>
            </w:r>
          </w:p>
        </w:tc>
        <w:tc>
          <w:tcPr>
            <w:tcW w:w="540" w:type="dxa"/>
            <w:hideMark/>
          </w:tcPr>
          <w:p w:rsidR="00520FC8" w:rsidRPr="005B0796" w:rsidRDefault="00520FC8" w:rsidP="00045B87">
            <w:pPr>
              <w:pStyle w:val="TableText"/>
              <w:jc w:val="right"/>
              <w:rPr>
                <w:lang w:eastAsia="en-AU"/>
              </w:rPr>
            </w:pPr>
            <w:r w:rsidRPr="005B0796">
              <w:rPr>
                <w:lang w:eastAsia="en-AU"/>
              </w:rPr>
              <w:t>17.5</w:t>
            </w:r>
          </w:p>
        </w:tc>
        <w:tc>
          <w:tcPr>
            <w:tcW w:w="727" w:type="dxa"/>
            <w:hideMark/>
          </w:tcPr>
          <w:p w:rsidR="00520FC8" w:rsidRPr="005B0796" w:rsidRDefault="00520FC8" w:rsidP="00045B87">
            <w:pPr>
              <w:pStyle w:val="TableText"/>
              <w:jc w:val="right"/>
              <w:rPr>
                <w:lang w:eastAsia="en-AU"/>
              </w:rPr>
            </w:pPr>
            <w:r w:rsidRPr="005B0796">
              <w:rPr>
                <w:lang w:eastAsia="en-AU"/>
              </w:rPr>
              <w:t>12.4, 24.2</w:t>
            </w:r>
          </w:p>
        </w:tc>
      </w:tr>
      <w:tr w:rsidR="00520FC8" w:rsidRPr="005B0796" w:rsidTr="00520FC8">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520FC8" w:rsidRPr="005B0796" w:rsidRDefault="00520FC8" w:rsidP="00045B87">
            <w:pPr>
              <w:pStyle w:val="TableText"/>
              <w:rPr>
                <w:lang w:eastAsia="en-AU"/>
              </w:rPr>
            </w:pPr>
            <w:r w:rsidRPr="005B0796">
              <w:rPr>
                <w:lang w:eastAsia="en-AU"/>
              </w:rPr>
              <w:t>Specific phobia</w:t>
            </w:r>
          </w:p>
        </w:tc>
        <w:tc>
          <w:tcPr>
            <w:tcW w:w="810" w:type="dxa"/>
            <w:noWrap/>
          </w:tcPr>
          <w:p w:rsidR="00520FC8" w:rsidRPr="005B0796" w:rsidRDefault="00520FC8" w:rsidP="00520FC8">
            <w:pPr>
              <w:pStyle w:val="TableText"/>
              <w:jc w:val="right"/>
              <w:rPr>
                <w:lang w:eastAsia="en-AU"/>
              </w:rPr>
            </w:pPr>
            <w:r w:rsidRPr="005B0796">
              <w:rPr>
                <w:lang w:eastAsia="en-AU"/>
              </w:rPr>
              <w:t>462</w:t>
            </w:r>
          </w:p>
        </w:tc>
        <w:tc>
          <w:tcPr>
            <w:tcW w:w="450" w:type="dxa"/>
          </w:tcPr>
          <w:p w:rsidR="00520FC8" w:rsidRPr="005B0796" w:rsidRDefault="00520FC8" w:rsidP="00520FC8">
            <w:pPr>
              <w:pStyle w:val="TableText"/>
              <w:jc w:val="right"/>
              <w:rPr>
                <w:lang w:eastAsia="en-AU"/>
              </w:rPr>
            </w:pPr>
            <w:r w:rsidRPr="005B0796">
              <w:rPr>
                <w:lang w:eastAsia="en-AU"/>
              </w:rPr>
              <w:t>8.2</w:t>
            </w:r>
          </w:p>
        </w:tc>
        <w:tc>
          <w:tcPr>
            <w:tcW w:w="752" w:type="dxa"/>
          </w:tcPr>
          <w:p w:rsidR="00520FC8" w:rsidRPr="005B0796" w:rsidRDefault="00520FC8" w:rsidP="00520FC8">
            <w:pPr>
              <w:pStyle w:val="TableText"/>
              <w:jc w:val="right"/>
              <w:rPr>
                <w:lang w:eastAsia="en-AU"/>
              </w:rPr>
            </w:pPr>
            <w:r w:rsidRPr="005B0796">
              <w:rPr>
                <w:lang w:eastAsia="en-AU"/>
              </w:rPr>
              <w:t>4.3, 15.0</w:t>
            </w:r>
          </w:p>
        </w:tc>
        <w:tc>
          <w:tcPr>
            <w:tcW w:w="778" w:type="dxa"/>
            <w:noWrap/>
          </w:tcPr>
          <w:p w:rsidR="00520FC8" w:rsidRPr="005B0796" w:rsidRDefault="00520FC8" w:rsidP="00520FC8">
            <w:pPr>
              <w:pStyle w:val="TableText"/>
              <w:jc w:val="right"/>
              <w:rPr>
                <w:lang w:eastAsia="en-AU"/>
              </w:rPr>
            </w:pPr>
            <w:r w:rsidRPr="005B0796">
              <w:rPr>
                <w:lang w:eastAsia="en-AU"/>
              </w:rPr>
              <w:t>1156</w:t>
            </w:r>
          </w:p>
        </w:tc>
        <w:tc>
          <w:tcPr>
            <w:tcW w:w="450" w:type="dxa"/>
          </w:tcPr>
          <w:p w:rsidR="00520FC8" w:rsidRPr="005B0796" w:rsidRDefault="00520FC8" w:rsidP="00520FC8">
            <w:pPr>
              <w:pStyle w:val="TableText"/>
              <w:jc w:val="right"/>
              <w:rPr>
                <w:lang w:eastAsia="en-AU"/>
              </w:rPr>
            </w:pPr>
            <w:r w:rsidRPr="005B0796">
              <w:rPr>
                <w:lang w:eastAsia="en-AU"/>
              </w:rPr>
              <w:t>7.7</w:t>
            </w:r>
          </w:p>
        </w:tc>
        <w:tc>
          <w:tcPr>
            <w:tcW w:w="784" w:type="dxa"/>
          </w:tcPr>
          <w:p w:rsidR="00520FC8" w:rsidRPr="005B0796" w:rsidRDefault="00520FC8" w:rsidP="00520FC8">
            <w:pPr>
              <w:pStyle w:val="TableText"/>
              <w:jc w:val="right"/>
              <w:rPr>
                <w:lang w:eastAsia="en-AU"/>
              </w:rPr>
            </w:pPr>
            <w:r w:rsidRPr="005B0796">
              <w:rPr>
                <w:lang w:eastAsia="en-AU"/>
              </w:rPr>
              <w:t>5.2, 11.3</w:t>
            </w:r>
          </w:p>
        </w:tc>
        <w:tc>
          <w:tcPr>
            <w:tcW w:w="746" w:type="dxa"/>
            <w:noWrap/>
            <w:hideMark/>
          </w:tcPr>
          <w:p w:rsidR="00520FC8" w:rsidRPr="005B0796" w:rsidRDefault="00520FC8" w:rsidP="00045B87">
            <w:pPr>
              <w:pStyle w:val="TableText"/>
              <w:jc w:val="right"/>
              <w:rPr>
                <w:lang w:eastAsia="en-AU"/>
              </w:rPr>
            </w:pPr>
            <w:r w:rsidRPr="005B0796">
              <w:rPr>
                <w:lang w:eastAsia="en-AU"/>
              </w:rPr>
              <w:t>318</w:t>
            </w:r>
          </w:p>
        </w:tc>
        <w:tc>
          <w:tcPr>
            <w:tcW w:w="540" w:type="dxa"/>
            <w:hideMark/>
          </w:tcPr>
          <w:p w:rsidR="00520FC8" w:rsidRPr="005B0796" w:rsidRDefault="00520FC8" w:rsidP="00045B87">
            <w:pPr>
              <w:pStyle w:val="TableText"/>
              <w:jc w:val="right"/>
              <w:rPr>
                <w:lang w:eastAsia="en-AU"/>
              </w:rPr>
            </w:pPr>
            <w:r w:rsidRPr="005B0796">
              <w:rPr>
                <w:lang w:eastAsia="en-AU"/>
              </w:rPr>
              <w:t>7.5</w:t>
            </w:r>
          </w:p>
        </w:tc>
        <w:tc>
          <w:tcPr>
            <w:tcW w:w="727" w:type="dxa"/>
            <w:hideMark/>
          </w:tcPr>
          <w:p w:rsidR="00520FC8" w:rsidRPr="005B0796" w:rsidRDefault="00520FC8" w:rsidP="00045B87">
            <w:pPr>
              <w:pStyle w:val="TableText"/>
              <w:jc w:val="right"/>
              <w:rPr>
                <w:lang w:eastAsia="en-AU"/>
              </w:rPr>
            </w:pPr>
            <w:r w:rsidRPr="005B0796">
              <w:rPr>
                <w:lang w:eastAsia="en-AU"/>
              </w:rPr>
              <w:t>5.2, 10.7</w:t>
            </w:r>
          </w:p>
        </w:tc>
      </w:tr>
      <w:tr w:rsidR="00520FC8" w:rsidRPr="005B0796" w:rsidTr="00520FC8">
        <w:trPr>
          <w:cantSplit/>
        </w:trPr>
        <w:tc>
          <w:tcPr>
            <w:tcW w:w="1278" w:type="dxa"/>
            <w:noWrap/>
            <w:hideMark/>
          </w:tcPr>
          <w:p w:rsidR="00520FC8" w:rsidRPr="005B0796" w:rsidRDefault="00520FC8" w:rsidP="00045B87">
            <w:pPr>
              <w:pStyle w:val="TableText"/>
              <w:rPr>
                <w:lang w:eastAsia="en-AU"/>
              </w:rPr>
            </w:pPr>
            <w:r w:rsidRPr="005B0796">
              <w:rPr>
                <w:lang w:eastAsia="en-AU"/>
              </w:rPr>
              <w:t>Generalised anxiety disorder</w:t>
            </w:r>
          </w:p>
        </w:tc>
        <w:tc>
          <w:tcPr>
            <w:tcW w:w="810" w:type="dxa"/>
            <w:noWrap/>
          </w:tcPr>
          <w:p w:rsidR="00520FC8" w:rsidRPr="005B0796" w:rsidRDefault="00520FC8" w:rsidP="00520FC8">
            <w:pPr>
              <w:pStyle w:val="TableText"/>
              <w:jc w:val="right"/>
              <w:rPr>
                <w:lang w:eastAsia="en-AU"/>
              </w:rPr>
            </w:pPr>
            <w:r w:rsidRPr="005B0796">
              <w:rPr>
                <w:lang w:eastAsia="en-AU"/>
              </w:rPr>
              <w:t>252</w:t>
            </w:r>
          </w:p>
        </w:tc>
        <w:tc>
          <w:tcPr>
            <w:tcW w:w="450" w:type="dxa"/>
          </w:tcPr>
          <w:p w:rsidR="00520FC8" w:rsidRPr="005B0796" w:rsidRDefault="00520FC8" w:rsidP="00520FC8">
            <w:pPr>
              <w:pStyle w:val="TableText"/>
              <w:jc w:val="right"/>
              <w:rPr>
                <w:lang w:eastAsia="en-AU"/>
              </w:rPr>
            </w:pPr>
            <w:r w:rsidRPr="005B0796">
              <w:rPr>
                <w:lang w:eastAsia="en-AU"/>
              </w:rPr>
              <w:t>4.4</w:t>
            </w:r>
          </w:p>
        </w:tc>
        <w:tc>
          <w:tcPr>
            <w:tcW w:w="752" w:type="dxa"/>
          </w:tcPr>
          <w:p w:rsidR="00520FC8" w:rsidRPr="005B0796" w:rsidRDefault="00520FC8" w:rsidP="00520FC8">
            <w:pPr>
              <w:pStyle w:val="TableText"/>
              <w:jc w:val="right"/>
              <w:rPr>
                <w:lang w:eastAsia="en-AU"/>
              </w:rPr>
            </w:pPr>
            <w:r w:rsidRPr="005B0796">
              <w:rPr>
                <w:lang w:eastAsia="en-AU"/>
              </w:rPr>
              <w:t>1.9, 10.2</w:t>
            </w:r>
          </w:p>
        </w:tc>
        <w:tc>
          <w:tcPr>
            <w:tcW w:w="778" w:type="dxa"/>
            <w:noWrap/>
          </w:tcPr>
          <w:p w:rsidR="00520FC8" w:rsidRPr="005B0796" w:rsidRDefault="00520FC8" w:rsidP="00520FC8">
            <w:pPr>
              <w:pStyle w:val="TableText"/>
              <w:jc w:val="right"/>
              <w:rPr>
                <w:lang w:eastAsia="en-AU"/>
              </w:rPr>
            </w:pPr>
            <w:r w:rsidRPr="005B0796">
              <w:rPr>
                <w:lang w:eastAsia="en-AU"/>
              </w:rPr>
              <w:t>477</w:t>
            </w:r>
          </w:p>
        </w:tc>
        <w:tc>
          <w:tcPr>
            <w:tcW w:w="450" w:type="dxa"/>
          </w:tcPr>
          <w:p w:rsidR="00520FC8" w:rsidRPr="005B0796" w:rsidRDefault="00520FC8" w:rsidP="00520FC8">
            <w:pPr>
              <w:pStyle w:val="TableText"/>
              <w:jc w:val="right"/>
              <w:rPr>
                <w:lang w:eastAsia="en-AU"/>
              </w:rPr>
            </w:pPr>
            <w:r w:rsidRPr="005B0796">
              <w:rPr>
                <w:lang w:eastAsia="en-AU"/>
              </w:rPr>
              <w:t>3.2</w:t>
            </w:r>
          </w:p>
        </w:tc>
        <w:tc>
          <w:tcPr>
            <w:tcW w:w="784" w:type="dxa"/>
          </w:tcPr>
          <w:p w:rsidR="00520FC8" w:rsidRPr="005B0796" w:rsidRDefault="00520FC8" w:rsidP="00520FC8">
            <w:pPr>
              <w:pStyle w:val="TableText"/>
              <w:jc w:val="right"/>
              <w:rPr>
                <w:lang w:eastAsia="en-AU"/>
              </w:rPr>
            </w:pPr>
            <w:r w:rsidRPr="005B0796">
              <w:rPr>
                <w:lang w:eastAsia="en-AU"/>
              </w:rPr>
              <w:t>1.5, 6.7</w:t>
            </w:r>
          </w:p>
        </w:tc>
        <w:tc>
          <w:tcPr>
            <w:tcW w:w="746" w:type="dxa"/>
            <w:noWrap/>
            <w:hideMark/>
          </w:tcPr>
          <w:p w:rsidR="00520FC8" w:rsidRPr="005B0796" w:rsidRDefault="00520FC8" w:rsidP="00045B87">
            <w:pPr>
              <w:pStyle w:val="TableText"/>
              <w:jc w:val="right"/>
              <w:rPr>
                <w:lang w:eastAsia="en-AU"/>
              </w:rPr>
            </w:pPr>
            <w:r w:rsidRPr="005B0796">
              <w:rPr>
                <w:lang w:eastAsia="en-AU"/>
              </w:rPr>
              <w:t>189</w:t>
            </w:r>
          </w:p>
        </w:tc>
        <w:tc>
          <w:tcPr>
            <w:tcW w:w="540" w:type="dxa"/>
            <w:hideMark/>
          </w:tcPr>
          <w:p w:rsidR="00520FC8" w:rsidRPr="005B0796" w:rsidRDefault="00520FC8" w:rsidP="00045B87">
            <w:pPr>
              <w:pStyle w:val="TableText"/>
              <w:jc w:val="right"/>
              <w:rPr>
                <w:lang w:eastAsia="en-AU"/>
              </w:rPr>
            </w:pPr>
            <w:r w:rsidRPr="005B0796">
              <w:rPr>
                <w:lang w:eastAsia="en-AU"/>
              </w:rPr>
              <w:t>4.5</w:t>
            </w:r>
          </w:p>
        </w:tc>
        <w:tc>
          <w:tcPr>
            <w:tcW w:w="727" w:type="dxa"/>
            <w:hideMark/>
          </w:tcPr>
          <w:p w:rsidR="00520FC8" w:rsidRPr="005B0796" w:rsidRDefault="00520FC8" w:rsidP="00045B87">
            <w:pPr>
              <w:pStyle w:val="TableText"/>
              <w:jc w:val="right"/>
              <w:rPr>
                <w:lang w:eastAsia="en-AU"/>
              </w:rPr>
            </w:pPr>
            <w:r w:rsidRPr="005B0796">
              <w:rPr>
                <w:lang w:eastAsia="en-AU"/>
              </w:rPr>
              <w:t>1.9, 10.1</w:t>
            </w:r>
          </w:p>
        </w:tc>
      </w:tr>
      <w:tr w:rsidR="00520FC8" w:rsidRPr="005B0796" w:rsidTr="00520FC8">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520FC8" w:rsidRPr="005B0796" w:rsidRDefault="00520FC8" w:rsidP="00045B87">
            <w:pPr>
              <w:pStyle w:val="TableText"/>
              <w:rPr>
                <w:lang w:eastAsia="en-AU"/>
              </w:rPr>
            </w:pPr>
            <w:r w:rsidRPr="005B0796">
              <w:rPr>
                <w:lang w:eastAsia="en-AU"/>
              </w:rPr>
              <w:t>Obsessive-compulsive disorder</w:t>
            </w:r>
          </w:p>
        </w:tc>
        <w:tc>
          <w:tcPr>
            <w:tcW w:w="810" w:type="dxa"/>
            <w:noWrap/>
          </w:tcPr>
          <w:p w:rsidR="00520FC8" w:rsidRPr="005B0796" w:rsidRDefault="00520FC8" w:rsidP="00520FC8">
            <w:pPr>
              <w:pStyle w:val="TableText"/>
              <w:jc w:val="right"/>
              <w:rPr>
                <w:lang w:eastAsia="en-AU"/>
              </w:rPr>
            </w:pPr>
            <w:r w:rsidRPr="005B0796">
              <w:rPr>
                <w:lang w:eastAsia="en-AU"/>
              </w:rPr>
              <w:t>151</w:t>
            </w:r>
          </w:p>
        </w:tc>
        <w:tc>
          <w:tcPr>
            <w:tcW w:w="450" w:type="dxa"/>
          </w:tcPr>
          <w:p w:rsidR="00520FC8" w:rsidRPr="005B0796" w:rsidRDefault="00520FC8" w:rsidP="00520FC8">
            <w:pPr>
              <w:pStyle w:val="TableText"/>
              <w:jc w:val="right"/>
              <w:rPr>
                <w:lang w:eastAsia="en-AU"/>
              </w:rPr>
            </w:pPr>
            <w:r w:rsidRPr="005B0796">
              <w:rPr>
                <w:lang w:eastAsia="en-AU"/>
              </w:rPr>
              <w:t>2.7</w:t>
            </w:r>
          </w:p>
        </w:tc>
        <w:tc>
          <w:tcPr>
            <w:tcW w:w="752" w:type="dxa"/>
          </w:tcPr>
          <w:p w:rsidR="00520FC8" w:rsidRPr="005B0796" w:rsidRDefault="00520FC8" w:rsidP="00520FC8">
            <w:pPr>
              <w:pStyle w:val="TableText"/>
              <w:jc w:val="right"/>
              <w:rPr>
                <w:lang w:eastAsia="en-AU"/>
              </w:rPr>
            </w:pPr>
            <w:r w:rsidRPr="005B0796">
              <w:rPr>
                <w:lang w:eastAsia="en-AU"/>
              </w:rPr>
              <w:t>0.7, 9.6</w:t>
            </w:r>
          </w:p>
        </w:tc>
        <w:tc>
          <w:tcPr>
            <w:tcW w:w="778" w:type="dxa"/>
            <w:noWrap/>
          </w:tcPr>
          <w:p w:rsidR="00520FC8" w:rsidRPr="005B0796" w:rsidRDefault="00520FC8" w:rsidP="00520FC8">
            <w:pPr>
              <w:pStyle w:val="TableText"/>
              <w:jc w:val="right"/>
              <w:rPr>
                <w:lang w:eastAsia="en-AU"/>
              </w:rPr>
            </w:pPr>
            <w:r w:rsidRPr="005B0796">
              <w:rPr>
                <w:lang w:eastAsia="en-AU"/>
              </w:rPr>
              <w:t>686</w:t>
            </w:r>
          </w:p>
        </w:tc>
        <w:tc>
          <w:tcPr>
            <w:tcW w:w="450" w:type="dxa"/>
          </w:tcPr>
          <w:p w:rsidR="00520FC8" w:rsidRPr="005B0796" w:rsidRDefault="00520FC8" w:rsidP="00520FC8">
            <w:pPr>
              <w:pStyle w:val="TableText"/>
              <w:jc w:val="right"/>
              <w:rPr>
                <w:lang w:eastAsia="en-AU"/>
              </w:rPr>
            </w:pPr>
            <w:r w:rsidRPr="005B0796">
              <w:rPr>
                <w:lang w:eastAsia="en-AU"/>
              </w:rPr>
              <w:t>4.6</w:t>
            </w:r>
          </w:p>
        </w:tc>
        <w:tc>
          <w:tcPr>
            <w:tcW w:w="784" w:type="dxa"/>
          </w:tcPr>
          <w:p w:rsidR="00520FC8" w:rsidRPr="005B0796" w:rsidRDefault="00520FC8" w:rsidP="00520FC8">
            <w:pPr>
              <w:pStyle w:val="TableText"/>
              <w:jc w:val="right"/>
              <w:rPr>
                <w:lang w:eastAsia="en-AU"/>
              </w:rPr>
            </w:pPr>
            <w:r w:rsidRPr="005B0796">
              <w:rPr>
                <w:lang w:eastAsia="en-AU"/>
              </w:rPr>
              <w:t>2.5, 8.2</w:t>
            </w:r>
          </w:p>
        </w:tc>
        <w:tc>
          <w:tcPr>
            <w:tcW w:w="746" w:type="dxa"/>
            <w:noWrap/>
            <w:hideMark/>
          </w:tcPr>
          <w:p w:rsidR="00520FC8" w:rsidRPr="005B0796" w:rsidRDefault="00520FC8" w:rsidP="00045B87">
            <w:pPr>
              <w:pStyle w:val="TableText"/>
              <w:jc w:val="right"/>
              <w:rPr>
                <w:lang w:eastAsia="en-AU"/>
              </w:rPr>
            </w:pPr>
            <w:r w:rsidRPr="005B0796">
              <w:rPr>
                <w:lang w:eastAsia="en-AU"/>
              </w:rPr>
              <w:t>192</w:t>
            </w:r>
          </w:p>
        </w:tc>
        <w:tc>
          <w:tcPr>
            <w:tcW w:w="540" w:type="dxa"/>
            <w:hideMark/>
          </w:tcPr>
          <w:p w:rsidR="00520FC8" w:rsidRPr="005B0796" w:rsidRDefault="00520FC8" w:rsidP="00045B87">
            <w:pPr>
              <w:pStyle w:val="TableText"/>
              <w:jc w:val="right"/>
              <w:rPr>
                <w:lang w:eastAsia="en-AU"/>
              </w:rPr>
            </w:pPr>
            <w:r w:rsidRPr="005B0796">
              <w:rPr>
                <w:lang w:eastAsia="en-AU"/>
              </w:rPr>
              <w:t>4.5</w:t>
            </w:r>
          </w:p>
        </w:tc>
        <w:tc>
          <w:tcPr>
            <w:tcW w:w="727" w:type="dxa"/>
            <w:hideMark/>
          </w:tcPr>
          <w:p w:rsidR="00520FC8" w:rsidRPr="005B0796" w:rsidRDefault="00520FC8" w:rsidP="00045B87">
            <w:pPr>
              <w:pStyle w:val="TableText"/>
              <w:jc w:val="right"/>
              <w:rPr>
                <w:lang w:eastAsia="en-AU"/>
              </w:rPr>
            </w:pPr>
            <w:r w:rsidRPr="005B0796">
              <w:rPr>
                <w:lang w:eastAsia="en-AU"/>
              </w:rPr>
              <w:t>2.0, 10.2</w:t>
            </w:r>
          </w:p>
        </w:tc>
      </w:tr>
      <w:tr w:rsidR="00520FC8" w:rsidRPr="005B0796" w:rsidTr="00520FC8">
        <w:trPr>
          <w:cantSplit/>
        </w:trPr>
        <w:tc>
          <w:tcPr>
            <w:tcW w:w="1278" w:type="dxa"/>
            <w:noWrap/>
            <w:hideMark/>
          </w:tcPr>
          <w:p w:rsidR="00520FC8" w:rsidRPr="005B0796" w:rsidRDefault="00520FC8" w:rsidP="00045B87">
            <w:pPr>
              <w:pStyle w:val="TableText"/>
              <w:rPr>
                <w:lang w:eastAsia="en-AU"/>
              </w:rPr>
            </w:pPr>
            <w:r w:rsidRPr="005B0796">
              <w:rPr>
                <w:lang w:eastAsia="en-AU"/>
              </w:rPr>
              <w:t>Posttraumatic stress disorder</w:t>
            </w:r>
            <w:r w:rsidRPr="005B0796">
              <w:rPr>
                <w:vertAlign w:val="superscript"/>
                <w:lang w:eastAsia="en-AU"/>
              </w:rPr>
              <w:t>a</w:t>
            </w:r>
          </w:p>
        </w:tc>
        <w:tc>
          <w:tcPr>
            <w:tcW w:w="810" w:type="dxa"/>
            <w:noWrap/>
          </w:tcPr>
          <w:p w:rsidR="00520FC8" w:rsidRPr="005B0796" w:rsidRDefault="00520FC8" w:rsidP="00520FC8">
            <w:pPr>
              <w:pStyle w:val="TableText"/>
              <w:jc w:val="right"/>
              <w:rPr>
                <w:lang w:eastAsia="en-AU"/>
              </w:rPr>
            </w:pPr>
            <w:r w:rsidRPr="005B0796">
              <w:rPr>
                <w:lang w:eastAsia="en-AU"/>
              </w:rPr>
              <w:t>532</w:t>
            </w:r>
          </w:p>
        </w:tc>
        <w:tc>
          <w:tcPr>
            <w:tcW w:w="450" w:type="dxa"/>
          </w:tcPr>
          <w:p w:rsidR="00520FC8" w:rsidRPr="005B0796" w:rsidRDefault="00520FC8" w:rsidP="00520FC8">
            <w:pPr>
              <w:pStyle w:val="TableText"/>
              <w:jc w:val="right"/>
              <w:rPr>
                <w:lang w:eastAsia="en-AU"/>
              </w:rPr>
            </w:pPr>
            <w:r w:rsidRPr="005B0796">
              <w:rPr>
                <w:lang w:eastAsia="en-AU"/>
              </w:rPr>
              <w:t>9.4</w:t>
            </w:r>
          </w:p>
        </w:tc>
        <w:tc>
          <w:tcPr>
            <w:tcW w:w="752" w:type="dxa"/>
          </w:tcPr>
          <w:p w:rsidR="00520FC8" w:rsidRPr="005B0796" w:rsidRDefault="00520FC8" w:rsidP="00520FC8">
            <w:pPr>
              <w:pStyle w:val="TableText"/>
              <w:jc w:val="right"/>
              <w:rPr>
                <w:lang w:eastAsia="en-AU"/>
              </w:rPr>
            </w:pPr>
            <w:r w:rsidRPr="005B0796">
              <w:rPr>
                <w:lang w:eastAsia="en-AU"/>
              </w:rPr>
              <w:t>6.6, 13.1</w:t>
            </w:r>
          </w:p>
        </w:tc>
        <w:tc>
          <w:tcPr>
            <w:tcW w:w="778" w:type="dxa"/>
            <w:noWrap/>
          </w:tcPr>
          <w:p w:rsidR="00520FC8" w:rsidRPr="005B0796" w:rsidRDefault="00520FC8" w:rsidP="00520FC8">
            <w:pPr>
              <w:pStyle w:val="TableText"/>
              <w:jc w:val="right"/>
              <w:rPr>
                <w:lang w:eastAsia="en-AU"/>
              </w:rPr>
            </w:pPr>
            <w:r w:rsidRPr="005B0796">
              <w:rPr>
                <w:lang w:eastAsia="en-AU"/>
              </w:rPr>
              <w:t>3022</w:t>
            </w:r>
          </w:p>
        </w:tc>
        <w:tc>
          <w:tcPr>
            <w:tcW w:w="450" w:type="dxa"/>
          </w:tcPr>
          <w:p w:rsidR="00520FC8" w:rsidRPr="005B0796" w:rsidRDefault="00520FC8" w:rsidP="00520FC8">
            <w:pPr>
              <w:pStyle w:val="TableText"/>
              <w:jc w:val="right"/>
              <w:rPr>
                <w:lang w:eastAsia="en-AU"/>
              </w:rPr>
            </w:pPr>
            <w:r w:rsidRPr="005B0796">
              <w:rPr>
                <w:lang w:eastAsia="en-AU"/>
              </w:rPr>
              <w:t>20.1</w:t>
            </w:r>
          </w:p>
        </w:tc>
        <w:tc>
          <w:tcPr>
            <w:tcW w:w="784" w:type="dxa"/>
          </w:tcPr>
          <w:p w:rsidR="00520FC8" w:rsidRPr="005B0796" w:rsidRDefault="00520FC8" w:rsidP="00520FC8">
            <w:pPr>
              <w:pStyle w:val="TableText"/>
              <w:jc w:val="right"/>
              <w:rPr>
                <w:lang w:eastAsia="en-AU"/>
              </w:rPr>
            </w:pPr>
            <w:r w:rsidRPr="005B0796">
              <w:rPr>
                <w:lang w:eastAsia="en-AU"/>
              </w:rPr>
              <w:t>15.3, 25.9</w:t>
            </w:r>
          </w:p>
        </w:tc>
        <w:tc>
          <w:tcPr>
            <w:tcW w:w="746" w:type="dxa"/>
            <w:noWrap/>
            <w:hideMark/>
          </w:tcPr>
          <w:p w:rsidR="00520FC8" w:rsidRPr="005B0796" w:rsidRDefault="00520FC8" w:rsidP="00045B87">
            <w:pPr>
              <w:pStyle w:val="TableText"/>
              <w:jc w:val="right"/>
              <w:rPr>
                <w:lang w:eastAsia="en-AU"/>
              </w:rPr>
            </w:pPr>
            <w:r w:rsidRPr="005B0796">
              <w:rPr>
                <w:lang w:eastAsia="en-AU"/>
              </w:rPr>
              <w:t>854</w:t>
            </w:r>
          </w:p>
        </w:tc>
        <w:tc>
          <w:tcPr>
            <w:tcW w:w="540" w:type="dxa"/>
            <w:hideMark/>
          </w:tcPr>
          <w:p w:rsidR="00520FC8" w:rsidRPr="005B0796" w:rsidRDefault="00520FC8" w:rsidP="00045B87">
            <w:pPr>
              <w:pStyle w:val="TableText"/>
              <w:jc w:val="right"/>
              <w:rPr>
                <w:lang w:eastAsia="en-AU"/>
              </w:rPr>
            </w:pPr>
            <w:r w:rsidRPr="005B0796">
              <w:rPr>
                <w:lang w:eastAsia="en-AU"/>
              </w:rPr>
              <w:t>20.2</w:t>
            </w:r>
          </w:p>
        </w:tc>
        <w:tc>
          <w:tcPr>
            <w:tcW w:w="727" w:type="dxa"/>
            <w:hideMark/>
          </w:tcPr>
          <w:p w:rsidR="00520FC8" w:rsidRPr="005B0796" w:rsidRDefault="00520FC8" w:rsidP="00045B87">
            <w:pPr>
              <w:pStyle w:val="TableText"/>
              <w:jc w:val="right"/>
              <w:rPr>
                <w:lang w:eastAsia="en-AU"/>
              </w:rPr>
            </w:pPr>
            <w:r w:rsidRPr="005B0796">
              <w:rPr>
                <w:lang w:eastAsia="en-AU"/>
              </w:rPr>
              <w:t>15.3, 26.3</w:t>
            </w:r>
          </w:p>
        </w:tc>
      </w:tr>
      <w:tr w:rsidR="00520FC8" w:rsidRPr="005B0796" w:rsidTr="00520FC8">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520FC8" w:rsidRPr="005B0796" w:rsidRDefault="00520FC8" w:rsidP="00045B87">
            <w:pPr>
              <w:pStyle w:val="TableText"/>
              <w:rPr>
                <w:lang w:eastAsia="en-AU"/>
              </w:rPr>
            </w:pPr>
            <w:r w:rsidRPr="005B0796">
              <w:rPr>
                <w:lang w:eastAsia="en-AU"/>
              </w:rPr>
              <w:t>Any anxiety disorder</w:t>
            </w:r>
          </w:p>
        </w:tc>
        <w:tc>
          <w:tcPr>
            <w:tcW w:w="810" w:type="dxa"/>
            <w:noWrap/>
          </w:tcPr>
          <w:p w:rsidR="00520FC8" w:rsidRPr="005B0796" w:rsidRDefault="00520FC8" w:rsidP="00520FC8">
            <w:pPr>
              <w:pStyle w:val="TableText"/>
              <w:jc w:val="right"/>
              <w:rPr>
                <w:lang w:eastAsia="en-AU"/>
              </w:rPr>
            </w:pPr>
            <w:r w:rsidRPr="005B0796">
              <w:rPr>
                <w:lang w:eastAsia="en-AU"/>
              </w:rPr>
              <w:t>1856</w:t>
            </w:r>
          </w:p>
        </w:tc>
        <w:tc>
          <w:tcPr>
            <w:tcW w:w="450" w:type="dxa"/>
          </w:tcPr>
          <w:p w:rsidR="00520FC8" w:rsidRPr="005B0796" w:rsidRDefault="00520FC8" w:rsidP="00520FC8">
            <w:pPr>
              <w:pStyle w:val="TableText"/>
              <w:jc w:val="right"/>
              <w:rPr>
                <w:lang w:eastAsia="en-AU"/>
              </w:rPr>
            </w:pPr>
            <w:r w:rsidRPr="005B0796">
              <w:rPr>
                <w:lang w:eastAsia="en-AU"/>
              </w:rPr>
              <w:t>32.7</w:t>
            </w:r>
          </w:p>
        </w:tc>
        <w:tc>
          <w:tcPr>
            <w:tcW w:w="752" w:type="dxa"/>
          </w:tcPr>
          <w:p w:rsidR="00520FC8" w:rsidRPr="005B0796" w:rsidRDefault="00520FC8" w:rsidP="00520FC8">
            <w:pPr>
              <w:pStyle w:val="TableText"/>
              <w:jc w:val="right"/>
              <w:rPr>
                <w:lang w:eastAsia="en-AU"/>
              </w:rPr>
            </w:pPr>
            <w:r w:rsidRPr="005B0796">
              <w:rPr>
                <w:lang w:eastAsia="en-AU"/>
              </w:rPr>
              <w:t>24.3, 42.5</w:t>
            </w:r>
          </w:p>
        </w:tc>
        <w:tc>
          <w:tcPr>
            <w:tcW w:w="778" w:type="dxa"/>
            <w:noWrap/>
          </w:tcPr>
          <w:p w:rsidR="00520FC8" w:rsidRPr="005B0796" w:rsidRDefault="00520FC8" w:rsidP="00520FC8">
            <w:pPr>
              <w:pStyle w:val="TableText"/>
              <w:jc w:val="right"/>
              <w:rPr>
                <w:lang w:eastAsia="en-AU"/>
              </w:rPr>
            </w:pPr>
            <w:r w:rsidRPr="005B0796">
              <w:rPr>
                <w:lang w:eastAsia="en-AU"/>
              </w:rPr>
              <w:t>5755</w:t>
            </w:r>
          </w:p>
        </w:tc>
        <w:tc>
          <w:tcPr>
            <w:tcW w:w="450" w:type="dxa"/>
          </w:tcPr>
          <w:p w:rsidR="00520FC8" w:rsidRPr="005B0796" w:rsidRDefault="00520FC8" w:rsidP="00520FC8">
            <w:pPr>
              <w:pStyle w:val="TableText"/>
              <w:jc w:val="right"/>
              <w:rPr>
                <w:lang w:eastAsia="en-AU"/>
              </w:rPr>
            </w:pPr>
            <w:r w:rsidRPr="005B0796">
              <w:rPr>
                <w:lang w:eastAsia="en-AU"/>
              </w:rPr>
              <w:t>38.3</w:t>
            </w:r>
          </w:p>
        </w:tc>
        <w:tc>
          <w:tcPr>
            <w:tcW w:w="784" w:type="dxa"/>
          </w:tcPr>
          <w:p w:rsidR="00520FC8" w:rsidRPr="005B0796" w:rsidRDefault="00520FC8" w:rsidP="00520FC8">
            <w:pPr>
              <w:pStyle w:val="TableText"/>
              <w:jc w:val="right"/>
              <w:rPr>
                <w:lang w:eastAsia="en-AU"/>
              </w:rPr>
            </w:pPr>
            <w:r w:rsidRPr="005B0796">
              <w:rPr>
                <w:lang w:eastAsia="en-AU"/>
              </w:rPr>
              <w:t>32.1, 44.8</w:t>
            </w:r>
          </w:p>
        </w:tc>
        <w:tc>
          <w:tcPr>
            <w:tcW w:w="746" w:type="dxa"/>
            <w:noWrap/>
            <w:hideMark/>
          </w:tcPr>
          <w:p w:rsidR="00520FC8" w:rsidRPr="005B0796" w:rsidRDefault="00520FC8" w:rsidP="00045B87">
            <w:pPr>
              <w:pStyle w:val="TableText"/>
              <w:jc w:val="right"/>
              <w:rPr>
                <w:lang w:eastAsia="en-AU"/>
              </w:rPr>
            </w:pPr>
            <w:r w:rsidRPr="005B0796">
              <w:rPr>
                <w:lang w:eastAsia="en-AU"/>
              </w:rPr>
              <w:t>1621</w:t>
            </w:r>
          </w:p>
        </w:tc>
        <w:tc>
          <w:tcPr>
            <w:tcW w:w="540" w:type="dxa"/>
            <w:hideMark/>
          </w:tcPr>
          <w:p w:rsidR="00520FC8" w:rsidRPr="005B0796" w:rsidRDefault="00520FC8" w:rsidP="00045B87">
            <w:pPr>
              <w:pStyle w:val="TableText"/>
              <w:jc w:val="right"/>
              <w:rPr>
                <w:lang w:eastAsia="en-AU"/>
              </w:rPr>
            </w:pPr>
            <w:r w:rsidRPr="005B0796">
              <w:rPr>
                <w:lang w:eastAsia="en-AU"/>
              </w:rPr>
              <w:t>38.4</w:t>
            </w:r>
          </w:p>
        </w:tc>
        <w:tc>
          <w:tcPr>
            <w:tcW w:w="727" w:type="dxa"/>
            <w:hideMark/>
          </w:tcPr>
          <w:p w:rsidR="00520FC8" w:rsidRPr="005B0796" w:rsidRDefault="00520FC8" w:rsidP="00045B87">
            <w:pPr>
              <w:pStyle w:val="TableText"/>
              <w:jc w:val="right"/>
              <w:rPr>
                <w:lang w:eastAsia="en-AU"/>
              </w:rPr>
            </w:pPr>
            <w:r w:rsidRPr="005B0796">
              <w:rPr>
                <w:lang w:eastAsia="en-AU"/>
              </w:rPr>
              <w:t>31.3, 46.0</w:t>
            </w:r>
          </w:p>
        </w:tc>
      </w:tr>
    </w:tbl>
    <w:p w:rsidR="00EF53A1" w:rsidRPr="005B0796" w:rsidRDefault="00EF53A1" w:rsidP="00EF53A1">
      <w:pPr>
        <w:pStyle w:val="TableNotes"/>
      </w:pPr>
      <w:r w:rsidRPr="005B0796">
        <w:rPr>
          <w:vertAlign w:val="superscript"/>
          <w:lang w:eastAsia="en-AU"/>
        </w:rPr>
        <w:t>a</w:t>
      </w:r>
      <w:r w:rsidRPr="005B0796">
        <w:t xml:space="preserve"> Army vs Navy: OR 2.6, 95% CI 1.6, 4.2; Air Force vs Navy: OR 1.6, 95% CI 0.9, 3.1.</w:t>
      </w:r>
    </w:p>
    <w:p w:rsidR="00EF53A1" w:rsidRPr="005B0796" w:rsidRDefault="00EF53A1" w:rsidP="00EF53A1">
      <w:pPr>
        <w:pStyle w:val="TableNotes"/>
        <w:rPr>
          <w:rFonts w:cs="Calibri"/>
          <w:bCs/>
        </w:rPr>
      </w:pPr>
      <w:r w:rsidRPr="005B0796">
        <w:rPr>
          <w:rFonts w:cs="Calibri"/>
          <w:bCs/>
        </w:rPr>
        <w:t xml:space="preserve">Note: 95% CI: 95% </w:t>
      </w:r>
      <w:r w:rsidR="00564689" w:rsidRPr="005B0796">
        <w:rPr>
          <w:rFonts w:cs="Calibri"/>
          <w:bCs/>
        </w:rPr>
        <w:t>confidence interval</w:t>
      </w:r>
    </w:p>
    <w:p w:rsidR="00EF53A1" w:rsidRPr="005B0796" w:rsidRDefault="00EF53A1" w:rsidP="00EF53A1">
      <w:pPr>
        <w:pStyle w:val="FigureName"/>
        <w:rPr>
          <w:lang w:eastAsia="en-AU"/>
        </w:rPr>
      </w:pPr>
      <w:bookmarkStart w:id="394" w:name="_Ref484521205"/>
      <w:bookmarkStart w:id="395" w:name="_Toc482023828"/>
      <w:bookmarkStart w:id="396" w:name="_Toc487014352"/>
      <w:bookmarkStart w:id="397" w:name="_Toc511900521"/>
      <w:r w:rsidRPr="005B0796">
        <w:rPr>
          <w:lang w:eastAsia="en-AU"/>
        </w:rPr>
        <w:t xml:space="preserve">Figure </w:t>
      </w:r>
      <w:r w:rsidRPr="005B0796">
        <w:rPr>
          <w:lang w:eastAsia="en-AU"/>
        </w:rPr>
        <w:fldChar w:fldCharType="begin"/>
      </w:r>
      <w:r w:rsidRPr="005B0796">
        <w:rPr>
          <w:lang w:eastAsia="en-AU"/>
        </w:rPr>
        <w:instrText xml:space="preserve"> STYLEREF 1 \s </w:instrText>
      </w:r>
      <w:r w:rsidRPr="005B0796">
        <w:rPr>
          <w:lang w:eastAsia="en-AU"/>
        </w:rPr>
        <w:fldChar w:fldCharType="separate"/>
      </w:r>
      <w:r w:rsidR="006E0148">
        <w:rPr>
          <w:noProof/>
          <w:lang w:eastAsia="en-AU"/>
        </w:rPr>
        <w:t>4</w:t>
      </w:r>
      <w:r w:rsidRPr="005B0796">
        <w:rPr>
          <w:lang w:eastAsia="en-AU"/>
        </w:rPr>
        <w:fldChar w:fldCharType="end"/>
      </w:r>
      <w:r w:rsidRPr="005B0796">
        <w:rPr>
          <w:lang w:eastAsia="en-AU"/>
        </w:rPr>
        <w:t>.</w:t>
      </w:r>
      <w:r w:rsidRPr="005B0796">
        <w:rPr>
          <w:lang w:eastAsia="en-AU"/>
        </w:rPr>
        <w:fldChar w:fldCharType="begin"/>
      </w:r>
      <w:r w:rsidRPr="005B0796">
        <w:rPr>
          <w:lang w:eastAsia="en-AU"/>
        </w:rPr>
        <w:instrText xml:space="preserve"> SEQ Figure \* ARABIC \s 1 </w:instrText>
      </w:r>
      <w:r w:rsidRPr="005B0796">
        <w:rPr>
          <w:lang w:eastAsia="en-AU"/>
        </w:rPr>
        <w:fldChar w:fldCharType="separate"/>
      </w:r>
      <w:r w:rsidR="006E0148">
        <w:rPr>
          <w:noProof/>
          <w:lang w:eastAsia="en-AU"/>
        </w:rPr>
        <w:t>4</w:t>
      </w:r>
      <w:r w:rsidRPr="005B0796">
        <w:rPr>
          <w:lang w:eastAsia="en-AU"/>
        </w:rPr>
        <w:fldChar w:fldCharType="end"/>
      </w:r>
      <w:bookmarkEnd w:id="394"/>
      <w:r w:rsidRPr="005B0796">
        <w:rPr>
          <w:lang w:eastAsia="en-AU"/>
        </w:rPr>
        <w:tab/>
        <w:t>Estimated prevalence of 12-month ICD-10 anxiety disorders in Transitioned ADF members (Navy, Army and Air Force)</w:t>
      </w:r>
      <w:bookmarkEnd w:id="395"/>
      <w:bookmarkEnd w:id="396"/>
      <w:bookmarkEnd w:id="397"/>
    </w:p>
    <w:tbl>
      <w:tblPr>
        <w:tblW w:w="5000" w:type="pct"/>
        <w:tblLayout w:type="fixed"/>
        <w:tblLook w:val="04A0" w:firstRow="1" w:lastRow="0" w:firstColumn="1" w:lastColumn="0" w:noHBand="0" w:noVBand="1"/>
      </w:tblPr>
      <w:tblGrid>
        <w:gridCol w:w="7315"/>
      </w:tblGrid>
      <w:tr w:rsidR="00D060FC" w:rsidRPr="005B0796" w:rsidTr="00DE2EDB">
        <w:trPr>
          <w:cantSplit/>
          <w:trHeight w:val="4698"/>
        </w:trPr>
        <w:tc>
          <w:tcPr>
            <w:tcW w:w="9768" w:type="dxa"/>
          </w:tcPr>
          <w:p w:rsidR="00D060FC" w:rsidRPr="005B0796" w:rsidRDefault="00D060FC" w:rsidP="0019239D">
            <w:r w:rsidRPr="005B0796">
              <w:rPr>
                <w:noProof/>
                <w:lang w:eastAsia="en-AU"/>
              </w:rPr>
              <w:drawing>
                <wp:inline distT="0" distB="0" distL="0" distR="0" wp14:anchorId="56C8780D" wp14:editId="63B2689B">
                  <wp:extent cx="4460681" cy="3017520"/>
                  <wp:effectExtent l="0" t="0" r="0" b="0"/>
                  <wp:docPr id="36" name="Chart 36" descr="Figure 4.4 Estimated prevalence of 12-month ICD-10 anxiety disorders in Transitioned ADF members (Navy, Army and Air Forc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EF53A1" w:rsidRPr="005B0796" w:rsidRDefault="00EF53A1" w:rsidP="00EF53A1">
      <w:pPr>
        <w:pStyle w:val="TableNotes"/>
        <w:rPr>
          <w:lang w:eastAsia="en-AU"/>
        </w:rPr>
      </w:pPr>
      <w:r w:rsidRPr="005B0796">
        <w:rPr>
          <w:lang w:eastAsia="en-AU"/>
        </w:rPr>
        <w:t xml:space="preserve">PTSD: Army vs Navy: OR 2.6, 95% CI 1.6, 4.2; Air Force vs Navy: OR 1.6, 95% CI 0.9, 3.1. </w:t>
      </w:r>
    </w:p>
    <w:p w:rsidR="00D060FC" w:rsidRPr="005B0796" w:rsidRDefault="00EF53A1" w:rsidP="00EF53A1">
      <w:pPr>
        <w:pStyle w:val="TableName"/>
        <w:rPr>
          <w:rFonts w:cs="Calibri"/>
        </w:rPr>
      </w:pPr>
      <w:bookmarkStart w:id="398" w:name="_Ref494276016"/>
      <w:bookmarkStart w:id="399" w:name="_Toc487014259"/>
      <w:bookmarkStart w:id="400" w:name="_Toc492995562"/>
      <w:bookmarkStart w:id="401" w:name="_Toc51190041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8</w:t>
      </w:r>
      <w:r w:rsidR="00D30A3C">
        <w:rPr>
          <w:noProof/>
        </w:rPr>
        <w:fldChar w:fldCharType="end"/>
      </w:r>
      <w:bookmarkEnd w:id="398"/>
      <w:r w:rsidRPr="005B0796">
        <w:tab/>
        <w:t>Estimated prevalence of 12-month ICD-10 anxiety disorders in Transitioned ADF members, by anxiety disorder type and rank at transition</w:t>
      </w:r>
      <w:bookmarkEnd w:id="399"/>
      <w:bookmarkEnd w:id="400"/>
      <w:bookmarkEnd w:id="401"/>
    </w:p>
    <w:tbl>
      <w:tblPr>
        <w:tblStyle w:val="TWRPTable"/>
        <w:tblW w:w="5000" w:type="pct"/>
        <w:tblLayout w:type="fixed"/>
        <w:tblLook w:val="04A0" w:firstRow="1" w:lastRow="0" w:firstColumn="1" w:lastColumn="0" w:noHBand="0" w:noVBand="1"/>
        <w:tblDescription w:val="Table 4.8 Estimated prevalence of 12-month ICD-10 anxiety disorders in Transitioned ADF members, by anxiety disorder type and rank at transition"/>
      </w:tblPr>
      <w:tblGrid>
        <w:gridCol w:w="1278"/>
        <w:gridCol w:w="810"/>
        <w:gridCol w:w="450"/>
        <w:gridCol w:w="752"/>
        <w:gridCol w:w="778"/>
        <w:gridCol w:w="450"/>
        <w:gridCol w:w="784"/>
        <w:gridCol w:w="746"/>
        <w:gridCol w:w="540"/>
        <w:gridCol w:w="727"/>
      </w:tblGrid>
      <w:tr w:rsidR="00D060FC" w:rsidRPr="005B0796" w:rsidTr="006A04F9">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val="restart"/>
            <w:tcBorders>
              <w:top w:val="single" w:sz="4" w:space="0" w:color="000000"/>
              <w:bottom w:val="nil"/>
            </w:tcBorders>
            <w:noWrap/>
            <w:hideMark/>
          </w:tcPr>
          <w:p w:rsidR="00D060FC" w:rsidRPr="005B0796" w:rsidRDefault="00D060FC" w:rsidP="00DE2EDB">
            <w:pPr>
              <w:pStyle w:val="TableText"/>
              <w:rPr>
                <w:lang w:eastAsia="en-AU"/>
              </w:rPr>
            </w:pPr>
          </w:p>
        </w:tc>
        <w:tc>
          <w:tcPr>
            <w:tcW w:w="6037" w:type="dxa"/>
            <w:gridSpan w:val="9"/>
            <w:noWrap/>
            <w:hideMark/>
          </w:tcPr>
          <w:p w:rsidR="00D060FC" w:rsidRPr="005B0796" w:rsidRDefault="00D060FC" w:rsidP="00DE2EDB">
            <w:pPr>
              <w:pStyle w:val="TableText"/>
              <w:jc w:val="center"/>
              <w:rPr>
                <w:lang w:eastAsia="en-AU"/>
              </w:rPr>
            </w:pPr>
            <w:r w:rsidRPr="005B0796">
              <w:rPr>
                <w:lang w:eastAsia="en-AU"/>
              </w:rPr>
              <w:t>Rank at transition</w:t>
            </w:r>
          </w:p>
        </w:tc>
      </w:tr>
      <w:tr w:rsidR="00D060FC" w:rsidRPr="005B0796" w:rsidTr="006A04F9">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tcBorders>
              <w:top w:val="nil"/>
              <w:bottom w:val="nil"/>
            </w:tcBorders>
            <w:hideMark/>
          </w:tcPr>
          <w:p w:rsidR="00D060FC" w:rsidRPr="005B0796" w:rsidRDefault="00D060FC" w:rsidP="00DE2EDB">
            <w:pPr>
              <w:pStyle w:val="TableText"/>
              <w:rPr>
                <w:lang w:eastAsia="en-AU"/>
              </w:rPr>
            </w:pPr>
          </w:p>
        </w:tc>
        <w:tc>
          <w:tcPr>
            <w:tcW w:w="2012" w:type="dxa"/>
            <w:gridSpan w:val="3"/>
            <w:noWrap/>
            <w:hideMark/>
          </w:tcPr>
          <w:p w:rsidR="00D060FC" w:rsidRPr="005B0796" w:rsidRDefault="00D060FC" w:rsidP="00DE2EDB">
            <w:pPr>
              <w:pStyle w:val="TableText"/>
              <w:jc w:val="center"/>
              <w:rPr>
                <w:lang w:eastAsia="en-AU"/>
              </w:rPr>
            </w:pPr>
            <w:r w:rsidRPr="005B0796">
              <w:rPr>
                <w:lang w:eastAsia="en-AU"/>
              </w:rPr>
              <w:t>OFFR (n = 4063)</w:t>
            </w:r>
          </w:p>
        </w:tc>
        <w:tc>
          <w:tcPr>
            <w:tcW w:w="2012" w:type="dxa"/>
            <w:gridSpan w:val="3"/>
            <w:noWrap/>
            <w:hideMark/>
          </w:tcPr>
          <w:p w:rsidR="00D060FC" w:rsidRPr="005B0796" w:rsidRDefault="00D060FC" w:rsidP="00DE2EDB">
            <w:pPr>
              <w:pStyle w:val="TableText"/>
              <w:jc w:val="center"/>
              <w:rPr>
                <w:lang w:eastAsia="en-AU"/>
              </w:rPr>
            </w:pPr>
            <w:r w:rsidRPr="005B0796">
              <w:rPr>
                <w:lang w:eastAsia="en-AU"/>
              </w:rPr>
              <w:t>NCO (n = 7866)</w:t>
            </w:r>
          </w:p>
        </w:tc>
        <w:tc>
          <w:tcPr>
            <w:tcW w:w="2013" w:type="dxa"/>
            <w:gridSpan w:val="3"/>
            <w:noWrap/>
            <w:hideMark/>
          </w:tcPr>
          <w:p w:rsidR="00D060FC" w:rsidRPr="005B0796" w:rsidRDefault="00D060FC" w:rsidP="00DE2EDB">
            <w:pPr>
              <w:pStyle w:val="TableText"/>
              <w:jc w:val="center"/>
              <w:rPr>
                <w:lang w:eastAsia="en-AU"/>
              </w:rPr>
            </w:pPr>
            <w:r w:rsidRPr="005B0796">
              <w:rPr>
                <w:lang w:eastAsia="en-AU"/>
              </w:rPr>
              <w:t>Other Ranks (n = 13,003)</w:t>
            </w:r>
          </w:p>
        </w:tc>
      </w:tr>
      <w:tr w:rsidR="00D060FC" w:rsidRPr="005B0796" w:rsidTr="006A04F9">
        <w:trPr>
          <w:cnfStyle w:val="100000000000" w:firstRow="1" w:lastRow="0" w:firstColumn="0" w:lastColumn="0" w:oddVBand="0" w:evenVBand="0" w:oddHBand="0" w:evenHBand="0" w:firstRowFirstColumn="0" w:firstRowLastColumn="0" w:lastRowFirstColumn="0" w:lastRowLastColumn="0"/>
          <w:cantSplit/>
          <w:tblHeader/>
        </w:trPr>
        <w:tc>
          <w:tcPr>
            <w:tcW w:w="1278" w:type="dxa"/>
            <w:tcBorders>
              <w:top w:val="nil"/>
            </w:tcBorders>
            <w:noWrap/>
            <w:hideMark/>
          </w:tcPr>
          <w:p w:rsidR="00D060FC" w:rsidRPr="005B0796" w:rsidRDefault="00DE2EDB" w:rsidP="0084663B">
            <w:pPr>
              <w:pStyle w:val="TableText"/>
              <w:rPr>
                <w:lang w:eastAsia="en-AU"/>
              </w:rPr>
            </w:pPr>
            <w:r w:rsidRPr="005B0796">
              <w:rPr>
                <w:lang w:eastAsia="en-AU"/>
              </w:rPr>
              <w:t>ICD-10 anxiety disorder</w:t>
            </w:r>
          </w:p>
        </w:tc>
        <w:tc>
          <w:tcPr>
            <w:tcW w:w="810" w:type="dxa"/>
            <w:noWrap/>
            <w:hideMark/>
          </w:tcPr>
          <w:p w:rsidR="00D060FC" w:rsidRPr="005B0796" w:rsidRDefault="00D060FC" w:rsidP="0084663B">
            <w:pPr>
              <w:pStyle w:val="TableText"/>
              <w:jc w:val="right"/>
              <w:rPr>
                <w:lang w:eastAsia="en-AU"/>
              </w:rPr>
            </w:pPr>
            <w:r w:rsidRPr="005B0796">
              <w:rPr>
                <w:lang w:eastAsia="en-AU"/>
              </w:rPr>
              <w:t>Weighted n</w:t>
            </w:r>
          </w:p>
        </w:tc>
        <w:tc>
          <w:tcPr>
            <w:tcW w:w="450" w:type="dxa"/>
            <w:hideMark/>
          </w:tcPr>
          <w:p w:rsidR="00D060FC" w:rsidRPr="005B0796" w:rsidRDefault="00D060FC" w:rsidP="00DE2EDB">
            <w:pPr>
              <w:pStyle w:val="TableText"/>
              <w:jc w:val="right"/>
              <w:rPr>
                <w:lang w:eastAsia="en-AU"/>
              </w:rPr>
            </w:pPr>
            <w:r w:rsidRPr="005B0796">
              <w:rPr>
                <w:lang w:eastAsia="en-AU"/>
              </w:rPr>
              <w:t>%</w:t>
            </w:r>
          </w:p>
        </w:tc>
        <w:tc>
          <w:tcPr>
            <w:tcW w:w="752" w:type="dxa"/>
            <w:hideMark/>
          </w:tcPr>
          <w:p w:rsidR="00D060FC" w:rsidRPr="005B0796" w:rsidRDefault="00D060FC" w:rsidP="00DE2EDB">
            <w:pPr>
              <w:pStyle w:val="TableText"/>
              <w:jc w:val="right"/>
              <w:rPr>
                <w:lang w:eastAsia="en-AU"/>
              </w:rPr>
            </w:pPr>
            <w:r w:rsidRPr="005B0796">
              <w:rPr>
                <w:lang w:eastAsia="en-AU"/>
              </w:rPr>
              <w:t>95% CI</w:t>
            </w:r>
          </w:p>
        </w:tc>
        <w:tc>
          <w:tcPr>
            <w:tcW w:w="778" w:type="dxa"/>
            <w:noWrap/>
            <w:hideMark/>
          </w:tcPr>
          <w:p w:rsidR="00D060FC" w:rsidRPr="005B0796" w:rsidRDefault="00D060FC" w:rsidP="0084663B">
            <w:pPr>
              <w:pStyle w:val="TableText"/>
              <w:jc w:val="right"/>
              <w:rPr>
                <w:lang w:eastAsia="en-AU"/>
              </w:rPr>
            </w:pPr>
            <w:r w:rsidRPr="005B0796">
              <w:rPr>
                <w:lang w:eastAsia="en-AU"/>
              </w:rPr>
              <w:t>Weighted n</w:t>
            </w:r>
          </w:p>
        </w:tc>
        <w:tc>
          <w:tcPr>
            <w:tcW w:w="450" w:type="dxa"/>
            <w:hideMark/>
          </w:tcPr>
          <w:p w:rsidR="00D060FC" w:rsidRPr="005B0796" w:rsidRDefault="00D060FC" w:rsidP="00DE2EDB">
            <w:pPr>
              <w:pStyle w:val="TableText"/>
              <w:jc w:val="right"/>
              <w:rPr>
                <w:lang w:eastAsia="en-AU"/>
              </w:rPr>
            </w:pPr>
            <w:r w:rsidRPr="005B0796">
              <w:rPr>
                <w:lang w:eastAsia="en-AU"/>
              </w:rPr>
              <w:t>%</w:t>
            </w:r>
          </w:p>
        </w:tc>
        <w:tc>
          <w:tcPr>
            <w:tcW w:w="784" w:type="dxa"/>
            <w:hideMark/>
          </w:tcPr>
          <w:p w:rsidR="00D060FC" w:rsidRPr="005B0796" w:rsidRDefault="00D060FC" w:rsidP="00DE2EDB">
            <w:pPr>
              <w:pStyle w:val="TableText"/>
              <w:jc w:val="right"/>
              <w:rPr>
                <w:lang w:eastAsia="en-AU"/>
              </w:rPr>
            </w:pPr>
            <w:r w:rsidRPr="005B0796">
              <w:rPr>
                <w:lang w:eastAsia="en-AU"/>
              </w:rPr>
              <w:t>95% CI</w:t>
            </w:r>
          </w:p>
        </w:tc>
        <w:tc>
          <w:tcPr>
            <w:tcW w:w="746" w:type="dxa"/>
            <w:noWrap/>
            <w:hideMark/>
          </w:tcPr>
          <w:p w:rsidR="00D060FC" w:rsidRPr="005B0796" w:rsidRDefault="00D060FC" w:rsidP="00DE2EDB">
            <w:pPr>
              <w:pStyle w:val="TableText"/>
              <w:jc w:val="right"/>
              <w:rPr>
                <w:lang w:eastAsia="en-AU"/>
              </w:rPr>
            </w:pPr>
            <w:r w:rsidRPr="005B0796">
              <w:rPr>
                <w:lang w:eastAsia="en-AU"/>
              </w:rPr>
              <w:t>Weighted n</w:t>
            </w:r>
          </w:p>
        </w:tc>
        <w:tc>
          <w:tcPr>
            <w:tcW w:w="540" w:type="dxa"/>
            <w:hideMark/>
          </w:tcPr>
          <w:p w:rsidR="00D060FC" w:rsidRPr="005B0796" w:rsidRDefault="00D060FC" w:rsidP="00DE2EDB">
            <w:pPr>
              <w:pStyle w:val="TableText"/>
              <w:jc w:val="right"/>
              <w:rPr>
                <w:lang w:eastAsia="en-AU"/>
              </w:rPr>
            </w:pPr>
            <w:r w:rsidRPr="005B0796">
              <w:rPr>
                <w:lang w:eastAsia="en-AU"/>
              </w:rPr>
              <w:t>%</w:t>
            </w:r>
          </w:p>
        </w:tc>
        <w:tc>
          <w:tcPr>
            <w:tcW w:w="727" w:type="dxa"/>
            <w:hideMark/>
          </w:tcPr>
          <w:p w:rsidR="00D060FC" w:rsidRPr="005B0796" w:rsidRDefault="00D060FC" w:rsidP="00DE2EDB">
            <w:pPr>
              <w:pStyle w:val="TableText"/>
              <w:jc w:val="right"/>
              <w:rPr>
                <w:lang w:eastAsia="en-AU"/>
              </w:rPr>
            </w:pPr>
            <w:r w:rsidRPr="005B0796">
              <w:rPr>
                <w:lang w:eastAsia="en-AU"/>
              </w:rPr>
              <w:t>95% CI</w:t>
            </w:r>
          </w:p>
        </w:tc>
      </w:tr>
      <w:tr w:rsidR="00D060FC" w:rsidRPr="005B0796" w:rsidTr="006A04F9">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D060FC" w:rsidRPr="005B0796" w:rsidRDefault="00D060FC" w:rsidP="00DE2EDB">
            <w:pPr>
              <w:pStyle w:val="TableText"/>
              <w:rPr>
                <w:lang w:eastAsia="en-AU"/>
              </w:rPr>
            </w:pPr>
            <w:r w:rsidRPr="005B0796">
              <w:rPr>
                <w:lang w:eastAsia="en-AU"/>
              </w:rPr>
              <w:t>Panic attack</w:t>
            </w:r>
            <w:r w:rsidRPr="005B0796">
              <w:rPr>
                <w:vertAlign w:val="superscript"/>
                <w:lang w:eastAsia="en-AU"/>
              </w:rPr>
              <w:t>a</w:t>
            </w:r>
          </w:p>
        </w:tc>
        <w:tc>
          <w:tcPr>
            <w:tcW w:w="810" w:type="dxa"/>
            <w:noWrap/>
            <w:hideMark/>
          </w:tcPr>
          <w:p w:rsidR="00D060FC" w:rsidRPr="005B0796" w:rsidRDefault="00D060FC" w:rsidP="00DE2EDB">
            <w:pPr>
              <w:pStyle w:val="TableText"/>
              <w:jc w:val="right"/>
              <w:rPr>
                <w:lang w:eastAsia="en-AU"/>
              </w:rPr>
            </w:pPr>
            <w:r w:rsidRPr="005B0796">
              <w:rPr>
                <w:lang w:eastAsia="en-AU"/>
              </w:rPr>
              <w:t>477</w:t>
            </w:r>
          </w:p>
        </w:tc>
        <w:tc>
          <w:tcPr>
            <w:tcW w:w="450" w:type="dxa"/>
            <w:hideMark/>
          </w:tcPr>
          <w:p w:rsidR="00D060FC" w:rsidRPr="005B0796" w:rsidRDefault="00D060FC" w:rsidP="00DE2EDB">
            <w:pPr>
              <w:pStyle w:val="TableText"/>
              <w:jc w:val="right"/>
              <w:rPr>
                <w:lang w:eastAsia="en-AU"/>
              </w:rPr>
            </w:pPr>
            <w:r w:rsidRPr="005B0796">
              <w:rPr>
                <w:lang w:eastAsia="en-AU"/>
              </w:rPr>
              <w:t>11.7</w:t>
            </w:r>
          </w:p>
        </w:tc>
        <w:tc>
          <w:tcPr>
            <w:tcW w:w="752" w:type="dxa"/>
            <w:hideMark/>
          </w:tcPr>
          <w:p w:rsidR="00D060FC" w:rsidRPr="005B0796" w:rsidRDefault="00D060FC" w:rsidP="00DE2EDB">
            <w:pPr>
              <w:pStyle w:val="TableText"/>
              <w:jc w:val="right"/>
              <w:rPr>
                <w:lang w:eastAsia="en-AU"/>
              </w:rPr>
            </w:pPr>
            <w:r w:rsidRPr="005B0796">
              <w:rPr>
                <w:lang w:eastAsia="en-AU"/>
              </w:rPr>
              <w:t>8.7, 15.6</w:t>
            </w:r>
          </w:p>
        </w:tc>
        <w:tc>
          <w:tcPr>
            <w:tcW w:w="778" w:type="dxa"/>
            <w:noWrap/>
            <w:hideMark/>
          </w:tcPr>
          <w:p w:rsidR="00D060FC" w:rsidRPr="005B0796" w:rsidRDefault="00D060FC" w:rsidP="00DE2EDB">
            <w:pPr>
              <w:pStyle w:val="TableText"/>
              <w:jc w:val="right"/>
              <w:rPr>
                <w:lang w:eastAsia="en-AU"/>
              </w:rPr>
            </w:pPr>
            <w:r w:rsidRPr="005B0796">
              <w:rPr>
                <w:lang w:eastAsia="en-AU"/>
              </w:rPr>
              <w:t>1472</w:t>
            </w:r>
          </w:p>
        </w:tc>
        <w:tc>
          <w:tcPr>
            <w:tcW w:w="450" w:type="dxa"/>
            <w:hideMark/>
          </w:tcPr>
          <w:p w:rsidR="00D060FC" w:rsidRPr="005B0796" w:rsidRDefault="00D060FC" w:rsidP="00DE2EDB">
            <w:pPr>
              <w:pStyle w:val="TableText"/>
              <w:jc w:val="right"/>
              <w:rPr>
                <w:lang w:eastAsia="en-AU"/>
              </w:rPr>
            </w:pPr>
            <w:r w:rsidRPr="005B0796">
              <w:rPr>
                <w:lang w:eastAsia="en-AU"/>
              </w:rPr>
              <w:t>18.7</w:t>
            </w:r>
          </w:p>
        </w:tc>
        <w:tc>
          <w:tcPr>
            <w:tcW w:w="784" w:type="dxa"/>
            <w:hideMark/>
          </w:tcPr>
          <w:p w:rsidR="00D060FC" w:rsidRPr="005B0796" w:rsidRDefault="00D060FC" w:rsidP="00DE2EDB">
            <w:pPr>
              <w:pStyle w:val="TableText"/>
              <w:jc w:val="right"/>
              <w:rPr>
                <w:lang w:eastAsia="en-AU"/>
              </w:rPr>
            </w:pPr>
            <w:r w:rsidRPr="005B0796">
              <w:rPr>
                <w:lang w:eastAsia="en-AU"/>
              </w:rPr>
              <w:t>15.5, 22.3</w:t>
            </w:r>
          </w:p>
        </w:tc>
        <w:tc>
          <w:tcPr>
            <w:tcW w:w="746" w:type="dxa"/>
            <w:noWrap/>
            <w:hideMark/>
          </w:tcPr>
          <w:p w:rsidR="00D060FC" w:rsidRPr="005B0796" w:rsidRDefault="00D060FC" w:rsidP="00DE2EDB">
            <w:pPr>
              <w:pStyle w:val="TableText"/>
              <w:jc w:val="right"/>
              <w:rPr>
                <w:lang w:eastAsia="en-AU"/>
              </w:rPr>
            </w:pPr>
            <w:r w:rsidRPr="005B0796">
              <w:rPr>
                <w:lang w:eastAsia="en-AU"/>
              </w:rPr>
              <w:t>2296</w:t>
            </w:r>
          </w:p>
        </w:tc>
        <w:tc>
          <w:tcPr>
            <w:tcW w:w="540" w:type="dxa"/>
            <w:hideMark/>
          </w:tcPr>
          <w:p w:rsidR="00D060FC" w:rsidRPr="005B0796" w:rsidRDefault="00D060FC" w:rsidP="00DE2EDB">
            <w:pPr>
              <w:pStyle w:val="TableText"/>
              <w:jc w:val="right"/>
              <w:rPr>
                <w:lang w:eastAsia="en-AU"/>
              </w:rPr>
            </w:pPr>
            <w:r w:rsidRPr="005B0796">
              <w:rPr>
                <w:lang w:eastAsia="en-AU"/>
              </w:rPr>
              <w:t>17.7</w:t>
            </w:r>
          </w:p>
        </w:tc>
        <w:tc>
          <w:tcPr>
            <w:tcW w:w="727" w:type="dxa"/>
            <w:hideMark/>
          </w:tcPr>
          <w:p w:rsidR="00D060FC" w:rsidRPr="005B0796" w:rsidRDefault="00D060FC" w:rsidP="00DE2EDB">
            <w:pPr>
              <w:pStyle w:val="TableText"/>
              <w:jc w:val="right"/>
              <w:rPr>
                <w:lang w:eastAsia="en-AU"/>
              </w:rPr>
            </w:pPr>
            <w:r w:rsidRPr="005B0796">
              <w:rPr>
                <w:lang w:eastAsia="en-AU"/>
              </w:rPr>
              <w:t>12.2, 24.8</w:t>
            </w:r>
          </w:p>
        </w:tc>
      </w:tr>
      <w:tr w:rsidR="00D060FC" w:rsidRPr="005B0796" w:rsidTr="006A04F9">
        <w:trPr>
          <w:cantSplit/>
        </w:trPr>
        <w:tc>
          <w:tcPr>
            <w:tcW w:w="1278" w:type="dxa"/>
            <w:noWrap/>
            <w:hideMark/>
          </w:tcPr>
          <w:p w:rsidR="00D060FC" w:rsidRPr="005B0796" w:rsidRDefault="00D060FC" w:rsidP="00DE2EDB">
            <w:pPr>
              <w:pStyle w:val="TableText"/>
              <w:rPr>
                <w:lang w:eastAsia="en-AU"/>
              </w:rPr>
            </w:pPr>
            <w:r w:rsidRPr="005B0796">
              <w:rPr>
                <w:lang w:eastAsia="en-AU"/>
              </w:rPr>
              <w:t>Panic disorder</w:t>
            </w:r>
          </w:p>
        </w:tc>
        <w:tc>
          <w:tcPr>
            <w:tcW w:w="810" w:type="dxa"/>
            <w:noWrap/>
            <w:hideMark/>
          </w:tcPr>
          <w:p w:rsidR="00D060FC" w:rsidRPr="005B0796" w:rsidRDefault="00D060FC" w:rsidP="00DE2EDB">
            <w:pPr>
              <w:pStyle w:val="TableText"/>
              <w:jc w:val="right"/>
              <w:rPr>
                <w:lang w:eastAsia="en-AU"/>
              </w:rPr>
            </w:pPr>
            <w:r w:rsidRPr="005B0796">
              <w:rPr>
                <w:lang w:eastAsia="en-AU"/>
              </w:rPr>
              <w:t>207</w:t>
            </w:r>
          </w:p>
        </w:tc>
        <w:tc>
          <w:tcPr>
            <w:tcW w:w="450" w:type="dxa"/>
            <w:hideMark/>
          </w:tcPr>
          <w:p w:rsidR="00D060FC" w:rsidRPr="005B0796" w:rsidRDefault="00D060FC" w:rsidP="00DE2EDB">
            <w:pPr>
              <w:pStyle w:val="TableText"/>
              <w:jc w:val="right"/>
              <w:rPr>
                <w:lang w:eastAsia="en-AU"/>
              </w:rPr>
            </w:pPr>
            <w:r w:rsidRPr="005B0796">
              <w:rPr>
                <w:lang w:eastAsia="en-AU"/>
              </w:rPr>
              <w:t>5.1</w:t>
            </w:r>
          </w:p>
        </w:tc>
        <w:tc>
          <w:tcPr>
            <w:tcW w:w="752" w:type="dxa"/>
            <w:hideMark/>
          </w:tcPr>
          <w:p w:rsidR="00D060FC" w:rsidRPr="005B0796" w:rsidRDefault="00D060FC" w:rsidP="00DE2EDB">
            <w:pPr>
              <w:pStyle w:val="TableText"/>
              <w:jc w:val="right"/>
              <w:rPr>
                <w:lang w:eastAsia="en-AU"/>
              </w:rPr>
            </w:pPr>
            <w:r w:rsidRPr="005B0796">
              <w:rPr>
                <w:lang w:eastAsia="en-AU"/>
              </w:rPr>
              <w:t>3.2, 8.0</w:t>
            </w:r>
          </w:p>
        </w:tc>
        <w:tc>
          <w:tcPr>
            <w:tcW w:w="778" w:type="dxa"/>
            <w:noWrap/>
            <w:hideMark/>
          </w:tcPr>
          <w:p w:rsidR="00D060FC" w:rsidRPr="005B0796" w:rsidRDefault="00D060FC" w:rsidP="00DE2EDB">
            <w:pPr>
              <w:pStyle w:val="TableText"/>
              <w:jc w:val="right"/>
              <w:rPr>
                <w:lang w:eastAsia="en-AU"/>
              </w:rPr>
            </w:pPr>
            <w:r w:rsidRPr="005B0796">
              <w:rPr>
                <w:lang w:eastAsia="en-AU"/>
              </w:rPr>
              <w:t>421</w:t>
            </w:r>
          </w:p>
        </w:tc>
        <w:tc>
          <w:tcPr>
            <w:tcW w:w="450" w:type="dxa"/>
            <w:hideMark/>
          </w:tcPr>
          <w:p w:rsidR="00D060FC" w:rsidRPr="005B0796" w:rsidRDefault="00D060FC" w:rsidP="00DE2EDB">
            <w:pPr>
              <w:pStyle w:val="TableText"/>
              <w:jc w:val="right"/>
              <w:rPr>
                <w:lang w:eastAsia="en-AU"/>
              </w:rPr>
            </w:pPr>
            <w:r w:rsidRPr="005B0796">
              <w:rPr>
                <w:lang w:eastAsia="en-AU"/>
              </w:rPr>
              <w:t>5.3</w:t>
            </w:r>
          </w:p>
        </w:tc>
        <w:tc>
          <w:tcPr>
            <w:tcW w:w="784" w:type="dxa"/>
            <w:hideMark/>
          </w:tcPr>
          <w:p w:rsidR="00D060FC" w:rsidRPr="005B0796" w:rsidRDefault="00D060FC" w:rsidP="00DE2EDB">
            <w:pPr>
              <w:pStyle w:val="TableText"/>
              <w:jc w:val="right"/>
              <w:rPr>
                <w:lang w:eastAsia="en-AU"/>
              </w:rPr>
            </w:pPr>
            <w:r w:rsidRPr="005B0796">
              <w:rPr>
                <w:lang w:eastAsia="en-AU"/>
              </w:rPr>
              <w:t>3.7, 7.6</w:t>
            </w:r>
          </w:p>
        </w:tc>
        <w:tc>
          <w:tcPr>
            <w:tcW w:w="746" w:type="dxa"/>
            <w:noWrap/>
            <w:hideMark/>
          </w:tcPr>
          <w:p w:rsidR="00D060FC" w:rsidRPr="005B0796" w:rsidRDefault="00D060FC" w:rsidP="00DE2EDB">
            <w:pPr>
              <w:pStyle w:val="TableText"/>
              <w:jc w:val="right"/>
              <w:rPr>
                <w:lang w:eastAsia="en-AU"/>
              </w:rPr>
            </w:pPr>
            <w:r w:rsidRPr="005B0796">
              <w:rPr>
                <w:lang w:eastAsia="en-AU"/>
              </w:rPr>
              <w:t>716</w:t>
            </w:r>
          </w:p>
        </w:tc>
        <w:tc>
          <w:tcPr>
            <w:tcW w:w="540" w:type="dxa"/>
            <w:hideMark/>
          </w:tcPr>
          <w:p w:rsidR="00D060FC" w:rsidRPr="005B0796" w:rsidRDefault="00D060FC" w:rsidP="00DE2EDB">
            <w:pPr>
              <w:pStyle w:val="TableText"/>
              <w:jc w:val="right"/>
              <w:rPr>
                <w:lang w:eastAsia="en-AU"/>
              </w:rPr>
            </w:pPr>
            <w:r w:rsidRPr="005B0796">
              <w:rPr>
                <w:lang w:eastAsia="en-AU"/>
              </w:rPr>
              <w:t>5.5</w:t>
            </w:r>
          </w:p>
        </w:tc>
        <w:tc>
          <w:tcPr>
            <w:tcW w:w="727" w:type="dxa"/>
            <w:hideMark/>
          </w:tcPr>
          <w:p w:rsidR="00D060FC" w:rsidRPr="005B0796" w:rsidRDefault="00D060FC" w:rsidP="00DE2EDB">
            <w:pPr>
              <w:pStyle w:val="TableText"/>
              <w:jc w:val="right"/>
              <w:rPr>
                <w:lang w:eastAsia="en-AU"/>
              </w:rPr>
            </w:pPr>
            <w:r w:rsidRPr="005B0796">
              <w:rPr>
                <w:lang w:eastAsia="en-AU"/>
              </w:rPr>
              <w:t>2.7, 11.0</w:t>
            </w:r>
          </w:p>
        </w:tc>
      </w:tr>
      <w:tr w:rsidR="00D060FC" w:rsidRPr="005B0796" w:rsidTr="006A04F9">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D060FC" w:rsidRPr="005B0796" w:rsidRDefault="00D060FC" w:rsidP="00DE2EDB">
            <w:pPr>
              <w:pStyle w:val="TableText"/>
              <w:rPr>
                <w:lang w:eastAsia="en-AU"/>
              </w:rPr>
            </w:pPr>
            <w:r w:rsidRPr="005B0796">
              <w:rPr>
                <w:lang w:eastAsia="en-AU"/>
              </w:rPr>
              <w:t>Agoraphobia</w:t>
            </w:r>
            <w:r w:rsidRPr="005B0796">
              <w:rPr>
                <w:vertAlign w:val="superscript"/>
                <w:lang w:eastAsia="en-AU"/>
              </w:rPr>
              <w:t>b</w:t>
            </w:r>
          </w:p>
        </w:tc>
        <w:tc>
          <w:tcPr>
            <w:tcW w:w="810" w:type="dxa"/>
            <w:noWrap/>
            <w:hideMark/>
          </w:tcPr>
          <w:p w:rsidR="00D060FC" w:rsidRPr="005B0796" w:rsidRDefault="00D060FC" w:rsidP="00DE2EDB">
            <w:pPr>
              <w:pStyle w:val="TableText"/>
              <w:jc w:val="right"/>
              <w:rPr>
                <w:lang w:eastAsia="en-AU"/>
              </w:rPr>
            </w:pPr>
            <w:r w:rsidRPr="005B0796">
              <w:rPr>
                <w:lang w:eastAsia="en-AU"/>
              </w:rPr>
              <w:t>237</w:t>
            </w:r>
          </w:p>
        </w:tc>
        <w:tc>
          <w:tcPr>
            <w:tcW w:w="450" w:type="dxa"/>
            <w:hideMark/>
          </w:tcPr>
          <w:p w:rsidR="00D060FC" w:rsidRPr="005B0796" w:rsidRDefault="00D060FC" w:rsidP="00DE2EDB">
            <w:pPr>
              <w:pStyle w:val="TableText"/>
              <w:jc w:val="right"/>
              <w:rPr>
                <w:lang w:eastAsia="en-AU"/>
              </w:rPr>
            </w:pPr>
            <w:r w:rsidRPr="005B0796">
              <w:rPr>
                <w:lang w:eastAsia="en-AU"/>
              </w:rPr>
              <w:t>5.8</w:t>
            </w:r>
          </w:p>
        </w:tc>
        <w:tc>
          <w:tcPr>
            <w:tcW w:w="752" w:type="dxa"/>
            <w:hideMark/>
          </w:tcPr>
          <w:p w:rsidR="00D060FC" w:rsidRPr="005B0796" w:rsidRDefault="00D060FC" w:rsidP="00DE2EDB">
            <w:pPr>
              <w:pStyle w:val="TableText"/>
              <w:jc w:val="right"/>
              <w:rPr>
                <w:lang w:eastAsia="en-AU"/>
              </w:rPr>
            </w:pPr>
            <w:r w:rsidRPr="005B0796">
              <w:rPr>
                <w:lang w:eastAsia="en-AU"/>
              </w:rPr>
              <w:t>3.8, 8.9</w:t>
            </w:r>
          </w:p>
        </w:tc>
        <w:tc>
          <w:tcPr>
            <w:tcW w:w="778" w:type="dxa"/>
            <w:noWrap/>
            <w:hideMark/>
          </w:tcPr>
          <w:p w:rsidR="00D060FC" w:rsidRPr="005B0796" w:rsidRDefault="00D060FC" w:rsidP="00DE2EDB">
            <w:pPr>
              <w:pStyle w:val="TableText"/>
              <w:jc w:val="right"/>
              <w:rPr>
                <w:lang w:eastAsia="en-AU"/>
              </w:rPr>
            </w:pPr>
            <w:r w:rsidRPr="005B0796">
              <w:rPr>
                <w:lang w:eastAsia="en-AU"/>
              </w:rPr>
              <w:t>1129</w:t>
            </w:r>
          </w:p>
        </w:tc>
        <w:tc>
          <w:tcPr>
            <w:tcW w:w="450" w:type="dxa"/>
            <w:hideMark/>
          </w:tcPr>
          <w:p w:rsidR="00D060FC" w:rsidRPr="005B0796" w:rsidRDefault="00D060FC" w:rsidP="00DE2EDB">
            <w:pPr>
              <w:pStyle w:val="TableText"/>
              <w:jc w:val="right"/>
              <w:rPr>
                <w:lang w:eastAsia="en-AU"/>
              </w:rPr>
            </w:pPr>
            <w:r w:rsidRPr="005B0796">
              <w:rPr>
                <w:lang w:eastAsia="en-AU"/>
              </w:rPr>
              <w:t>14.4</w:t>
            </w:r>
          </w:p>
        </w:tc>
        <w:tc>
          <w:tcPr>
            <w:tcW w:w="784" w:type="dxa"/>
            <w:hideMark/>
          </w:tcPr>
          <w:p w:rsidR="00D060FC" w:rsidRPr="005B0796" w:rsidRDefault="00D060FC" w:rsidP="00DE2EDB">
            <w:pPr>
              <w:pStyle w:val="TableText"/>
              <w:jc w:val="right"/>
              <w:rPr>
                <w:lang w:eastAsia="en-AU"/>
              </w:rPr>
            </w:pPr>
            <w:r w:rsidRPr="005B0796">
              <w:rPr>
                <w:lang w:eastAsia="en-AU"/>
              </w:rPr>
              <w:t>11.5, 17.8</w:t>
            </w:r>
          </w:p>
        </w:tc>
        <w:tc>
          <w:tcPr>
            <w:tcW w:w="746" w:type="dxa"/>
            <w:noWrap/>
            <w:hideMark/>
          </w:tcPr>
          <w:p w:rsidR="00D060FC" w:rsidRPr="005B0796" w:rsidRDefault="00D060FC" w:rsidP="00DE2EDB">
            <w:pPr>
              <w:pStyle w:val="TableText"/>
              <w:jc w:val="right"/>
              <w:rPr>
                <w:lang w:eastAsia="en-AU"/>
              </w:rPr>
            </w:pPr>
            <w:r w:rsidRPr="005B0796">
              <w:rPr>
                <w:lang w:eastAsia="en-AU"/>
              </w:rPr>
              <w:t>1609</w:t>
            </w:r>
          </w:p>
        </w:tc>
        <w:tc>
          <w:tcPr>
            <w:tcW w:w="540" w:type="dxa"/>
            <w:hideMark/>
          </w:tcPr>
          <w:p w:rsidR="00D060FC" w:rsidRPr="005B0796" w:rsidRDefault="00D060FC" w:rsidP="00DE2EDB">
            <w:pPr>
              <w:pStyle w:val="TableText"/>
              <w:jc w:val="right"/>
              <w:rPr>
                <w:lang w:eastAsia="en-AU"/>
              </w:rPr>
            </w:pPr>
            <w:r w:rsidRPr="005B0796">
              <w:rPr>
                <w:lang w:eastAsia="en-AU"/>
              </w:rPr>
              <w:t>12.4</w:t>
            </w:r>
          </w:p>
        </w:tc>
        <w:tc>
          <w:tcPr>
            <w:tcW w:w="727" w:type="dxa"/>
            <w:hideMark/>
          </w:tcPr>
          <w:p w:rsidR="00D060FC" w:rsidRPr="005B0796" w:rsidRDefault="00D060FC" w:rsidP="00DE2EDB">
            <w:pPr>
              <w:pStyle w:val="TableText"/>
              <w:jc w:val="right"/>
              <w:rPr>
                <w:lang w:eastAsia="en-AU"/>
              </w:rPr>
            </w:pPr>
            <w:r w:rsidRPr="005B0796">
              <w:rPr>
                <w:lang w:eastAsia="en-AU"/>
              </w:rPr>
              <w:t>7.7, 19.3</w:t>
            </w:r>
          </w:p>
        </w:tc>
      </w:tr>
      <w:tr w:rsidR="00D060FC" w:rsidRPr="005B0796" w:rsidTr="006A04F9">
        <w:trPr>
          <w:cantSplit/>
        </w:trPr>
        <w:tc>
          <w:tcPr>
            <w:tcW w:w="1278" w:type="dxa"/>
            <w:noWrap/>
            <w:hideMark/>
          </w:tcPr>
          <w:p w:rsidR="00D060FC" w:rsidRPr="005B0796" w:rsidRDefault="00D060FC" w:rsidP="00DE2EDB">
            <w:pPr>
              <w:pStyle w:val="TableText"/>
              <w:rPr>
                <w:lang w:eastAsia="en-AU"/>
              </w:rPr>
            </w:pPr>
            <w:r w:rsidRPr="005B0796">
              <w:rPr>
                <w:lang w:eastAsia="en-AU"/>
              </w:rPr>
              <w:t>Social phobia</w:t>
            </w:r>
            <w:r w:rsidRPr="005B0796">
              <w:rPr>
                <w:vertAlign w:val="superscript"/>
                <w:lang w:eastAsia="en-AU"/>
              </w:rPr>
              <w:t>c</w:t>
            </w:r>
          </w:p>
        </w:tc>
        <w:tc>
          <w:tcPr>
            <w:tcW w:w="810" w:type="dxa"/>
            <w:noWrap/>
            <w:hideMark/>
          </w:tcPr>
          <w:p w:rsidR="00D060FC" w:rsidRPr="005B0796" w:rsidRDefault="00D060FC" w:rsidP="00DE2EDB">
            <w:pPr>
              <w:pStyle w:val="TableText"/>
              <w:jc w:val="right"/>
              <w:rPr>
                <w:lang w:eastAsia="en-AU"/>
              </w:rPr>
            </w:pPr>
            <w:r w:rsidRPr="005B0796">
              <w:rPr>
                <w:lang w:eastAsia="en-AU"/>
              </w:rPr>
              <w:t>224</w:t>
            </w:r>
          </w:p>
        </w:tc>
        <w:tc>
          <w:tcPr>
            <w:tcW w:w="450" w:type="dxa"/>
            <w:hideMark/>
          </w:tcPr>
          <w:p w:rsidR="00D060FC" w:rsidRPr="005B0796" w:rsidRDefault="00D060FC" w:rsidP="00DE2EDB">
            <w:pPr>
              <w:pStyle w:val="TableText"/>
              <w:jc w:val="right"/>
              <w:rPr>
                <w:lang w:eastAsia="en-AU"/>
              </w:rPr>
            </w:pPr>
            <w:r w:rsidRPr="005B0796">
              <w:rPr>
                <w:lang w:eastAsia="en-AU"/>
              </w:rPr>
              <w:t>5.5</w:t>
            </w:r>
          </w:p>
        </w:tc>
        <w:tc>
          <w:tcPr>
            <w:tcW w:w="752" w:type="dxa"/>
            <w:hideMark/>
          </w:tcPr>
          <w:p w:rsidR="00D060FC" w:rsidRPr="005B0796" w:rsidRDefault="00D060FC" w:rsidP="00DE2EDB">
            <w:pPr>
              <w:pStyle w:val="TableText"/>
              <w:jc w:val="right"/>
              <w:rPr>
                <w:lang w:eastAsia="en-AU"/>
              </w:rPr>
            </w:pPr>
            <w:r w:rsidRPr="005B0796">
              <w:rPr>
                <w:lang w:eastAsia="en-AU"/>
              </w:rPr>
              <w:t>3.5, 8.5</w:t>
            </w:r>
          </w:p>
        </w:tc>
        <w:tc>
          <w:tcPr>
            <w:tcW w:w="778" w:type="dxa"/>
            <w:noWrap/>
            <w:hideMark/>
          </w:tcPr>
          <w:p w:rsidR="00D060FC" w:rsidRPr="005B0796" w:rsidRDefault="00D060FC" w:rsidP="00DE2EDB">
            <w:pPr>
              <w:pStyle w:val="TableText"/>
              <w:jc w:val="right"/>
              <w:rPr>
                <w:lang w:eastAsia="en-AU"/>
              </w:rPr>
            </w:pPr>
            <w:r w:rsidRPr="005B0796">
              <w:rPr>
                <w:lang w:eastAsia="en-AU"/>
              </w:rPr>
              <w:t>823</w:t>
            </w:r>
          </w:p>
        </w:tc>
        <w:tc>
          <w:tcPr>
            <w:tcW w:w="450" w:type="dxa"/>
            <w:hideMark/>
          </w:tcPr>
          <w:p w:rsidR="00D060FC" w:rsidRPr="005B0796" w:rsidRDefault="00D060FC" w:rsidP="00DE2EDB">
            <w:pPr>
              <w:pStyle w:val="TableText"/>
              <w:jc w:val="right"/>
              <w:rPr>
                <w:lang w:eastAsia="en-AU"/>
              </w:rPr>
            </w:pPr>
            <w:r w:rsidRPr="005B0796">
              <w:rPr>
                <w:lang w:eastAsia="en-AU"/>
              </w:rPr>
              <w:t>10.5</w:t>
            </w:r>
          </w:p>
        </w:tc>
        <w:tc>
          <w:tcPr>
            <w:tcW w:w="784" w:type="dxa"/>
            <w:hideMark/>
          </w:tcPr>
          <w:p w:rsidR="00D060FC" w:rsidRPr="005B0796" w:rsidRDefault="00D060FC" w:rsidP="00DE2EDB">
            <w:pPr>
              <w:pStyle w:val="TableText"/>
              <w:jc w:val="right"/>
              <w:rPr>
                <w:lang w:eastAsia="en-AU"/>
              </w:rPr>
            </w:pPr>
            <w:r w:rsidRPr="005B0796">
              <w:rPr>
                <w:lang w:eastAsia="en-AU"/>
              </w:rPr>
              <w:t>8.0, 13.6</w:t>
            </w:r>
          </w:p>
        </w:tc>
        <w:tc>
          <w:tcPr>
            <w:tcW w:w="746" w:type="dxa"/>
            <w:noWrap/>
            <w:hideMark/>
          </w:tcPr>
          <w:p w:rsidR="00D060FC" w:rsidRPr="005B0796" w:rsidRDefault="00D060FC" w:rsidP="00DE2EDB">
            <w:pPr>
              <w:pStyle w:val="TableText"/>
              <w:jc w:val="right"/>
              <w:rPr>
                <w:lang w:eastAsia="en-AU"/>
              </w:rPr>
            </w:pPr>
            <w:r w:rsidRPr="005B0796">
              <w:rPr>
                <w:lang w:eastAsia="en-AU"/>
              </w:rPr>
              <w:t>1691</w:t>
            </w:r>
          </w:p>
        </w:tc>
        <w:tc>
          <w:tcPr>
            <w:tcW w:w="540" w:type="dxa"/>
            <w:hideMark/>
          </w:tcPr>
          <w:p w:rsidR="00D060FC" w:rsidRPr="005B0796" w:rsidRDefault="00D060FC" w:rsidP="00DE2EDB">
            <w:pPr>
              <w:pStyle w:val="TableText"/>
              <w:jc w:val="right"/>
              <w:rPr>
                <w:lang w:eastAsia="en-AU"/>
              </w:rPr>
            </w:pPr>
            <w:r w:rsidRPr="005B0796">
              <w:rPr>
                <w:lang w:eastAsia="en-AU"/>
              </w:rPr>
              <w:t>13.0</w:t>
            </w:r>
          </w:p>
        </w:tc>
        <w:tc>
          <w:tcPr>
            <w:tcW w:w="727" w:type="dxa"/>
            <w:hideMark/>
          </w:tcPr>
          <w:p w:rsidR="00D060FC" w:rsidRPr="005B0796" w:rsidRDefault="00D060FC" w:rsidP="00DE2EDB">
            <w:pPr>
              <w:pStyle w:val="TableText"/>
              <w:jc w:val="right"/>
              <w:rPr>
                <w:lang w:eastAsia="en-AU"/>
              </w:rPr>
            </w:pPr>
            <w:r w:rsidRPr="005B0796">
              <w:rPr>
                <w:lang w:eastAsia="en-AU"/>
              </w:rPr>
              <w:t>8.5, 19.3</w:t>
            </w:r>
          </w:p>
        </w:tc>
      </w:tr>
      <w:tr w:rsidR="00D060FC" w:rsidRPr="005B0796" w:rsidTr="006A04F9">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D060FC" w:rsidRPr="005B0796" w:rsidRDefault="00D060FC" w:rsidP="00DE2EDB">
            <w:pPr>
              <w:pStyle w:val="TableText"/>
              <w:rPr>
                <w:lang w:eastAsia="en-AU"/>
              </w:rPr>
            </w:pPr>
            <w:r w:rsidRPr="005B0796">
              <w:rPr>
                <w:lang w:eastAsia="en-AU"/>
              </w:rPr>
              <w:t>Specific phobia</w:t>
            </w:r>
          </w:p>
        </w:tc>
        <w:tc>
          <w:tcPr>
            <w:tcW w:w="810" w:type="dxa"/>
            <w:noWrap/>
            <w:hideMark/>
          </w:tcPr>
          <w:p w:rsidR="00D060FC" w:rsidRPr="005B0796" w:rsidRDefault="00D060FC" w:rsidP="00DE2EDB">
            <w:pPr>
              <w:pStyle w:val="TableText"/>
              <w:jc w:val="right"/>
              <w:rPr>
                <w:lang w:eastAsia="en-AU"/>
              </w:rPr>
            </w:pPr>
            <w:r w:rsidRPr="005B0796">
              <w:rPr>
                <w:lang w:eastAsia="en-AU"/>
              </w:rPr>
              <w:t>362</w:t>
            </w:r>
          </w:p>
        </w:tc>
        <w:tc>
          <w:tcPr>
            <w:tcW w:w="450" w:type="dxa"/>
            <w:hideMark/>
          </w:tcPr>
          <w:p w:rsidR="00D060FC" w:rsidRPr="005B0796" w:rsidRDefault="00D060FC" w:rsidP="00DE2EDB">
            <w:pPr>
              <w:pStyle w:val="TableText"/>
              <w:jc w:val="right"/>
              <w:rPr>
                <w:lang w:eastAsia="en-AU"/>
              </w:rPr>
            </w:pPr>
            <w:r w:rsidRPr="005B0796">
              <w:rPr>
                <w:lang w:eastAsia="en-AU"/>
              </w:rPr>
              <w:t>8.9</w:t>
            </w:r>
          </w:p>
        </w:tc>
        <w:tc>
          <w:tcPr>
            <w:tcW w:w="752" w:type="dxa"/>
            <w:hideMark/>
          </w:tcPr>
          <w:p w:rsidR="00D060FC" w:rsidRPr="005B0796" w:rsidRDefault="00D060FC" w:rsidP="00DE2EDB">
            <w:pPr>
              <w:pStyle w:val="TableText"/>
              <w:jc w:val="right"/>
              <w:rPr>
                <w:lang w:eastAsia="en-AU"/>
              </w:rPr>
            </w:pPr>
            <w:r w:rsidRPr="005B0796">
              <w:rPr>
                <w:lang w:eastAsia="en-AU"/>
              </w:rPr>
              <w:t>6.3, 12.4</w:t>
            </w:r>
          </w:p>
        </w:tc>
        <w:tc>
          <w:tcPr>
            <w:tcW w:w="778" w:type="dxa"/>
            <w:noWrap/>
            <w:hideMark/>
          </w:tcPr>
          <w:p w:rsidR="00D060FC" w:rsidRPr="005B0796" w:rsidRDefault="00D060FC" w:rsidP="00DE2EDB">
            <w:pPr>
              <w:pStyle w:val="TableText"/>
              <w:jc w:val="right"/>
              <w:rPr>
                <w:lang w:eastAsia="en-AU"/>
              </w:rPr>
            </w:pPr>
            <w:r w:rsidRPr="005B0796">
              <w:rPr>
                <w:lang w:eastAsia="en-AU"/>
              </w:rPr>
              <w:t>945</w:t>
            </w:r>
          </w:p>
        </w:tc>
        <w:tc>
          <w:tcPr>
            <w:tcW w:w="450" w:type="dxa"/>
            <w:hideMark/>
          </w:tcPr>
          <w:p w:rsidR="00D060FC" w:rsidRPr="005B0796" w:rsidRDefault="00D060FC" w:rsidP="00DE2EDB">
            <w:pPr>
              <w:pStyle w:val="TableText"/>
              <w:jc w:val="right"/>
              <w:rPr>
                <w:lang w:eastAsia="en-AU"/>
              </w:rPr>
            </w:pPr>
            <w:r w:rsidRPr="005B0796">
              <w:rPr>
                <w:lang w:eastAsia="en-AU"/>
              </w:rPr>
              <w:t>12.0</w:t>
            </w:r>
          </w:p>
        </w:tc>
        <w:tc>
          <w:tcPr>
            <w:tcW w:w="784" w:type="dxa"/>
            <w:hideMark/>
          </w:tcPr>
          <w:p w:rsidR="00D060FC" w:rsidRPr="005B0796" w:rsidRDefault="00D060FC" w:rsidP="00DE2EDB">
            <w:pPr>
              <w:pStyle w:val="TableText"/>
              <w:jc w:val="right"/>
              <w:rPr>
                <w:lang w:eastAsia="en-AU"/>
              </w:rPr>
            </w:pPr>
            <w:r w:rsidRPr="005B0796">
              <w:rPr>
                <w:lang w:eastAsia="en-AU"/>
              </w:rPr>
              <w:t>9.4, 15.2</w:t>
            </w:r>
          </w:p>
        </w:tc>
        <w:tc>
          <w:tcPr>
            <w:tcW w:w="746" w:type="dxa"/>
            <w:noWrap/>
            <w:hideMark/>
          </w:tcPr>
          <w:p w:rsidR="00D060FC" w:rsidRPr="005B0796" w:rsidRDefault="00D060FC" w:rsidP="00DE2EDB">
            <w:pPr>
              <w:pStyle w:val="TableText"/>
              <w:jc w:val="right"/>
              <w:rPr>
                <w:lang w:eastAsia="en-AU"/>
              </w:rPr>
            </w:pPr>
            <w:r w:rsidRPr="005B0796">
              <w:rPr>
                <w:lang w:eastAsia="en-AU"/>
              </w:rPr>
              <w:t>629</w:t>
            </w:r>
          </w:p>
        </w:tc>
        <w:tc>
          <w:tcPr>
            <w:tcW w:w="540" w:type="dxa"/>
            <w:hideMark/>
          </w:tcPr>
          <w:p w:rsidR="00D060FC" w:rsidRPr="005B0796" w:rsidRDefault="00D060FC" w:rsidP="00DE2EDB">
            <w:pPr>
              <w:pStyle w:val="TableText"/>
              <w:jc w:val="right"/>
              <w:rPr>
                <w:lang w:eastAsia="en-AU"/>
              </w:rPr>
            </w:pPr>
            <w:r w:rsidRPr="005B0796">
              <w:rPr>
                <w:lang w:eastAsia="en-AU"/>
              </w:rPr>
              <w:t>4.8</w:t>
            </w:r>
          </w:p>
        </w:tc>
        <w:tc>
          <w:tcPr>
            <w:tcW w:w="727" w:type="dxa"/>
            <w:hideMark/>
          </w:tcPr>
          <w:p w:rsidR="00D060FC" w:rsidRPr="005B0796" w:rsidRDefault="00D060FC" w:rsidP="00DE2EDB">
            <w:pPr>
              <w:pStyle w:val="TableText"/>
              <w:jc w:val="right"/>
              <w:rPr>
                <w:lang w:eastAsia="en-AU"/>
              </w:rPr>
            </w:pPr>
            <w:r w:rsidRPr="005B0796">
              <w:rPr>
                <w:lang w:eastAsia="en-AU"/>
              </w:rPr>
              <w:t>2.2, 10.2</w:t>
            </w:r>
          </w:p>
        </w:tc>
      </w:tr>
      <w:tr w:rsidR="00D060FC" w:rsidRPr="005B0796" w:rsidTr="006A04F9">
        <w:trPr>
          <w:cantSplit/>
        </w:trPr>
        <w:tc>
          <w:tcPr>
            <w:tcW w:w="1278" w:type="dxa"/>
            <w:noWrap/>
            <w:hideMark/>
          </w:tcPr>
          <w:p w:rsidR="00D060FC" w:rsidRPr="005B0796" w:rsidRDefault="00D060FC" w:rsidP="00DE2EDB">
            <w:pPr>
              <w:pStyle w:val="TableText"/>
              <w:rPr>
                <w:lang w:eastAsia="en-AU"/>
              </w:rPr>
            </w:pPr>
            <w:r w:rsidRPr="005B0796">
              <w:rPr>
                <w:lang w:eastAsia="en-AU"/>
              </w:rPr>
              <w:t>Generalised anxiety disorder</w:t>
            </w:r>
          </w:p>
        </w:tc>
        <w:tc>
          <w:tcPr>
            <w:tcW w:w="810" w:type="dxa"/>
            <w:noWrap/>
            <w:hideMark/>
          </w:tcPr>
          <w:p w:rsidR="00D060FC" w:rsidRPr="005B0796" w:rsidRDefault="00D060FC" w:rsidP="00DE2EDB">
            <w:pPr>
              <w:pStyle w:val="TableText"/>
              <w:jc w:val="right"/>
              <w:rPr>
                <w:lang w:eastAsia="en-AU"/>
              </w:rPr>
            </w:pPr>
            <w:r w:rsidRPr="005B0796">
              <w:rPr>
                <w:lang w:eastAsia="en-AU"/>
              </w:rPr>
              <w:t>112</w:t>
            </w:r>
          </w:p>
        </w:tc>
        <w:tc>
          <w:tcPr>
            <w:tcW w:w="450" w:type="dxa"/>
            <w:hideMark/>
          </w:tcPr>
          <w:p w:rsidR="00D060FC" w:rsidRPr="005B0796" w:rsidRDefault="00D060FC" w:rsidP="00DE2EDB">
            <w:pPr>
              <w:pStyle w:val="TableText"/>
              <w:jc w:val="right"/>
              <w:rPr>
                <w:lang w:eastAsia="en-AU"/>
              </w:rPr>
            </w:pPr>
            <w:r w:rsidRPr="005B0796">
              <w:rPr>
                <w:lang w:eastAsia="en-AU"/>
              </w:rPr>
              <w:t>2.7</w:t>
            </w:r>
          </w:p>
        </w:tc>
        <w:tc>
          <w:tcPr>
            <w:tcW w:w="752" w:type="dxa"/>
            <w:hideMark/>
          </w:tcPr>
          <w:p w:rsidR="00D060FC" w:rsidRPr="005B0796" w:rsidRDefault="00D060FC" w:rsidP="00DE2EDB">
            <w:pPr>
              <w:pStyle w:val="TableText"/>
              <w:jc w:val="right"/>
              <w:rPr>
                <w:lang w:eastAsia="en-AU"/>
              </w:rPr>
            </w:pPr>
            <w:r w:rsidRPr="005B0796">
              <w:rPr>
                <w:lang w:eastAsia="en-AU"/>
              </w:rPr>
              <w:t>1.4, 5.2</w:t>
            </w:r>
          </w:p>
        </w:tc>
        <w:tc>
          <w:tcPr>
            <w:tcW w:w="778" w:type="dxa"/>
            <w:hideMark/>
          </w:tcPr>
          <w:p w:rsidR="00D060FC" w:rsidRPr="005B0796" w:rsidRDefault="00D060FC" w:rsidP="00DE2EDB">
            <w:pPr>
              <w:pStyle w:val="TableText"/>
              <w:jc w:val="right"/>
              <w:rPr>
                <w:lang w:eastAsia="en-AU"/>
              </w:rPr>
            </w:pPr>
            <w:r w:rsidRPr="005B0796">
              <w:rPr>
                <w:lang w:eastAsia="en-AU"/>
              </w:rPr>
              <w:t>307</w:t>
            </w:r>
          </w:p>
        </w:tc>
        <w:tc>
          <w:tcPr>
            <w:tcW w:w="450" w:type="dxa"/>
            <w:hideMark/>
          </w:tcPr>
          <w:p w:rsidR="00D060FC" w:rsidRPr="005B0796" w:rsidRDefault="00D060FC" w:rsidP="00DE2EDB">
            <w:pPr>
              <w:pStyle w:val="TableText"/>
              <w:jc w:val="right"/>
              <w:rPr>
                <w:lang w:eastAsia="en-AU"/>
              </w:rPr>
            </w:pPr>
            <w:r w:rsidRPr="005B0796">
              <w:rPr>
                <w:lang w:eastAsia="en-AU"/>
              </w:rPr>
              <w:t>3.9</w:t>
            </w:r>
          </w:p>
        </w:tc>
        <w:tc>
          <w:tcPr>
            <w:tcW w:w="784" w:type="dxa"/>
            <w:hideMark/>
          </w:tcPr>
          <w:p w:rsidR="00D060FC" w:rsidRPr="005B0796" w:rsidRDefault="00D060FC" w:rsidP="00DE2EDB">
            <w:pPr>
              <w:pStyle w:val="TableText"/>
              <w:jc w:val="right"/>
              <w:rPr>
                <w:lang w:eastAsia="en-AU"/>
              </w:rPr>
            </w:pPr>
            <w:r w:rsidRPr="005B0796">
              <w:rPr>
                <w:lang w:eastAsia="en-AU"/>
              </w:rPr>
              <w:t>2.5, 6.1</w:t>
            </w:r>
          </w:p>
        </w:tc>
        <w:tc>
          <w:tcPr>
            <w:tcW w:w="746" w:type="dxa"/>
            <w:noWrap/>
            <w:hideMark/>
          </w:tcPr>
          <w:p w:rsidR="00D060FC" w:rsidRPr="005B0796" w:rsidRDefault="00D060FC" w:rsidP="00DE2EDB">
            <w:pPr>
              <w:pStyle w:val="TableText"/>
              <w:jc w:val="right"/>
              <w:rPr>
                <w:lang w:eastAsia="en-AU"/>
              </w:rPr>
            </w:pPr>
            <w:r w:rsidRPr="005B0796">
              <w:rPr>
                <w:lang w:eastAsia="en-AU"/>
              </w:rPr>
              <w:t>499</w:t>
            </w:r>
          </w:p>
        </w:tc>
        <w:tc>
          <w:tcPr>
            <w:tcW w:w="540" w:type="dxa"/>
            <w:hideMark/>
          </w:tcPr>
          <w:p w:rsidR="00D060FC" w:rsidRPr="005B0796" w:rsidRDefault="00D060FC" w:rsidP="00DE2EDB">
            <w:pPr>
              <w:pStyle w:val="TableText"/>
              <w:jc w:val="right"/>
              <w:rPr>
                <w:lang w:eastAsia="en-AU"/>
              </w:rPr>
            </w:pPr>
            <w:r w:rsidRPr="005B0796">
              <w:rPr>
                <w:lang w:eastAsia="en-AU"/>
              </w:rPr>
              <w:t>3.8</w:t>
            </w:r>
          </w:p>
        </w:tc>
        <w:tc>
          <w:tcPr>
            <w:tcW w:w="727" w:type="dxa"/>
            <w:hideMark/>
          </w:tcPr>
          <w:p w:rsidR="00D060FC" w:rsidRPr="005B0796" w:rsidRDefault="00D060FC" w:rsidP="00DE2EDB">
            <w:pPr>
              <w:pStyle w:val="TableText"/>
              <w:jc w:val="right"/>
              <w:rPr>
                <w:lang w:eastAsia="en-AU"/>
              </w:rPr>
            </w:pPr>
            <w:r w:rsidRPr="005B0796">
              <w:rPr>
                <w:lang w:eastAsia="en-AU"/>
              </w:rPr>
              <w:t>1.6, 8.8</w:t>
            </w:r>
          </w:p>
        </w:tc>
      </w:tr>
      <w:tr w:rsidR="00D060FC" w:rsidRPr="005B0796" w:rsidTr="006A04F9">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D060FC" w:rsidRPr="005B0796" w:rsidRDefault="00D060FC" w:rsidP="00DE2EDB">
            <w:pPr>
              <w:pStyle w:val="TableText"/>
              <w:rPr>
                <w:lang w:eastAsia="en-AU"/>
              </w:rPr>
            </w:pPr>
            <w:r w:rsidRPr="005B0796">
              <w:rPr>
                <w:lang w:eastAsia="en-AU"/>
              </w:rPr>
              <w:t>Obsessive-compulsive disorder</w:t>
            </w:r>
            <w:r w:rsidRPr="005B0796">
              <w:rPr>
                <w:vertAlign w:val="superscript"/>
                <w:lang w:eastAsia="en-AU"/>
              </w:rPr>
              <w:t>d</w:t>
            </w:r>
          </w:p>
        </w:tc>
        <w:tc>
          <w:tcPr>
            <w:tcW w:w="810" w:type="dxa"/>
            <w:noWrap/>
            <w:hideMark/>
          </w:tcPr>
          <w:p w:rsidR="00D060FC" w:rsidRPr="005B0796" w:rsidRDefault="00D060FC" w:rsidP="00DE2EDB">
            <w:pPr>
              <w:pStyle w:val="TableText"/>
              <w:jc w:val="right"/>
              <w:rPr>
                <w:lang w:eastAsia="en-AU"/>
              </w:rPr>
            </w:pPr>
            <w:r w:rsidRPr="005B0796">
              <w:rPr>
                <w:lang w:eastAsia="en-AU"/>
              </w:rPr>
              <w:t>84</w:t>
            </w:r>
          </w:p>
        </w:tc>
        <w:tc>
          <w:tcPr>
            <w:tcW w:w="450" w:type="dxa"/>
            <w:hideMark/>
          </w:tcPr>
          <w:p w:rsidR="00D060FC" w:rsidRPr="005B0796" w:rsidRDefault="00D060FC" w:rsidP="00DE2EDB">
            <w:pPr>
              <w:pStyle w:val="TableText"/>
              <w:jc w:val="right"/>
              <w:rPr>
                <w:lang w:eastAsia="en-AU"/>
              </w:rPr>
            </w:pPr>
            <w:r w:rsidRPr="005B0796">
              <w:rPr>
                <w:lang w:eastAsia="en-AU"/>
              </w:rPr>
              <w:t>2.1</w:t>
            </w:r>
          </w:p>
        </w:tc>
        <w:tc>
          <w:tcPr>
            <w:tcW w:w="752" w:type="dxa"/>
            <w:hideMark/>
          </w:tcPr>
          <w:p w:rsidR="00D060FC" w:rsidRPr="005B0796" w:rsidRDefault="00D060FC" w:rsidP="00DE2EDB">
            <w:pPr>
              <w:pStyle w:val="TableText"/>
              <w:jc w:val="right"/>
              <w:rPr>
                <w:lang w:eastAsia="en-AU"/>
              </w:rPr>
            </w:pPr>
            <w:r w:rsidRPr="005B0796">
              <w:rPr>
                <w:lang w:eastAsia="en-AU"/>
              </w:rPr>
              <w:t>1.0, 4.2</w:t>
            </w:r>
          </w:p>
        </w:tc>
        <w:tc>
          <w:tcPr>
            <w:tcW w:w="778" w:type="dxa"/>
            <w:noWrap/>
            <w:hideMark/>
          </w:tcPr>
          <w:p w:rsidR="00D060FC" w:rsidRPr="005B0796" w:rsidRDefault="00D060FC" w:rsidP="00DE2EDB">
            <w:pPr>
              <w:pStyle w:val="TableText"/>
              <w:jc w:val="right"/>
              <w:rPr>
                <w:lang w:eastAsia="en-AU"/>
              </w:rPr>
            </w:pPr>
            <w:r w:rsidRPr="005B0796">
              <w:rPr>
                <w:lang w:eastAsia="en-AU"/>
              </w:rPr>
              <w:t>354</w:t>
            </w:r>
          </w:p>
        </w:tc>
        <w:tc>
          <w:tcPr>
            <w:tcW w:w="450" w:type="dxa"/>
            <w:hideMark/>
          </w:tcPr>
          <w:p w:rsidR="00D060FC" w:rsidRPr="005B0796" w:rsidRDefault="00D060FC" w:rsidP="00DE2EDB">
            <w:pPr>
              <w:pStyle w:val="TableText"/>
              <w:jc w:val="right"/>
              <w:rPr>
                <w:lang w:eastAsia="en-AU"/>
              </w:rPr>
            </w:pPr>
            <w:r w:rsidRPr="005B0796">
              <w:rPr>
                <w:lang w:eastAsia="en-AU"/>
              </w:rPr>
              <w:t>4.5</w:t>
            </w:r>
          </w:p>
        </w:tc>
        <w:tc>
          <w:tcPr>
            <w:tcW w:w="784" w:type="dxa"/>
            <w:hideMark/>
          </w:tcPr>
          <w:p w:rsidR="00D060FC" w:rsidRPr="005B0796" w:rsidRDefault="00D060FC" w:rsidP="00DE2EDB">
            <w:pPr>
              <w:pStyle w:val="TableText"/>
              <w:jc w:val="right"/>
              <w:rPr>
                <w:lang w:eastAsia="en-AU"/>
              </w:rPr>
            </w:pPr>
            <w:r w:rsidRPr="005B0796">
              <w:rPr>
                <w:lang w:eastAsia="en-AU"/>
              </w:rPr>
              <w:t>3.0, 6.7</w:t>
            </w:r>
          </w:p>
        </w:tc>
        <w:tc>
          <w:tcPr>
            <w:tcW w:w="746" w:type="dxa"/>
            <w:noWrap/>
            <w:hideMark/>
          </w:tcPr>
          <w:p w:rsidR="00D060FC" w:rsidRPr="005B0796" w:rsidRDefault="00D060FC" w:rsidP="00DE2EDB">
            <w:pPr>
              <w:pStyle w:val="TableText"/>
              <w:jc w:val="right"/>
              <w:rPr>
                <w:lang w:eastAsia="en-AU"/>
              </w:rPr>
            </w:pPr>
            <w:r w:rsidRPr="005B0796">
              <w:rPr>
                <w:lang w:eastAsia="en-AU"/>
              </w:rPr>
              <w:t>591</w:t>
            </w:r>
          </w:p>
        </w:tc>
        <w:tc>
          <w:tcPr>
            <w:tcW w:w="540" w:type="dxa"/>
            <w:hideMark/>
          </w:tcPr>
          <w:p w:rsidR="00D060FC" w:rsidRPr="005B0796" w:rsidRDefault="00D060FC" w:rsidP="00DE2EDB">
            <w:pPr>
              <w:pStyle w:val="TableText"/>
              <w:jc w:val="right"/>
              <w:rPr>
                <w:lang w:eastAsia="en-AU"/>
              </w:rPr>
            </w:pPr>
            <w:r w:rsidRPr="005B0796">
              <w:rPr>
                <w:lang w:eastAsia="en-AU"/>
              </w:rPr>
              <w:t>4.5</w:t>
            </w:r>
          </w:p>
        </w:tc>
        <w:tc>
          <w:tcPr>
            <w:tcW w:w="727" w:type="dxa"/>
            <w:hideMark/>
          </w:tcPr>
          <w:p w:rsidR="00D060FC" w:rsidRPr="005B0796" w:rsidRDefault="00D060FC" w:rsidP="00DE2EDB">
            <w:pPr>
              <w:pStyle w:val="TableText"/>
              <w:jc w:val="right"/>
              <w:rPr>
                <w:lang w:eastAsia="en-AU"/>
              </w:rPr>
            </w:pPr>
            <w:r w:rsidRPr="005B0796">
              <w:rPr>
                <w:lang w:eastAsia="en-AU"/>
              </w:rPr>
              <w:t>2.1, 9.7</w:t>
            </w:r>
          </w:p>
        </w:tc>
      </w:tr>
      <w:tr w:rsidR="00D060FC" w:rsidRPr="005B0796" w:rsidTr="006A04F9">
        <w:trPr>
          <w:cantSplit/>
        </w:trPr>
        <w:tc>
          <w:tcPr>
            <w:tcW w:w="1278" w:type="dxa"/>
            <w:noWrap/>
            <w:hideMark/>
          </w:tcPr>
          <w:p w:rsidR="00D060FC" w:rsidRPr="005B0796" w:rsidRDefault="00D060FC" w:rsidP="00DE2EDB">
            <w:pPr>
              <w:pStyle w:val="TableText"/>
              <w:rPr>
                <w:lang w:eastAsia="en-AU"/>
              </w:rPr>
            </w:pPr>
            <w:r w:rsidRPr="005B0796">
              <w:rPr>
                <w:lang w:eastAsia="en-AU"/>
              </w:rPr>
              <w:t>Posttraumatic stress disorder</w:t>
            </w:r>
            <w:r w:rsidRPr="005B0796">
              <w:rPr>
                <w:vertAlign w:val="superscript"/>
                <w:lang w:eastAsia="en-AU"/>
              </w:rPr>
              <w:t>e</w:t>
            </w:r>
          </w:p>
        </w:tc>
        <w:tc>
          <w:tcPr>
            <w:tcW w:w="810" w:type="dxa"/>
            <w:noWrap/>
            <w:hideMark/>
          </w:tcPr>
          <w:p w:rsidR="00D060FC" w:rsidRPr="005B0796" w:rsidRDefault="00D060FC" w:rsidP="00DE2EDB">
            <w:pPr>
              <w:pStyle w:val="TableText"/>
              <w:jc w:val="right"/>
              <w:rPr>
                <w:lang w:eastAsia="en-AU"/>
              </w:rPr>
            </w:pPr>
            <w:r w:rsidRPr="005B0796">
              <w:rPr>
                <w:lang w:eastAsia="en-AU"/>
              </w:rPr>
              <w:t>608</w:t>
            </w:r>
          </w:p>
        </w:tc>
        <w:tc>
          <w:tcPr>
            <w:tcW w:w="450" w:type="dxa"/>
            <w:hideMark/>
          </w:tcPr>
          <w:p w:rsidR="00D060FC" w:rsidRPr="005B0796" w:rsidRDefault="00D060FC" w:rsidP="00DE2EDB">
            <w:pPr>
              <w:pStyle w:val="TableText"/>
              <w:jc w:val="right"/>
              <w:rPr>
                <w:lang w:eastAsia="en-AU"/>
              </w:rPr>
            </w:pPr>
            <w:r w:rsidRPr="005B0796">
              <w:rPr>
                <w:lang w:eastAsia="en-AU"/>
              </w:rPr>
              <w:t>15.0</w:t>
            </w:r>
          </w:p>
        </w:tc>
        <w:tc>
          <w:tcPr>
            <w:tcW w:w="752" w:type="dxa"/>
            <w:hideMark/>
          </w:tcPr>
          <w:p w:rsidR="00D060FC" w:rsidRPr="005B0796" w:rsidRDefault="00D060FC" w:rsidP="00DE2EDB">
            <w:pPr>
              <w:pStyle w:val="TableText"/>
              <w:jc w:val="right"/>
              <w:rPr>
                <w:lang w:eastAsia="en-AU"/>
              </w:rPr>
            </w:pPr>
            <w:r w:rsidRPr="005B0796">
              <w:rPr>
                <w:lang w:eastAsia="en-AU"/>
              </w:rPr>
              <w:t>11.6, 19.1</w:t>
            </w:r>
          </w:p>
        </w:tc>
        <w:tc>
          <w:tcPr>
            <w:tcW w:w="778" w:type="dxa"/>
            <w:noWrap/>
            <w:hideMark/>
          </w:tcPr>
          <w:p w:rsidR="00D060FC" w:rsidRPr="005B0796" w:rsidRDefault="00D060FC" w:rsidP="00DE2EDB">
            <w:pPr>
              <w:pStyle w:val="TableText"/>
              <w:jc w:val="right"/>
              <w:rPr>
                <w:lang w:eastAsia="en-AU"/>
              </w:rPr>
            </w:pPr>
            <w:r w:rsidRPr="005B0796">
              <w:rPr>
                <w:lang w:eastAsia="en-AU"/>
              </w:rPr>
              <w:t>1559</w:t>
            </w:r>
          </w:p>
        </w:tc>
        <w:tc>
          <w:tcPr>
            <w:tcW w:w="450" w:type="dxa"/>
            <w:hideMark/>
          </w:tcPr>
          <w:p w:rsidR="00D060FC" w:rsidRPr="005B0796" w:rsidRDefault="00D060FC" w:rsidP="00DE2EDB">
            <w:pPr>
              <w:pStyle w:val="TableText"/>
              <w:jc w:val="right"/>
              <w:rPr>
                <w:lang w:eastAsia="en-AU"/>
              </w:rPr>
            </w:pPr>
            <w:r w:rsidRPr="005B0796">
              <w:rPr>
                <w:lang w:eastAsia="en-AU"/>
              </w:rPr>
              <w:t>19.8</w:t>
            </w:r>
          </w:p>
        </w:tc>
        <w:tc>
          <w:tcPr>
            <w:tcW w:w="784" w:type="dxa"/>
            <w:hideMark/>
          </w:tcPr>
          <w:p w:rsidR="00D060FC" w:rsidRPr="005B0796" w:rsidRDefault="00D060FC" w:rsidP="00DE2EDB">
            <w:pPr>
              <w:pStyle w:val="TableText"/>
              <w:jc w:val="right"/>
              <w:rPr>
                <w:lang w:eastAsia="en-AU"/>
              </w:rPr>
            </w:pPr>
            <w:r w:rsidRPr="005B0796">
              <w:rPr>
                <w:lang w:eastAsia="en-AU"/>
              </w:rPr>
              <w:t>16.6, 23.5</w:t>
            </w:r>
          </w:p>
        </w:tc>
        <w:tc>
          <w:tcPr>
            <w:tcW w:w="746" w:type="dxa"/>
            <w:noWrap/>
            <w:hideMark/>
          </w:tcPr>
          <w:p w:rsidR="00D060FC" w:rsidRPr="005B0796" w:rsidRDefault="00D060FC" w:rsidP="00DE2EDB">
            <w:pPr>
              <w:pStyle w:val="TableText"/>
              <w:jc w:val="right"/>
              <w:rPr>
                <w:lang w:eastAsia="en-AU"/>
              </w:rPr>
            </w:pPr>
            <w:r w:rsidRPr="005B0796">
              <w:rPr>
                <w:lang w:eastAsia="en-AU"/>
              </w:rPr>
              <w:t>2242</w:t>
            </w:r>
          </w:p>
        </w:tc>
        <w:tc>
          <w:tcPr>
            <w:tcW w:w="540" w:type="dxa"/>
            <w:hideMark/>
          </w:tcPr>
          <w:p w:rsidR="00D060FC" w:rsidRPr="005B0796" w:rsidRDefault="00D060FC" w:rsidP="00DE2EDB">
            <w:pPr>
              <w:pStyle w:val="TableText"/>
              <w:jc w:val="right"/>
              <w:rPr>
                <w:lang w:eastAsia="en-AU"/>
              </w:rPr>
            </w:pPr>
            <w:r w:rsidRPr="005B0796">
              <w:rPr>
                <w:lang w:eastAsia="en-AU"/>
              </w:rPr>
              <w:t>17.2</w:t>
            </w:r>
          </w:p>
        </w:tc>
        <w:tc>
          <w:tcPr>
            <w:tcW w:w="727" w:type="dxa"/>
            <w:hideMark/>
          </w:tcPr>
          <w:p w:rsidR="00D060FC" w:rsidRPr="005B0796" w:rsidRDefault="00D060FC" w:rsidP="00DE2EDB">
            <w:pPr>
              <w:pStyle w:val="TableText"/>
              <w:jc w:val="right"/>
              <w:rPr>
                <w:lang w:eastAsia="en-AU"/>
              </w:rPr>
            </w:pPr>
            <w:r w:rsidRPr="005B0796">
              <w:rPr>
                <w:lang w:eastAsia="en-AU"/>
              </w:rPr>
              <w:t>12.0, 24.2</w:t>
            </w:r>
          </w:p>
        </w:tc>
      </w:tr>
      <w:tr w:rsidR="00D060FC" w:rsidRPr="005B0796" w:rsidTr="006A04F9">
        <w:trPr>
          <w:cnfStyle w:val="000000100000" w:firstRow="0" w:lastRow="0" w:firstColumn="0" w:lastColumn="0" w:oddVBand="0" w:evenVBand="0" w:oddHBand="1" w:evenHBand="0" w:firstRowFirstColumn="0" w:firstRowLastColumn="0" w:lastRowFirstColumn="0" w:lastRowLastColumn="0"/>
          <w:cantSplit/>
        </w:trPr>
        <w:tc>
          <w:tcPr>
            <w:tcW w:w="1278" w:type="dxa"/>
            <w:noWrap/>
            <w:hideMark/>
          </w:tcPr>
          <w:p w:rsidR="00D060FC" w:rsidRPr="005B0796" w:rsidRDefault="00D060FC" w:rsidP="00DE2EDB">
            <w:pPr>
              <w:pStyle w:val="TableText"/>
              <w:rPr>
                <w:lang w:eastAsia="en-AU"/>
              </w:rPr>
            </w:pPr>
            <w:r w:rsidRPr="005B0796">
              <w:rPr>
                <w:lang w:eastAsia="en-AU"/>
              </w:rPr>
              <w:t>Any anxiety disorder</w:t>
            </w:r>
            <w:r w:rsidRPr="005B0796">
              <w:rPr>
                <w:vertAlign w:val="superscript"/>
                <w:lang w:eastAsia="en-AU"/>
              </w:rPr>
              <w:t>f</w:t>
            </w:r>
          </w:p>
        </w:tc>
        <w:tc>
          <w:tcPr>
            <w:tcW w:w="810" w:type="dxa"/>
            <w:noWrap/>
            <w:hideMark/>
          </w:tcPr>
          <w:p w:rsidR="00D060FC" w:rsidRPr="005B0796" w:rsidRDefault="00D060FC" w:rsidP="00DE2EDB">
            <w:pPr>
              <w:pStyle w:val="TableText"/>
              <w:jc w:val="right"/>
              <w:rPr>
                <w:lang w:eastAsia="en-AU"/>
              </w:rPr>
            </w:pPr>
            <w:r w:rsidRPr="005B0796">
              <w:rPr>
                <w:lang w:eastAsia="en-AU"/>
              </w:rPr>
              <w:t>1203</w:t>
            </w:r>
          </w:p>
        </w:tc>
        <w:tc>
          <w:tcPr>
            <w:tcW w:w="450" w:type="dxa"/>
            <w:hideMark/>
          </w:tcPr>
          <w:p w:rsidR="00D060FC" w:rsidRPr="005B0796" w:rsidRDefault="00D060FC" w:rsidP="00DE2EDB">
            <w:pPr>
              <w:pStyle w:val="TableText"/>
              <w:jc w:val="right"/>
              <w:rPr>
                <w:lang w:eastAsia="en-AU"/>
              </w:rPr>
            </w:pPr>
            <w:r w:rsidRPr="005B0796">
              <w:rPr>
                <w:lang w:eastAsia="en-AU"/>
              </w:rPr>
              <w:t>29.6</w:t>
            </w:r>
          </w:p>
        </w:tc>
        <w:tc>
          <w:tcPr>
            <w:tcW w:w="752" w:type="dxa"/>
            <w:hideMark/>
          </w:tcPr>
          <w:p w:rsidR="00D060FC" w:rsidRPr="005B0796" w:rsidRDefault="00D060FC" w:rsidP="00DE2EDB">
            <w:pPr>
              <w:pStyle w:val="TableText"/>
              <w:jc w:val="right"/>
              <w:rPr>
                <w:lang w:eastAsia="en-AU"/>
              </w:rPr>
            </w:pPr>
            <w:r w:rsidRPr="005B0796">
              <w:rPr>
                <w:lang w:eastAsia="en-AU"/>
              </w:rPr>
              <w:t>25.0, 34.6</w:t>
            </w:r>
          </w:p>
        </w:tc>
        <w:tc>
          <w:tcPr>
            <w:tcW w:w="778" w:type="dxa"/>
            <w:noWrap/>
            <w:hideMark/>
          </w:tcPr>
          <w:p w:rsidR="00D060FC" w:rsidRPr="005B0796" w:rsidRDefault="00D060FC" w:rsidP="00DE2EDB">
            <w:pPr>
              <w:pStyle w:val="TableText"/>
              <w:jc w:val="right"/>
              <w:rPr>
                <w:lang w:eastAsia="en-AU"/>
              </w:rPr>
            </w:pPr>
            <w:r w:rsidRPr="005B0796">
              <w:rPr>
                <w:lang w:eastAsia="en-AU"/>
              </w:rPr>
              <w:t>3181</w:t>
            </w:r>
          </w:p>
        </w:tc>
        <w:tc>
          <w:tcPr>
            <w:tcW w:w="450" w:type="dxa"/>
            <w:hideMark/>
          </w:tcPr>
          <w:p w:rsidR="00D060FC" w:rsidRPr="005B0796" w:rsidRDefault="00D060FC" w:rsidP="00DE2EDB">
            <w:pPr>
              <w:pStyle w:val="TableText"/>
              <w:jc w:val="right"/>
              <w:rPr>
                <w:lang w:eastAsia="en-AU"/>
              </w:rPr>
            </w:pPr>
            <w:r w:rsidRPr="005B0796">
              <w:rPr>
                <w:lang w:eastAsia="en-AU"/>
              </w:rPr>
              <w:t>40.5</w:t>
            </w:r>
          </w:p>
        </w:tc>
        <w:tc>
          <w:tcPr>
            <w:tcW w:w="784" w:type="dxa"/>
            <w:hideMark/>
          </w:tcPr>
          <w:p w:rsidR="00D060FC" w:rsidRPr="005B0796" w:rsidRDefault="00D060FC" w:rsidP="00DE2EDB">
            <w:pPr>
              <w:pStyle w:val="TableText"/>
              <w:jc w:val="right"/>
              <w:rPr>
                <w:lang w:eastAsia="en-AU"/>
              </w:rPr>
            </w:pPr>
            <w:r w:rsidRPr="005B0796">
              <w:rPr>
                <w:lang w:eastAsia="en-AU"/>
              </w:rPr>
              <w:t>36.3, 44.8</w:t>
            </w:r>
          </w:p>
        </w:tc>
        <w:tc>
          <w:tcPr>
            <w:tcW w:w="746" w:type="dxa"/>
            <w:noWrap/>
            <w:hideMark/>
          </w:tcPr>
          <w:p w:rsidR="00D060FC" w:rsidRPr="005B0796" w:rsidRDefault="00D060FC" w:rsidP="00DE2EDB">
            <w:pPr>
              <w:pStyle w:val="TableText"/>
              <w:jc w:val="right"/>
              <w:rPr>
                <w:lang w:eastAsia="en-AU"/>
              </w:rPr>
            </w:pPr>
            <w:r w:rsidRPr="005B0796">
              <w:rPr>
                <w:lang w:eastAsia="en-AU"/>
              </w:rPr>
              <w:t>4848</w:t>
            </w:r>
          </w:p>
        </w:tc>
        <w:tc>
          <w:tcPr>
            <w:tcW w:w="540" w:type="dxa"/>
            <w:hideMark/>
          </w:tcPr>
          <w:p w:rsidR="00D060FC" w:rsidRPr="005B0796" w:rsidRDefault="00D060FC" w:rsidP="00DE2EDB">
            <w:pPr>
              <w:pStyle w:val="TableText"/>
              <w:jc w:val="right"/>
              <w:rPr>
                <w:lang w:eastAsia="en-AU"/>
              </w:rPr>
            </w:pPr>
            <w:r w:rsidRPr="005B0796">
              <w:rPr>
                <w:lang w:eastAsia="en-AU"/>
              </w:rPr>
              <w:t>37.3</w:t>
            </w:r>
          </w:p>
        </w:tc>
        <w:tc>
          <w:tcPr>
            <w:tcW w:w="727" w:type="dxa"/>
            <w:hideMark/>
          </w:tcPr>
          <w:p w:rsidR="00D060FC" w:rsidRPr="005B0796" w:rsidRDefault="00D060FC" w:rsidP="00DE2EDB">
            <w:pPr>
              <w:pStyle w:val="TableText"/>
              <w:jc w:val="right"/>
              <w:rPr>
                <w:lang w:eastAsia="en-AU"/>
              </w:rPr>
            </w:pPr>
            <w:r w:rsidRPr="005B0796">
              <w:rPr>
                <w:lang w:eastAsia="en-AU"/>
              </w:rPr>
              <w:t>29.5, 45.8</w:t>
            </w:r>
          </w:p>
        </w:tc>
      </w:tr>
    </w:tbl>
    <w:p w:rsidR="00EF53A1" w:rsidRPr="005B0796" w:rsidRDefault="00EF53A1" w:rsidP="00EF53A1">
      <w:pPr>
        <w:pStyle w:val="TableNotes"/>
      </w:pPr>
      <w:bookmarkStart w:id="402" w:name="_Ref484521214"/>
      <w:bookmarkStart w:id="403" w:name="_Toc482023829"/>
      <w:bookmarkStart w:id="404" w:name="_Toc487014353"/>
      <w:r w:rsidRPr="005B0796">
        <w:rPr>
          <w:vertAlign w:val="superscript"/>
        </w:rPr>
        <w:t>a</w:t>
      </w:r>
      <w:r w:rsidRPr="005B0796">
        <w:t xml:space="preserve"> NCO vs OFFR: OR </w:t>
      </w:r>
      <w:r w:rsidRPr="005B0796">
        <w:rPr>
          <w:lang w:eastAsia="en-AU"/>
        </w:rPr>
        <w:t>1.7, 95% CI 1.1, 2.6</w:t>
      </w:r>
    </w:p>
    <w:p w:rsidR="00EF53A1" w:rsidRPr="005B0796" w:rsidRDefault="00EF53A1" w:rsidP="00EF53A1">
      <w:pPr>
        <w:pStyle w:val="TableNotes"/>
      </w:pPr>
      <w:r w:rsidRPr="005B0796">
        <w:rPr>
          <w:vertAlign w:val="superscript"/>
        </w:rPr>
        <w:t>b</w:t>
      </w:r>
      <w:r w:rsidRPr="005B0796">
        <w:t xml:space="preserve"> NCO vs OFFR: OR 2.6, 95% CI 1.5, 4.4</w:t>
      </w:r>
    </w:p>
    <w:p w:rsidR="00EF53A1" w:rsidRPr="005B0796" w:rsidRDefault="00EF53A1" w:rsidP="00EF53A1">
      <w:pPr>
        <w:pStyle w:val="TableNotes"/>
      </w:pPr>
      <w:r w:rsidRPr="005B0796">
        <w:rPr>
          <w:vertAlign w:val="superscript"/>
        </w:rPr>
        <w:t>c</w:t>
      </w:r>
      <w:r w:rsidRPr="005B0796">
        <w:t xml:space="preserve"> NCO vs OFFR: OR 1.9, 95% CI 1.1, 3.3</w:t>
      </w:r>
    </w:p>
    <w:p w:rsidR="00EF53A1" w:rsidRPr="005B0796" w:rsidRDefault="00EF53A1" w:rsidP="00EF53A1">
      <w:pPr>
        <w:pStyle w:val="TableNotes"/>
      </w:pPr>
      <w:r w:rsidRPr="005B0796">
        <w:rPr>
          <w:vertAlign w:val="superscript"/>
        </w:rPr>
        <w:t>d</w:t>
      </w:r>
      <w:r w:rsidRPr="005B0796">
        <w:t xml:space="preserve"> NCO vs OFFR: OR 2.3, 95% CI 1.0, 5.4</w:t>
      </w:r>
    </w:p>
    <w:p w:rsidR="00EF53A1" w:rsidRPr="005B0796" w:rsidRDefault="00EF53A1" w:rsidP="00EF53A1">
      <w:pPr>
        <w:pStyle w:val="TableNotes"/>
      </w:pPr>
      <w:r w:rsidRPr="005B0796">
        <w:rPr>
          <w:vertAlign w:val="superscript"/>
        </w:rPr>
        <w:t xml:space="preserve">e </w:t>
      </w:r>
      <w:r w:rsidRPr="005B0796">
        <w:t>NCO vs OFFR: OR 1.5, 95% CI 1.0, 2.1</w:t>
      </w:r>
    </w:p>
    <w:p w:rsidR="00EF53A1" w:rsidRPr="005B0796" w:rsidRDefault="00EF53A1" w:rsidP="00EF53A1">
      <w:pPr>
        <w:pStyle w:val="TableNotes"/>
      </w:pPr>
      <w:r w:rsidRPr="005B0796">
        <w:rPr>
          <w:vertAlign w:val="superscript"/>
        </w:rPr>
        <w:t xml:space="preserve">f </w:t>
      </w:r>
      <w:r w:rsidRPr="005B0796">
        <w:t xml:space="preserve">NCO vs OFFR: OR 1.6, 95% CI 1.2, 2.2 </w:t>
      </w:r>
    </w:p>
    <w:p w:rsidR="00EF53A1" w:rsidRPr="005B0796" w:rsidRDefault="00EF53A1" w:rsidP="00EF53A1">
      <w:pPr>
        <w:pStyle w:val="TableNotes"/>
      </w:pPr>
      <w:r w:rsidRPr="005B0796">
        <w:rPr>
          <w:rFonts w:cs="Calibri"/>
        </w:rPr>
        <w:t xml:space="preserve">Note: 95% CI: 95% </w:t>
      </w:r>
      <w:r w:rsidR="00564689" w:rsidRPr="005B0796">
        <w:rPr>
          <w:rFonts w:cs="Calibri"/>
        </w:rPr>
        <w:t>confidence interval</w:t>
      </w:r>
    </w:p>
    <w:p w:rsidR="00D060FC" w:rsidRPr="005B0796" w:rsidRDefault="00EF53A1" w:rsidP="00EF53A1">
      <w:pPr>
        <w:pStyle w:val="FigureName"/>
      </w:pPr>
      <w:bookmarkStart w:id="405" w:name="_Ref494275995"/>
      <w:bookmarkStart w:id="406" w:name="_Toc51190052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5</w:t>
      </w:r>
      <w:r w:rsidR="00D30A3C">
        <w:rPr>
          <w:noProof/>
        </w:rPr>
        <w:fldChar w:fldCharType="end"/>
      </w:r>
      <w:bookmarkEnd w:id="402"/>
      <w:bookmarkEnd w:id="405"/>
      <w:r w:rsidRPr="005B0796">
        <w:tab/>
        <w:t>Estimated prevalence of 12-month ICD-10 anxiety disorders in Transitioned ADF members, by anxiety disorder type and rank at transition</w:t>
      </w:r>
      <w:bookmarkEnd w:id="403"/>
      <w:bookmarkEnd w:id="404"/>
      <w:bookmarkEnd w:id="406"/>
    </w:p>
    <w:tbl>
      <w:tblPr>
        <w:tblW w:w="0" w:type="auto"/>
        <w:tblLook w:val="04A0" w:firstRow="1" w:lastRow="0" w:firstColumn="1" w:lastColumn="0" w:noHBand="0" w:noVBand="1"/>
      </w:tblPr>
      <w:tblGrid>
        <w:gridCol w:w="7315"/>
      </w:tblGrid>
      <w:tr w:rsidR="00D060FC" w:rsidRPr="005B0796" w:rsidTr="00EF53A1">
        <w:tc>
          <w:tcPr>
            <w:tcW w:w="7315" w:type="dxa"/>
          </w:tcPr>
          <w:p w:rsidR="00D060FC" w:rsidRPr="005B0796" w:rsidRDefault="00D060FC" w:rsidP="006A04F9">
            <w:pPr>
              <w:keepNext/>
            </w:pPr>
            <w:r w:rsidRPr="005B0796">
              <w:rPr>
                <w:noProof/>
                <w:lang w:eastAsia="en-AU"/>
              </w:rPr>
              <w:drawing>
                <wp:inline distT="0" distB="0" distL="0" distR="0" wp14:anchorId="4E63F300" wp14:editId="6B6E2808">
                  <wp:extent cx="4572000" cy="3028950"/>
                  <wp:effectExtent l="0" t="0" r="0" b="0"/>
                  <wp:docPr id="37" name="Chart 37" descr="Figure 4.5 Estimated prevalence of 12-month ICD-10 anxiety disorders in Transitioned ADF members, by anxiety disorder type and rank at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EF53A1" w:rsidRPr="005B0796" w:rsidRDefault="00EF53A1" w:rsidP="00EF53A1">
      <w:pPr>
        <w:pStyle w:val="TableNotes"/>
      </w:pPr>
      <w:r w:rsidRPr="005B0796">
        <w:t xml:space="preserve">Panic attacks: NCO vs OFFR: OR </w:t>
      </w:r>
      <w:r w:rsidRPr="005B0796">
        <w:rPr>
          <w:rFonts w:eastAsia="Times New Roman"/>
          <w:bCs/>
          <w:lang w:eastAsia="en-AU"/>
        </w:rPr>
        <w:t>1.7, 95% CI 1.1, 2.6</w:t>
      </w:r>
    </w:p>
    <w:p w:rsidR="00EF53A1" w:rsidRPr="005B0796" w:rsidRDefault="00EF53A1" w:rsidP="00EF53A1">
      <w:pPr>
        <w:pStyle w:val="TableNotes"/>
      </w:pPr>
      <w:r w:rsidRPr="005B0796">
        <w:t>Agoraphobia: NCO vs OFFR: OR 2.6, 95% CI 1.5, 4.4</w:t>
      </w:r>
    </w:p>
    <w:p w:rsidR="00EF53A1" w:rsidRPr="005B0796" w:rsidRDefault="00EF53A1" w:rsidP="00EF53A1">
      <w:pPr>
        <w:pStyle w:val="TableNotes"/>
      </w:pPr>
      <w:r w:rsidRPr="005B0796">
        <w:t>Social phobia: NCO vs OFFR: OR 1.9, 95% CI 1.1, 3.3</w:t>
      </w:r>
    </w:p>
    <w:p w:rsidR="00EF53A1" w:rsidRPr="005B0796" w:rsidRDefault="00EF53A1" w:rsidP="00EF53A1">
      <w:pPr>
        <w:pStyle w:val="TableNotes"/>
      </w:pPr>
      <w:r w:rsidRPr="005B0796">
        <w:t>Obsessive-compulsive disorder: NCO vs OFFR: OR 2.3, 95% CI 1.0, 5.4</w:t>
      </w:r>
    </w:p>
    <w:p w:rsidR="00EF53A1" w:rsidRPr="005B0796" w:rsidRDefault="00EF53A1" w:rsidP="00EF53A1">
      <w:pPr>
        <w:pStyle w:val="TableNotes"/>
      </w:pPr>
      <w:r w:rsidRPr="005B0796">
        <w:t>PTSD: NCO vs OFFR: OR 1.5, 95% CI 1.0, 2.1</w:t>
      </w:r>
    </w:p>
    <w:p w:rsidR="00EF53A1" w:rsidRPr="005B0796" w:rsidRDefault="00EF53A1" w:rsidP="00EF53A1">
      <w:pPr>
        <w:pStyle w:val="TableNotes"/>
      </w:pPr>
      <w:r w:rsidRPr="005B0796">
        <w:t xml:space="preserve">Any anxiety disorder: NCO vs OFFR: OR 1.6, 95% CI 1.2, 2.2 </w:t>
      </w:r>
    </w:p>
    <w:p w:rsidR="00D060FC" w:rsidRPr="005B0796" w:rsidRDefault="00D060FC" w:rsidP="0042191E">
      <w:pPr>
        <w:pStyle w:val="Heading4"/>
      </w:pPr>
      <w:r w:rsidRPr="005B0796">
        <w:t>Deployment</w:t>
      </w:r>
    </w:p>
    <w:p w:rsidR="00D060FC" w:rsidRPr="005B0796" w:rsidRDefault="00D060FC" w:rsidP="0042191E">
      <w:pPr>
        <w:rPr>
          <w:color w:val="000000" w:themeColor="text1"/>
        </w:rPr>
      </w:pPr>
      <w:r w:rsidRPr="005B0796">
        <w:t>When the effects of deployment were examined (</w:t>
      </w:r>
      <w:r w:rsidR="009E72D3" w:rsidRPr="005B0796">
        <w:t>Table 4.9</w:t>
      </w:r>
      <w:r w:rsidR="008B6918" w:rsidRPr="005B0796">
        <w:t xml:space="preserve"> and </w:t>
      </w:r>
      <w:r w:rsidR="009E72D3" w:rsidRPr="005B0796">
        <w:t>Figure 4.6</w:t>
      </w:r>
      <w:r w:rsidRPr="005B0796">
        <w:t xml:space="preserve">), Transitioned ADF members who had ever been deployed were more likely to meet criteria for </w:t>
      </w:r>
      <w:r w:rsidR="00462A0C" w:rsidRPr="005B0796">
        <w:t>‘</w:t>
      </w:r>
      <w:r w:rsidRPr="005B0796">
        <w:t>any anxiety disorder</w:t>
      </w:r>
      <w:r w:rsidR="00462A0C" w:rsidRPr="005B0796">
        <w:t>’</w:t>
      </w:r>
      <w:r w:rsidRPr="005B0796">
        <w:t xml:space="preserve"> than those who had never been </w:t>
      </w:r>
      <w:r w:rsidRPr="005B0796">
        <w:rPr>
          <w:color w:val="000000" w:themeColor="text1"/>
        </w:rPr>
        <w:t xml:space="preserve">deployed (OR 2.0, 95% CI 1.0, 3.8). Similarly, although a pattern showed that Transitioned ADF members who had ever been deployed were more likely to meet criteria for all individual anxiety disorders, OCD and PTSD were significantly more prevalent in the </w:t>
      </w:r>
      <w:bookmarkStart w:id="407" w:name="_Hlk490735043"/>
      <w:r w:rsidR="00462A0C" w:rsidRPr="005B0796">
        <w:rPr>
          <w:color w:val="000000" w:themeColor="text1"/>
        </w:rPr>
        <w:t>‘</w:t>
      </w:r>
      <w:r w:rsidRPr="005B0796">
        <w:rPr>
          <w:color w:val="000000" w:themeColor="text1"/>
        </w:rPr>
        <w:t>ever deployed</w:t>
      </w:r>
      <w:r w:rsidR="00462A0C" w:rsidRPr="005B0796">
        <w:rPr>
          <w:color w:val="000000" w:themeColor="text1"/>
        </w:rPr>
        <w:t>’</w:t>
      </w:r>
      <w:r w:rsidRPr="005B0796">
        <w:rPr>
          <w:color w:val="000000" w:themeColor="text1"/>
        </w:rPr>
        <w:t xml:space="preserve"> versus the </w:t>
      </w:r>
      <w:r w:rsidR="00462A0C" w:rsidRPr="005B0796">
        <w:rPr>
          <w:color w:val="000000" w:themeColor="text1"/>
        </w:rPr>
        <w:t>‘</w:t>
      </w:r>
      <w:r w:rsidRPr="005B0796">
        <w:rPr>
          <w:color w:val="000000" w:themeColor="text1"/>
        </w:rPr>
        <w:t>never deployed</w:t>
      </w:r>
      <w:r w:rsidR="00462A0C" w:rsidRPr="005B0796">
        <w:rPr>
          <w:color w:val="000000" w:themeColor="text1"/>
        </w:rPr>
        <w:t>’</w:t>
      </w:r>
      <w:r w:rsidRPr="005B0796">
        <w:rPr>
          <w:color w:val="000000" w:themeColor="text1"/>
        </w:rPr>
        <w:t xml:space="preserve"> group</w:t>
      </w:r>
      <w:bookmarkEnd w:id="407"/>
      <w:r w:rsidRPr="005B0796">
        <w:rPr>
          <w:color w:val="000000" w:themeColor="text1"/>
        </w:rPr>
        <w:t>. Those who had ever been deployed were over 12 times more likely to meet criteria for OCD (OR 12.9, 95% CI 2.7, 62.5) and over seven times more likely to meet criteria for PTSD (OR 7.5, 95% CI 2.6, 21.1) compared to those who had never been deployed. The wide confidence interval for the estimate for OCD in particular should be noted, and this result interpreted with caution.</w:t>
      </w:r>
    </w:p>
    <w:p w:rsidR="00EF53A1" w:rsidRPr="005B0796" w:rsidRDefault="00EF53A1" w:rsidP="00EF53A1">
      <w:pPr>
        <w:pStyle w:val="TableName"/>
        <w:rPr>
          <w:color w:val="000000" w:themeColor="text1"/>
        </w:rPr>
      </w:pPr>
      <w:bookmarkStart w:id="408" w:name="_Ref494276079"/>
      <w:bookmarkStart w:id="409" w:name="_Toc492995563"/>
      <w:bookmarkStart w:id="410" w:name="_Toc51190041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9</w:t>
      </w:r>
      <w:r w:rsidR="00D30A3C">
        <w:rPr>
          <w:noProof/>
        </w:rPr>
        <w:fldChar w:fldCharType="end"/>
      </w:r>
      <w:bookmarkEnd w:id="408"/>
      <w:r w:rsidRPr="005B0796">
        <w:tab/>
        <w:t>Estimated prevalence of 12-month ICD-10 anxiety disorders in the ADF</w:t>
      </w:r>
      <w:r w:rsidR="00F6614D">
        <w:t>,</w:t>
      </w:r>
      <w:r w:rsidRPr="005B0796">
        <w:t xml:space="preserve"> by anxiety disorder type and deployment status</w:t>
      </w:r>
      <w:bookmarkEnd w:id="409"/>
      <w:bookmarkEnd w:id="410"/>
    </w:p>
    <w:tbl>
      <w:tblPr>
        <w:tblStyle w:val="TWRPTable"/>
        <w:tblW w:w="5000" w:type="pct"/>
        <w:tblLayout w:type="fixed"/>
        <w:tblLook w:val="04A0" w:firstRow="1" w:lastRow="0" w:firstColumn="1" w:lastColumn="0" w:noHBand="0" w:noVBand="1"/>
        <w:tblDescription w:val="Table 4.9 Estimated prevalence of 12-month ICD-10 anxiety disorders in the ADF by anxiety disorder type and deployment status"/>
      </w:tblPr>
      <w:tblGrid>
        <w:gridCol w:w="2268"/>
        <w:gridCol w:w="841"/>
        <w:gridCol w:w="841"/>
        <w:gridCol w:w="841"/>
        <w:gridCol w:w="841"/>
        <w:gridCol w:w="841"/>
        <w:gridCol w:w="842"/>
      </w:tblGrid>
      <w:tr w:rsidR="0042191E" w:rsidRPr="005B0796" w:rsidTr="0042191E">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rsidR="0042191E" w:rsidRPr="005B0796" w:rsidRDefault="0042191E" w:rsidP="0042191E">
            <w:pPr>
              <w:pStyle w:val="TableText"/>
              <w:rPr>
                <w:rFonts w:eastAsia="Times New Roman"/>
                <w:i/>
              </w:rPr>
            </w:pPr>
            <w:r w:rsidRPr="005B0796">
              <w:rPr>
                <w:lang w:eastAsia="en-AU"/>
              </w:rPr>
              <w:t>ICD-10 anxiety disorder</w:t>
            </w:r>
          </w:p>
        </w:tc>
        <w:tc>
          <w:tcPr>
            <w:tcW w:w="5047" w:type="dxa"/>
            <w:gridSpan w:val="6"/>
            <w:hideMark/>
          </w:tcPr>
          <w:p w:rsidR="0042191E" w:rsidRPr="005B0796" w:rsidRDefault="0042191E" w:rsidP="0042191E">
            <w:pPr>
              <w:pStyle w:val="TableText"/>
              <w:jc w:val="center"/>
              <w:rPr>
                <w:lang w:eastAsia="en-AU"/>
              </w:rPr>
            </w:pPr>
            <w:r w:rsidRPr="005B0796">
              <w:rPr>
                <w:lang w:eastAsia="en-AU"/>
              </w:rPr>
              <w:t>Deployment status</w:t>
            </w:r>
          </w:p>
        </w:tc>
      </w:tr>
      <w:tr w:rsidR="0042191E" w:rsidRPr="005B0796" w:rsidTr="0042191E">
        <w:trPr>
          <w:cnfStyle w:val="100000000000" w:firstRow="1" w:lastRow="0" w:firstColumn="0" w:lastColumn="0" w:oddVBand="0" w:evenVBand="0" w:oddHBand="0" w:evenHBand="0" w:firstRowFirstColumn="0" w:firstRowLastColumn="0" w:lastRowFirstColumn="0" w:lastRowLastColumn="0"/>
          <w:tblHeader/>
        </w:trPr>
        <w:tc>
          <w:tcPr>
            <w:tcW w:w="2268" w:type="dxa"/>
            <w:vMerge/>
            <w:hideMark/>
          </w:tcPr>
          <w:p w:rsidR="0042191E" w:rsidRPr="005B0796" w:rsidRDefault="0042191E" w:rsidP="0042191E">
            <w:pPr>
              <w:pStyle w:val="TableText"/>
              <w:rPr>
                <w:rFonts w:eastAsia="Times New Roman"/>
                <w:i/>
              </w:rPr>
            </w:pPr>
          </w:p>
        </w:tc>
        <w:tc>
          <w:tcPr>
            <w:tcW w:w="2523" w:type="dxa"/>
            <w:gridSpan w:val="3"/>
            <w:hideMark/>
          </w:tcPr>
          <w:p w:rsidR="0042191E" w:rsidRPr="005B0796" w:rsidRDefault="0042191E" w:rsidP="0042191E">
            <w:pPr>
              <w:pStyle w:val="TableText"/>
              <w:jc w:val="center"/>
              <w:rPr>
                <w:lang w:eastAsia="en-AU"/>
              </w:rPr>
            </w:pPr>
            <w:r w:rsidRPr="005B0796">
              <w:rPr>
                <w:lang w:eastAsia="en-AU"/>
              </w:rPr>
              <w:t>Ever deployed (n = 20,087)</w:t>
            </w:r>
          </w:p>
        </w:tc>
        <w:tc>
          <w:tcPr>
            <w:tcW w:w="2524" w:type="dxa"/>
            <w:gridSpan w:val="3"/>
            <w:hideMark/>
          </w:tcPr>
          <w:p w:rsidR="0042191E" w:rsidRPr="005B0796" w:rsidRDefault="0042191E" w:rsidP="0042191E">
            <w:pPr>
              <w:pStyle w:val="TableText"/>
              <w:jc w:val="center"/>
              <w:rPr>
                <w:lang w:eastAsia="en-AU"/>
              </w:rPr>
            </w:pPr>
            <w:r w:rsidRPr="005B0796">
              <w:rPr>
                <w:lang w:eastAsia="en-AU"/>
              </w:rPr>
              <w:t>Never deployed (n = 4885)</w:t>
            </w:r>
          </w:p>
        </w:tc>
      </w:tr>
      <w:tr w:rsidR="0042191E" w:rsidRPr="005B0796" w:rsidTr="0042191E">
        <w:trPr>
          <w:cnfStyle w:val="100000000000" w:firstRow="1" w:lastRow="0" w:firstColumn="0" w:lastColumn="0" w:oddVBand="0" w:evenVBand="0" w:oddHBand="0" w:evenHBand="0" w:firstRowFirstColumn="0" w:firstRowLastColumn="0" w:lastRowFirstColumn="0" w:lastRowLastColumn="0"/>
          <w:tblHeader/>
        </w:trPr>
        <w:tc>
          <w:tcPr>
            <w:tcW w:w="2268" w:type="dxa"/>
            <w:vMerge/>
          </w:tcPr>
          <w:p w:rsidR="0042191E" w:rsidRPr="005B0796" w:rsidRDefault="0042191E" w:rsidP="0042191E">
            <w:pPr>
              <w:pStyle w:val="TableText"/>
              <w:rPr>
                <w:rFonts w:eastAsia="Times New Roman"/>
                <w:i/>
              </w:rPr>
            </w:pPr>
          </w:p>
        </w:tc>
        <w:tc>
          <w:tcPr>
            <w:tcW w:w="841" w:type="dxa"/>
            <w:hideMark/>
          </w:tcPr>
          <w:p w:rsidR="0042191E" w:rsidRPr="005B0796" w:rsidRDefault="0042191E" w:rsidP="0042191E">
            <w:pPr>
              <w:pStyle w:val="TableText"/>
              <w:jc w:val="right"/>
              <w:rPr>
                <w:rFonts w:eastAsia="Times New Roman"/>
                <w:i/>
              </w:rPr>
            </w:pPr>
            <w:r w:rsidRPr="005B0796">
              <w:rPr>
                <w:lang w:eastAsia="en-AU"/>
              </w:rPr>
              <w:t>Weighted n</w:t>
            </w:r>
          </w:p>
        </w:tc>
        <w:tc>
          <w:tcPr>
            <w:tcW w:w="841" w:type="dxa"/>
            <w:hideMark/>
          </w:tcPr>
          <w:p w:rsidR="0042191E" w:rsidRPr="005B0796" w:rsidRDefault="0042191E" w:rsidP="0042191E">
            <w:pPr>
              <w:pStyle w:val="TableText"/>
              <w:jc w:val="right"/>
              <w:rPr>
                <w:rFonts w:eastAsia="Times New Roman"/>
                <w:i/>
              </w:rPr>
            </w:pPr>
            <w:r w:rsidRPr="005B0796">
              <w:rPr>
                <w:lang w:eastAsia="en-AU"/>
              </w:rPr>
              <w:t>%</w:t>
            </w:r>
          </w:p>
        </w:tc>
        <w:tc>
          <w:tcPr>
            <w:tcW w:w="841" w:type="dxa"/>
            <w:hideMark/>
          </w:tcPr>
          <w:p w:rsidR="0042191E" w:rsidRPr="005B0796" w:rsidRDefault="0042191E" w:rsidP="0042191E">
            <w:pPr>
              <w:pStyle w:val="TableText"/>
              <w:jc w:val="right"/>
              <w:rPr>
                <w:rFonts w:eastAsia="Times New Roman"/>
                <w:i/>
              </w:rPr>
            </w:pPr>
            <w:r w:rsidRPr="005B0796">
              <w:rPr>
                <w:lang w:eastAsia="en-AU"/>
              </w:rPr>
              <w:t>95% CI</w:t>
            </w:r>
          </w:p>
        </w:tc>
        <w:tc>
          <w:tcPr>
            <w:tcW w:w="841" w:type="dxa"/>
            <w:hideMark/>
          </w:tcPr>
          <w:p w:rsidR="0042191E" w:rsidRPr="005B0796" w:rsidRDefault="0042191E" w:rsidP="0042191E">
            <w:pPr>
              <w:pStyle w:val="TableText"/>
              <w:jc w:val="right"/>
              <w:rPr>
                <w:rFonts w:eastAsia="Times New Roman"/>
                <w:i/>
              </w:rPr>
            </w:pPr>
            <w:r w:rsidRPr="005B0796">
              <w:rPr>
                <w:lang w:eastAsia="en-AU"/>
              </w:rPr>
              <w:t>Weighted n</w:t>
            </w:r>
          </w:p>
        </w:tc>
        <w:tc>
          <w:tcPr>
            <w:tcW w:w="841" w:type="dxa"/>
            <w:hideMark/>
          </w:tcPr>
          <w:p w:rsidR="0042191E" w:rsidRPr="005B0796" w:rsidRDefault="0042191E" w:rsidP="0042191E">
            <w:pPr>
              <w:pStyle w:val="TableText"/>
              <w:jc w:val="right"/>
              <w:rPr>
                <w:rFonts w:eastAsia="Times New Roman"/>
                <w:i/>
              </w:rPr>
            </w:pPr>
            <w:r w:rsidRPr="005B0796">
              <w:rPr>
                <w:lang w:eastAsia="en-AU"/>
              </w:rPr>
              <w:t>%</w:t>
            </w:r>
          </w:p>
        </w:tc>
        <w:tc>
          <w:tcPr>
            <w:tcW w:w="842" w:type="dxa"/>
            <w:hideMark/>
          </w:tcPr>
          <w:p w:rsidR="0042191E" w:rsidRPr="005B0796" w:rsidRDefault="0042191E" w:rsidP="0042191E">
            <w:pPr>
              <w:pStyle w:val="TableText"/>
              <w:jc w:val="right"/>
              <w:rPr>
                <w:rFonts w:eastAsia="Times New Roman"/>
                <w:i/>
              </w:rPr>
            </w:pPr>
            <w:r w:rsidRPr="005B0796">
              <w:rPr>
                <w:lang w:eastAsia="en-AU"/>
              </w:rPr>
              <w:t>95% CI</w:t>
            </w:r>
          </w:p>
        </w:tc>
      </w:tr>
      <w:tr w:rsidR="00D060FC" w:rsidRPr="005B0796" w:rsidTr="0042191E">
        <w:trPr>
          <w:cnfStyle w:val="000000100000" w:firstRow="0" w:lastRow="0" w:firstColumn="0" w:lastColumn="0" w:oddVBand="0" w:evenVBand="0" w:oddHBand="1" w:evenHBand="0" w:firstRowFirstColumn="0" w:firstRowLastColumn="0" w:lastRowFirstColumn="0" w:lastRowLastColumn="0"/>
        </w:trPr>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Panic attack</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3133</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16.6</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13.2, 20.8</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788</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14.1</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7.1, 26.0</w:t>
            </w:r>
          </w:p>
        </w:tc>
      </w:tr>
      <w:tr w:rsidR="00D060FC" w:rsidRPr="005B0796" w:rsidTr="0042191E">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Panic disorder</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1044</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5.5</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3.6, 8.3</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282</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5.1</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1.5, 16.1</w:t>
            </w:r>
          </w:p>
        </w:tc>
      </w:tr>
      <w:tr w:rsidR="00D060FC" w:rsidRPr="005B0796" w:rsidTr="0042191E">
        <w:trPr>
          <w:cnfStyle w:val="000000100000" w:firstRow="0" w:lastRow="0" w:firstColumn="0" w:lastColumn="0" w:oddVBand="0" w:evenVBand="0" w:oddHBand="1" w:evenHBand="0" w:firstRowFirstColumn="0" w:firstRowLastColumn="0" w:lastRowFirstColumn="0" w:lastRowLastColumn="0"/>
        </w:trPr>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Agoraphobia</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2400</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12.7</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9.6, 16.7</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518</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9.3</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3.8, 20.9</w:t>
            </w:r>
          </w:p>
        </w:tc>
      </w:tr>
      <w:tr w:rsidR="00D060FC" w:rsidRPr="005B0796" w:rsidTr="0042191E">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Social phobia</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2139</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11.4</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8.3, 15.4</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261</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4.7</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1.4, 14.2</w:t>
            </w:r>
          </w:p>
        </w:tc>
      </w:tr>
      <w:tr w:rsidR="00D060FC" w:rsidRPr="005B0796" w:rsidTr="0042191E">
        <w:trPr>
          <w:cnfStyle w:val="000000100000" w:firstRow="0" w:lastRow="0" w:firstColumn="0" w:lastColumn="0" w:oddVBand="0" w:evenVBand="0" w:oddHBand="1" w:evenHBand="0" w:firstRowFirstColumn="0" w:firstRowLastColumn="0" w:lastRowFirstColumn="0" w:lastRowLastColumn="0"/>
        </w:trPr>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Specific phobia</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1579</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8.4</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6.2, 11.2</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320</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5.7</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2.2, 14.1</w:t>
            </w:r>
          </w:p>
        </w:tc>
      </w:tr>
      <w:tr w:rsidR="00D060FC" w:rsidRPr="005B0796" w:rsidTr="0042191E">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Generalised anxiety disorder</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755</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4.0</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2.4, 6.7</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143</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2.6</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0.4, 13.6</w:t>
            </w:r>
          </w:p>
        </w:tc>
      </w:tr>
      <w:tr w:rsidR="00D060FC" w:rsidRPr="005B0796" w:rsidTr="0042191E">
        <w:trPr>
          <w:cnfStyle w:val="000000100000" w:firstRow="0" w:lastRow="0" w:firstColumn="0" w:lastColumn="0" w:oddVBand="0" w:evenVBand="0" w:oddHBand="1" w:evenHBand="0" w:firstRowFirstColumn="0" w:firstRowLastColumn="0" w:lastRowFirstColumn="0" w:lastRowLastColumn="0"/>
        </w:trPr>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Obsessive-compulsive disorder</w:t>
            </w:r>
            <w:r w:rsidRPr="005B0796">
              <w:rPr>
                <w:color w:val="000000" w:themeColor="text1"/>
                <w:vertAlign w:val="superscript"/>
                <w:lang w:eastAsia="en-AU"/>
              </w:rPr>
              <w:t>a</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951</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5.1</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3.1, 8.2</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34</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0.6</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0.2, 2.4</w:t>
            </w:r>
          </w:p>
        </w:tc>
      </w:tr>
      <w:tr w:rsidR="00D060FC" w:rsidRPr="005B0796" w:rsidTr="0042191E">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Posttraumatic stress disorder</w:t>
            </w:r>
            <w:r w:rsidRPr="005B0796">
              <w:rPr>
                <w:color w:val="000000" w:themeColor="text1"/>
                <w:vertAlign w:val="superscript"/>
                <w:lang w:eastAsia="en-AU"/>
              </w:rPr>
              <w:t>b</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3782</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20.1</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16.2, 24.5</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196</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3.5</w:t>
            </w:r>
          </w:p>
        </w:tc>
        <w:tc>
          <w:tcPr>
            <w:tcW w:w="842"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1.3, 9.0</w:t>
            </w:r>
          </w:p>
        </w:tc>
      </w:tr>
      <w:tr w:rsidR="00D060FC" w:rsidRPr="005B0796" w:rsidTr="0042191E">
        <w:trPr>
          <w:cnfStyle w:val="000000100000" w:firstRow="0" w:lastRow="0" w:firstColumn="0" w:lastColumn="0" w:oddVBand="0" w:evenVBand="0" w:oddHBand="1" w:evenHBand="0" w:firstRowFirstColumn="0" w:firstRowLastColumn="0" w:lastRowFirstColumn="0" w:lastRowLastColumn="0"/>
        </w:trPr>
        <w:tc>
          <w:tcPr>
            <w:tcW w:w="2268" w:type="dxa"/>
            <w:hideMark/>
          </w:tcPr>
          <w:p w:rsidR="00D060FC" w:rsidRPr="005B0796" w:rsidRDefault="00D060FC" w:rsidP="0042191E">
            <w:pPr>
              <w:pStyle w:val="TableText"/>
              <w:rPr>
                <w:rFonts w:eastAsia="Times New Roman"/>
                <w:i/>
                <w:color w:val="000000" w:themeColor="text1"/>
              </w:rPr>
            </w:pPr>
            <w:r w:rsidRPr="005B0796">
              <w:rPr>
                <w:color w:val="000000" w:themeColor="text1"/>
                <w:lang w:eastAsia="en-AU"/>
              </w:rPr>
              <w:t>Any anxiety disorder</w:t>
            </w:r>
            <w:r w:rsidRPr="005B0796">
              <w:rPr>
                <w:color w:val="000000" w:themeColor="text1"/>
                <w:vertAlign w:val="superscript"/>
                <w:lang w:eastAsia="en-AU"/>
              </w:rPr>
              <w:t>c</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7370</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39.1</w:t>
            </w:r>
          </w:p>
        </w:tc>
        <w:tc>
          <w:tcPr>
            <w:tcW w:w="841" w:type="dxa"/>
            <w:hideMark/>
          </w:tcPr>
          <w:p w:rsidR="00D060FC" w:rsidRPr="005B0796" w:rsidRDefault="00D060FC" w:rsidP="0042191E">
            <w:pPr>
              <w:pStyle w:val="TableText"/>
              <w:jc w:val="right"/>
              <w:rPr>
                <w:rFonts w:eastAsia="Times New Roman"/>
                <w:color w:val="000000" w:themeColor="text1"/>
                <w:lang w:eastAsia="en-GB"/>
              </w:rPr>
            </w:pPr>
            <w:r w:rsidRPr="005B0796">
              <w:rPr>
                <w:color w:val="000000" w:themeColor="text1"/>
                <w:lang w:eastAsia="en-GB"/>
              </w:rPr>
              <w:t>34.2, 44.3</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AU"/>
              </w:rPr>
              <w:t>1405</w:t>
            </w:r>
          </w:p>
        </w:tc>
        <w:tc>
          <w:tcPr>
            <w:tcW w:w="841" w:type="dxa"/>
            <w:hideMark/>
          </w:tcPr>
          <w:p w:rsidR="00D060FC" w:rsidRPr="005B0796" w:rsidRDefault="00D060FC" w:rsidP="0042191E">
            <w:pPr>
              <w:pStyle w:val="TableText"/>
              <w:jc w:val="right"/>
              <w:rPr>
                <w:rFonts w:eastAsia="Times New Roman"/>
                <w:color w:val="000000" w:themeColor="text1"/>
                <w:lang w:eastAsia="en-AU"/>
              </w:rPr>
            </w:pPr>
            <w:r w:rsidRPr="005B0796">
              <w:rPr>
                <w:color w:val="000000" w:themeColor="text1"/>
                <w:lang w:eastAsia="en-GB"/>
              </w:rPr>
              <w:t>25.1</w:t>
            </w:r>
          </w:p>
        </w:tc>
        <w:tc>
          <w:tcPr>
            <w:tcW w:w="842" w:type="dxa"/>
            <w:hideMark/>
          </w:tcPr>
          <w:p w:rsidR="00D060FC" w:rsidRPr="005B0796" w:rsidRDefault="00D060FC" w:rsidP="0042191E">
            <w:pPr>
              <w:pStyle w:val="TableText"/>
              <w:jc w:val="right"/>
              <w:rPr>
                <w:rFonts w:eastAsia="Times New Roman"/>
                <w:color w:val="000000" w:themeColor="text1"/>
                <w:lang w:eastAsia="en-GB"/>
              </w:rPr>
            </w:pPr>
            <w:r w:rsidRPr="005B0796">
              <w:rPr>
                <w:color w:val="000000" w:themeColor="text1"/>
                <w:lang w:eastAsia="en-GB"/>
              </w:rPr>
              <w:t>15.7, 37.7</w:t>
            </w:r>
          </w:p>
        </w:tc>
      </w:tr>
    </w:tbl>
    <w:p w:rsidR="00EF53A1" w:rsidRPr="005B0796" w:rsidRDefault="00EF53A1" w:rsidP="00EF53A1">
      <w:pPr>
        <w:pStyle w:val="TableNotes"/>
        <w:rPr>
          <w:rFonts w:cs="Calibri"/>
          <w:bCs/>
        </w:rPr>
      </w:pPr>
      <w:bookmarkStart w:id="411" w:name="_Ref486415440"/>
      <w:bookmarkStart w:id="412" w:name="_Toc487014354"/>
      <w:r w:rsidRPr="005B0796">
        <w:rPr>
          <w:rFonts w:cs="Calibri"/>
          <w:vertAlign w:val="superscript"/>
          <w:lang w:eastAsia="en-AU"/>
        </w:rPr>
        <w:t>a</w:t>
      </w:r>
      <w:r w:rsidRPr="005B0796">
        <w:rPr>
          <w:rFonts w:cs="Calibri"/>
          <w:lang w:eastAsia="en-AU"/>
        </w:rPr>
        <w:t xml:space="preserve"> Ever vs Never: </w:t>
      </w:r>
      <w:r w:rsidRPr="005B0796">
        <w:t>OR 12.9, 95% CI 2.7, 62.5</w:t>
      </w:r>
    </w:p>
    <w:p w:rsidR="00EF53A1" w:rsidRPr="005B0796" w:rsidRDefault="00EF53A1" w:rsidP="00EF53A1">
      <w:pPr>
        <w:pStyle w:val="TableNotes"/>
        <w:rPr>
          <w:rFonts w:cs="Calibri"/>
          <w:bCs/>
        </w:rPr>
      </w:pPr>
      <w:r w:rsidRPr="005B0796">
        <w:rPr>
          <w:rFonts w:cs="Calibri"/>
          <w:vertAlign w:val="superscript"/>
          <w:lang w:eastAsia="en-AU"/>
        </w:rPr>
        <w:t>b</w:t>
      </w:r>
      <w:r w:rsidRPr="005B0796">
        <w:rPr>
          <w:rFonts w:cs="Calibri"/>
          <w:lang w:eastAsia="en-AU"/>
        </w:rPr>
        <w:t xml:space="preserve"> Ever vs Never: </w:t>
      </w:r>
      <w:r w:rsidRPr="005B0796">
        <w:t>OR 7.5, 95% CI 2.6, 21.1</w:t>
      </w:r>
    </w:p>
    <w:p w:rsidR="00EF53A1" w:rsidRPr="005B0796" w:rsidRDefault="00EF53A1" w:rsidP="00EF53A1">
      <w:pPr>
        <w:pStyle w:val="TableNotes"/>
        <w:rPr>
          <w:rFonts w:cs="Calibri"/>
          <w:bCs/>
        </w:rPr>
      </w:pPr>
      <w:r w:rsidRPr="005B0796">
        <w:rPr>
          <w:rFonts w:cs="Calibri"/>
          <w:vertAlign w:val="superscript"/>
          <w:lang w:eastAsia="en-AU"/>
        </w:rPr>
        <w:t>c</w:t>
      </w:r>
      <w:r w:rsidRPr="005B0796">
        <w:rPr>
          <w:rFonts w:cs="Calibri"/>
          <w:lang w:eastAsia="en-AU"/>
        </w:rPr>
        <w:t xml:space="preserve"> Ever vs Never: </w:t>
      </w:r>
      <w:r w:rsidRPr="005B0796">
        <w:t>OR 2.0, 95% CI 1.0, 3.8</w:t>
      </w:r>
    </w:p>
    <w:p w:rsidR="00EF53A1" w:rsidRPr="005B0796" w:rsidRDefault="00EF53A1" w:rsidP="00EF53A1">
      <w:pPr>
        <w:pStyle w:val="TableNotes"/>
        <w:rPr>
          <w:rFonts w:cs="Calibri"/>
          <w:bCs/>
        </w:rPr>
      </w:pPr>
      <w:r w:rsidRPr="005B0796">
        <w:rPr>
          <w:rFonts w:cs="Calibri"/>
          <w:bCs/>
        </w:rPr>
        <w:t xml:space="preserve">Note: 95% CI: 95% </w:t>
      </w:r>
      <w:r w:rsidR="00564689" w:rsidRPr="005B0796">
        <w:rPr>
          <w:rFonts w:cs="Calibri"/>
          <w:bCs/>
        </w:rPr>
        <w:t>confidence interval</w:t>
      </w:r>
    </w:p>
    <w:p w:rsidR="00EF53A1" w:rsidRPr="005B0796" w:rsidRDefault="00EF53A1" w:rsidP="00EF53A1">
      <w:pPr>
        <w:pStyle w:val="FigureName"/>
      </w:pPr>
      <w:bookmarkStart w:id="413" w:name="_Ref494276098"/>
      <w:bookmarkStart w:id="414" w:name="_Toc51190052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6</w:t>
      </w:r>
      <w:r w:rsidR="00D30A3C">
        <w:rPr>
          <w:noProof/>
        </w:rPr>
        <w:fldChar w:fldCharType="end"/>
      </w:r>
      <w:bookmarkEnd w:id="411"/>
      <w:bookmarkEnd w:id="413"/>
      <w:r w:rsidRPr="005B0796">
        <w:tab/>
        <w:t>Estimated prevalence of 12-month ICD-10 anxiety disorders in the ADF</w:t>
      </w:r>
      <w:r w:rsidR="00F6614D">
        <w:t>,</w:t>
      </w:r>
      <w:r w:rsidRPr="005B0796">
        <w:t xml:space="preserve"> by anxiety disorder type and deployment status</w:t>
      </w:r>
      <w:bookmarkEnd w:id="412"/>
      <w:bookmarkEnd w:id="414"/>
    </w:p>
    <w:tbl>
      <w:tblPr>
        <w:tblW w:w="5000" w:type="pct"/>
        <w:tblLayout w:type="fixed"/>
        <w:tblCellMar>
          <w:left w:w="115" w:type="dxa"/>
          <w:right w:w="115" w:type="dxa"/>
        </w:tblCellMar>
        <w:tblLook w:val="04A0" w:firstRow="1" w:lastRow="0" w:firstColumn="1" w:lastColumn="0" w:noHBand="0" w:noVBand="1"/>
      </w:tblPr>
      <w:tblGrid>
        <w:gridCol w:w="7329"/>
      </w:tblGrid>
      <w:tr w:rsidR="00D060FC" w:rsidRPr="005B0796" w:rsidTr="00BD49BF">
        <w:trPr>
          <w:cantSplit/>
        </w:trPr>
        <w:tc>
          <w:tcPr>
            <w:tcW w:w="9639" w:type="dxa"/>
          </w:tcPr>
          <w:p w:rsidR="00D060FC" w:rsidRPr="005B0796" w:rsidRDefault="00D060FC" w:rsidP="00F12D9E">
            <w:pPr>
              <w:keepNext/>
            </w:pPr>
            <w:r w:rsidRPr="005B0796">
              <w:rPr>
                <w:i/>
                <w:noProof/>
                <w:lang w:eastAsia="en-AU"/>
              </w:rPr>
              <w:drawing>
                <wp:inline distT="0" distB="0" distL="0" distR="0" wp14:anchorId="7C029D5C" wp14:editId="0B5BC631">
                  <wp:extent cx="4572000" cy="3248025"/>
                  <wp:effectExtent l="0" t="0" r="0" b="0"/>
                  <wp:docPr id="38" name="Chart 38" descr="Figure 4.6 Estimated prevalence of 12-month ICD-10 anxiety disorders in the ADF by anxiety disorder type and deploy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EF53A1" w:rsidRPr="005B0796" w:rsidRDefault="00EF53A1" w:rsidP="00EF53A1">
      <w:pPr>
        <w:pStyle w:val="TableNotes"/>
      </w:pPr>
      <w:bookmarkStart w:id="415" w:name="_Ref484521305"/>
      <w:bookmarkStart w:id="416" w:name="_Toc482023830"/>
      <w:r w:rsidRPr="005B0796">
        <w:rPr>
          <w:rFonts w:cs="Calibri"/>
          <w:vertAlign w:val="superscript"/>
          <w:lang w:eastAsia="en-AU"/>
        </w:rPr>
        <w:t>a</w:t>
      </w:r>
      <w:r w:rsidRPr="005B0796">
        <w:rPr>
          <w:rFonts w:cs="Calibri"/>
          <w:lang w:eastAsia="en-AU"/>
        </w:rPr>
        <w:t xml:space="preserve"> OCD: </w:t>
      </w:r>
      <w:r w:rsidRPr="005B0796">
        <w:t>OR 12.9, 95% CI 2.7, 62.5</w:t>
      </w:r>
    </w:p>
    <w:p w:rsidR="00EF53A1" w:rsidRPr="005B0796" w:rsidRDefault="00EF53A1" w:rsidP="00EF53A1">
      <w:pPr>
        <w:pStyle w:val="TableNotes"/>
        <w:rPr>
          <w:rFonts w:cs="Calibri"/>
          <w:bCs/>
        </w:rPr>
      </w:pPr>
      <w:r w:rsidRPr="005B0796">
        <w:rPr>
          <w:rFonts w:cs="Calibri"/>
          <w:vertAlign w:val="superscript"/>
          <w:lang w:eastAsia="en-AU"/>
        </w:rPr>
        <w:t xml:space="preserve">b </w:t>
      </w:r>
      <w:r w:rsidRPr="005B0796">
        <w:rPr>
          <w:rFonts w:cs="Calibri"/>
          <w:lang w:eastAsia="en-AU"/>
        </w:rPr>
        <w:t xml:space="preserve">PTSD: </w:t>
      </w:r>
      <w:r w:rsidRPr="005B0796">
        <w:t>OR 7.5, 95% CI 2.6, 21.1</w:t>
      </w:r>
    </w:p>
    <w:p w:rsidR="00EF53A1" w:rsidRPr="005B0796" w:rsidRDefault="00EF53A1" w:rsidP="00EF53A1">
      <w:pPr>
        <w:pStyle w:val="TableNotes"/>
      </w:pPr>
      <w:r w:rsidRPr="005B0796">
        <w:rPr>
          <w:rFonts w:cs="Calibri"/>
          <w:vertAlign w:val="superscript"/>
          <w:lang w:eastAsia="en-AU"/>
        </w:rPr>
        <w:t xml:space="preserve">c </w:t>
      </w:r>
      <w:r w:rsidRPr="005B0796">
        <w:rPr>
          <w:rFonts w:cs="Calibri"/>
          <w:lang w:eastAsia="en-AU"/>
        </w:rPr>
        <w:t xml:space="preserve">Any anxiety disorder: </w:t>
      </w:r>
      <w:r w:rsidRPr="005B0796">
        <w:t>OR 2.0, 95% CI 1.0, 3.8</w:t>
      </w:r>
      <w:bookmarkEnd w:id="415"/>
      <w:bookmarkEnd w:id="416"/>
    </w:p>
    <w:p w:rsidR="00D060FC" w:rsidRPr="005B0796" w:rsidRDefault="00D060FC" w:rsidP="0042191E">
      <w:pPr>
        <w:pStyle w:val="Heading4"/>
      </w:pPr>
      <w:r w:rsidRPr="005B0796">
        <w:t>Years of service</w:t>
      </w:r>
    </w:p>
    <w:p w:rsidR="00D060FC" w:rsidRPr="005B0796" w:rsidRDefault="00D060FC" w:rsidP="00F12D9E">
      <w:r w:rsidRPr="005B0796">
        <w:t xml:space="preserve">When the impact of years of service in the Regular ADF was considered (Table 4.10 and </w:t>
      </w:r>
      <w:r w:rsidR="009E72D3" w:rsidRPr="005B0796">
        <w:t>Figure 4.7</w:t>
      </w:r>
      <w:r w:rsidRPr="005B0796">
        <w:t>), there was an overall trend for estimated rates of 12-month ICD-10 anxiety disorders to decrease with increasing service length, with the highest ra</w:t>
      </w:r>
      <w:r w:rsidR="00F6614D">
        <w:t>tes among those with less than four</w:t>
      </w:r>
      <w:r w:rsidRPr="005B0796">
        <w:t xml:space="preserve"> years of service (41.7%, 95% CI 23.0, 63.2) and the lowest among those with 12–15.9 years of service (25.2%, 95% CI 17.4, 35.2). However, for some conditions, the differences in estimated rates across years of service were more striking. For PTSD, while estimated 12-month prevalence was reasonably evenly distributed among the different lengths of service (as can be seen</w:t>
      </w:r>
      <w:r w:rsidR="00462A0C" w:rsidRPr="005B0796">
        <w:t xml:space="preserve"> </w:t>
      </w:r>
      <w:r w:rsidRPr="005B0796">
        <w:t xml:space="preserve">in Figure 4.7), it was highest among those who had served between </w:t>
      </w:r>
      <w:r w:rsidR="00F6614D">
        <w:t>four</w:t>
      </w:r>
      <w:r w:rsidRPr="005B0796">
        <w:t xml:space="preserve"> and 7.9 years (21.2%, 95% CI 14.2, 30.4). </w:t>
      </w:r>
    </w:p>
    <w:p w:rsidR="00D060FC" w:rsidRPr="005B0796" w:rsidRDefault="00D060FC" w:rsidP="0042191E">
      <w:r w:rsidRPr="005B0796">
        <w:t xml:space="preserve">Interestingly, estimated rates of panic attacks and panic disorder were highest among those who had served for under </w:t>
      </w:r>
      <w:r w:rsidR="00F6614D">
        <w:t>four</w:t>
      </w:r>
      <w:r w:rsidRPr="005B0796">
        <w:t xml:space="preserve"> years (26.7%, 95% CI 11.9, 49.6 and 19.1%, 95% CI 7.0, 42.3 respectively). While there was no statistically significant linear relationship between years of service and estimated rates of 12-month anxiety disorders, when compared against those with between </w:t>
      </w:r>
      <w:r w:rsidR="00F6614D">
        <w:t>four</w:t>
      </w:r>
      <w:r w:rsidRPr="005B0796">
        <w:t xml:space="preserve"> and 7.9 years of service (the largest subpopulation), those with under four years of Regular service were </w:t>
      </w:r>
      <w:r w:rsidR="00F6614D">
        <w:t>five</w:t>
      </w:r>
      <w:r w:rsidRPr="005B0796">
        <w:t xml:space="preserve"> times more likely to meet the criteria for panic disorder (OR 5.3, 95% CI 1.2, 24.4), those with </w:t>
      </w:r>
      <w:r w:rsidR="00F6614D">
        <w:t>eight</w:t>
      </w:r>
      <w:r w:rsidRPr="005B0796">
        <w:t xml:space="preserve"> to 11.9 years of service were 90% less likely to meet the criteria OCD (OR 0.1, 95% CI 0.0, 0.6), and those with between 12 and 15.9 years of service were 60% less likely to meet the criteria for panic attacks (OR 0.4, 95% CI 0.2, 0.9) and 70% less likely to meet the criteria for PTSD (OR 0.3, 95% CI 0.2, 0.7). Those with 16 to 19.9 and more than 20 years of service were also 60% less likely to meet the criteria for PTSD when compared to those with between </w:t>
      </w:r>
      <w:r w:rsidR="00F6614D">
        <w:t>four</w:t>
      </w:r>
      <w:r w:rsidRPr="005B0796">
        <w:t xml:space="preserve"> and 7.9 years of service (OR 0.4., 95% CI 0.2, 0.9 and OR 0.4, 95% CI 0.2, 0.9, respectively).</w:t>
      </w:r>
    </w:p>
    <w:p w:rsidR="00D060FC" w:rsidRPr="005B0796" w:rsidRDefault="00D060FC" w:rsidP="00D060FC"/>
    <w:p w:rsidR="00D060FC" w:rsidRPr="005B0796" w:rsidRDefault="00D060FC" w:rsidP="00D060FC">
      <w:pPr>
        <w:sectPr w:rsidR="00D060FC" w:rsidRPr="005B0796" w:rsidSect="00F776E9">
          <w:footerReference w:type="even" r:id="rId56"/>
          <w:footerReference w:type="default" r:id="rId57"/>
          <w:pgSz w:w="9979" w:h="14170" w:code="243"/>
          <w:pgMar w:top="1440" w:right="1152" w:bottom="1440" w:left="1728" w:header="576" w:footer="576" w:gutter="0"/>
          <w:cols w:space="708"/>
          <w:docGrid w:linePitch="360"/>
        </w:sectPr>
      </w:pPr>
    </w:p>
    <w:p w:rsidR="00D060FC" w:rsidRPr="005B0796" w:rsidRDefault="00D060FC" w:rsidP="00EF53A1">
      <w:pPr>
        <w:pStyle w:val="TableName"/>
      </w:pPr>
      <w:bookmarkStart w:id="417" w:name="_Toc511900413"/>
      <w:bookmarkStart w:id="418" w:name="_Ref484519760"/>
      <w:bookmarkStart w:id="419" w:name="_Toc482023785"/>
      <w:bookmarkStart w:id="420" w:name="_Toc487014261"/>
      <w:bookmarkStart w:id="421" w:name="_Toc49299556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10</w:t>
      </w:r>
      <w:r w:rsidR="00D30A3C">
        <w:rPr>
          <w:noProof/>
        </w:rPr>
        <w:fldChar w:fldCharType="end"/>
      </w:r>
      <w:r w:rsidR="00EF53A1" w:rsidRPr="005B0796">
        <w:tab/>
      </w:r>
      <w:r w:rsidRPr="005B0796">
        <w:t>Estimated prevalence of 12-month ICD-10 anxiety disorders in Transitioned ADF members, by years of service in the Regular ADF</w:t>
      </w:r>
      <w:bookmarkEnd w:id="417"/>
    </w:p>
    <w:tbl>
      <w:tblPr>
        <w:tblStyle w:val="TWRPTable"/>
        <w:tblW w:w="5000" w:type="pct"/>
        <w:tblLayout w:type="fixed"/>
        <w:tblLook w:val="04A0" w:firstRow="1" w:lastRow="0" w:firstColumn="1" w:lastColumn="0" w:noHBand="0" w:noVBand="1"/>
        <w:tblDescription w:val="Table 4.10 Estimated prevalence of 12-month ICD-10 anxiety disorders in Transitioned ADF members, by years of service in the Regular ADF"/>
      </w:tblPr>
      <w:tblGrid>
        <w:gridCol w:w="915"/>
        <w:gridCol w:w="809"/>
        <w:gridCol w:w="452"/>
        <w:gridCol w:w="541"/>
        <w:gridCol w:w="762"/>
        <w:gridCol w:w="481"/>
        <w:gridCol w:w="518"/>
        <w:gridCol w:w="822"/>
        <w:gridCol w:w="481"/>
        <w:gridCol w:w="518"/>
        <w:gridCol w:w="822"/>
        <w:gridCol w:w="481"/>
        <w:gridCol w:w="481"/>
        <w:gridCol w:w="822"/>
        <w:gridCol w:w="382"/>
        <w:gridCol w:w="518"/>
        <w:gridCol w:w="822"/>
        <w:gridCol w:w="398"/>
        <w:gridCol w:w="481"/>
      </w:tblGrid>
      <w:tr w:rsidR="0042191E" w:rsidRPr="005B0796" w:rsidTr="00F6614D">
        <w:trPr>
          <w:cnfStyle w:val="100000000000" w:firstRow="1" w:lastRow="0" w:firstColumn="0" w:lastColumn="0" w:oddVBand="0" w:evenVBand="0" w:oddHBand="0" w:evenHBand="0" w:firstRowFirstColumn="0" w:firstRowLastColumn="0" w:lastRowFirstColumn="0" w:lastRowLastColumn="0"/>
          <w:tblHeader/>
        </w:trPr>
        <w:tc>
          <w:tcPr>
            <w:tcW w:w="398" w:type="pct"/>
            <w:vMerge w:val="restart"/>
            <w:hideMark/>
          </w:tcPr>
          <w:bookmarkEnd w:id="418"/>
          <w:bookmarkEnd w:id="419"/>
          <w:bookmarkEnd w:id="420"/>
          <w:bookmarkEnd w:id="421"/>
          <w:p w:rsidR="0042191E" w:rsidRPr="005B0796" w:rsidRDefault="0042191E" w:rsidP="0042191E">
            <w:pPr>
              <w:pStyle w:val="TableText"/>
            </w:pPr>
            <w:r w:rsidRPr="005B0796">
              <w:t>ICD-10 anxiety disorder</w:t>
            </w:r>
          </w:p>
        </w:tc>
        <w:tc>
          <w:tcPr>
            <w:tcW w:w="4602" w:type="pct"/>
            <w:gridSpan w:val="18"/>
          </w:tcPr>
          <w:p w:rsidR="0042191E" w:rsidRPr="005B0796" w:rsidRDefault="0042191E" w:rsidP="0042191E">
            <w:pPr>
              <w:pStyle w:val="TableText"/>
              <w:jc w:val="center"/>
            </w:pPr>
            <w:r w:rsidRPr="005B0796">
              <w:t>Years of service in Regular ADF</w:t>
            </w:r>
          </w:p>
        </w:tc>
      </w:tr>
      <w:tr w:rsidR="0042191E" w:rsidRPr="005B0796" w:rsidTr="00F6614D">
        <w:trPr>
          <w:cnfStyle w:val="100000000000" w:firstRow="1" w:lastRow="0" w:firstColumn="0" w:lastColumn="0" w:oddVBand="0" w:evenVBand="0" w:oddHBand="0" w:evenHBand="0" w:firstRowFirstColumn="0" w:firstRowLastColumn="0" w:lastRowFirstColumn="0" w:lastRowLastColumn="0"/>
          <w:tblHeader/>
        </w:trPr>
        <w:tc>
          <w:tcPr>
            <w:tcW w:w="398" w:type="pct"/>
            <w:vMerge/>
            <w:hideMark/>
          </w:tcPr>
          <w:p w:rsidR="0042191E" w:rsidRPr="005B0796" w:rsidRDefault="0042191E" w:rsidP="0042191E">
            <w:pPr>
              <w:pStyle w:val="TableText"/>
            </w:pPr>
          </w:p>
        </w:tc>
        <w:tc>
          <w:tcPr>
            <w:tcW w:w="784" w:type="pct"/>
            <w:gridSpan w:val="3"/>
            <w:hideMark/>
          </w:tcPr>
          <w:p w:rsidR="0042191E" w:rsidRPr="005B0796" w:rsidRDefault="0042191E" w:rsidP="0042191E">
            <w:pPr>
              <w:pStyle w:val="TableText"/>
              <w:jc w:val="center"/>
            </w:pPr>
            <w:r w:rsidRPr="005B0796">
              <w:t>3 months – 3.9 years (n = 2413)</w:t>
            </w:r>
          </w:p>
        </w:tc>
        <w:tc>
          <w:tcPr>
            <w:tcW w:w="765" w:type="pct"/>
            <w:gridSpan w:val="3"/>
            <w:hideMark/>
          </w:tcPr>
          <w:p w:rsidR="0042191E" w:rsidRPr="005B0796" w:rsidRDefault="0042191E" w:rsidP="0042191E">
            <w:pPr>
              <w:pStyle w:val="TableText"/>
              <w:jc w:val="center"/>
            </w:pPr>
            <w:r w:rsidRPr="005B0796">
              <w:t>4–7.9 years (n = 9015)</w:t>
            </w:r>
          </w:p>
        </w:tc>
        <w:tc>
          <w:tcPr>
            <w:tcW w:w="791" w:type="pct"/>
            <w:gridSpan w:val="3"/>
            <w:hideMark/>
          </w:tcPr>
          <w:p w:rsidR="0042191E" w:rsidRPr="005B0796" w:rsidRDefault="0042191E" w:rsidP="0042191E">
            <w:pPr>
              <w:pStyle w:val="TableText"/>
              <w:jc w:val="center"/>
            </w:pPr>
            <w:r w:rsidRPr="005B0796">
              <w:t>8–11.9 years (n = 3295)</w:t>
            </w:r>
          </w:p>
        </w:tc>
        <w:tc>
          <w:tcPr>
            <w:tcW w:w="775" w:type="pct"/>
            <w:gridSpan w:val="3"/>
            <w:hideMark/>
          </w:tcPr>
          <w:p w:rsidR="0042191E" w:rsidRPr="005B0796" w:rsidRDefault="0042191E" w:rsidP="0042191E">
            <w:pPr>
              <w:pStyle w:val="TableText"/>
              <w:jc w:val="center"/>
            </w:pPr>
            <w:r w:rsidRPr="005B0796">
              <w:t>12–15.9 years (n = 2086)</w:t>
            </w:r>
          </w:p>
        </w:tc>
        <w:tc>
          <w:tcPr>
            <w:tcW w:w="748" w:type="pct"/>
            <w:gridSpan w:val="3"/>
            <w:hideMark/>
          </w:tcPr>
          <w:p w:rsidR="0042191E" w:rsidRPr="005B0796" w:rsidRDefault="0042191E" w:rsidP="0042191E">
            <w:pPr>
              <w:pStyle w:val="TableText"/>
              <w:jc w:val="center"/>
            </w:pPr>
            <w:r w:rsidRPr="005B0796">
              <w:t>16–19.9 years (n = 967)</w:t>
            </w:r>
          </w:p>
        </w:tc>
        <w:tc>
          <w:tcPr>
            <w:tcW w:w="739" w:type="pct"/>
            <w:gridSpan w:val="3"/>
            <w:hideMark/>
          </w:tcPr>
          <w:p w:rsidR="0042191E" w:rsidRPr="005B0796" w:rsidRDefault="0042191E" w:rsidP="0042191E">
            <w:pPr>
              <w:pStyle w:val="TableText"/>
              <w:jc w:val="center"/>
            </w:pPr>
            <w:r w:rsidRPr="005B0796">
              <w:t>&gt; 20 years (n = 5772)</w:t>
            </w:r>
          </w:p>
        </w:tc>
      </w:tr>
      <w:tr w:rsidR="0042191E" w:rsidRPr="005B0796" w:rsidTr="00F6614D">
        <w:trPr>
          <w:cnfStyle w:val="100000000000" w:firstRow="1" w:lastRow="0" w:firstColumn="0" w:lastColumn="0" w:oddVBand="0" w:evenVBand="0" w:oddHBand="0" w:evenHBand="0" w:firstRowFirstColumn="0" w:firstRowLastColumn="0" w:lastRowFirstColumn="0" w:lastRowLastColumn="0"/>
          <w:tblHeader/>
        </w:trPr>
        <w:tc>
          <w:tcPr>
            <w:tcW w:w="398" w:type="pct"/>
            <w:vMerge/>
          </w:tcPr>
          <w:p w:rsidR="0042191E" w:rsidRPr="005B0796" w:rsidRDefault="0042191E" w:rsidP="0042191E">
            <w:pPr>
              <w:pStyle w:val="TableText"/>
            </w:pPr>
          </w:p>
        </w:tc>
        <w:tc>
          <w:tcPr>
            <w:tcW w:w="352" w:type="pct"/>
            <w:hideMark/>
          </w:tcPr>
          <w:p w:rsidR="0042191E" w:rsidRPr="005B0796" w:rsidRDefault="0084663B" w:rsidP="0042191E">
            <w:pPr>
              <w:pStyle w:val="TableText"/>
              <w:jc w:val="right"/>
            </w:pPr>
            <w:r w:rsidRPr="005B0796">
              <w:t>Weight</w:t>
            </w:r>
            <w:r w:rsidR="0042191E" w:rsidRPr="005B0796">
              <w:t>ed n</w:t>
            </w:r>
          </w:p>
        </w:tc>
        <w:tc>
          <w:tcPr>
            <w:tcW w:w="197" w:type="pct"/>
            <w:hideMark/>
          </w:tcPr>
          <w:p w:rsidR="0042191E" w:rsidRPr="005B0796" w:rsidRDefault="0042191E" w:rsidP="0042191E">
            <w:pPr>
              <w:pStyle w:val="TableText"/>
              <w:jc w:val="right"/>
            </w:pPr>
            <w:r w:rsidRPr="005B0796">
              <w:t>%</w:t>
            </w:r>
          </w:p>
        </w:tc>
        <w:tc>
          <w:tcPr>
            <w:tcW w:w="235" w:type="pct"/>
            <w:hideMark/>
          </w:tcPr>
          <w:p w:rsidR="0042191E" w:rsidRPr="005B0796" w:rsidRDefault="0042191E" w:rsidP="0042191E">
            <w:pPr>
              <w:pStyle w:val="TableText"/>
              <w:jc w:val="right"/>
            </w:pPr>
            <w:r w:rsidRPr="005B0796">
              <w:t>95% CI</w:t>
            </w:r>
          </w:p>
        </w:tc>
        <w:tc>
          <w:tcPr>
            <w:tcW w:w="331" w:type="pct"/>
            <w:hideMark/>
          </w:tcPr>
          <w:p w:rsidR="0042191E" w:rsidRPr="005B0796" w:rsidRDefault="0084663B" w:rsidP="0042191E">
            <w:pPr>
              <w:pStyle w:val="TableText"/>
              <w:jc w:val="right"/>
            </w:pPr>
            <w:r w:rsidRPr="005B0796">
              <w:t>Weight</w:t>
            </w:r>
            <w:r w:rsidR="0042191E" w:rsidRPr="005B0796">
              <w:t>ed n</w:t>
            </w:r>
          </w:p>
        </w:tc>
        <w:tc>
          <w:tcPr>
            <w:tcW w:w="209" w:type="pct"/>
            <w:hideMark/>
          </w:tcPr>
          <w:p w:rsidR="0042191E" w:rsidRPr="005B0796" w:rsidRDefault="0042191E" w:rsidP="0042191E">
            <w:pPr>
              <w:pStyle w:val="TableText"/>
              <w:jc w:val="right"/>
            </w:pPr>
            <w:r w:rsidRPr="005B0796">
              <w:t>%</w:t>
            </w:r>
          </w:p>
        </w:tc>
        <w:tc>
          <w:tcPr>
            <w:tcW w:w="225" w:type="pct"/>
            <w:hideMark/>
          </w:tcPr>
          <w:p w:rsidR="0042191E" w:rsidRPr="005B0796" w:rsidRDefault="0042191E" w:rsidP="0042191E">
            <w:pPr>
              <w:pStyle w:val="TableText"/>
              <w:jc w:val="right"/>
            </w:pPr>
            <w:r w:rsidRPr="005B0796">
              <w:t>95% CI</w:t>
            </w:r>
          </w:p>
        </w:tc>
        <w:tc>
          <w:tcPr>
            <w:tcW w:w="357" w:type="pct"/>
            <w:hideMark/>
          </w:tcPr>
          <w:p w:rsidR="0042191E" w:rsidRPr="005B0796" w:rsidRDefault="0042191E" w:rsidP="0042191E">
            <w:pPr>
              <w:pStyle w:val="TableText"/>
              <w:jc w:val="right"/>
            </w:pPr>
            <w:r w:rsidRPr="005B0796">
              <w:t>Weight</w:t>
            </w:r>
            <w:r w:rsidR="0084663B" w:rsidRPr="005B0796">
              <w:t xml:space="preserve">ed </w:t>
            </w:r>
            <w:r w:rsidRPr="005B0796">
              <w:t>n</w:t>
            </w:r>
          </w:p>
        </w:tc>
        <w:tc>
          <w:tcPr>
            <w:tcW w:w="209" w:type="pct"/>
            <w:hideMark/>
          </w:tcPr>
          <w:p w:rsidR="0042191E" w:rsidRPr="005B0796" w:rsidRDefault="0042191E" w:rsidP="0042191E">
            <w:pPr>
              <w:pStyle w:val="TableText"/>
              <w:jc w:val="right"/>
            </w:pPr>
            <w:r w:rsidRPr="005B0796">
              <w:t>%</w:t>
            </w:r>
          </w:p>
        </w:tc>
        <w:tc>
          <w:tcPr>
            <w:tcW w:w="225" w:type="pct"/>
            <w:hideMark/>
          </w:tcPr>
          <w:p w:rsidR="0042191E" w:rsidRPr="005B0796" w:rsidRDefault="0042191E" w:rsidP="0042191E">
            <w:pPr>
              <w:pStyle w:val="TableText"/>
              <w:jc w:val="right"/>
            </w:pPr>
            <w:r w:rsidRPr="005B0796">
              <w:t>95% CI</w:t>
            </w:r>
          </w:p>
        </w:tc>
        <w:tc>
          <w:tcPr>
            <w:tcW w:w="357" w:type="pct"/>
            <w:hideMark/>
          </w:tcPr>
          <w:p w:rsidR="0042191E" w:rsidRPr="005B0796" w:rsidRDefault="0042191E" w:rsidP="0042191E">
            <w:pPr>
              <w:pStyle w:val="TableText"/>
              <w:jc w:val="right"/>
            </w:pPr>
            <w:r w:rsidRPr="005B0796">
              <w:t>Weighted n</w:t>
            </w:r>
          </w:p>
        </w:tc>
        <w:tc>
          <w:tcPr>
            <w:tcW w:w="209" w:type="pct"/>
            <w:hideMark/>
          </w:tcPr>
          <w:p w:rsidR="0042191E" w:rsidRPr="005B0796" w:rsidRDefault="0042191E" w:rsidP="0042191E">
            <w:pPr>
              <w:pStyle w:val="TableText"/>
              <w:jc w:val="right"/>
            </w:pPr>
            <w:r w:rsidRPr="005B0796">
              <w:t>%</w:t>
            </w:r>
          </w:p>
        </w:tc>
        <w:tc>
          <w:tcPr>
            <w:tcW w:w="209" w:type="pct"/>
            <w:hideMark/>
          </w:tcPr>
          <w:p w:rsidR="0042191E" w:rsidRPr="005B0796" w:rsidRDefault="0042191E" w:rsidP="0042191E">
            <w:pPr>
              <w:pStyle w:val="TableText"/>
              <w:jc w:val="right"/>
            </w:pPr>
            <w:r w:rsidRPr="005B0796">
              <w:t>95% CI</w:t>
            </w:r>
          </w:p>
        </w:tc>
        <w:tc>
          <w:tcPr>
            <w:tcW w:w="357" w:type="pct"/>
            <w:hideMark/>
          </w:tcPr>
          <w:p w:rsidR="0042191E" w:rsidRPr="005B0796" w:rsidRDefault="0042191E" w:rsidP="0042191E">
            <w:pPr>
              <w:pStyle w:val="TableText"/>
              <w:jc w:val="right"/>
            </w:pPr>
            <w:r w:rsidRPr="005B0796">
              <w:t>Weighted n</w:t>
            </w:r>
          </w:p>
        </w:tc>
        <w:tc>
          <w:tcPr>
            <w:tcW w:w="166" w:type="pct"/>
            <w:hideMark/>
          </w:tcPr>
          <w:p w:rsidR="0042191E" w:rsidRPr="005B0796" w:rsidRDefault="0042191E" w:rsidP="0042191E">
            <w:pPr>
              <w:pStyle w:val="TableText"/>
              <w:jc w:val="right"/>
            </w:pPr>
            <w:r w:rsidRPr="005B0796">
              <w:t>%</w:t>
            </w:r>
          </w:p>
        </w:tc>
        <w:tc>
          <w:tcPr>
            <w:tcW w:w="225" w:type="pct"/>
            <w:hideMark/>
          </w:tcPr>
          <w:p w:rsidR="0042191E" w:rsidRPr="005B0796" w:rsidRDefault="0042191E" w:rsidP="0042191E">
            <w:pPr>
              <w:pStyle w:val="TableText"/>
              <w:jc w:val="right"/>
            </w:pPr>
            <w:r w:rsidRPr="005B0796">
              <w:t>95% CI</w:t>
            </w:r>
          </w:p>
        </w:tc>
        <w:tc>
          <w:tcPr>
            <w:tcW w:w="357" w:type="pct"/>
            <w:hideMark/>
          </w:tcPr>
          <w:p w:rsidR="0042191E" w:rsidRPr="005B0796" w:rsidRDefault="0042191E" w:rsidP="0042191E">
            <w:pPr>
              <w:pStyle w:val="TableText"/>
              <w:jc w:val="right"/>
            </w:pPr>
            <w:r w:rsidRPr="005B0796">
              <w:t>Weighted n</w:t>
            </w:r>
          </w:p>
        </w:tc>
        <w:tc>
          <w:tcPr>
            <w:tcW w:w="173" w:type="pct"/>
            <w:hideMark/>
          </w:tcPr>
          <w:p w:rsidR="0042191E" w:rsidRPr="005B0796" w:rsidRDefault="0042191E" w:rsidP="0042191E">
            <w:pPr>
              <w:pStyle w:val="TableText"/>
              <w:jc w:val="right"/>
            </w:pPr>
            <w:r w:rsidRPr="005B0796">
              <w:t>%</w:t>
            </w:r>
          </w:p>
        </w:tc>
        <w:tc>
          <w:tcPr>
            <w:tcW w:w="209" w:type="pct"/>
            <w:hideMark/>
          </w:tcPr>
          <w:p w:rsidR="0042191E" w:rsidRPr="005B0796" w:rsidRDefault="0042191E" w:rsidP="0042191E">
            <w:pPr>
              <w:pStyle w:val="TableText"/>
              <w:jc w:val="right"/>
            </w:pPr>
            <w:r w:rsidRPr="005B0796">
              <w:t>95% CI</w:t>
            </w:r>
          </w:p>
        </w:tc>
      </w:tr>
      <w:tr w:rsidR="0042191E" w:rsidRPr="005B0796" w:rsidTr="00F6614D">
        <w:trPr>
          <w:cnfStyle w:val="000000100000" w:firstRow="0" w:lastRow="0" w:firstColumn="0" w:lastColumn="0" w:oddVBand="0" w:evenVBand="0" w:oddHBand="1" w:evenHBand="0" w:firstRowFirstColumn="0" w:firstRowLastColumn="0" w:lastRowFirstColumn="0" w:lastRowLastColumn="0"/>
        </w:trPr>
        <w:tc>
          <w:tcPr>
            <w:tcW w:w="398" w:type="pct"/>
            <w:hideMark/>
          </w:tcPr>
          <w:p w:rsidR="00D060FC" w:rsidRPr="005B0796" w:rsidRDefault="00D060FC" w:rsidP="0042191E">
            <w:pPr>
              <w:pStyle w:val="TableText"/>
              <w:rPr>
                <w:rFonts w:eastAsia="Times New Roman"/>
                <w:i/>
              </w:rPr>
            </w:pPr>
            <w:r w:rsidRPr="005B0796">
              <w:rPr>
                <w:lang w:eastAsia="en-AU"/>
              </w:rPr>
              <w:t>Panic attack</w:t>
            </w:r>
            <w:r w:rsidRPr="005B0796">
              <w:rPr>
                <w:vertAlign w:val="superscript"/>
                <w:lang w:eastAsia="en-AU"/>
              </w:rPr>
              <w:t>a</w:t>
            </w:r>
          </w:p>
        </w:tc>
        <w:tc>
          <w:tcPr>
            <w:tcW w:w="352" w:type="pct"/>
            <w:hideMark/>
          </w:tcPr>
          <w:p w:rsidR="00D060FC" w:rsidRPr="005B0796" w:rsidRDefault="00D060FC" w:rsidP="0042191E">
            <w:pPr>
              <w:pStyle w:val="TableText"/>
              <w:jc w:val="right"/>
              <w:rPr>
                <w:lang w:eastAsia="en-AU"/>
              </w:rPr>
            </w:pPr>
            <w:r w:rsidRPr="005B0796">
              <w:rPr>
                <w:lang w:eastAsia="en-AU"/>
              </w:rPr>
              <w:t>644</w:t>
            </w:r>
          </w:p>
        </w:tc>
        <w:tc>
          <w:tcPr>
            <w:tcW w:w="197" w:type="pct"/>
            <w:hideMark/>
          </w:tcPr>
          <w:p w:rsidR="00D060FC" w:rsidRPr="005B0796" w:rsidRDefault="00D060FC" w:rsidP="0042191E">
            <w:pPr>
              <w:pStyle w:val="TableText"/>
              <w:jc w:val="right"/>
              <w:rPr>
                <w:lang w:eastAsia="en-AU"/>
              </w:rPr>
            </w:pPr>
            <w:r w:rsidRPr="005B0796">
              <w:rPr>
                <w:lang w:eastAsia="en-AU"/>
              </w:rPr>
              <w:t>26.7</w:t>
            </w:r>
          </w:p>
        </w:tc>
        <w:tc>
          <w:tcPr>
            <w:tcW w:w="235" w:type="pct"/>
            <w:hideMark/>
          </w:tcPr>
          <w:p w:rsidR="00D060FC" w:rsidRPr="005B0796" w:rsidRDefault="00D060FC" w:rsidP="0042191E">
            <w:pPr>
              <w:pStyle w:val="TableText"/>
              <w:jc w:val="right"/>
              <w:rPr>
                <w:lang w:eastAsia="en-AU"/>
              </w:rPr>
            </w:pPr>
            <w:r w:rsidRPr="005B0796">
              <w:rPr>
                <w:lang w:eastAsia="en-AU"/>
              </w:rPr>
              <w:t>11.9, 49.6</w:t>
            </w:r>
          </w:p>
        </w:tc>
        <w:tc>
          <w:tcPr>
            <w:tcW w:w="331" w:type="pct"/>
            <w:hideMark/>
          </w:tcPr>
          <w:p w:rsidR="00D060FC" w:rsidRPr="005B0796" w:rsidRDefault="00D060FC" w:rsidP="0042191E">
            <w:pPr>
              <w:pStyle w:val="TableText"/>
              <w:jc w:val="right"/>
              <w:rPr>
                <w:lang w:eastAsia="en-AU"/>
              </w:rPr>
            </w:pPr>
            <w:r w:rsidRPr="005B0796">
              <w:rPr>
                <w:lang w:eastAsia="en-AU"/>
              </w:rPr>
              <w:t>1478</w:t>
            </w:r>
          </w:p>
        </w:tc>
        <w:tc>
          <w:tcPr>
            <w:tcW w:w="209" w:type="pct"/>
            <w:hideMark/>
          </w:tcPr>
          <w:p w:rsidR="00D060FC" w:rsidRPr="005B0796" w:rsidRDefault="00D060FC" w:rsidP="0042191E">
            <w:pPr>
              <w:pStyle w:val="TableText"/>
              <w:jc w:val="right"/>
              <w:rPr>
                <w:lang w:eastAsia="en-AU"/>
              </w:rPr>
            </w:pPr>
            <w:r w:rsidRPr="005B0796">
              <w:rPr>
                <w:lang w:eastAsia="en-AU"/>
              </w:rPr>
              <w:t>16.4</w:t>
            </w:r>
          </w:p>
        </w:tc>
        <w:tc>
          <w:tcPr>
            <w:tcW w:w="225" w:type="pct"/>
            <w:hideMark/>
          </w:tcPr>
          <w:p w:rsidR="00D060FC" w:rsidRPr="005B0796" w:rsidRDefault="00D060FC" w:rsidP="0042191E">
            <w:pPr>
              <w:pStyle w:val="TableText"/>
              <w:jc w:val="right"/>
              <w:rPr>
                <w:lang w:eastAsia="en-AU"/>
              </w:rPr>
            </w:pPr>
            <w:r w:rsidRPr="005B0796">
              <w:rPr>
                <w:lang w:eastAsia="en-AU"/>
              </w:rPr>
              <w:t>10.4, 25.0</w:t>
            </w:r>
          </w:p>
        </w:tc>
        <w:tc>
          <w:tcPr>
            <w:tcW w:w="357" w:type="pct"/>
            <w:hideMark/>
          </w:tcPr>
          <w:p w:rsidR="00D060FC" w:rsidRPr="005B0796" w:rsidRDefault="00D060FC" w:rsidP="0042191E">
            <w:pPr>
              <w:pStyle w:val="TableText"/>
              <w:jc w:val="right"/>
              <w:rPr>
                <w:lang w:eastAsia="en-AU"/>
              </w:rPr>
            </w:pPr>
            <w:r w:rsidRPr="005B0796">
              <w:rPr>
                <w:lang w:eastAsia="en-AU"/>
              </w:rPr>
              <w:t>369</w:t>
            </w:r>
          </w:p>
        </w:tc>
        <w:tc>
          <w:tcPr>
            <w:tcW w:w="209" w:type="pct"/>
            <w:hideMark/>
          </w:tcPr>
          <w:p w:rsidR="00D060FC" w:rsidRPr="005B0796" w:rsidRDefault="00D060FC" w:rsidP="0042191E">
            <w:pPr>
              <w:pStyle w:val="TableText"/>
              <w:jc w:val="right"/>
              <w:rPr>
                <w:lang w:eastAsia="en-AU"/>
              </w:rPr>
            </w:pPr>
            <w:r w:rsidRPr="005B0796">
              <w:rPr>
                <w:lang w:eastAsia="en-AU"/>
              </w:rPr>
              <w:t>11.2</w:t>
            </w:r>
          </w:p>
        </w:tc>
        <w:tc>
          <w:tcPr>
            <w:tcW w:w="225" w:type="pct"/>
            <w:hideMark/>
          </w:tcPr>
          <w:p w:rsidR="00D060FC" w:rsidRPr="005B0796" w:rsidRDefault="00D060FC" w:rsidP="0042191E">
            <w:pPr>
              <w:pStyle w:val="TableText"/>
              <w:jc w:val="right"/>
              <w:rPr>
                <w:lang w:eastAsia="en-AU"/>
              </w:rPr>
            </w:pPr>
            <w:r w:rsidRPr="005B0796">
              <w:rPr>
                <w:lang w:eastAsia="en-AU"/>
              </w:rPr>
              <w:t>5.7, 21.0</w:t>
            </w:r>
          </w:p>
        </w:tc>
        <w:tc>
          <w:tcPr>
            <w:tcW w:w="357" w:type="pct"/>
            <w:hideMark/>
          </w:tcPr>
          <w:p w:rsidR="00D060FC" w:rsidRPr="005B0796" w:rsidRDefault="00D060FC" w:rsidP="0042191E">
            <w:pPr>
              <w:pStyle w:val="TableText"/>
              <w:jc w:val="right"/>
              <w:rPr>
                <w:lang w:eastAsia="en-AU"/>
              </w:rPr>
            </w:pPr>
            <w:r w:rsidRPr="005B0796">
              <w:rPr>
                <w:lang w:eastAsia="en-AU"/>
              </w:rPr>
              <w:t>219</w:t>
            </w:r>
          </w:p>
        </w:tc>
        <w:tc>
          <w:tcPr>
            <w:tcW w:w="209" w:type="pct"/>
            <w:hideMark/>
          </w:tcPr>
          <w:p w:rsidR="00D060FC" w:rsidRPr="005B0796" w:rsidRDefault="00D060FC" w:rsidP="0042191E">
            <w:pPr>
              <w:pStyle w:val="TableText"/>
              <w:jc w:val="right"/>
              <w:rPr>
                <w:lang w:eastAsia="en-AU"/>
              </w:rPr>
            </w:pPr>
            <w:r w:rsidRPr="005B0796">
              <w:rPr>
                <w:lang w:eastAsia="en-AU"/>
              </w:rPr>
              <w:t>10.5</w:t>
            </w:r>
          </w:p>
        </w:tc>
        <w:tc>
          <w:tcPr>
            <w:tcW w:w="209" w:type="pct"/>
            <w:hideMark/>
          </w:tcPr>
          <w:p w:rsidR="00D060FC" w:rsidRPr="005B0796" w:rsidRDefault="00D060FC" w:rsidP="0042191E">
            <w:pPr>
              <w:pStyle w:val="TableText"/>
              <w:jc w:val="right"/>
              <w:rPr>
                <w:lang w:eastAsia="en-AU"/>
              </w:rPr>
            </w:pPr>
            <w:r w:rsidRPr="005B0796">
              <w:rPr>
                <w:lang w:eastAsia="en-AU"/>
              </w:rPr>
              <w:t>6.1, 17.4</w:t>
            </w:r>
          </w:p>
        </w:tc>
        <w:tc>
          <w:tcPr>
            <w:tcW w:w="357" w:type="pct"/>
            <w:hideMark/>
          </w:tcPr>
          <w:p w:rsidR="00D060FC" w:rsidRPr="005B0796" w:rsidRDefault="00D060FC" w:rsidP="0042191E">
            <w:pPr>
              <w:pStyle w:val="TableText"/>
              <w:jc w:val="right"/>
              <w:rPr>
                <w:lang w:eastAsia="en-AU"/>
              </w:rPr>
            </w:pPr>
            <w:r w:rsidRPr="005B0796">
              <w:rPr>
                <w:lang w:eastAsia="en-AU"/>
              </w:rPr>
              <w:t>196</w:t>
            </w:r>
          </w:p>
        </w:tc>
        <w:tc>
          <w:tcPr>
            <w:tcW w:w="166" w:type="pct"/>
            <w:hideMark/>
          </w:tcPr>
          <w:p w:rsidR="00D060FC" w:rsidRPr="005B0796" w:rsidRDefault="00D060FC" w:rsidP="0042191E">
            <w:pPr>
              <w:pStyle w:val="TableText"/>
              <w:jc w:val="right"/>
              <w:rPr>
                <w:lang w:eastAsia="en-AU"/>
              </w:rPr>
            </w:pPr>
            <w:r w:rsidRPr="005B0796">
              <w:rPr>
                <w:lang w:eastAsia="en-AU"/>
              </w:rPr>
              <w:t>20.3</w:t>
            </w:r>
          </w:p>
        </w:tc>
        <w:tc>
          <w:tcPr>
            <w:tcW w:w="225" w:type="pct"/>
            <w:hideMark/>
          </w:tcPr>
          <w:p w:rsidR="00D060FC" w:rsidRPr="005B0796" w:rsidRDefault="00D060FC" w:rsidP="0042191E">
            <w:pPr>
              <w:pStyle w:val="TableText"/>
              <w:jc w:val="right"/>
              <w:rPr>
                <w:lang w:eastAsia="en-AU"/>
              </w:rPr>
            </w:pPr>
            <w:r w:rsidRPr="005B0796">
              <w:rPr>
                <w:lang w:eastAsia="en-AU"/>
              </w:rPr>
              <w:t>12.4, 31.4</w:t>
            </w:r>
          </w:p>
        </w:tc>
        <w:tc>
          <w:tcPr>
            <w:tcW w:w="357" w:type="pct"/>
            <w:hideMark/>
          </w:tcPr>
          <w:p w:rsidR="00D060FC" w:rsidRPr="005B0796" w:rsidRDefault="00D060FC" w:rsidP="0042191E">
            <w:pPr>
              <w:pStyle w:val="TableText"/>
              <w:jc w:val="right"/>
              <w:rPr>
                <w:lang w:eastAsia="en-AU"/>
              </w:rPr>
            </w:pPr>
            <w:r w:rsidRPr="005B0796">
              <w:rPr>
                <w:lang w:eastAsia="en-AU"/>
              </w:rPr>
              <w:t>843</w:t>
            </w:r>
          </w:p>
        </w:tc>
        <w:tc>
          <w:tcPr>
            <w:tcW w:w="173" w:type="pct"/>
            <w:hideMark/>
          </w:tcPr>
          <w:p w:rsidR="00D060FC" w:rsidRPr="005B0796" w:rsidRDefault="00D060FC" w:rsidP="0042191E">
            <w:pPr>
              <w:pStyle w:val="TableText"/>
              <w:jc w:val="right"/>
              <w:rPr>
                <w:lang w:eastAsia="en-AU"/>
              </w:rPr>
            </w:pPr>
            <w:r w:rsidRPr="005B0796">
              <w:rPr>
                <w:lang w:eastAsia="en-AU"/>
              </w:rPr>
              <w:t>14.6</w:t>
            </w:r>
          </w:p>
        </w:tc>
        <w:tc>
          <w:tcPr>
            <w:tcW w:w="209" w:type="pct"/>
            <w:hideMark/>
          </w:tcPr>
          <w:p w:rsidR="00D060FC" w:rsidRPr="005B0796" w:rsidRDefault="00D060FC" w:rsidP="0042191E">
            <w:pPr>
              <w:pStyle w:val="TableText"/>
              <w:jc w:val="right"/>
              <w:rPr>
                <w:lang w:eastAsia="en-AU"/>
              </w:rPr>
            </w:pPr>
            <w:r w:rsidRPr="005B0796">
              <w:t>11.7, 18.1</w:t>
            </w:r>
          </w:p>
        </w:tc>
      </w:tr>
      <w:tr w:rsidR="00AD56D5" w:rsidRPr="005B0796" w:rsidTr="00F6614D">
        <w:tc>
          <w:tcPr>
            <w:tcW w:w="398" w:type="pct"/>
            <w:hideMark/>
          </w:tcPr>
          <w:p w:rsidR="00D060FC" w:rsidRPr="005B0796" w:rsidRDefault="00D060FC" w:rsidP="0042191E">
            <w:pPr>
              <w:pStyle w:val="TableText"/>
              <w:rPr>
                <w:rFonts w:eastAsia="Times New Roman"/>
                <w:i/>
              </w:rPr>
            </w:pPr>
            <w:r w:rsidRPr="005B0796">
              <w:rPr>
                <w:lang w:eastAsia="en-AU"/>
              </w:rPr>
              <w:t>Panic disorder</w:t>
            </w:r>
            <w:r w:rsidRPr="005B0796">
              <w:rPr>
                <w:vertAlign w:val="superscript"/>
                <w:lang w:eastAsia="en-AU"/>
              </w:rPr>
              <w:t>b</w:t>
            </w:r>
          </w:p>
        </w:tc>
        <w:tc>
          <w:tcPr>
            <w:tcW w:w="352" w:type="pct"/>
            <w:hideMark/>
          </w:tcPr>
          <w:p w:rsidR="00D060FC" w:rsidRPr="005B0796" w:rsidRDefault="00D060FC" w:rsidP="0042191E">
            <w:pPr>
              <w:pStyle w:val="TableText"/>
              <w:jc w:val="right"/>
              <w:rPr>
                <w:lang w:eastAsia="en-AU"/>
              </w:rPr>
            </w:pPr>
            <w:r w:rsidRPr="005B0796">
              <w:rPr>
                <w:lang w:eastAsia="en-AU"/>
              </w:rPr>
              <w:t>461</w:t>
            </w:r>
          </w:p>
        </w:tc>
        <w:tc>
          <w:tcPr>
            <w:tcW w:w="197" w:type="pct"/>
            <w:hideMark/>
          </w:tcPr>
          <w:p w:rsidR="00D060FC" w:rsidRPr="005B0796" w:rsidRDefault="00D060FC" w:rsidP="0042191E">
            <w:pPr>
              <w:pStyle w:val="TableText"/>
              <w:jc w:val="right"/>
              <w:rPr>
                <w:lang w:eastAsia="en-AU"/>
              </w:rPr>
            </w:pPr>
            <w:r w:rsidRPr="005B0796">
              <w:rPr>
                <w:lang w:eastAsia="en-AU"/>
              </w:rPr>
              <w:t>19.1</w:t>
            </w:r>
          </w:p>
        </w:tc>
        <w:tc>
          <w:tcPr>
            <w:tcW w:w="235" w:type="pct"/>
            <w:hideMark/>
          </w:tcPr>
          <w:p w:rsidR="00D060FC" w:rsidRPr="005B0796" w:rsidRDefault="00D060FC" w:rsidP="0042191E">
            <w:pPr>
              <w:pStyle w:val="TableText"/>
              <w:jc w:val="right"/>
              <w:rPr>
                <w:lang w:eastAsia="en-AU"/>
              </w:rPr>
            </w:pPr>
            <w:r w:rsidRPr="005B0796">
              <w:rPr>
                <w:lang w:eastAsia="en-AU"/>
              </w:rPr>
              <w:t>7.0, 42.3</w:t>
            </w:r>
          </w:p>
        </w:tc>
        <w:tc>
          <w:tcPr>
            <w:tcW w:w="331" w:type="pct"/>
            <w:hideMark/>
          </w:tcPr>
          <w:p w:rsidR="00D060FC" w:rsidRPr="005B0796" w:rsidRDefault="00D060FC" w:rsidP="0042191E">
            <w:pPr>
              <w:pStyle w:val="TableText"/>
              <w:jc w:val="right"/>
              <w:rPr>
                <w:lang w:eastAsia="en-AU"/>
              </w:rPr>
            </w:pPr>
            <w:r w:rsidRPr="005B0796">
              <w:rPr>
                <w:lang w:eastAsia="en-AU"/>
              </w:rPr>
              <w:t>433</w:t>
            </w:r>
          </w:p>
        </w:tc>
        <w:tc>
          <w:tcPr>
            <w:tcW w:w="209" w:type="pct"/>
            <w:hideMark/>
          </w:tcPr>
          <w:p w:rsidR="00D060FC" w:rsidRPr="005B0796" w:rsidRDefault="00D060FC" w:rsidP="0042191E">
            <w:pPr>
              <w:pStyle w:val="TableText"/>
              <w:jc w:val="right"/>
              <w:rPr>
                <w:lang w:eastAsia="en-AU"/>
              </w:rPr>
            </w:pPr>
            <w:r w:rsidRPr="005B0796">
              <w:rPr>
                <w:lang w:eastAsia="en-AU"/>
              </w:rPr>
              <w:t>4.8</w:t>
            </w:r>
          </w:p>
        </w:tc>
        <w:tc>
          <w:tcPr>
            <w:tcW w:w="225" w:type="pct"/>
            <w:hideMark/>
          </w:tcPr>
          <w:p w:rsidR="00D060FC" w:rsidRPr="005B0796" w:rsidRDefault="00D060FC" w:rsidP="0042191E">
            <w:pPr>
              <w:pStyle w:val="TableText"/>
              <w:jc w:val="right"/>
              <w:rPr>
                <w:lang w:eastAsia="en-AU"/>
              </w:rPr>
            </w:pPr>
            <w:r w:rsidRPr="005B0796">
              <w:rPr>
                <w:lang w:eastAsia="en-AU"/>
              </w:rPr>
              <w:t>2.0, 11.3</w:t>
            </w:r>
          </w:p>
        </w:tc>
        <w:tc>
          <w:tcPr>
            <w:tcW w:w="357" w:type="pct"/>
            <w:hideMark/>
          </w:tcPr>
          <w:p w:rsidR="00D060FC" w:rsidRPr="005B0796" w:rsidRDefault="00D060FC" w:rsidP="0042191E">
            <w:pPr>
              <w:pStyle w:val="TableText"/>
              <w:jc w:val="right"/>
              <w:rPr>
                <w:lang w:eastAsia="en-AU"/>
              </w:rPr>
            </w:pPr>
            <w:r w:rsidRPr="005B0796">
              <w:rPr>
                <w:lang w:eastAsia="en-AU"/>
              </w:rPr>
              <w:t>72</w:t>
            </w:r>
          </w:p>
        </w:tc>
        <w:tc>
          <w:tcPr>
            <w:tcW w:w="209" w:type="pct"/>
            <w:hideMark/>
          </w:tcPr>
          <w:p w:rsidR="00D060FC" w:rsidRPr="005B0796" w:rsidRDefault="00D060FC" w:rsidP="0042191E">
            <w:pPr>
              <w:pStyle w:val="TableText"/>
              <w:jc w:val="right"/>
              <w:rPr>
                <w:lang w:eastAsia="en-AU"/>
              </w:rPr>
            </w:pPr>
            <w:r w:rsidRPr="005B0796">
              <w:rPr>
                <w:lang w:eastAsia="en-AU"/>
              </w:rPr>
              <w:t>2.2</w:t>
            </w:r>
          </w:p>
        </w:tc>
        <w:tc>
          <w:tcPr>
            <w:tcW w:w="225" w:type="pct"/>
            <w:hideMark/>
          </w:tcPr>
          <w:p w:rsidR="00D060FC" w:rsidRPr="005B0796" w:rsidRDefault="00D060FC" w:rsidP="0042191E">
            <w:pPr>
              <w:pStyle w:val="TableText"/>
              <w:jc w:val="right"/>
              <w:rPr>
                <w:lang w:eastAsia="en-AU"/>
              </w:rPr>
            </w:pPr>
            <w:r w:rsidRPr="005B0796">
              <w:rPr>
                <w:lang w:eastAsia="en-AU"/>
              </w:rPr>
              <w:t xml:space="preserve">0.8, </w:t>
            </w:r>
            <w:r w:rsidRPr="005B0796">
              <w:rPr>
                <w:lang w:eastAsia="en-AU"/>
              </w:rPr>
              <w:br/>
              <w:t>5.7</w:t>
            </w:r>
          </w:p>
        </w:tc>
        <w:tc>
          <w:tcPr>
            <w:tcW w:w="357" w:type="pct"/>
            <w:hideMark/>
          </w:tcPr>
          <w:p w:rsidR="00D060FC" w:rsidRPr="005B0796" w:rsidRDefault="00D060FC" w:rsidP="0042191E">
            <w:pPr>
              <w:pStyle w:val="TableText"/>
              <w:jc w:val="right"/>
              <w:rPr>
                <w:lang w:eastAsia="en-AU"/>
              </w:rPr>
            </w:pPr>
            <w:r w:rsidRPr="005B0796">
              <w:rPr>
                <w:lang w:eastAsia="en-AU"/>
              </w:rPr>
              <w:t>46</w:t>
            </w:r>
          </w:p>
        </w:tc>
        <w:tc>
          <w:tcPr>
            <w:tcW w:w="209" w:type="pct"/>
            <w:hideMark/>
          </w:tcPr>
          <w:p w:rsidR="00D060FC" w:rsidRPr="005B0796" w:rsidRDefault="00D060FC" w:rsidP="0042191E">
            <w:pPr>
              <w:pStyle w:val="TableText"/>
              <w:jc w:val="right"/>
              <w:rPr>
                <w:lang w:eastAsia="en-AU"/>
              </w:rPr>
            </w:pPr>
            <w:r w:rsidRPr="005B0796">
              <w:rPr>
                <w:lang w:eastAsia="en-AU"/>
              </w:rPr>
              <w:t>2.2</w:t>
            </w:r>
          </w:p>
        </w:tc>
        <w:tc>
          <w:tcPr>
            <w:tcW w:w="209" w:type="pct"/>
            <w:hideMark/>
          </w:tcPr>
          <w:p w:rsidR="00D060FC" w:rsidRPr="005B0796" w:rsidRDefault="00D060FC" w:rsidP="0042191E">
            <w:pPr>
              <w:pStyle w:val="TableText"/>
              <w:jc w:val="right"/>
              <w:rPr>
                <w:lang w:eastAsia="en-AU"/>
              </w:rPr>
            </w:pPr>
            <w:r w:rsidRPr="005B0796">
              <w:rPr>
                <w:lang w:eastAsia="en-AU"/>
              </w:rPr>
              <w:t>0.7, 6.6</w:t>
            </w:r>
          </w:p>
        </w:tc>
        <w:tc>
          <w:tcPr>
            <w:tcW w:w="357" w:type="pct"/>
            <w:hideMark/>
          </w:tcPr>
          <w:p w:rsidR="00D060FC" w:rsidRPr="005B0796" w:rsidRDefault="00D060FC" w:rsidP="0042191E">
            <w:pPr>
              <w:pStyle w:val="TableText"/>
              <w:jc w:val="right"/>
              <w:rPr>
                <w:lang w:eastAsia="en-AU"/>
              </w:rPr>
            </w:pPr>
            <w:r w:rsidRPr="005B0796">
              <w:rPr>
                <w:lang w:eastAsia="en-AU"/>
              </w:rPr>
              <w:t>56</w:t>
            </w:r>
          </w:p>
        </w:tc>
        <w:tc>
          <w:tcPr>
            <w:tcW w:w="166" w:type="pct"/>
            <w:hideMark/>
          </w:tcPr>
          <w:p w:rsidR="00D060FC" w:rsidRPr="005B0796" w:rsidRDefault="00D060FC" w:rsidP="0042191E">
            <w:pPr>
              <w:pStyle w:val="TableText"/>
              <w:jc w:val="right"/>
              <w:rPr>
                <w:lang w:eastAsia="en-AU"/>
              </w:rPr>
            </w:pPr>
            <w:r w:rsidRPr="005B0796">
              <w:rPr>
                <w:lang w:eastAsia="en-AU"/>
              </w:rPr>
              <w:t>5.8</w:t>
            </w:r>
          </w:p>
        </w:tc>
        <w:tc>
          <w:tcPr>
            <w:tcW w:w="225" w:type="pct"/>
            <w:hideMark/>
          </w:tcPr>
          <w:p w:rsidR="00D060FC" w:rsidRPr="005B0796" w:rsidRDefault="00D060FC" w:rsidP="0042191E">
            <w:pPr>
              <w:pStyle w:val="TableText"/>
              <w:jc w:val="right"/>
              <w:rPr>
                <w:lang w:eastAsia="en-AU"/>
              </w:rPr>
            </w:pPr>
            <w:r w:rsidRPr="005B0796">
              <w:rPr>
                <w:lang w:eastAsia="en-AU"/>
              </w:rPr>
              <w:t>2.2, 14.2</w:t>
            </w:r>
          </w:p>
        </w:tc>
        <w:tc>
          <w:tcPr>
            <w:tcW w:w="357" w:type="pct"/>
            <w:hideMark/>
          </w:tcPr>
          <w:p w:rsidR="00D060FC" w:rsidRPr="005B0796" w:rsidRDefault="00D060FC" w:rsidP="0042191E">
            <w:pPr>
              <w:pStyle w:val="TableText"/>
              <w:jc w:val="right"/>
              <w:rPr>
                <w:lang w:eastAsia="en-AU"/>
              </w:rPr>
            </w:pPr>
            <w:r w:rsidRPr="005B0796">
              <w:rPr>
                <w:lang w:eastAsia="en-AU"/>
              </w:rPr>
              <w:t>323</w:t>
            </w:r>
          </w:p>
        </w:tc>
        <w:tc>
          <w:tcPr>
            <w:tcW w:w="173" w:type="pct"/>
            <w:hideMark/>
          </w:tcPr>
          <w:p w:rsidR="00D060FC" w:rsidRPr="005B0796" w:rsidRDefault="00D060FC" w:rsidP="0042191E">
            <w:pPr>
              <w:pStyle w:val="TableText"/>
              <w:jc w:val="right"/>
              <w:rPr>
                <w:lang w:eastAsia="en-AU"/>
              </w:rPr>
            </w:pPr>
            <w:r w:rsidRPr="005B0796">
              <w:rPr>
                <w:lang w:eastAsia="en-AU"/>
              </w:rPr>
              <w:t>5.6</w:t>
            </w:r>
          </w:p>
        </w:tc>
        <w:tc>
          <w:tcPr>
            <w:tcW w:w="209" w:type="pct"/>
            <w:hideMark/>
          </w:tcPr>
          <w:p w:rsidR="00D060FC" w:rsidRPr="005B0796" w:rsidRDefault="00D060FC" w:rsidP="0042191E">
            <w:pPr>
              <w:pStyle w:val="TableText"/>
              <w:jc w:val="right"/>
              <w:rPr>
                <w:lang w:eastAsia="en-AU"/>
              </w:rPr>
            </w:pPr>
            <w:r w:rsidRPr="005B0796">
              <w:t>3.9, 7.9</w:t>
            </w:r>
          </w:p>
        </w:tc>
      </w:tr>
      <w:tr w:rsidR="0042191E" w:rsidRPr="005B0796" w:rsidTr="00F6614D">
        <w:trPr>
          <w:cnfStyle w:val="000000100000" w:firstRow="0" w:lastRow="0" w:firstColumn="0" w:lastColumn="0" w:oddVBand="0" w:evenVBand="0" w:oddHBand="1" w:evenHBand="0" w:firstRowFirstColumn="0" w:firstRowLastColumn="0" w:lastRowFirstColumn="0" w:lastRowLastColumn="0"/>
        </w:trPr>
        <w:tc>
          <w:tcPr>
            <w:tcW w:w="398" w:type="pct"/>
            <w:hideMark/>
          </w:tcPr>
          <w:p w:rsidR="00D060FC" w:rsidRPr="005B0796" w:rsidRDefault="00D060FC" w:rsidP="0042191E">
            <w:pPr>
              <w:pStyle w:val="TableText"/>
              <w:rPr>
                <w:rFonts w:eastAsia="Times New Roman"/>
                <w:i/>
              </w:rPr>
            </w:pPr>
            <w:r w:rsidRPr="005B0796">
              <w:rPr>
                <w:lang w:eastAsia="en-AU"/>
              </w:rPr>
              <w:t>Agoraphobia</w:t>
            </w:r>
          </w:p>
        </w:tc>
        <w:tc>
          <w:tcPr>
            <w:tcW w:w="352" w:type="pct"/>
            <w:hideMark/>
          </w:tcPr>
          <w:p w:rsidR="00D060FC" w:rsidRPr="005B0796" w:rsidRDefault="00D060FC" w:rsidP="0042191E">
            <w:pPr>
              <w:pStyle w:val="TableText"/>
              <w:jc w:val="right"/>
              <w:rPr>
                <w:lang w:eastAsia="en-AU"/>
              </w:rPr>
            </w:pPr>
            <w:r w:rsidRPr="005B0796">
              <w:rPr>
                <w:lang w:eastAsia="en-AU"/>
              </w:rPr>
              <w:t>333</w:t>
            </w:r>
          </w:p>
        </w:tc>
        <w:tc>
          <w:tcPr>
            <w:tcW w:w="197" w:type="pct"/>
            <w:hideMark/>
          </w:tcPr>
          <w:p w:rsidR="00D060FC" w:rsidRPr="005B0796" w:rsidRDefault="00D060FC" w:rsidP="0042191E">
            <w:pPr>
              <w:pStyle w:val="TableText"/>
              <w:jc w:val="right"/>
              <w:rPr>
                <w:lang w:eastAsia="en-AU"/>
              </w:rPr>
            </w:pPr>
            <w:r w:rsidRPr="005B0796">
              <w:rPr>
                <w:lang w:eastAsia="en-AU"/>
              </w:rPr>
              <w:t>13.8</w:t>
            </w:r>
          </w:p>
        </w:tc>
        <w:tc>
          <w:tcPr>
            <w:tcW w:w="235" w:type="pct"/>
            <w:hideMark/>
          </w:tcPr>
          <w:p w:rsidR="00D060FC" w:rsidRPr="005B0796" w:rsidRDefault="00D060FC" w:rsidP="0042191E">
            <w:pPr>
              <w:pStyle w:val="TableText"/>
              <w:jc w:val="right"/>
              <w:rPr>
                <w:lang w:eastAsia="en-AU"/>
              </w:rPr>
            </w:pPr>
            <w:r w:rsidRPr="005B0796">
              <w:rPr>
                <w:lang w:eastAsia="en-AU"/>
              </w:rPr>
              <w:t>4.2, 36.6</w:t>
            </w:r>
          </w:p>
        </w:tc>
        <w:tc>
          <w:tcPr>
            <w:tcW w:w="331" w:type="pct"/>
            <w:hideMark/>
          </w:tcPr>
          <w:p w:rsidR="00D060FC" w:rsidRPr="005B0796" w:rsidRDefault="00D060FC" w:rsidP="0042191E">
            <w:pPr>
              <w:pStyle w:val="TableText"/>
              <w:jc w:val="right"/>
              <w:rPr>
                <w:lang w:eastAsia="en-AU"/>
              </w:rPr>
            </w:pPr>
            <w:r w:rsidRPr="005B0796">
              <w:rPr>
                <w:lang w:eastAsia="en-AU"/>
              </w:rPr>
              <w:t>1316</w:t>
            </w:r>
          </w:p>
        </w:tc>
        <w:tc>
          <w:tcPr>
            <w:tcW w:w="209" w:type="pct"/>
            <w:hideMark/>
          </w:tcPr>
          <w:p w:rsidR="00D060FC" w:rsidRPr="005B0796" w:rsidRDefault="00D060FC" w:rsidP="0042191E">
            <w:pPr>
              <w:pStyle w:val="TableText"/>
              <w:jc w:val="right"/>
              <w:rPr>
                <w:lang w:eastAsia="en-AU"/>
              </w:rPr>
            </w:pPr>
            <w:r w:rsidRPr="005B0796">
              <w:rPr>
                <w:lang w:eastAsia="en-AU"/>
              </w:rPr>
              <w:t>14.6</w:t>
            </w:r>
          </w:p>
        </w:tc>
        <w:tc>
          <w:tcPr>
            <w:tcW w:w="225" w:type="pct"/>
            <w:hideMark/>
          </w:tcPr>
          <w:p w:rsidR="00D060FC" w:rsidRPr="005B0796" w:rsidRDefault="00D060FC" w:rsidP="0042191E">
            <w:pPr>
              <w:pStyle w:val="TableText"/>
              <w:jc w:val="right"/>
              <w:rPr>
                <w:lang w:eastAsia="en-AU"/>
              </w:rPr>
            </w:pPr>
            <w:r w:rsidRPr="005B0796">
              <w:rPr>
                <w:lang w:eastAsia="en-AU"/>
              </w:rPr>
              <w:t>8.7, 23.3</w:t>
            </w:r>
          </w:p>
        </w:tc>
        <w:tc>
          <w:tcPr>
            <w:tcW w:w="357" w:type="pct"/>
            <w:hideMark/>
          </w:tcPr>
          <w:p w:rsidR="00D060FC" w:rsidRPr="005B0796" w:rsidRDefault="00D060FC" w:rsidP="0042191E">
            <w:pPr>
              <w:pStyle w:val="TableText"/>
              <w:jc w:val="right"/>
              <w:rPr>
                <w:lang w:eastAsia="en-AU"/>
              </w:rPr>
            </w:pPr>
            <w:r w:rsidRPr="005B0796">
              <w:rPr>
                <w:lang w:eastAsia="en-AU"/>
              </w:rPr>
              <w:t>297</w:t>
            </w:r>
          </w:p>
        </w:tc>
        <w:tc>
          <w:tcPr>
            <w:tcW w:w="209" w:type="pct"/>
            <w:hideMark/>
          </w:tcPr>
          <w:p w:rsidR="00D060FC" w:rsidRPr="005B0796" w:rsidRDefault="00D060FC" w:rsidP="0042191E">
            <w:pPr>
              <w:pStyle w:val="TableText"/>
              <w:jc w:val="right"/>
              <w:rPr>
                <w:lang w:eastAsia="en-AU"/>
              </w:rPr>
            </w:pPr>
            <w:r w:rsidRPr="005B0796">
              <w:rPr>
                <w:lang w:eastAsia="en-AU"/>
              </w:rPr>
              <w:t>9.0</w:t>
            </w:r>
          </w:p>
        </w:tc>
        <w:tc>
          <w:tcPr>
            <w:tcW w:w="225" w:type="pct"/>
            <w:hideMark/>
          </w:tcPr>
          <w:p w:rsidR="00D060FC" w:rsidRPr="005B0796" w:rsidRDefault="00D060FC" w:rsidP="0042191E">
            <w:pPr>
              <w:pStyle w:val="TableText"/>
              <w:jc w:val="right"/>
              <w:rPr>
                <w:lang w:eastAsia="en-AU"/>
              </w:rPr>
            </w:pPr>
            <w:r w:rsidRPr="005B0796">
              <w:rPr>
                <w:lang w:eastAsia="en-AU"/>
              </w:rPr>
              <w:t>4.0, 18.9</w:t>
            </w:r>
          </w:p>
        </w:tc>
        <w:tc>
          <w:tcPr>
            <w:tcW w:w="357" w:type="pct"/>
            <w:hideMark/>
          </w:tcPr>
          <w:p w:rsidR="00D060FC" w:rsidRPr="005B0796" w:rsidRDefault="00D060FC" w:rsidP="0042191E">
            <w:pPr>
              <w:pStyle w:val="TableText"/>
              <w:jc w:val="right"/>
              <w:rPr>
                <w:lang w:eastAsia="en-AU"/>
              </w:rPr>
            </w:pPr>
            <w:r w:rsidRPr="005B0796">
              <w:rPr>
                <w:lang w:eastAsia="en-AU"/>
              </w:rPr>
              <w:t>194</w:t>
            </w:r>
          </w:p>
        </w:tc>
        <w:tc>
          <w:tcPr>
            <w:tcW w:w="209" w:type="pct"/>
            <w:hideMark/>
          </w:tcPr>
          <w:p w:rsidR="00D060FC" w:rsidRPr="005B0796" w:rsidRDefault="00D060FC" w:rsidP="0042191E">
            <w:pPr>
              <w:pStyle w:val="TableText"/>
              <w:jc w:val="right"/>
              <w:rPr>
                <w:lang w:eastAsia="en-AU"/>
              </w:rPr>
            </w:pPr>
            <w:r w:rsidRPr="005B0796">
              <w:rPr>
                <w:lang w:eastAsia="en-AU"/>
              </w:rPr>
              <w:t>9.3</w:t>
            </w:r>
          </w:p>
        </w:tc>
        <w:tc>
          <w:tcPr>
            <w:tcW w:w="209" w:type="pct"/>
            <w:hideMark/>
          </w:tcPr>
          <w:p w:rsidR="00D060FC" w:rsidRPr="005B0796" w:rsidRDefault="00D060FC" w:rsidP="0042191E">
            <w:pPr>
              <w:pStyle w:val="TableText"/>
              <w:jc w:val="right"/>
              <w:rPr>
                <w:lang w:eastAsia="en-AU"/>
              </w:rPr>
            </w:pPr>
            <w:r w:rsidRPr="005B0796">
              <w:rPr>
                <w:lang w:eastAsia="en-AU"/>
              </w:rPr>
              <w:t>5.0, 16.5</w:t>
            </w:r>
          </w:p>
        </w:tc>
        <w:tc>
          <w:tcPr>
            <w:tcW w:w="357" w:type="pct"/>
            <w:hideMark/>
          </w:tcPr>
          <w:p w:rsidR="00D060FC" w:rsidRPr="005B0796" w:rsidRDefault="00D060FC" w:rsidP="0042191E">
            <w:pPr>
              <w:pStyle w:val="TableText"/>
              <w:jc w:val="right"/>
              <w:rPr>
                <w:lang w:eastAsia="en-AU"/>
              </w:rPr>
            </w:pPr>
            <w:r w:rsidRPr="005B0796">
              <w:rPr>
                <w:lang w:eastAsia="en-AU"/>
              </w:rPr>
              <w:t>138</w:t>
            </w:r>
          </w:p>
        </w:tc>
        <w:tc>
          <w:tcPr>
            <w:tcW w:w="166" w:type="pct"/>
            <w:hideMark/>
          </w:tcPr>
          <w:p w:rsidR="00D060FC" w:rsidRPr="005B0796" w:rsidRDefault="00D060FC" w:rsidP="0042191E">
            <w:pPr>
              <w:pStyle w:val="TableText"/>
              <w:jc w:val="right"/>
              <w:rPr>
                <w:lang w:eastAsia="en-AU"/>
              </w:rPr>
            </w:pPr>
            <w:r w:rsidRPr="005B0796">
              <w:rPr>
                <w:lang w:eastAsia="en-AU"/>
              </w:rPr>
              <w:t>14.3</w:t>
            </w:r>
          </w:p>
        </w:tc>
        <w:tc>
          <w:tcPr>
            <w:tcW w:w="225" w:type="pct"/>
            <w:hideMark/>
          </w:tcPr>
          <w:p w:rsidR="00D060FC" w:rsidRPr="005B0796" w:rsidRDefault="00D060FC" w:rsidP="0042191E">
            <w:pPr>
              <w:pStyle w:val="TableText"/>
              <w:jc w:val="right"/>
              <w:rPr>
                <w:lang w:eastAsia="en-AU"/>
              </w:rPr>
            </w:pPr>
            <w:r w:rsidRPr="005B0796">
              <w:rPr>
                <w:lang w:eastAsia="en-AU"/>
              </w:rPr>
              <w:t>7.8, 24.7</w:t>
            </w:r>
          </w:p>
        </w:tc>
        <w:tc>
          <w:tcPr>
            <w:tcW w:w="357" w:type="pct"/>
            <w:hideMark/>
          </w:tcPr>
          <w:p w:rsidR="00D060FC" w:rsidRPr="005B0796" w:rsidRDefault="00D060FC" w:rsidP="0042191E">
            <w:pPr>
              <w:pStyle w:val="TableText"/>
              <w:jc w:val="right"/>
              <w:rPr>
                <w:lang w:eastAsia="en-AU"/>
              </w:rPr>
            </w:pPr>
            <w:r w:rsidRPr="005B0796">
              <w:rPr>
                <w:lang w:eastAsia="en-AU"/>
              </w:rPr>
              <w:t>664</w:t>
            </w:r>
          </w:p>
        </w:tc>
        <w:tc>
          <w:tcPr>
            <w:tcW w:w="173" w:type="pct"/>
            <w:hideMark/>
          </w:tcPr>
          <w:p w:rsidR="00D060FC" w:rsidRPr="005B0796" w:rsidRDefault="00D060FC" w:rsidP="0042191E">
            <w:pPr>
              <w:pStyle w:val="TableText"/>
              <w:jc w:val="right"/>
              <w:rPr>
                <w:lang w:eastAsia="en-AU"/>
              </w:rPr>
            </w:pPr>
            <w:r w:rsidRPr="005B0796">
              <w:rPr>
                <w:lang w:eastAsia="en-AU"/>
              </w:rPr>
              <w:t>11.5</w:t>
            </w:r>
          </w:p>
        </w:tc>
        <w:tc>
          <w:tcPr>
            <w:tcW w:w="209" w:type="pct"/>
            <w:hideMark/>
          </w:tcPr>
          <w:p w:rsidR="00D060FC" w:rsidRPr="005B0796" w:rsidRDefault="00D060FC" w:rsidP="0042191E">
            <w:pPr>
              <w:pStyle w:val="TableText"/>
              <w:jc w:val="right"/>
              <w:rPr>
                <w:lang w:eastAsia="en-AU"/>
              </w:rPr>
            </w:pPr>
            <w:r w:rsidRPr="005B0796">
              <w:t>8.4, 15.6</w:t>
            </w:r>
          </w:p>
        </w:tc>
      </w:tr>
      <w:tr w:rsidR="00AD56D5" w:rsidRPr="005B0796" w:rsidTr="00F6614D">
        <w:tc>
          <w:tcPr>
            <w:tcW w:w="398" w:type="pct"/>
            <w:hideMark/>
          </w:tcPr>
          <w:p w:rsidR="00D060FC" w:rsidRPr="005B0796" w:rsidRDefault="00D060FC" w:rsidP="0042191E">
            <w:pPr>
              <w:pStyle w:val="TableText"/>
              <w:rPr>
                <w:rFonts w:eastAsia="Times New Roman"/>
                <w:i/>
              </w:rPr>
            </w:pPr>
            <w:r w:rsidRPr="005B0796">
              <w:rPr>
                <w:lang w:eastAsia="en-AU"/>
              </w:rPr>
              <w:t>Social phobia</w:t>
            </w:r>
          </w:p>
        </w:tc>
        <w:tc>
          <w:tcPr>
            <w:tcW w:w="352" w:type="pct"/>
            <w:hideMark/>
          </w:tcPr>
          <w:p w:rsidR="00D060FC" w:rsidRPr="005B0796" w:rsidRDefault="00D060FC" w:rsidP="0042191E">
            <w:pPr>
              <w:pStyle w:val="TableText"/>
              <w:jc w:val="right"/>
              <w:rPr>
                <w:lang w:eastAsia="en-AU"/>
              </w:rPr>
            </w:pPr>
            <w:r w:rsidRPr="005B0796">
              <w:rPr>
                <w:lang w:eastAsia="en-AU"/>
              </w:rPr>
              <w:t>166</w:t>
            </w:r>
          </w:p>
        </w:tc>
        <w:tc>
          <w:tcPr>
            <w:tcW w:w="197" w:type="pct"/>
            <w:hideMark/>
          </w:tcPr>
          <w:p w:rsidR="00D060FC" w:rsidRPr="005B0796" w:rsidRDefault="00D060FC" w:rsidP="0042191E">
            <w:pPr>
              <w:pStyle w:val="TableText"/>
              <w:jc w:val="right"/>
              <w:rPr>
                <w:lang w:eastAsia="en-AU"/>
              </w:rPr>
            </w:pPr>
            <w:r w:rsidRPr="005B0796">
              <w:rPr>
                <w:lang w:eastAsia="en-AU"/>
              </w:rPr>
              <w:t>6.9</w:t>
            </w:r>
          </w:p>
        </w:tc>
        <w:tc>
          <w:tcPr>
            <w:tcW w:w="235" w:type="pct"/>
            <w:hideMark/>
          </w:tcPr>
          <w:p w:rsidR="00D060FC" w:rsidRPr="005B0796" w:rsidRDefault="00D060FC" w:rsidP="0042191E">
            <w:pPr>
              <w:pStyle w:val="TableText"/>
              <w:jc w:val="right"/>
              <w:rPr>
                <w:lang w:eastAsia="en-AU"/>
              </w:rPr>
            </w:pPr>
            <w:r w:rsidRPr="005B0796">
              <w:rPr>
                <w:lang w:eastAsia="en-AU"/>
              </w:rPr>
              <w:t>1.2, 30.8</w:t>
            </w:r>
          </w:p>
        </w:tc>
        <w:tc>
          <w:tcPr>
            <w:tcW w:w="331" w:type="pct"/>
            <w:hideMark/>
          </w:tcPr>
          <w:p w:rsidR="00D060FC" w:rsidRPr="005B0796" w:rsidRDefault="00D060FC" w:rsidP="0042191E">
            <w:pPr>
              <w:pStyle w:val="TableText"/>
              <w:jc w:val="right"/>
              <w:rPr>
                <w:lang w:eastAsia="en-AU"/>
              </w:rPr>
            </w:pPr>
            <w:r w:rsidRPr="005B0796">
              <w:rPr>
                <w:lang w:eastAsia="en-AU"/>
              </w:rPr>
              <w:t>1145</w:t>
            </w:r>
          </w:p>
        </w:tc>
        <w:tc>
          <w:tcPr>
            <w:tcW w:w="209" w:type="pct"/>
            <w:hideMark/>
          </w:tcPr>
          <w:p w:rsidR="00D060FC" w:rsidRPr="005B0796" w:rsidRDefault="00D060FC" w:rsidP="0042191E">
            <w:pPr>
              <w:pStyle w:val="TableText"/>
              <w:jc w:val="right"/>
              <w:rPr>
                <w:lang w:eastAsia="en-AU"/>
              </w:rPr>
            </w:pPr>
            <w:r w:rsidRPr="005B0796">
              <w:rPr>
                <w:lang w:eastAsia="en-AU"/>
              </w:rPr>
              <w:t>12.7</w:t>
            </w:r>
          </w:p>
        </w:tc>
        <w:tc>
          <w:tcPr>
            <w:tcW w:w="225" w:type="pct"/>
            <w:hideMark/>
          </w:tcPr>
          <w:p w:rsidR="00D060FC" w:rsidRPr="005B0796" w:rsidRDefault="00D060FC" w:rsidP="0042191E">
            <w:pPr>
              <w:pStyle w:val="TableText"/>
              <w:jc w:val="right"/>
              <w:rPr>
                <w:lang w:eastAsia="en-AU"/>
              </w:rPr>
            </w:pPr>
            <w:r w:rsidRPr="005B0796">
              <w:rPr>
                <w:lang w:eastAsia="en-AU"/>
              </w:rPr>
              <w:t>7.4, 20.9</w:t>
            </w:r>
          </w:p>
        </w:tc>
        <w:tc>
          <w:tcPr>
            <w:tcW w:w="357" w:type="pct"/>
            <w:hideMark/>
          </w:tcPr>
          <w:p w:rsidR="00D060FC" w:rsidRPr="005B0796" w:rsidRDefault="00D060FC" w:rsidP="0042191E">
            <w:pPr>
              <w:pStyle w:val="TableText"/>
              <w:jc w:val="right"/>
              <w:rPr>
                <w:lang w:eastAsia="en-AU"/>
              </w:rPr>
            </w:pPr>
            <w:r w:rsidRPr="005B0796">
              <w:rPr>
                <w:lang w:eastAsia="en-AU"/>
              </w:rPr>
              <w:t>432</w:t>
            </w:r>
          </w:p>
        </w:tc>
        <w:tc>
          <w:tcPr>
            <w:tcW w:w="209" w:type="pct"/>
            <w:hideMark/>
          </w:tcPr>
          <w:p w:rsidR="00D060FC" w:rsidRPr="005B0796" w:rsidRDefault="00D060FC" w:rsidP="0042191E">
            <w:pPr>
              <w:pStyle w:val="TableText"/>
              <w:jc w:val="right"/>
              <w:rPr>
                <w:lang w:eastAsia="en-AU"/>
              </w:rPr>
            </w:pPr>
            <w:r w:rsidRPr="005B0796">
              <w:rPr>
                <w:lang w:eastAsia="en-AU"/>
              </w:rPr>
              <w:t>13.1</w:t>
            </w:r>
          </w:p>
        </w:tc>
        <w:tc>
          <w:tcPr>
            <w:tcW w:w="225" w:type="pct"/>
            <w:hideMark/>
          </w:tcPr>
          <w:p w:rsidR="00D060FC" w:rsidRPr="005B0796" w:rsidRDefault="00D060FC" w:rsidP="0042191E">
            <w:pPr>
              <w:pStyle w:val="TableText"/>
              <w:jc w:val="right"/>
              <w:rPr>
                <w:lang w:eastAsia="en-AU"/>
              </w:rPr>
            </w:pPr>
            <w:r w:rsidRPr="005B0796">
              <w:rPr>
                <w:lang w:eastAsia="en-AU"/>
              </w:rPr>
              <w:t>5.8, 27.2</w:t>
            </w:r>
          </w:p>
        </w:tc>
        <w:tc>
          <w:tcPr>
            <w:tcW w:w="357" w:type="pct"/>
            <w:hideMark/>
          </w:tcPr>
          <w:p w:rsidR="00D060FC" w:rsidRPr="005B0796" w:rsidRDefault="00D060FC" w:rsidP="0042191E">
            <w:pPr>
              <w:pStyle w:val="TableText"/>
              <w:jc w:val="right"/>
              <w:rPr>
                <w:lang w:eastAsia="en-AU"/>
              </w:rPr>
            </w:pPr>
            <w:r w:rsidRPr="005B0796">
              <w:rPr>
                <w:lang w:eastAsia="en-AU"/>
              </w:rPr>
              <w:t>196</w:t>
            </w:r>
          </w:p>
        </w:tc>
        <w:tc>
          <w:tcPr>
            <w:tcW w:w="209" w:type="pct"/>
            <w:hideMark/>
          </w:tcPr>
          <w:p w:rsidR="00D060FC" w:rsidRPr="005B0796" w:rsidRDefault="00D060FC" w:rsidP="0042191E">
            <w:pPr>
              <w:pStyle w:val="TableText"/>
              <w:jc w:val="right"/>
              <w:rPr>
                <w:lang w:eastAsia="en-AU"/>
              </w:rPr>
            </w:pPr>
            <w:r w:rsidRPr="005B0796">
              <w:rPr>
                <w:lang w:eastAsia="en-AU"/>
              </w:rPr>
              <w:t>9.4</w:t>
            </w:r>
          </w:p>
        </w:tc>
        <w:tc>
          <w:tcPr>
            <w:tcW w:w="209" w:type="pct"/>
            <w:hideMark/>
          </w:tcPr>
          <w:p w:rsidR="00D060FC" w:rsidRPr="005B0796" w:rsidRDefault="00D060FC" w:rsidP="0042191E">
            <w:pPr>
              <w:pStyle w:val="TableText"/>
              <w:jc w:val="right"/>
              <w:rPr>
                <w:lang w:eastAsia="en-AU"/>
              </w:rPr>
            </w:pPr>
            <w:r w:rsidRPr="005B0796">
              <w:rPr>
                <w:lang w:eastAsia="en-AU"/>
              </w:rPr>
              <w:t>5.1, 16.8</w:t>
            </w:r>
          </w:p>
        </w:tc>
        <w:tc>
          <w:tcPr>
            <w:tcW w:w="357" w:type="pct"/>
            <w:hideMark/>
          </w:tcPr>
          <w:p w:rsidR="00D060FC" w:rsidRPr="005B0796" w:rsidRDefault="00D060FC" w:rsidP="0042191E">
            <w:pPr>
              <w:pStyle w:val="TableText"/>
              <w:jc w:val="right"/>
              <w:rPr>
                <w:lang w:eastAsia="en-AU"/>
              </w:rPr>
            </w:pPr>
            <w:r w:rsidRPr="005B0796">
              <w:rPr>
                <w:lang w:eastAsia="en-AU"/>
              </w:rPr>
              <w:t>113</w:t>
            </w:r>
          </w:p>
        </w:tc>
        <w:tc>
          <w:tcPr>
            <w:tcW w:w="166" w:type="pct"/>
            <w:hideMark/>
          </w:tcPr>
          <w:p w:rsidR="00D060FC" w:rsidRPr="005B0796" w:rsidRDefault="00D060FC" w:rsidP="0042191E">
            <w:pPr>
              <w:pStyle w:val="TableText"/>
              <w:jc w:val="right"/>
              <w:rPr>
                <w:lang w:eastAsia="en-AU"/>
              </w:rPr>
            </w:pPr>
            <w:r w:rsidRPr="005B0796">
              <w:rPr>
                <w:lang w:eastAsia="en-AU"/>
              </w:rPr>
              <w:t>11.7</w:t>
            </w:r>
          </w:p>
        </w:tc>
        <w:tc>
          <w:tcPr>
            <w:tcW w:w="225" w:type="pct"/>
            <w:hideMark/>
          </w:tcPr>
          <w:p w:rsidR="00D060FC" w:rsidRPr="005B0796" w:rsidRDefault="00D060FC" w:rsidP="0042191E">
            <w:pPr>
              <w:pStyle w:val="TableText"/>
              <w:jc w:val="right"/>
              <w:rPr>
                <w:lang w:eastAsia="en-AU"/>
              </w:rPr>
            </w:pPr>
            <w:r w:rsidRPr="005B0796">
              <w:rPr>
                <w:lang w:eastAsia="en-AU"/>
              </w:rPr>
              <w:t>6.0, 21.7</w:t>
            </w:r>
          </w:p>
        </w:tc>
        <w:tc>
          <w:tcPr>
            <w:tcW w:w="357" w:type="pct"/>
            <w:hideMark/>
          </w:tcPr>
          <w:p w:rsidR="00D060FC" w:rsidRPr="005B0796" w:rsidRDefault="00D060FC" w:rsidP="0042191E">
            <w:pPr>
              <w:pStyle w:val="TableText"/>
              <w:jc w:val="right"/>
              <w:rPr>
                <w:lang w:eastAsia="en-AU"/>
              </w:rPr>
            </w:pPr>
            <w:r w:rsidRPr="005B0796">
              <w:rPr>
                <w:lang w:eastAsia="en-AU"/>
              </w:rPr>
              <w:t>427</w:t>
            </w:r>
          </w:p>
        </w:tc>
        <w:tc>
          <w:tcPr>
            <w:tcW w:w="173" w:type="pct"/>
            <w:hideMark/>
          </w:tcPr>
          <w:p w:rsidR="00D060FC" w:rsidRPr="005B0796" w:rsidRDefault="00D060FC" w:rsidP="0042191E">
            <w:pPr>
              <w:pStyle w:val="TableText"/>
              <w:jc w:val="right"/>
              <w:rPr>
                <w:lang w:eastAsia="en-AU"/>
              </w:rPr>
            </w:pPr>
            <w:r w:rsidRPr="005B0796">
              <w:rPr>
                <w:lang w:eastAsia="en-AU"/>
              </w:rPr>
              <w:t>7.4</w:t>
            </w:r>
          </w:p>
        </w:tc>
        <w:tc>
          <w:tcPr>
            <w:tcW w:w="209" w:type="pct"/>
            <w:hideMark/>
          </w:tcPr>
          <w:p w:rsidR="00D060FC" w:rsidRPr="005B0796" w:rsidRDefault="00D060FC" w:rsidP="0042191E">
            <w:pPr>
              <w:pStyle w:val="TableText"/>
              <w:jc w:val="right"/>
              <w:rPr>
                <w:lang w:eastAsia="en-AU"/>
              </w:rPr>
            </w:pPr>
            <w:r w:rsidRPr="005B0796">
              <w:t>5.3, 10.3</w:t>
            </w:r>
          </w:p>
        </w:tc>
      </w:tr>
      <w:tr w:rsidR="0042191E" w:rsidRPr="005B0796" w:rsidTr="00F6614D">
        <w:trPr>
          <w:cnfStyle w:val="000000100000" w:firstRow="0" w:lastRow="0" w:firstColumn="0" w:lastColumn="0" w:oddVBand="0" w:evenVBand="0" w:oddHBand="1" w:evenHBand="0" w:firstRowFirstColumn="0" w:firstRowLastColumn="0" w:lastRowFirstColumn="0" w:lastRowLastColumn="0"/>
        </w:trPr>
        <w:tc>
          <w:tcPr>
            <w:tcW w:w="398" w:type="pct"/>
            <w:hideMark/>
          </w:tcPr>
          <w:p w:rsidR="00D060FC" w:rsidRPr="005B0796" w:rsidRDefault="00D060FC" w:rsidP="0042191E">
            <w:pPr>
              <w:pStyle w:val="TableText"/>
              <w:rPr>
                <w:rFonts w:eastAsia="Times New Roman"/>
                <w:i/>
              </w:rPr>
            </w:pPr>
            <w:r w:rsidRPr="005B0796">
              <w:rPr>
                <w:lang w:eastAsia="en-AU"/>
              </w:rPr>
              <w:t>Specific phobia</w:t>
            </w:r>
          </w:p>
        </w:tc>
        <w:tc>
          <w:tcPr>
            <w:tcW w:w="352" w:type="pct"/>
            <w:hideMark/>
          </w:tcPr>
          <w:p w:rsidR="00D060FC" w:rsidRPr="005B0796" w:rsidRDefault="00D060FC" w:rsidP="0042191E">
            <w:pPr>
              <w:pStyle w:val="TableText"/>
              <w:jc w:val="right"/>
              <w:rPr>
                <w:lang w:eastAsia="en-AU"/>
              </w:rPr>
            </w:pPr>
            <w:r w:rsidRPr="005B0796">
              <w:rPr>
                <w:lang w:eastAsia="en-AU"/>
              </w:rPr>
              <w:t>63</w:t>
            </w:r>
          </w:p>
        </w:tc>
        <w:tc>
          <w:tcPr>
            <w:tcW w:w="197" w:type="pct"/>
            <w:hideMark/>
          </w:tcPr>
          <w:p w:rsidR="00D060FC" w:rsidRPr="005B0796" w:rsidRDefault="00D060FC" w:rsidP="0042191E">
            <w:pPr>
              <w:pStyle w:val="TableText"/>
              <w:jc w:val="right"/>
              <w:rPr>
                <w:lang w:eastAsia="en-AU"/>
              </w:rPr>
            </w:pPr>
            <w:r w:rsidRPr="005B0796">
              <w:rPr>
                <w:lang w:eastAsia="en-AU"/>
              </w:rPr>
              <w:t>2.6</w:t>
            </w:r>
          </w:p>
        </w:tc>
        <w:tc>
          <w:tcPr>
            <w:tcW w:w="235" w:type="pct"/>
            <w:hideMark/>
          </w:tcPr>
          <w:p w:rsidR="00D060FC" w:rsidRPr="005B0796" w:rsidRDefault="00D060FC" w:rsidP="0042191E">
            <w:pPr>
              <w:pStyle w:val="TableText"/>
              <w:jc w:val="right"/>
              <w:rPr>
                <w:lang w:eastAsia="en-AU"/>
              </w:rPr>
            </w:pPr>
            <w:r w:rsidRPr="005B0796">
              <w:rPr>
                <w:lang w:eastAsia="en-AU"/>
              </w:rPr>
              <w:t>0.8, 7.8</w:t>
            </w:r>
          </w:p>
        </w:tc>
        <w:tc>
          <w:tcPr>
            <w:tcW w:w="331" w:type="pct"/>
            <w:hideMark/>
          </w:tcPr>
          <w:p w:rsidR="00D060FC" w:rsidRPr="005B0796" w:rsidRDefault="00D060FC" w:rsidP="0042191E">
            <w:pPr>
              <w:pStyle w:val="TableText"/>
              <w:jc w:val="right"/>
              <w:rPr>
                <w:lang w:eastAsia="en-AU"/>
              </w:rPr>
            </w:pPr>
            <w:r w:rsidRPr="005B0796">
              <w:rPr>
                <w:lang w:eastAsia="en-AU"/>
              </w:rPr>
              <w:t>577</w:t>
            </w:r>
          </w:p>
        </w:tc>
        <w:tc>
          <w:tcPr>
            <w:tcW w:w="209" w:type="pct"/>
            <w:hideMark/>
          </w:tcPr>
          <w:p w:rsidR="00D060FC" w:rsidRPr="005B0796" w:rsidRDefault="00D060FC" w:rsidP="0042191E">
            <w:pPr>
              <w:pStyle w:val="TableText"/>
              <w:jc w:val="right"/>
              <w:rPr>
                <w:lang w:eastAsia="en-AU"/>
              </w:rPr>
            </w:pPr>
            <w:r w:rsidRPr="005B0796">
              <w:rPr>
                <w:lang w:eastAsia="en-AU"/>
              </w:rPr>
              <w:t>6.4</w:t>
            </w:r>
          </w:p>
        </w:tc>
        <w:tc>
          <w:tcPr>
            <w:tcW w:w="225" w:type="pct"/>
            <w:hideMark/>
          </w:tcPr>
          <w:p w:rsidR="00D060FC" w:rsidRPr="005B0796" w:rsidRDefault="00D060FC" w:rsidP="0042191E">
            <w:pPr>
              <w:pStyle w:val="TableText"/>
              <w:jc w:val="right"/>
              <w:rPr>
                <w:lang w:eastAsia="en-AU"/>
              </w:rPr>
            </w:pPr>
            <w:r w:rsidRPr="005B0796">
              <w:rPr>
                <w:lang w:eastAsia="en-AU"/>
              </w:rPr>
              <w:t>2.9, 13.4</w:t>
            </w:r>
          </w:p>
        </w:tc>
        <w:tc>
          <w:tcPr>
            <w:tcW w:w="357" w:type="pct"/>
            <w:hideMark/>
          </w:tcPr>
          <w:p w:rsidR="00D060FC" w:rsidRPr="005B0796" w:rsidRDefault="00D060FC" w:rsidP="0042191E">
            <w:pPr>
              <w:pStyle w:val="TableText"/>
              <w:jc w:val="right"/>
              <w:rPr>
                <w:lang w:eastAsia="en-AU"/>
              </w:rPr>
            </w:pPr>
            <w:r w:rsidRPr="005B0796">
              <w:rPr>
                <w:lang w:eastAsia="en-AU"/>
              </w:rPr>
              <w:t>313</w:t>
            </w:r>
          </w:p>
        </w:tc>
        <w:tc>
          <w:tcPr>
            <w:tcW w:w="209" w:type="pct"/>
            <w:hideMark/>
          </w:tcPr>
          <w:p w:rsidR="00D060FC" w:rsidRPr="005B0796" w:rsidRDefault="00D060FC" w:rsidP="0042191E">
            <w:pPr>
              <w:pStyle w:val="TableText"/>
              <w:jc w:val="right"/>
              <w:rPr>
                <w:lang w:eastAsia="en-AU"/>
              </w:rPr>
            </w:pPr>
            <w:r w:rsidRPr="005B0796">
              <w:rPr>
                <w:lang w:eastAsia="en-AU"/>
              </w:rPr>
              <w:t>9.5</w:t>
            </w:r>
          </w:p>
        </w:tc>
        <w:tc>
          <w:tcPr>
            <w:tcW w:w="225" w:type="pct"/>
            <w:hideMark/>
          </w:tcPr>
          <w:p w:rsidR="00D060FC" w:rsidRPr="005B0796" w:rsidRDefault="00D060FC" w:rsidP="0042191E">
            <w:pPr>
              <w:pStyle w:val="TableText"/>
              <w:jc w:val="right"/>
              <w:rPr>
                <w:lang w:eastAsia="en-AU"/>
              </w:rPr>
            </w:pPr>
            <w:r w:rsidRPr="005B0796">
              <w:rPr>
                <w:lang w:eastAsia="en-AU"/>
              </w:rPr>
              <w:t>4.0, 20.6</w:t>
            </w:r>
          </w:p>
        </w:tc>
        <w:tc>
          <w:tcPr>
            <w:tcW w:w="357" w:type="pct"/>
            <w:hideMark/>
          </w:tcPr>
          <w:p w:rsidR="00D060FC" w:rsidRPr="005B0796" w:rsidRDefault="00D060FC" w:rsidP="0042191E">
            <w:pPr>
              <w:pStyle w:val="TableText"/>
              <w:jc w:val="right"/>
              <w:rPr>
                <w:lang w:eastAsia="en-AU"/>
              </w:rPr>
            </w:pPr>
            <w:r w:rsidRPr="005B0796">
              <w:rPr>
                <w:lang w:eastAsia="en-AU"/>
              </w:rPr>
              <w:t>136</w:t>
            </w:r>
          </w:p>
        </w:tc>
        <w:tc>
          <w:tcPr>
            <w:tcW w:w="209" w:type="pct"/>
            <w:hideMark/>
          </w:tcPr>
          <w:p w:rsidR="00D060FC" w:rsidRPr="005B0796" w:rsidRDefault="00D060FC" w:rsidP="0042191E">
            <w:pPr>
              <w:pStyle w:val="TableText"/>
              <w:jc w:val="right"/>
              <w:rPr>
                <w:lang w:eastAsia="en-AU"/>
              </w:rPr>
            </w:pPr>
            <w:r w:rsidRPr="005B0796">
              <w:rPr>
                <w:lang w:eastAsia="en-AU"/>
              </w:rPr>
              <w:t>6.5</w:t>
            </w:r>
          </w:p>
        </w:tc>
        <w:tc>
          <w:tcPr>
            <w:tcW w:w="209" w:type="pct"/>
            <w:hideMark/>
          </w:tcPr>
          <w:p w:rsidR="00D060FC" w:rsidRPr="005B0796" w:rsidRDefault="00D060FC" w:rsidP="0042191E">
            <w:pPr>
              <w:pStyle w:val="TableText"/>
              <w:jc w:val="right"/>
              <w:rPr>
                <w:lang w:eastAsia="en-AU"/>
              </w:rPr>
            </w:pPr>
            <w:r w:rsidRPr="005B0796">
              <w:rPr>
                <w:lang w:eastAsia="en-AU"/>
              </w:rPr>
              <w:t>3.4, 12.3</w:t>
            </w:r>
          </w:p>
        </w:tc>
        <w:tc>
          <w:tcPr>
            <w:tcW w:w="357" w:type="pct"/>
            <w:hideMark/>
          </w:tcPr>
          <w:p w:rsidR="00D060FC" w:rsidRPr="005B0796" w:rsidRDefault="00D060FC" w:rsidP="0042191E">
            <w:pPr>
              <w:pStyle w:val="TableText"/>
              <w:jc w:val="right"/>
              <w:rPr>
                <w:lang w:eastAsia="en-AU"/>
              </w:rPr>
            </w:pPr>
            <w:r w:rsidRPr="005B0796">
              <w:rPr>
                <w:lang w:eastAsia="en-AU"/>
              </w:rPr>
              <w:t>149</w:t>
            </w:r>
          </w:p>
        </w:tc>
        <w:tc>
          <w:tcPr>
            <w:tcW w:w="166" w:type="pct"/>
            <w:hideMark/>
          </w:tcPr>
          <w:p w:rsidR="00D060FC" w:rsidRPr="005B0796" w:rsidRDefault="00D060FC" w:rsidP="0042191E">
            <w:pPr>
              <w:pStyle w:val="TableText"/>
              <w:jc w:val="right"/>
              <w:rPr>
                <w:lang w:eastAsia="en-AU"/>
              </w:rPr>
            </w:pPr>
            <w:r w:rsidRPr="005B0796">
              <w:rPr>
                <w:lang w:eastAsia="en-AU"/>
              </w:rPr>
              <w:t>15.4</w:t>
            </w:r>
          </w:p>
        </w:tc>
        <w:tc>
          <w:tcPr>
            <w:tcW w:w="225" w:type="pct"/>
            <w:hideMark/>
          </w:tcPr>
          <w:p w:rsidR="00D060FC" w:rsidRPr="005B0796" w:rsidRDefault="00D060FC" w:rsidP="0042191E">
            <w:pPr>
              <w:pStyle w:val="TableText"/>
              <w:jc w:val="right"/>
              <w:rPr>
                <w:lang w:eastAsia="en-AU"/>
              </w:rPr>
            </w:pPr>
            <w:r w:rsidRPr="005B0796">
              <w:rPr>
                <w:lang w:eastAsia="en-AU"/>
              </w:rPr>
              <w:t>8.7, 25.8</w:t>
            </w:r>
          </w:p>
        </w:tc>
        <w:tc>
          <w:tcPr>
            <w:tcW w:w="357" w:type="pct"/>
            <w:hideMark/>
          </w:tcPr>
          <w:p w:rsidR="00D060FC" w:rsidRPr="005B0796" w:rsidRDefault="00D060FC" w:rsidP="0042191E">
            <w:pPr>
              <w:pStyle w:val="TableText"/>
              <w:jc w:val="right"/>
              <w:rPr>
                <w:lang w:eastAsia="en-AU"/>
              </w:rPr>
            </w:pPr>
            <w:r w:rsidRPr="005B0796">
              <w:rPr>
                <w:lang w:eastAsia="en-AU"/>
              </w:rPr>
              <w:t>595</w:t>
            </w:r>
          </w:p>
        </w:tc>
        <w:tc>
          <w:tcPr>
            <w:tcW w:w="173" w:type="pct"/>
            <w:hideMark/>
          </w:tcPr>
          <w:p w:rsidR="00D060FC" w:rsidRPr="005B0796" w:rsidRDefault="00D060FC" w:rsidP="0042191E">
            <w:pPr>
              <w:pStyle w:val="TableText"/>
              <w:jc w:val="right"/>
              <w:rPr>
                <w:lang w:eastAsia="en-AU"/>
              </w:rPr>
            </w:pPr>
            <w:r w:rsidRPr="005B0796">
              <w:rPr>
                <w:lang w:eastAsia="en-AU"/>
              </w:rPr>
              <w:t>10.3</w:t>
            </w:r>
          </w:p>
        </w:tc>
        <w:tc>
          <w:tcPr>
            <w:tcW w:w="209" w:type="pct"/>
            <w:hideMark/>
          </w:tcPr>
          <w:p w:rsidR="00D060FC" w:rsidRPr="005B0796" w:rsidRDefault="00D060FC" w:rsidP="0042191E">
            <w:pPr>
              <w:pStyle w:val="TableText"/>
              <w:jc w:val="right"/>
              <w:rPr>
                <w:lang w:eastAsia="en-AU"/>
              </w:rPr>
            </w:pPr>
            <w:r w:rsidRPr="005B0796">
              <w:t>7.9, 13.4</w:t>
            </w:r>
          </w:p>
        </w:tc>
      </w:tr>
      <w:tr w:rsidR="00AD56D5" w:rsidRPr="005B0796" w:rsidTr="00F6614D">
        <w:tc>
          <w:tcPr>
            <w:tcW w:w="398" w:type="pct"/>
            <w:hideMark/>
          </w:tcPr>
          <w:p w:rsidR="00D060FC" w:rsidRPr="005B0796" w:rsidRDefault="00D060FC" w:rsidP="0042191E">
            <w:pPr>
              <w:pStyle w:val="TableText"/>
              <w:rPr>
                <w:rFonts w:eastAsia="Times New Roman"/>
                <w:i/>
              </w:rPr>
            </w:pPr>
            <w:r w:rsidRPr="005B0796">
              <w:rPr>
                <w:lang w:eastAsia="en-AU"/>
              </w:rPr>
              <w:t>Generalised anxiety disorder</w:t>
            </w:r>
          </w:p>
        </w:tc>
        <w:tc>
          <w:tcPr>
            <w:tcW w:w="352" w:type="pct"/>
            <w:hideMark/>
          </w:tcPr>
          <w:p w:rsidR="00D060FC" w:rsidRPr="005B0796" w:rsidRDefault="00D060FC" w:rsidP="0042191E">
            <w:pPr>
              <w:pStyle w:val="TableText"/>
              <w:jc w:val="right"/>
              <w:rPr>
                <w:lang w:eastAsia="en-AU"/>
              </w:rPr>
            </w:pPr>
            <w:r w:rsidRPr="005B0796">
              <w:rPr>
                <w:lang w:eastAsia="en-AU"/>
              </w:rPr>
              <w:t>166</w:t>
            </w:r>
          </w:p>
        </w:tc>
        <w:tc>
          <w:tcPr>
            <w:tcW w:w="197" w:type="pct"/>
            <w:hideMark/>
          </w:tcPr>
          <w:p w:rsidR="00D060FC" w:rsidRPr="005B0796" w:rsidRDefault="00D060FC" w:rsidP="0042191E">
            <w:pPr>
              <w:pStyle w:val="TableText"/>
              <w:jc w:val="right"/>
              <w:rPr>
                <w:lang w:eastAsia="en-AU"/>
              </w:rPr>
            </w:pPr>
            <w:r w:rsidRPr="005B0796">
              <w:rPr>
                <w:lang w:eastAsia="en-AU"/>
              </w:rPr>
              <w:t>6.9</w:t>
            </w:r>
          </w:p>
        </w:tc>
        <w:tc>
          <w:tcPr>
            <w:tcW w:w="235" w:type="pct"/>
            <w:hideMark/>
          </w:tcPr>
          <w:p w:rsidR="00D060FC" w:rsidRPr="005B0796" w:rsidRDefault="00D060FC" w:rsidP="0042191E">
            <w:pPr>
              <w:pStyle w:val="TableText"/>
              <w:jc w:val="right"/>
              <w:rPr>
                <w:lang w:eastAsia="en-AU"/>
              </w:rPr>
            </w:pPr>
            <w:r w:rsidRPr="005B0796">
              <w:rPr>
                <w:lang w:eastAsia="en-AU"/>
              </w:rPr>
              <w:t>1.2, 30.7</w:t>
            </w:r>
          </w:p>
        </w:tc>
        <w:tc>
          <w:tcPr>
            <w:tcW w:w="331" w:type="pct"/>
            <w:hideMark/>
          </w:tcPr>
          <w:p w:rsidR="00D060FC" w:rsidRPr="005B0796" w:rsidRDefault="00D060FC" w:rsidP="0042191E">
            <w:pPr>
              <w:pStyle w:val="TableText"/>
              <w:jc w:val="right"/>
              <w:rPr>
                <w:lang w:eastAsia="en-AU"/>
              </w:rPr>
            </w:pPr>
            <w:r w:rsidRPr="005B0796">
              <w:rPr>
                <w:lang w:eastAsia="en-AU"/>
              </w:rPr>
              <w:t>234</w:t>
            </w:r>
          </w:p>
        </w:tc>
        <w:tc>
          <w:tcPr>
            <w:tcW w:w="209" w:type="pct"/>
            <w:hideMark/>
          </w:tcPr>
          <w:p w:rsidR="00D060FC" w:rsidRPr="005B0796" w:rsidRDefault="00D060FC" w:rsidP="0042191E">
            <w:pPr>
              <w:pStyle w:val="TableText"/>
              <w:jc w:val="right"/>
              <w:rPr>
                <w:lang w:eastAsia="en-AU"/>
              </w:rPr>
            </w:pPr>
            <w:r w:rsidRPr="005B0796">
              <w:rPr>
                <w:lang w:eastAsia="en-AU"/>
              </w:rPr>
              <w:t>2.6</w:t>
            </w:r>
          </w:p>
        </w:tc>
        <w:tc>
          <w:tcPr>
            <w:tcW w:w="225" w:type="pct"/>
            <w:hideMark/>
          </w:tcPr>
          <w:p w:rsidR="00D060FC" w:rsidRPr="005B0796" w:rsidRDefault="00D060FC" w:rsidP="0042191E">
            <w:pPr>
              <w:pStyle w:val="TableText"/>
              <w:jc w:val="right"/>
              <w:rPr>
                <w:lang w:eastAsia="en-AU"/>
              </w:rPr>
            </w:pPr>
            <w:r w:rsidRPr="005B0796">
              <w:rPr>
                <w:lang w:eastAsia="en-AU"/>
              </w:rPr>
              <w:t>0.8, 7.8</w:t>
            </w:r>
          </w:p>
        </w:tc>
        <w:tc>
          <w:tcPr>
            <w:tcW w:w="357" w:type="pct"/>
            <w:hideMark/>
          </w:tcPr>
          <w:p w:rsidR="00D060FC" w:rsidRPr="005B0796" w:rsidRDefault="00D060FC" w:rsidP="0042191E">
            <w:pPr>
              <w:pStyle w:val="TableText"/>
              <w:jc w:val="right"/>
              <w:rPr>
                <w:lang w:eastAsia="en-AU"/>
              </w:rPr>
            </w:pPr>
            <w:r w:rsidRPr="005B0796">
              <w:rPr>
                <w:lang w:eastAsia="en-AU"/>
              </w:rPr>
              <w:t>92</w:t>
            </w:r>
          </w:p>
        </w:tc>
        <w:tc>
          <w:tcPr>
            <w:tcW w:w="209" w:type="pct"/>
            <w:hideMark/>
          </w:tcPr>
          <w:p w:rsidR="00D060FC" w:rsidRPr="005B0796" w:rsidRDefault="00D060FC" w:rsidP="0042191E">
            <w:pPr>
              <w:pStyle w:val="TableText"/>
              <w:jc w:val="right"/>
              <w:rPr>
                <w:lang w:eastAsia="en-AU"/>
              </w:rPr>
            </w:pPr>
            <w:r w:rsidRPr="005B0796">
              <w:rPr>
                <w:lang w:eastAsia="en-AU"/>
              </w:rPr>
              <w:t>2.8</w:t>
            </w:r>
          </w:p>
        </w:tc>
        <w:tc>
          <w:tcPr>
            <w:tcW w:w="225" w:type="pct"/>
            <w:hideMark/>
          </w:tcPr>
          <w:p w:rsidR="00D060FC" w:rsidRPr="005B0796" w:rsidRDefault="00D060FC" w:rsidP="0042191E">
            <w:pPr>
              <w:pStyle w:val="TableText"/>
              <w:jc w:val="right"/>
              <w:rPr>
                <w:lang w:eastAsia="en-AU"/>
              </w:rPr>
            </w:pPr>
            <w:r w:rsidRPr="005B0796">
              <w:rPr>
                <w:lang w:eastAsia="en-AU"/>
              </w:rPr>
              <w:t>1.1, 6.9</w:t>
            </w:r>
          </w:p>
        </w:tc>
        <w:tc>
          <w:tcPr>
            <w:tcW w:w="357" w:type="pct"/>
            <w:hideMark/>
          </w:tcPr>
          <w:p w:rsidR="00D060FC" w:rsidRPr="005B0796" w:rsidRDefault="00D060FC" w:rsidP="0042191E">
            <w:pPr>
              <w:pStyle w:val="TableText"/>
              <w:jc w:val="right"/>
              <w:rPr>
                <w:lang w:eastAsia="en-AU"/>
              </w:rPr>
            </w:pPr>
            <w:r w:rsidRPr="005B0796">
              <w:rPr>
                <w:lang w:eastAsia="en-AU"/>
              </w:rPr>
              <w:t>81</w:t>
            </w:r>
          </w:p>
        </w:tc>
        <w:tc>
          <w:tcPr>
            <w:tcW w:w="209" w:type="pct"/>
            <w:hideMark/>
          </w:tcPr>
          <w:p w:rsidR="00D060FC" w:rsidRPr="005B0796" w:rsidRDefault="00D060FC" w:rsidP="0042191E">
            <w:pPr>
              <w:pStyle w:val="TableText"/>
              <w:jc w:val="right"/>
              <w:rPr>
                <w:lang w:eastAsia="en-AU"/>
              </w:rPr>
            </w:pPr>
            <w:r w:rsidRPr="005B0796">
              <w:rPr>
                <w:lang w:eastAsia="en-AU"/>
              </w:rPr>
              <w:t>3.9</w:t>
            </w:r>
          </w:p>
        </w:tc>
        <w:tc>
          <w:tcPr>
            <w:tcW w:w="209" w:type="pct"/>
            <w:hideMark/>
          </w:tcPr>
          <w:p w:rsidR="00D060FC" w:rsidRPr="005B0796" w:rsidRDefault="00D060FC" w:rsidP="0042191E">
            <w:pPr>
              <w:pStyle w:val="TableText"/>
              <w:jc w:val="right"/>
              <w:rPr>
                <w:lang w:eastAsia="en-AU"/>
              </w:rPr>
            </w:pPr>
            <w:r w:rsidRPr="005B0796">
              <w:rPr>
                <w:lang w:eastAsia="en-AU"/>
              </w:rPr>
              <w:t>1.6, 9.1</w:t>
            </w:r>
          </w:p>
        </w:tc>
        <w:tc>
          <w:tcPr>
            <w:tcW w:w="357" w:type="pct"/>
            <w:hideMark/>
          </w:tcPr>
          <w:p w:rsidR="00D060FC" w:rsidRPr="005B0796" w:rsidRDefault="00D060FC" w:rsidP="0042191E">
            <w:pPr>
              <w:pStyle w:val="TableText"/>
              <w:jc w:val="right"/>
              <w:rPr>
                <w:lang w:eastAsia="en-AU"/>
              </w:rPr>
            </w:pPr>
            <w:r w:rsidRPr="005B0796">
              <w:rPr>
                <w:lang w:eastAsia="en-AU"/>
              </w:rPr>
              <w:t>23</w:t>
            </w:r>
          </w:p>
        </w:tc>
        <w:tc>
          <w:tcPr>
            <w:tcW w:w="166" w:type="pct"/>
            <w:hideMark/>
          </w:tcPr>
          <w:p w:rsidR="00D060FC" w:rsidRPr="005B0796" w:rsidRDefault="00D060FC" w:rsidP="0042191E">
            <w:pPr>
              <w:pStyle w:val="TableText"/>
              <w:jc w:val="right"/>
              <w:rPr>
                <w:lang w:eastAsia="en-AU"/>
              </w:rPr>
            </w:pPr>
            <w:r w:rsidRPr="005B0796">
              <w:rPr>
                <w:lang w:eastAsia="en-AU"/>
              </w:rPr>
              <w:t>2.4</w:t>
            </w:r>
          </w:p>
        </w:tc>
        <w:tc>
          <w:tcPr>
            <w:tcW w:w="225" w:type="pct"/>
            <w:hideMark/>
          </w:tcPr>
          <w:p w:rsidR="00D060FC" w:rsidRPr="005B0796" w:rsidRDefault="00D060FC" w:rsidP="0042191E">
            <w:pPr>
              <w:pStyle w:val="TableText"/>
              <w:jc w:val="right"/>
              <w:rPr>
                <w:lang w:eastAsia="en-AU"/>
              </w:rPr>
            </w:pPr>
            <w:r w:rsidRPr="005B0796">
              <w:rPr>
                <w:lang w:eastAsia="en-AU"/>
              </w:rPr>
              <w:t>0.6, 9.2</w:t>
            </w:r>
          </w:p>
        </w:tc>
        <w:tc>
          <w:tcPr>
            <w:tcW w:w="357" w:type="pct"/>
            <w:hideMark/>
          </w:tcPr>
          <w:p w:rsidR="00D060FC" w:rsidRPr="005B0796" w:rsidRDefault="00D060FC" w:rsidP="0042191E">
            <w:pPr>
              <w:pStyle w:val="TableText"/>
              <w:jc w:val="right"/>
              <w:rPr>
                <w:lang w:eastAsia="en-AU"/>
              </w:rPr>
            </w:pPr>
            <w:r w:rsidRPr="005B0796">
              <w:rPr>
                <w:lang w:eastAsia="en-AU"/>
              </w:rPr>
              <w:t>300</w:t>
            </w:r>
          </w:p>
        </w:tc>
        <w:tc>
          <w:tcPr>
            <w:tcW w:w="173" w:type="pct"/>
            <w:hideMark/>
          </w:tcPr>
          <w:p w:rsidR="00D060FC" w:rsidRPr="005B0796" w:rsidRDefault="00D060FC" w:rsidP="0042191E">
            <w:pPr>
              <w:pStyle w:val="TableText"/>
              <w:jc w:val="right"/>
              <w:rPr>
                <w:lang w:eastAsia="en-AU"/>
              </w:rPr>
            </w:pPr>
            <w:r w:rsidRPr="005B0796">
              <w:rPr>
                <w:lang w:eastAsia="en-AU"/>
              </w:rPr>
              <w:t>5.2</w:t>
            </w:r>
          </w:p>
        </w:tc>
        <w:tc>
          <w:tcPr>
            <w:tcW w:w="209" w:type="pct"/>
            <w:hideMark/>
          </w:tcPr>
          <w:p w:rsidR="00D060FC" w:rsidRPr="005B0796" w:rsidRDefault="00D060FC" w:rsidP="0042191E">
            <w:pPr>
              <w:pStyle w:val="TableText"/>
              <w:jc w:val="right"/>
              <w:rPr>
                <w:lang w:eastAsia="en-AU"/>
              </w:rPr>
            </w:pPr>
            <w:r w:rsidRPr="005B0796">
              <w:t>2.5, 10.4</w:t>
            </w:r>
          </w:p>
        </w:tc>
      </w:tr>
      <w:tr w:rsidR="0042191E" w:rsidRPr="005B0796" w:rsidTr="00F6614D">
        <w:trPr>
          <w:cnfStyle w:val="000000100000" w:firstRow="0" w:lastRow="0" w:firstColumn="0" w:lastColumn="0" w:oddVBand="0" w:evenVBand="0" w:oddHBand="1" w:evenHBand="0" w:firstRowFirstColumn="0" w:firstRowLastColumn="0" w:lastRowFirstColumn="0" w:lastRowLastColumn="0"/>
        </w:trPr>
        <w:tc>
          <w:tcPr>
            <w:tcW w:w="398" w:type="pct"/>
            <w:hideMark/>
          </w:tcPr>
          <w:p w:rsidR="00D060FC" w:rsidRPr="005B0796" w:rsidRDefault="00D060FC" w:rsidP="0042191E">
            <w:pPr>
              <w:pStyle w:val="TableText"/>
              <w:rPr>
                <w:rFonts w:eastAsia="Times New Roman"/>
                <w:i/>
              </w:rPr>
            </w:pPr>
            <w:r w:rsidRPr="005B0796">
              <w:rPr>
                <w:lang w:eastAsia="en-AU"/>
              </w:rPr>
              <w:t>Obsessive-compulsive disorder</w:t>
            </w:r>
          </w:p>
        </w:tc>
        <w:tc>
          <w:tcPr>
            <w:tcW w:w="352" w:type="pct"/>
            <w:hideMark/>
          </w:tcPr>
          <w:p w:rsidR="00D060FC" w:rsidRPr="005B0796" w:rsidRDefault="00D060FC" w:rsidP="0042191E">
            <w:pPr>
              <w:pStyle w:val="TableText"/>
              <w:jc w:val="right"/>
              <w:rPr>
                <w:lang w:eastAsia="en-AU"/>
              </w:rPr>
            </w:pPr>
            <w:r w:rsidRPr="005B0796">
              <w:rPr>
                <w:lang w:eastAsia="en-AU"/>
              </w:rPr>
              <w:t>104</w:t>
            </w:r>
          </w:p>
        </w:tc>
        <w:tc>
          <w:tcPr>
            <w:tcW w:w="197" w:type="pct"/>
            <w:hideMark/>
          </w:tcPr>
          <w:p w:rsidR="00D060FC" w:rsidRPr="005B0796" w:rsidRDefault="00D060FC" w:rsidP="0042191E">
            <w:pPr>
              <w:pStyle w:val="TableText"/>
              <w:jc w:val="right"/>
              <w:rPr>
                <w:lang w:eastAsia="en-AU"/>
              </w:rPr>
            </w:pPr>
            <w:r w:rsidRPr="005B0796">
              <w:rPr>
                <w:lang w:eastAsia="en-AU"/>
              </w:rPr>
              <w:t>4.3</w:t>
            </w:r>
          </w:p>
        </w:tc>
        <w:tc>
          <w:tcPr>
            <w:tcW w:w="235" w:type="pct"/>
            <w:hideMark/>
          </w:tcPr>
          <w:p w:rsidR="00D060FC" w:rsidRPr="005B0796" w:rsidRDefault="00D060FC" w:rsidP="0042191E">
            <w:pPr>
              <w:pStyle w:val="TableText"/>
              <w:jc w:val="right"/>
              <w:rPr>
                <w:lang w:eastAsia="en-AU"/>
              </w:rPr>
            </w:pPr>
            <w:r w:rsidRPr="005B0796">
              <w:rPr>
                <w:lang w:eastAsia="en-AU"/>
              </w:rPr>
              <w:t>0.7, 22.6</w:t>
            </w:r>
          </w:p>
        </w:tc>
        <w:tc>
          <w:tcPr>
            <w:tcW w:w="331" w:type="pct"/>
            <w:hideMark/>
          </w:tcPr>
          <w:p w:rsidR="00D060FC" w:rsidRPr="005B0796" w:rsidRDefault="00D060FC" w:rsidP="0042191E">
            <w:pPr>
              <w:pStyle w:val="TableText"/>
              <w:jc w:val="right"/>
              <w:rPr>
                <w:lang w:eastAsia="en-AU"/>
              </w:rPr>
            </w:pPr>
            <w:r w:rsidRPr="005B0796">
              <w:rPr>
                <w:lang w:eastAsia="en-AU"/>
              </w:rPr>
              <w:t>577</w:t>
            </w:r>
          </w:p>
        </w:tc>
        <w:tc>
          <w:tcPr>
            <w:tcW w:w="209" w:type="pct"/>
            <w:hideMark/>
          </w:tcPr>
          <w:p w:rsidR="00D060FC" w:rsidRPr="005B0796" w:rsidRDefault="00D060FC" w:rsidP="0042191E">
            <w:pPr>
              <w:pStyle w:val="TableText"/>
              <w:jc w:val="right"/>
              <w:rPr>
                <w:lang w:eastAsia="en-AU"/>
              </w:rPr>
            </w:pPr>
            <w:r w:rsidRPr="005B0796">
              <w:rPr>
                <w:lang w:eastAsia="en-AU"/>
              </w:rPr>
              <w:t>6.4</w:t>
            </w:r>
          </w:p>
        </w:tc>
        <w:tc>
          <w:tcPr>
            <w:tcW w:w="225" w:type="pct"/>
            <w:hideMark/>
          </w:tcPr>
          <w:p w:rsidR="00D060FC" w:rsidRPr="005B0796" w:rsidRDefault="00D060FC" w:rsidP="0042191E">
            <w:pPr>
              <w:pStyle w:val="TableText"/>
              <w:jc w:val="right"/>
              <w:rPr>
                <w:lang w:eastAsia="en-AU"/>
              </w:rPr>
            </w:pPr>
            <w:r w:rsidRPr="005B0796">
              <w:rPr>
                <w:lang w:eastAsia="en-AU"/>
              </w:rPr>
              <w:t>2.9, 13.3</w:t>
            </w:r>
          </w:p>
        </w:tc>
        <w:tc>
          <w:tcPr>
            <w:tcW w:w="357" w:type="pct"/>
            <w:hideMark/>
          </w:tcPr>
          <w:p w:rsidR="00D060FC" w:rsidRPr="005B0796" w:rsidRDefault="00D060FC" w:rsidP="0042191E">
            <w:pPr>
              <w:pStyle w:val="TableText"/>
              <w:jc w:val="right"/>
              <w:rPr>
                <w:lang w:eastAsia="en-AU"/>
              </w:rPr>
            </w:pPr>
            <w:r w:rsidRPr="005B0796">
              <w:rPr>
                <w:lang w:eastAsia="en-AU"/>
              </w:rPr>
              <w:t>33</w:t>
            </w:r>
          </w:p>
        </w:tc>
        <w:tc>
          <w:tcPr>
            <w:tcW w:w="209" w:type="pct"/>
            <w:hideMark/>
          </w:tcPr>
          <w:p w:rsidR="00D060FC" w:rsidRPr="005B0796" w:rsidRDefault="00D060FC" w:rsidP="0042191E">
            <w:pPr>
              <w:pStyle w:val="TableText"/>
              <w:jc w:val="right"/>
              <w:rPr>
                <w:lang w:eastAsia="en-AU"/>
              </w:rPr>
            </w:pPr>
            <w:r w:rsidRPr="005B0796">
              <w:rPr>
                <w:lang w:eastAsia="en-AU"/>
              </w:rPr>
              <w:t>1.0</w:t>
            </w:r>
          </w:p>
        </w:tc>
        <w:tc>
          <w:tcPr>
            <w:tcW w:w="225" w:type="pct"/>
            <w:hideMark/>
          </w:tcPr>
          <w:p w:rsidR="00D060FC" w:rsidRPr="005B0796" w:rsidRDefault="00D060FC" w:rsidP="0042191E">
            <w:pPr>
              <w:pStyle w:val="TableText"/>
              <w:jc w:val="right"/>
              <w:rPr>
                <w:lang w:eastAsia="en-AU"/>
              </w:rPr>
            </w:pPr>
            <w:r w:rsidRPr="005B0796">
              <w:rPr>
                <w:lang w:eastAsia="en-AU"/>
              </w:rPr>
              <w:t>0.3, 3.8</w:t>
            </w:r>
          </w:p>
        </w:tc>
        <w:tc>
          <w:tcPr>
            <w:tcW w:w="357" w:type="pct"/>
            <w:hideMark/>
          </w:tcPr>
          <w:p w:rsidR="00D060FC" w:rsidRPr="005B0796" w:rsidRDefault="00D060FC" w:rsidP="0042191E">
            <w:pPr>
              <w:pStyle w:val="TableText"/>
              <w:jc w:val="right"/>
              <w:rPr>
                <w:lang w:eastAsia="en-AU"/>
              </w:rPr>
            </w:pPr>
            <w:r w:rsidRPr="005B0796">
              <w:rPr>
                <w:lang w:eastAsia="en-AU"/>
              </w:rPr>
              <w:t>58</w:t>
            </w:r>
          </w:p>
        </w:tc>
        <w:tc>
          <w:tcPr>
            <w:tcW w:w="209" w:type="pct"/>
            <w:hideMark/>
          </w:tcPr>
          <w:p w:rsidR="00D060FC" w:rsidRPr="005B0796" w:rsidRDefault="00D060FC" w:rsidP="0042191E">
            <w:pPr>
              <w:pStyle w:val="TableText"/>
              <w:jc w:val="right"/>
              <w:rPr>
                <w:lang w:eastAsia="en-AU"/>
              </w:rPr>
            </w:pPr>
            <w:r w:rsidRPr="005B0796">
              <w:rPr>
                <w:lang w:eastAsia="en-AU"/>
              </w:rPr>
              <w:t>2.8</w:t>
            </w:r>
          </w:p>
        </w:tc>
        <w:tc>
          <w:tcPr>
            <w:tcW w:w="209" w:type="pct"/>
            <w:hideMark/>
          </w:tcPr>
          <w:p w:rsidR="00D060FC" w:rsidRPr="005B0796" w:rsidRDefault="00D060FC" w:rsidP="0042191E">
            <w:pPr>
              <w:pStyle w:val="TableText"/>
              <w:jc w:val="right"/>
              <w:rPr>
                <w:lang w:eastAsia="en-AU"/>
              </w:rPr>
            </w:pPr>
            <w:r w:rsidRPr="005B0796">
              <w:rPr>
                <w:lang w:eastAsia="en-AU"/>
              </w:rPr>
              <w:t>1.1, 7.3</w:t>
            </w:r>
          </w:p>
        </w:tc>
        <w:tc>
          <w:tcPr>
            <w:tcW w:w="357" w:type="pct"/>
            <w:hideMark/>
          </w:tcPr>
          <w:p w:rsidR="00D060FC" w:rsidRPr="005B0796" w:rsidRDefault="00D060FC" w:rsidP="0042191E">
            <w:pPr>
              <w:pStyle w:val="TableText"/>
              <w:jc w:val="right"/>
              <w:rPr>
                <w:lang w:eastAsia="en-AU"/>
              </w:rPr>
            </w:pPr>
            <w:r w:rsidRPr="005B0796">
              <w:rPr>
                <w:lang w:eastAsia="en-AU"/>
              </w:rPr>
              <w:t>27</w:t>
            </w:r>
          </w:p>
        </w:tc>
        <w:tc>
          <w:tcPr>
            <w:tcW w:w="166" w:type="pct"/>
            <w:hideMark/>
          </w:tcPr>
          <w:p w:rsidR="00D060FC" w:rsidRPr="005B0796" w:rsidRDefault="00D060FC" w:rsidP="0042191E">
            <w:pPr>
              <w:pStyle w:val="TableText"/>
              <w:jc w:val="right"/>
              <w:rPr>
                <w:lang w:eastAsia="en-AU"/>
              </w:rPr>
            </w:pPr>
            <w:r w:rsidRPr="005B0796">
              <w:rPr>
                <w:lang w:eastAsia="en-AU"/>
              </w:rPr>
              <w:t>2.8</w:t>
            </w:r>
          </w:p>
        </w:tc>
        <w:tc>
          <w:tcPr>
            <w:tcW w:w="225" w:type="pct"/>
            <w:hideMark/>
          </w:tcPr>
          <w:p w:rsidR="00D060FC" w:rsidRPr="005B0796" w:rsidRDefault="00D060FC" w:rsidP="0042191E">
            <w:pPr>
              <w:pStyle w:val="TableText"/>
              <w:jc w:val="right"/>
              <w:rPr>
                <w:lang w:eastAsia="en-AU"/>
              </w:rPr>
            </w:pPr>
            <w:r w:rsidRPr="005B0796">
              <w:rPr>
                <w:lang w:eastAsia="en-AU"/>
              </w:rPr>
              <w:t>0.7, 10.2</w:t>
            </w:r>
          </w:p>
        </w:tc>
        <w:tc>
          <w:tcPr>
            <w:tcW w:w="357" w:type="pct"/>
            <w:hideMark/>
          </w:tcPr>
          <w:p w:rsidR="00D060FC" w:rsidRPr="005B0796" w:rsidRDefault="00D060FC" w:rsidP="0042191E">
            <w:pPr>
              <w:pStyle w:val="TableText"/>
              <w:jc w:val="right"/>
              <w:rPr>
                <w:lang w:eastAsia="en-AU"/>
              </w:rPr>
            </w:pPr>
            <w:r w:rsidRPr="005B0796">
              <w:rPr>
                <w:lang w:eastAsia="en-AU"/>
              </w:rPr>
              <w:t>219</w:t>
            </w:r>
          </w:p>
        </w:tc>
        <w:tc>
          <w:tcPr>
            <w:tcW w:w="173" w:type="pct"/>
            <w:hideMark/>
          </w:tcPr>
          <w:p w:rsidR="00D060FC" w:rsidRPr="005B0796" w:rsidRDefault="00D060FC" w:rsidP="0042191E">
            <w:pPr>
              <w:pStyle w:val="TableText"/>
              <w:jc w:val="right"/>
              <w:rPr>
                <w:lang w:eastAsia="en-AU"/>
              </w:rPr>
            </w:pPr>
            <w:r w:rsidRPr="005B0796">
              <w:rPr>
                <w:lang w:eastAsia="en-AU"/>
              </w:rPr>
              <w:t>3.8</w:t>
            </w:r>
          </w:p>
        </w:tc>
        <w:tc>
          <w:tcPr>
            <w:tcW w:w="209" w:type="pct"/>
            <w:hideMark/>
          </w:tcPr>
          <w:p w:rsidR="00D060FC" w:rsidRPr="005B0796" w:rsidRDefault="00D060FC" w:rsidP="0042191E">
            <w:pPr>
              <w:pStyle w:val="TableText"/>
              <w:jc w:val="right"/>
              <w:rPr>
                <w:lang w:eastAsia="en-AU"/>
              </w:rPr>
            </w:pPr>
            <w:r w:rsidRPr="005B0796">
              <w:t>2.4, 5.9</w:t>
            </w:r>
          </w:p>
        </w:tc>
      </w:tr>
      <w:tr w:rsidR="00AD56D5" w:rsidRPr="005B0796" w:rsidTr="00F6614D">
        <w:tc>
          <w:tcPr>
            <w:tcW w:w="398" w:type="pct"/>
            <w:hideMark/>
          </w:tcPr>
          <w:p w:rsidR="00D060FC" w:rsidRPr="005B0796" w:rsidRDefault="00D060FC" w:rsidP="0042191E">
            <w:pPr>
              <w:pStyle w:val="TableText"/>
              <w:rPr>
                <w:rFonts w:eastAsia="Times New Roman"/>
                <w:i/>
              </w:rPr>
            </w:pPr>
            <w:r w:rsidRPr="005B0796">
              <w:rPr>
                <w:lang w:eastAsia="en-AU"/>
              </w:rPr>
              <w:t>Posttraumatic stress disorder</w:t>
            </w:r>
          </w:p>
        </w:tc>
        <w:tc>
          <w:tcPr>
            <w:tcW w:w="352" w:type="pct"/>
            <w:hideMark/>
          </w:tcPr>
          <w:p w:rsidR="00D060FC" w:rsidRPr="005B0796" w:rsidRDefault="00D060FC" w:rsidP="0042191E">
            <w:pPr>
              <w:pStyle w:val="TableText"/>
              <w:jc w:val="right"/>
              <w:rPr>
                <w:lang w:eastAsia="en-AU"/>
              </w:rPr>
            </w:pPr>
            <w:r w:rsidRPr="005B0796">
              <w:rPr>
                <w:lang w:eastAsia="en-AU"/>
              </w:rPr>
              <w:t>275</w:t>
            </w:r>
          </w:p>
        </w:tc>
        <w:tc>
          <w:tcPr>
            <w:tcW w:w="197" w:type="pct"/>
            <w:hideMark/>
          </w:tcPr>
          <w:p w:rsidR="00D060FC" w:rsidRPr="005B0796" w:rsidRDefault="00D060FC" w:rsidP="0042191E">
            <w:pPr>
              <w:pStyle w:val="TableText"/>
              <w:jc w:val="right"/>
              <w:rPr>
                <w:lang w:eastAsia="en-AU"/>
              </w:rPr>
            </w:pPr>
            <w:r w:rsidRPr="005B0796">
              <w:rPr>
                <w:lang w:eastAsia="en-AU"/>
              </w:rPr>
              <w:t>11.4</w:t>
            </w:r>
          </w:p>
        </w:tc>
        <w:tc>
          <w:tcPr>
            <w:tcW w:w="235" w:type="pct"/>
            <w:hideMark/>
          </w:tcPr>
          <w:p w:rsidR="00D060FC" w:rsidRPr="005B0796" w:rsidRDefault="00D060FC" w:rsidP="0042191E">
            <w:pPr>
              <w:pStyle w:val="TableText"/>
              <w:jc w:val="right"/>
              <w:rPr>
                <w:lang w:eastAsia="en-AU"/>
              </w:rPr>
            </w:pPr>
            <w:r w:rsidRPr="005B0796">
              <w:rPr>
                <w:lang w:eastAsia="en-AU"/>
              </w:rPr>
              <w:t>3.8, 29.6</w:t>
            </w:r>
          </w:p>
        </w:tc>
        <w:tc>
          <w:tcPr>
            <w:tcW w:w="331" w:type="pct"/>
            <w:hideMark/>
          </w:tcPr>
          <w:p w:rsidR="00D060FC" w:rsidRPr="005B0796" w:rsidRDefault="00D060FC" w:rsidP="0042191E">
            <w:pPr>
              <w:pStyle w:val="TableText"/>
              <w:jc w:val="right"/>
              <w:rPr>
                <w:lang w:eastAsia="en-AU"/>
              </w:rPr>
            </w:pPr>
            <w:r w:rsidRPr="005B0796">
              <w:rPr>
                <w:lang w:eastAsia="en-AU"/>
              </w:rPr>
              <w:t>1911</w:t>
            </w:r>
          </w:p>
        </w:tc>
        <w:tc>
          <w:tcPr>
            <w:tcW w:w="209" w:type="pct"/>
            <w:hideMark/>
          </w:tcPr>
          <w:p w:rsidR="00D060FC" w:rsidRPr="005B0796" w:rsidRDefault="00D060FC" w:rsidP="0042191E">
            <w:pPr>
              <w:pStyle w:val="TableText"/>
              <w:jc w:val="right"/>
              <w:rPr>
                <w:lang w:eastAsia="en-AU"/>
              </w:rPr>
            </w:pPr>
            <w:r w:rsidRPr="005B0796">
              <w:rPr>
                <w:lang w:eastAsia="en-AU"/>
              </w:rPr>
              <w:t>21.2</w:t>
            </w:r>
          </w:p>
        </w:tc>
        <w:tc>
          <w:tcPr>
            <w:tcW w:w="225" w:type="pct"/>
            <w:hideMark/>
          </w:tcPr>
          <w:p w:rsidR="00D060FC" w:rsidRPr="005B0796" w:rsidRDefault="00D060FC" w:rsidP="0042191E">
            <w:pPr>
              <w:pStyle w:val="TableText"/>
              <w:jc w:val="right"/>
              <w:rPr>
                <w:lang w:eastAsia="en-AU"/>
              </w:rPr>
            </w:pPr>
            <w:r w:rsidRPr="005B0796">
              <w:rPr>
                <w:lang w:eastAsia="en-AU"/>
              </w:rPr>
              <w:t>14.2, 30.4</w:t>
            </w:r>
          </w:p>
        </w:tc>
        <w:tc>
          <w:tcPr>
            <w:tcW w:w="357" w:type="pct"/>
            <w:hideMark/>
          </w:tcPr>
          <w:p w:rsidR="00D060FC" w:rsidRPr="005B0796" w:rsidRDefault="00D060FC" w:rsidP="0042191E">
            <w:pPr>
              <w:pStyle w:val="TableText"/>
              <w:jc w:val="right"/>
              <w:rPr>
                <w:lang w:eastAsia="en-AU"/>
              </w:rPr>
            </w:pPr>
            <w:r w:rsidRPr="005B0796">
              <w:rPr>
                <w:lang w:eastAsia="en-AU"/>
              </w:rPr>
              <w:t>445</w:t>
            </w:r>
          </w:p>
        </w:tc>
        <w:tc>
          <w:tcPr>
            <w:tcW w:w="209" w:type="pct"/>
            <w:hideMark/>
          </w:tcPr>
          <w:p w:rsidR="00D060FC" w:rsidRPr="005B0796" w:rsidRDefault="00D060FC" w:rsidP="0042191E">
            <w:pPr>
              <w:pStyle w:val="TableText"/>
              <w:jc w:val="right"/>
              <w:rPr>
                <w:lang w:eastAsia="en-AU"/>
              </w:rPr>
            </w:pPr>
            <w:r w:rsidRPr="005B0796">
              <w:rPr>
                <w:lang w:eastAsia="en-AU"/>
              </w:rPr>
              <w:t>13.5</w:t>
            </w:r>
          </w:p>
        </w:tc>
        <w:tc>
          <w:tcPr>
            <w:tcW w:w="225" w:type="pct"/>
            <w:hideMark/>
          </w:tcPr>
          <w:p w:rsidR="00D060FC" w:rsidRPr="005B0796" w:rsidRDefault="00D060FC" w:rsidP="0042191E">
            <w:pPr>
              <w:pStyle w:val="TableText"/>
              <w:jc w:val="right"/>
              <w:rPr>
                <w:lang w:eastAsia="en-AU"/>
              </w:rPr>
            </w:pPr>
            <w:r w:rsidRPr="005B0796">
              <w:rPr>
                <w:lang w:eastAsia="en-AU"/>
              </w:rPr>
              <w:t>7.1, 24.2</w:t>
            </w:r>
          </w:p>
        </w:tc>
        <w:tc>
          <w:tcPr>
            <w:tcW w:w="357" w:type="pct"/>
            <w:hideMark/>
          </w:tcPr>
          <w:p w:rsidR="00D060FC" w:rsidRPr="005B0796" w:rsidRDefault="00D060FC" w:rsidP="0042191E">
            <w:pPr>
              <w:pStyle w:val="TableText"/>
              <w:jc w:val="right"/>
              <w:rPr>
                <w:lang w:eastAsia="en-AU"/>
              </w:rPr>
            </w:pPr>
            <w:r w:rsidRPr="005B0796">
              <w:rPr>
                <w:lang w:eastAsia="en-AU"/>
              </w:rPr>
              <w:t>252</w:t>
            </w:r>
          </w:p>
        </w:tc>
        <w:tc>
          <w:tcPr>
            <w:tcW w:w="209" w:type="pct"/>
            <w:hideMark/>
          </w:tcPr>
          <w:p w:rsidR="00D060FC" w:rsidRPr="005B0796" w:rsidRDefault="00D060FC" w:rsidP="0042191E">
            <w:pPr>
              <w:pStyle w:val="TableText"/>
              <w:jc w:val="right"/>
              <w:rPr>
                <w:lang w:eastAsia="en-AU"/>
              </w:rPr>
            </w:pPr>
            <w:r w:rsidRPr="005B0796">
              <w:rPr>
                <w:lang w:eastAsia="en-AU"/>
              </w:rPr>
              <w:t>12.1</w:t>
            </w:r>
          </w:p>
        </w:tc>
        <w:tc>
          <w:tcPr>
            <w:tcW w:w="209" w:type="pct"/>
            <w:hideMark/>
          </w:tcPr>
          <w:p w:rsidR="00D060FC" w:rsidRPr="005B0796" w:rsidRDefault="00D060FC" w:rsidP="0042191E">
            <w:pPr>
              <w:pStyle w:val="TableText"/>
              <w:jc w:val="right"/>
              <w:rPr>
                <w:lang w:eastAsia="en-AU"/>
              </w:rPr>
            </w:pPr>
            <w:r w:rsidRPr="005B0796">
              <w:rPr>
                <w:lang w:eastAsia="en-AU"/>
              </w:rPr>
              <w:t>7.3, 19.4</w:t>
            </w:r>
          </w:p>
        </w:tc>
        <w:tc>
          <w:tcPr>
            <w:tcW w:w="357" w:type="pct"/>
            <w:hideMark/>
          </w:tcPr>
          <w:p w:rsidR="00D060FC" w:rsidRPr="005B0796" w:rsidRDefault="00D060FC" w:rsidP="0042191E">
            <w:pPr>
              <w:pStyle w:val="TableText"/>
              <w:jc w:val="right"/>
              <w:rPr>
                <w:lang w:eastAsia="en-AU"/>
              </w:rPr>
            </w:pPr>
            <w:r w:rsidRPr="005B0796">
              <w:rPr>
                <w:lang w:eastAsia="en-AU"/>
              </w:rPr>
              <w:t>145</w:t>
            </w:r>
          </w:p>
        </w:tc>
        <w:tc>
          <w:tcPr>
            <w:tcW w:w="166" w:type="pct"/>
            <w:hideMark/>
          </w:tcPr>
          <w:p w:rsidR="00D060FC" w:rsidRPr="005B0796" w:rsidRDefault="00D060FC" w:rsidP="0042191E">
            <w:pPr>
              <w:pStyle w:val="TableText"/>
              <w:jc w:val="right"/>
              <w:rPr>
                <w:lang w:eastAsia="en-AU"/>
              </w:rPr>
            </w:pPr>
            <w:r w:rsidRPr="005B0796">
              <w:rPr>
                <w:lang w:eastAsia="en-AU"/>
              </w:rPr>
              <w:t>15.0</w:t>
            </w:r>
          </w:p>
        </w:tc>
        <w:tc>
          <w:tcPr>
            <w:tcW w:w="225" w:type="pct"/>
            <w:hideMark/>
          </w:tcPr>
          <w:p w:rsidR="00D060FC" w:rsidRPr="005B0796" w:rsidRDefault="00D060FC" w:rsidP="0042191E">
            <w:pPr>
              <w:pStyle w:val="TableText"/>
              <w:jc w:val="right"/>
              <w:rPr>
                <w:lang w:eastAsia="en-AU"/>
              </w:rPr>
            </w:pPr>
            <w:r w:rsidRPr="005B0796">
              <w:rPr>
                <w:lang w:eastAsia="en-AU"/>
              </w:rPr>
              <w:t>8.5, 25.3</w:t>
            </w:r>
          </w:p>
        </w:tc>
        <w:tc>
          <w:tcPr>
            <w:tcW w:w="357" w:type="pct"/>
            <w:hideMark/>
          </w:tcPr>
          <w:p w:rsidR="00D060FC" w:rsidRPr="005B0796" w:rsidRDefault="00D060FC" w:rsidP="0042191E">
            <w:pPr>
              <w:pStyle w:val="TableText"/>
              <w:jc w:val="right"/>
              <w:rPr>
                <w:lang w:eastAsia="en-AU"/>
              </w:rPr>
            </w:pPr>
            <w:r w:rsidRPr="005B0796">
              <w:rPr>
                <w:lang w:eastAsia="en-AU"/>
              </w:rPr>
              <w:t>999</w:t>
            </w:r>
          </w:p>
        </w:tc>
        <w:tc>
          <w:tcPr>
            <w:tcW w:w="173" w:type="pct"/>
            <w:hideMark/>
          </w:tcPr>
          <w:p w:rsidR="00D060FC" w:rsidRPr="005B0796" w:rsidRDefault="00D060FC" w:rsidP="0042191E">
            <w:pPr>
              <w:pStyle w:val="TableText"/>
              <w:jc w:val="right"/>
              <w:rPr>
                <w:lang w:eastAsia="en-AU"/>
              </w:rPr>
            </w:pPr>
            <w:r w:rsidRPr="005B0796">
              <w:rPr>
                <w:lang w:eastAsia="en-AU"/>
              </w:rPr>
              <w:t>17.3</w:t>
            </w:r>
          </w:p>
        </w:tc>
        <w:tc>
          <w:tcPr>
            <w:tcW w:w="209" w:type="pct"/>
            <w:hideMark/>
          </w:tcPr>
          <w:p w:rsidR="00D060FC" w:rsidRPr="005B0796" w:rsidRDefault="00D060FC" w:rsidP="0042191E">
            <w:pPr>
              <w:pStyle w:val="TableText"/>
              <w:jc w:val="right"/>
              <w:rPr>
                <w:lang w:eastAsia="en-AU"/>
              </w:rPr>
            </w:pPr>
            <w:r w:rsidRPr="005B0796">
              <w:t>14.2, 21.0</w:t>
            </w:r>
          </w:p>
        </w:tc>
      </w:tr>
      <w:tr w:rsidR="0042191E" w:rsidRPr="005B0796" w:rsidTr="00F6614D">
        <w:trPr>
          <w:cnfStyle w:val="000000100000" w:firstRow="0" w:lastRow="0" w:firstColumn="0" w:lastColumn="0" w:oddVBand="0" w:evenVBand="0" w:oddHBand="1" w:evenHBand="0" w:firstRowFirstColumn="0" w:firstRowLastColumn="0" w:lastRowFirstColumn="0" w:lastRowLastColumn="0"/>
        </w:trPr>
        <w:tc>
          <w:tcPr>
            <w:tcW w:w="398" w:type="pct"/>
            <w:hideMark/>
          </w:tcPr>
          <w:p w:rsidR="00D060FC" w:rsidRPr="005B0796" w:rsidRDefault="00D060FC" w:rsidP="0042191E">
            <w:pPr>
              <w:pStyle w:val="TableText"/>
              <w:rPr>
                <w:rFonts w:eastAsia="Times New Roman"/>
                <w:lang w:eastAsia="en-AU"/>
              </w:rPr>
            </w:pPr>
            <w:r w:rsidRPr="005B0796">
              <w:rPr>
                <w:lang w:eastAsia="en-AU"/>
              </w:rPr>
              <w:t>Any anxiety disorder</w:t>
            </w:r>
          </w:p>
        </w:tc>
        <w:tc>
          <w:tcPr>
            <w:tcW w:w="352" w:type="pct"/>
            <w:hideMark/>
          </w:tcPr>
          <w:p w:rsidR="00D060FC" w:rsidRPr="005B0796" w:rsidRDefault="00D060FC" w:rsidP="0042191E">
            <w:pPr>
              <w:pStyle w:val="TableText"/>
              <w:jc w:val="right"/>
              <w:rPr>
                <w:lang w:eastAsia="en-AU"/>
              </w:rPr>
            </w:pPr>
            <w:r w:rsidRPr="005B0796">
              <w:rPr>
                <w:lang w:eastAsia="en-AU"/>
              </w:rPr>
              <w:t>1006</w:t>
            </w:r>
          </w:p>
        </w:tc>
        <w:tc>
          <w:tcPr>
            <w:tcW w:w="197" w:type="pct"/>
            <w:hideMark/>
          </w:tcPr>
          <w:p w:rsidR="00D060FC" w:rsidRPr="005B0796" w:rsidRDefault="00D060FC" w:rsidP="0042191E">
            <w:pPr>
              <w:pStyle w:val="TableText"/>
              <w:jc w:val="right"/>
              <w:rPr>
                <w:lang w:eastAsia="en-AU"/>
              </w:rPr>
            </w:pPr>
            <w:r w:rsidRPr="005B0796">
              <w:rPr>
                <w:lang w:eastAsia="en-AU"/>
              </w:rPr>
              <w:t>41.7</w:t>
            </w:r>
          </w:p>
        </w:tc>
        <w:tc>
          <w:tcPr>
            <w:tcW w:w="235" w:type="pct"/>
            <w:hideMark/>
          </w:tcPr>
          <w:p w:rsidR="00D060FC" w:rsidRPr="005B0796" w:rsidRDefault="00D060FC" w:rsidP="0042191E">
            <w:pPr>
              <w:pStyle w:val="TableText"/>
              <w:jc w:val="right"/>
              <w:rPr>
                <w:lang w:eastAsia="en-AU"/>
              </w:rPr>
            </w:pPr>
            <w:r w:rsidRPr="005B0796">
              <w:rPr>
                <w:lang w:eastAsia="en-AU"/>
              </w:rPr>
              <w:t>23.0, 63.2</w:t>
            </w:r>
          </w:p>
        </w:tc>
        <w:tc>
          <w:tcPr>
            <w:tcW w:w="331" w:type="pct"/>
            <w:hideMark/>
          </w:tcPr>
          <w:p w:rsidR="00D060FC" w:rsidRPr="005B0796" w:rsidRDefault="00D060FC" w:rsidP="0042191E">
            <w:pPr>
              <w:pStyle w:val="TableText"/>
              <w:jc w:val="right"/>
              <w:rPr>
                <w:lang w:eastAsia="en-AU"/>
              </w:rPr>
            </w:pPr>
            <w:r w:rsidRPr="005B0796">
              <w:rPr>
                <w:lang w:eastAsia="en-AU"/>
              </w:rPr>
              <w:t>3354</w:t>
            </w:r>
          </w:p>
        </w:tc>
        <w:tc>
          <w:tcPr>
            <w:tcW w:w="209" w:type="pct"/>
            <w:hideMark/>
          </w:tcPr>
          <w:p w:rsidR="00D060FC" w:rsidRPr="005B0796" w:rsidRDefault="00D060FC" w:rsidP="0042191E">
            <w:pPr>
              <w:pStyle w:val="TableText"/>
              <w:jc w:val="right"/>
              <w:rPr>
                <w:lang w:eastAsia="en-AU"/>
              </w:rPr>
            </w:pPr>
            <w:r w:rsidRPr="005B0796">
              <w:rPr>
                <w:lang w:eastAsia="en-AU"/>
              </w:rPr>
              <w:t>37.2</w:t>
            </w:r>
          </w:p>
        </w:tc>
        <w:tc>
          <w:tcPr>
            <w:tcW w:w="225" w:type="pct"/>
            <w:hideMark/>
          </w:tcPr>
          <w:p w:rsidR="00D060FC" w:rsidRPr="005B0796" w:rsidRDefault="00D060FC" w:rsidP="0042191E">
            <w:pPr>
              <w:pStyle w:val="TableText"/>
              <w:jc w:val="right"/>
              <w:rPr>
                <w:lang w:eastAsia="en-AU"/>
              </w:rPr>
            </w:pPr>
            <w:r w:rsidRPr="005B0796">
              <w:rPr>
                <w:lang w:eastAsia="en-AU"/>
              </w:rPr>
              <w:t>28.2, 47.2</w:t>
            </w:r>
          </w:p>
        </w:tc>
        <w:tc>
          <w:tcPr>
            <w:tcW w:w="357" w:type="pct"/>
            <w:hideMark/>
          </w:tcPr>
          <w:p w:rsidR="00D060FC" w:rsidRPr="005B0796" w:rsidRDefault="00D060FC" w:rsidP="0042191E">
            <w:pPr>
              <w:pStyle w:val="TableText"/>
              <w:jc w:val="right"/>
              <w:rPr>
                <w:lang w:eastAsia="en-AU"/>
              </w:rPr>
            </w:pPr>
            <w:r w:rsidRPr="005B0796">
              <w:rPr>
                <w:lang w:eastAsia="en-AU"/>
              </w:rPr>
              <w:t>1358</w:t>
            </w:r>
          </w:p>
        </w:tc>
        <w:tc>
          <w:tcPr>
            <w:tcW w:w="209" w:type="pct"/>
            <w:hideMark/>
          </w:tcPr>
          <w:p w:rsidR="00D060FC" w:rsidRPr="005B0796" w:rsidRDefault="00D060FC" w:rsidP="0042191E">
            <w:pPr>
              <w:pStyle w:val="TableText"/>
              <w:jc w:val="right"/>
              <w:rPr>
                <w:lang w:eastAsia="en-AU"/>
              </w:rPr>
            </w:pPr>
            <w:r w:rsidRPr="005B0796">
              <w:rPr>
                <w:lang w:eastAsia="en-AU"/>
              </w:rPr>
              <w:t>41.2</w:t>
            </w:r>
          </w:p>
        </w:tc>
        <w:tc>
          <w:tcPr>
            <w:tcW w:w="225" w:type="pct"/>
            <w:hideMark/>
          </w:tcPr>
          <w:p w:rsidR="00D060FC" w:rsidRPr="005B0796" w:rsidRDefault="00D060FC" w:rsidP="0042191E">
            <w:pPr>
              <w:pStyle w:val="TableText"/>
              <w:jc w:val="right"/>
              <w:rPr>
                <w:lang w:eastAsia="en-AU"/>
              </w:rPr>
            </w:pPr>
            <w:r w:rsidRPr="005B0796">
              <w:rPr>
                <w:lang w:eastAsia="en-AU"/>
              </w:rPr>
              <w:t>28.3, 55.5</w:t>
            </w:r>
          </w:p>
        </w:tc>
        <w:tc>
          <w:tcPr>
            <w:tcW w:w="357" w:type="pct"/>
            <w:hideMark/>
          </w:tcPr>
          <w:p w:rsidR="00D060FC" w:rsidRPr="005B0796" w:rsidRDefault="00D060FC" w:rsidP="0042191E">
            <w:pPr>
              <w:pStyle w:val="TableText"/>
              <w:jc w:val="right"/>
              <w:rPr>
                <w:lang w:eastAsia="en-AU"/>
              </w:rPr>
            </w:pPr>
            <w:r w:rsidRPr="005B0796">
              <w:rPr>
                <w:lang w:eastAsia="en-AU"/>
              </w:rPr>
              <w:t>526</w:t>
            </w:r>
          </w:p>
        </w:tc>
        <w:tc>
          <w:tcPr>
            <w:tcW w:w="209" w:type="pct"/>
            <w:hideMark/>
          </w:tcPr>
          <w:p w:rsidR="00D060FC" w:rsidRPr="005B0796" w:rsidRDefault="00D060FC" w:rsidP="0042191E">
            <w:pPr>
              <w:pStyle w:val="TableText"/>
              <w:jc w:val="right"/>
              <w:rPr>
                <w:lang w:eastAsia="en-AU"/>
              </w:rPr>
            </w:pPr>
            <w:r w:rsidRPr="005B0796">
              <w:rPr>
                <w:lang w:eastAsia="en-AU"/>
              </w:rPr>
              <w:t>25.2</w:t>
            </w:r>
          </w:p>
        </w:tc>
        <w:tc>
          <w:tcPr>
            <w:tcW w:w="209" w:type="pct"/>
            <w:hideMark/>
          </w:tcPr>
          <w:p w:rsidR="00D060FC" w:rsidRPr="005B0796" w:rsidRDefault="00D060FC" w:rsidP="0042191E">
            <w:pPr>
              <w:pStyle w:val="TableText"/>
              <w:jc w:val="right"/>
              <w:rPr>
                <w:lang w:eastAsia="en-AU"/>
              </w:rPr>
            </w:pPr>
            <w:r w:rsidRPr="005B0796">
              <w:rPr>
                <w:lang w:eastAsia="en-AU"/>
              </w:rPr>
              <w:t>17.4, 35.2</w:t>
            </w:r>
          </w:p>
        </w:tc>
        <w:tc>
          <w:tcPr>
            <w:tcW w:w="357" w:type="pct"/>
            <w:hideMark/>
          </w:tcPr>
          <w:p w:rsidR="00D060FC" w:rsidRPr="005B0796" w:rsidRDefault="00D060FC" w:rsidP="0042191E">
            <w:pPr>
              <w:pStyle w:val="TableText"/>
              <w:jc w:val="right"/>
              <w:rPr>
                <w:lang w:eastAsia="en-AU"/>
              </w:rPr>
            </w:pPr>
            <w:r w:rsidRPr="005B0796">
              <w:rPr>
                <w:lang w:eastAsia="en-AU"/>
              </w:rPr>
              <w:t>362</w:t>
            </w:r>
          </w:p>
        </w:tc>
        <w:tc>
          <w:tcPr>
            <w:tcW w:w="166" w:type="pct"/>
            <w:hideMark/>
          </w:tcPr>
          <w:p w:rsidR="00D060FC" w:rsidRPr="005B0796" w:rsidRDefault="00D060FC" w:rsidP="0042191E">
            <w:pPr>
              <w:pStyle w:val="TableText"/>
              <w:jc w:val="right"/>
              <w:rPr>
                <w:lang w:eastAsia="en-AU"/>
              </w:rPr>
            </w:pPr>
            <w:r w:rsidRPr="005B0796">
              <w:rPr>
                <w:lang w:eastAsia="en-AU"/>
              </w:rPr>
              <w:t>37.4</w:t>
            </w:r>
          </w:p>
        </w:tc>
        <w:tc>
          <w:tcPr>
            <w:tcW w:w="225" w:type="pct"/>
            <w:hideMark/>
          </w:tcPr>
          <w:p w:rsidR="00D060FC" w:rsidRPr="005B0796" w:rsidRDefault="00D060FC" w:rsidP="0042191E">
            <w:pPr>
              <w:pStyle w:val="TableText"/>
              <w:jc w:val="right"/>
              <w:rPr>
                <w:lang w:eastAsia="en-AU"/>
              </w:rPr>
            </w:pPr>
            <w:r w:rsidRPr="005B0796">
              <w:rPr>
                <w:lang w:eastAsia="en-AU"/>
              </w:rPr>
              <w:t>26.5, 49.9</w:t>
            </w:r>
          </w:p>
        </w:tc>
        <w:tc>
          <w:tcPr>
            <w:tcW w:w="357" w:type="pct"/>
            <w:hideMark/>
          </w:tcPr>
          <w:p w:rsidR="00D060FC" w:rsidRPr="005B0796" w:rsidRDefault="00D060FC" w:rsidP="0042191E">
            <w:pPr>
              <w:pStyle w:val="TableText"/>
              <w:jc w:val="right"/>
              <w:rPr>
                <w:lang w:eastAsia="en-AU"/>
              </w:rPr>
            </w:pPr>
            <w:r w:rsidRPr="005B0796">
              <w:rPr>
                <w:lang w:eastAsia="en-AU"/>
              </w:rPr>
              <w:t>2049</w:t>
            </w:r>
          </w:p>
        </w:tc>
        <w:tc>
          <w:tcPr>
            <w:tcW w:w="173" w:type="pct"/>
            <w:hideMark/>
          </w:tcPr>
          <w:p w:rsidR="00D060FC" w:rsidRPr="005B0796" w:rsidRDefault="00D060FC" w:rsidP="0042191E">
            <w:pPr>
              <w:pStyle w:val="TableText"/>
              <w:jc w:val="right"/>
              <w:rPr>
                <w:lang w:eastAsia="en-AU"/>
              </w:rPr>
            </w:pPr>
            <w:r w:rsidRPr="005B0796">
              <w:rPr>
                <w:lang w:eastAsia="en-AU"/>
              </w:rPr>
              <w:t>35.5</w:t>
            </w:r>
          </w:p>
        </w:tc>
        <w:tc>
          <w:tcPr>
            <w:tcW w:w="209" w:type="pct"/>
            <w:hideMark/>
          </w:tcPr>
          <w:p w:rsidR="00D060FC" w:rsidRPr="005B0796" w:rsidRDefault="00D060FC" w:rsidP="0042191E">
            <w:pPr>
              <w:pStyle w:val="TableText"/>
              <w:jc w:val="right"/>
              <w:rPr>
                <w:lang w:eastAsia="en-AU"/>
              </w:rPr>
            </w:pPr>
            <w:r w:rsidRPr="005B0796">
              <w:t>30.9, 40.4</w:t>
            </w:r>
          </w:p>
        </w:tc>
      </w:tr>
    </w:tbl>
    <w:p w:rsidR="00EF53A1" w:rsidRPr="005B0796" w:rsidRDefault="00EF53A1" w:rsidP="00EF53A1">
      <w:pPr>
        <w:pStyle w:val="TableNotes"/>
      </w:pPr>
      <w:r w:rsidRPr="005B0796">
        <w:t>Panic disorder: &lt; 4 years vs 4–7.9 years OR 5.3, 95% CI 1.2, 24.4</w:t>
      </w:r>
    </w:p>
    <w:p w:rsidR="00EF53A1" w:rsidRPr="005B0796" w:rsidRDefault="00674D5A" w:rsidP="00EF53A1">
      <w:pPr>
        <w:pStyle w:val="TableNotes"/>
      </w:pPr>
      <w:r w:rsidRPr="005B0796">
        <w:t>Obsessive-</w:t>
      </w:r>
      <w:r w:rsidR="00EF53A1" w:rsidRPr="005B0796">
        <w:t>compulsive disorder: 8–11.9 years vs 4–7.9 years OR 0.1, 95% CI 0.0, 0.6</w:t>
      </w:r>
    </w:p>
    <w:p w:rsidR="00EF53A1" w:rsidRPr="005B0796" w:rsidRDefault="00EF53A1" w:rsidP="00EF53A1">
      <w:pPr>
        <w:pStyle w:val="TableNotes"/>
      </w:pPr>
      <w:r w:rsidRPr="005B0796">
        <w:t>Panic attacks: 12–15.9 years vs 4–7.9 years OR 0.4, 95% CI 0.2, 0.9</w:t>
      </w:r>
    </w:p>
    <w:p w:rsidR="00EF53A1" w:rsidRPr="005B0796" w:rsidRDefault="00EF53A1" w:rsidP="00EF53A1">
      <w:pPr>
        <w:pStyle w:val="TableNotes"/>
      </w:pPr>
      <w:r w:rsidRPr="005B0796">
        <w:t>Posttraumatic stress disorder: 12–15.9 years vs 4–7.9 years OR 0.3, 95% CI 0.2, 0.7; 16–19.9 years vs 4–7.9 years OR 0.4, 95% CI 0.2, 0.9; 20+ years vs 4–7.9 OR 0.4, 95% CI 0.2, 0.9</w:t>
      </w:r>
    </w:p>
    <w:p w:rsidR="00D060FC" w:rsidRPr="005B0796" w:rsidRDefault="00EF53A1" w:rsidP="00EF53A1">
      <w:pPr>
        <w:pStyle w:val="TableNotes"/>
      </w:pPr>
      <w:r w:rsidRPr="005B0796">
        <w:rPr>
          <w:rFonts w:cs="Calibri"/>
          <w:bCs/>
        </w:rPr>
        <w:t xml:space="preserve">Note: 95% CI: 95% </w:t>
      </w:r>
      <w:r w:rsidR="00564689" w:rsidRPr="005B0796">
        <w:rPr>
          <w:rFonts w:cs="Calibri"/>
          <w:bCs/>
        </w:rPr>
        <w:t>confidence interval</w:t>
      </w:r>
    </w:p>
    <w:p w:rsidR="00EF53A1" w:rsidRPr="005B0796" w:rsidRDefault="00EF53A1" w:rsidP="00EF53A1">
      <w:pPr>
        <w:pStyle w:val="FigureName"/>
      </w:pPr>
      <w:bookmarkStart w:id="422" w:name="_Ref484521313"/>
      <w:bookmarkStart w:id="423" w:name="_Toc482023831"/>
      <w:bookmarkStart w:id="424" w:name="_Toc487014355"/>
      <w:bookmarkStart w:id="425" w:name="_Toc51190052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7</w:t>
      </w:r>
      <w:r w:rsidR="00D30A3C">
        <w:rPr>
          <w:noProof/>
        </w:rPr>
        <w:fldChar w:fldCharType="end"/>
      </w:r>
      <w:bookmarkEnd w:id="422"/>
      <w:r w:rsidRPr="005B0796">
        <w:tab/>
        <w:t xml:space="preserve">Estimated prevalence of 12-month ICD-10 anxiety disorders in Transitioned ADF members, by years of service in the Regular </w:t>
      </w:r>
      <w:bookmarkEnd w:id="423"/>
      <w:bookmarkEnd w:id="424"/>
      <w:r w:rsidRPr="005B0796">
        <w:t>ADF</w:t>
      </w:r>
      <w:bookmarkEnd w:id="425"/>
    </w:p>
    <w:tbl>
      <w:tblPr>
        <w:tblW w:w="5000" w:type="pct"/>
        <w:tblLayout w:type="fixed"/>
        <w:tblCellMar>
          <w:left w:w="115" w:type="dxa"/>
          <w:right w:w="115" w:type="dxa"/>
        </w:tblCellMar>
        <w:tblLook w:val="04A0" w:firstRow="1" w:lastRow="0" w:firstColumn="1" w:lastColumn="0" w:noHBand="0" w:noVBand="1"/>
      </w:tblPr>
      <w:tblGrid>
        <w:gridCol w:w="11520"/>
      </w:tblGrid>
      <w:tr w:rsidR="00D060FC" w:rsidRPr="005B0796" w:rsidTr="00C00593">
        <w:trPr>
          <w:cantSplit/>
        </w:trPr>
        <w:tc>
          <w:tcPr>
            <w:tcW w:w="11520" w:type="dxa"/>
          </w:tcPr>
          <w:p w:rsidR="00D060FC" w:rsidRPr="005B0796" w:rsidRDefault="00D060FC" w:rsidP="0019239D">
            <w:r w:rsidRPr="005B0796">
              <w:rPr>
                <w:i/>
                <w:noProof/>
                <w:lang w:eastAsia="en-AU"/>
              </w:rPr>
              <w:drawing>
                <wp:inline distT="0" distB="0" distL="0" distR="0" wp14:anchorId="5ACEEB57" wp14:editId="4F274285">
                  <wp:extent cx="7230140" cy="3827721"/>
                  <wp:effectExtent l="0" t="0" r="8890" b="1905"/>
                  <wp:docPr id="39" name="Chart 39" descr="Figure 4.7 Estimated prevalence of 12-month ICD-10 anxiety disorders in Transitioned ADF members, by years of service in the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D060FC" w:rsidRPr="005B0796" w:rsidRDefault="00EF53A1" w:rsidP="00EF53A1">
      <w:pPr>
        <w:pStyle w:val="TableNotes"/>
      </w:pPr>
      <w:r w:rsidRPr="005B0796">
        <w:t>Panic disorder: &lt; 4 years vs 4–7.9 years OR 5.3, 95% CI 1.2, 24.4</w:t>
      </w:r>
      <w:r w:rsidR="004953B3" w:rsidRPr="005B0796">
        <w:t xml:space="preserve">; </w:t>
      </w:r>
      <w:r w:rsidR="00674D5A" w:rsidRPr="005B0796">
        <w:t>Obsessive-</w:t>
      </w:r>
      <w:r w:rsidRPr="005B0796">
        <w:t>compulsive disorder: 8–11.9 years vs 4–7.9 years OR 0.1, 95% CI 0.0, 0.6</w:t>
      </w:r>
      <w:r w:rsidR="004953B3" w:rsidRPr="005B0796">
        <w:t xml:space="preserve">; </w:t>
      </w:r>
      <w:r w:rsidRPr="005B0796">
        <w:t>Panic attacks: 12–15.9 years vs 4–7.9 years OR 0.4, 95% CI 0.2, 0.9</w:t>
      </w:r>
      <w:r w:rsidR="004953B3" w:rsidRPr="005B0796">
        <w:t xml:space="preserve">; </w:t>
      </w:r>
      <w:r w:rsidRPr="005B0796">
        <w:t>Posttraumatic stress disorder: 12–15.9 years vs 4–7.9 years OR 0.3, 95% CI 0.2, 0.7; 16–19.9 years vs 4–7.9 years OR 0.4, 95% CI 0.2, 0.9; 20+ years vs 4–7.9 OR 0.4, 95% CI 0.2, 0.9</w:t>
      </w:r>
    </w:p>
    <w:p w:rsidR="00D060FC" w:rsidRPr="005B0796" w:rsidRDefault="00D060FC" w:rsidP="00D060FC">
      <w:pPr>
        <w:sectPr w:rsidR="00D060FC" w:rsidRPr="005B0796" w:rsidSect="00BE66A5">
          <w:headerReference w:type="even" r:id="rId59"/>
          <w:headerReference w:type="default" r:id="rId60"/>
          <w:footerReference w:type="even" r:id="rId61"/>
          <w:footerReference w:type="default" r:id="rId62"/>
          <w:pgSz w:w="14170" w:h="9979" w:orient="landscape" w:code="243"/>
          <w:pgMar w:top="1872" w:right="1440" w:bottom="1152" w:left="1440" w:header="576" w:footer="576" w:gutter="0"/>
          <w:cols w:space="708"/>
          <w:docGrid w:linePitch="360"/>
        </w:sectPr>
      </w:pPr>
    </w:p>
    <w:p w:rsidR="00D060FC" w:rsidRPr="005B0796" w:rsidRDefault="00D060FC" w:rsidP="00C00593">
      <w:pPr>
        <w:pStyle w:val="Heading3"/>
        <w:rPr>
          <w:rFonts w:eastAsia="Times New Roman"/>
        </w:rPr>
      </w:pPr>
      <w:bookmarkStart w:id="426" w:name="_Toc482021346"/>
      <w:bookmarkStart w:id="427" w:name="_Toc482024437"/>
      <w:bookmarkStart w:id="428" w:name="_Toc487011195"/>
      <w:bookmarkStart w:id="429" w:name="_Toc494449711"/>
      <w:bookmarkStart w:id="430" w:name="_Toc511900293"/>
      <w:r w:rsidRPr="005B0796">
        <w:t>Transition factors</w:t>
      </w:r>
      <w:bookmarkEnd w:id="426"/>
      <w:bookmarkEnd w:id="427"/>
      <w:bookmarkEnd w:id="428"/>
      <w:bookmarkEnd w:id="429"/>
      <w:bookmarkEnd w:id="430"/>
    </w:p>
    <w:p w:rsidR="00D060FC" w:rsidRPr="005B0796" w:rsidRDefault="00D060FC" w:rsidP="00C00593">
      <w:pPr>
        <w:pStyle w:val="Heading4"/>
      </w:pPr>
      <w:r w:rsidRPr="005B0796">
        <w:t>Years since transition</w:t>
      </w:r>
    </w:p>
    <w:p w:rsidR="00D060FC" w:rsidRPr="005B0796" w:rsidRDefault="009E72D3" w:rsidP="00C00593">
      <w:r w:rsidRPr="005B0796">
        <w:t>Table 4.11</w:t>
      </w:r>
      <w:r w:rsidR="00D060FC" w:rsidRPr="005B0796">
        <w:t xml:space="preserve"> and </w:t>
      </w:r>
      <w:r w:rsidRPr="005B0796">
        <w:t>Figure 4.8</w:t>
      </w:r>
      <w:r w:rsidR="00D060FC" w:rsidRPr="005B0796">
        <w:t xml:space="preserve"> show the estimated prevalence of 12-month anxiety disorders, by years since transition from the Regular ADF. For most anxiety disorder types, there was a notable increase one and two years post-transition. Specifically, compared to ADF members who had transitioned less than 12 months prior (year 0), those who had transitioned </w:t>
      </w:r>
      <w:r w:rsidR="00F6614D">
        <w:t>one</w:t>
      </w:r>
      <w:r w:rsidR="00D060FC" w:rsidRPr="005B0796">
        <w:t xml:space="preserve"> year ago were two times more likely to meet criteria for 12-month panic attacks (OR 2.1, 95% CI 1.0, 4.6), more than four times more likely to meet criteria for 12-month agoraphobia (OR 4.5, 95% CI 1.6, 11.4), </w:t>
      </w:r>
      <w:r w:rsidR="00F6614D">
        <w:t>three</w:t>
      </w:r>
      <w:r w:rsidR="00D060FC" w:rsidRPr="005B0796">
        <w:t xml:space="preserve"> times more likely to meet criteria for 12-month specific phobia (OR 3.0, 95% CI 1.1, 8.3), and just over </w:t>
      </w:r>
      <w:r w:rsidR="00F6614D">
        <w:t>four</w:t>
      </w:r>
      <w:r w:rsidR="00D060FC" w:rsidRPr="005B0796">
        <w:t xml:space="preserve"> times more likely to meet criteria for 12-month generalised anxiety disorder (OR 4.2, 95% CI 1.0, 18.1). Indicating that the elevation in estimated rates of specific phobia and agoraphobia was relatively stable for another year following this increase, those </w:t>
      </w:r>
      <w:r w:rsidR="00F6614D">
        <w:t>two</w:t>
      </w:r>
      <w:r w:rsidR="00D060FC" w:rsidRPr="005B0796">
        <w:t xml:space="preserve"> years post-transition were three times more likely to meet criteria for 12-month agoraphobia (OR 3.3, 95% CI 1.2, 9.0) and two</w:t>
      </w:r>
      <w:r w:rsidR="00F6614D">
        <w:t>-and-a-</w:t>
      </w:r>
      <w:r w:rsidR="00D060FC" w:rsidRPr="005B0796">
        <w:t xml:space="preserve">half times more likely to meet criteria for 12-month specific phobia (OR 2.5, 95% CI 1.0, 6.8) compared to those less than one year post-transition. Interestingly, at two years post transition there was an increase in estimated PTSD prevalence (20.7%, 95% CI 13.2, 31.0), with rates two times higher among this group compared to those less than one year post transition (OR 2.1, 95% CI 1.0, 4.6). Finally, there appears to be a second peak in the estimated prevalence of generalised anxiety disorder at </w:t>
      </w:r>
      <w:r w:rsidR="00F6614D">
        <w:t>four</w:t>
      </w:r>
      <w:r w:rsidR="00D060FC" w:rsidRPr="005B0796">
        <w:t xml:space="preserve"> years post transition, with rates more than four times higher at this point compared to </w:t>
      </w:r>
      <w:r w:rsidR="00F6614D">
        <w:t xml:space="preserve">those </w:t>
      </w:r>
      <w:r w:rsidR="00D060FC" w:rsidRPr="005B0796">
        <w:t>under one year post-transition (OR 4.5, 95% CI 1.0, 20.6).</w:t>
      </w:r>
    </w:p>
    <w:p w:rsidR="008D3AC8" w:rsidRPr="005B0796" w:rsidRDefault="008D3AC8" w:rsidP="00F12D9E">
      <w:pPr>
        <w:pStyle w:val="Heading4"/>
      </w:pPr>
      <w:r w:rsidRPr="005B0796">
        <w:t>Reason for discharge</w:t>
      </w:r>
    </w:p>
    <w:p w:rsidR="008D3AC8" w:rsidRPr="005B0796" w:rsidRDefault="008D3AC8" w:rsidP="00F12D9E">
      <w:r w:rsidRPr="005B0796">
        <w:t>Table 4.12 and Figure 4.9 summarise the estimated prevalence of 12-month anxiety disorder, by reason for discharge. Estimated rates of 12-month ICD-10 anxiety disorders were significantly greater for Transitioned ADF members who were medically discharged (51.3%, 95% CI 41.4, 61.2) compared to those with another type of discharge (30.3%, 95% CI 25.4, 35.7) (OR 2.5, 95% CI 1.5, 4.1). Specifically, those with a me</w:t>
      </w:r>
      <w:r w:rsidR="00F6614D">
        <w:t>dical discharge were nearly two-and-</w:t>
      </w:r>
      <w:r w:rsidRPr="005B0796">
        <w:t>a</w:t>
      </w:r>
      <w:r w:rsidR="00F6614D">
        <w:t>-</w:t>
      </w:r>
      <w:r w:rsidRPr="005B0796">
        <w:t xml:space="preserve">half times more likely to meet criteria for 12-month panic attacks (OR 2.4, 95% CI 1.3, 4.3), three times more likely to meet criteria for panic disorder (OR 3.0, 95% CI 1.2, 7.5), over three times more likely to meet criteria for 12-month agoraphobia (OR 3.3, 95% CI 1.6, 6.7), </w:t>
      </w:r>
      <w:r w:rsidR="00F6614D">
        <w:t>over</w:t>
      </w:r>
      <w:r w:rsidRPr="005B0796">
        <w:t xml:space="preserve"> six times more likely to meet criteria for social phobia (OR 6.2, 95% CI 2.8, 13.7), 7.7 times more likely to meet criteria for specific phobia (OR 7.7, 95% CI 4.7, 12.7), four times more likely to meet criteria for generalised anxiety disorder (OR 4.3, 95% CI 1.5, 12.8) and nearly two times more likely to meet criteria for PTSD (OR 1.8, 95% CI 1.0, 3.1).</w:t>
      </w:r>
    </w:p>
    <w:p w:rsidR="00D060FC" w:rsidRPr="005B0796" w:rsidRDefault="00D060FC" w:rsidP="00D060FC">
      <w:pPr>
        <w:sectPr w:rsidR="00D060FC" w:rsidRPr="005B0796" w:rsidSect="00B56435">
          <w:footerReference w:type="even" r:id="rId63"/>
          <w:footerReference w:type="default" r:id="rId64"/>
          <w:pgSz w:w="9979" w:h="14170" w:code="243"/>
          <w:pgMar w:top="1440" w:right="1152" w:bottom="1440" w:left="1728" w:header="576" w:footer="576" w:gutter="0"/>
          <w:cols w:space="708"/>
          <w:docGrid w:linePitch="360"/>
        </w:sectPr>
      </w:pPr>
    </w:p>
    <w:p w:rsidR="00D060FC" w:rsidRPr="005B0796" w:rsidRDefault="00EF53A1" w:rsidP="00EF53A1">
      <w:pPr>
        <w:pStyle w:val="TableName"/>
      </w:pPr>
      <w:bookmarkStart w:id="431" w:name="_Ref484519769"/>
      <w:bookmarkStart w:id="432" w:name="_Toc482023786"/>
      <w:bookmarkStart w:id="433" w:name="_Toc487014262"/>
      <w:bookmarkStart w:id="434" w:name="_Toc492995565"/>
      <w:bookmarkStart w:id="435" w:name="_Toc51190041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11</w:t>
      </w:r>
      <w:r w:rsidR="00D30A3C">
        <w:rPr>
          <w:noProof/>
        </w:rPr>
        <w:fldChar w:fldCharType="end"/>
      </w:r>
      <w:bookmarkEnd w:id="431"/>
      <w:r w:rsidRPr="005B0796">
        <w:tab/>
        <w:t>Estimated prevalence of 12-month ICD-10 anxiety disorders in Transitioned ADF members, by anxiety disorder type and years since transition</w:t>
      </w:r>
      <w:bookmarkEnd w:id="432"/>
      <w:bookmarkEnd w:id="433"/>
      <w:bookmarkEnd w:id="434"/>
      <w:bookmarkEnd w:id="435"/>
    </w:p>
    <w:tbl>
      <w:tblPr>
        <w:tblStyle w:val="TWRPTable"/>
        <w:tblW w:w="5000" w:type="pct"/>
        <w:tblLayout w:type="fixed"/>
        <w:tblLook w:val="04A0" w:firstRow="1" w:lastRow="0" w:firstColumn="1" w:lastColumn="0" w:noHBand="0" w:noVBand="1"/>
        <w:tblDescription w:val="Table 4.11 Estimated prevalence of 12-month ICD-10 anxiety disorders in Transitioned ADF members, by anxiety disorder type and years since transition"/>
      </w:tblPr>
      <w:tblGrid>
        <w:gridCol w:w="1017"/>
        <w:gridCol w:w="783"/>
        <w:gridCol w:w="464"/>
        <w:gridCol w:w="499"/>
        <w:gridCol w:w="783"/>
        <w:gridCol w:w="464"/>
        <w:gridCol w:w="500"/>
        <w:gridCol w:w="784"/>
        <w:gridCol w:w="465"/>
        <w:gridCol w:w="500"/>
        <w:gridCol w:w="784"/>
        <w:gridCol w:w="465"/>
        <w:gridCol w:w="500"/>
        <w:gridCol w:w="784"/>
        <w:gridCol w:w="465"/>
        <w:gridCol w:w="500"/>
        <w:gridCol w:w="784"/>
        <w:gridCol w:w="465"/>
        <w:gridCol w:w="500"/>
      </w:tblGrid>
      <w:tr w:rsidR="00231128" w:rsidRPr="005B0796" w:rsidTr="0032007D">
        <w:trPr>
          <w:cnfStyle w:val="100000000000" w:firstRow="1" w:lastRow="0" w:firstColumn="0" w:lastColumn="0" w:oddVBand="0" w:evenVBand="0" w:oddHBand="0" w:evenHBand="0" w:firstRowFirstColumn="0" w:firstRowLastColumn="0" w:lastRowFirstColumn="0" w:lastRowLastColumn="0"/>
          <w:tblHeader/>
        </w:trPr>
        <w:tc>
          <w:tcPr>
            <w:tcW w:w="1017" w:type="dxa"/>
            <w:vMerge w:val="restart"/>
            <w:hideMark/>
          </w:tcPr>
          <w:p w:rsidR="00231128" w:rsidRPr="005B0796" w:rsidRDefault="00231128" w:rsidP="00C00593">
            <w:pPr>
              <w:pStyle w:val="TableText"/>
            </w:pPr>
            <w:r w:rsidRPr="005B0796">
              <w:t>ICD-10 anxiety disorder</w:t>
            </w:r>
          </w:p>
        </w:tc>
        <w:tc>
          <w:tcPr>
            <w:tcW w:w="10489" w:type="dxa"/>
            <w:gridSpan w:val="18"/>
          </w:tcPr>
          <w:p w:rsidR="00231128" w:rsidRPr="005B0796" w:rsidRDefault="00231128" w:rsidP="00C00593">
            <w:pPr>
              <w:pStyle w:val="TableText"/>
              <w:jc w:val="center"/>
            </w:pPr>
            <w:r w:rsidRPr="005B0796">
              <w:t>Years since transition</w:t>
            </w:r>
          </w:p>
        </w:tc>
      </w:tr>
      <w:tr w:rsidR="00231128" w:rsidRPr="005B0796" w:rsidTr="0032007D">
        <w:trPr>
          <w:cnfStyle w:val="100000000000" w:firstRow="1" w:lastRow="0" w:firstColumn="0" w:lastColumn="0" w:oddVBand="0" w:evenVBand="0" w:oddHBand="0" w:evenHBand="0" w:firstRowFirstColumn="0" w:firstRowLastColumn="0" w:lastRowFirstColumn="0" w:lastRowLastColumn="0"/>
          <w:tblHeader/>
        </w:trPr>
        <w:tc>
          <w:tcPr>
            <w:tcW w:w="1017" w:type="dxa"/>
            <w:vMerge/>
          </w:tcPr>
          <w:p w:rsidR="00231128" w:rsidRPr="005B0796" w:rsidRDefault="00231128" w:rsidP="00C00593">
            <w:pPr>
              <w:pStyle w:val="TableText"/>
            </w:pPr>
          </w:p>
        </w:tc>
        <w:tc>
          <w:tcPr>
            <w:tcW w:w="1746" w:type="dxa"/>
            <w:gridSpan w:val="3"/>
            <w:hideMark/>
          </w:tcPr>
          <w:p w:rsidR="00231128" w:rsidRPr="005B0796" w:rsidRDefault="00231128" w:rsidP="00C00593">
            <w:pPr>
              <w:pStyle w:val="TableText"/>
              <w:jc w:val="center"/>
            </w:pPr>
            <w:r w:rsidRPr="005B0796">
              <w:t>0 (n = 1945)</w:t>
            </w:r>
          </w:p>
        </w:tc>
        <w:tc>
          <w:tcPr>
            <w:tcW w:w="1747" w:type="dxa"/>
            <w:gridSpan w:val="3"/>
            <w:hideMark/>
          </w:tcPr>
          <w:p w:rsidR="00231128" w:rsidRPr="005B0796" w:rsidRDefault="00231128" w:rsidP="00C00593">
            <w:pPr>
              <w:pStyle w:val="TableText"/>
              <w:jc w:val="center"/>
            </w:pPr>
            <w:r w:rsidRPr="005B0796">
              <w:t>1 (n = 4874)</w:t>
            </w:r>
          </w:p>
        </w:tc>
        <w:tc>
          <w:tcPr>
            <w:tcW w:w="1749" w:type="dxa"/>
            <w:gridSpan w:val="3"/>
            <w:hideMark/>
          </w:tcPr>
          <w:p w:rsidR="00231128" w:rsidRPr="005B0796" w:rsidRDefault="00231128" w:rsidP="00C00593">
            <w:pPr>
              <w:pStyle w:val="TableText"/>
              <w:jc w:val="center"/>
            </w:pPr>
            <w:r w:rsidRPr="005B0796">
              <w:t>2 (n = 4944)</w:t>
            </w:r>
          </w:p>
        </w:tc>
        <w:tc>
          <w:tcPr>
            <w:tcW w:w="1749" w:type="dxa"/>
            <w:gridSpan w:val="3"/>
            <w:hideMark/>
          </w:tcPr>
          <w:p w:rsidR="00231128" w:rsidRPr="005B0796" w:rsidRDefault="00231128" w:rsidP="00C00593">
            <w:pPr>
              <w:pStyle w:val="TableText"/>
              <w:jc w:val="center"/>
            </w:pPr>
            <w:r w:rsidRPr="005B0796">
              <w:t>3 (n = 5233)</w:t>
            </w:r>
          </w:p>
        </w:tc>
        <w:tc>
          <w:tcPr>
            <w:tcW w:w="1749" w:type="dxa"/>
            <w:gridSpan w:val="3"/>
            <w:hideMark/>
          </w:tcPr>
          <w:p w:rsidR="00231128" w:rsidRPr="005B0796" w:rsidRDefault="00231128" w:rsidP="00C00593">
            <w:pPr>
              <w:pStyle w:val="TableText"/>
              <w:jc w:val="center"/>
            </w:pPr>
            <w:r w:rsidRPr="005B0796">
              <w:t>4 (n = 3582)</w:t>
            </w:r>
          </w:p>
        </w:tc>
        <w:tc>
          <w:tcPr>
            <w:tcW w:w="1749" w:type="dxa"/>
            <w:gridSpan w:val="3"/>
            <w:hideMark/>
          </w:tcPr>
          <w:p w:rsidR="00231128" w:rsidRPr="005B0796" w:rsidRDefault="00231128" w:rsidP="00C00593">
            <w:pPr>
              <w:pStyle w:val="TableText"/>
              <w:jc w:val="center"/>
            </w:pPr>
            <w:r w:rsidRPr="005B0796">
              <w:t>5 (n = 2785)</w:t>
            </w:r>
          </w:p>
        </w:tc>
      </w:tr>
      <w:tr w:rsidR="00231128" w:rsidRPr="005B0796" w:rsidTr="0032007D">
        <w:trPr>
          <w:cnfStyle w:val="100000000000" w:firstRow="1" w:lastRow="0" w:firstColumn="0" w:lastColumn="0" w:oddVBand="0" w:evenVBand="0" w:oddHBand="0" w:evenHBand="0" w:firstRowFirstColumn="0" w:firstRowLastColumn="0" w:lastRowFirstColumn="0" w:lastRowLastColumn="0"/>
          <w:tblHeader/>
        </w:trPr>
        <w:tc>
          <w:tcPr>
            <w:tcW w:w="1017" w:type="dxa"/>
            <w:vMerge/>
          </w:tcPr>
          <w:p w:rsidR="00231128" w:rsidRPr="005B0796" w:rsidRDefault="00231128" w:rsidP="00C00593">
            <w:pPr>
              <w:pStyle w:val="TableText"/>
            </w:pPr>
          </w:p>
        </w:tc>
        <w:tc>
          <w:tcPr>
            <w:tcW w:w="783" w:type="dxa"/>
            <w:hideMark/>
          </w:tcPr>
          <w:p w:rsidR="00231128" w:rsidRPr="005B0796" w:rsidRDefault="00231128" w:rsidP="00C00593">
            <w:pPr>
              <w:pStyle w:val="TableText"/>
              <w:jc w:val="right"/>
            </w:pPr>
            <w:r w:rsidRPr="005B0796">
              <w:t>Weighted n</w:t>
            </w:r>
          </w:p>
        </w:tc>
        <w:tc>
          <w:tcPr>
            <w:tcW w:w="464" w:type="dxa"/>
            <w:hideMark/>
          </w:tcPr>
          <w:p w:rsidR="00231128" w:rsidRPr="005B0796" w:rsidRDefault="00231128" w:rsidP="00C00593">
            <w:pPr>
              <w:pStyle w:val="TableText"/>
              <w:jc w:val="right"/>
            </w:pPr>
            <w:r w:rsidRPr="005B0796">
              <w:t>%</w:t>
            </w:r>
          </w:p>
        </w:tc>
        <w:tc>
          <w:tcPr>
            <w:tcW w:w="499" w:type="dxa"/>
            <w:hideMark/>
          </w:tcPr>
          <w:p w:rsidR="00231128" w:rsidRPr="005B0796" w:rsidRDefault="00231128" w:rsidP="00C00593">
            <w:pPr>
              <w:pStyle w:val="TableText"/>
              <w:jc w:val="right"/>
            </w:pPr>
            <w:r w:rsidRPr="005B0796">
              <w:t>95% CI</w:t>
            </w:r>
          </w:p>
        </w:tc>
        <w:tc>
          <w:tcPr>
            <w:tcW w:w="783" w:type="dxa"/>
            <w:hideMark/>
          </w:tcPr>
          <w:p w:rsidR="00231128" w:rsidRPr="005B0796" w:rsidRDefault="00231128" w:rsidP="00C00593">
            <w:pPr>
              <w:pStyle w:val="TableText"/>
              <w:jc w:val="right"/>
            </w:pPr>
            <w:r w:rsidRPr="005B0796">
              <w:t>Weighted n</w:t>
            </w:r>
          </w:p>
        </w:tc>
        <w:tc>
          <w:tcPr>
            <w:tcW w:w="464" w:type="dxa"/>
            <w:hideMark/>
          </w:tcPr>
          <w:p w:rsidR="00231128" w:rsidRPr="005B0796" w:rsidRDefault="00231128" w:rsidP="00C00593">
            <w:pPr>
              <w:pStyle w:val="TableText"/>
              <w:jc w:val="right"/>
            </w:pPr>
            <w:r w:rsidRPr="005B0796">
              <w:t>%</w:t>
            </w:r>
          </w:p>
        </w:tc>
        <w:tc>
          <w:tcPr>
            <w:tcW w:w="500" w:type="dxa"/>
            <w:hideMark/>
          </w:tcPr>
          <w:p w:rsidR="00231128" w:rsidRPr="005B0796" w:rsidRDefault="00231128" w:rsidP="00C00593">
            <w:pPr>
              <w:pStyle w:val="TableText"/>
              <w:jc w:val="right"/>
            </w:pPr>
            <w:r w:rsidRPr="005B0796">
              <w:t>95% CI</w:t>
            </w:r>
          </w:p>
        </w:tc>
        <w:tc>
          <w:tcPr>
            <w:tcW w:w="784" w:type="dxa"/>
            <w:hideMark/>
          </w:tcPr>
          <w:p w:rsidR="00231128" w:rsidRPr="005B0796" w:rsidRDefault="00231128" w:rsidP="00C00593">
            <w:pPr>
              <w:pStyle w:val="TableText"/>
              <w:jc w:val="right"/>
            </w:pPr>
            <w:r w:rsidRPr="005B0796">
              <w:t>Weighted n</w:t>
            </w:r>
          </w:p>
        </w:tc>
        <w:tc>
          <w:tcPr>
            <w:tcW w:w="465" w:type="dxa"/>
            <w:hideMark/>
          </w:tcPr>
          <w:p w:rsidR="00231128" w:rsidRPr="005B0796" w:rsidRDefault="00231128" w:rsidP="00C00593">
            <w:pPr>
              <w:pStyle w:val="TableText"/>
              <w:jc w:val="right"/>
            </w:pPr>
            <w:r w:rsidRPr="005B0796">
              <w:t>%</w:t>
            </w:r>
          </w:p>
        </w:tc>
        <w:tc>
          <w:tcPr>
            <w:tcW w:w="500" w:type="dxa"/>
            <w:hideMark/>
          </w:tcPr>
          <w:p w:rsidR="00231128" w:rsidRPr="005B0796" w:rsidRDefault="00231128" w:rsidP="00C00593">
            <w:pPr>
              <w:pStyle w:val="TableText"/>
              <w:jc w:val="right"/>
            </w:pPr>
            <w:r w:rsidRPr="005B0796">
              <w:t>95% CI</w:t>
            </w:r>
          </w:p>
        </w:tc>
        <w:tc>
          <w:tcPr>
            <w:tcW w:w="784" w:type="dxa"/>
            <w:hideMark/>
          </w:tcPr>
          <w:p w:rsidR="00231128" w:rsidRPr="005B0796" w:rsidRDefault="00231128" w:rsidP="00C00593">
            <w:pPr>
              <w:pStyle w:val="TableText"/>
              <w:jc w:val="right"/>
            </w:pPr>
            <w:r w:rsidRPr="005B0796">
              <w:t>Weighted n</w:t>
            </w:r>
          </w:p>
        </w:tc>
        <w:tc>
          <w:tcPr>
            <w:tcW w:w="465" w:type="dxa"/>
            <w:hideMark/>
          </w:tcPr>
          <w:p w:rsidR="00231128" w:rsidRPr="005B0796" w:rsidRDefault="00231128" w:rsidP="00C00593">
            <w:pPr>
              <w:pStyle w:val="TableText"/>
              <w:jc w:val="right"/>
            </w:pPr>
            <w:r w:rsidRPr="005B0796">
              <w:t>%</w:t>
            </w:r>
          </w:p>
        </w:tc>
        <w:tc>
          <w:tcPr>
            <w:tcW w:w="500" w:type="dxa"/>
            <w:hideMark/>
          </w:tcPr>
          <w:p w:rsidR="00231128" w:rsidRPr="005B0796" w:rsidRDefault="00231128" w:rsidP="00C00593">
            <w:pPr>
              <w:pStyle w:val="TableText"/>
              <w:jc w:val="right"/>
            </w:pPr>
            <w:r w:rsidRPr="005B0796">
              <w:t>95% CI</w:t>
            </w:r>
          </w:p>
        </w:tc>
        <w:tc>
          <w:tcPr>
            <w:tcW w:w="784" w:type="dxa"/>
            <w:hideMark/>
          </w:tcPr>
          <w:p w:rsidR="00231128" w:rsidRPr="005B0796" w:rsidRDefault="00231128" w:rsidP="00C00593">
            <w:pPr>
              <w:pStyle w:val="TableText"/>
              <w:jc w:val="right"/>
            </w:pPr>
            <w:r w:rsidRPr="005B0796">
              <w:t>Weighted n</w:t>
            </w:r>
          </w:p>
        </w:tc>
        <w:tc>
          <w:tcPr>
            <w:tcW w:w="465" w:type="dxa"/>
            <w:hideMark/>
          </w:tcPr>
          <w:p w:rsidR="00231128" w:rsidRPr="005B0796" w:rsidRDefault="00231128" w:rsidP="00C00593">
            <w:pPr>
              <w:pStyle w:val="TableText"/>
              <w:jc w:val="right"/>
            </w:pPr>
            <w:r w:rsidRPr="005B0796">
              <w:t>%</w:t>
            </w:r>
          </w:p>
        </w:tc>
        <w:tc>
          <w:tcPr>
            <w:tcW w:w="500" w:type="dxa"/>
            <w:hideMark/>
          </w:tcPr>
          <w:p w:rsidR="00231128" w:rsidRPr="005B0796" w:rsidRDefault="00231128" w:rsidP="00C00593">
            <w:pPr>
              <w:pStyle w:val="TableText"/>
              <w:jc w:val="right"/>
            </w:pPr>
            <w:r w:rsidRPr="005B0796">
              <w:t>95% CI</w:t>
            </w:r>
          </w:p>
        </w:tc>
        <w:tc>
          <w:tcPr>
            <w:tcW w:w="784" w:type="dxa"/>
            <w:hideMark/>
          </w:tcPr>
          <w:p w:rsidR="00231128" w:rsidRPr="005B0796" w:rsidRDefault="00231128" w:rsidP="00C00593">
            <w:pPr>
              <w:pStyle w:val="TableText"/>
              <w:jc w:val="right"/>
            </w:pPr>
            <w:r w:rsidRPr="005B0796">
              <w:t>Weighted n</w:t>
            </w:r>
          </w:p>
        </w:tc>
        <w:tc>
          <w:tcPr>
            <w:tcW w:w="465" w:type="dxa"/>
            <w:hideMark/>
          </w:tcPr>
          <w:p w:rsidR="00231128" w:rsidRPr="005B0796" w:rsidRDefault="00231128" w:rsidP="00C00593">
            <w:pPr>
              <w:pStyle w:val="TableText"/>
              <w:jc w:val="right"/>
            </w:pPr>
            <w:r w:rsidRPr="005B0796">
              <w:t>%</w:t>
            </w:r>
          </w:p>
        </w:tc>
        <w:tc>
          <w:tcPr>
            <w:tcW w:w="500" w:type="dxa"/>
            <w:hideMark/>
          </w:tcPr>
          <w:p w:rsidR="00231128" w:rsidRPr="005B0796" w:rsidRDefault="00231128" w:rsidP="00C00593">
            <w:pPr>
              <w:pStyle w:val="TableText"/>
              <w:jc w:val="right"/>
            </w:pPr>
            <w:r w:rsidRPr="005B0796">
              <w:t>95% CI</w:t>
            </w:r>
          </w:p>
        </w:tc>
      </w:tr>
      <w:tr w:rsidR="00C00593" w:rsidRPr="005B0796" w:rsidTr="00C00593">
        <w:trPr>
          <w:cnfStyle w:val="000000100000" w:firstRow="0" w:lastRow="0" w:firstColumn="0" w:lastColumn="0" w:oddVBand="0" w:evenVBand="0" w:oddHBand="1" w:evenHBand="0" w:firstRowFirstColumn="0" w:firstRowLastColumn="0" w:lastRowFirstColumn="0" w:lastRowLastColumn="0"/>
        </w:trPr>
        <w:tc>
          <w:tcPr>
            <w:tcW w:w="1017" w:type="dxa"/>
            <w:hideMark/>
          </w:tcPr>
          <w:p w:rsidR="00D060FC" w:rsidRPr="005B0796" w:rsidRDefault="00D060FC" w:rsidP="00C00593">
            <w:pPr>
              <w:pStyle w:val="TableText"/>
            </w:pPr>
            <w:r w:rsidRPr="005B0796">
              <w:rPr>
                <w:lang w:eastAsia="en-AU"/>
              </w:rPr>
              <w:t>Panic attack</w:t>
            </w:r>
            <w:r w:rsidRPr="005B0796">
              <w:rPr>
                <w:vertAlign w:val="superscript"/>
                <w:lang w:eastAsia="en-AU"/>
              </w:rPr>
              <w:t>a</w:t>
            </w:r>
          </w:p>
        </w:tc>
        <w:tc>
          <w:tcPr>
            <w:tcW w:w="783" w:type="dxa"/>
            <w:hideMark/>
          </w:tcPr>
          <w:p w:rsidR="00D060FC" w:rsidRPr="005B0796" w:rsidRDefault="00D060FC" w:rsidP="00C00593">
            <w:pPr>
              <w:pStyle w:val="TableText"/>
              <w:jc w:val="right"/>
              <w:rPr>
                <w:lang w:eastAsia="en-AU"/>
              </w:rPr>
            </w:pPr>
            <w:r w:rsidRPr="005B0796">
              <w:rPr>
                <w:lang w:eastAsia="en-AU"/>
              </w:rPr>
              <w:t>253</w:t>
            </w:r>
          </w:p>
        </w:tc>
        <w:tc>
          <w:tcPr>
            <w:tcW w:w="464" w:type="dxa"/>
            <w:hideMark/>
          </w:tcPr>
          <w:p w:rsidR="00D060FC" w:rsidRPr="005B0796" w:rsidRDefault="00D060FC" w:rsidP="00C00593">
            <w:pPr>
              <w:pStyle w:val="TableText"/>
              <w:jc w:val="right"/>
              <w:rPr>
                <w:lang w:eastAsia="en-AU"/>
              </w:rPr>
            </w:pPr>
            <w:r w:rsidRPr="005B0796">
              <w:rPr>
                <w:lang w:eastAsia="en-AU"/>
              </w:rPr>
              <w:t>13.0</w:t>
            </w:r>
          </w:p>
        </w:tc>
        <w:tc>
          <w:tcPr>
            <w:tcW w:w="499" w:type="dxa"/>
            <w:hideMark/>
          </w:tcPr>
          <w:p w:rsidR="00D060FC" w:rsidRPr="005B0796" w:rsidRDefault="00D060FC" w:rsidP="00C00593">
            <w:pPr>
              <w:pStyle w:val="TableText"/>
              <w:jc w:val="right"/>
              <w:rPr>
                <w:lang w:eastAsia="en-AU"/>
              </w:rPr>
            </w:pPr>
            <w:r w:rsidRPr="005B0796">
              <w:rPr>
                <w:lang w:eastAsia="en-AU"/>
              </w:rPr>
              <w:t>7.8, 21.0</w:t>
            </w:r>
          </w:p>
        </w:tc>
        <w:tc>
          <w:tcPr>
            <w:tcW w:w="783" w:type="dxa"/>
            <w:hideMark/>
          </w:tcPr>
          <w:p w:rsidR="00D060FC" w:rsidRPr="005B0796" w:rsidRDefault="00D060FC" w:rsidP="00C00593">
            <w:pPr>
              <w:pStyle w:val="TableText"/>
              <w:jc w:val="right"/>
              <w:rPr>
                <w:lang w:eastAsia="en-AU"/>
              </w:rPr>
            </w:pPr>
            <w:r w:rsidRPr="005B0796">
              <w:rPr>
                <w:lang w:eastAsia="en-AU"/>
              </w:rPr>
              <w:t>1131</w:t>
            </w:r>
          </w:p>
        </w:tc>
        <w:tc>
          <w:tcPr>
            <w:tcW w:w="464" w:type="dxa"/>
            <w:hideMark/>
          </w:tcPr>
          <w:p w:rsidR="00D060FC" w:rsidRPr="005B0796" w:rsidRDefault="00D060FC" w:rsidP="00C00593">
            <w:pPr>
              <w:pStyle w:val="TableText"/>
              <w:jc w:val="right"/>
              <w:rPr>
                <w:lang w:eastAsia="en-AU"/>
              </w:rPr>
            </w:pPr>
            <w:r w:rsidRPr="005B0796">
              <w:rPr>
                <w:lang w:eastAsia="en-AU"/>
              </w:rPr>
              <w:t>23.2</w:t>
            </w:r>
          </w:p>
        </w:tc>
        <w:tc>
          <w:tcPr>
            <w:tcW w:w="500" w:type="dxa"/>
            <w:hideMark/>
          </w:tcPr>
          <w:p w:rsidR="00D060FC" w:rsidRPr="005B0796" w:rsidRDefault="00D060FC" w:rsidP="00C00593">
            <w:pPr>
              <w:pStyle w:val="TableText"/>
              <w:jc w:val="right"/>
              <w:rPr>
                <w:lang w:eastAsia="en-AU"/>
              </w:rPr>
            </w:pPr>
            <w:r w:rsidRPr="005B0796">
              <w:rPr>
                <w:lang w:eastAsia="en-AU"/>
              </w:rPr>
              <w:t>15.0, 34.1</w:t>
            </w:r>
          </w:p>
        </w:tc>
        <w:tc>
          <w:tcPr>
            <w:tcW w:w="784" w:type="dxa"/>
            <w:hideMark/>
          </w:tcPr>
          <w:p w:rsidR="00D060FC" w:rsidRPr="005B0796" w:rsidRDefault="00D060FC" w:rsidP="00C00593">
            <w:pPr>
              <w:pStyle w:val="TableText"/>
              <w:jc w:val="right"/>
              <w:rPr>
                <w:lang w:eastAsia="en-AU"/>
              </w:rPr>
            </w:pPr>
            <w:r w:rsidRPr="005B0796">
              <w:rPr>
                <w:lang w:eastAsia="en-AU"/>
              </w:rPr>
              <w:t>934</w:t>
            </w:r>
          </w:p>
        </w:tc>
        <w:tc>
          <w:tcPr>
            <w:tcW w:w="465" w:type="dxa"/>
            <w:hideMark/>
          </w:tcPr>
          <w:p w:rsidR="00D060FC" w:rsidRPr="005B0796" w:rsidRDefault="00D060FC" w:rsidP="00C00593">
            <w:pPr>
              <w:pStyle w:val="TableText"/>
              <w:jc w:val="right"/>
              <w:rPr>
                <w:lang w:eastAsia="en-AU"/>
              </w:rPr>
            </w:pPr>
            <w:r w:rsidRPr="005B0796">
              <w:rPr>
                <w:lang w:eastAsia="en-AU"/>
              </w:rPr>
              <w:t>18.9</w:t>
            </w:r>
          </w:p>
        </w:tc>
        <w:tc>
          <w:tcPr>
            <w:tcW w:w="500" w:type="dxa"/>
            <w:hideMark/>
          </w:tcPr>
          <w:p w:rsidR="00D060FC" w:rsidRPr="005B0796" w:rsidRDefault="00D060FC" w:rsidP="00C00593">
            <w:pPr>
              <w:pStyle w:val="TableText"/>
              <w:jc w:val="right"/>
              <w:rPr>
                <w:lang w:eastAsia="en-AU"/>
              </w:rPr>
            </w:pPr>
            <w:r w:rsidRPr="005B0796">
              <w:rPr>
                <w:lang w:eastAsia="en-AU"/>
              </w:rPr>
              <w:t>11.6, 29.3</w:t>
            </w:r>
          </w:p>
        </w:tc>
        <w:tc>
          <w:tcPr>
            <w:tcW w:w="784" w:type="dxa"/>
            <w:hideMark/>
          </w:tcPr>
          <w:p w:rsidR="00D060FC" w:rsidRPr="005B0796" w:rsidRDefault="00D060FC" w:rsidP="00C00593">
            <w:pPr>
              <w:pStyle w:val="TableText"/>
              <w:jc w:val="right"/>
              <w:rPr>
                <w:lang w:eastAsia="en-AU"/>
              </w:rPr>
            </w:pPr>
            <w:r w:rsidRPr="005B0796">
              <w:rPr>
                <w:lang w:eastAsia="en-AU"/>
              </w:rPr>
              <w:t>633</w:t>
            </w:r>
          </w:p>
        </w:tc>
        <w:tc>
          <w:tcPr>
            <w:tcW w:w="465" w:type="dxa"/>
            <w:hideMark/>
          </w:tcPr>
          <w:p w:rsidR="00D060FC" w:rsidRPr="005B0796" w:rsidRDefault="00D060FC" w:rsidP="00C00593">
            <w:pPr>
              <w:pStyle w:val="TableText"/>
              <w:jc w:val="right"/>
              <w:rPr>
                <w:lang w:eastAsia="en-AU"/>
              </w:rPr>
            </w:pPr>
            <w:r w:rsidRPr="005B0796">
              <w:rPr>
                <w:lang w:eastAsia="en-AU"/>
              </w:rPr>
              <w:t>12.1</w:t>
            </w:r>
          </w:p>
        </w:tc>
        <w:tc>
          <w:tcPr>
            <w:tcW w:w="500" w:type="dxa"/>
            <w:hideMark/>
          </w:tcPr>
          <w:p w:rsidR="00D060FC" w:rsidRPr="005B0796" w:rsidRDefault="00D060FC" w:rsidP="00C00593">
            <w:pPr>
              <w:pStyle w:val="TableText"/>
              <w:jc w:val="right"/>
              <w:rPr>
                <w:lang w:eastAsia="en-AU"/>
              </w:rPr>
            </w:pPr>
            <w:r w:rsidRPr="005B0796">
              <w:rPr>
                <w:lang w:eastAsia="en-AU"/>
              </w:rPr>
              <w:t>7.3, 19.5</w:t>
            </w:r>
          </w:p>
        </w:tc>
        <w:tc>
          <w:tcPr>
            <w:tcW w:w="784" w:type="dxa"/>
            <w:hideMark/>
          </w:tcPr>
          <w:p w:rsidR="00D060FC" w:rsidRPr="005B0796" w:rsidRDefault="00D060FC" w:rsidP="00C00593">
            <w:pPr>
              <w:pStyle w:val="TableText"/>
              <w:jc w:val="right"/>
              <w:rPr>
                <w:lang w:eastAsia="en-AU"/>
              </w:rPr>
            </w:pPr>
            <w:r w:rsidRPr="005B0796">
              <w:rPr>
                <w:lang w:eastAsia="en-AU"/>
              </w:rPr>
              <w:t>562</w:t>
            </w:r>
          </w:p>
        </w:tc>
        <w:tc>
          <w:tcPr>
            <w:tcW w:w="465" w:type="dxa"/>
            <w:hideMark/>
          </w:tcPr>
          <w:p w:rsidR="00D060FC" w:rsidRPr="005B0796" w:rsidRDefault="00D060FC" w:rsidP="00C00593">
            <w:pPr>
              <w:pStyle w:val="TableText"/>
              <w:jc w:val="right"/>
              <w:rPr>
                <w:lang w:eastAsia="en-AU"/>
              </w:rPr>
            </w:pPr>
            <w:r w:rsidRPr="005B0796">
              <w:rPr>
                <w:lang w:eastAsia="en-AU"/>
              </w:rPr>
              <w:t>15.7</w:t>
            </w:r>
          </w:p>
        </w:tc>
        <w:tc>
          <w:tcPr>
            <w:tcW w:w="500" w:type="dxa"/>
            <w:hideMark/>
          </w:tcPr>
          <w:p w:rsidR="00D060FC" w:rsidRPr="005B0796" w:rsidRDefault="00D060FC" w:rsidP="00C00593">
            <w:pPr>
              <w:pStyle w:val="TableText"/>
              <w:jc w:val="right"/>
              <w:rPr>
                <w:lang w:eastAsia="en-AU"/>
              </w:rPr>
            </w:pPr>
            <w:r w:rsidRPr="005B0796">
              <w:rPr>
                <w:lang w:eastAsia="en-AU"/>
              </w:rPr>
              <w:t>8.5, 27.3</w:t>
            </w:r>
          </w:p>
        </w:tc>
        <w:tc>
          <w:tcPr>
            <w:tcW w:w="784" w:type="dxa"/>
            <w:hideMark/>
          </w:tcPr>
          <w:p w:rsidR="00D060FC" w:rsidRPr="005B0796" w:rsidRDefault="00D060FC" w:rsidP="00C00593">
            <w:pPr>
              <w:pStyle w:val="TableText"/>
              <w:jc w:val="right"/>
              <w:rPr>
                <w:lang w:eastAsia="en-AU"/>
              </w:rPr>
            </w:pPr>
            <w:r w:rsidRPr="005B0796">
              <w:rPr>
                <w:lang w:eastAsia="en-AU"/>
              </w:rPr>
              <w:t>532</w:t>
            </w:r>
          </w:p>
        </w:tc>
        <w:tc>
          <w:tcPr>
            <w:tcW w:w="465" w:type="dxa"/>
            <w:hideMark/>
          </w:tcPr>
          <w:p w:rsidR="00D060FC" w:rsidRPr="005B0796" w:rsidRDefault="00D060FC" w:rsidP="00C00593">
            <w:pPr>
              <w:pStyle w:val="TableText"/>
              <w:jc w:val="right"/>
              <w:rPr>
                <w:lang w:eastAsia="en-AU"/>
              </w:rPr>
            </w:pPr>
            <w:r w:rsidRPr="005B0796">
              <w:rPr>
                <w:lang w:eastAsia="en-AU"/>
              </w:rPr>
              <w:t>19.1</w:t>
            </w:r>
          </w:p>
        </w:tc>
        <w:tc>
          <w:tcPr>
            <w:tcW w:w="500" w:type="dxa"/>
            <w:hideMark/>
          </w:tcPr>
          <w:p w:rsidR="00D060FC" w:rsidRPr="005B0796" w:rsidRDefault="00D060FC" w:rsidP="00C00593">
            <w:pPr>
              <w:pStyle w:val="TableText"/>
              <w:jc w:val="right"/>
              <w:rPr>
                <w:lang w:eastAsia="en-AU"/>
              </w:rPr>
            </w:pPr>
            <w:r w:rsidRPr="005B0796">
              <w:rPr>
                <w:lang w:eastAsia="en-AU"/>
              </w:rPr>
              <w:t>12.5, 28.2</w:t>
            </w:r>
          </w:p>
        </w:tc>
      </w:tr>
      <w:tr w:rsidR="00AD56D5" w:rsidRPr="005B0796" w:rsidTr="00C00593">
        <w:tc>
          <w:tcPr>
            <w:tcW w:w="1017" w:type="dxa"/>
            <w:hideMark/>
          </w:tcPr>
          <w:p w:rsidR="00D060FC" w:rsidRPr="005B0796" w:rsidRDefault="00D060FC" w:rsidP="00C00593">
            <w:pPr>
              <w:pStyle w:val="TableText"/>
            </w:pPr>
            <w:r w:rsidRPr="005B0796">
              <w:rPr>
                <w:lang w:eastAsia="en-AU"/>
              </w:rPr>
              <w:t>Panic disorder</w:t>
            </w:r>
          </w:p>
        </w:tc>
        <w:tc>
          <w:tcPr>
            <w:tcW w:w="783" w:type="dxa"/>
            <w:hideMark/>
          </w:tcPr>
          <w:p w:rsidR="00D060FC" w:rsidRPr="005B0796" w:rsidRDefault="00D060FC" w:rsidP="00C00593">
            <w:pPr>
              <w:pStyle w:val="TableText"/>
              <w:jc w:val="right"/>
              <w:rPr>
                <w:lang w:eastAsia="en-AU"/>
              </w:rPr>
            </w:pPr>
            <w:r w:rsidRPr="005B0796">
              <w:rPr>
                <w:lang w:eastAsia="en-AU"/>
              </w:rPr>
              <w:t>113</w:t>
            </w:r>
          </w:p>
        </w:tc>
        <w:tc>
          <w:tcPr>
            <w:tcW w:w="464" w:type="dxa"/>
            <w:hideMark/>
          </w:tcPr>
          <w:p w:rsidR="00D060FC" w:rsidRPr="005B0796" w:rsidRDefault="00D060FC" w:rsidP="00C00593">
            <w:pPr>
              <w:pStyle w:val="TableText"/>
              <w:jc w:val="right"/>
              <w:rPr>
                <w:lang w:eastAsia="en-AU"/>
              </w:rPr>
            </w:pPr>
            <w:r w:rsidRPr="005B0796">
              <w:rPr>
                <w:lang w:eastAsia="en-AU"/>
              </w:rPr>
              <w:t>5.8</w:t>
            </w:r>
          </w:p>
        </w:tc>
        <w:tc>
          <w:tcPr>
            <w:tcW w:w="499" w:type="dxa"/>
            <w:hideMark/>
          </w:tcPr>
          <w:p w:rsidR="00D060FC" w:rsidRPr="005B0796" w:rsidRDefault="00D060FC" w:rsidP="00C00593">
            <w:pPr>
              <w:pStyle w:val="TableText"/>
              <w:jc w:val="right"/>
              <w:rPr>
                <w:lang w:eastAsia="en-AU"/>
              </w:rPr>
            </w:pPr>
            <w:r w:rsidRPr="005B0796">
              <w:rPr>
                <w:lang w:eastAsia="en-AU"/>
              </w:rPr>
              <w:t>2.8, 11.5</w:t>
            </w:r>
          </w:p>
        </w:tc>
        <w:tc>
          <w:tcPr>
            <w:tcW w:w="783" w:type="dxa"/>
            <w:hideMark/>
          </w:tcPr>
          <w:p w:rsidR="00D060FC" w:rsidRPr="005B0796" w:rsidRDefault="00D060FC" w:rsidP="00C00593">
            <w:pPr>
              <w:pStyle w:val="TableText"/>
              <w:jc w:val="right"/>
              <w:rPr>
                <w:lang w:eastAsia="en-AU"/>
              </w:rPr>
            </w:pPr>
            <w:r w:rsidRPr="005B0796">
              <w:rPr>
                <w:lang w:eastAsia="en-AU"/>
              </w:rPr>
              <w:t>322</w:t>
            </w:r>
          </w:p>
        </w:tc>
        <w:tc>
          <w:tcPr>
            <w:tcW w:w="464" w:type="dxa"/>
            <w:hideMark/>
          </w:tcPr>
          <w:p w:rsidR="00D060FC" w:rsidRPr="005B0796" w:rsidRDefault="00D060FC" w:rsidP="00C00593">
            <w:pPr>
              <w:pStyle w:val="TableText"/>
              <w:jc w:val="right"/>
              <w:rPr>
                <w:lang w:eastAsia="en-AU"/>
              </w:rPr>
            </w:pPr>
            <w:r w:rsidRPr="005B0796">
              <w:rPr>
                <w:lang w:eastAsia="en-AU"/>
              </w:rPr>
              <w:t>6.6</w:t>
            </w:r>
          </w:p>
        </w:tc>
        <w:tc>
          <w:tcPr>
            <w:tcW w:w="500" w:type="dxa"/>
            <w:hideMark/>
          </w:tcPr>
          <w:p w:rsidR="00D060FC" w:rsidRPr="005B0796" w:rsidRDefault="00D060FC" w:rsidP="00C00593">
            <w:pPr>
              <w:pStyle w:val="TableText"/>
              <w:jc w:val="right"/>
              <w:rPr>
                <w:lang w:eastAsia="en-AU"/>
              </w:rPr>
            </w:pPr>
            <w:r w:rsidRPr="005B0796">
              <w:rPr>
                <w:lang w:eastAsia="en-AU"/>
              </w:rPr>
              <w:t>3.3, 12.7</w:t>
            </w:r>
          </w:p>
        </w:tc>
        <w:tc>
          <w:tcPr>
            <w:tcW w:w="784" w:type="dxa"/>
            <w:hideMark/>
          </w:tcPr>
          <w:p w:rsidR="00D060FC" w:rsidRPr="005B0796" w:rsidRDefault="00D060FC" w:rsidP="00C00593">
            <w:pPr>
              <w:pStyle w:val="TableText"/>
              <w:jc w:val="right"/>
              <w:rPr>
                <w:lang w:eastAsia="en-AU"/>
              </w:rPr>
            </w:pPr>
            <w:r w:rsidRPr="005B0796">
              <w:rPr>
                <w:lang w:eastAsia="en-AU"/>
              </w:rPr>
              <w:t>282</w:t>
            </w:r>
          </w:p>
        </w:tc>
        <w:tc>
          <w:tcPr>
            <w:tcW w:w="465" w:type="dxa"/>
            <w:hideMark/>
          </w:tcPr>
          <w:p w:rsidR="00D060FC" w:rsidRPr="005B0796" w:rsidRDefault="00D060FC" w:rsidP="00C00593">
            <w:pPr>
              <w:pStyle w:val="TableText"/>
              <w:jc w:val="right"/>
              <w:rPr>
                <w:lang w:eastAsia="en-AU"/>
              </w:rPr>
            </w:pPr>
            <w:r w:rsidRPr="005B0796">
              <w:rPr>
                <w:lang w:eastAsia="en-AU"/>
              </w:rPr>
              <w:t>5.7</w:t>
            </w:r>
          </w:p>
        </w:tc>
        <w:tc>
          <w:tcPr>
            <w:tcW w:w="500" w:type="dxa"/>
            <w:hideMark/>
          </w:tcPr>
          <w:p w:rsidR="00D060FC" w:rsidRPr="005B0796" w:rsidRDefault="00D060FC" w:rsidP="00C00593">
            <w:pPr>
              <w:pStyle w:val="TableText"/>
              <w:jc w:val="right"/>
              <w:rPr>
                <w:lang w:eastAsia="en-AU"/>
              </w:rPr>
            </w:pPr>
            <w:r w:rsidRPr="005B0796">
              <w:rPr>
                <w:lang w:eastAsia="en-AU"/>
              </w:rPr>
              <w:t>1.9, 15.7</w:t>
            </w:r>
          </w:p>
        </w:tc>
        <w:tc>
          <w:tcPr>
            <w:tcW w:w="784" w:type="dxa"/>
            <w:hideMark/>
          </w:tcPr>
          <w:p w:rsidR="00D060FC" w:rsidRPr="005B0796" w:rsidRDefault="00D060FC" w:rsidP="00C00593">
            <w:pPr>
              <w:pStyle w:val="TableText"/>
              <w:jc w:val="right"/>
              <w:rPr>
                <w:lang w:eastAsia="en-AU"/>
              </w:rPr>
            </w:pPr>
            <w:r w:rsidRPr="005B0796">
              <w:rPr>
                <w:lang w:eastAsia="en-AU"/>
              </w:rPr>
              <w:t>178</w:t>
            </w:r>
          </w:p>
        </w:tc>
        <w:tc>
          <w:tcPr>
            <w:tcW w:w="465" w:type="dxa"/>
            <w:hideMark/>
          </w:tcPr>
          <w:p w:rsidR="00D060FC" w:rsidRPr="005B0796" w:rsidRDefault="00D060FC" w:rsidP="00C00593">
            <w:pPr>
              <w:pStyle w:val="TableText"/>
              <w:jc w:val="right"/>
              <w:rPr>
                <w:lang w:eastAsia="en-AU"/>
              </w:rPr>
            </w:pPr>
            <w:r w:rsidRPr="005B0796">
              <w:rPr>
                <w:lang w:eastAsia="en-AU"/>
              </w:rPr>
              <w:t>3.4</w:t>
            </w:r>
          </w:p>
        </w:tc>
        <w:tc>
          <w:tcPr>
            <w:tcW w:w="500" w:type="dxa"/>
            <w:hideMark/>
          </w:tcPr>
          <w:p w:rsidR="00D060FC" w:rsidRPr="005B0796" w:rsidRDefault="00D060FC" w:rsidP="00C00593">
            <w:pPr>
              <w:pStyle w:val="TableText"/>
              <w:jc w:val="right"/>
              <w:rPr>
                <w:lang w:eastAsia="en-AU"/>
              </w:rPr>
            </w:pPr>
            <w:r w:rsidRPr="005B0796">
              <w:rPr>
                <w:lang w:eastAsia="en-AU"/>
              </w:rPr>
              <w:t>1.1, 10.2</w:t>
            </w:r>
          </w:p>
        </w:tc>
        <w:tc>
          <w:tcPr>
            <w:tcW w:w="784" w:type="dxa"/>
            <w:hideMark/>
          </w:tcPr>
          <w:p w:rsidR="00D060FC" w:rsidRPr="005B0796" w:rsidRDefault="00D060FC" w:rsidP="00C00593">
            <w:pPr>
              <w:pStyle w:val="TableText"/>
              <w:jc w:val="right"/>
              <w:rPr>
                <w:lang w:eastAsia="en-AU"/>
              </w:rPr>
            </w:pPr>
            <w:r w:rsidRPr="005B0796">
              <w:rPr>
                <w:lang w:eastAsia="en-AU"/>
              </w:rPr>
              <w:t>287</w:t>
            </w:r>
          </w:p>
        </w:tc>
        <w:tc>
          <w:tcPr>
            <w:tcW w:w="465" w:type="dxa"/>
            <w:hideMark/>
          </w:tcPr>
          <w:p w:rsidR="00D060FC" w:rsidRPr="005B0796" w:rsidRDefault="00D060FC" w:rsidP="00C00593">
            <w:pPr>
              <w:pStyle w:val="TableText"/>
              <w:jc w:val="right"/>
              <w:rPr>
                <w:lang w:eastAsia="en-AU"/>
              </w:rPr>
            </w:pPr>
            <w:r w:rsidRPr="005B0796">
              <w:rPr>
                <w:lang w:eastAsia="en-AU"/>
              </w:rPr>
              <w:t>8.0</w:t>
            </w:r>
          </w:p>
        </w:tc>
        <w:tc>
          <w:tcPr>
            <w:tcW w:w="500" w:type="dxa"/>
            <w:hideMark/>
          </w:tcPr>
          <w:p w:rsidR="00D060FC" w:rsidRPr="005B0796" w:rsidRDefault="00D060FC" w:rsidP="00C00593">
            <w:pPr>
              <w:pStyle w:val="TableText"/>
              <w:jc w:val="right"/>
              <w:rPr>
                <w:lang w:eastAsia="en-AU"/>
              </w:rPr>
            </w:pPr>
            <w:r w:rsidRPr="005B0796">
              <w:rPr>
                <w:lang w:eastAsia="en-AU"/>
              </w:rPr>
              <w:t>3.1, 19.2</w:t>
            </w:r>
          </w:p>
        </w:tc>
        <w:tc>
          <w:tcPr>
            <w:tcW w:w="784" w:type="dxa"/>
            <w:hideMark/>
          </w:tcPr>
          <w:p w:rsidR="00D060FC" w:rsidRPr="005B0796" w:rsidRDefault="00D060FC" w:rsidP="00C00593">
            <w:pPr>
              <w:pStyle w:val="TableText"/>
              <w:jc w:val="right"/>
              <w:rPr>
                <w:lang w:eastAsia="en-AU"/>
              </w:rPr>
            </w:pPr>
            <w:r w:rsidRPr="005B0796">
              <w:rPr>
                <w:lang w:eastAsia="en-AU"/>
              </w:rPr>
              <w:t>70</w:t>
            </w:r>
          </w:p>
        </w:tc>
        <w:tc>
          <w:tcPr>
            <w:tcW w:w="465" w:type="dxa"/>
            <w:hideMark/>
          </w:tcPr>
          <w:p w:rsidR="00D060FC" w:rsidRPr="005B0796" w:rsidRDefault="00D060FC" w:rsidP="00C00593">
            <w:pPr>
              <w:pStyle w:val="TableText"/>
              <w:jc w:val="right"/>
              <w:rPr>
                <w:lang w:eastAsia="en-AU"/>
              </w:rPr>
            </w:pPr>
            <w:r w:rsidRPr="005B0796">
              <w:rPr>
                <w:lang w:eastAsia="en-AU"/>
              </w:rPr>
              <w:t>2.5</w:t>
            </w:r>
          </w:p>
        </w:tc>
        <w:tc>
          <w:tcPr>
            <w:tcW w:w="500" w:type="dxa"/>
            <w:hideMark/>
          </w:tcPr>
          <w:p w:rsidR="00D060FC" w:rsidRPr="005B0796" w:rsidRDefault="00D060FC" w:rsidP="00C00593">
            <w:pPr>
              <w:pStyle w:val="TableText"/>
              <w:jc w:val="right"/>
              <w:rPr>
                <w:lang w:eastAsia="en-AU"/>
              </w:rPr>
            </w:pPr>
            <w:r w:rsidRPr="005B0796">
              <w:rPr>
                <w:lang w:eastAsia="en-AU"/>
              </w:rPr>
              <w:t>1.1,</w:t>
            </w:r>
            <w:r w:rsidRPr="005B0796">
              <w:rPr>
                <w:lang w:eastAsia="en-AU"/>
              </w:rPr>
              <w:br/>
              <w:t>5.5</w:t>
            </w:r>
          </w:p>
        </w:tc>
      </w:tr>
      <w:tr w:rsidR="00C00593" w:rsidRPr="005B0796" w:rsidTr="00C00593">
        <w:trPr>
          <w:cnfStyle w:val="000000100000" w:firstRow="0" w:lastRow="0" w:firstColumn="0" w:lastColumn="0" w:oddVBand="0" w:evenVBand="0" w:oddHBand="1" w:evenHBand="0" w:firstRowFirstColumn="0" w:firstRowLastColumn="0" w:lastRowFirstColumn="0" w:lastRowLastColumn="0"/>
        </w:trPr>
        <w:tc>
          <w:tcPr>
            <w:tcW w:w="1017" w:type="dxa"/>
            <w:hideMark/>
          </w:tcPr>
          <w:p w:rsidR="00D060FC" w:rsidRPr="005B0796" w:rsidRDefault="00D060FC" w:rsidP="00C00593">
            <w:pPr>
              <w:pStyle w:val="TableText"/>
            </w:pPr>
            <w:r w:rsidRPr="005B0796">
              <w:rPr>
                <w:lang w:eastAsia="en-AU"/>
              </w:rPr>
              <w:t>Agoraphobia</w:t>
            </w:r>
            <w:r w:rsidRPr="005B0796">
              <w:rPr>
                <w:vertAlign w:val="superscript"/>
                <w:lang w:eastAsia="en-AU"/>
              </w:rPr>
              <w:t>b</w:t>
            </w:r>
          </w:p>
        </w:tc>
        <w:tc>
          <w:tcPr>
            <w:tcW w:w="783" w:type="dxa"/>
            <w:hideMark/>
          </w:tcPr>
          <w:p w:rsidR="00D060FC" w:rsidRPr="005B0796" w:rsidRDefault="00D060FC" w:rsidP="00C00593">
            <w:pPr>
              <w:pStyle w:val="TableText"/>
              <w:jc w:val="right"/>
              <w:rPr>
                <w:lang w:eastAsia="en-AU"/>
              </w:rPr>
            </w:pPr>
            <w:r w:rsidRPr="005B0796">
              <w:rPr>
                <w:lang w:eastAsia="en-AU"/>
              </w:rPr>
              <w:t>99</w:t>
            </w:r>
          </w:p>
        </w:tc>
        <w:tc>
          <w:tcPr>
            <w:tcW w:w="464" w:type="dxa"/>
            <w:hideMark/>
          </w:tcPr>
          <w:p w:rsidR="00D060FC" w:rsidRPr="005B0796" w:rsidRDefault="00D060FC" w:rsidP="00C00593">
            <w:pPr>
              <w:pStyle w:val="TableText"/>
              <w:jc w:val="right"/>
              <w:rPr>
                <w:lang w:eastAsia="en-AU"/>
              </w:rPr>
            </w:pPr>
            <w:r w:rsidRPr="005B0796">
              <w:rPr>
                <w:lang w:eastAsia="en-AU"/>
              </w:rPr>
              <w:t>5.1</w:t>
            </w:r>
          </w:p>
        </w:tc>
        <w:tc>
          <w:tcPr>
            <w:tcW w:w="499" w:type="dxa"/>
            <w:hideMark/>
          </w:tcPr>
          <w:p w:rsidR="00D060FC" w:rsidRPr="005B0796" w:rsidRDefault="00D060FC" w:rsidP="00C00593">
            <w:pPr>
              <w:pStyle w:val="TableText"/>
              <w:jc w:val="right"/>
              <w:rPr>
                <w:lang w:eastAsia="en-AU"/>
              </w:rPr>
            </w:pPr>
            <w:r w:rsidRPr="005B0796">
              <w:rPr>
                <w:lang w:eastAsia="en-AU"/>
              </w:rPr>
              <w:t>2.4, 10.5</w:t>
            </w:r>
          </w:p>
        </w:tc>
        <w:tc>
          <w:tcPr>
            <w:tcW w:w="783" w:type="dxa"/>
            <w:hideMark/>
          </w:tcPr>
          <w:p w:rsidR="00D060FC" w:rsidRPr="005B0796" w:rsidRDefault="00D060FC" w:rsidP="00C00593">
            <w:pPr>
              <w:pStyle w:val="TableText"/>
              <w:jc w:val="right"/>
              <w:rPr>
                <w:lang w:eastAsia="en-AU"/>
              </w:rPr>
            </w:pPr>
            <w:r w:rsidRPr="005B0796">
              <w:rPr>
                <w:lang w:eastAsia="en-AU"/>
              </w:rPr>
              <w:t>853</w:t>
            </w:r>
          </w:p>
        </w:tc>
        <w:tc>
          <w:tcPr>
            <w:tcW w:w="464" w:type="dxa"/>
            <w:hideMark/>
          </w:tcPr>
          <w:p w:rsidR="00D060FC" w:rsidRPr="005B0796" w:rsidRDefault="00D060FC" w:rsidP="00C00593">
            <w:pPr>
              <w:pStyle w:val="TableText"/>
              <w:jc w:val="right"/>
              <w:rPr>
                <w:lang w:eastAsia="en-AU"/>
              </w:rPr>
            </w:pPr>
            <w:r w:rsidRPr="005B0796">
              <w:rPr>
                <w:lang w:eastAsia="en-AU"/>
              </w:rPr>
              <w:t>17.5</w:t>
            </w:r>
          </w:p>
        </w:tc>
        <w:tc>
          <w:tcPr>
            <w:tcW w:w="500" w:type="dxa"/>
            <w:hideMark/>
          </w:tcPr>
          <w:p w:rsidR="00D060FC" w:rsidRPr="005B0796" w:rsidRDefault="00D060FC" w:rsidP="00C00593">
            <w:pPr>
              <w:pStyle w:val="TableText"/>
              <w:jc w:val="right"/>
              <w:rPr>
                <w:lang w:eastAsia="en-AU"/>
              </w:rPr>
            </w:pPr>
            <w:r w:rsidRPr="005B0796">
              <w:rPr>
                <w:lang w:eastAsia="en-AU"/>
              </w:rPr>
              <w:t>10.3, 28.2</w:t>
            </w:r>
          </w:p>
        </w:tc>
        <w:tc>
          <w:tcPr>
            <w:tcW w:w="784" w:type="dxa"/>
            <w:hideMark/>
          </w:tcPr>
          <w:p w:rsidR="00D060FC" w:rsidRPr="005B0796" w:rsidRDefault="00D060FC" w:rsidP="00C00593">
            <w:pPr>
              <w:pStyle w:val="TableText"/>
              <w:jc w:val="right"/>
              <w:rPr>
                <w:lang w:eastAsia="en-AU"/>
              </w:rPr>
            </w:pPr>
            <w:r w:rsidRPr="005B0796">
              <w:rPr>
                <w:lang w:eastAsia="en-AU"/>
              </w:rPr>
              <w:t>717</w:t>
            </w:r>
          </w:p>
        </w:tc>
        <w:tc>
          <w:tcPr>
            <w:tcW w:w="465" w:type="dxa"/>
            <w:hideMark/>
          </w:tcPr>
          <w:p w:rsidR="00D060FC" w:rsidRPr="005B0796" w:rsidRDefault="00D060FC" w:rsidP="00C00593">
            <w:pPr>
              <w:pStyle w:val="TableText"/>
              <w:jc w:val="right"/>
              <w:rPr>
                <w:lang w:eastAsia="en-AU"/>
              </w:rPr>
            </w:pPr>
            <w:r w:rsidRPr="005B0796">
              <w:rPr>
                <w:lang w:eastAsia="en-AU"/>
              </w:rPr>
              <w:t>14.5</w:t>
            </w:r>
          </w:p>
        </w:tc>
        <w:tc>
          <w:tcPr>
            <w:tcW w:w="500" w:type="dxa"/>
            <w:hideMark/>
          </w:tcPr>
          <w:p w:rsidR="00D060FC" w:rsidRPr="005B0796" w:rsidRDefault="00D060FC" w:rsidP="00C00593">
            <w:pPr>
              <w:pStyle w:val="TableText"/>
              <w:jc w:val="right"/>
              <w:rPr>
                <w:lang w:eastAsia="en-AU"/>
              </w:rPr>
            </w:pPr>
            <w:r w:rsidRPr="005B0796">
              <w:rPr>
                <w:lang w:eastAsia="en-AU"/>
              </w:rPr>
              <w:t>8.2, 24.4</w:t>
            </w:r>
          </w:p>
        </w:tc>
        <w:tc>
          <w:tcPr>
            <w:tcW w:w="784" w:type="dxa"/>
            <w:hideMark/>
          </w:tcPr>
          <w:p w:rsidR="00D060FC" w:rsidRPr="005B0796" w:rsidRDefault="00D060FC" w:rsidP="00C00593">
            <w:pPr>
              <w:pStyle w:val="TableText"/>
              <w:jc w:val="right"/>
              <w:rPr>
                <w:lang w:eastAsia="en-AU"/>
              </w:rPr>
            </w:pPr>
            <w:r w:rsidRPr="005B0796">
              <w:rPr>
                <w:lang w:eastAsia="en-AU"/>
              </w:rPr>
              <w:t>455</w:t>
            </w:r>
          </w:p>
        </w:tc>
        <w:tc>
          <w:tcPr>
            <w:tcW w:w="465" w:type="dxa"/>
            <w:hideMark/>
          </w:tcPr>
          <w:p w:rsidR="00D060FC" w:rsidRPr="005B0796" w:rsidRDefault="00D060FC" w:rsidP="00C00593">
            <w:pPr>
              <w:pStyle w:val="TableText"/>
              <w:jc w:val="right"/>
              <w:rPr>
                <w:lang w:eastAsia="en-AU"/>
              </w:rPr>
            </w:pPr>
            <w:r w:rsidRPr="005B0796">
              <w:rPr>
                <w:lang w:eastAsia="en-AU"/>
              </w:rPr>
              <w:t>8.7</w:t>
            </w:r>
          </w:p>
        </w:tc>
        <w:tc>
          <w:tcPr>
            <w:tcW w:w="500" w:type="dxa"/>
            <w:hideMark/>
          </w:tcPr>
          <w:p w:rsidR="00D060FC" w:rsidRPr="005B0796" w:rsidRDefault="00D060FC" w:rsidP="00C00593">
            <w:pPr>
              <w:pStyle w:val="TableText"/>
              <w:jc w:val="right"/>
              <w:rPr>
                <w:lang w:eastAsia="en-AU"/>
              </w:rPr>
            </w:pPr>
            <w:r w:rsidRPr="005B0796">
              <w:rPr>
                <w:lang w:eastAsia="en-AU"/>
              </w:rPr>
              <w:t>4.5, 16.1</w:t>
            </w:r>
          </w:p>
        </w:tc>
        <w:tc>
          <w:tcPr>
            <w:tcW w:w="784" w:type="dxa"/>
            <w:hideMark/>
          </w:tcPr>
          <w:p w:rsidR="00D060FC" w:rsidRPr="005B0796" w:rsidRDefault="00D060FC" w:rsidP="00C00593">
            <w:pPr>
              <w:pStyle w:val="TableText"/>
              <w:jc w:val="right"/>
              <w:rPr>
                <w:lang w:eastAsia="en-AU"/>
              </w:rPr>
            </w:pPr>
            <w:r w:rsidRPr="005B0796">
              <w:rPr>
                <w:lang w:eastAsia="en-AU"/>
              </w:rPr>
              <w:t>401</w:t>
            </w:r>
          </w:p>
        </w:tc>
        <w:tc>
          <w:tcPr>
            <w:tcW w:w="465" w:type="dxa"/>
            <w:hideMark/>
          </w:tcPr>
          <w:p w:rsidR="00D060FC" w:rsidRPr="005B0796" w:rsidRDefault="00D060FC" w:rsidP="00C00593">
            <w:pPr>
              <w:pStyle w:val="TableText"/>
              <w:jc w:val="right"/>
              <w:rPr>
                <w:lang w:eastAsia="en-AU"/>
              </w:rPr>
            </w:pPr>
            <w:r w:rsidRPr="005B0796">
              <w:rPr>
                <w:lang w:eastAsia="en-AU"/>
              </w:rPr>
              <w:t>11.2</w:t>
            </w:r>
          </w:p>
        </w:tc>
        <w:tc>
          <w:tcPr>
            <w:tcW w:w="500" w:type="dxa"/>
            <w:hideMark/>
          </w:tcPr>
          <w:p w:rsidR="00D060FC" w:rsidRPr="005B0796" w:rsidRDefault="00D060FC" w:rsidP="00C00593">
            <w:pPr>
              <w:pStyle w:val="TableText"/>
              <w:jc w:val="right"/>
              <w:rPr>
                <w:lang w:eastAsia="en-AU"/>
              </w:rPr>
            </w:pPr>
            <w:r w:rsidRPr="005B0796">
              <w:rPr>
                <w:lang w:eastAsia="en-AU"/>
              </w:rPr>
              <w:t>5.2, 22.3</w:t>
            </w:r>
          </w:p>
        </w:tc>
        <w:tc>
          <w:tcPr>
            <w:tcW w:w="784" w:type="dxa"/>
            <w:hideMark/>
          </w:tcPr>
          <w:p w:rsidR="00D060FC" w:rsidRPr="005B0796" w:rsidRDefault="00D060FC" w:rsidP="00C00593">
            <w:pPr>
              <w:pStyle w:val="TableText"/>
              <w:jc w:val="right"/>
              <w:rPr>
                <w:lang w:eastAsia="en-AU"/>
              </w:rPr>
            </w:pPr>
            <w:r w:rsidRPr="005B0796">
              <w:rPr>
                <w:lang w:eastAsia="en-AU"/>
              </w:rPr>
              <w:t>259</w:t>
            </w:r>
          </w:p>
        </w:tc>
        <w:tc>
          <w:tcPr>
            <w:tcW w:w="465" w:type="dxa"/>
            <w:hideMark/>
          </w:tcPr>
          <w:p w:rsidR="00D060FC" w:rsidRPr="005B0796" w:rsidRDefault="00D060FC" w:rsidP="00C00593">
            <w:pPr>
              <w:pStyle w:val="TableText"/>
              <w:jc w:val="right"/>
              <w:rPr>
                <w:lang w:eastAsia="en-AU"/>
              </w:rPr>
            </w:pPr>
            <w:r w:rsidRPr="005B0796">
              <w:rPr>
                <w:lang w:eastAsia="en-AU"/>
              </w:rPr>
              <w:t>9.3</w:t>
            </w:r>
          </w:p>
        </w:tc>
        <w:tc>
          <w:tcPr>
            <w:tcW w:w="500" w:type="dxa"/>
            <w:hideMark/>
          </w:tcPr>
          <w:p w:rsidR="00D060FC" w:rsidRPr="005B0796" w:rsidRDefault="00D060FC" w:rsidP="00C00593">
            <w:pPr>
              <w:pStyle w:val="TableText"/>
              <w:jc w:val="right"/>
              <w:rPr>
                <w:lang w:eastAsia="en-AU"/>
              </w:rPr>
            </w:pPr>
            <w:r w:rsidRPr="005B0796">
              <w:rPr>
                <w:lang w:eastAsia="en-AU"/>
              </w:rPr>
              <w:t>4.0, 19.9</w:t>
            </w:r>
          </w:p>
        </w:tc>
      </w:tr>
      <w:tr w:rsidR="00AD56D5" w:rsidRPr="005B0796" w:rsidTr="00C00593">
        <w:tc>
          <w:tcPr>
            <w:tcW w:w="1017" w:type="dxa"/>
            <w:hideMark/>
          </w:tcPr>
          <w:p w:rsidR="00D060FC" w:rsidRPr="005B0796" w:rsidRDefault="00D060FC" w:rsidP="00C00593">
            <w:pPr>
              <w:pStyle w:val="TableText"/>
            </w:pPr>
            <w:r w:rsidRPr="005B0796">
              <w:rPr>
                <w:lang w:eastAsia="en-AU"/>
              </w:rPr>
              <w:t>Social phobia</w:t>
            </w:r>
          </w:p>
        </w:tc>
        <w:tc>
          <w:tcPr>
            <w:tcW w:w="783" w:type="dxa"/>
            <w:hideMark/>
          </w:tcPr>
          <w:p w:rsidR="00D060FC" w:rsidRPr="005B0796" w:rsidRDefault="00D060FC" w:rsidP="00C00593">
            <w:pPr>
              <w:pStyle w:val="TableText"/>
              <w:jc w:val="right"/>
              <w:rPr>
                <w:lang w:eastAsia="en-AU"/>
              </w:rPr>
            </w:pPr>
            <w:r w:rsidRPr="005B0796">
              <w:rPr>
                <w:lang w:eastAsia="en-AU"/>
              </w:rPr>
              <w:t>254</w:t>
            </w:r>
          </w:p>
        </w:tc>
        <w:tc>
          <w:tcPr>
            <w:tcW w:w="464" w:type="dxa"/>
            <w:hideMark/>
          </w:tcPr>
          <w:p w:rsidR="00D060FC" w:rsidRPr="005B0796" w:rsidRDefault="00D060FC" w:rsidP="00C00593">
            <w:pPr>
              <w:pStyle w:val="TableText"/>
              <w:jc w:val="right"/>
              <w:rPr>
                <w:lang w:eastAsia="en-AU"/>
              </w:rPr>
            </w:pPr>
            <w:r w:rsidRPr="005B0796">
              <w:rPr>
                <w:lang w:eastAsia="en-AU"/>
              </w:rPr>
              <w:t>13.0</w:t>
            </w:r>
          </w:p>
        </w:tc>
        <w:tc>
          <w:tcPr>
            <w:tcW w:w="499" w:type="dxa"/>
            <w:hideMark/>
          </w:tcPr>
          <w:p w:rsidR="00D060FC" w:rsidRPr="005B0796" w:rsidRDefault="00D060FC" w:rsidP="00C00593">
            <w:pPr>
              <w:pStyle w:val="TableText"/>
              <w:jc w:val="right"/>
              <w:rPr>
                <w:lang w:eastAsia="en-AU"/>
              </w:rPr>
            </w:pPr>
            <w:r w:rsidRPr="005B0796">
              <w:rPr>
                <w:lang w:eastAsia="en-AU"/>
              </w:rPr>
              <w:t>5.2, 28.8</w:t>
            </w:r>
          </w:p>
        </w:tc>
        <w:tc>
          <w:tcPr>
            <w:tcW w:w="783" w:type="dxa"/>
            <w:hideMark/>
          </w:tcPr>
          <w:p w:rsidR="00D060FC" w:rsidRPr="005B0796" w:rsidRDefault="00D060FC" w:rsidP="00C00593">
            <w:pPr>
              <w:pStyle w:val="TableText"/>
              <w:jc w:val="right"/>
              <w:rPr>
                <w:lang w:eastAsia="en-AU"/>
              </w:rPr>
            </w:pPr>
            <w:r w:rsidRPr="005B0796">
              <w:rPr>
                <w:lang w:eastAsia="en-AU"/>
              </w:rPr>
              <w:t>833</w:t>
            </w:r>
          </w:p>
        </w:tc>
        <w:tc>
          <w:tcPr>
            <w:tcW w:w="464" w:type="dxa"/>
            <w:hideMark/>
          </w:tcPr>
          <w:p w:rsidR="00D060FC" w:rsidRPr="005B0796" w:rsidRDefault="00D060FC" w:rsidP="00C00593">
            <w:pPr>
              <w:pStyle w:val="TableText"/>
              <w:jc w:val="right"/>
              <w:rPr>
                <w:lang w:eastAsia="en-AU"/>
              </w:rPr>
            </w:pPr>
            <w:r w:rsidRPr="005B0796">
              <w:rPr>
                <w:lang w:eastAsia="en-AU"/>
              </w:rPr>
              <w:t>17.1</w:t>
            </w:r>
          </w:p>
        </w:tc>
        <w:tc>
          <w:tcPr>
            <w:tcW w:w="500" w:type="dxa"/>
            <w:hideMark/>
          </w:tcPr>
          <w:p w:rsidR="00D060FC" w:rsidRPr="005B0796" w:rsidRDefault="00D060FC" w:rsidP="00C00593">
            <w:pPr>
              <w:pStyle w:val="TableText"/>
              <w:jc w:val="right"/>
              <w:rPr>
                <w:lang w:eastAsia="en-AU"/>
              </w:rPr>
            </w:pPr>
            <w:r w:rsidRPr="005B0796">
              <w:rPr>
                <w:lang w:eastAsia="en-AU"/>
              </w:rPr>
              <w:t>9.7, 28.2</w:t>
            </w:r>
          </w:p>
        </w:tc>
        <w:tc>
          <w:tcPr>
            <w:tcW w:w="784" w:type="dxa"/>
            <w:hideMark/>
          </w:tcPr>
          <w:p w:rsidR="00D060FC" w:rsidRPr="005B0796" w:rsidRDefault="00D060FC" w:rsidP="00C00593">
            <w:pPr>
              <w:pStyle w:val="TableText"/>
              <w:jc w:val="right"/>
              <w:rPr>
                <w:lang w:eastAsia="en-AU"/>
              </w:rPr>
            </w:pPr>
            <w:r w:rsidRPr="005B0796">
              <w:rPr>
                <w:lang w:eastAsia="en-AU"/>
              </w:rPr>
              <w:t>499</w:t>
            </w:r>
          </w:p>
        </w:tc>
        <w:tc>
          <w:tcPr>
            <w:tcW w:w="465" w:type="dxa"/>
            <w:hideMark/>
          </w:tcPr>
          <w:p w:rsidR="00D060FC" w:rsidRPr="005B0796" w:rsidRDefault="00D060FC" w:rsidP="00C00593">
            <w:pPr>
              <w:pStyle w:val="TableText"/>
              <w:jc w:val="right"/>
              <w:rPr>
                <w:lang w:eastAsia="en-AU"/>
              </w:rPr>
            </w:pPr>
            <w:r w:rsidRPr="005B0796">
              <w:rPr>
                <w:lang w:eastAsia="en-AU"/>
              </w:rPr>
              <w:t>10.1</w:t>
            </w:r>
          </w:p>
        </w:tc>
        <w:tc>
          <w:tcPr>
            <w:tcW w:w="500" w:type="dxa"/>
            <w:hideMark/>
          </w:tcPr>
          <w:p w:rsidR="00D060FC" w:rsidRPr="005B0796" w:rsidRDefault="00D060FC" w:rsidP="00C00593">
            <w:pPr>
              <w:pStyle w:val="TableText"/>
              <w:jc w:val="right"/>
              <w:rPr>
                <w:lang w:eastAsia="en-AU"/>
              </w:rPr>
            </w:pPr>
            <w:r w:rsidRPr="005B0796">
              <w:rPr>
                <w:lang w:eastAsia="en-AU"/>
              </w:rPr>
              <w:t>5.4, 18.1</w:t>
            </w:r>
          </w:p>
        </w:tc>
        <w:tc>
          <w:tcPr>
            <w:tcW w:w="784" w:type="dxa"/>
            <w:hideMark/>
          </w:tcPr>
          <w:p w:rsidR="00D060FC" w:rsidRPr="005B0796" w:rsidRDefault="00D060FC" w:rsidP="00C00593">
            <w:pPr>
              <w:pStyle w:val="TableText"/>
              <w:jc w:val="right"/>
              <w:rPr>
                <w:lang w:eastAsia="en-AU"/>
              </w:rPr>
            </w:pPr>
            <w:r w:rsidRPr="005B0796">
              <w:rPr>
                <w:lang w:eastAsia="en-AU"/>
              </w:rPr>
              <w:t>445</w:t>
            </w:r>
          </w:p>
        </w:tc>
        <w:tc>
          <w:tcPr>
            <w:tcW w:w="465" w:type="dxa"/>
            <w:hideMark/>
          </w:tcPr>
          <w:p w:rsidR="00D060FC" w:rsidRPr="005B0796" w:rsidRDefault="00D060FC" w:rsidP="00C00593">
            <w:pPr>
              <w:pStyle w:val="TableText"/>
              <w:jc w:val="right"/>
              <w:rPr>
                <w:lang w:eastAsia="en-AU"/>
              </w:rPr>
            </w:pPr>
            <w:r w:rsidRPr="005B0796">
              <w:rPr>
                <w:lang w:eastAsia="en-AU"/>
              </w:rPr>
              <w:t>8.5</w:t>
            </w:r>
          </w:p>
        </w:tc>
        <w:tc>
          <w:tcPr>
            <w:tcW w:w="500" w:type="dxa"/>
            <w:hideMark/>
          </w:tcPr>
          <w:p w:rsidR="00D060FC" w:rsidRPr="005B0796" w:rsidRDefault="00D060FC" w:rsidP="00C00593">
            <w:pPr>
              <w:pStyle w:val="TableText"/>
              <w:jc w:val="right"/>
              <w:rPr>
                <w:lang w:eastAsia="en-AU"/>
              </w:rPr>
            </w:pPr>
            <w:r w:rsidRPr="005B0796">
              <w:rPr>
                <w:lang w:eastAsia="en-AU"/>
              </w:rPr>
              <w:t>4.1, 17.0</w:t>
            </w:r>
          </w:p>
        </w:tc>
        <w:tc>
          <w:tcPr>
            <w:tcW w:w="784" w:type="dxa"/>
            <w:hideMark/>
          </w:tcPr>
          <w:p w:rsidR="00D060FC" w:rsidRPr="005B0796" w:rsidRDefault="00D060FC" w:rsidP="00C00593">
            <w:pPr>
              <w:pStyle w:val="TableText"/>
              <w:jc w:val="right"/>
              <w:rPr>
                <w:lang w:eastAsia="en-AU"/>
              </w:rPr>
            </w:pPr>
            <w:r w:rsidRPr="005B0796">
              <w:rPr>
                <w:lang w:eastAsia="en-AU"/>
              </w:rPr>
              <w:t>150</w:t>
            </w:r>
          </w:p>
        </w:tc>
        <w:tc>
          <w:tcPr>
            <w:tcW w:w="465" w:type="dxa"/>
            <w:hideMark/>
          </w:tcPr>
          <w:p w:rsidR="00D060FC" w:rsidRPr="005B0796" w:rsidRDefault="00D060FC" w:rsidP="00C00593">
            <w:pPr>
              <w:pStyle w:val="TableText"/>
              <w:jc w:val="right"/>
              <w:rPr>
                <w:lang w:eastAsia="en-AU"/>
              </w:rPr>
            </w:pPr>
            <w:r w:rsidRPr="005B0796">
              <w:rPr>
                <w:lang w:eastAsia="en-AU"/>
              </w:rPr>
              <w:t>4.2</w:t>
            </w:r>
          </w:p>
        </w:tc>
        <w:tc>
          <w:tcPr>
            <w:tcW w:w="500" w:type="dxa"/>
            <w:hideMark/>
          </w:tcPr>
          <w:p w:rsidR="00D060FC" w:rsidRPr="005B0796" w:rsidRDefault="00D060FC" w:rsidP="00C00593">
            <w:pPr>
              <w:pStyle w:val="TableText"/>
              <w:jc w:val="right"/>
              <w:rPr>
                <w:lang w:eastAsia="en-AU"/>
              </w:rPr>
            </w:pPr>
            <w:r w:rsidRPr="005B0796">
              <w:rPr>
                <w:lang w:eastAsia="en-AU"/>
              </w:rPr>
              <w:t>2.1,</w:t>
            </w:r>
            <w:r w:rsidRPr="005B0796">
              <w:rPr>
                <w:lang w:eastAsia="en-AU"/>
              </w:rPr>
              <w:br/>
              <w:t>8.3</w:t>
            </w:r>
          </w:p>
        </w:tc>
        <w:tc>
          <w:tcPr>
            <w:tcW w:w="784" w:type="dxa"/>
            <w:hideMark/>
          </w:tcPr>
          <w:p w:rsidR="00D060FC" w:rsidRPr="005B0796" w:rsidRDefault="00D060FC" w:rsidP="00C00593">
            <w:pPr>
              <w:pStyle w:val="TableText"/>
              <w:jc w:val="right"/>
              <w:rPr>
                <w:lang w:eastAsia="en-AU"/>
              </w:rPr>
            </w:pPr>
            <w:r w:rsidRPr="005B0796">
              <w:rPr>
                <w:lang w:eastAsia="en-AU"/>
              </w:rPr>
              <w:t>384</w:t>
            </w:r>
          </w:p>
        </w:tc>
        <w:tc>
          <w:tcPr>
            <w:tcW w:w="465" w:type="dxa"/>
            <w:hideMark/>
          </w:tcPr>
          <w:p w:rsidR="00D060FC" w:rsidRPr="005B0796" w:rsidRDefault="00D060FC" w:rsidP="00C00593">
            <w:pPr>
              <w:pStyle w:val="TableText"/>
              <w:jc w:val="right"/>
              <w:rPr>
                <w:lang w:eastAsia="en-AU"/>
              </w:rPr>
            </w:pPr>
            <w:r w:rsidRPr="005B0796">
              <w:rPr>
                <w:lang w:eastAsia="en-AU"/>
              </w:rPr>
              <w:t>13.8</w:t>
            </w:r>
          </w:p>
        </w:tc>
        <w:tc>
          <w:tcPr>
            <w:tcW w:w="500" w:type="dxa"/>
            <w:hideMark/>
          </w:tcPr>
          <w:p w:rsidR="00D060FC" w:rsidRPr="005B0796" w:rsidRDefault="00D060FC" w:rsidP="00C00593">
            <w:pPr>
              <w:pStyle w:val="TableText"/>
              <w:jc w:val="right"/>
              <w:rPr>
                <w:lang w:eastAsia="en-AU"/>
              </w:rPr>
            </w:pPr>
            <w:r w:rsidRPr="005B0796">
              <w:rPr>
                <w:lang w:eastAsia="en-AU"/>
              </w:rPr>
              <w:t>10.0, 18.7</w:t>
            </w:r>
          </w:p>
        </w:tc>
      </w:tr>
      <w:tr w:rsidR="00C00593" w:rsidRPr="005B0796" w:rsidTr="00C00593">
        <w:trPr>
          <w:cnfStyle w:val="000000100000" w:firstRow="0" w:lastRow="0" w:firstColumn="0" w:lastColumn="0" w:oddVBand="0" w:evenVBand="0" w:oddHBand="1" w:evenHBand="0" w:firstRowFirstColumn="0" w:firstRowLastColumn="0" w:lastRowFirstColumn="0" w:lastRowLastColumn="0"/>
        </w:trPr>
        <w:tc>
          <w:tcPr>
            <w:tcW w:w="1017" w:type="dxa"/>
            <w:hideMark/>
          </w:tcPr>
          <w:p w:rsidR="00D060FC" w:rsidRPr="005B0796" w:rsidRDefault="00D060FC" w:rsidP="00C00593">
            <w:pPr>
              <w:pStyle w:val="TableText"/>
            </w:pPr>
            <w:r w:rsidRPr="005B0796">
              <w:rPr>
                <w:lang w:eastAsia="en-AU"/>
              </w:rPr>
              <w:t>Specific phobia</w:t>
            </w:r>
            <w:r w:rsidRPr="005B0796">
              <w:rPr>
                <w:vertAlign w:val="superscript"/>
                <w:lang w:eastAsia="en-AU"/>
              </w:rPr>
              <w:t>c</w:t>
            </w:r>
          </w:p>
        </w:tc>
        <w:tc>
          <w:tcPr>
            <w:tcW w:w="783" w:type="dxa"/>
            <w:hideMark/>
          </w:tcPr>
          <w:p w:rsidR="00D060FC" w:rsidRPr="005B0796" w:rsidRDefault="00D060FC" w:rsidP="00C00593">
            <w:pPr>
              <w:pStyle w:val="TableText"/>
              <w:jc w:val="right"/>
              <w:rPr>
                <w:lang w:eastAsia="en-AU"/>
              </w:rPr>
            </w:pPr>
            <w:r w:rsidRPr="005B0796">
              <w:rPr>
                <w:lang w:eastAsia="en-AU"/>
              </w:rPr>
              <w:t>103</w:t>
            </w:r>
          </w:p>
        </w:tc>
        <w:tc>
          <w:tcPr>
            <w:tcW w:w="464" w:type="dxa"/>
            <w:hideMark/>
          </w:tcPr>
          <w:p w:rsidR="00D060FC" w:rsidRPr="005B0796" w:rsidRDefault="00D060FC" w:rsidP="00C00593">
            <w:pPr>
              <w:pStyle w:val="TableText"/>
              <w:jc w:val="right"/>
              <w:rPr>
                <w:lang w:eastAsia="en-AU"/>
              </w:rPr>
            </w:pPr>
            <w:r w:rsidRPr="005B0796">
              <w:rPr>
                <w:lang w:eastAsia="en-AU"/>
              </w:rPr>
              <w:t>5.3</w:t>
            </w:r>
          </w:p>
        </w:tc>
        <w:tc>
          <w:tcPr>
            <w:tcW w:w="499" w:type="dxa"/>
            <w:hideMark/>
          </w:tcPr>
          <w:p w:rsidR="00D060FC" w:rsidRPr="005B0796" w:rsidRDefault="00D060FC" w:rsidP="00C00593">
            <w:pPr>
              <w:pStyle w:val="TableText"/>
              <w:jc w:val="right"/>
              <w:rPr>
                <w:lang w:eastAsia="en-AU"/>
              </w:rPr>
            </w:pPr>
            <w:r w:rsidRPr="005B0796">
              <w:rPr>
                <w:lang w:eastAsia="en-AU"/>
              </w:rPr>
              <w:t>2.4, 11.3</w:t>
            </w:r>
          </w:p>
        </w:tc>
        <w:tc>
          <w:tcPr>
            <w:tcW w:w="783" w:type="dxa"/>
            <w:hideMark/>
          </w:tcPr>
          <w:p w:rsidR="00D060FC" w:rsidRPr="005B0796" w:rsidRDefault="00D060FC" w:rsidP="00C00593">
            <w:pPr>
              <w:pStyle w:val="TableText"/>
              <w:jc w:val="right"/>
              <w:rPr>
                <w:lang w:eastAsia="en-AU"/>
              </w:rPr>
            </w:pPr>
            <w:r w:rsidRPr="005B0796">
              <w:rPr>
                <w:lang w:eastAsia="en-AU"/>
              </w:rPr>
              <w:t>590</w:t>
            </w:r>
          </w:p>
        </w:tc>
        <w:tc>
          <w:tcPr>
            <w:tcW w:w="464" w:type="dxa"/>
            <w:hideMark/>
          </w:tcPr>
          <w:p w:rsidR="00D060FC" w:rsidRPr="005B0796" w:rsidRDefault="00D060FC" w:rsidP="00C00593">
            <w:pPr>
              <w:pStyle w:val="TableText"/>
              <w:jc w:val="right"/>
              <w:rPr>
                <w:lang w:eastAsia="en-AU"/>
              </w:rPr>
            </w:pPr>
            <w:r w:rsidRPr="005B0796">
              <w:rPr>
                <w:lang w:eastAsia="en-AU"/>
              </w:rPr>
              <w:t>12.1</w:t>
            </w:r>
          </w:p>
        </w:tc>
        <w:tc>
          <w:tcPr>
            <w:tcW w:w="500" w:type="dxa"/>
            <w:hideMark/>
          </w:tcPr>
          <w:p w:rsidR="00D060FC" w:rsidRPr="005B0796" w:rsidRDefault="00D060FC" w:rsidP="00C00593">
            <w:pPr>
              <w:pStyle w:val="TableText"/>
              <w:jc w:val="right"/>
              <w:rPr>
                <w:lang w:eastAsia="en-AU"/>
              </w:rPr>
            </w:pPr>
            <w:r w:rsidRPr="005B0796">
              <w:rPr>
                <w:lang w:eastAsia="en-AU"/>
              </w:rPr>
              <w:t>6.2, 22.3</w:t>
            </w:r>
          </w:p>
        </w:tc>
        <w:tc>
          <w:tcPr>
            <w:tcW w:w="784" w:type="dxa"/>
            <w:hideMark/>
          </w:tcPr>
          <w:p w:rsidR="00D060FC" w:rsidRPr="005B0796" w:rsidRDefault="00D060FC" w:rsidP="00C00593">
            <w:pPr>
              <w:pStyle w:val="TableText"/>
              <w:jc w:val="right"/>
              <w:rPr>
                <w:lang w:eastAsia="en-AU"/>
              </w:rPr>
            </w:pPr>
            <w:r w:rsidRPr="005B0796">
              <w:rPr>
                <w:lang w:eastAsia="en-AU"/>
              </w:rPr>
              <w:t>499</w:t>
            </w:r>
          </w:p>
        </w:tc>
        <w:tc>
          <w:tcPr>
            <w:tcW w:w="465" w:type="dxa"/>
            <w:hideMark/>
          </w:tcPr>
          <w:p w:rsidR="00D060FC" w:rsidRPr="005B0796" w:rsidRDefault="00D060FC" w:rsidP="00C00593">
            <w:pPr>
              <w:pStyle w:val="TableText"/>
              <w:jc w:val="right"/>
              <w:rPr>
                <w:lang w:eastAsia="en-AU"/>
              </w:rPr>
            </w:pPr>
            <w:r w:rsidRPr="005B0796">
              <w:rPr>
                <w:lang w:eastAsia="en-AU"/>
              </w:rPr>
              <w:t>10.1</w:t>
            </w:r>
          </w:p>
        </w:tc>
        <w:tc>
          <w:tcPr>
            <w:tcW w:w="500" w:type="dxa"/>
            <w:hideMark/>
          </w:tcPr>
          <w:p w:rsidR="00D060FC" w:rsidRPr="005B0796" w:rsidRDefault="00D060FC" w:rsidP="00C00593">
            <w:pPr>
              <w:pStyle w:val="TableText"/>
              <w:jc w:val="right"/>
              <w:rPr>
                <w:lang w:eastAsia="en-AU"/>
              </w:rPr>
            </w:pPr>
            <w:r w:rsidRPr="005B0796">
              <w:rPr>
                <w:lang w:eastAsia="en-AU"/>
              </w:rPr>
              <w:t>5.6, 17.3</w:t>
            </w:r>
          </w:p>
        </w:tc>
        <w:tc>
          <w:tcPr>
            <w:tcW w:w="784" w:type="dxa"/>
            <w:hideMark/>
          </w:tcPr>
          <w:p w:rsidR="00D060FC" w:rsidRPr="005B0796" w:rsidRDefault="00D060FC" w:rsidP="00C00593">
            <w:pPr>
              <w:pStyle w:val="TableText"/>
              <w:jc w:val="right"/>
              <w:rPr>
                <w:lang w:eastAsia="en-AU"/>
              </w:rPr>
            </w:pPr>
            <w:r w:rsidRPr="005B0796">
              <w:rPr>
                <w:lang w:eastAsia="en-AU"/>
              </w:rPr>
              <w:t>199</w:t>
            </w:r>
          </w:p>
        </w:tc>
        <w:tc>
          <w:tcPr>
            <w:tcW w:w="465" w:type="dxa"/>
            <w:hideMark/>
          </w:tcPr>
          <w:p w:rsidR="00D060FC" w:rsidRPr="005B0796" w:rsidRDefault="00D060FC" w:rsidP="00C00593">
            <w:pPr>
              <w:pStyle w:val="TableText"/>
              <w:jc w:val="right"/>
              <w:rPr>
                <w:lang w:eastAsia="en-AU"/>
              </w:rPr>
            </w:pPr>
            <w:r w:rsidRPr="005B0796">
              <w:rPr>
                <w:lang w:eastAsia="en-AU"/>
              </w:rPr>
              <w:t>3.8</w:t>
            </w:r>
          </w:p>
        </w:tc>
        <w:tc>
          <w:tcPr>
            <w:tcW w:w="500" w:type="dxa"/>
            <w:hideMark/>
          </w:tcPr>
          <w:p w:rsidR="00D060FC" w:rsidRPr="005B0796" w:rsidRDefault="00D060FC" w:rsidP="00C00593">
            <w:pPr>
              <w:pStyle w:val="TableText"/>
              <w:jc w:val="right"/>
              <w:rPr>
                <w:lang w:eastAsia="en-AU"/>
              </w:rPr>
            </w:pPr>
            <w:r w:rsidRPr="005B0796">
              <w:rPr>
                <w:lang w:eastAsia="en-AU"/>
              </w:rPr>
              <w:t>2.2,</w:t>
            </w:r>
            <w:r w:rsidRPr="005B0796">
              <w:rPr>
                <w:lang w:eastAsia="en-AU"/>
              </w:rPr>
              <w:br/>
              <w:t>6.3</w:t>
            </w:r>
          </w:p>
        </w:tc>
        <w:tc>
          <w:tcPr>
            <w:tcW w:w="784" w:type="dxa"/>
            <w:hideMark/>
          </w:tcPr>
          <w:p w:rsidR="00D060FC" w:rsidRPr="005B0796" w:rsidRDefault="00D060FC" w:rsidP="00C00593">
            <w:pPr>
              <w:pStyle w:val="TableText"/>
              <w:jc w:val="right"/>
              <w:rPr>
                <w:lang w:eastAsia="en-AU"/>
              </w:rPr>
            </w:pPr>
            <w:r w:rsidRPr="005B0796">
              <w:rPr>
                <w:lang w:eastAsia="en-AU"/>
              </w:rPr>
              <w:t>337</w:t>
            </w:r>
          </w:p>
        </w:tc>
        <w:tc>
          <w:tcPr>
            <w:tcW w:w="465" w:type="dxa"/>
            <w:hideMark/>
          </w:tcPr>
          <w:p w:rsidR="00D060FC" w:rsidRPr="005B0796" w:rsidRDefault="00D060FC" w:rsidP="00C00593">
            <w:pPr>
              <w:pStyle w:val="TableText"/>
              <w:jc w:val="right"/>
              <w:rPr>
                <w:lang w:eastAsia="en-AU"/>
              </w:rPr>
            </w:pPr>
            <w:r w:rsidRPr="005B0796">
              <w:rPr>
                <w:lang w:eastAsia="en-AU"/>
              </w:rPr>
              <w:t>9.4</w:t>
            </w:r>
          </w:p>
        </w:tc>
        <w:tc>
          <w:tcPr>
            <w:tcW w:w="500" w:type="dxa"/>
            <w:hideMark/>
          </w:tcPr>
          <w:p w:rsidR="00D060FC" w:rsidRPr="005B0796" w:rsidRDefault="00D060FC" w:rsidP="00C00593">
            <w:pPr>
              <w:pStyle w:val="TableText"/>
              <w:jc w:val="right"/>
              <w:rPr>
                <w:lang w:eastAsia="en-AU"/>
              </w:rPr>
            </w:pPr>
            <w:r w:rsidRPr="005B0796">
              <w:rPr>
                <w:lang w:eastAsia="en-AU"/>
              </w:rPr>
              <w:t>4.8, 17.7</w:t>
            </w:r>
          </w:p>
        </w:tc>
        <w:tc>
          <w:tcPr>
            <w:tcW w:w="784" w:type="dxa"/>
            <w:hideMark/>
          </w:tcPr>
          <w:p w:rsidR="00D060FC" w:rsidRPr="005B0796" w:rsidRDefault="00D060FC" w:rsidP="00C00593">
            <w:pPr>
              <w:pStyle w:val="TableText"/>
              <w:jc w:val="right"/>
              <w:rPr>
                <w:lang w:eastAsia="en-AU"/>
              </w:rPr>
            </w:pPr>
            <w:r w:rsidRPr="005B0796">
              <w:rPr>
                <w:lang w:eastAsia="en-AU"/>
              </w:rPr>
              <w:t>156</w:t>
            </w:r>
          </w:p>
        </w:tc>
        <w:tc>
          <w:tcPr>
            <w:tcW w:w="465" w:type="dxa"/>
            <w:hideMark/>
          </w:tcPr>
          <w:p w:rsidR="00D060FC" w:rsidRPr="005B0796" w:rsidRDefault="00D060FC" w:rsidP="00C00593">
            <w:pPr>
              <w:pStyle w:val="TableText"/>
              <w:jc w:val="right"/>
              <w:rPr>
                <w:lang w:eastAsia="en-AU"/>
              </w:rPr>
            </w:pPr>
            <w:r w:rsidRPr="005B0796">
              <w:rPr>
                <w:lang w:eastAsia="en-AU"/>
              </w:rPr>
              <w:t>5.6</w:t>
            </w:r>
          </w:p>
        </w:tc>
        <w:tc>
          <w:tcPr>
            <w:tcW w:w="500" w:type="dxa"/>
            <w:hideMark/>
          </w:tcPr>
          <w:p w:rsidR="00D060FC" w:rsidRPr="005B0796" w:rsidRDefault="00D060FC" w:rsidP="00C00593">
            <w:pPr>
              <w:pStyle w:val="TableText"/>
              <w:jc w:val="right"/>
              <w:rPr>
                <w:lang w:eastAsia="en-AU"/>
              </w:rPr>
            </w:pPr>
            <w:r w:rsidRPr="005B0796">
              <w:rPr>
                <w:lang w:eastAsia="en-AU"/>
              </w:rPr>
              <w:t>3.2,</w:t>
            </w:r>
            <w:r w:rsidRPr="005B0796">
              <w:rPr>
                <w:lang w:eastAsia="en-AU"/>
              </w:rPr>
              <w:br/>
              <w:t>9.8</w:t>
            </w:r>
          </w:p>
        </w:tc>
      </w:tr>
      <w:tr w:rsidR="00AD56D5" w:rsidRPr="005B0796" w:rsidTr="00C00593">
        <w:tc>
          <w:tcPr>
            <w:tcW w:w="1017" w:type="dxa"/>
            <w:hideMark/>
          </w:tcPr>
          <w:p w:rsidR="00D060FC" w:rsidRPr="005B0796" w:rsidRDefault="00D060FC" w:rsidP="00C00593">
            <w:pPr>
              <w:pStyle w:val="TableText"/>
            </w:pPr>
            <w:r w:rsidRPr="005B0796">
              <w:rPr>
                <w:lang w:eastAsia="en-AU"/>
              </w:rPr>
              <w:t>Generalised anxiety disorder</w:t>
            </w:r>
            <w:r w:rsidRPr="005B0796">
              <w:rPr>
                <w:vertAlign w:val="superscript"/>
                <w:lang w:eastAsia="en-AU"/>
              </w:rPr>
              <w:t>d</w:t>
            </w:r>
          </w:p>
        </w:tc>
        <w:tc>
          <w:tcPr>
            <w:tcW w:w="783" w:type="dxa"/>
            <w:hideMark/>
          </w:tcPr>
          <w:p w:rsidR="00D060FC" w:rsidRPr="005B0796" w:rsidRDefault="00D060FC" w:rsidP="00C00593">
            <w:pPr>
              <w:pStyle w:val="TableText"/>
              <w:jc w:val="right"/>
              <w:rPr>
                <w:lang w:eastAsia="en-AU"/>
              </w:rPr>
            </w:pPr>
            <w:r w:rsidRPr="005B0796">
              <w:rPr>
                <w:lang w:eastAsia="en-AU"/>
              </w:rPr>
              <w:t>39</w:t>
            </w:r>
          </w:p>
        </w:tc>
        <w:tc>
          <w:tcPr>
            <w:tcW w:w="464" w:type="dxa"/>
            <w:hideMark/>
          </w:tcPr>
          <w:p w:rsidR="00D060FC" w:rsidRPr="005B0796" w:rsidRDefault="00D060FC" w:rsidP="00C00593">
            <w:pPr>
              <w:pStyle w:val="TableText"/>
              <w:jc w:val="right"/>
              <w:rPr>
                <w:lang w:eastAsia="en-AU"/>
              </w:rPr>
            </w:pPr>
            <w:r w:rsidRPr="005B0796">
              <w:rPr>
                <w:lang w:eastAsia="en-AU"/>
              </w:rPr>
              <w:t>2.0</w:t>
            </w:r>
          </w:p>
        </w:tc>
        <w:tc>
          <w:tcPr>
            <w:tcW w:w="499" w:type="dxa"/>
            <w:hideMark/>
          </w:tcPr>
          <w:p w:rsidR="00D060FC" w:rsidRPr="005B0796" w:rsidRDefault="00D060FC" w:rsidP="00C00593">
            <w:pPr>
              <w:pStyle w:val="TableText"/>
              <w:jc w:val="right"/>
              <w:rPr>
                <w:lang w:eastAsia="en-AU"/>
              </w:rPr>
            </w:pPr>
            <w:r w:rsidRPr="005B0796">
              <w:rPr>
                <w:lang w:eastAsia="en-AU"/>
              </w:rPr>
              <w:t>0.6,</w:t>
            </w:r>
            <w:r w:rsidRPr="005B0796">
              <w:rPr>
                <w:lang w:eastAsia="en-AU"/>
              </w:rPr>
              <w:br/>
              <w:t>6.0</w:t>
            </w:r>
          </w:p>
        </w:tc>
        <w:tc>
          <w:tcPr>
            <w:tcW w:w="783" w:type="dxa"/>
            <w:hideMark/>
          </w:tcPr>
          <w:p w:rsidR="00D060FC" w:rsidRPr="005B0796" w:rsidRDefault="00D060FC" w:rsidP="00C00593">
            <w:pPr>
              <w:pStyle w:val="TableText"/>
              <w:jc w:val="right"/>
              <w:rPr>
                <w:lang w:eastAsia="en-AU"/>
              </w:rPr>
            </w:pPr>
            <w:r w:rsidRPr="005B0796">
              <w:rPr>
                <w:lang w:eastAsia="en-AU"/>
              </w:rPr>
              <w:t>366</w:t>
            </w:r>
          </w:p>
        </w:tc>
        <w:tc>
          <w:tcPr>
            <w:tcW w:w="464" w:type="dxa"/>
            <w:hideMark/>
          </w:tcPr>
          <w:p w:rsidR="00D060FC" w:rsidRPr="005B0796" w:rsidRDefault="00D060FC" w:rsidP="00C00593">
            <w:pPr>
              <w:pStyle w:val="TableText"/>
              <w:jc w:val="right"/>
              <w:rPr>
                <w:lang w:eastAsia="en-AU"/>
              </w:rPr>
            </w:pPr>
            <w:r w:rsidRPr="005B0796">
              <w:rPr>
                <w:lang w:eastAsia="en-AU"/>
              </w:rPr>
              <w:t>7.5</w:t>
            </w:r>
          </w:p>
        </w:tc>
        <w:tc>
          <w:tcPr>
            <w:tcW w:w="500" w:type="dxa"/>
            <w:hideMark/>
          </w:tcPr>
          <w:p w:rsidR="00D060FC" w:rsidRPr="005B0796" w:rsidRDefault="00D060FC" w:rsidP="00C00593">
            <w:pPr>
              <w:pStyle w:val="TableText"/>
              <w:jc w:val="right"/>
              <w:rPr>
                <w:lang w:eastAsia="en-AU"/>
              </w:rPr>
            </w:pPr>
            <w:r w:rsidRPr="005B0796">
              <w:rPr>
                <w:lang w:eastAsia="en-AU"/>
              </w:rPr>
              <w:t>3.1, 17.1</w:t>
            </w:r>
          </w:p>
        </w:tc>
        <w:tc>
          <w:tcPr>
            <w:tcW w:w="784" w:type="dxa"/>
            <w:hideMark/>
          </w:tcPr>
          <w:p w:rsidR="00D060FC" w:rsidRPr="005B0796" w:rsidRDefault="00D060FC" w:rsidP="00C00593">
            <w:pPr>
              <w:pStyle w:val="TableText"/>
              <w:jc w:val="right"/>
              <w:rPr>
                <w:lang w:eastAsia="en-AU"/>
              </w:rPr>
            </w:pPr>
            <w:r w:rsidRPr="005B0796">
              <w:rPr>
                <w:lang w:eastAsia="en-AU"/>
              </w:rPr>
              <w:t>143</w:t>
            </w:r>
          </w:p>
        </w:tc>
        <w:tc>
          <w:tcPr>
            <w:tcW w:w="465" w:type="dxa"/>
            <w:hideMark/>
          </w:tcPr>
          <w:p w:rsidR="00D060FC" w:rsidRPr="005B0796" w:rsidRDefault="00D060FC" w:rsidP="00C00593">
            <w:pPr>
              <w:pStyle w:val="TableText"/>
              <w:jc w:val="right"/>
              <w:rPr>
                <w:lang w:eastAsia="en-AU"/>
              </w:rPr>
            </w:pPr>
            <w:r w:rsidRPr="005B0796">
              <w:rPr>
                <w:lang w:eastAsia="en-AU"/>
              </w:rPr>
              <w:t>2.9</w:t>
            </w:r>
          </w:p>
        </w:tc>
        <w:tc>
          <w:tcPr>
            <w:tcW w:w="500" w:type="dxa"/>
            <w:hideMark/>
          </w:tcPr>
          <w:p w:rsidR="00D060FC" w:rsidRPr="005B0796" w:rsidRDefault="00D060FC" w:rsidP="00C00593">
            <w:pPr>
              <w:pStyle w:val="TableText"/>
              <w:jc w:val="right"/>
              <w:rPr>
                <w:lang w:eastAsia="en-AU"/>
              </w:rPr>
            </w:pPr>
            <w:r w:rsidRPr="005B0796">
              <w:rPr>
                <w:lang w:eastAsia="en-AU"/>
              </w:rPr>
              <w:t>1.6,</w:t>
            </w:r>
            <w:r w:rsidRPr="005B0796">
              <w:rPr>
                <w:lang w:eastAsia="en-AU"/>
              </w:rPr>
              <w:br/>
              <w:t>5.4</w:t>
            </w:r>
          </w:p>
        </w:tc>
        <w:tc>
          <w:tcPr>
            <w:tcW w:w="784" w:type="dxa"/>
            <w:hideMark/>
          </w:tcPr>
          <w:p w:rsidR="00D060FC" w:rsidRPr="005B0796" w:rsidRDefault="00D060FC" w:rsidP="00C00593">
            <w:pPr>
              <w:pStyle w:val="TableText"/>
              <w:jc w:val="right"/>
              <w:rPr>
                <w:lang w:eastAsia="en-AU"/>
              </w:rPr>
            </w:pPr>
            <w:r w:rsidRPr="005B0796">
              <w:rPr>
                <w:lang w:eastAsia="en-AU"/>
              </w:rPr>
              <w:t>58</w:t>
            </w:r>
          </w:p>
        </w:tc>
        <w:tc>
          <w:tcPr>
            <w:tcW w:w="465" w:type="dxa"/>
            <w:hideMark/>
          </w:tcPr>
          <w:p w:rsidR="00D060FC" w:rsidRPr="005B0796" w:rsidRDefault="00D060FC" w:rsidP="00C00593">
            <w:pPr>
              <w:pStyle w:val="TableText"/>
              <w:jc w:val="right"/>
              <w:rPr>
                <w:lang w:eastAsia="en-AU"/>
              </w:rPr>
            </w:pPr>
            <w:r w:rsidRPr="005B0796">
              <w:rPr>
                <w:lang w:eastAsia="en-AU"/>
              </w:rPr>
              <w:t>1.1</w:t>
            </w:r>
          </w:p>
        </w:tc>
        <w:tc>
          <w:tcPr>
            <w:tcW w:w="500" w:type="dxa"/>
            <w:hideMark/>
          </w:tcPr>
          <w:p w:rsidR="00D060FC" w:rsidRPr="005B0796" w:rsidRDefault="00D060FC" w:rsidP="00C00593">
            <w:pPr>
              <w:pStyle w:val="TableText"/>
              <w:jc w:val="right"/>
              <w:rPr>
                <w:lang w:eastAsia="en-AU"/>
              </w:rPr>
            </w:pPr>
            <w:r w:rsidRPr="005B0796">
              <w:rPr>
                <w:lang w:eastAsia="en-AU"/>
              </w:rPr>
              <w:t>0.4,</w:t>
            </w:r>
            <w:r w:rsidRPr="005B0796">
              <w:rPr>
                <w:lang w:eastAsia="en-AU"/>
              </w:rPr>
              <w:br/>
              <w:t>3.5</w:t>
            </w:r>
          </w:p>
        </w:tc>
        <w:tc>
          <w:tcPr>
            <w:tcW w:w="784" w:type="dxa"/>
            <w:hideMark/>
          </w:tcPr>
          <w:p w:rsidR="00D060FC" w:rsidRPr="005B0796" w:rsidRDefault="00D060FC" w:rsidP="00C00593">
            <w:pPr>
              <w:pStyle w:val="TableText"/>
              <w:jc w:val="right"/>
              <w:rPr>
                <w:lang w:eastAsia="en-AU"/>
              </w:rPr>
            </w:pPr>
            <w:r w:rsidRPr="005B0796">
              <w:rPr>
                <w:lang w:eastAsia="en-AU"/>
              </w:rPr>
              <w:t>308</w:t>
            </w:r>
          </w:p>
        </w:tc>
        <w:tc>
          <w:tcPr>
            <w:tcW w:w="465" w:type="dxa"/>
            <w:hideMark/>
          </w:tcPr>
          <w:p w:rsidR="00D060FC" w:rsidRPr="005B0796" w:rsidRDefault="00D060FC" w:rsidP="00C00593">
            <w:pPr>
              <w:pStyle w:val="TableText"/>
              <w:jc w:val="right"/>
              <w:rPr>
                <w:lang w:eastAsia="en-AU"/>
              </w:rPr>
            </w:pPr>
            <w:r w:rsidRPr="005B0796">
              <w:rPr>
                <w:lang w:eastAsia="en-AU"/>
              </w:rPr>
              <w:t>8.6</w:t>
            </w:r>
          </w:p>
        </w:tc>
        <w:tc>
          <w:tcPr>
            <w:tcW w:w="500" w:type="dxa"/>
            <w:hideMark/>
          </w:tcPr>
          <w:p w:rsidR="00D060FC" w:rsidRPr="005B0796" w:rsidRDefault="00D060FC" w:rsidP="00C00593">
            <w:pPr>
              <w:pStyle w:val="TableText"/>
              <w:jc w:val="right"/>
              <w:rPr>
                <w:lang w:eastAsia="en-AU"/>
              </w:rPr>
            </w:pPr>
            <w:r w:rsidRPr="005B0796">
              <w:rPr>
                <w:lang w:eastAsia="en-AU"/>
              </w:rPr>
              <w:t>3.2, 21.2</w:t>
            </w:r>
          </w:p>
        </w:tc>
        <w:tc>
          <w:tcPr>
            <w:tcW w:w="784" w:type="dxa"/>
            <w:hideMark/>
          </w:tcPr>
          <w:p w:rsidR="00D060FC" w:rsidRPr="005B0796" w:rsidRDefault="00D060FC" w:rsidP="00C00593">
            <w:pPr>
              <w:pStyle w:val="TableText"/>
              <w:jc w:val="right"/>
              <w:rPr>
                <w:lang w:eastAsia="en-AU"/>
              </w:rPr>
            </w:pPr>
            <w:r w:rsidRPr="005B0796">
              <w:rPr>
                <w:lang w:eastAsia="en-AU"/>
              </w:rPr>
              <w:t>25</w:t>
            </w:r>
          </w:p>
        </w:tc>
        <w:tc>
          <w:tcPr>
            <w:tcW w:w="465" w:type="dxa"/>
            <w:hideMark/>
          </w:tcPr>
          <w:p w:rsidR="00D060FC" w:rsidRPr="005B0796" w:rsidRDefault="00D060FC" w:rsidP="00C00593">
            <w:pPr>
              <w:pStyle w:val="TableText"/>
              <w:jc w:val="right"/>
              <w:rPr>
                <w:lang w:eastAsia="en-AU"/>
              </w:rPr>
            </w:pPr>
            <w:r w:rsidRPr="005B0796">
              <w:rPr>
                <w:lang w:eastAsia="en-AU"/>
              </w:rPr>
              <w:t>0.9</w:t>
            </w:r>
          </w:p>
        </w:tc>
        <w:tc>
          <w:tcPr>
            <w:tcW w:w="500" w:type="dxa"/>
            <w:hideMark/>
          </w:tcPr>
          <w:p w:rsidR="00D060FC" w:rsidRPr="005B0796" w:rsidRDefault="00D060FC" w:rsidP="00C00593">
            <w:pPr>
              <w:pStyle w:val="TableText"/>
              <w:jc w:val="right"/>
              <w:rPr>
                <w:lang w:eastAsia="en-AU"/>
              </w:rPr>
            </w:pPr>
            <w:r w:rsidRPr="005B0796">
              <w:rPr>
                <w:lang w:eastAsia="en-AU"/>
              </w:rPr>
              <w:t>0.2,</w:t>
            </w:r>
            <w:r w:rsidRPr="005B0796">
              <w:rPr>
                <w:lang w:eastAsia="en-AU"/>
              </w:rPr>
              <w:br/>
              <w:t>3.3</w:t>
            </w:r>
          </w:p>
        </w:tc>
      </w:tr>
      <w:tr w:rsidR="00C00593" w:rsidRPr="005B0796" w:rsidTr="00C00593">
        <w:trPr>
          <w:cnfStyle w:val="000000100000" w:firstRow="0" w:lastRow="0" w:firstColumn="0" w:lastColumn="0" w:oddVBand="0" w:evenVBand="0" w:oddHBand="1" w:evenHBand="0" w:firstRowFirstColumn="0" w:firstRowLastColumn="0" w:lastRowFirstColumn="0" w:lastRowLastColumn="0"/>
        </w:trPr>
        <w:tc>
          <w:tcPr>
            <w:tcW w:w="1017" w:type="dxa"/>
            <w:hideMark/>
          </w:tcPr>
          <w:p w:rsidR="00D060FC" w:rsidRPr="005B0796" w:rsidRDefault="00D060FC" w:rsidP="00C00593">
            <w:pPr>
              <w:pStyle w:val="TableText"/>
            </w:pPr>
            <w:r w:rsidRPr="005B0796">
              <w:rPr>
                <w:lang w:eastAsia="en-AU"/>
              </w:rPr>
              <w:t>Obsessive-compulsive disorder</w:t>
            </w:r>
          </w:p>
        </w:tc>
        <w:tc>
          <w:tcPr>
            <w:tcW w:w="783" w:type="dxa"/>
            <w:hideMark/>
          </w:tcPr>
          <w:p w:rsidR="00D060FC" w:rsidRPr="005B0796" w:rsidRDefault="00D060FC" w:rsidP="00C00593">
            <w:pPr>
              <w:pStyle w:val="TableText"/>
              <w:jc w:val="right"/>
              <w:rPr>
                <w:lang w:eastAsia="en-AU"/>
              </w:rPr>
            </w:pPr>
            <w:r w:rsidRPr="005B0796">
              <w:rPr>
                <w:lang w:eastAsia="en-AU"/>
              </w:rPr>
              <w:t>146</w:t>
            </w:r>
          </w:p>
        </w:tc>
        <w:tc>
          <w:tcPr>
            <w:tcW w:w="464" w:type="dxa"/>
            <w:hideMark/>
          </w:tcPr>
          <w:p w:rsidR="00D060FC" w:rsidRPr="005B0796" w:rsidRDefault="00D060FC" w:rsidP="00C00593">
            <w:pPr>
              <w:pStyle w:val="TableText"/>
              <w:jc w:val="right"/>
              <w:rPr>
                <w:lang w:eastAsia="en-AU"/>
              </w:rPr>
            </w:pPr>
            <w:r w:rsidRPr="005B0796">
              <w:rPr>
                <w:lang w:eastAsia="en-AU"/>
              </w:rPr>
              <w:t>7.5</w:t>
            </w:r>
          </w:p>
        </w:tc>
        <w:tc>
          <w:tcPr>
            <w:tcW w:w="499" w:type="dxa"/>
            <w:hideMark/>
          </w:tcPr>
          <w:p w:rsidR="00D060FC" w:rsidRPr="005B0796" w:rsidRDefault="00D060FC" w:rsidP="00C00593">
            <w:pPr>
              <w:pStyle w:val="TableText"/>
              <w:jc w:val="right"/>
              <w:rPr>
                <w:lang w:eastAsia="en-AU"/>
              </w:rPr>
            </w:pPr>
            <w:r w:rsidRPr="005B0796">
              <w:rPr>
                <w:lang w:eastAsia="en-AU"/>
              </w:rPr>
              <w:t>2.6, 19.6</w:t>
            </w:r>
          </w:p>
        </w:tc>
        <w:tc>
          <w:tcPr>
            <w:tcW w:w="783" w:type="dxa"/>
            <w:hideMark/>
          </w:tcPr>
          <w:p w:rsidR="00D060FC" w:rsidRPr="005B0796" w:rsidRDefault="00D060FC" w:rsidP="00C00593">
            <w:pPr>
              <w:pStyle w:val="TableText"/>
              <w:jc w:val="right"/>
              <w:rPr>
                <w:lang w:eastAsia="en-AU"/>
              </w:rPr>
            </w:pPr>
            <w:r w:rsidRPr="005B0796">
              <w:rPr>
                <w:lang w:eastAsia="en-AU"/>
              </w:rPr>
              <w:t>141</w:t>
            </w:r>
          </w:p>
        </w:tc>
        <w:tc>
          <w:tcPr>
            <w:tcW w:w="464" w:type="dxa"/>
            <w:hideMark/>
          </w:tcPr>
          <w:p w:rsidR="00D060FC" w:rsidRPr="005B0796" w:rsidRDefault="00D060FC" w:rsidP="00C00593">
            <w:pPr>
              <w:pStyle w:val="TableText"/>
              <w:jc w:val="right"/>
              <w:rPr>
                <w:lang w:eastAsia="en-AU"/>
              </w:rPr>
            </w:pPr>
            <w:r w:rsidRPr="005B0796">
              <w:rPr>
                <w:lang w:eastAsia="en-AU"/>
              </w:rPr>
              <w:t>2.9</w:t>
            </w:r>
          </w:p>
        </w:tc>
        <w:tc>
          <w:tcPr>
            <w:tcW w:w="500" w:type="dxa"/>
            <w:hideMark/>
          </w:tcPr>
          <w:p w:rsidR="00D060FC" w:rsidRPr="005B0796" w:rsidRDefault="00D060FC" w:rsidP="00C00593">
            <w:pPr>
              <w:pStyle w:val="TableText"/>
              <w:jc w:val="right"/>
              <w:rPr>
                <w:lang w:eastAsia="en-AU"/>
              </w:rPr>
            </w:pPr>
            <w:r w:rsidRPr="005B0796">
              <w:rPr>
                <w:lang w:eastAsia="en-AU"/>
              </w:rPr>
              <w:t>0.6, 12.9</w:t>
            </w:r>
          </w:p>
        </w:tc>
        <w:tc>
          <w:tcPr>
            <w:tcW w:w="784" w:type="dxa"/>
            <w:hideMark/>
          </w:tcPr>
          <w:p w:rsidR="00D060FC" w:rsidRPr="005B0796" w:rsidRDefault="00D060FC" w:rsidP="00C00593">
            <w:pPr>
              <w:pStyle w:val="TableText"/>
              <w:jc w:val="right"/>
              <w:rPr>
                <w:lang w:eastAsia="en-AU"/>
              </w:rPr>
            </w:pPr>
            <w:r w:rsidRPr="005B0796">
              <w:rPr>
                <w:lang w:eastAsia="en-AU"/>
              </w:rPr>
              <w:t>282</w:t>
            </w:r>
          </w:p>
        </w:tc>
        <w:tc>
          <w:tcPr>
            <w:tcW w:w="465" w:type="dxa"/>
            <w:hideMark/>
          </w:tcPr>
          <w:p w:rsidR="00D060FC" w:rsidRPr="005B0796" w:rsidRDefault="00D060FC" w:rsidP="00C00593">
            <w:pPr>
              <w:pStyle w:val="TableText"/>
              <w:jc w:val="right"/>
              <w:rPr>
                <w:lang w:eastAsia="en-AU"/>
              </w:rPr>
            </w:pPr>
            <w:r w:rsidRPr="005B0796">
              <w:rPr>
                <w:lang w:eastAsia="en-AU"/>
              </w:rPr>
              <w:t>5.7</w:t>
            </w:r>
          </w:p>
        </w:tc>
        <w:tc>
          <w:tcPr>
            <w:tcW w:w="500" w:type="dxa"/>
            <w:hideMark/>
          </w:tcPr>
          <w:p w:rsidR="00D060FC" w:rsidRPr="005B0796" w:rsidRDefault="00D060FC" w:rsidP="00C00593">
            <w:pPr>
              <w:pStyle w:val="TableText"/>
              <w:jc w:val="right"/>
              <w:rPr>
                <w:lang w:eastAsia="en-AU"/>
              </w:rPr>
            </w:pPr>
            <w:r w:rsidRPr="005B0796">
              <w:rPr>
                <w:lang w:eastAsia="en-AU"/>
              </w:rPr>
              <w:t>2.2, 13.9</w:t>
            </w:r>
          </w:p>
        </w:tc>
        <w:tc>
          <w:tcPr>
            <w:tcW w:w="784" w:type="dxa"/>
            <w:hideMark/>
          </w:tcPr>
          <w:p w:rsidR="00D060FC" w:rsidRPr="005B0796" w:rsidRDefault="00D060FC" w:rsidP="00C00593">
            <w:pPr>
              <w:pStyle w:val="TableText"/>
              <w:jc w:val="right"/>
              <w:rPr>
                <w:lang w:eastAsia="en-AU"/>
              </w:rPr>
            </w:pPr>
            <w:r w:rsidRPr="005B0796">
              <w:rPr>
                <w:lang w:eastAsia="en-AU"/>
              </w:rPr>
              <w:t>277</w:t>
            </w:r>
          </w:p>
        </w:tc>
        <w:tc>
          <w:tcPr>
            <w:tcW w:w="465" w:type="dxa"/>
            <w:hideMark/>
          </w:tcPr>
          <w:p w:rsidR="00D060FC" w:rsidRPr="005B0796" w:rsidRDefault="00D060FC" w:rsidP="00C00593">
            <w:pPr>
              <w:pStyle w:val="TableText"/>
              <w:jc w:val="right"/>
              <w:rPr>
                <w:lang w:eastAsia="en-AU"/>
              </w:rPr>
            </w:pPr>
            <w:r w:rsidRPr="005B0796">
              <w:rPr>
                <w:lang w:eastAsia="en-AU"/>
              </w:rPr>
              <w:t>5.3</w:t>
            </w:r>
          </w:p>
        </w:tc>
        <w:tc>
          <w:tcPr>
            <w:tcW w:w="500" w:type="dxa"/>
            <w:hideMark/>
          </w:tcPr>
          <w:p w:rsidR="00D060FC" w:rsidRPr="005B0796" w:rsidRDefault="00D060FC" w:rsidP="00C00593">
            <w:pPr>
              <w:pStyle w:val="TableText"/>
              <w:jc w:val="right"/>
              <w:rPr>
                <w:lang w:eastAsia="en-AU"/>
              </w:rPr>
            </w:pPr>
            <w:r w:rsidRPr="005B0796">
              <w:rPr>
                <w:lang w:eastAsia="en-AU"/>
              </w:rPr>
              <w:t>2.0, 13.0</w:t>
            </w:r>
          </w:p>
        </w:tc>
        <w:tc>
          <w:tcPr>
            <w:tcW w:w="784" w:type="dxa"/>
            <w:hideMark/>
          </w:tcPr>
          <w:p w:rsidR="00D060FC" w:rsidRPr="005B0796" w:rsidRDefault="00D060FC" w:rsidP="00C00593">
            <w:pPr>
              <w:pStyle w:val="TableText"/>
              <w:jc w:val="right"/>
              <w:rPr>
                <w:lang w:eastAsia="en-AU"/>
              </w:rPr>
            </w:pPr>
            <w:r w:rsidRPr="005B0796">
              <w:rPr>
                <w:lang w:eastAsia="en-AU"/>
              </w:rPr>
              <w:t>86</w:t>
            </w:r>
          </w:p>
        </w:tc>
        <w:tc>
          <w:tcPr>
            <w:tcW w:w="465" w:type="dxa"/>
            <w:hideMark/>
          </w:tcPr>
          <w:p w:rsidR="00D060FC" w:rsidRPr="005B0796" w:rsidRDefault="00D060FC" w:rsidP="00C00593">
            <w:pPr>
              <w:pStyle w:val="TableText"/>
              <w:jc w:val="right"/>
              <w:rPr>
                <w:lang w:eastAsia="en-AU"/>
              </w:rPr>
            </w:pPr>
            <w:r w:rsidRPr="005B0796">
              <w:rPr>
                <w:lang w:eastAsia="en-AU"/>
              </w:rPr>
              <w:t>2.4</w:t>
            </w:r>
          </w:p>
        </w:tc>
        <w:tc>
          <w:tcPr>
            <w:tcW w:w="500" w:type="dxa"/>
            <w:hideMark/>
          </w:tcPr>
          <w:p w:rsidR="00D060FC" w:rsidRPr="005B0796" w:rsidRDefault="00D060FC" w:rsidP="00C00593">
            <w:pPr>
              <w:pStyle w:val="TableText"/>
              <w:jc w:val="right"/>
              <w:rPr>
                <w:lang w:eastAsia="en-AU"/>
              </w:rPr>
            </w:pPr>
            <w:r w:rsidRPr="005B0796">
              <w:rPr>
                <w:lang w:eastAsia="en-AU"/>
              </w:rPr>
              <w:t>1.0,</w:t>
            </w:r>
            <w:r w:rsidRPr="005B0796">
              <w:rPr>
                <w:lang w:eastAsia="en-AU"/>
              </w:rPr>
              <w:br/>
              <w:t>5.9</w:t>
            </w:r>
          </w:p>
        </w:tc>
        <w:tc>
          <w:tcPr>
            <w:tcW w:w="784" w:type="dxa"/>
            <w:hideMark/>
          </w:tcPr>
          <w:p w:rsidR="00D060FC" w:rsidRPr="005B0796" w:rsidRDefault="00D060FC" w:rsidP="00C00593">
            <w:pPr>
              <w:pStyle w:val="TableText"/>
              <w:jc w:val="right"/>
              <w:rPr>
                <w:lang w:eastAsia="en-AU"/>
              </w:rPr>
            </w:pPr>
            <w:r w:rsidRPr="005B0796">
              <w:rPr>
                <w:lang w:eastAsia="en-AU"/>
              </w:rPr>
              <w:t>50</w:t>
            </w:r>
          </w:p>
        </w:tc>
        <w:tc>
          <w:tcPr>
            <w:tcW w:w="465" w:type="dxa"/>
            <w:hideMark/>
          </w:tcPr>
          <w:p w:rsidR="00D060FC" w:rsidRPr="005B0796" w:rsidRDefault="00D060FC" w:rsidP="00C00593">
            <w:pPr>
              <w:pStyle w:val="TableText"/>
              <w:jc w:val="right"/>
              <w:rPr>
                <w:lang w:eastAsia="en-AU"/>
              </w:rPr>
            </w:pPr>
            <w:r w:rsidRPr="005B0796">
              <w:rPr>
                <w:lang w:eastAsia="en-AU"/>
              </w:rPr>
              <w:t>1.8</w:t>
            </w:r>
          </w:p>
        </w:tc>
        <w:tc>
          <w:tcPr>
            <w:tcW w:w="500" w:type="dxa"/>
            <w:hideMark/>
          </w:tcPr>
          <w:p w:rsidR="00D060FC" w:rsidRPr="005B0796" w:rsidRDefault="00D060FC" w:rsidP="00C00593">
            <w:pPr>
              <w:pStyle w:val="TableText"/>
              <w:jc w:val="right"/>
              <w:rPr>
                <w:lang w:eastAsia="en-AU"/>
              </w:rPr>
            </w:pPr>
            <w:r w:rsidRPr="005B0796">
              <w:rPr>
                <w:lang w:eastAsia="en-AU"/>
              </w:rPr>
              <w:t>0.7,</w:t>
            </w:r>
            <w:r w:rsidRPr="005B0796">
              <w:rPr>
                <w:lang w:eastAsia="en-AU"/>
              </w:rPr>
              <w:br/>
              <w:t>4.8</w:t>
            </w:r>
          </w:p>
        </w:tc>
      </w:tr>
      <w:tr w:rsidR="00AD56D5" w:rsidRPr="005B0796" w:rsidTr="00C00593">
        <w:tc>
          <w:tcPr>
            <w:tcW w:w="1017" w:type="dxa"/>
            <w:hideMark/>
          </w:tcPr>
          <w:p w:rsidR="00D060FC" w:rsidRPr="005B0796" w:rsidRDefault="00D060FC" w:rsidP="00C00593">
            <w:pPr>
              <w:pStyle w:val="TableText"/>
            </w:pPr>
            <w:r w:rsidRPr="005B0796">
              <w:rPr>
                <w:lang w:eastAsia="en-AU"/>
              </w:rPr>
              <w:t>Posttraumatic stress disorder</w:t>
            </w:r>
            <w:r w:rsidRPr="005B0796">
              <w:rPr>
                <w:vertAlign w:val="superscript"/>
                <w:lang w:eastAsia="en-AU"/>
              </w:rPr>
              <w:t>e</w:t>
            </w:r>
          </w:p>
        </w:tc>
        <w:tc>
          <w:tcPr>
            <w:tcW w:w="783" w:type="dxa"/>
            <w:hideMark/>
          </w:tcPr>
          <w:p w:rsidR="00D060FC" w:rsidRPr="005B0796" w:rsidRDefault="00D060FC" w:rsidP="00C00593">
            <w:pPr>
              <w:pStyle w:val="TableText"/>
              <w:jc w:val="right"/>
              <w:rPr>
                <w:lang w:eastAsia="en-AU"/>
              </w:rPr>
            </w:pPr>
            <w:r w:rsidRPr="005B0796">
              <w:rPr>
                <w:lang w:eastAsia="en-AU"/>
              </w:rPr>
              <w:t>222</w:t>
            </w:r>
          </w:p>
        </w:tc>
        <w:tc>
          <w:tcPr>
            <w:tcW w:w="464" w:type="dxa"/>
            <w:hideMark/>
          </w:tcPr>
          <w:p w:rsidR="00D060FC" w:rsidRPr="005B0796" w:rsidRDefault="00D060FC" w:rsidP="00C00593">
            <w:pPr>
              <w:pStyle w:val="TableText"/>
              <w:jc w:val="right"/>
              <w:rPr>
                <w:lang w:eastAsia="en-AU"/>
              </w:rPr>
            </w:pPr>
            <w:r w:rsidRPr="005B0796">
              <w:rPr>
                <w:lang w:eastAsia="en-AU"/>
              </w:rPr>
              <w:t>11.4</w:t>
            </w:r>
          </w:p>
        </w:tc>
        <w:tc>
          <w:tcPr>
            <w:tcW w:w="499" w:type="dxa"/>
            <w:hideMark/>
          </w:tcPr>
          <w:p w:rsidR="00D060FC" w:rsidRPr="005B0796" w:rsidRDefault="00D060FC" w:rsidP="00C00593">
            <w:pPr>
              <w:pStyle w:val="TableText"/>
              <w:jc w:val="right"/>
              <w:rPr>
                <w:lang w:eastAsia="en-AU"/>
              </w:rPr>
            </w:pPr>
            <w:r w:rsidRPr="005B0796">
              <w:rPr>
                <w:lang w:eastAsia="en-AU"/>
              </w:rPr>
              <w:t>6.8, 18.6</w:t>
            </w:r>
          </w:p>
        </w:tc>
        <w:tc>
          <w:tcPr>
            <w:tcW w:w="783" w:type="dxa"/>
            <w:hideMark/>
          </w:tcPr>
          <w:p w:rsidR="00D060FC" w:rsidRPr="005B0796" w:rsidRDefault="00D060FC" w:rsidP="00C00593">
            <w:pPr>
              <w:pStyle w:val="TableText"/>
              <w:jc w:val="right"/>
              <w:rPr>
                <w:lang w:eastAsia="en-AU"/>
              </w:rPr>
            </w:pPr>
            <w:r w:rsidRPr="005B0796">
              <w:rPr>
                <w:lang w:eastAsia="en-AU"/>
              </w:rPr>
              <w:t>936</w:t>
            </w:r>
          </w:p>
        </w:tc>
        <w:tc>
          <w:tcPr>
            <w:tcW w:w="464" w:type="dxa"/>
            <w:hideMark/>
          </w:tcPr>
          <w:p w:rsidR="00D060FC" w:rsidRPr="005B0796" w:rsidRDefault="00D060FC" w:rsidP="00C00593">
            <w:pPr>
              <w:pStyle w:val="TableText"/>
              <w:jc w:val="right"/>
              <w:rPr>
                <w:lang w:eastAsia="en-AU"/>
              </w:rPr>
            </w:pPr>
            <w:r w:rsidRPr="005B0796">
              <w:rPr>
                <w:lang w:eastAsia="en-AU"/>
              </w:rPr>
              <w:t>19.2</w:t>
            </w:r>
          </w:p>
        </w:tc>
        <w:tc>
          <w:tcPr>
            <w:tcW w:w="500" w:type="dxa"/>
            <w:hideMark/>
          </w:tcPr>
          <w:p w:rsidR="00D060FC" w:rsidRPr="005B0796" w:rsidRDefault="00D060FC" w:rsidP="00C00593">
            <w:pPr>
              <w:pStyle w:val="TableText"/>
              <w:jc w:val="right"/>
              <w:rPr>
                <w:lang w:eastAsia="en-AU"/>
              </w:rPr>
            </w:pPr>
            <w:r w:rsidRPr="005B0796">
              <w:rPr>
                <w:lang w:eastAsia="en-AU"/>
              </w:rPr>
              <w:t>11.9, 29.3</w:t>
            </w:r>
          </w:p>
        </w:tc>
        <w:tc>
          <w:tcPr>
            <w:tcW w:w="784" w:type="dxa"/>
            <w:hideMark/>
          </w:tcPr>
          <w:p w:rsidR="00D060FC" w:rsidRPr="005B0796" w:rsidRDefault="00D060FC" w:rsidP="00C00593">
            <w:pPr>
              <w:pStyle w:val="TableText"/>
              <w:jc w:val="right"/>
              <w:rPr>
                <w:lang w:eastAsia="en-AU"/>
              </w:rPr>
            </w:pPr>
            <w:r w:rsidRPr="005B0796">
              <w:rPr>
                <w:lang w:eastAsia="en-AU"/>
              </w:rPr>
              <w:t>1023</w:t>
            </w:r>
          </w:p>
        </w:tc>
        <w:tc>
          <w:tcPr>
            <w:tcW w:w="465" w:type="dxa"/>
            <w:hideMark/>
          </w:tcPr>
          <w:p w:rsidR="00D060FC" w:rsidRPr="005B0796" w:rsidRDefault="00D060FC" w:rsidP="00C00593">
            <w:pPr>
              <w:pStyle w:val="TableText"/>
              <w:jc w:val="right"/>
              <w:rPr>
                <w:lang w:eastAsia="en-AU"/>
              </w:rPr>
            </w:pPr>
            <w:r w:rsidRPr="005B0796">
              <w:rPr>
                <w:lang w:eastAsia="en-AU"/>
              </w:rPr>
              <w:t>20.7</w:t>
            </w:r>
          </w:p>
        </w:tc>
        <w:tc>
          <w:tcPr>
            <w:tcW w:w="500" w:type="dxa"/>
            <w:hideMark/>
          </w:tcPr>
          <w:p w:rsidR="00D060FC" w:rsidRPr="005B0796" w:rsidRDefault="00D060FC" w:rsidP="00C00593">
            <w:pPr>
              <w:pStyle w:val="TableText"/>
              <w:jc w:val="right"/>
              <w:rPr>
                <w:lang w:eastAsia="en-AU"/>
              </w:rPr>
            </w:pPr>
            <w:r w:rsidRPr="005B0796">
              <w:rPr>
                <w:lang w:eastAsia="en-AU"/>
              </w:rPr>
              <w:t>13.2, 31.0</w:t>
            </w:r>
          </w:p>
        </w:tc>
        <w:tc>
          <w:tcPr>
            <w:tcW w:w="784" w:type="dxa"/>
            <w:hideMark/>
          </w:tcPr>
          <w:p w:rsidR="00D060FC" w:rsidRPr="005B0796" w:rsidRDefault="00D060FC" w:rsidP="00C00593">
            <w:pPr>
              <w:pStyle w:val="TableText"/>
              <w:jc w:val="right"/>
              <w:rPr>
                <w:lang w:eastAsia="en-AU"/>
              </w:rPr>
            </w:pPr>
            <w:r w:rsidRPr="005B0796">
              <w:rPr>
                <w:lang w:eastAsia="en-AU"/>
              </w:rPr>
              <w:t>785</w:t>
            </w:r>
          </w:p>
        </w:tc>
        <w:tc>
          <w:tcPr>
            <w:tcW w:w="465" w:type="dxa"/>
            <w:hideMark/>
          </w:tcPr>
          <w:p w:rsidR="00D060FC" w:rsidRPr="005B0796" w:rsidRDefault="00D060FC" w:rsidP="00C00593">
            <w:pPr>
              <w:pStyle w:val="TableText"/>
              <w:jc w:val="right"/>
              <w:rPr>
                <w:lang w:eastAsia="en-AU"/>
              </w:rPr>
            </w:pPr>
            <w:r w:rsidRPr="005B0796">
              <w:rPr>
                <w:lang w:eastAsia="en-AU"/>
              </w:rPr>
              <w:t>15.0</w:t>
            </w:r>
          </w:p>
        </w:tc>
        <w:tc>
          <w:tcPr>
            <w:tcW w:w="500" w:type="dxa"/>
            <w:hideMark/>
          </w:tcPr>
          <w:p w:rsidR="00D060FC" w:rsidRPr="005B0796" w:rsidRDefault="00D060FC" w:rsidP="00C00593">
            <w:pPr>
              <w:pStyle w:val="TableText"/>
              <w:jc w:val="right"/>
              <w:rPr>
                <w:lang w:eastAsia="en-AU"/>
              </w:rPr>
            </w:pPr>
            <w:r w:rsidRPr="005B0796">
              <w:rPr>
                <w:lang w:eastAsia="en-AU"/>
              </w:rPr>
              <w:t>9.2, 23.6</w:t>
            </w:r>
          </w:p>
        </w:tc>
        <w:tc>
          <w:tcPr>
            <w:tcW w:w="784" w:type="dxa"/>
            <w:hideMark/>
          </w:tcPr>
          <w:p w:rsidR="00D060FC" w:rsidRPr="005B0796" w:rsidRDefault="00D060FC" w:rsidP="00C00593">
            <w:pPr>
              <w:pStyle w:val="TableText"/>
              <w:jc w:val="right"/>
              <w:rPr>
                <w:lang w:eastAsia="en-AU"/>
              </w:rPr>
            </w:pPr>
            <w:r w:rsidRPr="005B0796">
              <w:rPr>
                <w:lang w:eastAsia="en-AU"/>
              </w:rPr>
              <w:t>541</w:t>
            </w:r>
          </w:p>
        </w:tc>
        <w:tc>
          <w:tcPr>
            <w:tcW w:w="465" w:type="dxa"/>
            <w:hideMark/>
          </w:tcPr>
          <w:p w:rsidR="00D060FC" w:rsidRPr="005B0796" w:rsidRDefault="00D060FC" w:rsidP="00C00593">
            <w:pPr>
              <w:pStyle w:val="TableText"/>
              <w:jc w:val="right"/>
              <w:rPr>
                <w:lang w:eastAsia="en-AU"/>
              </w:rPr>
            </w:pPr>
            <w:r w:rsidRPr="005B0796">
              <w:rPr>
                <w:lang w:eastAsia="en-AU"/>
              </w:rPr>
              <w:t>15.1</w:t>
            </w:r>
          </w:p>
        </w:tc>
        <w:tc>
          <w:tcPr>
            <w:tcW w:w="500" w:type="dxa"/>
            <w:hideMark/>
          </w:tcPr>
          <w:p w:rsidR="00D060FC" w:rsidRPr="005B0796" w:rsidRDefault="00D060FC" w:rsidP="00C00593">
            <w:pPr>
              <w:pStyle w:val="TableText"/>
              <w:jc w:val="right"/>
              <w:rPr>
                <w:lang w:eastAsia="en-AU"/>
              </w:rPr>
            </w:pPr>
            <w:r w:rsidRPr="005B0796">
              <w:rPr>
                <w:lang w:eastAsia="en-AU"/>
              </w:rPr>
              <w:t>9.0, 24.3</w:t>
            </w:r>
          </w:p>
        </w:tc>
        <w:tc>
          <w:tcPr>
            <w:tcW w:w="784" w:type="dxa"/>
            <w:hideMark/>
          </w:tcPr>
          <w:p w:rsidR="00D060FC" w:rsidRPr="005B0796" w:rsidRDefault="00D060FC" w:rsidP="00C00593">
            <w:pPr>
              <w:pStyle w:val="TableText"/>
              <w:jc w:val="right"/>
              <w:rPr>
                <w:lang w:eastAsia="en-AU"/>
              </w:rPr>
            </w:pPr>
            <w:r w:rsidRPr="005B0796">
              <w:rPr>
                <w:lang w:eastAsia="en-AU"/>
              </w:rPr>
              <w:t>666</w:t>
            </w:r>
          </w:p>
        </w:tc>
        <w:tc>
          <w:tcPr>
            <w:tcW w:w="465" w:type="dxa"/>
            <w:hideMark/>
          </w:tcPr>
          <w:p w:rsidR="00D060FC" w:rsidRPr="005B0796" w:rsidRDefault="00D060FC" w:rsidP="00C00593">
            <w:pPr>
              <w:pStyle w:val="TableText"/>
              <w:jc w:val="right"/>
              <w:rPr>
                <w:lang w:eastAsia="en-AU"/>
              </w:rPr>
            </w:pPr>
            <w:r w:rsidRPr="005B0796">
              <w:rPr>
                <w:lang w:eastAsia="en-AU"/>
              </w:rPr>
              <w:t>23.9</w:t>
            </w:r>
          </w:p>
        </w:tc>
        <w:tc>
          <w:tcPr>
            <w:tcW w:w="500" w:type="dxa"/>
            <w:hideMark/>
          </w:tcPr>
          <w:p w:rsidR="00D060FC" w:rsidRPr="005B0796" w:rsidRDefault="00D060FC" w:rsidP="00C00593">
            <w:pPr>
              <w:pStyle w:val="TableText"/>
              <w:jc w:val="right"/>
              <w:rPr>
                <w:lang w:eastAsia="en-AU"/>
              </w:rPr>
            </w:pPr>
            <w:r w:rsidRPr="005B0796">
              <w:rPr>
                <w:lang w:eastAsia="en-AU"/>
              </w:rPr>
              <w:t>15.5, 35.0</w:t>
            </w:r>
          </w:p>
        </w:tc>
      </w:tr>
      <w:tr w:rsidR="00C00593" w:rsidRPr="005B0796" w:rsidTr="00C00593">
        <w:trPr>
          <w:cnfStyle w:val="000000100000" w:firstRow="0" w:lastRow="0" w:firstColumn="0" w:lastColumn="0" w:oddVBand="0" w:evenVBand="0" w:oddHBand="1" w:evenHBand="0" w:firstRowFirstColumn="0" w:firstRowLastColumn="0" w:lastRowFirstColumn="0" w:lastRowLastColumn="0"/>
        </w:trPr>
        <w:tc>
          <w:tcPr>
            <w:tcW w:w="1017" w:type="dxa"/>
            <w:hideMark/>
          </w:tcPr>
          <w:p w:rsidR="00D060FC" w:rsidRPr="005B0796" w:rsidRDefault="00D060FC" w:rsidP="00C00593">
            <w:pPr>
              <w:pStyle w:val="TableText"/>
            </w:pPr>
            <w:r w:rsidRPr="005B0796">
              <w:rPr>
                <w:lang w:eastAsia="en-AU"/>
              </w:rPr>
              <w:t>Any anxiety disorder</w:t>
            </w:r>
          </w:p>
        </w:tc>
        <w:tc>
          <w:tcPr>
            <w:tcW w:w="783" w:type="dxa"/>
            <w:hideMark/>
          </w:tcPr>
          <w:p w:rsidR="00D060FC" w:rsidRPr="005B0796" w:rsidRDefault="00D060FC" w:rsidP="00C00593">
            <w:pPr>
              <w:pStyle w:val="TableText"/>
              <w:jc w:val="right"/>
              <w:rPr>
                <w:lang w:eastAsia="en-AU"/>
              </w:rPr>
            </w:pPr>
            <w:r w:rsidRPr="005B0796">
              <w:rPr>
                <w:lang w:eastAsia="en-AU"/>
              </w:rPr>
              <w:t>669</w:t>
            </w:r>
          </w:p>
        </w:tc>
        <w:tc>
          <w:tcPr>
            <w:tcW w:w="464" w:type="dxa"/>
            <w:hideMark/>
          </w:tcPr>
          <w:p w:rsidR="00D060FC" w:rsidRPr="005B0796" w:rsidRDefault="00D060FC" w:rsidP="00C00593">
            <w:pPr>
              <w:pStyle w:val="TableText"/>
              <w:jc w:val="right"/>
              <w:rPr>
                <w:lang w:eastAsia="en-AU"/>
              </w:rPr>
            </w:pPr>
            <w:r w:rsidRPr="005B0796">
              <w:rPr>
                <w:lang w:eastAsia="en-AU"/>
              </w:rPr>
              <w:t>34.4</w:t>
            </w:r>
          </w:p>
        </w:tc>
        <w:tc>
          <w:tcPr>
            <w:tcW w:w="499" w:type="dxa"/>
            <w:hideMark/>
          </w:tcPr>
          <w:p w:rsidR="00D060FC" w:rsidRPr="005B0796" w:rsidRDefault="00D060FC" w:rsidP="00C00593">
            <w:pPr>
              <w:pStyle w:val="TableText"/>
              <w:jc w:val="right"/>
              <w:rPr>
                <w:lang w:eastAsia="en-AU"/>
              </w:rPr>
            </w:pPr>
            <w:r w:rsidRPr="005B0796">
              <w:rPr>
                <w:lang w:eastAsia="en-AU"/>
              </w:rPr>
              <w:t>22.4, 48.7</w:t>
            </w:r>
          </w:p>
        </w:tc>
        <w:tc>
          <w:tcPr>
            <w:tcW w:w="783" w:type="dxa"/>
            <w:hideMark/>
          </w:tcPr>
          <w:p w:rsidR="00D060FC" w:rsidRPr="005B0796" w:rsidRDefault="00D060FC" w:rsidP="00C00593">
            <w:pPr>
              <w:pStyle w:val="TableText"/>
              <w:jc w:val="right"/>
              <w:rPr>
                <w:lang w:eastAsia="en-AU"/>
              </w:rPr>
            </w:pPr>
            <w:r w:rsidRPr="005B0796">
              <w:rPr>
                <w:lang w:eastAsia="en-AU"/>
              </w:rPr>
              <w:t>2154</w:t>
            </w:r>
          </w:p>
        </w:tc>
        <w:tc>
          <w:tcPr>
            <w:tcW w:w="464" w:type="dxa"/>
            <w:hideMark/>
          </w:tcPr>
          <w:p w:rsidR="00D060FC" w:rsidRPr="005B0796" w:rsidRDefault="00D060FC" w:rsidP="00C00593">
            <w:pPr>
              <w:pStyle w:val="TableText"/>
              <w:jc w:val="right"/>
              <w:rPr>
                <w:lang w:eastAsia="en-AU"/>
              </w:rPr>
            </w:pPr>
            <w:r w:rsidRPr="005B0796">
              <w:rPr>
                <w:lang w:eastAsia="en-AU"/>
              </w:rPr>
              <w:t>44.2</w:t>
            </w:r>
          </w:p>
        </w:tc>
        <w:tc>
          <w:tcPr>
            <w:tcW w:w="500" w:type="dxa"/>
            <w:hideMark/>
          </w:tcPr>
          <w:p w:rsidR="00D060FC" w:rsidRPr="005B0796" w:rsidRDefault="00D060FC" w:rsidP="00C00593">
            <w:pPr>
              <w:pStyle w:val="TableText"/>
              <w:jc w:val="right"/>
              <w:rPr>
                <w:lang w:eastAsia="en-AU"/>
              </w:rPr>
            </w:pPr>
            <w:r w:rsidRPr="005B0796">
              <w:rPr>
                <w:lang w:eastAsia="en-AU"/>
              </w:rPr>
              <w:t>33.9, 55.0</w:t>
            </w:r>
          </w:p>
        </w:tc>
        <w:tc>
          <w:tcPr>
            <w:tcW w:w="784" w:type="dxa"/>
            <w:hideMark/>
          </w:tcPr>
          <w:p w:rsidR="00D060FC" w:rsidRPr="005B0796" w:rsidRDefault="00D060FC" w:rsidP="00C00593">
            <w:pPr>
              <w:pStyle w:val="TableText"/>
              <w:jc w:val="right"/>
              <w:rPr>
                <w:lang w:eastAsia="en-AU"/>
              </w:rPr>
            </w:pPr>
            <w:r w:rsidRPr="005B0796">
              <w:rPr>
                <w:lang w:eastAsia="en-AU"/>
              </w:rPr>
              <w:t>1963</w:t>
            </w:r>
          </w:p>
        </w:tc>
        <w:tc>
          <w:tcPr>
            <w:tcW w:w="465" w:type="dxa"/>
            <w:hideMark/>
          </w:tcPr>
          <w:p w:rsidR="00D060FC" w:rsidRPr="005B0796" w:rsidRDefault="00D060FC" w:rsidP="00C00593">
            <w:pPr>
              <w:pStyle w:val="TableText"/>
              <w:jc w:val="right"/>
              <w:rPr>
                <w:lang w:eastAsia="en-AU"/>
              </w:rPr>
            </w:pPr>
            <w:r w:rsidRPr="005B0796">
              <w:rPr>
                <w:lang w:eastAsia="en-AU"/>
              </w:rPr>
              <w:t>39.7</w:t>
            </w:r>
          </w:p>
        </w:tc>
        <w:tc>
          <w:tcPr>
            <w:tcW w:w="500" w:type="dxa"/>
            <w:hideMark/>
          </w:tcPr>
          <w:p w:rsidR="00D060FC" w:rsidRPr="005B0796" w:rsidRDefault="00D060FC" w:rsidP="00C00593">
            <w:pPr>
              <w:pStyle w:val="TableText"/>
              <w:jc w:val="right"/>
              <w:rPr>
                <w:lang w:eastAsia="en-AU"/>
              </w:rPr>
            </w:pPr>
            <w:r w:rsidRPr="005B0796">
              <w:rPr>
                <w:lang w:eastAsia="en-AU"/>
              </w:rPr>
              <w:t>29.5, 50.8</w:t>
            </w:r>
          </w:p>
        </w:tc>
        <w:tc>
          <w:tcPr>
            <w:tcW w:w="784" w:type="dxa"/>
            <w:hideMark/>
          </w:tcPr>
          <w:p w:rsidR="00D060FC" w:rsidRPr="005B0796" w:rsidRDefault="00D060FC" w:rsidP="00C00593">
            <w:pPr>
              <w:pStyle w:val="TableText"/>
              <w:jc w:val="right"/>
              <w:rPr>
                <w:lang w:eastAsia="en-AU"/>
              </w:rPr>
            </w:pPr>
            <w:r w:rsidRPr="005B0796">
              <w:rPr>
                <w:lang w:eastAsia="en-AU"/>
              </w:rPr>
              <w:t>1622</w:t>
            </w:r>
          </w:p>
        </w:tc>
        <w:tc>
          <w:tcPr>
            <w:tcW w:w="465" w:type="dxa"/>
            <w:hideMark/>
          </w:tcPr>
          <w:p w:rsidR="00D060FC" w:rsidRPr="005B0796" w:rsidRDefault="00D060FC" w:rsidP="00C00593">
            <w:pPr>
              <w:pStyle w:val="TableText"/>
              <w:jc w:val="right"/>
              <w:rPr>
                <w:lang w:eastAsia="en-AU"/>
              </w:rPr>
            </w:pPr>
            <w:r w:rsidRPr="005B0796">
              <w:rPr>
                <w:lang w:eastAsia="en-AU"/>
              </w:rPr>
              <w:t>31.0</w:t>
            </w:r>
          </w:p>
        </w:tc>
        <w:tc>
          <w:tcPr>
            <w:tcW w:w="500" w:type="dxa"/>
            <w:hideMark/>
          </w:tcPr>
          <w:p w:rsidR="00D060FC" w:rsidRPr="005B0796" w:rsidRDefault="00D060FC" w:rsidP="00C00593">
            <w:pPr>
              <w:pStyle w:val="TableText"/>
              <w:jc w:val="right"/>
              <w:rPr>
                <w:lang w:eastAsia="en-AU"/>
              </w:rPr>
            </w:pPr>
            <w:r w:rsidRPr="005B0796">
              <w:rPr>
                <w:lang w:eastAsia="en-AU"/>
              </w:rPr>
              <w:t>22.6, 31.0</w:t>
            </w:r>
          </w:p>
        </w:tc>
        <w:tc>
          <w:tcPr>
            <w:tcW w:w="784" w:type="dxa"/>
            <w:hideMark/>
          </w:tcPr>
          <w:p w:rsidR="00D060FC" w:rsidRPr="005B0796" w:rsidRDefault="00D060FC" w:rsidP="00C00593">
            <w:pPr>
              <w:pStyle w:val="TableText"/>
              <w:jc w:val="right"/>
              <w:rPr>
                <w:lang w:eastAsia="en-AU"/>
              </w:rPr>
            </w:pPr>
            <w:r w:rsidRPr="005B0796">
              <w:rPr>
                <w:lang w:eastAsia="en-AU"/>
              </w:rPr>
              <w:t>1336</w:t>
            </w:r>
          </w:p>
        </w:tc>
        <w:tc>
          <w:tcPr>
            <w:tcW w:w="465" w:type="dxa"/>
            <w:hideMark/>
          </w:tcPr>
          <w:p w:rsidR="00D060FC" w:rsidRPr="005B0796" w:rsidRDefault="00D060FC" w:rsidP="00C00593">
            <w:pPr>
              <w:pStyle w:val="TableText"/>
              <w:jc w:val="right"/>
              <w:rPr>
                <w:lang w:eastAsia="en-AU"/>
              </w:rPr>
            </w:pPr>
            <w:r w:rsidRPr="005B0796">
              <w:rPr>
                <w:lang w:eastAsia="en-AU"/>
              </w:rPr>
              <w:t>37.3</w:t>
            </w:r>
          </w:p>
        </w:tc>
        <w:tc>
          <w:tcPr>
            <w:tcW w:w="500" w:type="dxa"/>
            <w:hideMark/>
          </w:tcPr>
          <w:p w:rsidR="00D060FC" w:rsidRPr="005B0796" w:rsidRDefault="00D060FC" w:rsidP="00C00593">
            <w:pPr>
              <w:pStyle w:val="TableText"/>
              <w:jc w:val="right"/>
              <w:rPr>
                <w:lang w:eastAsia="en-AU"/>
              </w:rPr>
            </w:pPr>
            <w:r w:rsidRPr="005B0796">
              <w:rPr>
                <w:lang w:eastAsia="en-AU"/>
              </w:rPr>
              <w:t>26.3, 49.9</w:t>
            </w:r>
          </w:p>
        </w:tc>
        <w:tc>
          <w:tcPr>
            <w:tcW w:w="784" w:type="dxa"/>
            <w:hideMark/>
          </w:tcPr>
          <w:p w:rsidR="00D060FC" w:rsidRPr="005B0796" w:rsidRDefault="00D060FC" w:rsidP="00C00593">
            <w:pPr>
              <w:pStyle w:val="TableText"/>
              <w:jc w:val="right"/>
              <w:rPr>
                <w:lang w:eastAsia="en-AU"/>
              </w:rPr>
            </w:pPr>
            <w:r w:rsidRPr="005B0796">
              <w:rPr>
                <w:lang w:eastAsia="en-AU"/>
              </w:rPr>
              <w:t>1022</w:t>
            </w:r>
          </w:p>
        </w:tc>
        <w:tc>
          <w:tcPr>
            <w:tcW w:w="465" w:type="dxa"/>
            <w:hideMark/>
          </w:tcPr>
          <w:p w:rsidR="00D060FC" w:rsidRPr="005B0796" w:rsidRDefault="00D060FC" w:rsidP="00C00593">
            <w:pPr>
              <w:pStyle w:val="TableText"/>
              <w:jc w:val="right"/>
              <w:rPr>
                <w:lang w:eastAsia="en-AU"/>
              </w:rPr>
            </w:pPr>
            <w:r w:rsidRPr="005B0796">
              <w:rPr>
                <w:lang w:eastAsia="en-AU"/>
              </w:rPr>
              <w:t>36.7</w:t>
            </w:r>
          </w:p>
        </w:tc>
        <w:tc>
          <w:tcPr>
            <w:tcW w:w="500" w:type="dxa"/>
            <w:hideMark/>
          </w:tcPr>
          <w:p w:rsidR="00D060FC" w:rsidRPr="005B0796" w:rsidRDefault="00D060FC" w:rsidP="00C00593">
            <w:pPr>
              <w:pStyle w:val="TableText"/>
              <w:jc w:val="right"/>
              <w:rPr>
                <w:lang w:eastAsia="en-AU"/>
              </w:rPr>
            </w:pPr>
            <w:r w:rsidRPr="005B0796">
              <w:rPr>
                <w:lang w:eastAsia="en-AU"/>
              </w:rPr>
              <w:t>26.1, 48.7</w:t>
            </w:r>
          </w:p>
        </w:tc>
      </w:tr>
    </w:tbl>
    <w:p w:rsidR="00EF53A1" w:rsidRPr="005B0796" w:rsidRDefault="00EF53A1" w:rsidP="006A04F9">
      <w:pPr>
        <w:pStyle w:val="TableNotes"/>
        <w:rPr>
          <w:szCs w:val="14"/>
        </w:rPr>
      </w:pPr>
      <w:r w:rsidRPr="005B0796">
        <w:rPr>
          <w:szCs w:val="14"/>
          <w:vertAlign w:val="superscript"/>
          <w:lang w:eastAsia="en-AU"/>
        </w:rPr>
        <w:t xml:space="preserve">a </w:t>
      </w:r>
      <w:r w:rsidRPr="005B0796">
        <w:rPr>
          <w:szCs w:val="14"/>
        </w:rPr>
        <w:t>1 year vs &lt; 1 year: OR 2.1, 95% CI 1.0, 4.6</w:t>
      </w:r>
    </w:p>
    <w:p w:rsidR="00EF53A1" w:rsidRPr="005B0796" w:rsidRDefault="00EF53A1" w:rsidP="006A04F9">
      <w:pPr>
        <w:pStyle w:val="TableNotes"/>
        <w:rPr>
          <w:szCs w:val="14"/>
        </w:rPr>
      </w:pPr>
      <w:r w:rsidRPr="005B0796">
        <w:rPr>
          <w:szCs w:val="14"/>
          <w:vertAlign w:val="superscript"/>
          <w:lang w:eastAsia="en-AU"/>
        </w:rPr>
        <w:t>b</w:t>
      </w:r>
      <w:r w:rsidRPr="005B0796">
        <w:rPr>
          <w:szCs w:val="14"/>
        </w:rPr>
        <w:t xml:space="preserve"> 1 year vs &lt; 1 year: OR 4.5, 95% CI 1.6, 11.4; 2 years vs &lt; 1 year: OR 3.3, 95% CI 1.2, 9.0</w:t>
      </w:r>
    </w:p>
    <w:p w:rsidR="00EF53A1" w:rsidRPr="005B0796" w:rsidRDefault="00EF53A1" w:rsidP="006A04F9">
      <w:pPr>
        <w:pStyle w:val="TableNotes"/>
        <w:rPr>
          <w:szCs w:val="14"/>
        </w:rPr>
      </w:pPr>
      <w:r w:rsidRPr="005B0796">
        <w:rPr>
          <w:szCs w:val="14"/>
          <w:vertAlign w:val="superscript"/>
          <w:lang w:eastAsia="en-AU"/>
        </w:rPr>
        <w:t>c</w:t>
      </w:r>
      <w:r w:rsidRPr="005B0796">
        <w:rPr>
          <w:szCs w:val="14"/>
        </w:rPr>
        <w:t xml:space="preserve"> 1 year vs &lt; 1 year: OR 3.0, 95% CI 1.1, 8.3; 2 years vs &lt; 1 year: OR 2.5, 95% CI 1.0, 6.8</w:t>
      </w:r>
    </w:p>
    <w:p w:rsidR="00EF53A1" w:rsidRPr="005B0796" w:rsidRDefault="00EF53A1" w:rsidP="006A04F9">
      <w:pPr>
        <w:pStyle w:val="TableNotes"/>
        <w:rPr>
          <w:szCs w:val="14"/>
        </w:rPr>
      </w:pPr>
      <w:r w:rsidRPr="005B0796">
        <w:rPr>
          <w:szCs w:val="14"/>
          <w:vertAlign w:val="superscript"/>
          <w:lang w:eastAsia="en-AU"/>
        </w:rPr>
        <w:t>d</w:t>
      </w:r>
      <w:r w:rsidRPr="005B0796">
        <w:rPr>
          <w:szCs w:val="14"/>
        </w:rPr>
        <w:t xml:space="preserve"> 1 year vs &lt; 1 year: OR 4.2, 95% CI 1.0, 18.1; 4 years vs &lt; 1 year: OR 4.5, 95% CI 1.0, 20.6</w:t>
      </w:r>
    </w:p>
    <w:p w:rsidR="00EF53A1" w:rsidRPr="005B0796" w:rsidRDefault="00EF53A1" w:rsidP="006A04F9">
      <w:pPr>
        <w:pStyle w:val="TableNotes"/>
        <w:rPr>
          <w:szCs w:val="14"/>
        </w:rPr>
      </w:pPr>
      <w:r w:rsidRPr="005B0796">
        <w:rPr>
          <w:szCs w:val="14"/>
          <w:vertAlign w:val="superscript"/>
          <w:lang w:eastAsia="en-AU"/>
        </w:rPr>
        <w:t>e</w:t>
      </w:r>
      <w:r w:rsidRPr="005B0796">
        <w:rPr>
          <w:szCs w:val="14"/>
        </w:rPr>
        <w:t xml:space="preserve"> 2 years vs &lt; 1 year: OR 2.1, 95% CI 1.0, 4.6</w:t>
      </w:r>
    </w:p>
    <w:p w:rsidR="00EF53A1" w:rsidRPr="005B0796" w:rsidRDefault="00EF53A1" w:rsidP="00EF53A1">
      <w:pPr>
        <w:pStyle w:val="TableNotes"/>
        <w:rPr>
          <w:rFonts w:cs="Calibri"/>
          <w:bCs/>
          <w:szCs w:val="14"/>
        </w:rPr>
      </w:pPr>
      <w:r w:rsidRPr="005B0796">
        <w:rPr>
          <w:rFonts w:cs="Calibri"/>
          <w:bCs/>
          <w:szCs w:val="14"/>
        </w:rPr>
        <w:t xml:space="preserve">Note: 95% CI: 95% </w:t>
      </w:r>
      <w:r w:rsidR="00564689" w:rsidRPr="005B0796">
        <w:rPr>
          <w:rFonts w:cs="Calibri"/>
          <w:bCs/>
          <w:szCs w:val="14"/>
        </w:rPr>
        <w:t>confidence interval</w:t>
      </w:r>
    </w:p>
    <w:p w:rsidR="00183D82" w:rsidRPr="005B0796" w:rsidRDefault="00183D82" w:rsidP="00EF53A1">
      <w:pPr>
        <w:pStyle w:val="FigureName"/>
      </w:pPr>
      <w:bookmarkStart w:id="436" w:name="_Ref484521326"/>
      <w:bookmarkStart w:id="437" w:name="_Toc482023832"/>
      <w:bookmarkStart w:id="438" w:name="_Toc487014356"/>
      <w:bookmarkStart w:id="439" w:name="_Toc51190052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8</w:t>
      </w:r>
      <w:r w:rsidR="00D30A3C">
        <w:rPr>
          <w:noProof/>
        </w:rPr>
        <w:fldChar w:fldCharType="end"/>
      </w:r>
      <w:bookmarkEnd w:id="436"/>
      <w:r w:rsidRPr="005B0796">
        <w:tab/>
        <w:t>Estimated prevalence of 12-month ICD-10 anxiety disorders in Transitioned ADF members, by anxiety disorder type and years since transition</w:t>
      </w:r>
      <w:bookmarkEnd w:id="437"/>
      <w:bookmarkEnd w:id="438"/>
      <w:bookmarkEnd w:id="439"/>
    </w:p>
    <w:tbl>
      <w:tblPr>
        <w:tblW w:w="5000" w:type="pct"/>
        <w:tblLayout w:type="fixed"/>
        <w:tblCellMar>
          <w:left w:w="115" w:type="dxa"/>
          <w:right w:w="115" w:type="dxa"/>
        </w:tblCellMar>
        <w:tblLook w:val="04A0" w:firstRow="1" w:lastRow="0" w:firstColumn="1" w:lastColumn="0" w:noHBand="0" w:noVBand="1"/>
      </w:tblPr>
      <w:tblGrid>
        <w:gridCol w:w="11520"/>
      </w:tblGrid>
      <w:tr w:rsidR="00183D82" w:rsidRPr="005B0796" w:rsidTr="00F12D9E">
        <w:trPr>
          <w:cantSplit/>
        </w:trPr>
        <w:tc>
          <w:tcPr>
            <w:tcW w:w="7315" w:type="dxa"/>
          </w:tcPr>
          <w:p w:rsidR="00183D82" w:rsidRPr="005B0796" w:rsidRDefault="00183D82" w:rsidP="0019239D">
            <w:r w:rsidRPr="005B0796">
              <w:rPr>
                <w:i/>
                <w:noProof/>
                <w:lang w:eastAsia="en-AU"/>
              </w:rPr>
              <w:drawing>
                <wp:inline distT="0" distB="0" distL="0" distR="0" wp14:anchorId="302FC0F5" wp14:editId="330A4C46">
                  <wp:extent cx="7219507" cy="3519377"/>
                  <wp:effectExtent l="0" t="0" r="635" b="5080"/>
                  <wp:docPr id="335" name="Chart 335" descr="Figure 4.8 Estimated prevalence of 12-month ICD-10 anxiety disorders in Transitioned ADF members, by anxiety disorder type and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183D82" w:rsidRPr="005B0796" w:rsidRDefault="00183D82" w:rsidP="00EF53A1">
      <w:pPr>
        <w:pStyle w:val="TableNotes"/>
      </w:pPr>
      <w:r w:rsidRPr="005B0796">
        <w:rPr>
          <w:lang w:eastAsia="en-AU"/>
        </w:rPr>
        <w:t>Panic attack:</w:t>
      </w:r>
      <w:r w:rsidRPr="005B0796">
        <w:rPr>
          <w:vertAlign w:val="superscript"/>
          <w:lang w:eastAsia="en-AU"/>
        </w:rPr>
        <w:t xml:space="preserve"> </w:t>
      </w:r>
      <w:r w:rsidRPr="005B0796">
        <w:t xml:space="preserve">1 year vs &lt; 1 year: OR 2.1, 95% CI 1.0, 4.6; </w:t>
      </w:r>
      <w:r w:rsidRPr="005B0796">
        <w:rPr>
          <w:lang w:eastAsia="en-AU"/>
        </w:rPr>
        <w:t>Agoraphobia:</w:t>
      </w:r>
      <w:r w:rsidRPr="005B0796">
        <w:rPr>
          <w:vertAlign w:val="superscript"/>
          <w:lang w:eastAsia="en-AU"/>
        </w:rPr>
        <w:t xml:space="preserve"> </w:t>
      </w:r>
      <w:r w:rsidRPr="005B0796">
        <w:t xml:space="preserve">1 year vs &lt; 1 year: OR 4.5, 95% CI 1.6, 11.4; 2 years vs &lt; 1 year: OR 3.3, 95% CI 1.2, 9.0; </w:t>
      </w:r>
      <w:r w:rsidRPr="005B0796">
        <w:rPr>
          <w:lang w:eastAsia="en-AU"/>
        </w:rPr>
        <w:t>Specific Phobia:</w:t>
      </w:r>
      <w:r w:rsidRPr="005B0796">
        <w:rPr>
          <w:vertAlign w:val="superscript"/>
          <w:lang w:eastAsia="en-AU"/>
        </w:rPr>
        <w:t xml:space="preserve"> </w:t>
      </w:r>
      <w:r w:rsidRPr="005B0796">
        <w:t xml:space="preserve">1 year vs &lt; 1 year: OR 3.0, 95% CI 1.1, 8.3; 2 years vs &lt; 1 year: OR 2.5, 95% CI 1.0, 6.8; </w:t>
      </w:r>
      <w:r w:rsidRPr="005B0796">
        <w:rPr>
          <w:lang w:eastAsia="en-AU"/>
        </w:rPr>
        <w:t>GAD:</w:t>
      </w:r>
      <w:r w:rsidRPr="005B0796">
        <w:rPr>
          <w:vertAlign w:val="superscript"/>
          <w:lang w:eastAsia="en-AU"/>
        </w:rPr>
        <w:t xml:space="preserve"> </w:t>
      </w:r>
      <w:r w:rsidRPr="005B0796">
        <w:t xml:space="preserve">1 year vs &lt; 1 year: OR 4.2, 95% CI 1.0, 18.1; 4 years vs &lt; 1 year: OR 4.5, 95% CI 1.0, 20.6; </w:t>
      </w:r>
      <w:r w:rsidRPr="005B0796">
        <w:rPr>
          <w:lang w:eastAsia="en-AU"/>
        </w:rPr>
        <w:t>PTSD:</w:t>
      </w:r>
      <w:r w:rsidRPr="005B0796">
        <w:rPr>
          <w:vertAlign w:val="superscript"/>
          <w:lang w:eastAsia="en-AU"/>
        </w:rPr>
        <w:t xml:space="preserve"> </w:t>
      </w:r>
      <w:r w:rsidRPr="005B0796">
        <w:t>2 years vs &lt; 1 year: OR 2.1, 95% CI 1.0, 4.6</w:t>
      </w:r>
    </w:p>
    <w:p w:rsidR="00B56435" w:rsidRPr="005B0796" w:rsidRDefault="00B56435" w:rsidP="00D060FC">
      <w:pPr>
        <w:sectPr w:rsidR="00B56435" w:rsidRPr="005B0796" w:rsidSect="00BE66A5">
          <w:headerReference w:type="even" r:id="rId66"/>
          <w:headerReference w:type="default" r:id="rId67"/>
          <w:footerReference w:type="even" r:id="rId68"/>
          <w:footerReference w:type="default" r:id="rId69"/>
          <w:pgSz w:w="14170" w:h="9979" w:orient="landscape" w:code="243"/>
          <w:pgMar w:top="1872" w:right="1440" w:bottom="1152" w:left="1440" w:header="576" w:footer="576" w:gutter="0"/>
          <w:cols w:space="708"/>
          <w:docGrid w:linePitch="360"/>
        </w:sectPr>
      </w:pPr>
    </w:p>
    <w:p w:rsidR="00D060FC" w:rsidRPr="005B0796" w:rsidRDefault="00EF53A1" w:rsidP="00EF53A1">
      <w:pPr>
        <w:pStyle w:val="TableName"/>
      </w:pPr>
      <w:bookmarkStart w:id="440" w:name="_Ref484519780"/>
      <w:bookmarkStart w:id="441" w:name="_Toc482023787"/>
      <w:bookmarkStart w:id="442" w:name="_Toc487014263"/>
      <w:bookmarkStart w:id="443" w:name="_Toc492995566"/>
      <w:bookmarkStart w:id="444" w:name="_Toc51190041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12</w:t>
      </w:r>
      <w:r w:rsidR="00D30A3C">
        <w:rPr>
          <w:noProof/>
        </w:rPr>
        <w:fldChar w:fldCharType="end"/>
      </w:r>
      <w:bookmarkEnd w:id="440"/>
      <w:r w:rsidRPr="005B0796">
        <w:tab/>
        <w:t>Estimated prevalence of 12-month ICD-10 anxiety disorders in Transitioned ADF members, by anxiety disorder type and reason for discharge</w:t>
      </w:r>
      <w:bookmarkEnd w:id="441"/>
      <w:bookmarkEnd w:id="442"/>
      <w:bookmarkEnd w:id="443"/>
      <w:bookmarkEnd w:id="444"/>
    </w:p>
    <w:tbl>
      <w:tblPr>
        <w:tblStyle w:val="TWRPTable"/>
        <w:tblW w:w="5000" w:type="pct"/>
        <w:tblLayout w:type="fixed"/>
        <w:tblLook w:val="04A0" w:firstRow="1" w:lastRow="0" w:firstColumn="1" w:lastColumn="0" w:noHBand="0" w:noVBand="1"/>
        <w:tblDescription w:val="Table 4.12 Estimated prevalence of 12-month ICD-10 anxiety disorders in Transitioned ADF members, by anxiety disorder type and reason for discharge"/>
      </w:tblPr>
      <w:tblGrid>
        <w:gridCol w:w="2237"/>
        <w:gridCol w:w="846"/>
        <w:gridCol w:w="846"/>
        <w:gridCol w:w="847"/>
        <w:gridCol w:w="846"/>
        <w:gridCol w:w="846"/>
        <w:gridCol w:w="847"/>
      </w:tblGrid>
      <w:tr w:rsidR="00D060FC" w:rsidRPr="005B0796" w:rsidTr="00F12D9E">
        <w:trPr>
          <w:cnfStyle w:val="100000000000" w:firstRow="1" w:lastRow="0" w:firstColumn="0" w:lastColumn="0" w:oddVBand="0" w:evenVBand="0" w:oddHBand="0" w:evenHBand="0" w:firstRowFirstColumn="0" w:firstRowLastColumn="0" w:lastRowFirstColumn="0" w:lastRowLastColumn="0"/>
          <w:tblHeader/>
        </w:trPr>
        <w:tc>
          <w:tcPr>
            <w:tcW w:w="2237" w:type="dxa"/>
            <w:vMerge w:val="restart"/>
            <w:tcBorders>
              <w:top w:val="single" w:sz="4" w:space="0" w:color="000000"/>
              <w:bottom w:val="nil"/>
            </w:tcBorders>
            <w:noWrap/>
            <w:hideMark/>
          </w:tcPr>
          <w:p w:rsidR="00D060FC" w:rsidRPr="005B0796" w:rsidRDefault="00D060FC" w:rsidP="00F12D9E">
            <w:pPr>
              <w:pStyle w:val="TableText"/>
            </w:pPr>
          </w:p>
        </w:tc>
        <w:tc>
          <w:tcPr>
            <w:tcW w:w="5078" w:type="dxa"/>
            <w:gridSpan w:val="6"/>
            <w:noWrap/>
            <w:hideMark/>
          </w:tcPr>
          <w:p w:rsidR="00D060FC" w:rsidRPr="005B0796" w:rsidRDefault="00D060FC" w:rsidP="00F12D9E">
            <w:pPr>
              <w:pStyle w:val="TableText"/>
              <w:jc w:val="center"/>
            </w:pPr>
            <w:r w:rsidRPr="005B0796">
              <w:t>Reason for discharge</w:t>
            </w:r>
          </w:p>
        </w:tc>
      </w:tr>
      <w:tr w:rsidR="00D060FC" w:rsidRPr="005B0796" w:rsidTr="00F12D9E">
        <w:trPr>
          <w:cnfStyle w:val="100000000000" w:firstRow="1" w:lastRow="0" w:firstColumn="0" w:lastColumn="0" w:oddVBand="0" w:evenVBand="0" w:oddHBand="0" w:evenHBand="0" w:firstRowFirstColumn="0" w:firstRowLastColumn="0" w:lastRowFirstColumn="0" w:lastRowLastColumn="0"/>
          <w:tblHeader/>
        </w:trPr>
        <w:tc>
          <w:tcPr>
            <w:tcW w:w="2237" w:type="dxa"/>
            <w:vMerge/>
            <w:tcBorders>
              <w:top w:val="nil"/>
              <w:bottom w:val="nil"/>
            </w:tcBorders>
            <w:hideMark/>
          </w:tcPr>
          <w:p w:rsidR="00D060FC" w:rsidRPr="005B0796" w:rsidRDefault="00D060FC" w:rsidP="00F12D9E">
            <w:pPr>
              <w:pStyle w:val="TableText"/>
            </w:pPr>
          </w:p>
        </w:tc>
        <w:tc>
          <w:tcPr>
            <w:tcW w:w="2539" w:type="dxa"/>
            <w:gridSpan w:val="3"/>
            <w:noWrap/>
            <w:hideMark/>
          </w:tcPr>
          <w:p w:rsidR="00D060FC" w:rsidRPr="005B0796" w:rsidRDefault="00D060FC" w:rsidP="00F12D9E">
            <w:pPr>
              <w:pStyle w:val="TableText"/>
              <w:jc w:val="center"/>
            </w:pPr>
            <w:r w:rsidRPr="005B0796">
              <w:t>Medical (n = 5082)</w:t>
            </w:r>
          </w:p>
        </w:tc>
        <w:tc>
          <w:tcPr>
            <w:tcW w:w="2539" w:type="dxa"/>
            <w:gridSpan w:val="3"/>
            <w:noWrap/>
            <w:hideMark/>
          </w:tcPr>
          <w:p w:rsidR="00D060FC" w:rsidRPr="005B0796" w:rsidRDefault="00D060FC" w:rsidP="00F12D9E">
            <w:pPr>
              <w:pStyle w:val="TableText"/>
              <w:jc w:val="center"/>
            </w:pPr>
            <w:r w:rsidRPr="005B0796">
              <w:t>Other (n = 19,154)</w:t>
            </w:r>
          </w:p>
        </w:tc>
      </w:tr>
      <w:tr w:rsidR="00D060FC" w:rsidRPr="005B0796" w:rsidTr="00F12D9E">
        <w:trPr>
          <w:cnfStyle w:val="100000000000" w:firstRow="1" w:lastRow="0" w:firstColumn="0" w:lastColumn="0" w:oddVBand="0" w:evenVBand="0" w:oddHBand="0" w:evenHBand="0" w:firstRowFirstColumn="0" w:firstRowLastColumn="0" w:lastRowFirstColumn="0" w:lastRowLastColumn="0"/>
          <w:tblHeader/>
        </w:trPr>
        <w:tc>
          <w:tcPr>
            <w:tcW w:w="2237" w:type="dxa"/>
            <w:tcBorders>
              <w:top w:val="nil"/>
            </w:tcBorders>
            <w:noWrap/>
            <w:hideMark/>
          </w:tcPr>
          <w:p w:rsidR="00D060FC" w:rsidRPr="005B0796" w:rsidRDefault="00F12D9E" w:rsidP="00231128">
            <w:pPr>
              <w:pStyle w:val="TableText"/>
            </w:pPr>
            <w:r w:rsidRPr="005B0796">
              <w:t>ICD-10 anxiety disorder</w:t>
            </w:r>
          </w:p>
        </w:tc>
        <w:tc>
          <w:tcPr>
            <w:tcW w:w="846" w:type="dxa"/>
            <w:noWrap/>
            <w:hideMark/>
          </w:tcPr>
          <w:p w:rsidR="00D060FC" w:rsidRPr="005B0796" w:rsidRDefault="00D060FC" w:rsidP="00F12D9E">
            <w:pPr>
              <w:pStyle w:val="TableText"/>
              <w:jc w:val="right"/>
            </w:pPr>
            <w:r w:rsidRPr="005B0796">
              <w:t>Weighted n</w:t>
            </w:r>
          </w:p>
        </w:tc>
        <w:tc>
          <w:tcPr>
            <w:tcW w:w="846" w:type="dxa"/>
            <w:hideMark/>
          </w:tcPr>
          <w:p w:rsidR="00D060FC" w:rsidRPr="005B0796" w:rsidRDefault="00D060FC" w:rsidP="00F12D9E">
            <w:pPr>
              <w:pStyle w:val="TableText"/>
              <w:jc w:val="right"/>
            </w:pPr>
            <w:r w:rsidRPr="005B0796">
              <w:t>%</w:t>
            </w:r>
          </w:p>
        </w:tc>
        <w:tc>
          <w:tcPr>
            <w:tcW w:w="847" w:type="dxa"/>
            <w:hideMark/>
          </w:tcPr>
          <w:p w:rsidR="00D060FC" w:rsidRPr="005B0796" w:rsidRDefault="00D060FC" w:rsidP="00F12D9E">
            <w:pPr>
              <w:pStyle w:val="TableText"/>
              <w:jc w:val="right"/>
            </w:pPr>
            <w:r w:rsidRPr="005B0796">
              <w:t>95% CI</w:t>
            </w:r>
          </w:p>
        </w:tc>
        <w:tc>
          <w:tcPr>
            <w:tcW w:w="846" w:type="dxa"/>
            <w:noWrap/>
            <w:hideMark/>
          </w:tcPr>
          <w:p w:rsidR="00D060FC" w:rsidRPr="005B0796" w:rsidRDefault="00D060FC" w:rsidP="00F12D9E">
            <w:pPr>
              <w:pStyle w:val="TableText"/>
              <w:jc w:val="right"/>
            </w:pPr>
            <w:r w:rsidRPr="005B0796">
              <w:t>Weighted n</w:t>
            </w:r>
          </w:p>
        </w:tc>
        <w:tc>
          <w:tcPr>
            <w:tcW w:w="846" w:type="dxa"/>
            <w:hideMark/>
          </w:tcPr>
          <w:p w:rsidR="00D060FC" w:rsidRPr="005B0796" w:rsidRDefault="00D060FC" w:rsidP="00F12D9E">
            <w:pPr>
              <w:pStyle w:val="TableText"/>
              <w:jc w:val="right"/>
            </w:pPr>
            <w:r w:rsidRPr="005B0796">
              <w:t>%</w:t>
            </w:r>
          </w:p>
        </w:tc>
        <w:tc>
          <w:tcPr>
            <w:tcW w:w="847" w:type="dxa"/>
            <w:hideMark/>
          </w:tcPr>
          <w:p w:rsidR="00D060FC" w:rsidRPr="005B0796" w:rsidRDefault="00D060FC" w:rsidP="00F12D9E">
            <w:pPr>
              <w:pStyle w:val="TableText"/>
              <w:jc w:val="right"/>
            </w:pPr>
            <w:r w:rsidRPr="005B0796">
              <w:t>95% CI</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237" w:type="dxa"/>
            <w:noWrap/>
            <w:hideMark/>
          </w:tcPr>
          <w:p w:rsidR="00D060FC" w:rsidRPr="005B0796" w:rsidRDefault="00D060FC" w:rsidP="00F12D9E">
            <w:pPr>
              <w:pStyle w:val="TableText"/>
              <w:rPr>
                <w:lang w:eastAsia="en-AU"/>
              </w:rPr>
            </w:pPr>
            <w:r w:rsidRPr="005B0796">
              <w:rPr>
                <w:lang w:eastAsia="en-AU"/>
              </w:rPr>
              <w:t>Panic attack</w:t>
            </w:r>
            <w:r w:rsidRPr="005B0796">
              <w:rPr>
                <w:vertAlign w:val="superscript"/>
                <w:lang w:eastAsia="en-AU"/>
              </w:rPr>
              <w:t>a</w:t>
            </w:r>
          </w:p>
        </w:tc>
        <w:tc>
          <w:tcPr>
            <w:tcW w:w="846" w:type="dxa"/>
            <w:noWrap/>
            <w:hideMark/>
          </w:tcPr>
          <w:p w:rsidR="00D060FC" w:rsidRPr="005B0796" w:rsidRDefault="00D060FC" w:rsidP="00F12D9E">
            <w:pPr>
              <w:pStyle w:val="TableText"/>
              <w:jc w:val="right"/>
              <w:rPr>
                <w:lang w:eastAsia="en-AU"/>
              </w:rPr>
            </w:pPr>
            <w:r w:rsidRPr="005B0796">
              <w:rPr>
                <w:lang w:eastAsia="en-AU"/>
              </w:rPr>
              <w:t>1284</w:t>
            </w:r>
          </w:p>
        </w:tc>
        <w:tc>
          <w:tcPr>
            <w:tcW w:w="846" w:type="dxa"/>
            <w:hideMark/>
          </w:tcPr>
          <w:p w:rsidR="00D060FC" w:rsidRPr="005B0796" w:rsidRDefault="00D060FC" w:rsidP="00F12D9E">
            <w:pPr>
              <w:pStyle w:val="TableText"/>
              <w:jc w:val="right"/>
              <w:rPr>
                <w:lang w:eastAsia="en-AU"/>
              </w:rPr>
            </w:pPr>
            <w:r w:rsidRPr="005B0796">
              <w:rPr>
                <w:lang w:eastAsia="en-AU"/>
              </w:rPr>
              <w:t>25.3</w:t>
            </w:r>
          </w:p>
        </w:tc>
        <w:tc>
          <w:tcPr>
            <w:tcW w:w="847" w:type="dxa"/>
            <w:hideMark/>
          </w:tcPr>
          <w:p w:rsidR="00D060FC" w:rsidRPr="005B0796" w:rsidRDefault="00D060FC" w:rsidP="00F12D9E">
            <w:pPr>
              <w:pStyle w:val="TableText"/>
              <w:jc w:val="right"/>
              <w:rPr>
                <w:lang w:eastAsia="en-AU"/>
              </w:rPr>
            </w:pPr>
            <w:r w:rsidRPr="005B0796">
              <w:rPr>
                <w:lang w:eastAsia="en-AU"/>
              </w:rPr>
              <w:t>17.8, 34.5</w:t>
            </w:r>
          </w:p>
        </w:tc>
        <w:tc>
          <w:tcPr>
            <w:tcW w:w="846" w:type="dxa"/>
            <w:noWrap/>
            <w:hideMark/>
          </w:tcPr>
          <w:p w:rsidR="00D060FC" w:rsidRPr="005B0796" w:rsidRDefault="00D060FC" w:rsidP="00F12D9E">
            <w:pPr>
              <w:pStyle w:val="TableText"/>
              <w:jc w:val="right"/>
              <w:rPr>
                <w:lang w:eastAsia="en-AU"/>
              </w:rPr>
            </w:pPr>
            <w:r w:rsidRPr="005B0796">
              <w:rPr>
                <w:lang w:eastAsia="en-AU"/>
              </w:rPr>
              <w:t>2444</w:t>
            </w:r>
          </w:p>
        </w:tc>
        <w:tc>
          <w:tcPr>
            <w:tcW w:w="846" w:type="dxa"/>
            <w:hideMark/>
          </w:tcPr>
          <w:p w:rsidR="00D060FC" w:rsidRPr="005B0796" w:rsidRDefault="00D060FC" w:rsidP="00F12D9E">
            <w:pPr>
              <w:pStyle w:val="TableText"/>
              <w:jc w:val="right"/>
              <w:rPr>
                <w:lang w:eastAsia="en-AU"/>
              </w:rPr>
            </w:pPr>
            <w:r w:rsidRPr="005B0796">
              <w:rPr>
                <w:lang w:eastAsia="en-AU"/>
              </w:rPr>
              <w:t>12.8</w:t>
            </w:r>
          </w:p>
        </w:tc>
        <w:tc>
          <w:tcPr>
            <w:tcW w:w="847" w:type="dxa"/>
            <w:hideMark/>
          </w:tcPr>
          <w:p w:rsidR="00D060FC" w:rsidRPr="005B0796" w:rsidRDefault="00D060FC" w:rsidP="00F12D9E">
            <w:pPr>
              <w:pStyle w:val="TableText"/>
              <w:jc w:val="right"/>
              <w:rPr>
                <w:lang w:eastAsia="en-AU"/>
              </w:rPr>
            </w:pPr>
            <w:r w:rsidRPr="005B0796">
              <w:rPr>
                <w:lang w:eastAsia="en-AU"/>
              </w:rPr>
              <w:t>9.4, 17.1</w:t>
            </w:r>
          </w:p>
        </w:tc>
      </w:tr>
      <w:tr w:rsidR="00D060FC" w:rsidRPr="005B0796" w:rsidTr="00F12D9E">
        <w:tc>
          <w:tcPr>
            <w:tcW w:w="2237" w:type="dxa"/>
            <w:noWrap/>
            <w:hideMark/>
          </w:tcPr>
          <w:p w:rsidR="00D060FC" w:rsidRPr="005B0796" w:rsidRDefault="00D060FC" w:rsidP="00F12D9E">
            <w:pPr>
              <w:pStyle w:val="TableText"/>
              <w:rPr>
                <w:lang w:eastAsia="en-AU"/>
              </w:rPr>
            </w:pPr>
            <w:r w:rsidRPr="005B0796">
              <w:rPr>
                <w:lang w:eastAsia="en-AU"/>
              </w:rPr>
              <w:t>Panic disorder</w:t>
            </w:r>
            <w:r w:rsidRPr="005B0796">
              <w:rPr>
                <w:vertAlign w:val="superscript"/>
                <w:lang w:eastAsia="en-AU"/>
              </w:rPr>
              <w:t>b</w:t>
            </w:r>
          </w:p>
        </w:tc>
        <w:tc>
          <w:tcPr>
            <w:tcW w:w="846" w:type="dxa"/>
            <w:noWrap/>
            <w:hideMark/>
          </w:tcPr>
          <w:p w:rsidR="00D060FC" w:rsidRPr="005B0796" w:rsidRDefault="00D060FC" w:rsidP="00F12D9E">
            <w:pPr>
              <w:pStyle w:val="TableText"/>
              <w:jc w:val="right"/>
              <w:rPr>
                <w:lang w:eastAsia="en-AU"/>
              </w:rPr>
            </w:pPr>
            <w:r w:rsidRPr="005B0796">
              <w:rPr>
                <w:lang w:eastAsia="en-AU"/>
              </w:rPr>
              <w:t>495</w:t>
            </w:r>
          </w:p>
        </w:tc>
        <w:tc>
          <w:tcPr>
            <w:tcW w:w="846" w:type="dxa"/>
            <w:hideMark/>
          </w:tcPr>
          <w:p w:rsidR="00D060FC" w:rsidRPr="005B0796" w:rsidRDefault="00D060FC" w:rsidP="00F12D9E">
            <w:pPr>
              <w:pStyle w:val="TableText"/>
              <w:jc w:val="right"/>
              <w:rPr>
                <w:lang w:eastAsia="en-AU"/>
              </w:rPr>
            </w:pPr>
            <w:r w:rsidRPr="005B0796">
              <w:rPr>
                <w:lang w:eastAsia="en-AU"/>
              </w:rPr>
              <w:t>9.7</w:t>
            </w:r>
          </w:p>
        </w:tc>
        <w:tc>
          <w:tcPr>
            <w:tcW w:w="847" w:type="dxa"/>
            <w:hideMark/>
          </w:tcPr>
          <w:p w:rsidR="00D060FC" w:rsidRPr="005B0796" w:rsidRDefault="00D060FC" w:rsidP="00F12D9E">
            <w:pPr>
              <w:pStyle w:val="TableText"/>
              <w:jc w:val="right"/>
              <w:rPr>
                <w:lang w:eastAsia="en-AU"/>
              </w:rPr>
            </w:pPr>
            <w:r w:rsidRPr="005B0796">
              <w:rPr>
                <w:lang w:eastAsia="en-AU"/>
              </w:rPr>
              <w:t>5.1, 17.9</w:t>
            </w:r>
          </w:p>
        </w:tc>
        <w:tc>
          <w:tcPr>
            <w:tcW w:w="846" w:type="dxa"/>
            <w:noWrap/>
            <w:hideMark/>
          </w:tcPr>
          <w:p w:rsidR="00D060FC" w:rsidRPr="005B0796" w:rsidRDefault="00D060FC" w:rsidP="00F12D9E">
            <w:pPr>
              <w:pStyle w:val="TableText"/>
              <w:jc w:val="right"/>
              <w:rPr>
                <w:lang w:eastAsia="en-AU"/>
              </w:rPr>
            </w:pPr>
            <w:r w:rsidRPr="005B0796">
              <w:rPr>
                <w:lang w:eastAsia="en-AU"/>
              </w:rPr>
              <w:t>743</w:t>
            </w:r>
          </w:p>
        </w:tc>
        <w:tc>
          <w:tcPr>
            <w:tcW w:w="846" w:type="dxa"/>
            <w:hideMark/>
          </w:tcPr>
          <w:p w:rsidR="00D060FC" w:rsidRPr="005B0796" w:rsidRDefault="00D060FC" w:rsidP="00F12D9E">
            <w:pPr>
              <w:pStyle w:val="TableText"/>
              <w:jc w:val="right"/>
              <w:rPr>
                <w:lang w:eastAsia="en-AU"/>
              </w:rPr>
            </w:pPr>
            <w:r w:rsidRPr="005B0796">
              <w:rPr>
                <w:lang w:eastAsia="en-AU"/>
              </w:rPr>
              <w:t>3.9</w:t>
            </w:r>
          </w:p>
        </w:tc>
        <w:tc>
          <w:tcPr>
            <w:tcW w:w="847" w:type="dxa"/>
            <w:hideMark/>
          </w:tcPr>
          <w:p w:rsidR="00D060FC" w:rsidRPr="005B0796" w:rsidRDefault="00D060FC" w:rsidP="00F12D9E">
            <w:pPr>
              <w:pStyle w:val="TableText"/>
              <w:jc w:val="right"/>
              <w:rPr>
                <w:lang w:eastAsia="en-AU"/>
              </w:rPr>
            </w:pPr>
            <w:r w:rsidRPr="005B0796">
              <w:rPr>
                <w:lang w:eastAsia="en-AU"/>
              </w:rPr>
              <w:t>2.3, 6.4</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237" w:type="dxa"/>
            <w:noWrap/>
            <w:hideMark/>
          </w:tcPr>
          <w:p w:rsidR="00D060FC" w:rsidRPr="005B0796" w:rsidRDefault="00D060FC" w:rsidP="00F12D9E">
            <w:pPr>
              <w:pStyle w:val="TableText"/>
              <w:rPr>
                <w:lang w:eastAsia="en-AU"/>
              </w:rPr>
            </w:pPr>
            <w:r w:rsidRPr="005B0796">
              <w:rPr>
                <w:lang w:eastAsia="en-AU"/>
              </w:rPr>
              <w:t>Agoraphobia</w:t>
            </w:r>
            <w:r w:rsidRPr="005B0796">
              <w:rPr>
                <w:vertAlign w:val="superscript"/>
                <w:lang w:eastAsia="en-AU"/>
              </w:rPr>
              <w:t>c</w:t>
            </w:r>
          </w:p>
        </w:tc>
        <w:tc>
          <w:tcPr>
            <w:tcW w:w="846" w:type="dxa"/>
            <w:noWrap/>
            <w:hideMark/>
          </w:tcPr>
          <w:p w:rsidR="00D060FC" w:rsidRPr="005B0796" w:rsidRDefault="00D060FC" w:rsidP="00F12D9E">
            <w:pPr>
              <w:pStyle w:val="TableText"/>
              <w:jc w:val="right"/>
              <w:rPr>
                <w:lang w:eastAsia="en-AU"/>
              </w:rPr>
            </w:pPr>
            <w:r w:rsidRPr="005B0796">
              <w:rPr>
                <w:lang w:eastAsia="en-AU"/>
              </w:rPr>
              <w:t>1119</w:t>
            </w:r>
          </w:p>
        </w:tc>
        <w:tc>
          <w:tcPr>
            <w:tcW w:w="846" w:type="dxa"/>
            <w:noWrap/>
            <w:hideMark/>
          </w:tcPr>
          <w:p w:rsidR="00D060FC" w:rsidRPr="005B0796" w:rsidRDefault="00D060FC" w:rsidP="00F12D9E">
            <w:pPr>
              <w:pStyle w:val="TableText"/>
              <w:jc w:val="right"/>
              <w:rPr>
                <w:lang w:eastAsia="en-AU"/>
              </w:rPr>
            </w:pPr>
            <w:r w:rsidRPr="005B0796">
              <w:rPr>
                <w:lang w:eastAsia="en-AU"/>
              </w:rPr>
              <w:t>22.0</w:t>
            </w:r>
          </w:p>
        </w:tc>
        <w:tc>
          <w:tcPr>
            <w:tcW w:w="847" w:type="dxa"/>
            <w:hideMark/>
          </w:tcPr>
          <w:p w:rsidR="00D060FC" w:rsidRPr="005B0796" w:rsidRDefault="00D060FC" w:rsidP="00F12D9E">
            <w:pPr>
              <w:pStyle w:val="TableText"/>
              <w:jc w:val="right"/>
              <w:rPr>
                <w:lang w:eastAsia="en-AU"/>
              </w:rPr>
            </w:pPr>
            <w:r w:rsidRPr="005B0796">
              <w:rPr>
                <w:lang w:eastAsia="en-AU"/>
              </w:rPr>
              <w:t>14.9, 31.2</w:t>
            </w:r>
          </w:p>
        </w:tc>
        <w:tc>
          <w:tcPr>
            <w:tcW w:w="846" w:type="dxa"/>
            <w:noWrap/>
            <w:hideMark/>
          </w:tcPr>
          <w:p w:rsidR="00D060FC" w:rsidRPr="005B0796" w:rsidRDefault="00D060FC" w:rsidP="00F12D9E">
            <w:pPr>
              <w:pStyle w:val="TableText"/>
              <w:jc w:val="right"/>
              <w:rPr>
                <w:lang w:eastAsia="en-AU"/>
              </w:rPr>
            </w:pPr>
            <w:r w:rsidRPr="005B0796">
              <w:rPr>
                <w:lang w:eastAsia="en-AU"/>
              </w:rPr>
              <w:t>1491</w:t>
            </w:r>
          </w:p>
        </w:tc>
        <w:tc>
          <w:tcPr>
            <w:tcW w:w="846" w:type="dxa"/>
            <w:noWrap/>
            <w:hideMark/>
          </w:tcPr>
          <w:p w:rsidR="00D060FC" w:rsidRPr="005B0796" w:rsidRDefault="00D060FC" w:rsidP="00F12D9E">
            <w:pPr>
              <w:pStyle w:val="TableText"/>
              <w:jc w:val="right"/>
              <w:rPr>
                <w:lang w:eastAsia="en-AU"/>
              </w:rPr>
            </w:pPr>
            <w:r w:rsidRPr="005B0796">
              <w:rPr>
                <w:lang w:eastAsia="en-AU"/>
              </w:rPr>
              <w:t>7.8</w:t>
            </w:r>
          </w:p>
        </w:tc>
        <w:tc>
          <w:tcPr>
            <w:tcW w:w="847" w:type="dxa"/>
            <w:hideMark/>
          </w:tcPr>
          <w:p w:rsidR="00D060FC" w:rsidRPr="005B0796" w:rsidRDefault="00D060FC" w:rsidP="00F12D9E">
            <w:pPr>
              <w:pStyle w:val="TableText"/>
              <w:jc w:val="right"/>
              <w:rPr>
                <w:lang w:eastAsia="en-AU"/>
              </w:rPr>
            </w:pPr>
            <w:r w:rsidRPr="005B0796">
              <w:rPr>
                <w:lang w:eastAsia="en-AU"/>
              </w:rPr>
              <w:t>5.2, 11.4</w:t>
            </w:r>
          </w:p>
        </w:tc>
      </w:tr>
      <w:tr w:rsidR="00D060FC" w:rsidRPr="005B0796" w:rsidTr="00F12D9E">
        <w:tc>
          <w:tcPr>
            <w:tcW w:w="2237" w:type="dxa"/>
            <w:noWrap/>
            <w:hideMark/>
          </w:tcPr>
          <w:p w:rsidR="00D060FC" w:rsidRPr="005B0796" w:rsidRDefault="00D060FC" w:rsidP="00F12D9E">
            <w:pPr>
              <w:pStyle w:val="TableText"/>
              <w:rPr>
                <w:lang w:eastAsia="en-AU"/>
              </w:rPr>
            </w:pPr>
            <w:r w:rsidRPr="005B0796">
              <w:rPr>
                <w:lang w:eastAsia="en-AU"/>
              </w:rPr>
              <w:t>Social phobia</w:t>
            </w:r>
            <w:r w:rsidRPr="005B0796">
              <w:rPr>
                <w:vertAlign w:val="superscript"/>
                <w:lang w:eastAsia="en-AU"/>
              </w:rPr>
              <w:t>d</w:t>
            </w:r>
          </w:p>
        </w:tc>
        <w:tc>
          <w:tcPr>
            <w:tcW w:w="846" w:type="dxa"/>
            <w:noWrap/>
            <w:hideMark/>
          </w:tcPr>
          <w:p w:rsidR="00D060FC" w:rsidRPr="005B0796" w:rsidRDefault="00D060FC" w:rsidP="00F12D9E">
            <w:pPr>
              <w:pStyle w:val="TableText"/>
              <w:jc w:val="right"/>
              <w:rPr>
                <w:lang w:eastAsia="en-AU"/>
              </w:rPr>
            </w:pPr>
            <w:r w:rsidRPr="005B0796">
              <w:rPr>
                <w:lang w:eastAsia="en-AU"/>
              </w:rPr>
              <w:t>1123</w:t>
            </w:r>
          </w:p>
        </w:tc>
        <w:tc>
          <w:tcPr>
            <w:tcW w:w="846" w:type="dxa"/>
            <w:hideMark/>
          </w:tcPr>
          <w:p w:rsidR="00D060FC" w:rsidRPr="005B0796" w:rsidRDefault="00D060FC" w:rsidP="00F12D9E">
            <w:pPr>
              <w:pStyle w:val="TableText"/>
              <w:jc w:val="right"/>
              <w:rPr>
                <w:lang w:eastAsia="en-AU"/>
              </w:rPr>
            </w:pPr>
            <w:r w:rsidRPr="005B0796">
              <w:rPr>
                <w:lang w:eastAsia="en-AU"/>
              </w:rPr>
              <w:t>22.1</w:t>
            </w:r>
          </w:p>
        </w:tc>
        <w:tc>
          <w:tcPr>
            <w:tcW w:w="847" w:type="dxa"/>
            <w:hideMark/>
          </w:tcPr>
          <w:p w:rsidR="00D060FC" w:rsidRPr="005B0796" w:rsidRDefault="00D060FC" w:rsidP="00F12D9E">
            <w:pPr>
              <w:pStyle w:val="TableText"/>
              <w:jc w:val="right"/>
              <w:rPr>
                <w:lang w:eastAsia="en-AU"/>
              </w:rPr>
            </w:pPr>
            <w:r w:rsidRPr="005B0796">
              <w:rPr>
                <w:lang w:eastAsia="en-AU"/>
              </w:rPr>
              <w:t>15.0, 31.3</w:t>
            </w:r>
          </w:p>
        </w:tc>
        <w:tc>
          <w:tcPr>
            <w:tcW w:w="846" w:type="dxa"/>
            <w:noWrap/>
            <w:hideMark/>
          </w:tcPr>
          <w:p w:rsidR="00D060FC" w:rsidRPr="005B0796" w:rsidRDefault="00D060FC" w:rsidP="00F12D9E">
            <w:pPr>
              <w:pStyle w:val="TableText"/>
              <w:jc w:val="right"/>
              <w:rPr>
                <w:lang w:eastAsia="en-AU"/>
              </w:rPr>
            </w:pPr>
            <w:r w:rsidRPr="005B0796">
              <w:rPr>
                <w:lang w:eastAsia="en-AU"/>
              </w:rPr>
              <w:t>948</w:t>
            </w:r>
          </w:p>
        </w:tc>
        <w:tc>
          <w:tcPr>
            <w:tcW w:w="846" w:type="dxa"/>
            <w:hideMark/>
          </w:tcPr>
          <w:p w:rsidR="00D060FC" w:rsidRPr="005B0796" w:rsidRDefault="00D060FC" w:rsidP="00F12D9E">
            <w:pPr>
              <w:pStyle w:val="TableText"/>
              <w:jc w:val="right"/>
              <w:rPr>
                <w:lang w:eastAsia="en-AU"/>
              </w:rPr>
            </w:pPr>
            <w:r w:rsidRPr="005B0796">
              <w:rPr>
                <w:lang w:eastAsia="en-AU"/>
              </w:rPr>
              <w:t>5.0</w:t>
            </w:r>
          </w:p>
        </w:tc>
        <w:tc>
          <w:tcPr>
            <w:tcW w:w="847" w:type="dxa"/>
            <w:hideMark/>
          </w:tcPr>
          <w:p w:rsidR="00D060FC" w:rsidRPr="005B0796" w:rsidRDefault="00D060FC" w:rsidP="00F12D9E">
            <w:pPr>
              <w:pStyle w:val="TableText"/>
              <w:jc w:val="right"/>
              <w:rPr>
                <w:lang w:eastAsia="en-AU"/>
              </w:rPr>
            </w:pPr>
            <w:r w:rsidRPr="005B0796">
              <w:rPr>
                <w:lang w:eastAsia="en-AU"/>
              </w:rPr>
              <w:t>3.0, 8.0</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237" w:type="dxa"/>
            <w:noWrap/>
            <w:hideMark/>
          </w:tcPr>
          <w:p w:rsidR="00D060FC" w:rsidRPr="005B0796" w:rsidRDefault="00D060FC" w:rsidP="00F12D9E">
            <w:pPr>
              <w:pStyle w:val="TableText"/>
              <w:rPr>
                <w:lang w:eastAsia="en-AU"/>
              </w:rPr>
            </w:pPr>
            <w:r w:rsidRPr="005B0796">
              <w:rPr>
                <w:lang w:eastAsia="en-AU"/>
              </w:rPr>
              <w:t>Specific phobia</w:t>
            </w:r>
            <w:r w:rsidRPr="005B0796">
              <w:rPr>
                <w:vertAlign w:val="superscript"/>
                <w:lang w:eastAsia="en-AU"/>
              </w:rPr>
              <w:t>e</w:t>
            </w:r>
          </w:p>
        </w:tc>
        <w:tc>
          <w:tcPr>
            <w:tcW w:w="846" w:type="dxa"/>
            <w:noWrap/>
            <w:hideMark/>
          </w:tcPr>
          <w:p w:rsidR="00D060FC" w:rsidRPr="005B0796" w:rsidRDefault="00D060FC" w:rsidP="00F12D9E">
            <w:pPr>
              <w:pStyle w:val="TableText"/>
              <w:jc w:val="right"/>
              <w:rPr>
                <w:lang w:eastAsia="en-AU"/>
              </w:rPr>
            </w:pPr>
            <w:r w:rsidRPr="005B0796">
              <w:rPr>
                <w:lang w:eastAsia="en-AU"/>
              </w:rPr>
              <w:t>949</w:t>
            </w:r>
          </w:p>
        </w:tc>
        <w:tc>
          <w:tcPr>
            <w:tcW w:w="846" w:type="dxa"/>
            <w:hideMark/>
          </w:tcPr>
          <w:p w:rsidR="00D060FC" w:rsidRPr="005B0796" w:rsidRDefault="00D060FC" w:rsidP="00F12D9E">
            <w:pPr>
              <w:pStyle w:val="TableText"/>
              <w:jc w:val="right"/>
              <w:rPr>
                <w:lang w:eastAsia="en-AU"/>
              </w:rPr>
            </w:pPr>
            <w:r w:rsidRPr="005B0796">
              <w:rPr>
                <w:lang w:eastAsia="en-AU"/>
              </w:rPr>
              <w:t>18.7</w:t>
            </w:r>
          </w:p>
        </w:tc>
        <w:tc>
          <w:tcPr>
            <w:tcW w:w="847" w:type="dxa"/>
            <w:hideMark/>
          </w:tcPr>
          <w:p w:rsidR="00D060FC" w:rsidRPr="005B0796" w:rsidRDefault="00D060FC" w:rsidP="00F12D9E">
            <w:pPr>
              <w:pStyle w:val="TableText"/>
              <w:jc w:val="right"/>
              <w:rPr>
                <w:lang w:eastAsia="en-AU"/>
              </w:rPr>
            </w:pPr>
            <w:r w:rsidRPr="005B0796">
              <w:rPr>
                <w:lang w:eastAsia="en-AU"/>
              </w:rPr>
              <w:t>12.3, 27.3</w:t>
            </w:r>
          </w:p>
        </w:tc>
        <w:tc>
          <w:tcPr>
            <w:tcW w:w="846" w:type="dxa"/>
            <w:noWrap/>
            <w:hideMark/>
          </w:tcPr>
          <w:p w:rsidR="00D060FC" w:rsidRPr="005B0796" w:rsidRDefault="00D060FC" w:rsidP="00F12D9E">
            <w:pPr>
              <w:pStyle w:val="TableText"/>
              <w:jc w:val="right"/>
              <w:rPr>
                <w:lang w:eastAsia="en-AU"/>
              </w:rPr>
            </w:pPr>
            <w:r w:rsidRPr="005B0796">
              <w:rPr>
                <w:lang w:eastAsia="en-AU"/>
              </w:rPr>
              <w:t>721</w:t>
            </w:r>
          </w:p>
        </w:tc>
        <w:tc>
          <w:tcPr>
            <w:tcW w:w="846" w:type="dxa"/>
            <w:hideMark/>
          </w:tcPr>
          <w:p w:rsidR="00D060FC" w:rsidRPr="005B0796" w:rsidRDefault="00D060FC" w:rsidP="00F12D9E">
            <w:pPr>
              <w:pStyle w:val="TableText"/>
              <w:jc w:val="right"/>
              <w:rPr>
                <w:lang w:eastAsia="en-AU"/>
              </w:rPr>
            </w:pPr>
            <w:r w:rsidRPr="005B0796">
              <w:rPr>
                <w:lang w:eastAsia="en-AU"/>
              </w:rPr>
              <w:t>3.8</w:t>
            </w:r>
          </w:p>
        </w:tc>
        <w:tc>
          <w:tcPr>
            <w:tcW w:w="847" w:type="dxa"/>
            <w:hideMark/>
          </w:tcPr>
          <w:p w:rsidR="00D060FC" w:rsidRPr="005B0796" w:rsidRDefault="00D060FC" w:rsidP="00F12D9E">
            <w:pPr>
              <w:pStyle w:val="TableText"/>
              <w:jc w:val="right"/>
              <w:rPr>
                <w:lang w:eastAsia="en-AU"/>
              </w:rPr>
            </w:pPr>
            <w:r w:rsidRPr="005B0796">
              <w:rPr>
                <w:lang w:eastAsia="en-AU"/>
              </w:rPr>
              <w:t>2.8, 5.0</w:t>
            </w:r>
          </w:p>
        </w:tc>
      </w:tr>
      <w:tr w:rsidR="00D060FC" w:rsidRPr="005B0796" w:rsidTr="00F12D9E">
        <w:tc>
          <w:tcPr>
            <w:tcW w:w="2237" w:type="dxa"/>
            <w:noWrap/>
            <w:hideMark/>
          </w:tcPr>
          <w:p w:rsidR="00D060FC" w:rsidRPr="005B0796" w:rsidRDefault="00D060FC" w:rsidP="00F12D9E">
            <w:pPr>
              <w:pStyle w:val="TableText"/>
              <w:rPr>
                <w:lang w:eastAsia="en-AU"/>
              </w:rPr>
            </w:pPr>
            <w:r w:rsidRPr="005B0796">
              <w:rPr>
                <w:lang w:eastAsia="en-AU"/>
              </w:rPr>
              <w:t>Generalised anxiety disorder</w:t>
            </w:r>
            <w:r w:rsidRPr="005B0796">
              <w:rPr>
                <w:vertAlign w:val="superscript"/>
                <w:lang w:eastAsia="en-AU"/>
              </w:rPr>
              <w:t>f</w:t>
            </w:r>
          </w:p>
        </w:tc>
        <w:tc>
          <w:tcPr>
            <w:tcW w:w="846" w:type="dxa"/>
            <w:noWrap/>
            <w:hideMark/>
          </w:tcPr>
          <w:p w:rsidR="00D060FC" w:rsidRPr="005B0796" w:rsidRDefault="00D060FC" w:rsidP="00F12D9E">
            <w:pPr>
              <w:pStyle w:val="TableText"/>
              <w:jc w:val="right"/>
              <w:rPr>
                <w:lang w:eastAsia="en-AU"/>
              </w:rPr>
            </w:pPr>
            <w:r w:rsidRPr="005B0796">
              <w:rPr>
                <w:lang w:eastAsia="en-AU"/>
              </w:rPr>
              <w:t>429</w:t>
            </w:r>
          </w:p>
        </w:tc>
        <w:tc>
          <w:tcPr>
            <w:tcW w:w="846" w:type="dxa"/>
            <w:hideMark/>
          </w:tcPr>
          <w:p w:rsidR="00D060FC" w:rsidRPr="005B0796" w:rsidRDefault="00D060FC" w:rsidP="00F12D9E">
            <w:pPr>
              <w:pStyle w:val="TableText"/>
              <w:jc w:val="right"/>
              <w:rPr>
                <w:lang w:eastAsia="en-AU"/>
              </w:rPr>
            </w:pPr>
            <w:r w:rsidRPr="005B0796">
              <w:rPr>
                <w:lang w:eastAsia="en-AU"/>
              </w:rPr>
              <w:t>8.5</w:t>
            </w:r>
          </w:p>
        </w:tc>
        <w:tc>
          <w:tcPr>
            <w:tcW w:w="847" w:type="dxa"/>
            <w:hideMark/>
          </w:tcPr>
          <w:p w:rsidR="00D060FC" w:rsidRPr="005B0796" w:rsidRDefault="00D060FC" w:rsidP="00F12D9E">
            <w:pPr>
              <w:pStyle w:val="TableText"/>
              <w:jc w:val="right"/>
              <w:rPr>
                <w:lang w:eastAsia="en-AU"/>
              </w:rPr>
            </w:pPr>
            <w:r w:rsidRPr="005B0796">
              <w:rPr>
                <w:lang w:eastAsia="en-AU"/>
              </w:rPr>
              <w:t>4.2, 16.4</w:t>
            </w:r>
          </w:p>
        </w:tc>
        <w:tc>
          <w:tcPr>
            <w:tcW w:w="846" w:type="dxa"/>
            <w:noWrap/>
            <w:hideMark/>
          </w:tcPr>
          <w:p w:rsidR="00D060FC" w:rsidRPr="005B0796" w:rsidRDefault="00D060FC" w:rsidP="00F12D9E">
            <w:pPr>
              <w:pStyle w:val="TableText"/>
              <w:jc w:val="right"/>
              <w:rPr>
                <w:lang w:eastAsia="en-AU"/>
              </w:rPr>
            </w:pPr>
            <w:r w:rsidRPr="005B0796">
              <w:rPr>
                <w:lang w:eastAsia="en-AU"/>
              </w:rPr>
              <w:t>378</w:t>
            </w:r>
          </w:p>
        </w:tc>
        <w:tc>
          <w:tcPr>
            <w:tcW w:w="846" w:type="dxa"/>
            <w:hideMark/>
          </w:tcPr>
          <w:p w:rsidR="00D060FC" w:rsidRPr="005B0796" w:rsidRDefault="00D060FC" w:rsidP="00F12D9E">
            <w:pPr>
              <w:pStyle w:val="TableText"/>
              <w:jc w:val="right"/>
              <w:rPr>
                <w:lang w:eastAsia="en-AU"/>
              </w:rPr>
            </w:pPr>
            <w:r w:rsidRPr="005B0796">
              <w:rPr>
                <w:lang w:eastAsia="en-AU"/>
              </w:rPr>
              <w:t>2.0</w:t>
            </w:r>
          </w:p>
        </w:tc>
        <w:tc>
          <w:tcPr>
            <w:tcW w:w="847" w:type="dxa"/>
            <w:hideMark/>
          </w:tcPr>
          <w:p w:rsidR="00D060FC" w:rsidRPr="005B0796" w:rsidRDefault="00D060FC" w:rsidP="00F12D9E">
            <w:pPr>
              <w:pStyle w:val="TableText"/>
              <w:jc w:val="right"/>
              <w:rPr>
                <w:lang w:eastAsia="en-AU"/>
              </w:rPr>
            </w:pPr>
            <w:r w:rsidRPr="005B0796">
              <w:rPr>
                <w:lang w:eastAsia="en-AU"/>
              </w:rPr>
              <w:t>1.0, 3.8</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237" w:type="dxa"/>
            <w:noWrap/>
            <w:hideMark/>
          </w:tcPr>
          <w:p w:rsidR="00D060FC" w:rsidRPr="005B0796" w:rsidRDefault="00D060FC" w:rsidP="00F12D9E">
            <w:pPr>
              <w:pStyle w:val="TableText"/>
              <w:rPr>
                <w:lang w:eastAsia="en-AU"/>
              </w:rPr>
            </w:pPr>
            <w:r w:rsidRPr="005B0796">
              <w:rPr>
                <w:lang w:eastAsia="en-AU"/>
              </w:rPr>
              <w:t>Obsessive-compulsive disorder</w:t>
            </w:r>
          </w:p>
        </w:tc>
        <w:tc>
          <w:tcPr>
            <w:tcW w:w="846" w:type="dxa"/>
            <w:noWrap/>
            <w:hideMark/>
          </w:tcPr>
          <w:p w:rsidR="00D060FC" w:rsidRPr="005B0796" w:rsidRDefault="00D060FC" w:rsidP="00F12D9E">
            <w:pPr>
              <w:pStyle w:val="TableText"/>
              <w:jc w:val="right"/>
              <w:rPr>
                <w:lang w:eastAsia="en-AU"/>
              </w:rPr>
            </w:pPr>
            <w:r w:rsidRPr="005B0796">
              <w:rPr>
                <w:lang w:eastAsia="en-AU"/>
              </w:rPr>
              <w:t>201</w:t>
            </w:r>
          </w:p>
        </w:tc>
        <w:tc>
          <w:tcPr>
            <w:tcW w:w="846" w:type="dxa"/>
            <w:hideMark/>
          </w:tcPr>
          <w:p w:rsidR="00D060FC" w:rsidRPr="005B0796" w:rsidRDefault="00D060FC" w:rsidP="00F12D9E">
            <w:pPr>
              <w:pStyle w:val="TableText"/>
              <w:jc w:val="right"/>
              <w:rPr>
                <w:lang w:eastAsia="en-AU"/>
              </w:rPr>
            </w:pPr>
            <w:r w:rsidRPr="005B0796">
              <w:rPr>
                <w:lang w:eastAsia="en-AU"/>
              </w:rPr>
              <w:t>4.0</w:t>
            </w:r>
          </w:p>
        </w:tc>
        <w:tc>
          <w:tcPr>
            <w:tcW w:w="847" w:type="dxa"/>
            <w:hideMark/>
          </w:tcPr>
          <w:p w:rsidR="00D060FC" w:rsidRPr="005B0796" w:rsidRDefault="00D060FC" w:rsidP="00F12D9E">
            <w:pPr>
              <w:pStyle w:val="TableText"/>
              <w:jc w:val="right"/>
              <w:rPr>
                <w:lang w:eastAsia="en-AU"/>
              </w:rPr>
            </w:pPr>
            <w:r w:rsidRPr="005B0796">
              <w:rPr>
                <w:lang w:eastAsia="en-AU"/>
              </w:rPr>
              <w:t>1.6, 9.3</w:t>
            </w:r>
          </w:p>
        </w:tc>
        <w:tc>
          <w:tcPr>
            <w:tcW w:w="846" w:type="dxa"/>
            <w:noWrap/>
            <w:hideMark/>
          </w:tcPr>
          <w:p w:rsidR="00D060FC" w:rsidRPr="005B0796" w:rsidRDefault="00D060FC" w:rsidP="00F12D9E">
            <w:pPr>
              <w:pStyle w:val="TableText"/>
              <w:jc w:val="right"/>
              <w:rPr>
                <w:lang w:eastAsia="en-AU"/>
              </w:rPr>
            </w:pPr>
            <w:r w:rsidRPr="005B0796">
              <w:rPr>
                <w:lang w:eastAsia="en-AU"/>
              </w:rPr>
              <w:t>823</w:t>
            </w:r>
          </w:p>
        </w:tc>
        <w:tc>
          <w:tcPr>
            <w:tcW w:w="846" w:type="dxa"/>
            <w:hideMark/>
          </w:tcPr>
          <w:p w:rsidR="00D060FC" w:rsidRPr="005B0796" w:rsidRDefault="00D060FC" w:rsidP="00F12D9E">
            <w:pPr>
              <w:pStyle w:val="TableText"/>
              <w:jc w:val="right"/>
              <w:rPr>
                <w:lang w:eastAsia="en-AU"/>
              </w:rPr>
            </w:pPr>
            <w:r w:rsidRPr="005B0796">
              <w:rPr>
                <w:lang w:eastAsia="en-AU"/>
              </w:rPr>
              <w:t>4.3</w:t>
            </w:r>
          </w:p>
        </w:tc>
        <w:tc>
          <w:tcPr>
            <w:tcW w:w="847" w:type="dxa"/>
            <w:hideMark/>
          </w:tcPr>
          <w:p w:rsidR="00D060FC" w:rsidRPr="005B0796" w:rsidRDefault="00D060FC" w:rsidP="00F12D9E">
            <w:pPr>
              <w:pStyle w:val="TableText"/>
              <w:jc w:val="right"/>
              <w:rPr>
                <w:lang w:eastAsia="en-AU"/>
              </w:rPr>
            </w:pPr>
            <w:r w:rsidRPr="005B0796">
              <w:rPr>
                <w:lang w:eastAsia="en-AU"/>
              </w:rPr>
              <w:t>2.4, 7.5</w:t>
            </w:r>
          </w:p>
        </w:tc>
      </w:tr>
      <w:tr w:rsidR="00D060FC" w:rsidRPr="005B0796" w:rsidTr="00F12D9E">
        <w:tc>
          <w:tcPr>
            <w:tcW w:w="2237" w:type="dxa"/>
            <w:noWrap/>
            <w:hideMark/>
          </w:tcPr>
          <w:p w:rsidR="00D060FC" w:rsidRPr="005B0796" w:rsidRDefault="00D060FC" w:rsidP="00F12D9E">
            <w:pPr>
              <w:pStyle w:val="TableText"/>
              <w:rPr>
                <w:lang w:eastAsia="en-AU"/>
              </w:rPr>
            </w:pPr>
            <w:r w:rsidRPr="005B0796">
              <w:rPr>
                <w:lang w:eastAsia="en-AU"/>
              </w:rPr>
              <w:t>Posttraumatic stress disorder</w:t>
            </w:r>
            <w:r w:rsidRPr="005B0796">
              <w:rPr>
                <w:vertAlign w:val="superscript"/>
                <w:lang w:eastAsia="en-AU"/>
              </w:rPr>
              <w:t>g</w:t>
            </w:r>
          </w:p>
        </w:tc>
        <w:tc>
          <w:tcPr>
            <w:tcW w:w="846" w:type="dxa"/>
            <w:noWrap/>
            <w:hideMark/>
          </w:tcPr>
          <w:p w:rsidR="00D060FC" w:rsidRPr="005B0796" w:rsidRDefault="00D060FC" w:rsidP="00F12D9E">
            <w:pPr>
              <w:pStyle w:val="TableText"/>
              <w:jc w:val="right"/>
              <w:rPr>
                <w:lang w:eastAsia="en-AU"/>
              </w:rPr>
            </w:pPr>
            <w:r w:rsidRPr="005B0796">
              <w:rPr>
                <w:lang w:eastAsia="en-AU"/>
              </w:rPr>
              <w:t>1171</w:t>
            </w:r>
          </w:p>
        </w:tc>
        <w:tc>
          <w:tcPr>
            <w:tcW w:w="846" w:type="dxa"/>
            <w:hideMark/>
          </w:tcPr>
          <w:p w:rsidR="00D060FC" w:rsidRPr="005B0796" w:rsidRDefault="00D060FC" w:rsidP="00F12D9E">
            <w:pPr>
              <w:pStyle w:val="TableText"/>
              <w:jc w:val="right"/>
              <w:rPr>
                <w:lang w:eastAsia="en-AU"/>
              </w:rPr>
            </w:pPr>
            <w:r w:rsidRPr="005B0796">
              <w:rPr>
                <w:lang w:eastAsia="en-AU"/>
              </w:rPr>
              <w:t>23.0</w:t>
            </w:r>
          </w:p>
        </w:tc>
        <w:tc>
          <w:tcPr>
            <w:tcW w:w="847" w:type="dxa"/>
            <w:hideMark/>
          </w:tcPr>
          <w:p w:rsidR="00D060FC" w:rsidRPr="005B0796" w:rsidRDefault="00D060FC" w:rsidP="00F12D9E">
            <w:pPr>
              <w:pStyle w:val="TableText"/>
              <w:jc w:val="right"/>
              <w:rPr>
                <w:lang w:eastAsia="en-AU"/>
              </w:rPr>
            </w:pPr>
            <w:r w:rsidRPr="005B0796">
              <w:rPr>
                <w:lang w:eastAsia="en-AU"/>
              </w:rPr>
              <w:t>16.3, 31.6</w:t>
            </w:r>
          </w:p>
        </w:tc>
        <w:tc>
          <w:tcPr>
            <w:tcW w:w="846" w:type="dxa"/>
            <w:noWrap/>
            <w:hideMark/>
          </w:tcPr>
          <w:p w:rsidR="00D060FC" w:rsidRPr="005B0796" w:rsidRDefault="00D060FC" w:rsidP="00F12D9E">
            <w:pPr>
              <w:pStyle w:val="TableText"/>
              <w:jc w:val="right"/>
              <w:rPr>
                <w:lang w:eastAsia="en-AU"/>
              </w:rPr>
            </w:pPr>
            <w:r w:rsidRPr="005B0796">
              <w:rPr>
                <w:lang w:eastAsia="en-AU"/>
              </w:rPr>
              <w:t>2800</w:t>
            </w:r>
          </w:p>
        </w:tc>
        <w:tc>
          <w:tcPr>
            <w:tcW w:w="846" w:type="dxa"/>
            <w:hideMark/>
          </w:tcPr>
          <w:p w:rsidR="00D060FC" w:rsidRPr="005B0796" w:rsidRDefault="00D060FC" w:rsidP="00F12D9E">
            <w:pPr>
              <w:pStyle w:val="TableText"/>
              <w:jc w:val="right"/>
              <w:rPr>
                <w:lang w:eastAsia="en-AU"/>
              </w:rPr>
            </w:pPr>
            <w:r w:rsidRPr="005B0796">
              <w:rPr>
                <w:lang w:eastAsia="en-AU"/>
              </w:rPr>
              <w:t>14.6</w:t>
            </w:r>
          </w:p>
        </w:tc>
        <w:tc>
          <w:tcPr>
            <w:tcW w:w="847" w:type="dxa"/>
            <w:hideMark/>
          </w:tcPr>
          <w:p w:rsidR="00D060FC" w:rsidRPr="005B0796" w:rsidRDefault="00D060FC" w:rsidP="00F12D9E">
            <w:pPr>
              <w:pStyle w:val="TableText"/>
              <w:jc w:val="right"/>
              <w:rPr>
                <w:lang w:eastAsia="en-AU"/>
              </w:rPr>
            </w:pPr>
            <w:r w:rsidRPr="005B0796">
              <w:rPr>
                <w:lang w:eastAsia="en-AU"/>
              </w:rPr>
              <w:t>11.1, 19.0</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237" w:type="dxa"/>
            <w:noWrap/>
            <w:hideMark/>
          </w:tcPr>
          <w:p w:rsidR="00D060FC" w:rsidRPr="005B0796" w:rsidRDefault="00D060FC" w:rsidP="00F12D9E">
            <w:pPr>
              <w:pStyle w:val="TableText"/>
              <w:rPr>
                <w:lang w:eastAsia="en-AU"/>
              </w:rPr>
            </w:pPr>
            <w:r w:rsidRPr="005B0796">
              <w:rPr>
                <w:lang w:eastAsia="en-AU"/>
              </w:rPr>
              <w:t>Any anxiety disorder</w:t>
            </w:r>
            <w:r w:rsidRPr="005B0796">
              <w:rPr>
                <w:vertAlign w:val="superscript"/>
                <w:lang w:eastAsia="en-AU"/>
              </w:rPr>
              <w:t>h</w:t>
            </w:r>
          </w:p>
        </w:tc>
        <w:tc>
          <w:tcPr>
            <w:tcW w:w="846" w:type="dxa"/>
            <w:noWrap/>
            <w:hideMark/>
          </w:tcPr>
          <w:p w:rsidR="00D060FC" w:rsidRPr="005B0796" w:rsidRDefault="00D060FC" w:rsidP="00F12D9E">
            <w:pPr>
              <w:pStyle w:val="TableText"/>
              <w:jc w:val="right"/>
              <w:rPr>
                <w:lang w:eastAsia="en-AU"/>
              </w:rPr>
            </w:pPr>
            <w:r w:rsidRPr="005B0796">
              <w:rPr>
                <w:lang w:eastAsia="en-AU"/>
              </w:rPr>
              <w:t>2608</w:t>
            </w:r>
          </w:p>
        </w:tc>
        <w:tc>
          <w:tcPr>
            <w:tcW w:w="846" w:type="dxa"/>
            <w:hideMark/>
          </w:tcPr>
          <w:p w:rsidR="00D060FC" w:rsidRPr="005B0796" w:rsidRDefault="00D060FC" w:rsidP="00F12D9E">
            <w:pPr>
              <w:pStyle w:val="TableText"/>
              <w:jc w:val="right"/>
              <w:rPr>
                <w:lang w:eastAsia="en-AU"/>
              </w:rPr>
            </w:pPr>
            <w:r w:rsidRPr="005B0796">
              <w:rPr>
                <w:lang w:eastAsia="en-AU"/>
              </w:rPr>
              <w:t>51.3</w:t>
            </w:r>
          </w:p>
        </w:tc>
        <w:tc>
          <w:tcPr>
            <w:tcW w:w="847" w:type="dxa"/>
            <w:hideMark/>
          </w:tcPr>
          <w:p w:rsidR="00D060FC" w:rsidRPr="005B0796" w:rsidRDefault="00D060FC" w:rsidP="00F12D9E">
            <w:pPr>
              <w:pStyle w:val="TableText"/>
              <w:jc w:val="right"/>
              <w:rPr>
                <w:lang w:eastAsia="en-AU"/>
              </w:rPr>
            </w:pPr>
            <w:r w:rsidRPr="005B0796">
              <w:rPr>
                <w:lang w:eastAsia="en-AU"/>
              </w:rPr>
              <w:t>41.4, 61.2</w:t>
            </w:r>
          </w:p>
        </w:tc>
        <w:tc>
          <w:tcPr>
            <w:tcW w:w="846" w:type="dxa"/>
            <w:noWrap/>
            <w:hideMark/>
          </w:tcPr>
          <w:p w:rsidR="00D060FC" w:rsidRPr="005B0796" w:rsidRDefault="00D060FC" w:rsidP="00F12D9E">
            <w:pPr>
              <w:pStyle w:val="TableText"/>
              <w:jc w:val="right"/>
              <w:rPr>
                <w:lang w:eastAsia="en-AU"/>
              </w:rPr>
            </w:pPr>
            <w:r w:rsidRPr="005B0796">
              <w:rPr>
                <w:lang w:eastAsia="en-AU"/>
              </w:rPr>
              <w:t>5800</w:t>
            </w:r>
          </w:p>
        </w:tc>
        <w:tc>
          <w:tcPr>
            <w:tcW w:w="846" w:type="dxa"/>
            <w:hideMark/>
          </w:tcPr>
          <w:p w:rsidR="00D060FC" w:rsidRPr="005B0796" w:rsidRDefault="00D060FC" w:rsidP="00F12D9E">
            <w:pPr>
              <w:pStyle w:val="TableText"/>
              <w:jc w:val="right"/>
              <w:rPr>
                <w:lang w:eastAsia="en-AU"/>
              </w:rPr>
            </w:pPr>
            <w:r w:rsidRPr="005B0796">
              <w:rPr>
                <w:lang w:eastAsia="en-AU"/>
              </w:rPr>
              <w:t>30.3</w:t>
            </w:r>
          </w:p>
        </w:tc>
        <w:tc>
          <w:tcPr>
            <w:tcW w:w="847" w:type="dxa"/>
            <w:hideMark/>
          </w:tcPr>
          <w:p w:rsidR="00D060FC" w:rsidRPr="005B0796" w:rsidRDefault="00D060FC" w:rsidP="00F12D9E">
            <w:pPr>
              <w:pStyle w:val="TableText"/>
              <w:jc w:val="right"/>
              <w:rPr>
                <w:lang w:eastAsia="en-AU"/>
              </w:rPr>
            </w:pPr>
            <w:r w:rsidRPr="005B0796">
              <w:rPr>
                <w:lang w:eastAsia="en-AU"/>
              </w:rPr>
              <w:t>25.4, 35.7</w:t>
            </w:r>
          </w:p>
        </w:tc>
      </w:tr>
    </w:tbl>
    <w:p w:rsidR="00EF53A1" w:rsidRPr="005B0796" w:rsidRDefault="00EF53A1" w:rsidP="00EF53A1">
      <w:pPr>
        <w:pStyle w:val="TableNotes"/>
        <w:rPr>
          <w:szCs w:val="14"/>
        </w:rPr>
      </w:pPr>
      <w:r w:rsidRPr="005B0796">
        <w:rPr>
          <w:rFonts w:eastAsia="Times New Roman"/>
          <w:szCs w:val="14"/>
          <w:vertAlign w:val="superscript"/>
          <w:lang w:eastAsia="en-AU"/>
        </w:rPr>
        <w:t xml:space="preserve">a </w:t>
      </w:r>
      <w:r w:rsidRPr="005B0796">
        <w:rPr>
          <w:szCs w:val="14"/>
        </w:rPr>
        <w:t>Medical vs Other: OR 2.4, 95% CI 1.3, 4.3</w:t>
      </w:r>
    </w:p>
    <w:p w:rsidR="00EF53A1" w:rsidRPr="005B0796" w:rsidRDefault="00EF53A1" w:rsidP="00EF53A1">
      <w:pPr>
        <w:pStyle w:val="TableNotes"/>
        <w:rPr>
          <w:szCs w:val="14"/>
        </w:rPr>
      </w:pPr>
      <w:r w:rsidRPr="005B0796">
        <w:rPr>
          <w:rFonts w:eastAsia="Times New Roman"/>
          <w:szCs w:val="14"/>
          <w:vertAlign w:val="superscript"/>
          <w:lang w:eastAsia="en-AU"/>
        </w:rPr>
        <w:t xml:space="preserve">b </w:t>
      </w:r>
      <w:r w:rsidRPr="005B0796">
        <w:rPr>
          <w:szCs w:val="14"/>
        </w:rPr>
        <w:t>Medical vs Other: OR 3.0, 95% CI 1.2, 7.5</w:t>
      </w:r>
    </w:p>
    <w:p w:rsidR="00EF53A1" w:rsidRPr="005B0796" w:rsidRDefault="00EF53A1" w:rsidP="00EF53A1">
      <w:pPr>
        <w:pStyle w:val="TableNotes"/>
        <w:rPr>
          <w:szCs w:val="14"/>
        </w:rPr>
      </w:pPr>
      <w:r w:rsidRPr="005B0796">
        <w:rPr>
          <w:rFonts w:eastAsia="Times New Roman"/>
          <w:szCs w:val="14"/>
          <w:vertAlign w:val="superscript"/>
          <w:lang w:eastAsia="en-AU"/>
        </w:rPr>
        <w:t>c</w:t>
      </w:r>
      <w:r w:rsidRPr="005B0796">
        <w:rPr>
          <w:rFonts w:eastAsia="Times New Roman"/>
          <w:szCs w:val="14"/>
          <w:lang w:eastAsia="en-AU"/>
        </w:rPr>
        <w:t xml:space="preserve"> </w:t>
      </w:r>
      <w:r w:rsidRPr="005B0796">
        <w:rPr>
          <w:szCs w:val="14"/>
        </w:rPr>
        <w:t>Medical vs Other: OR 3.3, 95% CI 1.6, 6.7</w:t>
      </w:r>
    </w:p>
    <w:p w:rsidR="00EF53A1" w:rsidRPr="005B0796" w:rsidRDefault="00EF53A1" w:rsidP="00EF53A1">
      <w:pPr>
        <w:pStyle w:val="TableNotes"/>
        <w:rPr>
          <w:szCs w:val="14"/>
        </w:rPr>
      </w:pPr>
      <w:r w:rsidRPr="005B0796">
        <w:rPr>
          <w:rFonts w:eastAsia="Times New Roman"/>
          <w:szCs w:val="14"/>
          <w:vertAlign w:val="superscript"/>
          <w:lang w:eastAsia="en-AU"/>
        </w:rPr>
        <w:t>d</w:t>
      </w:r>
      <w:r w:rsidRPr="005B0796">
        <w:rPr>
          <w:rFonts w:eastAsia="Times New Roman"/>
          <w:szCs w:val="14"/>
          <w:lang w:eastAsia="en-AU"/>
        </w:rPr>
        <w:t xml:space="preserve"> </w:t>
      </w:r>
      <w:r w:rsidRPr="005B0796">
        <w:rPr>
          <w:szCs w:val="14"/>
        </w:rPr>
        <w:t>Medical vs Other: OR 6.2, 95% CI 2.8, 13.7</w:t>
      </w:r>
    </w:p>
    <w:p w:rsidR="00EF53A1" w:rsidRPr="005B0796" w:rsidRDefault="00EF53A1" w:rsidP="00EF53A1">
      <w:pPr>
        <w:pStyle w:val="TableNotes"/>
        <w:rPr>
          <w:szCs w:val="14"/>
        </w:rPr>
      </w:pPr>
      <w:r w:rsidRPr="005B0796">
        <w:rPr>
          <w:rFonts w:eastAsia="Times New Roman"/>
          <w:szCs w:val="14"/>
          <w:vertAlign w:val="superscript"/>
          <w:lang w:eastAsia="en-AU"/>
        </w:rPr>
        <w:t xml:space="preserve">e </w:t>
      </w:r>
      <w:r w:rsidRPr="005B0796">
        <w:rPr>
          <w:szCs w:val="14"/>
        </w:rPr>
        <w:t>Medical vs Other: OR 7.7, 95% CI 4.7, 12.7</w:t>
      </w:r>
    </w:p>
    <w:p w:rsidR="00EF53A1" w:rsidRPr="005B0796" w:rsidRDefault="00EF53A1" w:rsidP="00EF53A1">
      <w:pPr>
        <w:pStyle w:val="TableNotes"/>
        <w:rPr>
          <w:szCs w:val="14"/>
        </w:rPr>
      </w:pPr>
      <w:r w:rsidRPr="005B0796">
        <w:rPr>
          <w:rFonts w:eastAsia="Times New Roman"/>
          <w:szCs w:val="14"/>
          <w:vertAlign w:val="superscript"/>
          <w:lang w:eastAsia="en-AU"/>
        </w:rPr>
        <w:t xml:space="preserve">f </w:t>
      </w:r>
      <w:r w:rsidRPr="005B0796">
        <w:rPr>
          <w:szCs w:val="14"/>
        </w:rPr>
        <w:t>Medical vs Other: OR 4.3, 95% CI 1.5, 12.8</w:t>
      </w:r>
    </w:p>
    <w:p w:rsidR="00EF53A1" w:rsidRPr="005B0796" w:rsidRDefault="00EF53A1" w:rsidP="00EF53A1">
      <w:pPr>
        <w:pStyle w:val="TableNotes"/>
        <w:rPr>
          <w:szCs w:val="14"/>
        </w:rPr>
      </w:pPr>
      <w:r w:rsidRPr="005B0796">
        <w:rPr>
          <w:rFonts w:eastAsia="Times New Roman"/>
          <w:szCs w:val="14"/>
          <w:vertAlign w:val="superscript"/>
          <w:lang w:eastAsia="en-AU"/>
        </w:rPr>
        <w:t>g</w:t>
      </w:r>
      <w:r w:rsidRPr="005B0796">
        <w:rPr>
          <w:szCs w:val="14"/>
          <w:vertAlign w:val="superscript"/>
        </w:rPr>
        <w:t xml:space="preserve"> </w:t>
      </w:r>
      <w:r w:rsidRPr="005B0796">
        <w:rPr>
          <w:szCs w:val="14"/>
        </w:rPr>
        <w:t>Medical vs Other: OR 1.8, 95% CI 1.0, 3.1</w:t>
      </w:r>
    </w:p>
    <w:p w:rsidR="00EF53A1" w:rsidRPr="005B0796" w:rsidRDefault="00EF53A1" w:rsidP="00EF53A1">
      <w:pPr>
        <w:pStyle w:val="TableNotes"/>
        <w:rPr>
          <w:szCs w:val="14"/>
        </w:rPr>
      </w:pPr>
      <w:r w:rsidRPr="005B0796">
        <w:rPr>
          <w:rFonts w:eastAsia="Times New Roman"/>
          <w:szCs w:val="14"/>
          <w:vertAlign w:val="superscript"/>
          <w:lang w:eastAsia="en-AU"/>
        </w:rPr>
        <w:t>h</w:t>
      </w:r>
      <w:r w:rsidRPr="005B0796">
        <w:rPr>
          <w:szCs w:val="14"/>
        </w:rPr>
        <w:t xml:space="preserve"> Medical vs Other: OR 2.5, 95% CI 1.5, 4.1 </w:t>
      </w:r>
    </w:p>
    <w:p w:rsidR="00EF53A1" w:rsidRPr="005B0796" w:rsidRDefault="00EF53A1" w:rsidP="00EF53A1">
      <w:pPr>
        <w:pStyle w:val="TableNotes"/>
        <w:rPr>
          <w:rFonts w:cs="Calibri"/>
          <w:bCs/>
        </w:rPr>
      </w:pPr>
      <w:r w:rsidRPr="005B0796">
        <w:rPr>
          <w:rFonts w:cs="Calibri"/>
          <w:bCs/>
        </w:rPr>
        <w:t xml:space="preserve">Note: 95% CI: 95% </w:t>
      </w:r>
      <w:r w:rsidR="00564689" w:rsidRPr="005B0796">
        <w:rPr>
          <w:rFonts w:cs="Calibri"/>
          <w:bCs/>
        </w:rPr>
        <w:t>confidence interval</w:t>
      </w:r>
    </w:p>
    <w:p w:rsidR="00D060FC" w:rsidRPr="005B0796" w:rsidRDefault="00EF53A1" w:rsidP="00EF53A1">
      <w:pPr>
        <w:pStyle w:val="FigureName"/>
      </w:pPr>
      <w:bookmarkStart w:id="445" w:name="_Ref486415484"/>
      <w:bookmarkStart w:id="446" w:name="_Toc487014357"/>
      <w:bookmarkStart w:id="447" w:name="_Toc51190052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9</w:t>
      </w:r>
      <w:r w:rsidR="00D30A3C">
        <w:rPr>
          <w:noProof/>
        </w:rPr>
        <w:fldChar w:fldCharType="end"/>
      </w:r>
      <w:bookmarkEnd w:id="445"/>
      <w:r w:rsidRPr="005B0796">
        <w:tab/>
        <w:t>Estimated prevalence of 12-month ICD-10 anxiety disorders in Transitioned ADF members, by anxiety disorder type and reason for discharge</w:t>
      </w:r>
      <w:bookmarkEnd w:id="446"/>
      <w:bookmarkEnd w:id="447"/>
    </w:p>
    <w:tbl>
      <w:tblPr>
        <w:tblW w:w="5000" w:type="pct"/>
        <w:tblLayout w:type="fixed"/>
        <w:tblCellMar>
          <w:left w:w="115" w:type="dxa"/>
          <w:right w:w="115" w:type="dxa"/>
        </w:tblCellMar>
        <w:tblLook w:val="04A0" w:firstRow="1" w:lastRow="0" w:firstColumn="1" w:lastColumn="0" w:noHBand="0" w:noVBand="1"/>
      </w:tblPr>
      <w:tblGrid>
        <w:gridCol w:w="7329"/>
      </w:tblGrid>
      <w:tr w:rsidR="00D060FC" w:rsidRPr="005B0796" w:rsidTr="008D3AC8">
        <w:trPr>
          <w:cantSplit/>
        </w:trPr>
        <w:tc>
          <w:tcPr>
            <w:tcW w:w="9656" w:type="dxa"/>
          </w:tcPr>
          <w:p w:rsidR="00D060FC" w:rsidRPr="005B0796" w:rsidRDefault="00D060FC" w:rsidP="000C2A5F">
            <w:pPr>
              <w:keepNext/>
            </w:pPr>
            <w:r w:rsidRPr="005B0796">
              <w:rPr>
                <w:i/>
                <w:noProof/>
                <w:lang w:eastAsia="en-AU"/>
              </w:rPr>
              <w:drawing>
                <wp:inline distT="0" distB="0" distL="0" distR="0" wp14:anchorId="2D1CE808" wp14:editId="48FE4323">
                  <wp:extent cx="4572000" cy="3291840"/>
                  <wp:effectExtent l="0" t="0" r="0" b="3810"/>
                  <wp:docPr id="41" name="Chart 41" descr="Figure 4.9 Estimated prevalence of 12-month ICD-10 anxiety disorders in Transitioned ADF members, by anxiety disorder type and reason for disch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EF53A1" w:rsidRPr="005B0796" w:rsidRDefault="00EF53A1" w:rsidP="00EF53A1">
      <w:pPr>
        <w:pStyle w:val="TableNotes"/>
      </w:pPr>
      <w:r w:rsidRPr="005B0796">
        <w:t>Panic attacks: Medical vs Other: OR 2.4, 95% CI 1.3, 4.3</w:t>
      </w:r>
    </w:p>
    <w:p w:rsidR="00EF53A1" w:rsidRPr="005B0796" w:rsidRDefault="00EF53A1" w:rsidP="00EF53A1">
      <w:pPr>
        <w:pStyle w:val="TableNotes"/>
      </w:pPr>
      <w:r w:rsidRPr="005B0796">
        <w:t>Panic disorder: Medical vs Other: OR 3.0, 95% CI 1.2, 7.5</w:t>
      </w:r>
    </w:p>
    <w:p w:rsidR="00EF53A1" w:rsidRPr="005B0796" w:rsidRDefault="00EF53A1" w:rsidP="00EF53A1">
      <w:pPr>
        <w:pStyle w:val="TableNotes"/>
      </w:pPr>
      <w:r w:rsidRPr="005B0796">
        <w:t>Agoraphobia: Medical vs Other: OR 3.3, 95% CI 1.6, 6.7</w:t>
      </w:r>
    </w:p>
    <w:p w:rsidR="00EF53A1" w:rsidRPr="005B0796" w:rsidRDefault="00EF53A1" w:rsidP="00EF53A1">
      <w:pPr>
        <w:pStyle w:val="TableNotes"/>
      </w:pPr>
      <w:r w:rsidRPr="005B0796">
        <w:t>Social phobia: Medical vs Other: OR 6.2, 95% CI 2.8, 13.7</w:t>
      </w:r>
    </w:p>
    <w:p w:rsidR="00EF53A1" w:rsidRPr="005B0796" w:rsidRDefault="00EF53A1" w:rsidP="00EF53A1">
      <w:pPr>
        <w:pStyle w:val="TableNotes"/>
      </w:pPr>
      <w:r w:rsidRPr="005B0796">
        <w:t>Specific phobia: Medical vs Other: 7.7, 95% CI 4.7, 12.7</w:t>
      </w:r>
    </w:p>
    <w:p w:rsidR="00EF53A1" w:rsidRPr="005B0796" w:rsidRDefault="00EF53A1" w:rsidP="00EF53A1">
      <w:pPr>
        <w:pStyle w:val="TableNotes"/>
      </w:pPr>
      <w:r w:rsidRPr="005B0796">
        <w:t>GAD: Medical vs Other: 4.3, 95% CI 1.5, 12.8</w:t>
      </w:r>
    </w:p>
    <w:p w:rsidR="00EF53A1" w:rsidRPr="005B0796" w:rsidRDefault="00EF53A1" w:rsidP="00EF53A1">
      <w:pPr>
        <w:pStyle w:val="TableNotes"/>
      </w:pPr>
      <w:r w:rsidRPr="005B0796">
        <w:t>PTSD: Medical versus Other: OR 1.8, 95% CI 1.0, 3.1</w:t>
      </w:r>
    </w:p>
    <w:p w:rsidR="00EF53A1" w:rsidRPr="005B0796" w:rsidRDefault="00EF53A1" w:rsidP="00EF53A1">
      <w:pPr>
        <w:pStyle w:val="TableNotes"/>
      </w:pPr>
      <w:r w:rsidRPr="005B0796">
        <w:t xml:space="preserve">Any anxiety disorder: Medical vs Other: OR 2.5, 95% CI 1.5, 4.1 </w:t>
      </w:r>
    </w:p>
    <w:p w:rsidR="00D060FC" w:rsidRPr="005B0796" w:rsidRDefault="00D060FC" w:rsidP="00F12D9E">
      <w:pPr>
        <w:pStyle w:val="Heading4"/>
        <w:rPr>
          <w:rFonts w:eastAsia="Times New Roman"/>
          <w:szCs w:val="22"/>
        </w:rPr>
      </w:pPr>
      <w:r w:rsidRPr="005B0796">
        <w:t>DVA status</w:t>
      </w:r>
    </w:p>
    <w:p w:rsidR="00D060FC" w:rsidRPr="005B0796" w:rsidRDefault="00F6614D" w:rsidP="00F12D9E">
      <w:r>
        <w:t>The e</w:t>
      </w:r>
      <w:r w:rsidR="00D060FC" w:rsidRPr="005B0796">
        <w:t xml:space="preserve">stimated prevalence of 12-month anxiety disorders, by DVA client status, are presented in </w:t>
      </w:r>
      <w:r w:rsidR="009E72D3" w:rsidRPr="005B0796">
        <w:t>Table 4.13</w:t>
      </w:r>
      <w:r w:rsidR="00D060FC" w:rsidRPr="005B0796">
        <w:t xml:space="preserve"> and Figure 4.10. A significantly higher estimated prevalence of </w:t>
      </w:r>
      <w:r w:rsidR="00462A0C" w:rsidRPr="005B0796">
        <w:t>‘</w:t>
      </w:r>
      <w:r w:rsidR="00D060FC" w:rsidRPr="005B0796">
        <w:t>any anxiety disorder</w:t>
      </w:r>
      <w:r w:rsidR="00462A0C" w:rsidRPr="005B0796">
        <w:t>’</w:t>
      </w:r>
      <w:r w:rsidR="00D060FC" w:rsidRPr="005B0796">
        <w:t xml:space="preserve"> was reported in DVA clients (45.3%, 95% CI 39.4, 51.3) compared to non-DVA clients (22.3%, 95% CI 16.4, 29.5) (OR 3.1, 95% CI, 1.9, 4.9). DVA clients were nearly three times more likely to meet criteria for panic attacks (OR 2.9, 95% CI 1.5, 5.5), 4.5 times more likely to meet criteria for agoraphobia (OR 4.5, 95% CI 2.0, 10.0), more than four times more likely to meet criteria for social phobia (OR 4.4, 95% CI 1.6, 11.6), 3.5 times more likely to meet criteria for specific phobia (OR 3.5, 95% CI 1.6, 7.9), more than 12 times more likely to meet criteria for GAD (OR 12.3, 95% CI 3.8, 39.1), and more than three times more likely to meet criteria for PTSD (OR 3.1, 95% CI 1.6, 6.0). The only two disorders that were not significantly more prevalent in DVA clients were panic disorder and OCD.</w:t>
      </w:r>
    </w:p>
    <w:p w:rsidR="00EF53A1" w:rsidRPr="005B0796" w:rsidRDefault="00EF53A1" w:rsidP="00EF53A1">
      <w:pPr>
        <w:pStyle w:val="TableName"/>
      </w:pPr>
      <w:bookmarkStart w:id="448" w:name="_Ref484519916"/>
      <w:bookmarkStart w:id="449" w:name="_Toc482023788"/>
      <w:bookmarkStart w:id="450" w:name="_Toc487014264"/>
      <w:bookmarkStart w:id="451" w:name="_Toc492995567"/>
      <w:bookmarkStart w:id="452" w:name="_Toc51190041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13</w:t>
      </w:r>
      <w:r w:rsidR="00D30A3C">
        <w:rPr>
          <w:noProof/>
        </w:rPr>
        <w:fldChar w:fldCharType="end"/>
      </w:r>
      <w:bookmarkEnd w:id="448"/>
      <w:r w:rsidRPr="005B0796">
        <w:tab/>
        <w:t>Estimated prevalence of 12-month ICD-10 anxiety disorders in Transitioned ADF members, by anxiety disorder type and DVA status</w:t>
      </w:r>
      <w:bookmarkEnd w:id="449"/>
      <w:bookmarkEnd w:id="450"/>
      <w:bookmarkEnd w:id="451"/>
      <w:bookmarkEnd w:id="452"/>
    </w:p>
    <w:tbl>
      <w:tblPr>
        <w:tblStyle w:val="TWRPTable"/>
        <w:tblW w:w="5000" w:type="pct"/>
        <w:tblLayout w:type="fixed"/>
        <w:tblLook w:val="04A0" w:firstRow="1" w:lastRow="0" w:firstColumn="1" w:lastColumn="0" w:noHBand="0" w:noVBand="1"/>
        <w:tblDescription w:val="Table 4.13 Estimated prevalence of 12-month ICD-10 anxiety disorders in Transitioned ADF members, by anxiety disorder type and DVA status"/>
      </w:tblPr>
      <w:tblGrid>
        <w:gridCol w:w="2358"/>
        <w:gridCol w:w="826"/>
        <w:gridCol w:w="826"/>
        <w:gridCol w:w="826"/>
        <w:gridCol w:w="826"/>
        <w:gridCol w:w="826"/>
        <w:gridCol w:w="827"/>
      </w:tblGrid>
      <w:tr w:rsidR="00D060FC" w:rsidRPr="005B0796" w:rsidTr="00F12D9E">
        <w:trPr>
          <w:cnfStyle w:val="100000000000" w:firstRow="1" w:lastRow="0" w:firstColumn="0" w:lastColumn="0" w:oddVBand="0" w:evenVBand="0" w:oddHBand="0" w:evenHBand="0" w:firstRowFirstColumn="0" w:firstRowLastColumn="0" w:lastRowFirstColumn="0" w:lastRowLastColumn="0"/>
          <w:tblHeader/>
        </w:trPr>
        <w:tc>
          <w:tcPr>
            <w:tcW w:w="2358" w:type="dxa"/>
            <w:tcBorders>
              <w:bottom w:val="nil"/>
            </w:tcBorders>
            <w:noWrap/>
            <w:hideMark/>
          </w:tcPr>
          <w:p w:rsidR="00D060FC" w:rsidRPr="005B0796" w:rsidRDefault="00D060FC" w:rsidP="00F12D9E">
            <w:pPr>
              <w:pStyle w:val="TableText"/>
            </w:pPr>
          </w:p>
        </w:tc>
        <w:tc>
          <w:tcPr>
            <w:tcW w:w="4957" w:type="dxa"/>
            <w:gridSpan w:val="6"/>
            <w:noWrap/>
            <w:hideMark/>
          </w:tcPr>
          <w:p w:rsidR="00D060FC" w:rsidRPr="005B0796" w:rsidRDefault="00D060FC" w:rsidP="00F12D9E">
            <w:pPr>
              <w:pStyle w:val="TableText"/>
              <w:jc w:val="center"/>
            </w:pPr>
            <w:r w:rsidRPr="005B0796">
              <w:t>DVA client</w:t>
            </w:r>
          </w:p>
        </w:tc>
      </w:tr>
      <w:tr w:rsidR="00D060FC" w:rsidRPr="005B0796" w:rsidTr="00F12D9E">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bottom w:val="nil"/>
            </w:tcBorders>
            <w:hideMark/>
          </w:tcPr>
          <w:p w:rsidR="00D060FC" w:rsidRPr="005B0796" w:rsidRDefault="00D060FC" w:rsidP="00F12D9E">
            <w:pPr>
              <w:pStyle w:val="TableText"/>
            </w:pPr>
          </w:p>
        </w:tc>
        <w:tc>
          <w:tcPr>
            <w:tcW w:w="2478" w:type="dxa"/>
            <w:gridSpan w:val="3"/>
            <w:noWrap/>
            <w:hideMark/>
          </w:tcPr>
          <w:p w:rsidR="00D060FC" w:rsidRPr="005B0796" w:rsidRDefault="00D060FC" w:rsidP="00F12D9E">
            <w:pPr>
              <w:pStyle w:val="TableText"/>
              <w:jc w:val="center"/>
            </w:pPr>
            <w:r w:rsidRPr="005B0796">
              <w:t xml:space="preserve">No </w:t>
            </w:r>
            <w:r w:rsidRPr="005B0796">
              <w:br/>
              <w:t>(n = 15,605)</w:t>
            </w:r>
          </w:p>
        </w:tc>
        <w:tc>
          <w:tcPr>
            <w:tcW w:w="2479" w:type="dxa"/>
            <w:gridSpan w:val="3"/>
            <w:noWrap/>
            <w:hideMark/>
          </w:tcPr>
          <w:p w:rsidR="00D060FC" w:rsidRPr="005B0796" w:rsidRDefault="00D060FC" w:rsidP="00F12D9E">
            <w:pPr>
              <w:pStyle w:val="TableText"/>
              <w:jc w:val="center"/>
            </w:pPr>
            <w:r w:rsidRPr="005B0796">
              <w:t xml:space="preserve">Yes </w:t>
            </w:r>
            <w:r w:rsidRPr="005B0796">
              <w:br/>
              <w:t>(n = 8774)</w:t>
            </w:r>
          </w:p>
        </w:tc>
      </w:tr>
      <w:tr w:rsidR="00D060FC" w:rsidRPr="005B0796" w:rsidTr="00F12D9E">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tcBorders>
            <w:noWrap/>
            <w:hideMark/>
          </w:tcPr>
          <w:p w:rsidR="00D060FC" w:rsidRPr="005B0796" w:rsidRDefault="00F12D9E" w:rsidP="00F12D9E">
            <w:pPr>
              <w:pStyle w:val="TableText"/>
            </w:pPr>
            <w:r w:rsidRPr="005B0796">
              <w:t>ICD-10 anxiety disorder</w:t>
            </w:r>
          </w:p>
        </w:tc>
        <w:tc>
          <w:tcPr>
            <w:tcW w:w="826" w:type="dxa"/>
            <w:noWrap/>
            <w:hideMark/>
          </w:tcPr>
          <w:p w:rsidR="00D060FC" w:rsidRPr="005B0796" w:rsidRDefault="00D060FC" w:rsidP="00F12D9E">
            <w:pPr>
              <w:pStyle w:val="TableText"/>
              <w:jc w:val="right"/>
            </w:pPr>
            <w:r w:rsidRPr="005B0796">
              <w:t>Weighted n</w:t>
            </w:r>
          </w:p>
        </w:tc>
        <w:tc>
          <w:tcPr>
            <w:tcW w:w="826" w:type="dxa"/>
            <w:hideMark/>
          </w:tcPr>
          <w:p w:rsidR="00D060FC" w:rsidRPr="005B0796" w:rsidRDefault="00D060FC" w:rsidP="00F12D9E">
            <w:pPr>
              <w:pStyle w:val="TableText"/>
              <w:jc w:val="right"/>
            </w:pPr>
            <w:r w:rsidRPr="005B0796">
              <w:t>%</w:t>
            </w:r>
          </w:p>
        </w:tc>
        <w:tc>
          <w:tcPr>
            <w:tcW w:w="826" w:type="dxa"/>
            <w:hideMark/>
          </w:tcPr>
          <w:p w:rsidR="00D060FC" w:rsidRPr="005B0796" w:rsidRDefault="00D060FC" w:rsidP="00F12D9E">
            <w:pPr>
              <w:pStyle w:val="TableText"/>
              <w:jc w:val="right"/>
            </w:pPr>
            <w:r w:rsidRPr="005B0796">
              <w:t>95% CI</w:t>
            </w:r>
          </w:p>
        </w:tc>
        <w:tc>
          <w:tcPr>
            <w:tcW w:w="826" w:type="dxa"/>
            <w:noWrap/>
            <w:hideMark/>
          </w:tcPr>
          <w:p w:rsidR="00D060FC" w:rsidRPr="005B0796" w:rsidRDefault="00D060FC" w:rsidP="00F12D9E">
            <w:pPr>
              <w:pStyle w:val="TableText"/>
              <w:jc w:val="right"/>
            </w:pPr>
            <w:r w:rsidRPr="005B0796">
              <w:t>Weighted n</w:t>
            </w:r>
          </w:p>
        </w:tc>
        <w:tc>
          <w:tcPr>
            <w:tcW w:w="826" w:type="dxa"/>
            <w:hideMark/>
          </w:tcPr>
          <w:p w:rsidR="00D060FC" w:rsidRPr="005B0796" w:rsidRDefault="00D060FC" w:rsidP="00F12D9E">
            <w:pPr>
              <w:pStyle w:val="TableText"/>
              <w:jc w:val="right"/>
            </w:pPr>
            <w:r w:rsidRPr="005B0796">
              <w:t>%</w:t>
            </w:r>
          </w:p>
        </w:tc>
        <w:tc>
          <w:tcPr>
            <w:tcW w:w="827" w:type="dxa"/>
            <w:hideMark/>
          </w:tcPr>
          <w:p w:rsidR="00D060FC" w:rsidRPr="005B0796" w:rsidRDefault="00D060FC" w:rsidP="00F12D9E">
            <w:pPr>
              <w:pStyle w:val="TableText"/>
              <w:jc w:val="right"/>
            </w:pPr>
            <w:r w:rsidRPr="005B0796">
              <w:t>95% CI</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358" w:type="dxa"/>
            <w:noWrap/>
            <w:hideMark/>
          </w:tcPr>
          <w:p w:rsidR="00D060FC" w:rsidRPr="005B0796" w:rsidRDefault="00D060FC" w:rsidP="00F12D9E">
            <w:pPr>
              <w:pStyle w:val="TableText"/>
              <w:rPr>
                <w:color w:val="000000" w:themeColor="text1"/>
                <w:lang w:eastAsia="en-AU"/>
              </w:rPr>
            </w:pPr>
            <w:r w:rsidRPr="005B0796">
              <w:rPr>
                <w:color w:val="000000" w:themeColor="text1"/>
                <w:lang w:eastAsia="en-AU"/>
              </w:rPr>
              <w:t>Panic attack</w:t>
            </w:r>
            <w:r w:rsidRPr="005B0796">
              <w:rPr>
                <w:color w:val="000000" w:themeColor="text1"/>
                <w:vertAlign w:val="superscript"/>
                <w:lang w:eastAsia="en-AU"/>
              </w:rPr>
              <w:t>a</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1389</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8.9</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5.2, 14.6</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1851</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21.1</w:t>
            </w:r>
          </w:p>
        </w:tc>
        <w:tc>
          <w:tcPr>
            <w:tcW w:w="827"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16.5, 26.5</w:t>
            </w:r>
          </w:p>
        </w:tc>
      </w:tr>
      <w:tr w:rsidR="00D060FC" w:rsidRPr="005B0796" w:rsidTr="00F12D9E">
        <w:tc>
          <w:tcPr>
            <w:tcW w:w="2358" w:type="dxa"/>
            <w:noWrap/>
            <w:hideMark/>
          </w:tcPr>
          <w:p w:rsidR="00D060FC" w:rsidRPr="005B0796" w:rsidRDefault="00D060FC" w:rsidP="00F12D9E">
            <w:pPr>
              <w:pStyle w:val="TableText"/>
              <w:rPr>
                <w:lang w:eastAsia="en-AU"/>
              </w:rPr>
            </w:pPr>
            <w:r w:rsidRPr="005B0796">
              <w:rPr>
                <w:lang w:eastAsia="en-AU"/>
              </w:rPr>
              <w:t>Panic disorder</w:t>
            </w:r>
          </w:p>
        </w:tc>
        <w:tc>
          <w:tcPr>
            <w:tcW w:w="826" w:type="dxa"/>
            <w:noWrap/>
            <w:hideMark/>
          </w:tcPr>
          <w:p w:rsidR="00D060FC" w:rsidRPr="005B0796" w:rsidRDefault="00D060FC" w:rsidP="00F12D9E">
            <w:pPr>
              <w:pStyle w:val="TableText"/>
              <w:jc w:val="right"/>
              <w:rPr>
                <w:lang w:eastAsia="en-AU"/>
              </w:rPr>
            </w:pPr>
            <w:r w:rsidRPr="005B0796">
              <w:rPr>
                <w:lang w:eastAsia="en-AU"/>
              </w:rPr>
              <w:t>562</w:t>
            </w:r>
          </w:p>
        </w:tc>
        <w:tc>
          <w:tcPr>
            <w:tcW w:w="826" w:type="dxa"/>
            <w:hideMark/>
          </w:tcPr>
          <w:p w:rsidR="00D060FC" w:rsidRPr="005B0796" w:rsidRDefault="00D060FC" w:rsidP="00F12D9E">
            <w:pPr>
              <w:pStyle w:val="TableText"/>
              <w:jc w:val="right"/>
              <w:rPr>
                <w:lang w:eastAsia="en-AU"/>
              </w:rPr>
            </w:pPr>
            <w:r w:rsidRPr="005B0796">
              <w:rPr>
                <w:lang w:eastAsia="en-AU"/>
              </w:rPr>
              <w:t>3.6</w:t>
            </w:r>
          </w:p>
        </w:tc>
        <w:tc>
          <w:tcPr>
            <w:tcW w:w="826" w:type="dxa"/>
            <w:hideMark/>
          </w:tcPr>
          <w:p w:rsidR="00D060FC" w:rsidRPr="005B0796" w:rsidRDefault="00D060FC" w:rsidP="00F12D9E">
            <w:pPr>
              <w:pStyle w:val="TableText"/>
              <w:jc w:val="right"/>
              <w:rPr>
                <w:lang w:eastAsia="en-AU"/>
              </w:rPr>
            </w:pPr>
            <w:r w:rsidRPr="005B0796">
              <w:rPr>
                <w:lang w:eastAsia="en-AU"/>
              </w:rPr>
              <w:t>1.7, 7.5</w:t>
            </w:r>
          </w:p>
        </w:tc>
        <w:tc>
          <w:tcPr>
            <w:tcW w:w="826" w:type="dxa"/>
            <w:noWrap/>
            <w:hideMark/>
          </w:tcPr>
          <w:p w:rsidR="00D060FC" w:rsidRPr="005B0796" w:rsidRDefault="00D060FC" w:rsidP="00F12D9E">
            <w:pPr>
              <w:pStyle w:val="TableText"/>
              <w:jc w:val="right"/>
              <w:rPr>
                <w:lang w:eastAsia="en-AU"/>
              </w:rPr>
            </w:pPr>
            <w:r w:rsidRPr="005B0796">
              <w:rPr>
                <w:lang w:eastAsia="en-AU"/>
              </w:rPr>
              <w:t>579</w:t>
            </w:r>
          </w:p>
        </w:tc>
        <w:tc>
          <w:tcPr>
            <w:tcW w:w="826" w:type="dxa"/>
            <w:hideMark/>
          </w:tcPr>
          <w:p w:rsidR="00D060FC" w:rsidRPr="005B0796" w:rsidRDefault="00D060FC" w:rsidP="00F12D9E">
            <w:pPr>
              <w:pStyle w:val="TableText"/>
              <w:jc w:val="right"/>
              <w:rPr>
                <w:lang w:eastAsia="en-AU"/>
              </w:rPr>
            </w:pPr>
            <w:r w:rsidRPr="005B0796">
              <w:rPr>
                <w:lang w:eastAsia="en-AU"/>
              </w:rPr>
              <w:t>6.6</w:t>
            </w:r>
          </w:p>
        </w:tc>
        <w:tc>
          <w:tcPr>
            <w:tcW w:w="827" w:type="dxa"/>
            <w:hideMark/>
          </w:tcPr>
          <w:p w:rsidR="00D060FC" w:rsidRPr="005B0796" w:rsidRDefault="00D060FC" w:rsidP="00F12D9E">
            <w:pPr>
              <w:pStyle w:val="TableText"/>
              <w:jc w:val="right"/>
              <w:rPr>
                <w:lang w:eastAsia="en-AU"/>
              </w:rPr>
            </w:pPr>
            <w:r w:rsidRPr="005B0796">
              <w:rPr>
                <w:lang w:eastAsia="en-AU"/>
              </w:rPr>
              <w:t>4.0, 10.7</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358" w:type="dxa"/>
            <w:noWrap/>
            <w:hideMark/>
          </w:tcPr>
          <w:p w:rsidR="00D060FC" w:rsidRPr="005B0796" w:rsidRDefault="00D060FC" w:rsidP="00F12D9E">
            <w:pPr>
              <w:pStyle w:val="TableText"/>
              <w:rPr>
                <w:color w:val="000000" w:themeColor="text1"/>
                <w:lang w:eastAsia="en-AU"/>
              </w:rPr>
            </w:pPr>
            <w:r w:rsidRPr="005B0796">
              <w:rPr>
                <w:color w:val="000000" w:themeColor="text1"/>
                <w:lang w:eastAsia="en-AU"/>
              </w:rPr>
              <w:t>Agoraphobia</w:t>
            </w:r>
            <w:r w:rsidRPr="005B0796">
              <w:rPr>
                <w:color w:val="000000" w:themeColor="text1"/>
                <w:vertAlign w:val="superscript"/>
                <w:lang w:eastAsia="en-AU"/>
              </w:rPr>
              <w:t>b</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749</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4.8</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2.4, 9.2</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1509</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17.2</w:t>
            </w:r>
          </w:p>
        </w:tc>
        <w:tc>
          <w:tcPr>
            <w:tcW w:w="827"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12.8, 22.6</w:t>
            </w:r>
          </w:p>
        </w:tc>
      </w:tr>
      <w:tr w:rsidR="00D060FC" w:rsidRPr="005B0796" w:rsidTr="00F12D9E">
        <w:tc>
          <w:tcPr>
            <w:tcW w:w="2358" w:type="dxa"/>
            <w:noWrap/>
            <w:hideMark/>
          </w:tcPr>
          <w:p w:rsidR="00D060FC" w:rsidRPr="005B0796" w:rsidRDefault="00D060FC" w:rsidP="00F12D9E">
            <w:pPr>
              <w:pStyle w:val="TableText"/>
              <w:rPr>
                <w:lang w:eastAsia="en-AU"/>
              </w:rPr>
            </w:pPr>
            <w:r w:rsidRPr="005B0796">
              <w:rPr>
                <w:lang w:eastAsia="en-AU"/>
              </w:rPr>
              <w:t>Social phobia</w:t>
            </w:r>
            <w:r w:rsidRPr="005B0796">
              <w:rPr>
                <w:vertAlign w:val="superscript"/>
                <w:lang w:eastAsia="en-AU"/>
              </w:rPr>
              <w:t>c</w:t>
            </w:r>
          </w:p>
        </w:tc>
        <w:tc>
          <w:tcPr>
            <w:tcW w:w="826" w:type="dxa"/>
            <w:noWrap/>
            <w:hideMark/>
          </w:tcPr>
          <w:p w:rsidR="00D060FC" w:rsidRPr="005B0796" w:rsidRDefault="00D060FC" w:rsidP="00F12D9E">
            <w:pPr>
              <w:pStyle w:val="TableText"/>
              <w:jc w:val="right"/>
              <w:rPr>
                <w:lang w:eastAsia="en-AU"/>
              </w:rPr>
            </w:pPr>
            <w:r w:rsidRPr="005B0796">
              <w:rPr>
                <w:lang w:eastAsia="en-AU"/>
              </w:rPr>
              <w:t>640</w:t>
            </w:r>
          </w:p>
        </w:tc>
        <w:tc>
          <w:tcPr>
            <w:tcW w:w="826" w:type="dxa"/>
            <w:hideMark/>
          </w:tcPr>
          <w:p w:rsidR="00D060FC" w:rsidRPr="005B0796" w:rsidRDefault="00D060FC" w:rsidP="00F12D9E">
            <w:pPr>
              <w:pStyle w:val="TableText"/>
              <w:jc w:val="right"/>
              <w:rPr>
                <w:lang w:eastAsia="en-AU"/>
              </w:rPr>
            </w:pPr>
            <w:r w:rsidRPr="005B0796">
              <w:rPr>
                <w:lang w:eastAsia="en-AU"/>
              </w:rPr>
              <w:t>4.1</w:t>
            </w:r>
          </w:p>
        </w:tc>
        <w:tc>
          <w:tcPr>
            <w:tcW w:w="826" w:type="dxa"/>
            <w:hideMark/>
          </w:tcPr>
          <w:p w:rsidR="00D060FC" w:rsidRPr="005B0796" w:rsidRDefault="00D060FC" w:rsidP="00F12D9E">
            <w:pPr>
              <w:pStyle w:val="TableText"/>
              <w:jc w:val="right"/>
              <w:rPr>
                <w:lang w:eastAsia="en-AU"/>
              </w:rPr>
            </w:pPr>
            <w:r w:rsidRPr="005B0796">
              <w:rPr>
                <w:lang w:eastAsia="en-AU"/>
              </w:rPr>
              <w:t>1.8, 9.3</w:t>
            </w:r>
          </w:p>
        </w:tc>
        <w:tc>
          <w:tcPr>
            <w:tcW w:w="826" w:type="dxa"/>
            <w:noWrap/>
            <w:hideMark/>
          </w:tcPr>
          <w:p w:rsidR="00D060FC" w:rsidRPr="005B0796" w:rsidRDefault="00D060FC" w:rsidP="00F12D9E">
            <w:pPr>
              <w:pStyle w:val="TableText"/>
              <w:jc w:val="right"/>
              <w:rPr>
                <w:lang w:eastAsia="en-AU"/>
              </w:rPr>
            </w:pPr>
            <w:r w:rsidRPr="005B0796">
              <w:rPr>
                <w:lang w:eastAsia="en-AU"/>
              </w:rPr>
              <w:t>1211</w:t>
            </w:r>
          </w:p>
        </w:tc>
        <w:tc>
          <w:tcPr>
            <w:tcW w:w="826" w:type="dxa"/>
            <w:hideMark/>
          </w:tcPr>
          <w:p w:rsidR="00D060FC" w:rsidRPr="005B0796" w:rsidRDefault="00D060FC" w:rsidP="00F12D9E">
            <w:pPr>
              <w:pStyle w:val="TableText"/>
              <w:jc w:val="right"/>
              <w:rPr>
                <w:lang w:eastAsia="en-AU"/>
              </w:rPr>
            </w:pPr>
            <w:r w:rsidRPr="005B0796">
              <w:rPr>
                <w:lang w:eastAsia="en-AU"/>
              </w:rPr>
              <w:t>13.8</w:t>
            </w:r>
          </w:p>
        </w:tc>
        <w:tc>
          <w:tcPr>
            <w:tcW w:w="827" w:type="dxa"/>
            <w:hideMark/>
          </w:tcPr>
          <w:p w:rsidR="00D060FC" w:rsidRPr="005B0796" w:rsidRDefault="00D060FC" w:rsidP="00F12D9E">
            <w:pPr>
              <w:pStyle w:val="TableText"/>
              <w:jc w:val="right"/>
              <w:rPr>
                <w:lang w:eastAsia="en-AU"/>
              </w:rPr>
            </w:pPr>
            <w:r w:rsidRPr="005B0796">
              <w:rPr>
                <w:lang w:eastAsia="en-AU"/>
              </w:rPr>
              <w:t>9.9, 18.9</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358" w:type="dxa"/>
            <w:noWrap/>
            <w:hideMark/>
          </w:tcPr>
          <w:p w:rsidR="00D060FC" w:rsidRPr="005B0796" w:rsidRDefault="00D060FC" w:rsidP="00F12D9E">
            <w:pPr>
              <w:pStyle w:val="TableText"/>
              <w:rPr>
                <w:color w:val="000000" w:themeColor="text1"/>
                <w:lang w:eastAsia="en-AU"/>
              </w:rPr>
            </w:pPr>
            <w:r w:rsidRPr="005B0796">
              <w:rPr>
                <w:color w:val="000000" w:themeColor="text1"/>
                <w:lang w:eastAsia="en-AU"/>
              </w:rPr>
              <w:t>Specific phobia</w:t>
            </w:r>
            <w:r w:rsidRPr="005B0796">
              <w:rPr>
                <w:color w:val="000000" w:themeColor="text1"/>
                <w:vertAlign w:val="superscript"/>
                <w:lang w:eastAsia="en-AU"/>
              </w:rPr>
              <w:t>d</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484</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3.1</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1.5, 6.1</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956</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10.9</w:t>
            </w:r>
          </w:p>
        </w:tc>
        <w:tc>
          <w:tcPr>
            <w:tcW w:w="827"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7.9, 14.9</w:t>
            </w:r>
          </w:p>
        </w:tc>
      </w:tr>
      <w:tr w:rsidR="00D060FC" w:rsidRPr="005B0796" w:rsidTr="00F12D9E">
        <w:tc>
          <w:tcPr>
            <w:tcW w:w="2358" w:type="dxa"/>
            <w:noWrap/>
            <w:hideMark/>
          </w:tcPr>
          <w:p w:rsidR="00D060FC" w:rsidRPr="005B0796" w:rsidRDefault="00D060FC" w:rsidP="00F12D9E">
            <w:pPr>
              <w:pStyle w:val="TableText"/>
              <w:rPr>
                <w:lang w:eastAsia="en-AU"/>
              </w:rPr>
            </w:pPr>
            <w:r w:rsidRPr="005B0796">
              <w:rPr>
                <w:lang w:eastAsia="en-AU"/>
              </w:rPr>
              <w:t>Generalised anxiety disorder</w:t>
            </w:r>
            <w:r w:rsidRPr="005B0796">
              <w:rPr>
                <w:vertAlign w:val="superscript"/>
                <w:lang w:eastAsia="en-AU"/>
              </w:rPr>
              <w:t>e</w:t>
            </w:r>
          </w:p>
        </w:tc>
        <w:tc>
          <w:tcPr>
            <w:tcW w:w="826" w:type="dxa"/>
            <w:noWrap/>
            <w:hideMark/>
          </w:tcPr>
          <w:p w:rsidR="00D060FC" w:rsidRPr="005B0796" w:rsidRDefault="00D060FC" w:rsidP="00F12D9E">
            <w:pPr>
              <w:pStyle w:val="TableText"/>
              <w:jc w:val="right"/>
              <w:rPr>
                <w:lang w:eastAsia="en-AU"/>
              </w:rPr>
            </w:pPr>
            <w:r w:rsidRPr="005B0796">
              <w:rPr>
                <w:lang w:eastAsia="en-AU"/>
              </w:rPr>
              <w:t>78</w:t>
            </w:r>
          </w:p>
        </w:tc>
        <w:tc>
          <w:tcPr>
            <w:tcW w:w="826" w:type="dxa"/>
            <w:hideMark/>
          </w:tcPr>
          <w:p w:rsidR="00D060FC" w:rsidRPr="005B0796" w:rsidRDefault="00D060FC" w:rsidP="00F12D9E">
            <w:pPr>
              <w:pStyle w:val="TableText"/>
              <w:jc w:val="right"/>
              <w:rPr>
                <w:lang w:eastAsia="en-AU"/>
              </w:rPr>
            </w:pPr>
            <w:r w:rsidRPr="005B0796">
              <w:rPr>
                <w:lang w:eastAsia="en-AU"/>
              </w:rPr>
              <w:t>0.5</w:t>
            </w:r>
          </w:p>
        </w:tc>
        <w:tc>
          <w:tcPr>
            <w:tcW w:w="826" w:type="dxa"/>
            <w:hideMark/>
          </w:tcPr>
          <w:p w:rsidR="00D060FC" w:rsidRPr="005B0796" w:rsidRDefault="00D060FC" w:rsidP="00F12D9E">
            <w:pPr>
              <w:pStyle w:val="TableText"/>
              <w:jc w:val="right"/>
              <w:rPr>
                <w:lang w:eastAsia="en-AU"/>
              </w:rPr>
            </w:pPr>
            <w:r w:rsidRPr="005B0796">
              <w:rPr>
                <w:lang w:eastAsia="en-AU"/>
              </w:rPr>
              <w:t>0.2, 1.3</w:t>
            </w:r>
          </w:p>
        </w:tc>
        <w:tc>
          <w:tcPr>
            <w:tcW w:w="826" w:type="dxa"/>
            <w:noWrap/>
            <w:hideMark/>
          </w:tcPr>
          <w:p w:rsidR="00D060FC" w:rsidRPr="005B0796" w:rsidRDefault="00D060FC" w:rsidP="00F12D9E">
            <w:pPr>
              <w:pStyle w:val="TableText"/>
              <w:jc w:val="right"/>
              <w:rPr>
                <w:lang w:eastAsia="en-AU"/>
              </w:rPr>
            </w:pPr>
            <w:r w:rsidRPr="005B0796">
              <w:rPr>
                <w:lang w:eastAsia="en-AU"/>
              </w:rPr>
              <w:t>509</w:t>
            </w:r>
          </w:p>
        </w:tc>
        <w:tc>
          <w:tcPr>
            <w:tcW w:w="826" w:type="dxa"/>
            <w:hideMark/>
          </w:tcPr>
          <w:p w:rsidR="00D060FC" w:rsidRPr="005B0796" w:rsidRDefault="00D060FC" w:rsidP="00F12D9E">
            <w:pPr>
              <w:pStyle w:val="TableText"/>
              <w:jc w:val="right"/>
              <w:rPr>
                <w:lang w:eastAsia="en-AU"/>
              </w:rPr>
            </w:pPr>
            <w:r w:rsidRPr="005B0796">
              <w:rPr>
                <w:lang w:eastAsia="en-AU"/>
              </w:rPr>
              <w:t>5.8</w:t>
            </w:r>
          </w:p>
        </w:tc>
        <w:tc>
          <w:tcPr>
            <w:tcW w:w="827" w:type="dxa"/>
            <w:hideMark/>
          </w:tcPr>
          <w:p w:rsidR="00D060FC" w:rsidRPr="005B0796" w:rsidRDefault="00D060FC" w:rsidP="00F12D9E">
            <w:pPr>
              <w:pStyle w:val="TableText"/>
              <w:jc w:val="right"/>
              <w:rPr>
                <w:lang w:eastAsia="en-AU"/>
              </w:rPr>
            </w:pPr>
            <w:r w:rsidRPr="005B0796">
              <w:rPr>
                <w:lang w:eastAsia="en-AU"/>
              </w:rPr>
              <w:t>3.4, 9.7</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358" w:type="dxa"/>
            <w:noWrap/>
            <w:hideMark/>
          </w:tcPr>
          <w:p w:rsidR="00D060FC" w:rsidRPr="005B0796" w:rsidRDefault="00D060FC" w:rsidP="00F12D9E">
            <w:pPr>
              <w:pStyle w:val="TableText"/>
              <w:rPr>
                <w:color w:val="000000" w:themeColor="text1"/>
                <w:lang w:eastAsia="en-AU"/>
              </w:rPr>
            </w:pPr>
            <w:r w:rsidRPr="005B0796">
              <w:rPr>
                <w:color w:val="000000" w:themeColor="text1"/>
                <w:lang w:eastAsia="en-AU"/>
              </w:rPr>
              <w:t>Obsessive-compulsive disorder</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281</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1.8</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0.6, 5.3</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430</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4.9</w:t>
            </w:r>
          </w:p>
        </w:tc>
        <w:tc>
          <w:tcPr>
            <w:tcW w:w="827"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2.8, 8.4</w:t>
            </w:r>
          </w:p>
        </w:tc>
      </w:tr>
      <w:tr w:rsidR="00D060FC" w:rsidRPr="005B0796" w:rsidTr="00F12D9E">
        <w:tc>
          <w:tcPr>
            <w:tcW w:w="2358" w:type="dxa"/>
            <w:noWrap/>
            <w:hideMark/>
          </w:tcPr>
          <w:p w:rsidR="00D060FC" w:rsidRPr="005B0796" w:rsidRDefault="00D060FC" w:rsidP="00F12D9E">
            <w:pPr>
              <w:pStyle w:val="TableText"/>
              <w:rPr>
                <w:lang w:eastAsia="en-AU"/>
              </w:rPr>
            </w:pPr>
            <w:r w:rsidRPr="005B0796">
              <w:rPr>
                <w:lang w:eastAsia="en-AU"/>
              </w:rPr>
              <w:t>Posttraumatic stress disorder</w:t>
            </w:r>
            <w:r w:rsidRPr="005B0796">
              <w:rPr>
                <w:vertAlign w:val="superscript"/>
                <w:lang w:eastAsia="en-AU"/>
              </w:rPr>
              <w:t>f</w:t>
            </w:r>
          </w:p>
        </w:tc>
        <w:tc>
          <w:tcPr>
            <w:tcW w:w="826" w:type="dxa"/>
            <w:noWrap/>
            <w:hideMark/>
          </w:tcPr>
          <w:p w:rsidR="00D060FC" w:rsidRPr="005B0796" w:rsidRDefault="00D060FC" w:rsidP="00F12D9E">
            <w:pPr>
              <w:pStyle w:val="TableText"/>
              <w:jc w:val="right"/>
              <w:rPr>
                <w:lang w:eastAsia="en-AU"/>
              </w:rPr>
            </w:pPr>
            <w:r w:rsidRPr="005B0796">
              <w:rPr>
                <w:lang w:eastAsia="en-AU"/>
              </w:rPr>
              <w:t>1326</w:t>
            </w:r>
          </w:p>
        </w:tc>
        <w:tc>
          <w:tcPr>
            <w:tcW w:w="826" w:type="dxa"/>
            <w:hideMark/>
          </w:tcPr>
          <w:p w:rsidR="00D060FC" w:rsidRPr="005B0796" w:rsidRDefault="00D060FC" w:rsidP="00F12D9E">
            <w:pPr>
              <w:pStyle w:val="TableText"/>
              <w:jc w:val="right"/>
              <w:rPr>
                <w:lang w:eastAsia="en-AU"/>
              </w:rPr>
            </w:pPr>
            <w:r w:rsidRPr="005B0796">
              <w:rPr>
                <w:lang w:eastAsia="en-AU"/>
              </w:rPr>
              <w:t>8.5</w:t>
            </w:r>
          </w:p>
        </w:tc>
        <w:tc>
          <w:tcPr>
            <w:tcW w:w="826" w:type="dxa"/>
            <w:hideMark/>
          </w:tcPr>
          <w:p w:rsidR="00D060FC" w:rsidRPr="005B0796" w:rsidRDefault="00D060FC" w:rsidP="00F12D9E">
            <w:pPr>
              <w:pStyle w:val="TableText"/>
              <w:jc w:val="right"/>
              <w:rPr>
                <w:lang w:eastAsia="en-AU"/>
              </w:rPr>
            </w:pPr>
            <w:r w:rsidRPr="005B0796">
              <w:rPr>
                <w:lang w:eastAsia="en-AU"/>
              </w:rPr>
              <w:t>5.0, 14.1</w:t>
            </w:r>
          </w:p>
        </w:tc>
        <w:tc>
          <w:tcPr>
            <w:tcW w:w="826" w:type="dxa"/>
            <w:noWrap/>
            <w:hideMark/>
          </w:tcPr>
          <w:p w:rsidR="00D060FC" w:rsidRPr="005B0796" w:rsidRDefault="00D060FC" w:rsidP="00F12D9E">
            <w:pPr>
              <w:pStyle w:val="TableText"/>
              <w:jc w:val="right"/>
              <w:rPr>
                <w:lang w:eastAsia="en-AU"/>
              </w:rPr>
            </w:pPr>
            <w:r w:rsidRPr="005B0796">
              <w:rPr>
                <w:lang w:eastAsia="en-AU"/>
              </w:rPr>
              <w:t>1983</w:t>
            </w:r>
          </w:p>
        </w:tc>
        <w:tc>
          <w:tcPr>
            <w:tcW w:w="826" w:type="dxa"/>
            <w:hideMark/>
          </w:tcPr>
          <w:p w:rsidR="00D060FC" w:rsidRPr="005B0796" w:rsidRDefault="00D060FC" w:rsidP="00F12D9E">
            <w:pPr>
              <w:pStyle w:val="TableText"/>
              <w:jc w:val="right"/>
              <w:rPr>
                <w:lang w:eastAsia="en-AU"/>
              </w:rPr>
            </w:pPr>
            <w:r w:rsidRPr="005B0796">
              <w:rPr>
                <w:lang w:eastAsia="en-AU"/>
              </w:rPr>
              <w:t>22.6</w:t>
            </w:r>
          </w:p>
        </w:tc>
        <w:tc>
          <w:tcPr>
            <w:tcW w:w="827" w:type="dxa"/>
            <w:hideMark/>
          </w:tcPr>
          <w:p w:rsidR="00D060FC" w:rsidRPr="005B0796" w:rsidRDefault="00D060FC" w:rsidP="00F12D9E">
            <w:pPr>
              <w:pStyle w:val="TableText"/>
              <w:jc w:val="right"/>
              <w:rPr>
                <w:lang w:eastAsia="en-AU"/>
              </w:rPr>
            </w:pPr>
            <w:r w:rsidRPr="005B0796">
              <w:rPr>
                <w:lang w:eastAsia="en-AU"/>
              </w:rPr>
              <w:t>18.0, 28.0</w:t>
            </w:r>
          </w:p>
        </w:tc>
      </w:tr>
      <w:tr w:rsidR="00D060FC" w:rsidRPr="005B0796" w:rsidTr="00F12D9E">
        <w:trPr>
          <w:cnfStyle w:val="000000100000" w:firstRow="0" w:lastRow="0" w:firstColumn="0" w:lastColumn="0" w:oddVBand="0" w:evenVBand="0" w:oddHBand="1" w:evenHBand="0" w:firstRowFirstColumn="0" w:firstRowLastColumn="0" w:lastRowFirstColumn="0" w:lastRowLastColumn="0"/>
        </w:trPr>
        <w:tc>
          <w:tcPr>
            <w:tcW w:w="2358" w:type="dxa"/>
            <w:noWrap/>
            <w:hideMark/>
          </w:tcPr>
          <w:p w:rsidR="00D060FC" w:rsidRPr="005B0796" w:rsidRDefault="00D060FC" w:rsidP="00F12D9E">
            <w:pPr>
              <w:pStyle w:val="TableText"/>
              <w:rPr>
                <w:color w:val="000000" w:themeColor="text1"/>
                <w:lang w:eastAsia="en-AU"/>
              </w:rPr>
            </w:pPr>
            <w:r w:rsidRPr="005B0796">
              <w:rPr>
                <w:color w:val="000000" w:themeColor="text1"/>
                <w:lang w:eastAsia="en-AU"/>
              </w:rPr>
              <w:t>Any anxiety disorder</w:t>
            </w:r>
            <w:r w:rsidRPr="005B0796">
              <w:rPr>
                <w:color w:val="000000" w:themeColor="text1"/>
                <w:vertAlign w:val="superscript"/>
                <w:lang w:eastAsia="en-AU"/>
              </w:rPr>
              <w:t>g</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3480</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22.3</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16.4, 29.5</w:t>
            </w:r>
          </w:p>
        </w:tc>
        <w:tc>
          <w:tcPr>
            <w:tcW w:w="826" w:type="dxa"/>
            <w:noWrap/>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3975</w:t>
            </w:r>
          </w:p>
        </w:tc>
        <w:tc>
          <w:tcPr>
            <w:tcW w:w="826"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45.3</w:t>
            </w:r>
          </w:p>
        </w:tc>
        <w:tc>
          <w:tcPr>
            <w:tcW w:w="827" w:type="dxa"/>
            <w:hideMark/>
          </w:tcPr>
          <w:p w:rsidR="00D060FC" w:rsidRPr="005B0796" w:rsidRDefault="00D060FC" w:rsidP="00F12D9E">
            <w:pPr>
              <w:pStyle w:val="TableText"/>
              <w:jc w:val="right"/>
              <w:rPr>
                <w:color w:val="000000" w:themeColor="text1"/>
                <w:lang w:eastAsia="en-AU"/>
              </w:rPr>
            </w:pPr>
            <w:r w:rsidRPr="005B0796">
              <w:rPr>
                <w:color w:val="000000" w:themeColor="text1"/>
                <w:lang w:eastAsia="en-AU"/>
              </w:rPr>
              <w:t>39.4, 51.3</w:t>
            </w:r>
          </w:p>
        </w:tc>
      </w:tr>
    </w:tbl>
    <w:p w:rsidR="00EF53A1" w:rsidRPr="005B0796" w:rsidRDefault="00EF53A1" w:rsidP="00EF53A1">
      <w:pPr>
        <w:pStyle w:val="TableNotes"/>
        <w:rPr>
          <w:color w:val="000000" w:themeColor="text1"/>
        </w:rPr>
      </w:pPr>
      <w:r w:rsidRPr="005B0796">
        <w:rPr>
          <w:color w:val="000000" w:themeColor="text1"/>
          <w:vertAlign w:val="superscript"/>
        </w:rPr>
        <w:t>a</w:t>
      </w:r>
      <w:r w:rsidRPr="005B0796">
        <w:rPr>
          <w:color w:val="000000" w:themeColor="text1"/>
        </w:rPr>
        <w:t xml:space="preserve"> DVA client vs not: </w:t>
      </w:r>
      <w:r w:rsidRPr="005B0796">
        <w:t>OR 2.9, 95% CI 1.5, 5.5</w:t>
      </w:r>
    </w:p>
    <w:p w:rsidR="00EF53A1" w:rsidRPr="005B0796" w:rsidRDefault="00EF53A1" w:rsidP="00EF53A1">
      <w:pPr>
        <w:pStyle w:val="TableNotes"/>
        <w:rPr>
          <w:color w:val="000000" w:themeColor="text1"/>
        </w:rPr>
      </w:pPr>
      <w:r w:rsidRPr="005B0796">
        <w:rPr>
          <w:color w:val="000000" w:themeColor="text1"/>
          <w:vertAlign w:val="superscript"/>
        </w:rPr>
        <w:t xml:space="preserve">b </w:t>
      </w:r>
      <w:r w:rsidRPr="005B0796">
        <w:rPr>
          <w:color w:val="000000" w:themeColor="text1"/>
        </w:rPr>
        <w:t xml:space="preserve">DVA client vs not: </w:t>
      </w:r>
      <w:r w:rsidRPr="005B0796">
        <w:t>OR 4.5, 95% CI 2.0, 10.0</w:t>
      </w:r>
    </w:p>
    <w:p w:rsidR="00EF53A1" w:rsidRPr="005B0796" w:rsidRDefault="00EF53A1" w:rsidP="00EF53A1">
      <w:pPr>
        <w:pStyle w:val="TableNotes"/>
        <w:rPr>
          <w:color w:val="000000" w:themeColor="text1"/>
        </w:rPr>
      </w:pPr>
      <w:r w:rsidRPr="005B0796">
        <w:rPr>
          <w:color w:val="000000" w:themeColor="text1"/>
          <w:vertAlign w:val="superscript"/>
        </w:rPr>
        <w:t>c</w:t>
      </w:r>
      <w:r w:rsidRPr="005B0796">
        <w:rPr>
          <w:color w:val="000000" w:themeColor="text1"/>
        </w:rPr>
        <w:t xml:space="preserve"> DVA client vs not: </w:t>
      </w:r>
      <w:r w:rsidRPr="005B0796">
        <w:t>OR 4.4, 95% CI 1.6, 11.6</w:t>
      </w:r>
    </w:p>
    <w:p w:rsidR="00EF53A1" w:rsidRPr="005B0796" w:rsidRDefault="00EF53A1" w:rsidP="00EF53A1">
      <w:pPr>
        <w:pStyle w:val="TableNotes"/>
        <w:rPr>
          <w:color w:val="000000" w:themeColor="text1"/>
        </w:rPr>
      </w:pPr>
      <w:r w:rsidRPr="005B0796">
        <w:rPr>
          <w:color w:val="000000" w:themeColor="text1"/>
          <w:vertAlign w:val="superscript"/>
        </w:rPr>
        <w:t>d</w:t>
      </w:r>
      <w:r w:rsidRPr="005B0796">
        <w:rPr>
          <w:color w:val="000000" w:themeColor="text1"/>
        </w:rPr>
        <w:t xml:space="preserve"> DVA client vs not: </w:t>
      </w:r>
      <w:r w:rsidRPr="005B0796">
        <w:t>OR 3.5, 95% CI 1.6, 7.9</w:t>
      </w:r>
      <w:r w:rsidRPr="005B0796">
        <w:rPr>
          <w:color w:val="000000" w:themeColor="text1"/>
        </w:rPr>
        <w:t xml:space="preserve"> </w:t>
      </w:r>
    </w:p>
    <w:p w:rsidR="00EF53A1" w:rsidRPr="005B0796" w:rsidRDefault="00EF53A1" w:rsidP="00EF53A1">
      <w:pPr>
        <w:pStyle w:val="TableNotes"/>
        <w:rPr>
          <w:color w:val="000000" w:themeColor="text1"/>
        </w:rPr>
      </w:pPr>
      <w:r w:rsidRPr="005B0796">
        <w:rPr>
          <w:color w:val="000000" w:themeColor="text1"/>
          <w:vertAlign w:val="superscript"/>
        </w:rPr>
        <w:t>e</w:t>
      </w:r>
      <w:r w:rsidRPr="005B0796">
        <w:rPr>
          <w:color w:val="000000" w:themeColor="text1"/>
        </w:rPr>
        <w:t xml:space="preserve"> DVA client vs not: </w:t>
      </w:r>
      <w:r w:rsidRPr="005B0796">
        <w:t>OR 12.3, 95% CI 3.8, 39.1</w:t>
      </w:r>
    </w:p>
    <w:p w:rsidR="00EF53A1" w:rsidRPr="005B0796" w:rsidRDefault="00EF53A1" w:rsidP="00EF53A1">
      <w:pPr>
        <w:pStyle w:val="TableNotes"/>
        <w:rPr>
          <w:color w:val="000000" w:themeColor="text1"/>
        </w:rPr>
      </w:pPr>
      <w:r w:rsidRPr="005B0796">
        <w:rPr>
          <w:color w:val="000000" w:themeColor="text1"/>
          <w:vertAlign w:val="superscript"/>
        </w:rPr>
        <w:t>f</w:t>
      </w:r>
      <w:r w:rsidRPr="005B0796">
        <w:rPr>
          <w:color w:val="000000" w:themeColor="text1"/>
        </w:rPr>
        <w:t xml:space="preserve"> DVA client vs not: </w:t>
      </w:r>
      <w:r w:rsidRPr="005B0796">
        <w:t>OR 3.1, 95% CI 1.6, 6.0</w:t>
      </w:r>
    </w:p>
    <w:p w:rsidR="00EF53A1" w:rsidRPr="005B0796" w:rsidRDefault="00EF53A1" w:rsidP="00EF53A1">
      <w:pPr>
        <w:pStyle w:val="TableNotes"/>
        <w:rPr>
          <w:color w:val="000000" w:themeColor="text1"/>
        </w:rPr>
      </w:pPr>
      <w:r w:rsidRPr="005B0796">
        <w:rPr>
          <w:color w:val="000000" w:themeColor="text1"/>
          <w:vertAlign w:val="superscript"/>
        </w:rPr>
        <w:t>g</w:t>
      </w:r>
      <w:r w:rsidRPr="005B0796">
        <w:rPr>
          <w:color w:val="000000" w:themeColor="text1"/>
        </w:rPr>
        <w:t xml:space="preserve"> DVA client vs not: </w:t>
      </w:r>
      <w:r w:rsidRPr="005B0796">
        <w:t>OR 3.1, 95% CI, 1.9, 4.9</w:t>
      </w:r>
    </w:p>
    <w:p w:rsidR="00EF53A1" w:rsidRPr="005B0796" w:rsidRDefault="00EF53A1" w:rsidP="00EF53A1">
      <w:pPr>
        <w:pStyle w:val="TableNotes"/>
        <w:rPr>
          <w:rFonts w:cs="Calibri"/>
          <w:bCs/>
        </w:rPr>
      </w:pPr>
      <w:r w:rsidRPr="005B0796">
        <w:rPr>
          <w:rFonts w:cs="Calibri"/>
          <w:bCs/>
        </w:rPr>
        <w:t xml:space="preserve">Note: 95% CI: 95% </w:t>
      </w:r>
      <w:r w:rsidR="00564689" w:rsidRPr="005B0796">
        <w:rPr>
          <w:rFonts w:cs="Calibri"/>
          <w:bCs/>
        </w:rPr>
        <w:t>confidence interval</w:t>
      </w:r>
    </w:p>
    <w:p w:rsidR="00EF53A1" w:rsidRPr="005B0796" w:rsidRDefault="00EF53A1" w:rsidP="00EF53A1">
      <w:pPr>
        <w:pStyle w:val="FigureName"/>
      </w:pPr>
      <w:bookmarkStart w:id="453" w:name="_Toc51190052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10</w:t>
      </w:r>
      <w:r w:rsidR="00D30A3C">
        <w:rPr>
          <w:noProof/>
        </w:rPr>
        <w:fldChar w:fldCharType="end"/>
      </w:r>
      <w:r w:rsidRPr="005B0796">
        <w:tab/>
        <w:t>Estimated prevalence of 12-month ICD-10 anxiety disorders in Transitioned ADF members, by anxiety disorder type and DVA status</w:t>
      </w:r>
      <w:bookmarkEnd w:id="453"/>
    </w:p>
    <w:tbl>
      <w:tblPr>
        <w:tblW w:w="5000" w:type="pct"/>
        <w:tblLayout w:type="fixed"/>
        <w:tblCellMar>
          <w:left w:w="115" w:type="dxa"/>
          <w:right w:w="115" w:type="dxa"/>
        </w:tblCellMar>
        <w:tblLook w:val="04A0" w:firstRow="1" w:lastRow="0" w:firstColumn="1" w:lastColumn="0" w:noHBand="0" w:noVBand="1"/>
      </w:tblPr>
      <w:tblGrid>
        <w:gridCol w:w="7329"/>
      </w:tblGrid>
      <w:tr w:rsidR="00D060FC" w:rsidRPr="005B0796" w:rsidTr="00400445">
        <w:trPr>
          <w:cantSplit/>
        </w:trPr>
        <w:tc>
          <w:tcPr>
            <w:tcW w:w="7315" w:type="dxa"/>
          </w:tcPr>
          <w:p w:rsidR="00D060FC" w:rsidRPr="005B0796" w:rsidRDefault="00D060FC" w:rsidP="0019239D">
            <w:r w:rsidRPr="005B0796">
              <w:rPr>
                <w:i/>
                <w:noProof/>
                <w:lang w:eastAsia="en-AU"/>
              </w:rPr>
              <w:drawing>
                <wp:inline distT="0" distB="0" distL="0" distR="0" wp14:anchorId="5D627373" wp14:editId="24F3E589">
                  <wp:extent cx="4581525" cy="3352800"/>
                  <wp:effectExtent l="0" t="0" r="0" b="0"/>
                  <wp:docPr id="25" name="Chart 25" descr="Figure 4.10 Estimated prevalence of 12-month ICD-10 anxiety disorders in Transitioned ADF members, by anxiety disorder type and DVA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rsidR="00EF53A1" w:rsidRPr="005B0796" w:rsidRDefault="00EF53A1" w:rsidP="00EF53A1">
      <w:pPr>
        <w:pStyle w:val="TableNotes"/>
      </w:pPr>
      <w:bookmarkStart w:id="454" w:name="_Toc482021347"/>
      <w:bookmarkStart w:id="455" w:name="_Toc482024438"/>
      <w:bookmarkStart w:id="456" w:name="_Toc487011196"/>
      <w:bookmarkStart w:id="457" w:name="_Toc305146095"/>
      <w:r w:rsidRPr="005B0796">
        <w:t>Panic attack: DVA Client vs not: OR 2.9, 95% CI 1.5, 5.5</w:t>
      </w:r>
    </w:p>
    <w:p w:rsidR="00EF53A1" w:rsidRPr="005B0796" w:rsidRDefault="00EF53A1" w:rsidP="00EF53A1">
      <w:pPr>
        <w:pStyle w:val="TableNotes"/>
      </w:pPr>
      <w:r w:rsidRPr="005B0796">
        <w:t>Agoraphobia: DVA Client vs not: OR 4.5, 95% CI 2.0, 10.0</w:t>
      </w:r>
    </w:p>
    <w:p w:rsidR="00EF53A1" w:rsidRPr="005B0796" w:rsidRDefault="00EF53A1" w:rsidP="00EF53A1">
      <w:pPr>
        <w:pStyle w:val="TableNotes"/>
      </w:pPr>
      <w:r w:rsidRPr="005B0796">
        <w:t>Social phobia: DVA Client vs not: OR 4.4, 95% CI 1.6, 11.6</w:t>
      </w:r>
    </w:p>
    <w:p w:rsidR="00EF53A1" w:rsidRPr="005B0796" w:rsidRDefault="00EF53A1" w:rsidP="00EF53A1">
      <w:pPr>
        <w:pStyle w:val="TableNotes"/>
      </w:pPr>
      <w:r w:rsidRPr="005B0796">
        <w:t>Specific phobia: DVA Client vs not: OR 3.5, 95% CI 1.6, 7.9</w:t>
      </w:r>
    </w:p>
    <w:p w:rsidR="00EF53A1" w:rsidRPr="005B0796" w:rsidRDefault="00EF53A1" w:rsidP="00EF53A1">
      <w:pPr>
        <w:pStyle w:val="TableNotes"/>
      </w:pPr>
      <w:r w:rsidRPr="005B0796">
        <w:t>Generalised anxiety disorder: DVA Client vs not: OR 12.3, 95% CI 3.8, 39.1</w:t>
      </w:r>
    </w:p>
    <w:p w:rsidR="00EF53A1" w:rsidRPr="005B0796" w:rsidRDefault="00EF53A1" w:rsidP="00EF53A1">
      <w:pPr>
        <w:pStyle w:val="TableNotes"/>
      </w:pPr>
      <w:r w:rsidRPr="005B0796">
        <w:t>Posttraumatic stress disorder: DVA Client vs not: OR 3.1, 95% CI 1.6, 6.0</w:t>
      </w:r>
    </w:p>
    <w:p w:rsidR="00EF53A1" w:rsidRPr="005B0796" w:rsidRDefault="00EF53A1" w:rsidP="00EF53A1">
      <w:pPr>
        <w:pStyle w:val="TableNotes"/>
      </w:pPr>
      <w:r w:rsidRPr="005B0796">
        <w:t>Any anxiety disorder: DVA Client v</w:t>
      </w:r>
      <w:r w:rsidR="00F6614D">
        <w:t>s not: OR 3.1, 95% CI, 1.9, 4.9</w:t>
      </w:r>
    </w:p>
    <w:p w:rsidR="00D060FC" w:rsidRPr="005B0796" w:rsidRDefault="00D060FC" w:rsidP="00400445">
      <w:pPr>
        <w:pStyle w:val="Heading3"/>
        <w:rPr>
          <w:rFonts w:eastAsia="Times New Roman" w:cs="Times New Roman"/>
        </w:rPr>
      </w:pPr>
      <w:bookmarkStart w:id="458" w:name="_Toc494449712"/>
      <w:bookmarkStart w:id="459" w:name="_Toc511900294"/>
      <w:r w:rsidRPr="005B0796">
        <w:t>Posttraumatic stress disorder</w:t>
      </w:r>
      <w:bookmarkEnd w:id="454"/>
      <w:bookmarkEnd w:id="455"/>
      <w:bookmarkEnd w:id="456"/>
      <w:bookmarkEnd w:id="458"/>
      <w:bookmarkEnd w:id="459"/>
    </w:p>
    <w:p w:rsidR="00D060FC" w:rsidRPr="005B0796" w:rsidRDefault="00D060FC" w:rsidP="00400445">
      <w:pPr>
        <w:pStyle w:val="Heading4"/>
      </w:pPr>
      <w:r w:rsidRPr="005B0796">
        <w:t>Posttraumatic stress disorder and trauma exposure</w:t>
      </w:r>
      <w:bookmarkEnd w:id="457"/>
      <w:r w:rsidRPr="005B0796">
        <w:t xml:space="preserve"> in the Transitioned ADF</w:t>
      </w:r>
    </w:p>
    <w:p w:rsidR="00D060FC" w:rsidRPr="005B0796" w:rsidRDefault="009E72D3" w:rsidP="00400445">
      <w:r w:rsidRPr="005B0796">
        <w:t xml:space="preserve">Tables 4.14 and 4.15, and Figures 4.11 and 4.12 </w:t>
      </w:r>
      <w:r w:rsidR="00D060FC" w:rsidRPr="005B0796">
        <w:t>examine the lifetime rates of trauma exposure in the Transitioned ADF as well as the proportion who develop PTSD. However, it is important to note that many individuals have had multiple trauma exposure; hence, the sum of the proportions for each trauma type exceeds 100%.</w:t>
      </w:r>
    </w:p>
    <w:p w:rsidR="00D060FC" w:rsidRPr="005B0796" w:rsidRDefault="00D060FC" w:rsidP="00400445">
      <w:r w:rsidRPr="005B0796">
        <w:t>The most common traumatic experience in Transitioned ADF was seeing someone badly injured or killed, or unexpectedly seeing a dead body, with more than half of the Transitioned ADF being exposed to this event (57.7%, 95% CI 53.3, 62.2%). Also prevalent in this population were traumas likely to occur either during military service or on deployment</w:t>
      </w:r>
      <w:r w:rsidR="00F6614D">
        <w:t>,</w:t>
      </w:r>
      <w:r w:rsidRPr="005B0796">
        <w:t xml:space="preserve"> such as being exposed to a toxic chemical which could cause harm (43.1%, 95% CI 38.3, 48.0) being in combat (41.6%, 95% CI 37.3, 46.1), being a peacekeeper in a warzone or place of ongoing terror (33.5%, 95% CI 29.7, 37.7) and seeing atrocities or carnage such as mutilated bodies (22.3%, 95% CI 18.8, 26.2). It is obvious that these traumatic events can occur contemporaneously, and therefore may not be mutually exclusive. </w:t>
      </w:r>
    </w:p>
    <w:p w:rsidR="00D060FC" w:rsidRPr="005B0796" w:rsidRDefault="00D060FC" w:rsidP="00400445">
      <w:r w:rsidRPr="005B0796">
        <w:t xml:space="preserve">Rates of non-interpersonal trauma in this population were high, with almost one in three reporting being in a life-threatening motor vehicle accident, 27.1% being exposed to a man-made disaster and 26.1% being involved in a major natural disaster. These rates may partly be accounted for by military service and humanitarian deployments. </w:t>
      </w:r>
    </w:p>
    <w:p w:rsidR="00D060FC" w:rsidRPr="005B0796" w:rsidRDefault="00D060FC" w:rsidP="00400445">
      <w:r w:rsidRPr="005B0796">
        <w:t>Finally, lifetime rates of interpersonal trauma were also high, particularly for sexual assault and rape, which were experienced by 12.9% (95%, CI 10.4, 15.9) and 5.9% (95%, CI 3.9, 8.4) of Transitioned ADF members</w:t>
      </w:r>
      <w:r w:rsidR="00F6614D" w:rsidRPr="005B0796">
        <w:t xml:space="preserve"> respectively</w:t>
      </w:r>
      <w:r w:rsidRPr="005B0796">
        <w:t xml:space="preserve">. </w:t>
      </w:r>
    </w:p>
    <w:p w:rsidR="00D060FC" w:rsidRPr="005B0796" w:rsidRDefault="00D060FC" w:rsidP="00400445">
      <w:r w:rsidRPr="005B0796">
        <w:t>Interestingly, events that are most prevalent in this population (Table 4.14) are not those most likely to result in PTSD (Table 4.15). For example, of the 57.7% of Transitioned ADF members who saw someone badly injured or killed, or unexpectedly saw a dead body, 22.6% developed PTSD. In contrast, the event most likely to lead to PTSD was an event that the participant did not want to talk about, with 41.3% of those reporting this event also meeting criteria for PTSD. This event was only experienced by 12.6% of the population</w:t>
      </w:r>
      <w:r w:rsidR="00F6614D">
        <w:t>.</w:t>
      </w:r>
      <w:r w:rsidRPr="005B0796">
        <w:t xml:space="preserve"> </w:t>
      </w:r>
      <w:r w:rsidR="00F6614D" w:rsidRPr="005B0796">
        <w:t>However</w:t>
      </w:r>
      <w:r w:rsidR="00F6614D">
        <w:t>,</w:t>
      </w:r>
      <w:r w:rsidR="00F6614D" w:rsidRPr="005B0796">
        <w:t xml:space="preserve"> </w:t>
      </w:r>
      <w:r w:rsidRPr="005B0796">
        <w:t xml:space="preserve">the fact that they did not want to talk about it is indicative that these individuals may have found this event too distressing to relive. The other three events that were associated with very high rates of PTSD were rape (38.6% of those exposed meeting criteria for PTSD) being beaten by a parent (37.9%, of those exposed meeting criteria for PTSD), and being kidnapped or held captive (35.5% of those exposed meeting criteria for PTSD). </w:t>
      </w:r>
    </w:p>
    <w:p w:rsidR="00D060FC" w:rsidRPr="005B0796" w:rsidRDefault="00D060FC" w:rsidP="00400445">
      <w:r w:rsidRPr="005B0796">
        <w:t xml:space="preserve">Injuring or killing someone either accidentally or deliberately was associated with a similar rate of lifetime PTSD of approximately 33.0%. This was followed closely by other traumatic events (29.7%, 95% CI 21.0, 40.0), seeing atrocities or carnage such as dead bodies (29.3%, 95% CI 21.7, 38.1) and combat (27.8%, 95% CI 21.6, 35.0). </w:t>
      </w:r>
    </w:p>
    <w:p w:rsidR="00D060FC" w:rsidRPr="005B0796" w:rsidRDefault="00DA779A" w:rsidP="00DA779A">
      <w:pPr>
        <w:pStyle w:val="TableName"/>
      </w:pPr>
      <w:bookmarkStart w:id="460" w:name="_Ref484519924"/>
      <w:bookmarkStart w:id="461" w:name="_Toc482023789"/>
      <w:bookmarkStart w:id="462" w:name="_Toc487014265"/>
      <w:bookmarkStart w:id="463" w:name="_Toc492995568"/>
      <w:bookmarkStart w:id="464" w:name="_Toc51190041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14</w:t>
      </w:r>
      <w:r w:rsidR="00D30A3C">
        <w:rPr>
          <w:noProof/>
        </w:rPr>
        <w:fldChar w:fldCharType="end"/>
      </w:r>
      <w:bookmarkEnd w:id="460"/>
      <w:r w:rsidRPr="005B0796">
        <w:tab/>
      </w:r>
      <w:bookmarkEnd w:id="461"/>
      <w:r w:rsidRPr="005B0796">
        <w:t>Estimated prevalence of lifetime trauma exposure in Transitioned ADF members</w:t>
      </w:r>
      <w:bookmarkEnd w:id="462"/>
      <w:bookmarkEnd w:id="463"/>
      <w:bookmarkEnd w:id="464"/>
    </w:p>
    <w:tbl>
      <w:tblPr>
        <w:tblStyle w:val="TWRPTable"/>
        <w:tblW w:w="5000" w:type="pct"/>
        <w:tblLayout w:type="fixed"/>
        <w:tblLook w:val="04A0" w:firstRow="1" w:lastRow="0" w:firstColumn="1" w:lastColumn="0" w:noHBand="0" w:noVBand="1"/>
        <w:tblDescription w:val="Table 4.14 Estimated prevalence of lifetime trauma exposure in Transitioned ADF members"/>
      </w:tblPr>
      <w:tblGrid>
        <w:gridCol w:w="4532"/>
        <w:gridCol w:w="927"/>
        <w:gridCol w:w="928"/>
        <w:gridCol w:w="928"/>
      </w:tblGrid>
      <w:tr w:rsidR="00D060FC" w:rsidRPr="005B0796" w:rsidTr="00D6629A">
        <w:trPr>
          <w:cnfStyle w:val="100000000000" w:firstRow="1" w:lastRow="0" w:firstColumn="0" w:lastColumn="0" w:oddVBand="0" w:evenVBand="0" w:oddHBand="0" w:evenHBand="0" w:firstRowFirstColumn="0" w:firstRowLastColumn="0" w:lastRowFirstColumn="0" w:lastRowLastColumn="0"/>
          <w:tblHeader/>
        </w:trPr>
        <w:tc>
          <w:tcPr>
            <w:tcW w:w="4532" w:type="dxa"/>
            <w:vMerge w:val="restart"/>
          </w:tcPr>
          <w:p w:rsidR="00D060FC" w:rsidRPr="005B0796" w:rsidRDefault="00D060FC" w:rsidP="00D6629A">
            <w:pPr>
              <w:pStyle w:val="TableText"/>
            </w:pPr>
          </w:p>
        </w:tc>
        <w:tc>
          <w:tcPr>
            <w:tcW w:w="2783" w:type="dxa"/>
            <w:gridSpan w:val="3"/>
          </w:tcPr>
          <w:p w:rsidR="00D060FC" w:rsidRPr="005B0796" w:rsidRDefault="00D060FC" w:rsidP="00D6629A">
            <w:pPr>
              <w:pStyle w:val="TableText"/>
            </w:pPr>
            <w:r w:rsidRPr="005B0796">
              <w:t>Transiti</w:t>
            </w:r>
            <w:r w:rsidR="00D6629A" w:rsidRPr="005B0796">
              <w:t>oned ADF 2015 (n = 24,932) CIDI</w:t>
            </w:r>
          </w:p>
        </w:tc>
      </w:tr>
      <w:tr w:rsidR="00D060FC" w:rsidRPr="005B0796" w:rsidTr="00D6629A">
        <w:trPr>
          <w:cnfStyle w:val="100000000000" w:firstRow="1" w:lastRow="0" w:firstColumn="0" w:lastColumn="0" w:oddVBand="0" w:evenVBand="0" w:oddHBand="0" w:evenHBand="0" w:firstRowFirstColumn="0" w:firstRowLastColumn="0" w:lastRowFirstColumn="0" w:lastRowLastColumn="0"/>
          <w:tblHeader/>
        </w:trPr>
        <w:tc>
          <w:tcPr>
            <w:tcW w:w="4532" w:type="dxa"/>
            <w:vMerge/>
            <w:hideMark/>
          </w:tcPr>
          <w:p w:rsidR="00D060FC" w:rsidRPr="005B0796" w:rsidRDefault="00D060FC" w:rsidP="00D6629A">
            <w:pPr>
              <w:pStyle w:val="TableText"/>
            </w:pPr>
          </w:p>
        </w:tc>
        <w:tc>
          <w:tcPr>
            <w:tcW w:w="927" w:type="dxa"/>
            <w:hideMark/>
          </w:tcPr>
          <w:p w:rsidR="00D060FC" w:rsidRPr="005B0796" w:rsidRDefault="00D060FC" w:rsidP="00D6629A">
            <w:pPr>
              <w:pStyle w:val="TableText"/>
              <w:jc w:val="right"/>
            </w:pPr>
            <w:r w:rsidRPr="005B0796">
              <w:t>Weighted n</w:t>
            </w:r>
          </w:p>
        </w:tc>
        <w:tc>
          <w:tcPr>
            <w:tcW w:w="928" w:type="dxa"/>
            <w:hideMark/>
          </w:tcPr>
          <w:p w:rsidR="00D060FC" w:rsidRPr="005B0796" w:rsidRDefault="00D060FC" w:rsidP="00D6629A">
            <w:pPr>
              <w:pStyle w:val="TableText"/>
              <w:jc w:val="right"/>
            </w:pPr>
            <w:r w:rsidRPr="005B0796">
              <w:t>%</w:t>
            </w:r>
          </w:p>
        </w:tc>
        <w:tc>
          <w:tcPr>
            <w:tcW w:w="928" w:type="dxa"/>
            <w:hideMark/>
          </w:tcPr>
          <w:p w:rsidR="00D060FC" w:rsidRPr="005B0796" w:rsidRDefault="00D060FC" w:rsidP="00D6629A">
            <w:pPr>
              <w:pStyle w:val="TableText"/>
              <w:jc w:val="right"/>
            </w:pPr>
            <w:r w:rsidRPr="005B0796">
              <w:t>(95% CI)</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Combat (military or organised group)</w:t>
            </w:r>
          </w:p>
        </w:tc>
        <w:tc>
          <w:tcPr>
            <w:tcW w:w="927" w:type="dxa"/>
            <w:hideMark/>
          </w:tcPr>
          <w:p w:rsidR="00D060FC" w:rsidRPr="005B0796" w:rsidRDefault="00D060FC" w:rsidP="00D6629A">
            <w:pPr>
              <w:pStyle w:val="TableText"/>
              <w:jc w:val="right"/>
            </w:pPr>
            <w:r w:rsidRPr="005B0796">
              <w:t>10,269</w:t>
            </w:r>
          </w:p>
        </w:tc>
        <w:tc>
          <w:tcPr>
            <w:tcW w:w="928" w:type="dxa"/>
            <w:hideMark/>
          </w:tcPr>
          <w:p w:rsidR="00D060FC" w:rsidRPr="005B0796" w:rsidRDefault="00D060FC" w:rsidP="00D6629A">
            <w:pPr>
              <w:pStyle w:val="TableText"/>
              <w:jc w:val="right"/>
            </w:pPr>
            <w:r w:rsidRPr="005B0796">
              <w:t>41.6</w:t>
            </w:r>
          </w:p>
        </w:tc>
        <w:tc>
          <w:tcPr>
            <w:tcW w:w="928" w:type="dxa"/>
            <w:hideMark/>
          </w:tcPr>
          <w:p w:rsidR="00D060FC" w:rsidRPr="005B0796" w:rsidRDefault="00D060FC" w:rsidP="00D6629A">
            <w:pPr>
              <w:pStyle w:val="TableText"/>
              <w:jc w:val="right"/>
            </w:pPr>
            <w:r w:rsidRPr="005B0796">
              <w:t>37.3, 46.1</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Peacekeeper (in a war zone or place of ongoing terror)</w:t>
            </w:r>
          </w:p>
        </w:tc>
        <w:tc>
          <w:tcPr>
            <w:tcW w:w="927" w:type="dxa"/>
            <w:hideMark/>
          </w:tcPr>
          <w:p w:rsidR="00D060FC" w:rsidRPr="005B0796" w:rsidRDefault="00D060FC" w:rsidP="00D6629A">
            <w:pPr>
              <w:pStyle w:val="TableText"/>
              <w:jc w:val="right"/>
            </w:pPr>
            <w:r w:rsidRPr="005B0796">
              <w:t>8274</w:t>
            </w:r>
          </w:p>
        </w:tc>
        <w:tc>
          <w:tcPr>
            <w:tcW w:w="928" w:type="dxa"/>
            <w:hideMark/>
          </w:tcPr>
          <w:p w:rsidR="00D060FC" w:rsidRPr="005B0796" w:rsidRDefault="00D060FC" w:rsidP="00D6629A">
            <w:pPr>
              <w:pStyle w:val="TableText"/>
              <w:jc w:val="right"/>
            </w:pPr>
            <w:r w:rsidRPr="005B0796">
              <w:t>33.5</w:t>
            </w:r>
          </w:p>
        </w:tc>
        <w:tc>
          <w:tcPr>
            <w:tcW w:w="928" w:type="dxa"/>
            <w:hideMark/>
          </w:tcPr>
          <w:p w:rsidR="00D060FC" w:rsidRPr="005B0796" w:rsidRDefault="00D060FC" w:rsidP="00D6629A">
            <w:pPr>
              <w:pStyle w:val="TableText"/>
              <w:jc w:val="right"/>
            </w:pPr>
            <w:r w:rsidRPr="005B0796">
              <w:t>29.7, 37.7</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Unarmed civilian (in a place or war, revolution, military coup or invasion)</w:t>
            </w:r>
          </w:p>
        </w:tc>
        <w:tc>
          <w:tcPr>
            <w:tcW w:w="927" w:type="dxa"/>
            <w:hideMark/>
          </w:tcPr>
          <w:p w:rsidR="00D060FC" w:rsidRPr="005B0796" w:rsidRDefault="00D060FC" w:rsidP="00D6629A">
            <w:pPr>
              <w:pStyle w:val="TableText"/>
              <w:jc w:val="right"/>
            </w:pPr>
            <w:r w:rsidRPr="005B0796">
              <w:t>1651</w:t>
            </w:r>
          </w:p>
        </w:tc>
        <w:tc>
          <w:tcPr>
            <w:tcW w:w="928" w:type="dxa"/>
            <w:hideMark/>
          </w:tcPr>
          <w:p w:rsidR="00D060FC" w:rsidRPr="005B0796" w:rsidRDefault="00D060FC" w:rsidP="00D6629A">
            <w:pPr>
              <w:pStyle w:val="TableText"/>
              <w:jc w:val="right"/>
            </w:pPr>
            <w:r w:rsidRPr="005B0796">
              <w:t>6.7</w:t>
            </w:r>
          </w:p>
        </w:tc>
        <w:tc>
          <w:tcPr>
            <w:tcW w:w="928" w:type="dxa"/>
            <w:hideMark/>
          </w:tcPr>
          <w:p w:rsidR="00D060FC" w:rsidRPr="005B0796" w:rsidRDefault="00D060FC" w:rsidP="00D6629A">
            <w:pPr>
              <w:pStyle w:val="TableText"/>
              <w:jc w:val="right"/>
            </w:pPr>
            <w:r w:rsidRPr="005B0796">
              <w:t>4.5, 9.8</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Lived as a civilian (in a place of ongoing terror for political, ethnic, religious or other reason)</w:t>
            </w:r>
          </w:p>
        </w:tc>
        <w:tc>
          <w:tcPr>
            <w:tcW w:w="927" w:type="dxa"/>
            <w:hideMark/>
          </w:tcPr>
          <w:p w:rsidR="00D060FC" w:rsidRPr="005B0796" w:rsidRDefault="00D060FC" w:rsidP="00D6629A">
            <w:pPr>
              <w:pStyle w:val="TableText"/>
              <w:jc w:val="right"/>
            </w:pPr>
            <w:r w:rsidRPr="005B0796">
              <w:t>863</w:t>
            </w:r>
          </w:p>
        </w:tc>
        <w:tc>
          <w:tcPr>
            <w:tcW w:w="928" w:type="dxa"/>
            <w:hideMark/>
          </w:tcPr>
          <w:p w:rsidR="00D060FC" w:rsidRPr="005B0796" w:rsidRDefault="00D060FC" w:rsidP="00D6629A">
            <w:pPr>
              <w:pStyle w:val="TableText"/>
              <w:jc w:val="right"/>
            </w:pPr>
            <w:r w:rsidRPr="005B0796">
              <w:t>3.5</w:t>
            </w:r>
          </w:p>
        </w:tc>
        <w:tc>
          <w:tcPr>
            <w:tcW w:w="928" w:type="dxa"/>
            <w:hideMark/>
          </w:tcPr>
          <w:p w:rsidR="00D060FC" w:rsidRPr="005B0796" w:rsidRDefault="00D060FC" w:rsidP="00D6629A">
            <w:pPr>
              <w:pStyle w:val="TableText"/>
              <w:jc w:val="right"/>
            </w:pPr>
            <w:r w:rsidRPr="005B0796">
              <w:t>2.3, 5.4</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Refugee</w:t>
            </w:r>
          </w:p>
        </w:tc>
        <w:tc>
          <w:tcPr>
            <w:tcW w:w="927" w:type="dxa"/>
            <w:hideMark/>
          </w:tcPr>
          <w:p w:rsidR="00D060FC" w:rsidRPr="005B0796" w:rsidRDefault="00D060FC" w:rsidP="00D6629A">
            <w:pPr>
              <w:pStyle w:val="TableText"/>
              <w:jc w:val="right"/>
            </w:pPr>
            <w:r w:rsidRPr="005B0796">
              <w:t>111</w:t>
            </w:r>
          </w:p>
        </w:tc>
        <w:tc>
          <w:tcPr>
            <w:tcW w:w="928" w:type="dxa"/>
            <w:hideMark/>
          </w:tcPr>
          <w:p w:rsidR="00D060FC" w:rsidRPr="005B0796" w:rsidRDefault="00D060FC" w:rsidP="00D6629A">
            <w:pPr>
              <w:pStyle w:val="TableText"/>
              <w:jc w:val="right"/>
            </w:pPr>
            <w:r w:rsidRPr="005B0796">
              <w:t>0.5</w:t>
            </w:r>
          </w:p>
        </w:tc>
        <w:tc>
          <w:tcPr>
            <w:tcW w:w="928" w:type="dxa"/>
            <w:hideMark/>
          </w:tcPr>
          <w:p w:rsidR="00D060FC" w:rsidRPr="005B0796" w:rsidRDefault="00D060FC" w:rsidP="00D6629A">
            <w:pPr>
              <w:pStyle w:val="TableText"/>
              <w:jc w:val="right"/>
            </w:pPr>
            <w:r w:rsidRPr="005B0796">
              <w:t>0.1, 2.4</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Kidnapped or held captive</w:t>
            </w:r>
          </w:p>
        </w:tc>
        <w:tc>
          <w:tcPr>
            <w:tcW w:w="927" w:type="dxa"/>
            <w:hideMark/>
          </w:tcPr>
          <w:p w:rsidR="00D060FC" w:rsidRPr="005B0796" w:rsidRDefault="00D060FC" w:rsidP="00D6629A">
            <w:pPr>
              <w:pStyle w:val="TableText"/>
              <w:jc w:val="right"/>
            </w:pPr>
            <w:r w:rsidRPr="005B0796">
              <w:t>191</w:t>
            </w:r>
          </w:p>
        </w:tc>
        <w:tc>
          <w:tcPr>
            <w:tcW w:w="928" w:type="dxa"/>
            <w:hideMark/>
          </w:tcPr>
          <w:p w:rsidR="00D060FC" w:rsidRPr="005B0796" w:rsidRDefault="00D060FC" w:rsidP="00D6629A">
            <w:pPr>
              <w:pStyle w:val="TableText"/>
              <w:jc w:val="right"/>
            </w:pPr>
            <w:r w:rsidRPr="005B0796">
              <w:t>0.8</w:t>
            </w:r>
          </w:p>
        </w:tc>
        <w:tc>
          <w:tcPr>
            <w:tcW w:w="928" w:type="dxa"/>
            <w:hideMark/>
          </w:tcPr>
          <w:p w:rsidR="00D060FC" w:rsidRPr="005B0796" w:rsidRDefault="00D060FC" w:rsidP="00D6629A">
            <w:pPr>
              <w:pStyle w:val="TableText"/>
              <w:jc w:val="right"/>
            </w:pPr>
            <w:r w:rsidRPr="005B0796">
              <w:t>0.5, 1.3</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Exposed to a toxic chemical that could cause harm</w:t>
            </w:r>
          </w:p>
        </w:tc>
        <w:tc>
          <w:tcPr>
            <w:tcW w:w="927" w:type="dxa"/>
            <w:hideMark/>
          </w:tcPr>
          <w:p w:rsidR="00D060FC" w:rsidRPr="005B0796" w:rsidRDefault="00D060FC" w:rsidP="00D6629A">
            <w:pPr>
              <w:pStyle w:val="TableText"/>
              <w:jc w:val="right"/>
            </w:pPr>
            <w:r w:rsidRPr="005B0796">
              <w:t>10,627</w:t>
            </w:r>
          </w:p>
        </w:tc>
        <w:tc>
          <w:tcPr>
            <w:tcW w:w="928" w:type="dxa"/>
            <w:hideMark/>
          </w:tcPr>
          <w:p w:rsidR="00D060FC" w:rsidRPr="005B0796" w:rsidRDefault="00D060FC" w:rsidP="00D6629A">
            <w:pPr>
              <w:pStyle w:val="TableText"/>
              <w:jc w:val="right"/>
            </w:pPr>
            <w:r w:rsidRPr="005B0796">
              <w:t>43.1</w:t>
            </w:r>
          </w:p>
        </w:tc>
        <w:tc>
          <w:tcPr>
            <w:tcW w:w="928" w:type="dxa"/>
            <w:hideMark/>
          </w:tcPr>
          <w:p w:rsidR="00D060FC" w:rsidRPr="005B0796" w:rsidRDefault="00D060FC" w:rsidP="00D6629A">
            <w:pPr>
              <w:pStyle w:val="TableText"/>
              <w:jc w:val="right"/>
            </w:pPr>
            <w:r w:rsidRPr="005B0796">
              <w:t>38.3, 48.0</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Life-threatening motor vehicle accident</w:t>
            </w:r>
          </w:p>
        </w:tc>
        <w:tc>
          <w:tcPr>
            <w:tcW w:w="927" w:type="dxa"/>
            <w:hideMark/>
          </w:tcPr>
          <w:p w:rsidR="00D060FC" w:rsidRPr="005B0796" w:rsidRDefault="00D060FC" w:rsidP="00D6629A">
            <w:pPr>
              <w:pStyle w:val="TableText"/>
              <w:jc w:val="right"/>
            </w:pPr>
            <w:r w:rsidRPr="005B0796">
              <w:t>7446</w:t>
            </w:r>
          </w:p>
        </w:tc>
        <w:tc>
          <w:tcPr>
            <w:tcW w:w="928" w:type="dxa"/>
            <w:hideMark/>
          </w:tcPr>
          <w:p w:rsidR="00D060FC" w:rsidRPr="005B0796" w:rsidRDefault="00D060FC" w:rsidP="00D6629A">
            <w:pPr>
              <w:pStyle w:val="TableText"/>
              <w:jc w:val="right"/>
            </w:pPr>
            <w:r w:rsidRPr="005B0796">
              <w:t>30.2</w:t>
            </w:r>
          </w:p>
        </w:tc>
        <w:tc>
          <w:tcPr>
            <w:tcW w:w="928" w:type="dxa"/>
            <w:hideMark/>
          </w:tcPr>
          <w:p w:rsidR="00D060FC" w:rsidRPr="005B0796" w:rsidRDefault="00D060FC" w:rsidP="00D6629A">
            <w:pPr>
              <w:pStyle w:val="TableText"/>
              <w:jc w:val="right"/>
            </w:pPr>
            <w:r w:rsidRPr="005B0796">
              <w:t>26.0, 34.7</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Other life-threatening accident</w:t>
            </w:r>
          </w:p>
        </w:tc>
        <w:tc>
          <w:tcPr>
            <w:tcW w:w="927" w:type="dxa"/>
            <w:hideMark/>
          </w:tcPr>
          <w:p w:rsidR="00D060FC" w:rsidRPr="005B0796" w:rsidRDefault="00D060FC" w:rsidP="00D6629A">
            <w:pPr>
              <w:pStyle w:val="TableText"/>
              <w:jc w:val="right"/>
            </w:pPr>
            <w:r w:rsidRPr="005B0796">
              <w:t>4990</w:t>
            </w:r>
          </w:p>
        </w:tc>
        <w:tc>
          <w:tcPr>
            <w:tcW w:w="928" w:type="dxa"/>
            <w:hideMark/>
          </w:tcPr>
          <w:p w:rsidR="00D060FC" w:rsidRPr="005B0796" w:rsidRDefault="00D060FC" w:rsidP="00D6629A">
            <w:pPr>
              <w:pStyle w:val="TableText"/>
              <w:jc w:val="right"/>
            </w:pPr>
            <w:r w:rsidRPr="005B0796">
              <w:t>20.2</w:t>
            </w:r>
          </w:p>
        </w:tc>
        <w:tc>
          <w:tcPr>
            <w:tcW w:w="928" w:type="dxa"/>
            <w:hideMark/>
          </w:tcPr>
          <w:p w:rsidR="00D060FC" w:rsidRPr="005B0796" w:rsidRDefault="00D060FC" w:rsidP="00D6629A">
            <w:pPr>
              <w:pStyle w:val="TableText"/>
              <w:jc w:val="right"/>
            </w:pPr>
            <w:r w:rsidRPr="005B0796">
              <w:t>16.9, 24.1</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Major natural disaster</w:t>
            </w:r>
          </w:p>
        </w:tc>
        <w:tc>
          <w:tcPr>
            <w:tcW w:w="927" w:type="dxa"/>
            <w:hideMark/>
          </w:tcPr>
          <w:p w:rsidR="00D060FC" w:rsidRPr="005B0796" w:rsidRDefault="00D060FC" w:rsidP="00D6629A">
            <w:pPr>
              <w:pStyle w:val="TableText"/>
              <w:jc w:val="right"/>
            </w:pPr>
            <w:r w:rsidRPr="005B0796">
              <w:t>6436</w:t>
            </w:r>
          </w:p>
        </w:tc>
        <w:tc>
          <w:tcPr>
            <w:tcW w:w="928" w:type="dxa"/>
            <w:hideMark/>
          </w:tcPr>
          <w:p w:rsidR="00D060FC" w:rsidRPr="005B0796" w:rsidRDefault="00D060FC" w:rsidP="00D6629A">
            <w:pPr>
              <w:pStyle w:val="TableText"/>
              <w:jc w:val="right"/>
            </w:pPr>
            <w:r w:rsidRPr="005B0796">
              <w:t>26.1</w:t>
            </w:r>
          </w:p>
        </w:tc>
        <w:tc>
          <w:tcPr>
            <w:tcW w:w="928" w:type="dxa"/>
            <w:hideMark/>
          </w:tcPr>
          <w:p w:rsidR="00D060FC" w:rsidRPr="005B0796" w:rsidRDefault="00D060FC" w:rsidP="00D6629A">
            <w:pPr>
              <w:pStyle w:val="TableText"/>
              <w:jc w:val="right"/>
            </w:pPr>
            <w:r w:rsidRPr="005B0796">
              <w:t>22.4, 30.1</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Man-made disaster</w:t>
            </w:r>
          </w:p>
        </w:tc>
        <w:tc>
          <w:tcPr>
            <w:tcW w:w="927" w:type="dxa"/>
            <w:hideMark/>
          </w:tcPr>
          <w:p w:rsidR="00D060FC" w:rsidRPr="005B0796" w:rsidRDefault="00D060FC" w:rsidP="00D6629A">
            <w:pPr>
              <w:pStyle w:val="TableText"/>
              <w:jc w:val="right"/>
            </w:pPr>
            <w:r w:rsidRPr="005B0796">
              <w:t>6684</w:t>
            </w:r>
          </w:p>
        </w:tc>
        <w:tc>
          <w:tcPr>
            <w:tcW w:w="928" w:type="dxa"/>
            <w:hideMark/>
          </w:tcPr>
          <w:p w:rsidR="00D060FC" w:rsidRPr="005B0796" w:rsidRDefault="00D060FC" w:rsidP="00D6629A">
            <w:pPr>
              <w:pStyle w:val="TableText"/>
              <w:jc w:val="right"/>
            </w:pPr>
            <w:r w:rsidRPr="005B0796">
              <w:t>27.1</w:t>
            </w:r>
          </w:p>
        </w:tc>
        <w:tc>
          <w:tcPr>
            <w:tcW w:w="928" w:type="dxa"/>
            <w:hideMark/>
          </w:tcPr>
          <w:p w:rsidR="00D060FC" w:rsidRPr="005B0796" w:rsidRDefault="00D060FC" w:rsidP="00D6629A">
            <w:pPr>
              <w:pStyle w:val="TableText"/>
              <w:jc w:val="right"/>
            </w:pPr>
            <w:r w:rsidRPr="005B0796">
              <w:t>23.1, 31.5</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Life-threatening illness</w:t>
            </w:r>
          </w:p>
        </w:tc>
        <w:tc>
          <w:tcPr>
            <w:tcW w:w="927" w:type="dxa"/>
            <w:hideMark/>
          </w:tcPr>
          <w:p w:rsidR="00D060FC" w:rsidRPr="005B0796" w:rsidRDefault="00D060FC" w:rsidP="00D6629A">
            <w:pPr>
              <w:pStyle w:val="TableText"/>
              <w:jc w:val="right"/>
            </w:pPr>
            <w:r w:rsidRPr="005B0796">
              <w:t>4069</w:t>
            </w:r>
          </w:p>
        </w:tc>
        <w:tc>
          <w:tcPr>
            <w:tcW w:w="928" w:type="dxa"/>
            <w:hideMark/>
          </w:tcPr>
          <w:p w:rsidR="00D060FC" w:rsidRPr="005B0796" w:rsidRDefault="00D060FC" w:rsidP="00D6629A">
            <w:pPr>
              <w:pStyle w:val="TableText"/>
              <w:jc w:val="right"/>
            </w:pPr>
            <w:r w:rsidRPr="005B0796">
              <w:t>16.5</w:t>
            </w:r>
          </w:p>
        </w:tc>
        <w:tc>
          <w:tcPr>
            <w:tcW w:w="928" w:type="dxa"/>
            <w:hideMark/>
          </w:tcPr>
          <w:p w:rsidR="00D060FC" w:rsidRPr="005B0796" w:rsidRDefault="00D060FC" w:rsidP="00D6629A">
            <w:pPr>
              <w:pStyle w:val="TableText"/>
              <w:jc w:val="right"/>
            </w:pPr>
            <w:r w:rsidRPr="005B0796">
              <w:t>13.6, 19.8</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Beaten by parent</w:t>
            </w:r>
          </w:p>
        </w:tc>
        <w:tc>
          <w:tcPr>
            <w:tcW w:w="927" w:type="dxa"/>
            <w:hideMark/>
          </w:tcPr>
          <w:p w:rsidR="00D060FC" w:rsidRPr="005B0796" w:rsidRDefault="00D060FC" w:rsidP="00D6629A">
            <w:pPr>
              <w:pStyle w:val="TableText"/>
              <w:jc w:val="right"/>
            </w:pPr>
            <w:r w:rsidRPr="005B0796">
              <w:t>1517</w:t>
            </w:r>
          </w:p>
        </w:tc>
        <w:tc>
          <w:tcPr>
            <w:tcW w:w="928" w:type="dxa"/>
            <w:hideMark/>
          </w:tcPr>
          <w:p w:rsidR="00D060FC" w:rsidRPr="005B0796" w:rsidRDefault="00D060FC" w:rsidP="00D6629A">
            <w:pPr>
              <w:pStyle w:val="TableText"/>
              <w:jc w:val="right"/>
            </w:pPr>
            <w:r w:rsidRPr="005B0796">
              <w:t>6.2</w:t>
            </w:r>
          </w:p>
        </w:tc>
        <w:tc>
          <w:tcPr>
            <w:tcW w:w="928" w:type="dxa"/>
            <w:hideMark/>
          </w:tcPr>
          <w:p w:rsidR="00D060FC" w:rsidRPr="005B0796" w:rsidRDefault="00D060FC" w:rsidP="00D6629A">
            <w:pPr>
              <w:pStyle w:val="TableText"/>
              <w:jc w:val="right"/>
            </w:pPr>
            <w:r w:rsidRPr="005B0796">
              <w:t>4.2, 8.9</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Beaten by spouse/romantic partner</w:t>
            </w:r>
          </w:p>
        </w:tc>
        <w:tc>
          <w:tcPr>
            <w:tcW w:w="927" w:type="dxa"/>
            <w:hideMark/>
          </w:tcPr>
          <w:p w:rsidR="00D060FC" w:rsidRPr="005B0796" w:rsidRDefault="00D060FC" w:rsidP="00D6629A">
            <w:pPr>
              <w:pStyle w:val="TableText"/>
              <w:jc w:val="right"/>
            </w:pPr>
            <w:r w:rsidRPr="005B0796">
              <w:t>893</w:t>
            </w:r>
          </w:p>
        </w:tc>
        <w:tc>
          <w:tcPr>
            <w:tcW w:w="928" w:type="dxa"/>
            <w:hideMark/>
          </w:tcPr>
          <w:p w:rsidR="00D060FC" w:rsidRPr="005B0796" w:rsidRDefault="00D060FC" w:rsidP="00D6629A">
            <w:pPr>
              <w:pStyle w:val="TableText"/>
              <w:jc w:val="right"/>
            </w:pPr>
            <w:r w:rsidRPr="005B0796">
              <w:t>3.6</w:t>
            </w:r>
          </w:p>
        </w:tc>
        <w:tc>
          <w:tcPr>
            <w:tcW w:w="928" w:type="dxa"/>
            <w:hideMark/>
          </w:tcPr>
          <w:p w:rsidR="00D060FC" w:rsidRPr="005B0796" w:rsidRDefault="00D060FC" w:rsidP="00D6629A">
            <w:pPr>
              <w:pStyle w:val="TableText"/>
              <w:jc w:val="right"/>
            </w:pPr>
            <w:r w:rsidRPr="005B0796">
              <w:t>2.2, 5.8</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Badly beaten by anyone else</w:t>
            </w:r>
          </w:p>
        </w:tc>
        <w:tc>
          <w:tcPr>
            <w:tcW w:w="927" w:type="dxa"/>
            <w:hideMark/>
          </w:tcPr>
          <w:p w:rsidR="00D060FC" w:rsidRPr="005B0796" w:rsidRDefault="00D060FC" w:rsidP="00D6629A">
            <w:pPr>
              <w:pStyle w:val="TableText"/>
              <w:jc w:val="right"/>
            </w:pPr>
            <w:r w:rsidRPr="005B0796">
              <w:t>3651</w:t>
            </w:r>
          </w:p>
        </w:tc>
        <w:tc>
          <w:tcPr>
            <w:tcW w:w="928" w:type="dxa"/>
            <w:hideMark/>
          </w:tcPr>
          <w:p w:rsidR="00D060FC" w:rsidRPr="005B0796" w:rsidRDefault="00D060FC" w:rsidP="00D6629A">
            <w:pPr>
              <w:pStyle w:val="TableText"/>
              <w:jc w:val="right"/>
            </w:pPr>
            <w:r w:rsidRPr="005B0796">
              <w:t>14.8</w:t>
            </w:r>
          </w:p>
        </w:tc>
        <w:tc>
          <w:tcPr>
            <w:tcW w:w="928" w:type="dxa"/>
            <w:hideMark/>
          </w:tcPr>
          <w:p w:rsidR="00D060FC" w:rsidRPr="005B0796" w:rsidRDefault="00D060FC" w:rsidP="00D6629A">
            <w:pPr>
              <w:pStyle w:val="TableText"/>
              <w:jc w:val="right"/>
            </w:pPr>
            <w:r w:rsidRPr="005B0796">
              <w:t>11.8, 18.5</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Mugged, held up, threatened with a weapon</w:t>
            </w:r>
          </w:p>
        </w:tc>
        <w:tc>
          <w:tcPr>
            <w:tcW w:w="927" w:type="dxa"/>
            <w:hideMark/>
          </w:tcPr>
          <w:p w:rsidR="00D060FC" w:rsidRPr="005B0796" w:rsidRDefault="00D060FC" w:rsidP="00D6629A">
            <w:pPr>
              <w:pStyle w:val="TableText"/>
              <w:jc w:val="right"/>
            </w:pPr>
            <w:r w:rsidRPr="005B0796">
              <w:t>7129</w:t>
            </w:r>
          </w:p>
        </w:tc>
        <w:tc>
          <w:tcPr>
            <w:tcW w:w="928" w:type="dxa"/>
            <w:hideMark/>
          </w:tcPr>
          <w:p w:rsidR="00D060FC" w:rsidRPr="005B0796" w:rsidRDefault="00D060FC" w:rsidP="00D6629A">
            <w:pPr>
              <w:pStyle w:val="TableText"/>
              <w:jc w:val="right"/>
            </w:pPr>
            <w:r w:rsidRPr="005B0796">
              <w:t>28.9</w:t>
            </w:r>
          </w:p>
        </w:tc>
        <w:tc>
          <w:tcPr>
            <w:tcW w:w="928" w:type="dxa"/>
            <w:hideMark/>
          </w:tcPr>
          <w:p w:rsidR="00D060FC" w:rsidRPr="005B0796" w:rsidRDefault="00D060FC" w:rsidP="00D6629A">
            <w:pPr>
              <w:pStyle w:val="TableText"/>
              <w:jc w:val="right"/>
            </w:pPr>
            <w:r w:rsidRPr="005B0796">
              <w:t>24.9, 33.3</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Raped</w:t>
            </w:r>
          </w:p>
        </w:tc>
        <w:tc>
          <w:tcPr>
            <w:tcW w:w="927" w:type="dxa"/>
            <w:hideMark/>
          </w:tcPr>
          <w:p w:rsidR="00D060FC" w:rsidRPr="005B0796" w:rsidRDefault="00D060FC" w:rsidP="00D6629A">
            <w:pPr>
              <w:pStyle w:val="TableText"/>
              <w:jc w:val="right"/>
            </w:pPr>
            <w:r w:rsidRPr="005B0796">
              <w:t>1429</w:t>
            </w:r>
          </w:p>
        </w:tc>
        <w:tc>
          <w:tcPr>
            <w:tcW w:w="928" w:type="dxa"/>
            <w:hideMark/>
          </w:tcPr>
          <w:p w:rsidR="00D060FC" w:rsidRPr="005B0796" w:rsidRDefault="00D060FC" w:rsidP="00D6629A">
            <w:pPr>
              <w:pStyle w:val="TableText"/>
              <w:jc w:val="right"/>
            </w:pPr>
            <w:r w:rsidRPr="005B0796">
              <w:t>5.9</w:t>
            </w:r>
          </w:p>
        </w:tc>
        <w:tc>
          <w:tcPr>
            <w:tcW w:w="928" w:type="dxa"/>
            <w:hideMark/>
          </w:tcPr>
          <w:p w:rsidR="00D060FC" w:rsidRPr="005B0796" w:rsidRDefault="00D060FC" w:rsidP="00D6629A">
            <w:pPr>
              <w:pStyle w:val="TableText"/>
              <w:jc w:val="right"/>
            </w:pPr>
            <w:r w:rsidRPr="005B0796">
              <w:t>3.9, 8.4</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Sexually assaulted</w:t>
            </w:r>
          </w:p>
        </w:tc>
        <w:tc>
          <w:tcPr>
            <w:tcW w:w="927" w:type="dxa"/>
            <w:hideMark/>
          </w:tcPr>
          <w:p w:rsidR="00D060FC" w:rsidRPr="005B0796" w:rsidRDefault="00D060FC" w:rsidP="00D6629A">
            <w:pPr>
              <w:pStyle w:val="TableText"/>
              <w:jc w:val="right"/>
            </w:pPr>
            <w:r w:rsidRPr="005B0796">
              <w:t>3193</w:t>
            </w:r>
          </w:p>
        </w:tc>
        <w:tc>
          <w:tcPr>
            <w:tcW w:w="928" w:type="dxa"/>
            <w:hideMark/>
          </w:tcPr>
          <w:p w:rsidR="00D060FC" w:rsidRPr="005B0796" w:rsidRDefault="00D060FC" w:rsidP="00D6629A">
            <w:pPr>
              <w:pStyle w:val="TableText"/>
              <w:jc w:val="right"/>
            </w:pPr>
            <w:r w:rsidRPr="005B0796">
              <w:t>12.9</w:t>
            </w:r>
          </w:p>
        </w:tc>
        <w:tc>
          <w:tcPr>
            <w:tcW w:w="928" w:type="dxa"/>
            <w:hideMark/>
          </w:tcPr>
          <w:p w:rsidR="00D060FC" w:rsidRPr="005B0796" w:rsidRDefault="00D060FC" w:rsidP="00D6629A">
            <w:pPr>
              <w:pStyle w:val="TableText"/>
              <w:jc w:val="right"/>
            </w:pPr>
            <w:r w:rsidRPr="005B0796">
              <w:t>10.4, 15.9</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Stalked</w:t>
            </w:r>
          </w:p>
        </w:tc>
        <w:tc>
          <w:tcPr>
            <w:tcW w:w="927" w:type="dxa"/>
            <w:hideMark/>
          </w:tcPr>
          <w:p w:rsidR="00D060FC" w:rsidRPr="005B0796" w:rsidRDefault="00D060FC" w:rsidP="00D6629A">
            <w:pPr>
              <w:pStyle w:val="TableText"/>
              <w:jc w:val="right"/>
            </w:pPr>
            <w:r w:rsidRPr="005B0796">
              <w:t>1860</w:t>
            </w:r>
          </w:p>
        </w:tc>
        <w:tc>
          <w:tcPr>
            <w:tcW w:w="928" w:type="dxa"/>
            <w:hideMark/>
          </w:tcPr>
          <w:p w:rsidR="00D060FC" w:rsidRPr="005B0796" w:rsidRDefault="00D060FC" w:rsidP="00D6629A">
            <w:pPr>
              <w:pStyle w:val="TableText"/>
              <w:jc w:val="right"/>
            </w:pPr>
            <w:r w:rsidRPr="005B0796">
              <w:t>7.5</w:t>
            </w:r>
          </w:p>
        </w:tc>
        <w:tc>
          <w:tcPr>
            <w:tcW w:w="928" w:type="dxa"/>
            <w:hideMark/>
          </w:tcPr>
          <w:p w:rsidR="00D060FC" w:rsidRPr="005B0796" w:rsidRDefault="00D060FC" w:rsidP="00D6629A">
            <w:pPr>
              <w:pStyle w:val="TableText"/>
              <w:jc w:val="right"/>
            </w:pPr>
            <w:r w:rsidRPr="005B0796">
              <w:t>5.3, 10.6</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Someone close died unexpectedly</w:t>
            </w:r>
          </w:p>
        </w:tc>
        <w:tc>
          <w:tcPr>
            <w:tcW w:w="927" w:type="dxa"/>
            <w:hideMark/>
          </w:tcPr>
          <w:p w:rsidR="00D060FC" w:rsidRPr="005B0796" w:rsidRDefault="00D060FC" w:rsidP="00D6629A">
            <w:pPr>
              <w:pStyle w:val="TableText"/>
              <w:jc w:val="right"/>
            </w:pPr>
            <w:r w:rsidRPr="005B0796">
              <w:t>10,437</w:t>
            </w:r>
          </w:p>
        </w:tc>
        <w:tc>
          <w:tcPr>
            <w:tcW w:w="928" w:type="dxa"/>
            <w:hideMark/>
          </w:tcPr>
          <w:p w:rsidR="00D060FC" w:rsidRPr="005B0796" w:rsidRDefault="00D060FC" w:rsidP="00D6629A">
            <w:pPr>
              <w:pStyle w:val="TableText"/>
              <w:jc w:val="right"/>
            </w:pPr>
            <w:r w:rsidRPr="005B0796">
              <w:t>42.3</w:t>
            </w:r>
          </w:p>
        </w:tc>
        <w:tc>
          <w:tcPr>
            <w:tcW w:w="928" w:type="dxa"/>
            <w:hideMark/>
          </w:tcPr>
          <w:p w:rsidR="00D060FC" w:rsidRPr="005B0796" w:rsidRDefault="00D060FC" w:rsidP="00D6629A">
            <w:pPr>
              <w:pStyle w:val="TableText"/>
              <w:jc w:val="right"/>
            </w:pPr>
            <w:r w:rsidRPr="005B0796">
              <w:t>37.7, 47.0</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Child had life-threatening illness/injury</w:t>
            </w:r>
          </w:p>
        </w:tc>
        <w:tc>
          <w:tcPr>
            <w:tcW w:w="927" w:type="dxa"/>
            <w:hideMark/>
          </w:tcPr>
          <w:p w:rsidR="00D060FC" w:rsidRPr="005B0796" w:rsidRDefault="00D060FC" w:rsidP="00D6629A">
            <w:pPr>
              <w:pStyle w:val="TableText"/>
              <w:jc w:val="right"/>
            </w:pPr>
            <w:r w:rsidRPr="005B0796">
              <w:t>1660</w:t>
            </w:r>
          </w:p>
        </w:tc>
        <w:tc>
          <w:tcPr>
            <w:tcW w:w="928" w:type="dxa"/>
            <w:hideMark/>
          </w:tcPr>
          <w:p w:rsidR="00D060FC" w:rsidRPr="005B0796" w:rsidRDefault="00D060FC" w:rsidP="00D6629A">
            <w:pPr>
              <w:pStyle w:val="TableText"/>
              <w:jc w:val="right"/>
            </w:pPr>
            <w:r w:rsidRPr="005B0796">
              <w:t>6.7</w:t>
            </w:r>
          </w:p>
        </w:tc>
        <w:tc>
          <w:tcPr>
            <w:tcW w:w="928" w:type="dxa"/>
            <w:hideMark/>
          </w:tcPr>
          <w:p w:rsidR="00D060FC" w:rsidRPr="005B0796" w:rsidRDefault="00D060FC" w:rsidP="00D6629A">
            <w:pPr>
              <w:pStyle w:val="TableText"/>
              <w:jc w:val="right"/>
            </w:pPr>
            <w:r w:rsidRPr="005B0796">
              <w:t>5.2, 8.7</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Someone close had traumatic experience</w:t>
            </w:r>
          </w:p>
        </w:tc>
        <w:tc>
          <w:tcPr>
            <w:tcW w:w="927" w:type="dxa"/>
            <w:hideMark/>
          </w:tcPr>
          <w:p w:rsidR="00D060FC" w:rsidRPr="005B0796" w:rsidRDefault="00D060FC" w:rsidP="00D6629A">
            <w:pPr>
              <w:pStyle w:val="TableText"/>
              <w:jc w:val="right"/>
            </w:pPr>
            <w:r w:rsidRPr="005B0796">
              <w:t>3046</w:t>
            </w:r>
          </w:p>
        </w:tc>
        <w:tc>
          <w:tcPr>
            <w:tcW w:w="928" w:type="dxa"/>
            <w:hideMark/>
          </w:tcPr>
          <w:p w:rsidR="00D060FC" w:rsidRPr="005B0796" w:rsidRDefault="00D060FC" w:rsidP="00D6629A">
            <w:pPr>
              <w:pStyle w:val="TableText"/>
              <w:jc w:val="right"/>
            </w:pPr>
            <w:r w:rsidRPr="005B0796">
              <w:t>12.3</w:t>
            </w:r>
          </w:p>
        </w:tc>
        <w:tc>
          <w:tcPr>
            <w:tcW w:w="928" w:type="dxa"/>
            <w:hideMark/>
          </w:tcPr>
          <w:p w:rsidR="00D060FC" w:rsidRPr="005B0796" w:rsidRDefault="00D060FC" w:rsidP="00D6629A">
            <w:pPr>
              <w:pStyle w:val="TableText"/>
              <w:jc w:val="right"/>
            </w:pPr>
            <w:r w:rsidRPr="005B0796">
              <w:t>9.6, 15.8</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Witness fight or assault as a child</w:t>
            </w:r>
          </w:p>
        </w:tc>
        <w:tc>
          <w:tcPr>
            <w:tcW w:w="927" w:type="dxa"/>
            <w:hideMark/>
          </w:tcPr>
          <w:p w:rsidR="00D060FC" w:rsidRPr="005B0796" w:rsidRDefault="00D060FC" w:rsidP="00D6629A">
            <w:pPr>
              <w:pStyle w:val="TableText"/>
              <w:jc w:val="right"/>
            </w:pPr>
            <w:r w:rsidRPr="005B0796">
              <w:t>2371</w:t>
            </w:r>
          </w:p>
        </w:tc>
        <w:tc>
          <w:tcPr>
            <w:tcW w:w="928" w:type="dxa"/>
            <w:hideMark/>
          </w:tcPr>
          <w:p w:rsidR="00D060FC" w:rsidRPr="005B0796" w:rsidRDefault="00D060FC" w:rsidP="00D6629A">
            <w:pPr>
              <w:pStyle w:val="TableText"/>
              <w:jc w:val="right"/>
            </w:pPr>
            <w:r w:rsidRPr="005B0796">
              <w:t>9.6</w:t>
            </w:r>
          </w:p>
        </w:tc>
        <w:tc>
          <w:tcPr>
            <w:tcW w:w="928" w:type="dxa"/>
            <w:hideMark/>
          </w:tcPr>
          <w:p w:rsidR="00D060FC" w:rsidRPr="005B0796" w:rsidRDefault="00D060FC" w:rsidP="00D6629A">
            <w:pPr>
              <w:pStyle w:val="TableText"/>
              <w:jc w:val="right"/>
            </w:pPr>
            <w:r w:rsidRPr="005B0796">
              <w:t>7.3, 12.5</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Saw someone badly injured/killed or unexpectedly saw a dead body</w:t>
            </w:r>
          </w:p>
        </w:tc>
        <w:tc>
          <w:tcPr>
            <w:tcW w:w="927" w:type="dxa"/>
            <w:hideMark/>
          </w:tcPr>
          <w:p w:rsidR="00D060FC" w:rsidRPr="005B0796" w:rsidRDefault="00D060FC" w:rsidP="00D6629A">
            <w:pPr>
              <w:pStyle w:val="TableText"/>
              <w:jc w:val="right"/>
            </w:pPr>
            <w:r w:rsidRPr="005B0796">
              <w:t>14,257</w:t>
            </w:r>
          </w:p>
        </w:tc>
        <w:tc>
          <w:tcPr>
            <w:tcW w:w="928" w:type="dxa"/>
            <w:hideMark/>
          </w:tcPr>
          <w:p w:rsidR="00D060FC" w:rsidRPr="005B0796" w:rsidRDefault="00D060FC" w:rsidP="00D6629A">
            <w:pPr>
              <w:pStyle w:val="TableText"/>
              <w:jc w:val="right"/>
            </w:pPr>
            <w:r w:rsidRPr="005B0796">
              <w:t>57.7</w:t>
            </w:r>
          </w:p>
        </w:tc>
        <w:tc>
          <w:tcPr>
            <w:tcW w:w="928" w:type="dxa"/>
            <w:hideMark/>
          </w:tcPr>
          <w:p w:rsidR="00D060FC" w:rsidRPr="005B0796" w:rsidRDefault="00D060FC" w:rsidP="00D6629A">
            <w:pPr>
              <w:pStyle w:val="TableText"/>
              <w:jc w:val="right"/>
            </w:pPr>
            <w:r w:rsidRPr="005B0796">
              <w:t>53.3, 62.2</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Accidently injured/killed someone</w:t>
            </w:r>
          </w:p>
        </w:tc>
        <w:tc>
          <w:tcPr>
            <w:tcW w:w="927" w:type="dxa"/>
            <w:hideMark/>
          </w:tcPr>
          <w:p w:rsidR="00D060FC" w:rsidRPr="005B0796" w:rsidRDefault="00D060FC" w:rsidP="00D6629A">
            <w:pPr>
              <w:pStyle w:val="TableText"/>
              <w:jc w:val="right"/>
            </w:pPr>
            <w:r w:rsidRPr="005B0796">
              <w:t>1426</w:t>
            </w:r>
          </w:p>
        </w:tc>
        <w:tc>
          <w:tcPr>
            <w:tcW w:w="928" w:type="dxa"/>
            <w:hideMark/>
          </w:tcPr>
          <w:p w:rsidR="00D060FC" w:rsidRPr="005B0796" w:rsidRDefault="00D060FC" w:rsidP="00D6629A">
            <w:pPr>
              <w:pStyle w:val="TableText"/>
              <w:jc w:val="right"/>
            </w:pPr>
            <w:r w:rsidRPr="005B0796">
              <w:t>5.8</w:t>
            </w:r>
          </w:p>
        </w:tc>
        <w:tc>
          <w:tcPr>
            <w:tcW w:w="928" w:type="dxa"/>
            <w:hideMark/>
          </w:tcPr>
          <w:p w:rsidR="00D060FC" w:rsidRPr="005B0796" w:rsidRDefault="00D060FC" w:rsidP="00D6629A">
            <w:pPr>
              <w:pStyle w:val="TableText"/>
              <w:jc w:val="right"/>
            </w:pPr>
            <w:r w:rsidRPr="005B0796">
              <w:t>3.8, 8.7</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Purposely injured/tortured/killed someone</w:t>
            </w:r>
          </w:p>
        </w:tc>
        <w:tc>
          <w:tcPr>
            <w:tcW w:w="927" w:type="dxa"/>
            <w:hideMark/>
          </w:tcPr>
          <w:p w:rsidR="00D060FC" w:rsidRPr="005B0796" w:rsidRDefault="00D060FC" w:rsidP="00D6629A">
            <w:pPr>
              <w:pStyle w:val="TableText"/>
              <w:jc w:val="right"/>
            </w:pPr>
            <w:r w:rsidRPr="005B0796">
              <w:t>2229</w:t>
            </w:r>
          </w:p>
        </w:tc>
        <w:tc>
          <w:tcPr>
            <w:tcW w:w="928" w:type="dxa"/>
            <w:hideMark/>
          </w:tcPr>
          <w:p w:rsidR="00D060FC" w:rsidRPr="005B0796" w:rsidRDefault="00D060FC" w:rsidP="00D6629A">
            <w:pPr>
              <w:pStyle w:val="TableText"/>
              <w:jc w:val="right"/>
            </w:pPr>
            <w:r w:rsidRPr="005B0796">
              <w:t>9.0</w:t>
            </w:r>
          </w:p>
        </w:tc>
        <w:tc>
          <w:tcPr>
            <w:tcW w:w="928" w:type="dxa"/>
            <w:hideMark/>
          </w:tcPr>
          <w:p w:rsidR="00D060FC" w:rsidRPr="005B0796" w:rsidRDefault="00D060FC" w:rsidP="00D6629A">
            <w:pPr>
              <w:pStyle w:val="TableText"/>
              <w:jc w:val="right"/>
            </w:pPr>
            <w:r w:rsidRPr="005B0796">
              <w:t>6.4, 12.6</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Saw atrocities or carnage such as mutilated bodies or mass killings</w:t>
            </w:r>
          </w:p>
        </w:tc>
        <w:tc>
          <w:tcPr>
            <w:tcW w:w="927" w:type="dxa"/>
            <w:hideMark/>
          </w:tcPr>
          <w:p w:rsidR="00D060FC" w:rsidRPr="005B0796" w:rsidRDefault="00D060FC" w:rsidP="00D6629A">
            <w:pPr>
              <w:pStyle w:val="TableText"/>
              <w:jc w:val="right"/>
            </w:pPr>
            <w:r w:rsidRPr="005B0796">
              <w:t>5492</w:t>
            </w:r>
          </w:p>
        </w:tc>
        <w:tc>
          <w:tcPr>
            <w:tcW w:w="928" w:type="dxa"/>
            <w:hideMark/>
          </w:tcPr>
          <w:p w:rsidR="00D060FC" w:rsidRPr="005B0796" w:rsidRDefault="00D060FC" w:rsidP="00D6629A">
            <w:pPr>
              <w:pStyle w:val="TableText"/>
              <w:jc w:val="right"/>
            </w:pPr>
            <w:r w:rsidRPr="005B0796">
              <w:t>22.3</w:t>
            </w:r>
          </w:p>
        </w:tc>
        <w:tc>
          <w:tcPr>
            <w:tcW w:w="928" w:type="dxa"/>
            <w:hideMark/>
          </w:tcPr>
          <w:p w:rsidR="00D060FC" w:rsidRPr="005B0796" w:rsidRDefault="00D060FC" w:rsidP="00D6629A">
            <w:pPr>
              <w:pStyle w:val="TableText"/>
              <w:jc w:val="right"/>
            </w:pPr>
            <w:r w:rsidRPr="005B0796">
              <w:t>18.8, 26.2</w:t>
            </w:r>
          </w:p>
        </w:tc>
      </w:tr>
      <w:tr w:rsidR="00D060FC" w:rsidRPr="005B0796" w:rsidTr="00D6629A">
        <w:tc>
          <w:tcPr>
            <w:tcW w:w="4532" w:type="dxa"/>
            <w:hideMark/>
          </w:tcPr>
          <w:p w:rsidR="00D060FC" w:rsidRPr="005B0796" w:rsidRDefault="00D060FC" w:rsidP="00D6629A">
            <w:pPr>
              <w:pStyle w:val="TableText"/>
              <w:rPr>
                <w:rFonts w:eastAsia="Times New Roman"/>
              </w:rPr>
            </w:pPr>
            <w:r w:rsidRPr="005B0796">
              <w:t>Other traumatic event</w:t>
            </w:r>
          </w:p>
        </w:tc>
        <w:tc>
          <w:tcPr>
            <w:tcW w:w="927" w:type="dxa"/>
            <w:hideMark/>
          </w:tcPr>
          <w:p w:rsidR="00D060FC" w:rsidRPr="005B0796" w:rsidRDefault="00D060FC" w:rsidP="00D6629A">
            <w:pPr>
              <w:pStyle w:val="TableText"/>
              <w:jc w:val="right"/>
            </w:pPr>
            <w:r w:rsidRPr="005B0796">
              <w:t>4183</w:t>
            </w:r>
          </w:p>
        </w:tc>
        <w:tc>
          <w:tcPr>
            <w:tcW w:w="928" w:type="dxa"/>
            <w:hideMark/>
          </w:tcPr>
          <w:p w:rsidR="00D060FC" w:rsidRPr="005B0796" w:rsidRDefault="00D060FC" w:rsidP="00D6629A">
            <w:pPr>
              <w:pStyle w:val="TableText"/>
              <w:jc w:val="right"/>
            </w:pPr>
            <w:r w:rsidRPr="005B0796">
              <w:t>16.9</w:t>
            </w:r>
          </w:p>
        </w:tc>
        <w:tc>
          <w:tcPr>
            <w:tcW w:w="928" w:type="dxa"/>
            <w:hideMark/>
          </w:tcPr>
          <w:p w:rsidR="00D060FC" w:rsidRPr="005B0796" w:rsidRDefault="00D060FC" w:rsidP="00D6629A">
            <w:pPr>
              <w:pStyle w:val="TableText"/>
              <w:jc w:val="right"/>
            </w:pPr>
            <w:r w:rsidRPr="005B0796">
              <w:t>13.8, 20.6</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4532" w:type="dxa"/>
            <w:hideMark/>
          </w:tcPr>
          <w:p w:rsidR="00D060FC" w:rsidRPr="005B0796" w:rsidRDefault="00D060FC" w:rsidP="00D6629A">
            <w:pPr>
              <w:pStyle w:val="TableText"/>
              <w:rPr>
                <w:rFonts w:eastAsia="Times New Roman"/>
              </w:rPr>
            </w:pPr>
            <w:r w:rsidRPr="005B0796">
              <w:t>Other traumatic event they don</w:t>
            </w:r>
            <w:r w:rsidR="00462A0C" w:rsidRPr="005B0796">
              <w:t>’</w:t>
            </w:r>
            <w:r w:rsidRPr="005B0796">
              <w:t>t want to talk about</w:t>
            </w:r>
          </w:p>
        </w:tc>
        <w:tc>
          <w:tcPr>
            <w:tcW w:w="927" w:type="dxa"/>
            <w:hideMark/>
          </w:tcPr>
          <w:p w:rsidR="00D060FC" w:rsidRPr="005B0796" w:rsidRDefault="00D060FC" w:rsidP="00D6629A">
            <w:pPr>
              <w:pStyle w:val="TableText"/>
              <w:jc w:val="right"/>
            </w:pPr>
            <w:r w:rsidRPr="005B0796">
              <w:t>3108</w:t>
            </w:r>
          </w:p>
        </w:tc>
        <w:tc>
          <w:tcPr>
            <w:tcW w:w="928" w:type="dxa"/>
            <w:hideMark/>
          </w:tcPr>
          <w:p w:rsidR="00D060FC" w:rsidRPr="005B0796" w:rsidRDefault="00D060FC" w:rsidP="00D6629A">
            <w:pPr>
              <w:pStyle w:val="TableText"/>
              <w:jc w:val="right"/>
            </w:pPr>
            <w:r w:rsidRPr="005B0796">
              <w:t>12.6</w:t>
            </w:r>
          </w:p>
        </w:tc>
        <w:tc>
          <w:tcPr>
            <w:tcW w:w="928" w:type="dxa"/>
            <w:hideMark/>
          </w:tcPr>
          <w:p w:rsidR="00D060FC" w:rsidRPr="005B0796" w:rsidRDefault="00D060FC" w:rsidP="00D6629A">
            <w:pPr>
              <w:pStyle w:val="TableText"/>
              <w:jc w:val="right"/>
            </w:pPr>
            <w:r w:rsidRPr="005B0796">
              <w:t>9.8, 16.1</w:t>
            </w:r>
          </w:p>
        </w:tc>
      </w:tr>
    </w:tbl>
    <w:p w:rsidR="00DA779A" w:rsidRPr="005B0796" w:rsidRDefault="00DA779A" w:rsidP="00DA779A">
      <w:pPr>
        <w:pStyle w:val="TableNotes"/>
      </w:pPr>
      <w:bookmarkStart w:id="465" w:name="_Ref484521352"/>
      <w:bookmarkStart w:id="466" w:name="_Toc482023834"/>
      <w:bookmarkStart w:id="467" w:name="_Toc487014359"/>
      <w:r w:rsidRPr="005B0796">
        <w:t xml:space="preserve">Note: 95% CI: 95% </w:t>
      </w:r>
      <w:r w:rsidR="00564689" w:rsidRPr="005B0796">
        <w:t>confidence interval</w:t>
      </w:r>
    </w:p>
    <w:p w:rsidR="00BF35AC" w:rsidRPr="005B0796" w:rsidRDefault="00BF35AC" w:rsidP="00BF35AC">
      <w:pPr>
        <w:sectPr w:rsidR="00BF35AC" w:rsidRPr="005B0796" w:rsidSect="00B56435">
          <w:footerReference w:type="even" r:id="rId72"/>
          <w:footerReference w:type="default" r:id="rId73"/>
          <w:pgSz w:w="9979" w:h="14170" w:code="243"/>
          <w:pgMar w:top="1440" w:right="1152" w:bottom="1440" w:left="1728" w:header="576" w:footer="576" w:gutter="0"/>
          <w:cols w:space="708"/>
          <w:docGrid w:linePitch="360"/>
        </w:sectPr>
      </w:pPr>
      <w:bookmarkStart w:id="468" w:name="_Ref494278214"/>
    </w:p>
    <w:p w:rsidR="00DA779A" w:rsidRPr="005B0796" w:rsidRDefault="00DA779A" w:rsidP="00DA779A">
      <w:pPr>
        <w:pStyle w:val="FigureName"/>
      </w:pPr>
      <w:bookmarkStart w:id="469" w:name="_Toc51190052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11</w:t>
      </w:r>
      <w:r w:rsidR="00D30A3C">
        <w:rPr>
          <w:noProof/>
        </w:rPr>
        <w:fldChar w:fldCharType="end"/>
      </w:r>
      <w:bookmarkEnd w:id="465"/>
      <w:bookmarkEnd w:id="468"/>
      <w:r w:rsidRPr="005B0796">
        <w:tab/>
        <w:t>Estimated prevalence of lifetime trauma exposure in Transitioned ADF</w:t>
      </w:r>
      <w:bookmarkEnd w:id="466"/>
      <w:r w:rsidRPr="005B0796">
        <w:t xml:space="preserve"> members</w:t>
      </w:r>
      <w:bookmarkEnd w:id="467"/>
      <w:bookmarkEnd w:id="469"/>
    </w:p>
    <w:tbl>
      <w:tblPr>
        <w:tblW w:w="5000" w:type="pct"/>
        <w:tblLayout w:type="fixed"/>
        <w:tblCellMar>
          <w:left w:w="115" w:type="dxa"/>
          <w:right w:w="115" w:type="dxa"/>
        </w:tblCellMar>
        <w:tblLook w:val="04A0" w:firstRow="1" w:lastRow="0" w:firstColumn="1" w:lastColumn="0" w:noHBand="0" w:noVBand="1"/>
      </w:tblPr>
      <w:tblGrid>
        <w:gridCol w:w="11520"/>
      </w:tblGrid>
      <w:tr w:rsidR="00D060FC" w:rsidRPr="005B0796" w:rsidTr="00D6629A">
        <w:trPr>
          <w:cantSplit/>
        </w:trPr>
        <w:tc>
          <w:tcPr>
            <w:tcW w:w="7329" w:type="dxa"/>
          </w:tcPr>
          <w:p w:rsidR="00D060FC" w:rsidRPr="005B0796" w:rsidRDefault="00D060FC" w:rsidP="0019239D">
            <w:r w:rsidRPr="005B0796">
              <w:rPr>
                <w:noProof/>
                <w:lang w:eastAsia="en-AU"/>
              </w:rPr>
              <w:drawing>
                <wp:inline distT="0" distB="0" distL="0" distR="0" wp14:anchorId="3BB97BAE" wp14:editId="55CAA3EB">
                  <wp:extent cx="7229475" cy="4029075"/>
                  <wp:effectExtent l="0" t="0" r="0" b="0"/>
                  <wp:docPr id="26" name="Chart 26" descr="Figure 4.11 Estimated prevalence of lifetime trauma exposure in Transitioned ADF me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BF35AC" w:rsidRPr="005B0796" w:rsidRDefault="00BF35AC" w:rsidP="00BF35AC">
      <w:pPr>
        <w:sectPr w:rsidR="00BF35AC" w:rsidRPr="005B0796" w:rsidSect="00BF35AC">
          <w:footerReference w:type="default" r:id="rId75"/>
          <w:pgSz w:w="14170" w:h="9979" w:orient="landscape" w:code="243"/>
          <w:pgMar w:top="1872" w:right="1440" w:bottom="1152" w:left="1440" w:header="576" w:footer="576" w:gutter="0"/>
          <w:cols w:space="708"/>
          <w:docGrid w:linePitch="360"/>
        </w:sectPr>
      </w:pPr>
      <w:bookmarkStart w:id="470" w:name="_Ref484519941"/>
      <w:bookmarkStart w:id="471" w:name="_Toc482023790"/>
      <w:bookmarkStart w:id="472" w:name="_Toc487014266"/>
      <w:bookmarkStart w:id="473" w:name="_Toc492995569"/>
    </w:p>
    <w:p w:rsidR="00DA779A" w:rsidRPr="005B0796" w:rsidRDefault="00DA779A" w:rsidP="00DA779A">
      <w:pPr>
        <w:pStyle w:val="TableName"/>
      </w:pPr>
      <w:bookmarkStart w:id="474" w:name="_Toc51190041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15</w:t>
      </w:r>
      <w:r w:rsidR="00D30A3C">
        <w:rPr>
          <w:noProof/>
        </w:rPr>
        <w:fldChar w:fldCharType="end"/>
      </w:r>
      <w:bookmarkEnd w:id="470"/>
      <w:r w:rsidRPr="005B0796">
        <w:tab/>
        <w:t>Estimated prevalence of posttraumatic stress disorder from specific event types in Transitioned ADF</w:t>
      </w:r>
      <w:bookmarkEnd w:id="471"/>
      <w:bookmarkEnd w:id="472"/>
      <w:bookmarkEnd w:id="473"/>
      <w:bookmarkEnd w:id="474"/>
    </w:p>
    <w:tbl>
      <w:tblPr>
        <w:tblStyle w:val="TWRPTable"/>
        <w:tblW w:w="5000" w:type="pct"/>
        <w:tblLayout w:type="fixed"/>
        <w:tblLook w:val="04A0" w:firstRow="1" w:lastRow="0" w:firstColumn="1" w:lastColumn="0" w:noHBand="0" w:noVBand="1"/>
        <w:tblDescription w:val="Table 4.15 Estimated prevalence of posttraumatic stress disorder from specific event types in Transitioned ADF"/>
      </w:tblPr>
      <w:tblGrid>
        <w:gridCol w:w="3258"/>
        <w:gridCol w:w="1170"/>
        <w:gridCol w:w="962"/>
        <w:gridCol w:w="962"/>
        <w:gridCol w:w="963"/>
      </w:tblGrid>
      <w:tr w:rsidR="00D6629A" w:rsidRPr="005B0796" w:rsidTr="00AF36A8">
        <w:trPr>
          <w:cnfStyle w:val="100000000000" w:firstRow="1" w:lastRow="0" w:firstColumn="0" w:lastColumn="0" w:oddVBand="0" w:evenVBand="0" w:oddHBand="0" w:evenHBand="0" w:firstRowFirstColumn="0" w:firstRowLastColumn="0" w:lastRowFirstColumn="0" w:lastRowLastColumn="0"/>
          <w:tblHeader/>
        </w:trPr>
        <w:tc>
          <w:tcPr>
            <w:tcW w:w="3258" w:type="dxa"/>
            <w:vMerge w:val="restart"/>
          </w:tcPr>
          <w:p w:rsidR="00D6629A" w:rsidRPr="005B0796" w:rsidRDefault="00D6629A" w:rsidP="00D6629A">
            <w:pPr>
              <w:pStyle w:val="TableText"/>
            </w:pPr>
          </w:p>
        </w:tc>
        <w:tc>
          <w:tcPr>
            <w:tcW w:w="1170" w:type="dxa"/>
            <w:vMerge w:val="restart"/>
          </w:tcPr>
          <w:p w:rsidR="00D6629A" w:rsidRPr="005B0796" w:rsidRDefault="00D6629A" w:rsidP="00D6629A">
            <w:pPr>
              <w:pStyle w:val="TableText"/>
              <w:jc w:val="right"/>
            </w:pPr>
            <w:r w:rsidRPr="005B0796">
              <w:t>Weighted n who experienced traumatic event</w:t>
            </w:r>
          </w:p>
        </w:tc>
        <w:tc>
          <w:tcPr>
            <w:tcW w:w="2887" w:type="dxa"/>
            <w:gridSpan w:val="3"/>
          </w:tcPr>
          <w:p w:rsidR="00D6629A" w:rsidRPr="005B0796" w:rsidRDefault="00D6629A" w:rsidP="00D6629A">
            <w:pPr>
              <w:pStyle w:val="TableText"/>
              <w:jc w:val="center"/>
            </w:pPr>
            <w:r w:rsidRPr="005B0796">
              <w:t>Estimated proportion of Transitioned ADF in 2015 (n = 24,932) who met criteria for PTSD from among those reporting each traumatic event</w:t>
            </w:r>
          </w:p>
        </w:tc>
      </w:tr>
      <w:tr w:rsidR="00D6629A" w:rsidRPr="005B0796" w:rsidTr="00AF36A8">
        <w:trPr>
          <w:cnfStyle w:val="100000000000" w:firstRow="1" w:lastRow="0" w:firstColumn="0" w:lastColumn="0" w:oddVBand="0" w:evenVBand="0" w:oddHBand="0" w:evenHBand="0" w:firstRowFirstColumn="0" w:firstRowLastColumn="0" w:lastRowFirstColumn="0" w:lastRowLastColumn="0"/>
          <w:tblHeader/>
        </w:trPr>
        <w:tc>
          <w:tcPr>
            <w:tcW w:w="3258" w:type="dxa"/>
            <w:vMerge/>
            <w:hideMark/>
          </w:tcPr>
          <w:p w:rsidR="00D6629A" w:rsidRPr="005B0796" w:rsidRDefault="00D6629A" w:rsidP="00D6629A">
            <w:pPr>
              <w:pStyle w:val="TableText"/>
            </w:pPr>
          </w:p>
        </w:tc>
        <w:tc>
          <w:tcPr>
            <w:tcW w:w="1170" w:type="dxa"/>
            <w:vMerge/>
            <w:hideMark/>
          </w:tcPr>
          <w:p w:rsidR="00D6629A" w:rsidRPr="005B0796" w:rsidRDefault="00D6629A" w:rsidP="00D6629A">
            <w:pPr>
              <w:pStyle w:val="TableText"/>
              <w:jc w:val="right"/>
            </w:pPr>
          </w:p>
        </w:tc>
        <w:tc>
          <w:tcPr>
            <w:tcW w:w="962" w:type="dxa"/>
            <w:hideMark/>
          </w:tcPr>
          <w:p w:rsidR="00D6629A" w:rsidRPr="005B0796" w:rsidRDefault="00D6629A" w:rsidP="00D6629A">
            <w:pPr>
              <w:pStyle w:val="TableText"/>
              <w:jc w:val="right"/>
            </w:pPr>
            <w:r w:rsidRPr="005B0796">
              <w:t>Weighted n</w:t>
            </w:r>
          </w:p>
        </w:tc>
        <w:tc>
          <w:tcPr>
            <w:tcW w:w="962" w:type="dxa"/>
            <w:hideMark/>
          </w:tcPr>
          <w:p w:rsidR="00D6629A" w:rsidRPr="005B0796" w:rsidRDefault="00D6629A" w:rsidP="00D6629A">
            <w:pPr>
              <w:pStyle w:val="TableText"/>
              <w:jc w:val="right"/>
            </w:pPr>
            <w:r w:rsidRPr="005B0796">
              <w:t>%</w:t>
            </w:r>
          </w:p>
        </w:tc>
        <w:tc>
          <w:tcPr>
            <w:tcW w:w="963" w:type="dxa"/>
            <w:hideMark/>
          </w:tcPr>
          <w:p w:rsidR="00D6629A" w:rsidRPr="005B0796" w:rsidRDefault="00D6629A" w:rsidP="00D6629A">
            <w:pPr>
              <w:pStyle w:val="TableText"/>
              <w:jc w:val="right"/>
            </w:pPr>
            <w:r w:rsidRPr="005B0796">
              <w:t>(95% CI)</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Combat (military or organised group)</w:t>
            </w:r>
          </w:p>
        </w:tc>
        <w:tc>
          <w:tcPr>
            <w:tcW w:w="1170" w:type="dxa"/>
            <w:hideMark/>
          </w:tcPr>
          <w:p w:rsidR="00D060FC" w:rsidRPr="005B0796" w:rsidRDefault="00D060FC" w:rsidP="00D6629A">
            <w:pPr>
              <w:pStyle w:val="TableText"/>
              <w:jc w:val="right"/>
            </w:pPr>
            <w:r w:rsidRPr="005B0796">
              <w:t>10,269</w:t>
            </w:r>
          </w:p>
        </w:tc>
        <w:tc>
          <w:tcPr>
            <w:tcW w:w="962" w:type="dxa"/>
            <w:hideMark/>
          </w:tcPr>
          <w:p w:rsidR="00D060FC" w:rsidRPr="005B0796" w:rsidRDefault="00D060FC" w:rsidP="00D6629A">
            <w:pPr>
              <w:pStyle w:val="TableText"/>
              <w:jc w:val="right"/>
            </w:pPr>
            <w:r w:rsidRPr="005B0796">
              <w:rPr>
                <w:rFonts w:cs="Arial"/>
              </w:rPr>
              <w:t>2856</w:t>
            </w:r>
          </w:p>
        </w:tc>
        <w:tc>
          <w:tcPr>
            <w:tcW w:w="962" w:type="dxa"/>
            <w:hideMark/>
          </w:tcPr>
          <w:p w:rsidR="00D060FC" w:rsidRPr="005B0796" w:rsidRDefault="00D060FC" w:rsidP="00D6629A">
            <w:pPr>
              <w:pStyle w:val="TableText"/>
              <w:jc w:val="right"/>
            </w:pPr>
            <w:r w:rsidRPr="005B0796">
              <w:rPr>
                <w:rFonts w:cs="Arial"/>
              </w:rPr>
              <w:t>27.8</w:t>
            </w:r>
          </w:p>
        </w:tc>
        <w:tc>
          <w:tcPr>
            <w:tcW w:w="963" w:type="dxa"/>
            <w:hideMark/>
          </w:tcPr>
          <w:p w:rsidR="00D060FC" w:rsidRPr="005B0796" w:rsidRDefault="00D060FC" w:rsidP="00D6629A">
            <w:pPr>
              <w:pStyle w:val="TableText"/>
              <w:jc w:val="right"/>
            </w:pPr>
            <w:r w:rsidRPr="005B0796">
              <w:rPr>
                <w:rFonts w:cs="Arial"/>
              </w:rPr>
              <w:t>21.6, 35.0</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Peacekeeper (in a war zone or place of ongoing terror)</w:t>
            </w:r>
          </w:p>
        </w:tc>
        <w:tc>
          <w:tcPr>
            <w:tcW w:w="1170" w:type="dxa"/>
            <w:hideMark/>
          </w:tcPr>
          <w:p w:rsidR="00D060FC" w:rsidRPr="005B0796" w:rsidRDefault="00D060FC" w:rsidP="00D6629A">
            <w:pPr>
              <w:pStyle w:val="TableText"/>
              <w:jc w:val="right"/>
            </w:pPr>
            <w:r w:rsidRPr="005B0796">
              <w:t>8274</w:t>
            </w:r>
          </w:p>
        </w:tc>
        <w:tc>
          <w:tcPr>
            <w:tcW w:w="962" w:type="dxa"/>
            <w:hideMark/>
          </w:tcPr>
          <w:p w:rsidR="00D060FC" w:rsidRPr="005B0796" w:rsidRDefault="00D060FC" w:rsidP="00D6629A">
            <w:pPr>
              <w:pStyle w:val="TableText"/>
              <w:jc w:val="right"/>
            </w:pPr>
            <w:r w:rsidRPr="005B0796">
              <w:rPr>
                <w:rFonts w:cs="Arial"/>
              </w:rPr>
              <w:t>1446</w:t>
            </w:r>
          </w:p>
        </w:tc>
        <w:tc>
          <w:tcPr>
            <w:tcW w:w="962" w:type="dxa"/>
            <w:hideMark/>
          </w:tcPr>
          <w:p w:rsidR="00D060FC" w:rsidRPr="005B0796" w:rsidRDefault="00D060FC" w:rsidP="00D6629A">
            <w:pPr>
              <w:pStyle w:val="TableText"/>
              <w:jc w:val="right"/>
            </w:pPr>
            <w:r w:rsidRPr="005B0796">
              <w:rPr>
                <w:rFonts w:cs="Arial"/>
              </w:rPr>
              <w:t>17.5</w:t>
            </w:r>
          </w:p>
        </w:tc>
        <w:tc>
          <w:tcPr>
            <w:tcW w:w="963" w:type="dxa"/>
            <w:hideMark/>
          </w:tcPr>
          <w:p w:rsidR="00D060FC" w:rsidRPr="005B0796" w:rsidRDefault="00D060FC" w:rsidP="00D6629A">
            <w:pPr>
              <w:pStyle w:val="TableText"/>
              <w:jc w:val="right"/>
            </w:pPr>
            <w:r w:rsidRPr="005B0796">
              <w:rPr>
                <w:rFonts w:cs="Arial"/>
              </w:rPr>
              <w:t>13.2, 22.8</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Unarmed civilian (in a place or war, revolution, military coup or invasion)</w:t>
            </w:r>
          </w:p>
        </w:tc>
        <w:tc>
          <w:tcPr>
            <w:tcW w:w="1170" w:type="dxa"/>
            <w:hideMark/>
          </w:tcPr>
          <w:p w:rsidR="00D060FC" w:rsidRPr="005B0796" w:rsidRDefault="00D060FC" w:rsidP="00D6629A">
            <w:pPr>
              <w:pStyle w:val="TableText"/>
              <w:jc w:val="right"/>
            </w:pPr>
            <w:r w:rsidRPr="005B0796">
              <w:t>1651</w:t>
            </w:r>
          </w:p>
        </w:tc>
        <w:tc>
          <w:tcPr>
            <w:tcW w:w="962" w:type="dxa"/>
            <w:hideMark/>
          </w:tcPr>
          <w:p w:rsidR="00D060FC" w:rsidRPr="005B0796" w:rsidRDefault="00D060FC" w:rsidP="00D6629A">
            <w:pPr>
              <w:pStyle w:val="TableText"/>
              <w:jc w:val="right"/>
            </w:pPr>
            <w:r w:rsidRPr="005B0796">
              <w:rPr>
                <w:rFonts w:cs="Arial"/>
              </w:rPr>
              <w:t>283</w:t>
            </w:r>
          </w:p>
        </w:tc>
        <w:tc>
          <w:tcPr>
            <w:tcW w:w="962" w:type="dxa"/>
            <w:hideMark/>
          </w:tcPr>
          <w:p w:rsidR="00D060FC" w:rsidRPr="005B0796" w:rsidRDefault="00D060FC" w:rsidP="00D6629A">
            <w:pPr>
              <w:pStyle w:val="TableText"/>
              <w:jc w:val="right"/>
            </w:pPr>
            <w:r w:rsidRPr="005B0796">
              <w:rPr>
                <w:rFonts w:cs="Arial"/>
              </w:rPr>
              <w:t>17.1</w:t>
            </w:r>
          </w:p>
        </w:tc>
        <w:tc>
          <w:tcPr>
            <w:tcW w:w="963" w:type="dxa"/>
            <w:hideMark/>
          </w:tcPr>
          <w:p w:rsidR="00D060FC" w:rsidRPr="005B0796" w:rsidRDefault="00D060FC" w:rsidP="00D6629A">
            <w:pPr>
              <w:pStyle w:val="TableText"/>
              <w:jc w:val="right"/>
            </w:pPr>
            <w:r w:rsidRPr="005B0796">
              <w:rPr>
                <w:rFonts w:cs="Arial"/>
              </w:rPr>
              <w:t>8.7, 31.0</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Lived as a civilian (in a place of ongoing terror for political, ethnic, religious or other reason)</w:t>
            </w:r>
          </w:p>
        </w:tc>
        <w:tc>
          <w:tcPr>
            <w:tcW w:w="1170" w:type="dxa"/>
            <w:hideMark/>
          </w:tcPr>
          <w:p w:rsidR="00D060FC" w:rsidRPr="005B0796" w:rsidRDefault="00D060FC" w:rsidP="00D6629A">
            <w:pPr>
              <w:pStyle w:val="TableText"/>
              <w:jc w:val="right"/>
            </w:pPr>
            <w:r w:rsidRPr="005B0796">
              <w:t>863</w:t>
            </w:r>
          </w:p>
        </w:tc>
        <w:tc>
          <w:tcPr>
            <w:tcW w:w="962" w:type="dxa"/>
            <w:hideMark/>
          </w:tcPr>
          <w:p w:rsidR="00D060FC" w:rsidRPr="005B0796" w:rsidRDefault="00D060FC" w:rsidP="00D6629A">
            <w:pPr>
              <w:pStyle w:val="TableText"/>
              <w:jc w:val="right"/>
            </w:pPr>
            <w:r w:rsidRPr="005B0796">
              <w:rPr>
                <w:rFonts w:cs="Arial"/>
              </w:rPr>
              <w:t>172</w:t>
            </w:r>
          </w:p>
        </w:tc>
        <w:tc>
          <w:tcPr>
            <w:tcW w:w="962" w:type="dxa"/>
            <w:hideMark/>
          </w:tcPr>
          <w:p w:rsidR="00D060FC" w:rsidRPr="005B0796" w:rsidRDefault="00D060FC" w:rsidP="00D6629A">
            <w:pPr>
              <w:pStyle w:val="TableText"/>
              <w:jc w:val="right"/>
            </w:pPr>
            <w:r w:rsidRPr="005B0796">
              <w:rPr>
                <w:rFonts w:cs="Arial"/>
              </w:rPr>
              <w:t>19.9</w:t>
            </w:r>
          </w:p>
        </w:tc>
        <w:tc>
          <w:tcPr>
            <w:tcW w:w="963" w:type="dxa"/>
            <w:hideMark/>
          </w:tcPr>
          <w:p w:rsidR="00D060FC" w:rsidRPr="005B0796" w:rsidRDefault="00D060FC" w:rsidP="00D6629A">
            <w:pPr>
              <w:pStyle w:val="TableText"/>
              <w:jc w:val="right"/>
            </w:pPr>
            <w:r w:rsidRPr="005B0796">
              <w:rPr>
                <w:rFonts w:cs="Arial"/>
              </w:rPr>
              <w:t>8.0, 41.5</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Refugee</w:t>
            </w:r>
          </w:p>
        </w:tc>
        <w:tc>
          <w:tcPr>
            <w:tcW w:w="1170" w:type="dxa"/>
            <w:hideMark/>
          </w:tcPr>
          <w:p w:rsidR="00D060FC" w:rsidRPr="005B0796" w:rsidRDefault="00D060FC" w:rsidP="00D6629A">
            <w:pPr>
              <w:pStyle w:val="TableText"/>
              <w:jc w:val="right"/>
            </w:pPr>
            <w:r w:rsidRPr="005B0796">
              <w:t>111</w:t>
            </w:r>
          </w:p>
        </w:tc>
        <w:tc>
          <w:tcPr>
            <w:tcW w:w="962" w:type="dxa"/>
            <w:hideMark/>
          </w:tcPr>
          <w:p w:rsidR="00D060FC" w:rsidRPr="005B0796" w:rsidRDefault="00D060FC" w:rsidP="00D6629A">
            <w:pPr>
              <w:pStyle w:val="TableText"/>
              <w:jc w:val="right"/>
            </w:pPr>
            <w:r w:rsidRPr="005B0796">
              <w:rPr>
                <w:rFonts w:cs="Arial"/>
              </w:rPr>
              <w:t>0</w:t>
            </w:r>
          </w:p>
        </w:tc>
        <w:tc>
          <w:tcPr>
            <w:tcW w:w="962" w:type="dxa"/>
            <w:hideMark/>
          </w:tcPr>
          <w:p w:rsidR="00D060FC" w:rsidRPr="005B0796" w:rsidRDefault="00D060FC" w:rsidP="00D6629A">
            <w:pPr>
              <w:pStyle w:val="TableText"/>
              <w:jc w:val="right"/>
            </w:pPr>
            <w:r w:rsidRPr="005B0796">
              <w:rPr>
                <w:rFonts w:cs="Arial"/>
              </w:rPr>
              <w:t>0.0</w:t>
            </w:r>
          </w:p>
        </w:tc>
        <w:tc>
          <w:tcPr>
            <w:tcW w:w="963" w:type="dxa"/>
          </w:tcPr>
          <w:p w:rsidR="00D060FC" w:rsidRPr="005B0796" w:rsidRDefault="00D060FC" w:rsidP="00D6629A">
            <w:pPr>
              <w:pStyle w:val="TableText"/>
              <w:jc w:val="right"/>
            </w:pPr>
            <w:r w:rsidRPr="005B0796">
              <w:t>0.0, 0.0</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Kidnapped or held captive</w:t>
            </w:r>
          </w:p>
        </w:tc>
        <w:tc>
          <w:tcPr>
            <w:tcW w:w="1170" w:type="dxa"/>
            <w:hideMark/>
          </w:tcPr>
          <w:p w:rsidR="00D060FC" w:rsidRPr="005B0796" w:rsidRDefault="00D060FC" w:rsidP="00D6629A">
            <w:pPr>
              <w:pStyle w:val="TableText"/>
              <w:jc w:val="right"/>
            </w:pPr>
            <w:r w:rsidRPr="005B0796">
              <w:t>191</w:t>
            </w:r>
          </w:p>
        </w:tc>
        <w:tc>
          <w:tcPr>
            <w:tcW w:w="962" w:type="dxa"/>
            <w:hideMark/>
          </w:tcPr>
          <w:p w:rsidR="00D060FC" w:rsidRPr="005B0796" w:rsidRDefault="00D060FC" w:rsidP="00D6629A">
            <w:pPr>
              <w:pStyle w:val="TableText"/>
              <w:jc w:val="right"/>
            </w:pPr>
            <w:r w:rsidRPr="005B0796">
              <w:rPr>
                <w:rFonts w:cs="Arial"/>
              </w:rPr>
              <w:t>68</w:t>
            </w:r>
          </w:p>
        </w:tc>
        <w:tc>
          <w:tcPr>
            <w:tcW w:w="962" w:type="dxa"/>
            <w:hideMark/>
          </w:tcPr>
          <w:p w:rsidR="00D060FC" w:rsidRPr="005B0796" w:rsidRDefault="00D060FC" w:rsidP="00D6629A">
            <w:pPr>
              <w:pStyle w:val="TableText"/>
              <w:jc w:val="right"/>
            </w:pPr>
            <w:r w:rsidRPr="005B0796">
              <w:rPr>
                <w:rFonts w:cs="Arial"/>
              </w:rPr>
              <w:t>35.5</w:t>
            </w:r>
          </w:p>
        </w:tc>
        <w:tc>
          <w:tcPr>
            <w:tcW w:w="963" w:type="dxa"/>
            <w:hideMark/>
          </w:tcPr>
          <w:p w:rsidR="00D060FC" w:rsidRPr="005B0796" w:rsidRDefault="00D060FC" w:rsidP="00D6629A">
            <w:pPr>
              <w:pStyle w:val="TableText"/>
              <w:jc w:val="right"/>
            </w:pPr>
            <w:r w:rsidRPr="005B0796">
              <w:rPr>
                <w:rFonts w:cs="Arial"/>
              </w:rPr>
              <w:t>15.9, 61.6</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Exposed to a toxic chemical that could cause harm</w:t>
            </w:r>
          </w:p>
        </w:tc>
        <w:tc>
          <w:tcPr>
            <w:tcW w:w="1170" w:type="dxa"/>
            <w:hideMark/>
          </w:tcPr>
          <w:p w:rsidR="00D060FC" w:rsidRPr="005B0796" w:rsidRDefault="00D060FC" w:rsidP="00D6629A">
            <w:pPr>
              <w:pStyle w:val="TableText"/>
              <w:jc w:val="right"/>
            </w:pPr>
            <w:r w:rsidRPr="005B0796">
              <w:t>10,627</w:t>
            </w:r>
          </w:p>
        </w:tc>
        <w:tc>
          <w:tcPr>
            <w:tcW w:w="962" w:type="dxa"/>
            <w:hideMark/>
          </w:tcPr>
          <w:p w:rsidR="00D060FC" w:rsidRPr="005B0796" w:rsidRDefault="00D060FC" w:rsidP="00D6629A">
            <w:pPr>
              <w:pStyle w:val="TableText"/>
              <w:jc w:val="right"/>
            </w:pPr>
            <w:r w:rsidRPr="005B0796">
              <w:rPr>
                <w:rFonts w:cs="Arial"/>
              </w:rPr>
              <w:t>2060</w:t>
            </w:r>
          </w:p>
        </w:tc>
        <w:tc>
          <w:tcPr>
            <w:tcW w:w="962" w:type="dxa"/>
            <w:hideMark/>
          </w:tcPr>
          <w:p w:rsidR="00D060FC" w:rsidRPr="005B0796" w:rsidRDefault="00D060FC" w:rsidP="00D6629A">
            <w:pPr>
              <w:pStyle w:val="TableText"/>
              <w:jc w:val="right"/>
            </w:pPr>
            <w:r w:rsidRPr="005B0796">
              <w:rPr>
                <w:rFonts w:cs="Arial"/>
              </w:rPr>
              <w:t>19.4</w:t>
            </w:r>
          </w:p>
        </w:tc>
        <w:tc>
          <w:tcPr>
            <w:tcW w:w="963" w:type="dxa"/>
            <w:hideMark/>
          </w:tcPr>
          <w:p w:rsidR="00D060FC" w:rsidRPr="005B0796" w:rsidRDefault="00D060FC" w:rsidP="00D6629A">
            <w:pPr>
              <w:pStyle w:val="TableText"/>
              <w:jc w:val="right"/>
            </w:pPr>
            <w:r w:rsidRPr="005B0796">
              <w:rPr>
                <w:rFonts w:cs="Arial"/>
              </w:rPr>
              <w:t>14.6, 25.3</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Life-threatening automobile accident</w:t>
            </w:r>
          </w:p>
        </w:tc>
        <w:tc>
          <w:tcPr>
            <w:tcW w:w="1170" w:type="dxa"/>
            <w:hideMark/>
          </w:tcPr>
          <w:p w:rsidR="00D060FC" w:rsidRPr="005B0796" w:rsidRDefault="00D060FC" w:rsidP="00D6629A">
            <w:pPr>
              <w:pStyle w:val="TableText"/>
              <w:jc w:val="right"/>
            </w:pPr>
            <w:r w:rsidRPr="005B0796">
              <w:t>7446</w:t>
            </w:r>
          </w:p>
        </w:tc>
        <w:tc>
          <w:tcPr>
            <w:tcW w:w="962" w:type="dxa"/>
            <w:hideMark/>
          </w:tcPr>
          <w:p w:rsidR="00D060FC" w:rsidRPr="005B0796" w:rsidRDefault="00D060FC" w:rsidP="00D6629A">
            <w:pPr>
              <w:pStyle w:val="TableText"/>
              <w:jc w:val="right"/>
            </w:pPr>
            <w:r w:rsidRPr="005B0796">
              <w:rPr>
                <w:rFonts w:cs="Arial"/>
              </w:rPr>
              <w:t>1334</w:t>
            </w:r>
          </w:p>
        </w:tc>
        <w:tc>
          <w:tcPr>
            <w:tcW w:w="962" w:type="dxa"/>
            <w:hideMark/>
          </w:tcPr>
          <w:p w:rsidR="00D060FC" w:rsidRPr="005B0796" w:rsidRDefault="00D060FC" w:rsidP="00D6629A">
            <w:pPr>
              <w:pStyle w:val="TableText"/>
              <w:jc w:val="right"/>
            </w:pPr>
            <w:r w:rsidRPr="005B0796">
              <w:rPr>
                <w:rFonts w:cs="Arial"/>
              </w:rPr>
              <w:t>17.9</w:t>
            </w:r>
          </w:p>
        </w:tc>
        <w:tc>
          <w:tcPr>
            <w:tcW w:w="963" w:type="dxa"/>
            <w:hideMark/>
          </w:tcPr>
          <w:p w:rsidR="00D060FC" w:rsidRPr="005B0796" w:rsidRDefault="00D060FC" w:rsidP="00D6629A">
            <w:pPr>
              <w:pStyle w:val="TableText"/>
              <w:jc w:val="right"/>
            </w:pPr>
            <w:r w:rsidRPr="005B0796">
              <w:rPr>
                <w:rFonts w:cs="Arial"/>
              </w:rPr>
              <w:t>12.4, 25.1</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Other life-threatening accident</w:t>
            </w:r>
          </w:p>
        </w:tc>
        <w:tc>
          <w:tcPr>
            <w:tcW w:w="1170" w:type="dxa"/>
            <w:hideMark/>
          </w:tcPr>
          <w:p w:rsidR="00D060FC" w:rsidRPr="005B0796" w:rsidRDefault="00D060FC" w:rsidP="00D6629A">
            <w:pPr>
              <w:pStyle w:val="TableText"/>
              <w:jc w:val="right"/>
            </w:pPr>
            <w:r w:rsidRPr="005B0796">
              <w:t>4990</w:t>
            </w:r>
          </w:p>
        </w:tc>
        <w:tc>
          <w:tcPr>
            <w:tcW w:w="962" w:type="dxa"/>
            <w:hideMark/>
          </w:tcPr>
          <w:p w:rsidR="00D060FC" w:rsidRPr="005B0796" w:rsidRDefault="00D060FC" w:rsidP="00D6629A">
            <w:pPr>
              <w:pStyle w:val="TableText"/>
              <w:jc w:val="right"/>
            </w:pPr>
            <w:r w:rsidRPr="005B0796">
              <w:rPr>
                <w:rFonts w:cs="Arial"/>
              </w:rPr>
              <w:t>1376</w:t>
            </w:r>
          </w:p>
        </w:tc>
        <w:tc>
          <w:tcPr>
            <w:tcW w:w="962" w:type="dxa"/>
            <w:hideMark/>
          </w:tcPr>
          <w:p w:rsidR="00D060FC" w:rsidRPr="005B0796" w:rsidRDefault="00D060FC" w:rsidP="00D6629A">
            <w:pPr>
              <w:pStyle w:val="TableText"/>
              <w:jc w:val="right"/>
            </w:pPr>
            <w:r w:rsidRPr="005B0796">
              <w:rPr>
                <w:rFonts w:cs="Arial"/>
              </w:rPr>
              <w:t>27.6</w:t>
            </w:r>
          </w:p>
        </w:tc>
        <w:tc>
          <w:tcPr>
            <w:tcW w:w="963" w:type="dxa"/>
            <w:hideMark/>
          </w:tcPr>
          <w:p w:rsidR="00D060FC" w:rsidRPr="005B0796" w:rsidRDefault="00D060FC" w:rsidP="00D6629A">
            <w:pPr>
              <w:pStyle w:val="TableText"/>
              <w:jc w:val="right"/>
            </w:pPr>
            <w:r w:rsidRPr="005B0796">
              <w:rPr>
                <w:rFonts w:cs="Arial"/>
              </w:rPr>
              <w:t>19.4, 37.6</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Major natural disaster</w:t>
            </w:r>
          </w:p>
        </w:tc>
        <w:tc>
          <w:tcPr>
            <w:tcW w:w="1170" w:type="dxa"/>
            <w:hideMark/>
          </w:tcPr>
          <w:p w:rsidR="00D060FC" w:rsidRPr="005B0796" w:rsidRDefault="00D060FC" w:rsidP="00D6629A">
            <w:pPr>
              <w:pStyle w:val="TableText"/>
              <w:jc w:val="right"/>
            </w:pPr>
            <w:r w:rsidRPr="005B0796">
              <w:t>6436</w:t>
            </w:r>
          </w:p>
        </w:tc>
        <w:tc>
          <w:tcPr>
            <w:tcW w:w="962" w:type="dxa"/>
            <w:hideMark/>
          </w:tcPr>
          <w:p w:rsidR="00D060FC" w:rsidRPr="005B0796" w:rsidRDefault="00D060FC" w:rsidP="00D6629A">
            <w:pPr>
              <w:pStyle w:val="TableText"/>
              <w:jc w:val="right"/>
            </w:pPr>
            <w:r w:rsidRPr="005B0796">
              <w:rPr>
                <w:rFonts w:cs="Arial"/>
              </w:rPr>
              <w:t>1301</w:t>
            </w:r>
          </w:p>
        </w:tc>
        <w:tc>
          <w:tcPr>
            <w:tcW w:w="962" w:type="dxa"/>
            <w:hideMark/>
          </w:tcPr>
          <w:p w:rsidR="00D060FC" w:rsidRPr="005B0796" w:rsidRDefault="00D060FC" w:rsidP="00D6629A">
            <w:pPr>
              <w:pStyle w:val="TableText"/>
              <w:jc w:val="right"/>
            </w:pPr>
            <w:r w:rsidRPr="005B0796">
              <w:rPr>
                <w:rFonts w:cs="Arial"/>
              </w:rPr>
              <w:t>20.2</w:t>
            </w:r>
          </w:p>
        </w:tc>
        <w:tc>
          <w:tcPr>
            <w:tcW w:w="963" w:type="dxa"/>
            <w:hideMark/>
          </w:tcPr>
          <w:p w:rsidR="00D060FC" w:rsidRPr="005B0796" w:rsidRDefault="00D060FC" w:rsidP="00D6629A">
            <w:pPr>
              <w:pStyle w:val="TableText"/>
              <w:jc w:val="right"/>
            </w:pPr>
            <w:r w:rsidRPr="005B0796">
              <w:rPr>
                <w:rFonts w:cs="Arial"/>
              </w:rPr>
              <w:t>14.7, 27.1</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Man-made disaster</w:t>
            </w:r>
          </w:p>
        </w:tc>
        <w:tc>
          <w:tcPr>
            <w:tcW w:w="1170" w:type="dxa"/>
            <w:hideMark/>
          </w:tcPr>
          <w:p w:rsidR="00D060FC" w:rsidRPr="005B0796" w:rsidRDefault="00D060FC" w:rsidP="00D6629A">
            <w:pPr>
              <w:pStyle w:val="TableText"/>
              <w:jc w:val="right"/>
            </w:pPr>
            <w:r w:rsidRPr="005B0796">
              <w:t>6684</w:t>
            </w:r>
          </w:p>
        </w:tc>
        <w:tc>
          <w:tcPr>
            <w:tcW w:w="962" w:type="dxa"/>
            <w:hideMark/>
          </w:tcPr>
          <w:p w:rsidR="00D060FC" w:rsidRPr="005B0796" w:rsidRDefault="00D060FC" w:rsidP="00D6629A">
            <w:pPr>
              <w:pStyle w:val="TableText"/>
              <w:jc w:val="right"/>
            </w:pPr>
            <w:r w:rsidRPr="005B0796">
              <w:rPr>
                <w:rFonts w:cs="Arial"/>
              </w:rPr>
              <w:t>1603</w:t>
            </w:r>
          </w:p>
        </w:tc>
        <w:tc>
          <w:tcPr>
            <w:tcW w:w="962" w:type="dxa"/>
            <w:hideMark/>
          </w:tcPr>
          <w:p w:rsidR="00D060FC" w:rsidRPr="005B0796" w:rsidRDefault="00D060FC" w:rsidP="00D6629A">
            <w:pPr>
              <w:pStyle w:val="TableText"/>
              <w:jc w:val="right"/>
            </w:pPr>
            <w:r w:rsidRPr="005B0796">
              <w:rPr>
                <w:rFonts w:cs="Arial"/>
              </w:rPr>
              <w:t>23.9</w:t>
            </w:r>
          </w:p>
        </w:tc>
        <w:tc>
          <w:tcPr>
            <w:tcW w:w="963" w:type="dxa"/>
            <w:hideMark/>
          </w:tcPr>
          <w:p w:rsidR="00D060FC" w:rsidRPr="005B0796" w:rsidRDefault="00D060FC" w:rsidP="00D6629A">
            <w:pPr>
              <w:pStyle w:val="TableText"/>
              <w:jc w:val="right"/>
            </w:pPr>
            <w:r w:rsidRPr="005B0796">
              <w:rPr>
                <w:rFonts w:cs="Arial"/>
              </w:rPr>
              <w:t>16.8, 33.1</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Life-threatening illness</w:t>
            </w:r>
          </w:p>
        </w:tc>
        <w:tc>
          <w:tcPr>
            <w:tcW w:w="1170" w:type="dxa"/>
            <w:hideMark/>
          </w:tcPr>
          <w:p w:rsidR="00D060FC" w:rsidRPr="005B0796" w:rsidRDefault="00D060FC" w:rsidP="00D6629A">
            <w:pPr>
              <w:pStyle w:val="TableText"/>
              <w:jc w:val="right"/>
            </w:pPr>
            <w:r w:rsidRPr="005B0796">
              <w:t>4069</w:t>
            </w:r>
          </w:p>
        </w:tc>
        <w:tc>
          <w:tcPr>
            <w:tcW w:w="962" w:type="dxa"/>
            <w:hideMark/>
          </w:tcPr>
          <w:p w:rsidR="00D060FC" w:rsidRPr="005B0796" w:rsidRDefault="00D060FC" w:rsidP="00D6629A">
            <w:pPr>
              <w:pStyle w:val="TableText"/>
              <w:jc w:val="right"/>
            </w:pPr>
            <w:r w:rsidRPr="005B0796">
              <w:rPr>
                <w:rFonts w:cs="Arial"/>
              </w:rPr>
              <w:t>897</w:t>
            </w:r>
          </w:p>
        </w:tc>
        <w:tc>
          <w:tcPr>
            <w:tcW w:w="962" w:type="dxa"/>
            <w:hideMark/>
          </w:tcPr>
          <w:p w:rsidR="00D060FC" w:rsidRPr="005B0796" w:rsidRDefault="00D060FC" w:rsidP="00D6629A">
            <w:pPr>
              <w:pStyle w:val="TableText"/>
              <w:jc w:val="right"/>
            </w:pPr>
            <w:r w:rsidRPr="005B0796">
              <w:rPr>
                <w:rFonts w:cs="Arial"/>
              </w:rPr>
              <w:t>22.1</w:t>
            </w:r>
          </w:p>
        </w:tc>
        <w:tc>
          <w:tcPr>
            <w:tcW w:w="963" w:type="dxa"/>
            <w:hideMark/>
          </w:tcPr>
          <w:p w:rsidR="00D060FC" w:rsidRPr="005B0796" w:rsidRDefault="00D060FC" w:rsidP="00D6629A">
            <w:pPr>
              <w:pStyle w:val="TableText"/>
              <w:jc w:val="right"/>
            </w:pPr>
            <w:r w:rsidRPr="005B0796">
              <w:rPr>
                <w:rFonts w:cs="Arial"/>
              </w:rPr>
              <w:t>14.8, 31.5</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Beaten by parent</w:t>
            </w:r>
          </w:p>
        </w:tc>
        <w:tc>
          <w:tcPr>
            <w:tcW w:w="1170" w:type="dxa"/>
            <w:hideMark/>
          </w:tcPr>
          <w:p w:rsidR="00D060FC" w:rsidRPr="005B0796" w:rsidRDefault="00D060FC" w:rsidP="00D6629A">
            <w:pPr>
              <w:pStyle w:val="TableText"/>
              <w:jc w:val="right"/>
            </w:pPr>
            <w:r w:rsidRPr="005B0796">
              <w:t>1517</w:t>
            </w:r>
          </w:p>
        </w:tc>
        <w:tc>
          <w:tcPr>
            <w:tcW w:w="962" w:type="dxa"/>
            <w:hideMark/>
          </w:tcPr>
          <w:p w:rsidR="00D060FC" w:rsidRPr="005B0796" w:rsidRDefault="00D060FC" w:rsidP="00D6629A">
            <w:pPr>
              <w:pStyle w:val="TableText"/>
              <w:jc w:val="right"/>
            </w:pPr>
            <w:r w:rsidRPr="005B0796">
              <w:rPr>
                <w:rFonts w:cs="Arial"/>
              </w:rPr>
              <w:t>576</w:t>
            </w:r>
          </w:p>
        </w:tc>
        <w:tc>
          <w:tcPr>
            <w:tcW w:w="962" w:type="dxa"/>
            <w:hideMark/>
          </w:tcPr>
          <w:p w:rsidR="00D060FC" w:rsidRPr="005B0796" w:rsidRDefault="00D060FC" w:rsidP="00D6629A">
            <w:pPr>
              <w:pStyle w:val="TableText"/>
              <w:jc w:val="right"/>
            </w:pPr>
            <w:r w:rsidRPr="005B0796">
              <w:rPr>
                <w:rFonts w:cs="Arial"/>
              </w:rPr>
              <w:t>37.9</w:t>
            </w:r>
          </w:p>
        </w:tc>
        <w:tc>
          <w:tcPr>
            <w:tcW w:w="963" w:type="dxa"/>
            <w:hideMark/>
          </w:tcPr>
          <w:p w:rsidR="00D060FC" w:rsidRPr="005B0796" w:rsidRDefault="00D060FC" w:rsidP="00D6629A">
            <w:pPr>
              <w:pStyle w:val="TableText"/>
              <w:jc w:val="right"/>
            </w:pPr>
            <w:r w:rsidRPr="005B0796">
              <w:rPr>
                <w:rFonts w:cs="Arial"/>
              </w:rPr>
              <w:t>21.0, 58.5</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Beaten by spouse/romantic partner</w:t>
            </w:r>
          </w:p>
        </w:tc>
        <w:tc>
          <w:tcPr>
            <w:tcW w:w="1170" w:type="dxa"/>
            <w:hideMark/>
          </w:tcPr>
          <w:p w:rsidR="00D060FC" w:rsidRPr="005B0796" w:rsidRDefault="00D060FC" w:rsidP="00D6629A">
            <w:pPr>
              <w:pStyle w:val="TableText"/>
              <w:jc w:val="right"/>
            </w:pPr>
            <w:r w:rsidRPr="005B0796">
              <w:t>893</w:t>
            </w:r>
          </w:p>
        </w:tc>
        <w:tc>
          <w:tcPr>
            <w:tcW w:w="962" w:type="dxa"/>
            <w:hideMark/>
          </w:tcPr>
          <w:p w:rsidR="00D060FC" w:rsidRPr="005B0796" w:rsidRDefault="00D060FC" w:rsidP="00D6629A">
            <w:pPr>
              <w:pStyle w:val="TableText"/>
              <w:jc w:val="right"/>
            </w:pPr>
            <w:r w:rsidRPr="005B0796">
              <w:rPr>
                <w:rFonts w:cs="Arial"/>
              </w:rPr>
              <w:t>223</w:t>
            </w:r>
          </w:p>
        </w:tc>
        <w:tc>
          <w:tcPr>
            <w:tcW w:w="962" w:type="dxa"/>
            <w:hideMark/>
          </w:tcPr>
          <w:p w:rsidR="00D060FC" w:rsidRPr="005B0796" w:rsidRDefault="00D060FC" w:rsidP="00D6629A">
            <w:pPr>
              <w:pStyle w:val="TableText"/>
              <w:jc w:val="right"/>
            </w:pPr>
            <w:r w:rsidRPr="005B0796">
              <w:rPr>
                <w:rFonts w:cs="Arial"/>
              </w:rPr>
              <w:t>25.0</w:t>
            </w:r>
          </w:p>
        </w:tc>
        <w:tc>
          <w:tcPr>
            <w:tcW w:w="963" w:type="dxa"/>
            <w:hideMark/>
          </w:tcPr>
          <w:p w:rsidR="00D060FC" w:rsidRPr="005B0796" w:rsidRDefault="00D060FC" w:rsidP="00D6629A">
            <w:pPr>
              <w:pStyle w:val="TableText"/>
              <w:jc w:val="right"/>
            </w:pPr>
            <w:r w:rsidRPr="005B0796">
              <w:rPr>
                <w:rFonts w:cs="Arial"/>
              </w:rPr>
              <w:t>11.5, 46.2</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Badly beaten by anyone else</w:t>
            </w:r>
          </w:p>
        </w:tc>
        <w:tc>
          <w:tcPr>
            <w:tcW w:w="1170" w:type="dxa"/>
            <w:hideMark/>
          </w:tcPr>
          <w:p w:rsidR="00D060FC" w:rsidRPr="005B0796" w:rsidRDefault="00D060FC" w:rsidP="00D6629A">
            <w:pPr>
              <w:pStyle w:val="TableText"/>
              <w:jc w:val="right"/>
            </w:pPr>
            <w:r w:rsidRPr="005B0796">
              <w:t>3651</w:t>
            </w:r>
          </w:p>
        </w:tc>
        <w:tc>
          <w:tcPr>
            <w:tcW w:w="962" w:type="dxa"/>
            <w:hideMark/>
          </w:tcPr>
          <w:p w:rsidR="00D060FC" w:rsidRPr="005B0796" w:rsidRDefault="00D060FC" w:rsidP="00D6629A">
            <w:pPr>
              <w:pStyle w:val="TableText"/>
              <w:jc w:val="right"/>
            </w:pPr>
            <w:r w:rsidRPr="005B0796">
              <w:rPr>
                <w:rFonts w:cs="Arial"/>
              </w:rPr>
              <w:t>954</w:t>
            </w:r>
          </w:p>
        </w:tc>
        <w:tc>
          <w:tcPr>
            <w:tcW w:w="962" w:type="dxa"/>
            <w:hideMark/>
          </w:tcPr>
          <w:p w:rsidR="00D060FC" w:rsidRPr="005B0796" w:rsidRDefault="00D060FC" w:rsidP="00D6629A">
            <w:pPr>
              <w:pStyle w:val="TableText"/>
              <w:jc w:val="right"/>
            </w:pPr>
            <w:r w:rsidRPr="005B0796">
              <w:rPr>
                <w:rFonts w:cs="Arial"/>
              </w:rPr>
              <w:t>26.1</w:t>
            </w:r>
          </w:p>
        </w:tc>
        <w:tc>
          <w:tcPr>
            <w:tcW w:w="963" w:type="dxa"/>
            <w:hideMark/>
          </w:tcPr>
          <w:p w:rsidR="00D060FC" w:rsidRPr="005B0796" w:rsidRDefault="00D060FC" w:rsidP="00D6629A">
            <w:pPr>
              <w:pStyle w:val="TableText"/>
              <w:jc w:val="right"/>
            </w:pPr>
            <w:r w:rsidRPr="005B0796">
              <w:rPr>
                <w:rFonts w:cs="Arial"/>
              </w:rPr>
              <w:t>16.8, 38.2</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Mugged, held up, threatened with a weapon</w:t>
            </w:r>
          </w:p>
        </w:tc>
        <w:tc>
          <w:tcPr>
            <w:tcW w:w="1170" w:type="dxa"/>
            <w:hideMark/>
          </w:tcPr>
          <w:p w:rsidR="00D060FC" w:rsidRPr="005B0796" w:rsidRDefault="00D060FC" w:rsidP="00D6629A">
            <w:pPr>
              <w:pStyle w:val="TableText"/>
              <w:jc w:val="right"/>
            </w:pPr>
            <w:r w:rsidRPr="005B0796">
              <w:t>7129</w:t>
            </w:r>
          </w:p>
        </w:tc>
        <w:tc>
          <w:tcPr>
            <w:tcW w:w="962" w:type="dxa"/>
            <w:hideMark/>
          </w:tcPr>
          <w:p w:rsidR="00D060FC" w:rsidRPr="005B0796" w:rsidRDefault="00D060FC" w:rsidP="00D6629A">
            <w:pPr>
              <w:pStyle w:val="TableText"/>
              <w:jc w:val="right"/>
            </w:pPr>
            <w:r w:rsidRPr="005B0796">
              <w:rPr>
                <w:rFonts w:cs="Arial"/>
              </w:rPr>
              <w:t>1766</w:t>
            </w:r>
          </w:p>
        </w:tc>
        <w:tc>
          <w:tcPr>
            <w:tcW w:w="962" w:type="dxa"/>
            <w:hideMark/>
          </w:tcPr>
          <w:p w:rsidR="00D060FC" w:rsidRPr="005B0796" w:rsidRDefault="00D060FC" w:rsidP="00D6629A">
            <w:pPr>
              <w:pStyle w:val="TableText"/>
              <w:jc w:val="right"/>
            </w:pPr>
            <w:r w:rsidRPr="005B0796">
              <w:rPr>
                <w:rFonts w:cs="Arial"/>
              </w:rPr>
              <w:t>24.8</w:t>
            </w:r>
          </w:p>
        </w:tc>
        <w:tc>
          <w:tcPr>
            <w:tcW w:w="963" w:type="dxa"/>
            <w:hideMark/>
          </w:tcPr>
          <w:p w:rsidR="00D060FC" w:rsidRPr="005B0796" w:rsidRDefault="00D060FC" w:rsidP="00D6629A">
            <w:pPr>
              <w:pStyle w:val="TableText"/>
              <w:jc w:val="right"/>
            </w:pPr>
            <w:r w:rsidRPr="005B0796">
              <w:rPr>
                <w:rFonts w:cs="Arial"/>
              </w:rPr>
              <w:t>17.8, 33.4</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Raped</w:t>
            </w:r>
          </w:p>
        </w:tc>
        <w:tc>
          <w:tcPr>
            <w:tcW w:w="1170" w:type="dxa"/>
            <w:hideMark/>
          </w:tcPr>
          <w:p w:rsidR="00D060FC" w:rsidRPr="005B0796" w:rsidRDefault="00D060FC" w:rsidP="00D6629A">
            <w:pPr>
              <w:pStyle w:val="TableText"/>
              <w:jc w:val="right"/>
            </w:pPr>
            <w:r w:rsidRPr="005B0796">
              <w:t>1429</w:t>
            </w:r>
          </w:p>
        </w:tc>
        <w:tc>
          <w:tcPr>
            <w:tcW w:w="962" w:type="dxa"/>
            <w:hideMark/>
          </w:tcPr>
          <w:p w:rsidR="00D060FC" w:rsidRPr="005B0796" w:rsidRDefault="00D060FC" w:rsidP="00D6629A">
            <w:pPr>
              <w:pStyle w:val="TableText"/>
              <w:jc w:val="right"/>
            </w:pPr>
            <w:r w:rsidRPr="005B0796">
              <w:rPr>
                <w:rFonts w:cs="Arial"/>
              </w:rPr>
              <w:t>552</w:t>
            </w:r>
          </w:p>
        </w:tc>
        <w:tc>
          <w:tcPr>
            <w:tcW w:w="962" w:type="dxa"/>
            <w:hideMark/>
          </w:tcPr>
          <w:p w:rsidR="00D060FC" w:rsidRPr="005B0796" w:rsidRDefault="00D060FC" w:rsidP="00D6629A">
            <w:pPr>
              <w:pStyle w:val="TableText"/>
              <w:jc w:val="right"/>
            </w:pPr>
            <w:r w:rsidRPr="005B0796">
              <w:rPr>
                <w:rFonts w:cs="Arial"/>
              </w:rPr>
              <w:t>38.6</w:t>
            </w:r>
          </w:p>
        </w:tc>
        <w:tc>
          <w:tcPr>
            <w:tcW w:w="963" w:type="dxa"/>
            <w:hideMark/>
          </w:tcPr>
          <w:p w:rsidR="00D060FC" w:rsidRPr="005B0796" w:rsidRDefault="00D060FC" w:rsidP="00D6629A">
            <w:pPr>
              <w:pStyle w:val="TableText"/>
              <w:jc w:val="right"/>
            </w:pPr>
            <w:r w:rsidRPr="005B0796">
              <w:rPr>
                <w:rFonts w:cs="Arial"/>
              </w:rPr>
              <w:t>22.4, 57.8</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Sexually assaulted</w:t>
            </w:r>
          </w:p>
        </w:tc>
        <w:tc>
          <w:tcPr>
            <w:tcW w:w="1170" w:type="dxa"/>
            <w:hideMark/>
          </w:tcPr>
          <w:p w:rsidR="00D060FC" w:rsidRPr="005B0796" w:rsidRDefault="00D060FC" w:rsidP="00D6629A">
            <w:pPr>
              <w:pStyle w:val="TableText"/>
              <w:jc w:val="right"/>
            </w:pPr>
            <w:r w:rsidRPr="005B0796">
              <w:t>3193</w:t>
            </w:r>
          </w:p>
        </w:tc>
        <w:tc>
          <w:tcPr>
            <w:tcW w:w="962" w:type="dxa"/>
            <w:hideMark/>
          </w:tcPr>
          <w:p w:rsidR="00D060FC" w:rsidRPr="005B0796" w:rsidRDefault="00D060FC" w:rsidP="00D6629A">
            <w:pPr>
              <w:pStyle w:val="TableText"/>
              <w:jc w:val="right"/>
            </w:pPr>
            <w:r w:rsidRPr="005B0796">
              <w:rPr>
                <w:rFonts w:cs="Arial"/>
              </w:rPr>
              <w:t>815</w:t>
            </w:r>
          </w:p>
        </w:tc>
        <w:tc>
          <w:tcPr>
            <w:tcW w:w="962" w:type="dxa"/>
            <w:hideMark/>
          </w:tcPr>
          <w:p w:rsidR="00D060FC" w:rsidRPr="005B0796" w:rsidRDefault="00D060FC" w:rsidP="00D6629A">
            <w:pPr>
              <w:pStyle w:val="TableText"/>
              <w:jc w:val="right"/>
            </w:pPr>
            <w:r w:rsidRPr="005B0796">
              <w:rPr>
                <w:rFonts w:cs="Arial"/>
              </w:rPr>
              <w:t>25.5</w:t>
            </w:r>
          </w:p>
        </w:tc>
        <w:tc>
          <w:tcPr>
            <w:tcW w:w="963" w:type="dxa"/>
            <w:hideMark/>
          </w:tcPr>
          <w:p w:rsidR="00D060FC" w:rsidRPr="005B0796" w:rsidRDefault="00D060FC" w:rsidP="00D6629A">
            <w:pPr>
              <w:pStyle w:val="TableText"/>
              <w:jc w:val="right"/>
            </w:pPr>
            <w:r w:rsidRPr="005B0796">
              <w:rPr>
                <w:rFonts w:cs="Arial"/>
              </w:rPr>
              <w:t>17.5, 35.7</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Stalked</w:t>
            </w:r>
          </w:p>
        </w:tc>
        <w:tc>
          <w:tcPr>
            <w:tcW w:w="1170" w:type="dxa"/>
            <w:hideMark/>
          </w:tcPr>
          <w:p w:rsidR="00D060FC" w:rsidRPr="005B0796" w:rsidRDefault="00D060FC" w:rsidP="00D6629A">
            <w:pPr>
              <w:pStyle w:val="TableText"/>
              <w:jc w:val="right"/>
            </w:pPr>
            <w:r w:rsidRPr="005B0796">
              <w:t>1860</w:t>
            </w:r>
          </w:p>
        </w:tc>
        <w:tc>
          <w:tcPr>
            <w:tcW w:w="962" w:type="dxa"/>
            <w:hideMark/>
          </w:tcPr>
          <w:p w:rsidR="00D060FC" w:rsidRPr="005B0796" w:rsidRDefault="00D060FC" w:rsidP="00D6629A">
            <w:pPr>
              <w:pStyle w:val="TableText"/>
              <w:jc w:val="right"/>
            </w:pPr>
            <w:r w:rsidRPr="005B0796">
              <w:rPr>
                <w:rFonts w:cs="Arial"/>
              </w:rPr>
              <w:t>340</w:t>
            </w:r>
          </w:p>
        </w:tc>
        <w:tc>
          <w:tcPr>
            <w:tcW w:w="962" w:type="dxa"/>
            <w:hideMark/>
          </w:tcPr>
          <w:p w:rsidR="00D060FC" w:rsidRPr="005B0796" w:rsidRDefault="00D060FC" w:rsidP="00D6629A">
            <w:pPr>
              <w:pStyle w:val="TableText"/>
              <w:jc w:val="right"/>
            </w:pPr>
            <w:r w:rsidRPr="005B0796">
              <w:rPr>
                <w:rFonts w:cs="Arial"/>
              </w:rPr>
              <w:t>18.3</w:t>
            </w:r>
          </w:p>
        </w:tc>
        <w:tc>
          <w:tcPr>
            <w:tcW w:w="963" w:type="dxa"/>
            <w:hideMark/>
          </w:tcPr>
          <w:p w:rsidR="00D060FC" w:rsidRPr="005B0796" w:rsidRDefault="00D060FC" w:rsidP="00D6629A">
            <w:pPr>
              <w:pStyle w:val="TableText"/>
              <w:jc w:val="right"/>
            </w:pPr>
            <w:r w:rsidRPr="005B0796">
              <w:rPr>
                <w:rFonts w:cs="Arial"/>
              </w:rPr>
              <w:t>11.2, 28.4</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Someone close died unexpectedly</w:t>
            </w:r>
          </w:p>
        </w:tc>
        <w:tc>
          <w:tcPr>
            <w:tcW w:w="1170" w:type="dxa"/>
            <w:hideMark/>
          </w:tcPr>
          <w:p w:rsidR="00D060FC" w:rsidRPr="005B0796" w:rsidRDefault="00D060FC" w:rsidP="00D6629A">
            <w:pPr>
              <w:pStyle w:val="TableText"/>
              <w:jc w:val="right"/>
            </w:pPr>
            <w:r w:rsidRPr="005B0796">
              <w:t>10,437</w:t>
            </w:r>
          </w:p>
        </w:tc>
        <w:tc>
          <w:tcPr>
            <w:tcW w:w="962" w:type="dxa"/>
            <w:hideMark/>
          </w:tcPr>
          <w:p w:rsidR="00D060FC" w:rsidRPr="005B0796" w:rsidRDefault="00D060FC" w:rsidP="00D6629A">
            <w:pPr>
              <w:pStyle w:val="TableText"/>
              <w:jc w:val="right"/>
            </w:pPr>
            <w:r w:rsidRPr="005B0796">
              <w:rPr>
                <w:rFonts w:cs="Arial"/>
              </w:rPr>
              <w:t>2258</w:t>
            </w:r>
          </w:p>
        </w:tc>
        <w:tc>
          <w:tcPr>
            <w:tcW w:w="962" w:type="dxa"/>
            <w:hideMark/>
          </w:tcPr>
          <w:p w:rsidR="00D060FC" w:rsidRPr="005B0796" w:rsidRDefault="00D060FC" w:rsidP="00D6629A">
            <w:pPr>
              <w:pStyle w:val="TableText"/>
              <w:jc w:val="right"/>
            </w:pPr>
            <w:r w:rsidRPr="005B0796">
              <w:rPr>
                <w:rFonts w:cs="Arial"/>
              </w:rPr>
              <w:t>21.6</w:t>
            </w:r>
          </w:p>
        </w:tc>
        <w:tc>
          <w:tcPr>
            <w:tcW w:w="963" w:type="dxa"/>
            <w:hideMark/>
          </w:tcPr>
          <w:p w:rsidR="00D060FC" w:rsidRPr="005B0796" w:rsidRDefault="00D060FC" w:rsidP="00D6629A">
            <w:pPr>
              <w:pStyle w:val="TableText"/>
              <w:jc w:val="right"/>
            </w:pPr>
            <w:r w:rsidRPr="005B0796">
              <w:rPr>
                <w:rFonts w:cs="Arial"/>
              </w:rPr>
              <w:t>16.6, 27.6</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Child had life-threatening illness/injury</w:t>
            </w:r>
          </w:p>
        </w:tc>
        <w:tc>
          <w:tcPr>
            <w:tcW w:w="1170" w:type="dxa"/>
            <w:hideMark/>
          </w:tcPr>
          <w:p w:rsidR="00D060FC" w:rsidRPr="005B0796" w:rsidRDefault="00D060FC" w:rsidP="00D6629A">
            <w:pPr>
              <w:pStyle w:val="TableText"/>
              <w:jc w:val="right"/>
            </w:pPr>
            <w:r w:rsidRPr="005B0796">
              <w:t>1660</w:t>
            </w:r>
          </w:p>
        </w:tc>
        <w:tc>
          <w:tcPr>
            <w:tcW w:w="962" w:type="dxa"/>
            <w:hideMark/>
          </w:tcPr>
          <w:p w:rsidR="00D060FC" w:rsidRPr="005B0796" w:rsidRDefault="00D060FC" w:rsidP="00D6629A">
            <w:pPr>
              <w:pStyle w:val="TableText"/>
              <w:jc w:val="right"/>
            </w:pPr>
            <w:r w:rsidRPr="005B0796">
              <w:rPr>
                <w:rFonts w:cs="Arial"/>
              </w:rPr>
              <w:t>433</w:t>
            </w:r>
          </w:p>
        </w:tc>
        <w:tc>
          <w:tcPr>
            <w:tcW w:w="962" w:type="dxa"/>
            <w:hideMark/>
          </w:tcPr>
          <w:p w:rsidR="00D060FC" w:rsidRPr="005B0796" w:rsidRDefault="00D060FC" w:rsidP="00D6629A">
            <w:pPr>
              <w:pStyle w:val="TableText"/>
              <w:jc w:val="right"/>
            </w:pPr>
            <w:r w:rsidRPr="005B0796">
              <w:rPr>
                <w:rFonts w:cs="Arial"/>
              </w:rPr>
              <w:t>26.1</w:t>
            </w:r>
          </w:p>
        </w:tc>
        <w:tc>
          <w:tcPr>
            <w:tcW w:w="963" w:type="dxa"/>
            <w:hideMark/>
          </w:tcPr>
          <w:p w:rsidR="00D060FC" w:rsidRPr="005B0796" w:rsidRDefault="00D060FC" w:rsidP="00D6629A">
            <w:pPr>
              <w:pStyle w:val="TableText"/>
              <w:jc w:val="right"/>
            </w:pPr>
            <w:r w:rsidRPr="005B0796">
              <w:rPr>
                <w:rFonts w:cs="Arial"/>
              </w:rPr>
              <w:t>15.5, 40.4</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Someone close had traumatic experience</w:t>
            </w:r>
          </w:p>
        </w:tc>
        <w:tc>
          <w:tcPr>
            <w:tcW w:w="1170" w:type="dxa"/>
            <w:hideMark/>
          </w:tcPr>
          <w:p w:rsidR="00D060FC" w:rsidRPr="005B0796" w:rsidRDefault="00D060FC" w:rsidP="00D6629A">
            <w:pPr>
              <w:pStyle w:val="TableText"/>
              <w:jc w:val="right"/>
            </w:pPr>
            <w:r w:rsidRPr="005B0796">
              <w:t>3046</w:t>
            </w:r>
          </w:p>
        </w:tc>
        <w:tc>
          <w:tcPr>
            <w:tcW w:w="962" w:type="dxa"/>
            <w:hideMark/>
          </w:tcPr>
          <w:p w:rsidR="00D060FC" w:rsidRPr="005B0796" w:rsidRDefault="00D060FC" w:rsidP="00D6629A">
            <w:pPr>
              <w:pStyle w:val="TableText"/>
              <w:jc w:val="right"/>
            </w:pPr>
            <w:r w:rsidRPr="005B0796">
              <w:rPr>
                <w:rFonts w:cs="Arial"/>
              </w:rPr>
              <w:t>610</w:t>
            </w:r>
          </w:p>
        </w:tc>
        <w:tc>
          <w:tcPr>
            <w:tcW w:w="962" w:type="dxa"/>
            <w:hideMark/>
          </w:tcPr>
          <w:p w:rsidR="00D060FC" w:rsidRPr="005B0796" w:rsidRDefault="00D060FC" w:rsidP="00D6629A">
            <w:pPr>
              <w:pStyle w:val="TableText"/>
              <w:jc w:val="right"/>
            </w:pPr>
            <w:r w:rsidRPr="005B0796">
              <w:rPr>
                <w:rFonts w:cs="Arial"/>
              </w:rPr>
              <w:t>20.0</w:t>
            </w:r>
          </w:p>
        </w:tc>
        <w:tc>
          <w:tcPr>
            <w:tcW w:w="963" w:type="dxa"/>
            <w:hideMark/>
          </w:tcPr>
          <w:p w:rsidR="00D060FC" w:rsidRPr="005B0796" w:rsidRDefault="00D060FC" w:rsidP="00D6629A">
            <w:pPr>
              <w:pStyle w:val="TableText"/>
              <w:jc w:val="right"/>
            </w:pPr>
            <w:r w:rsidRPr="005B0796">
              <w:rPr>
                <w:rFonts w:cs="Arial"/>
              </w:rPr>
              <w:t>11.8, 31.8</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Witnessed fight or assault as a child</w:t>
            </w:r>
          </w:p>
        </w:tc>
        <w:tc>
          <w:tcPr>
            <w:tcW w:w="1170" w:type="dxa"/>
            <w:hideMark/>
          </w:tcPr>
          <w:p w:rsidR="00D060FC" w:rsidRPr="005B0796" w:rsidRDefault="00D060FC" w:rsidP="00D6629A">
            <w:pPr>
              <w:pStyle w:val="TableText"/>
              <w:jc w:val="right"/>
            </w:pPr>
            <w:r w:rsidRPr="005B0796">
              <w:t>2371</w:t>
            </w:r>
          </w:p>
        </w:tc>
        <w:tc>
          <w:tcPr>
            <w:tcW w:w="962" w:type="dxa"/>
            <w:hideMark/>
          </w:tcPr>
          <w:p w:rsidR="00D060FC" w:rsidRPr="005B0796" w:rsidRDefault="00D060FC" w:rsidP="00D6629A">
            <w:pPr>
              <w:pStyle w:val="TableText"/>
              <w:jc w:val="right"/>
            </w:pPr>
            <w:r w:rsidRPr="005B0796">
              <w:rPr>
                <w:rFonts w:cs="Arial"/>
              </w:rPr>
              <w:t>474</w:t>
            </w:r>
          </w:p>
        </w:tc>
        <w:tc>
          <w:tcPr>
            <w:tcW w:w="962" w:type="dxa"/>
            <w:hideMark/>
          </w:tcPr>
          <w:p w:rsidR="00D060FC" w:rsidRPr="005B0796" w:rsidRDefault="00D060FC" w:rsidP="00D6629A">
            <w:pPr>
              <w:pStyle w:val="TableText"/>
              <w:jc w:val="right"/>
            </w:pPr>
            <w:r w:rsidRPr="005B0796">
              <w:rPr>
                <w:rFonts w:cs="Arial"/>
              </w:rPr>
              <w:t>19.9</w:t>
            </w:r>
          </w:p>
        </w:tc>
        <w:tc>
          <w:tcPr>
            <w:tcW w:w="963" w:type="dxa"/>
            <w:hideMark/>
          </w:tcPr>
          <w:p w:rsidR="00D060FC" w:rsidRPr="005B0796" w:rsidRDefault="00D060FC" w:rsidP="00D6629A">
            <w:pPr>
              <w:pStyle w:val="TableText"/>
              <w:jc w:val="right"/>
            </w:pPr>
            <w:r w:rsidRPr="005B0796">
              <w:rPr>
                <w:rFonts w:cs="Arial"/>
              </w:rPr>
              <w:t>11.8, 31.9</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Saw someone badly injured/killed or unexpectedly saw a dead body</w:t>
            </w:r>
          </w:p>
        </w:tc>
        <w:tc>
          <w:tcPr>
            <w:tcW w:w="1170" w:type="dxa"/>
            <w:hideMark/>
          </w:tcPr>
          <w:p w:rsidR="00D060FC" w:rsidRPr="005B0796" w:rsidRDefault="00D060FC" w:rsidP="00D6629A">
            <w:pPr>
              <w:pStyle w:val="TableText"/>
              <w:jc w:val="right"/>
            </w:pPr>
            <w:r w:rsidRPr="005B0796">
              <w:t>14,257</w:t>
            </w:r>
          </w:p>
        </w:tc>
        <w:tc>
          <w:tcPr>
            <w:tcW w:w="962" w:type="dxa"/>
            <w:hideMark/>
          </w:tcPr>
          <w:p w:rsidR="00D060FC" w:rsidRPr="005B0796" w:rsidRDefault="00D060FC" w:rsidP="00D6629A">
            <w:pPr>
              <w:pStyle w:val="TableText"/>
              <w:jc w:val="right"/>
            </w:pPr>
            <w:r w:rsidRPr="005B0796">
              <w:rPr>
                <w:rFonts w:cs="Arial"/>
              </w:rPr>
              <w:t>3218</w:t>
            </w:r>
          </w:p>
        </w:tc>
        <w:tc>
          <w:tcPr>
            <w:tcW w:w="962" w:type="dxa"/>
            <w:hideMark/>
          </w:tcPr>
          <w:p w:rsidR="00D060FC" w:rsidRPr="005B0796" w:rsidRDefault="00D060FC" w:rsidP="00D6629A">
            <w:pPr>
              <w:pStyle w:val="TableText"/>
              <w:jc w:val="right"/>
            </w:pPr>
            <w:r w:rsidRPr="005B0796">
              <w:rPr>
                <w:rFonts w:cs="Arial"/>
              </w:rPr>
              <w:t>22.6</w:t>
            </w:r>
          </w:p>
        </w:tc>
        <w:tc>
          <w:tcPr>
            <w:tcW w:w="963" w:type="dxa"/>
            <w:hideMark/>
          </w:tcPr>
          <w:p w:rsidR="00D060FC" w:rsidRPr="005B0796" w:rsidRDefault="00D060FC" w:rsidP="00D6629A">
            <w:pPr>
              <w:pStyle w:val="TableText"/>
              <w:jc w:val="right"/>
            </w:pPr>
            <w:r w:rsidRPr="005B0796">
              <w:rPr>
                <w:rFonts w:cs="Arial"/>
              </w:rPr>
              <w:t>17.8, 28.2</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Accidently injured/killed someone</w:t>
            </w:r>
          </w:p>
        </w:tc>
        <w:tc>
          <w:tcPr>
            <w:tcW w:w="1170" w:type="dxa"/>
            <w:hideMark/>
          </w:tcPr>
          <w:p w:rsidR="00D060FC" w:rsidRPr="005B0796" w:rsidRDefault="00D060FC" w:rsidP="00D6629A">
            <w:pPr>
              <w:pStyle w:val="TableText"/>
              <w:jc w:val="right"/>
            </w:pPr>
            <w:r w:rsidRPr="005B0796">
              <w:t>1426</w:t>
            </w:r>
          </w:p>
        </w:tc>
        <w:tc>
          <w:tcPr>
            <w:tcW w:w="962" w:type="dxa"/>
            <w:hideMark/>
          </w:tcPr>
          <w:p w:rsidR="00D060FC" w:rsidRPr="005B0796" w:rsidRDefault="00D060FC" w:rsidP="00D6629A">
            <w:pPr>
              <w:pStyle w:val="TableText"/>
              <w:jc w:val="right"/>
            </w:pPr>
            <w:r w:rsidRPr="005B0796">
              <w:rPr>
                <w:rFonts w:cs="Arial"/>
              </w:rPr>
              <w:t>473</w:t>
            </w:r>
          </w:p>
        </w:tc>
        <w:tc>
          <w:tcPr>
            <w:tcW w:w="962" w:type="dxa"/>
            <w:hideMark/>
          </w:tcPr>
          <w:p w:rsidR="00D060FC" w:rsidRPr="005B0796" w:rsidRDefault="00D060FC" w:rsidP="00D6629A">
            <w:pPr>
              <w:pStyle w:val="TableText"/>
              <w:jc w:val="right"/>
            </w:pPr>
            <w:r w:rsidRPr="005B0796">
              <w:rPr>
                <w:rFonts w:cs="Arial"/>
              </w:rPr>
              <w:t>33.2</w:t>
            </w:r>
          </w:p>
        </w:tc>
        <w:tc>
          <w:tcPr>
            <w:tcW w:w="963" w:type="dxa"/>
            <w:hideMark/>
          </w:tcPr>
          <w:p w:rsidR="00D060FC" w:rsidRPr="005B0796" w:rsidRDefault="00D060FC" w:rsidP="00D6629A">
            <w:pPr>
              <w:pStyle w:val="TableText"/>
              <w:jc w:val="right"/>
            </w:pPr>
            <w:r w:rsidRPr="005B0796">
              <w:rPr>
                <w:rFonts w:cs="Arial"/>
              </w:rPr>
              <w:t>17.0, 54.8</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Purposely injured/tortured/killed someone</w:t>
            </w:r>
          </w:p>
        </w:tc>
        <w:tc>
          <w:tcPr>
            <w:tcW w:w="1170" w:type="dxa"/>
            <w:hideMark/>
          </w:tcPr>
          <w:p w:rsidR="00D060FC" w:rsidRPr="005B0796" w:rsidRDefault="00D060FC" w:rsidP="00D6629A">
            <w:pPr>
              <w:pStyle w:val="TableText"/>
              <w:jc w:val="right"/>
            </w:pPr>
            <w:r w:rsidRPr="005B0796">
              <w:t>2229</w:t>
            </w:r>
          </w:p>
        </w:tc>
        <w:tc>
          <w:tcPr>
            <w:tcW w:w="962" w:type="dxa"/>
            <w:hideMark/>
          </w:tcPr>
          <w:p w:rsidR="00D060FC" w:rsidRPr="005B0796" w:rsidRDefault="00D060FC" w:rsidP="00D6629A">
            <w:pPr>
              <w:pStyle w:val="TableText"/>
              <w:jc w:val="right"/>
            </w:pPr>
            <w:r w:rsidRPr="005B0796">
              <w:rPr>
                <w:rFonts w:cs="Arial"/>
              </w:rPr>
              <w:t>716</w:t>
            </w:r>
          </w:p>
        </w:tc>
        <w:tc>
          <w:tcPr>
            <w:tcW w:w="962" w:type="dxa"/>
            <w:hideMark/>
          </w:tcPr>
          <w:p w:rsidR="00D060FC" w:rsidRPr="005B0796" w:rsidRDefault="00D060FC" w:rsidP="00D6629A">
            <w:pPr>
              <w:pStyle w:val="TableText"/>
              <w:jc w:val="right"/>
            </w:pPr>
            <w:r w:rsidRPr="005B0796">
              <w:rPr>
                <w:rFonts w:cs="Arial"/>
              </w:rPr>
              <w:t>32.1</w:t>
            </w:r>
          </w:p>
        </w:tc>
        <w:tc>
          <w:tcPr>
            <w:tcW w:w="963" w:type="dxa"/>
            <w:hideMark/>
          </w:tcPr>
          <w:p w:rsidR="00D060FC" w:rsidRPr="005B0796" w:rsidRDefault="00D060FC" w:rsidP="00D6629A">
            <w:pPr>
              <w:pStyle w:val="TableText"/>
              <w:jc w:val="right"/>
            </w:pPr>
            <w:r w:rsidRPr="005B0796">
              <w:rPr>
                <w:rFonts w:cs="Arial"/>
              </w:rPr>
              <w:t>18.1, 50.3</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Saw atrocities or carnage such as mutilated bodies or mass killings</w:t>
            </w:r>
          </w:p>
        </w:tc>
        <w:tc>
          <w:tcPr>
            <w:tcW w:w="1170" w:type="dxa"/>
            <w:hideMark/>
          </w:tcPr>
          <w:p w:rsidR="00D060FC" w:rsidRPr="005B0796" w:rsidRDefault="00D060FC" w:rsidP="00D6629A">
            <w:pPr>
              <w:pStyle w:val="TableText"/>
              <w:jc w:val="right"/>
            </w:pPr>
            <w:r w:rsidRPr="005B0796">
              <w:t>5492</w:t>
            </w:r>
          </w:p>
        </w:tc>
        <w:tc>
          <w:tcPr>
            <w:tcW w:w="962" w:type="dxa"/>
            <w:hideMark/>
          </w:tcPr>
          <w:p w:rsidR="00D060FC" w:rsidRPr="005B0796" w:rsidRDefault="00D060FC" w:rsidP="00D6629A">
            <w:pPr>
              <w:pStyle w:val="TableText"/>
              <w:jc w:val="right"/>
            </w:pPr>
            <w:r w:rsidRPr="005B0796">
              <w:rPr>
                <w:rFonts w:cs="Arial"/>
              </w:rPr>
              <w:t>1606</w:t>
            </w:r>
          </w:p>
        </w:tc>
        <w:tc>
          <w:tcPr>
            <w:tcW w:w="962" w:type="dxa"/>
            <w:hideMark/>
          </w:tcPr>
          <w:p w:rsidR="00D060FC" w:rsidRPr="005B0796" w:rsidRDefault="00D060FC" w:rsidP="00D6629A">
            <w:pPr>
              <w:pStyle w:val="TableText"/>
              <w:jc w:val="right"/>
            </w:pPr>
            <w:r w:rsidRPr="005B0796">
              <w:rPr>
                <w:rFonts w:cs="Arial"/>
              </w:rPr>
              <w:t>29.3</w:t>
            </w:r>
          </w:p>
        </w:tc>
        <w:tc>
          <w:tcPr>
            <w:tcW w:w="963" w:type="dxa"/>
            <w:hideMark/>
          </w:tcPr>
          <w:p w:rsidR="00D060FC" w:rsidRPr="005B0796" w:rsidRDefault="00D060FC" w:rsidP="00D6629A">
            <w:pPr>
              <w:pStyle w:val="TableText"/>
              <w:jc w:val="right"/>
            </w:pPr>
            <w:r w:rsidRPr="005B0796">
              <w:rPr>
                <w:rFonts w:cs="Arial"/>
              </w:rPr>
              <w:t>21.7, 38.1</w:t>
            </w:r>
          </w:p>
        </w:tc>
      </w:tr>
      <w:tr w:rsidR="00D060FC" w:rsidRPr="005B0796" w:rsidTr="00AF36A8">
        <w:tc>
          <w:tcPr>
            <w:tcW w:w="3258" w:type="dxa"/>
            <w:hideMark/>
          </w:tcPr>
          <w:p w:rsidR="00D060FC" w:rsidRPr="005B0796" w:rsidRDefault="00D060FC" w:rsidP="00D6629A">
            <w:pPr>
              <w:pStyle w:val="TableText"/>
              <w:rPr>
                <w:rFonts w:eastAsia="Times New Roman"/>
              </w:rPr>
            </w:pPr>
            <w:r w:rsidRPr="005B0796">
              <w:t>Other traumatic event</w:t>
            </w:r>
          </w:p>
        </w:tc>
        <w:tc>
          <w:tcPr>
            <w:tcW w:w="1170" w:type="dxa"/>
            <w:hideMark/>
          </w:tcPr>
          <w:p w:rsidR="00D060FC" w:rsidRPr="005B0796" w:rsidRDefault="00D060FC" w:rsidP="00D6629A">
            <w:pPr>
              <w:pStyle w:val="TableText"/>
              <w:jc w:val="right"/>
            </w:pPr>
            <w:r w:rsidRPr="005B0796">
              <w:t>4183</w:t>
            </w:r>
          </w:p>
        </w:tc>
        <w:tc>
          <w:tcPr>
            <w:tcW w:w="962" w:type="dxa"/>
            <w:hideMark/>
          </w:tcPr>
          <w:p w:rsidR="00D060FC" w:rsidRPr="005B0796" w:rsidRDefault="00D060FC" w:rsidP="00D6629A">
            <w:pPr>
              <w:pStyle w:val="TableText"/>
              <w:jc w:val="right"/>
            </w:pPr>
            <w:r w:rsidRPr="005B0796">
              <w:rPr>
                <w:rFonts w:cs="Arial"/>
              </w:rPr>
              <w:t>1240</w:t>
            </w:r>
          </w:p>
        </w:tc>
        <w:tc>
          <w:tcPr>
            <w:tcW w:w="962" w:type="dxa"/>
            <w:hideMark/>
          </w:tcPr>
          <w:p w:rsidR="00D060FC" w:rsidRPr="005B0796" w:rsidRDefault="00D060FC" w:rsidP="00D6629A">
            <w:pPr>
              <w:pStyle w:val="TableText"/>
              <w:jc w:val="right"/>
            </w:pPr>
            <w:r w:rsidRPr="005B0796">
              <w:rPr>
                <w:rFonts w:cs="Arial"/>
              </w:rPr>
              <w:t>29.7</w:t>
            </w:r>
          </w:p>
        </w:tc>
        <w:tc>
          <w:tcPr>
            <w:tcW w:w="963" w:type="dxa"/>
            <w:hideMark/>
          </w:tcPr>
          <w:p w:rsidR="00D060FC" w:rsidRPr="005B0796" w:rsidRDefault="00D060FC" w:rsidP="00D6629A">
            <w:pPr>
              <w:pStyle w:val="TableText"/>
              <w:jc w:val="right"/>
            </w:pPr>
            <w:r w:rsidRPr="005B0796">
              <w:rPr>
                <w:rFonts w:cs="Arial"/>
              </w:rPr>
              <w:t>21.0, 40.0</w:t>
            </w:r>
          </w:p>
        </w:tc>
      </w:tr>
      <w:tr w:rsidR="00D060FC" w:rsidRPr="005B0796" w:rsidTr="00AF36A8">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rFonts w:eastAsia="Times New Roman"/>
              </w:rPr>
            </w:pPr>
            <w:r w:rsidRPr="005B0796">
              <w:t>Other traumatic event they don</w:t>
            </w:r>
            <w:r w:rsidR="00462A0C" w:rsidRPr="005B0796">
              <w:t>’</w:t>
            </w:r>
            <w:r w:rsidRPr="005B0796">
              <w:t>t want to talk about</w:t>
            </w:r>
          </w:p>
        </w:tc>
        <w:tc>
          <w:tcPr>
            <w:tcW w:w="1170" w:type="dxa"/>
            <w:hideMark/>
          </w:tcPr>
          <w:p w:rsidR="00D060FC" w:rsidRPr="005B0796" w:rsidRDefault="00D060FC" w:rsidP="00D6629A">
            <w:pPr>
              <w:pStyle w:val="TableText"/>
              <w:jc w:val="right"/>
            </w:pPr>
            <w:r w:rsidRPr="005B0796">
              <w:t>3108</w:t>
            </w:r>
          </w:p>
        </w:tc>
        <w:tc>
          <w:tcPr>
            <w:tcW w:w="962" w:type="dxa"/>
            <w:hideMark/>
          </w:tcPr>
          <w:p w:rsidR="00D060FC" w:rsidRPr="005B0796" w:rsidRDefault="00D060FC" w:rsidP="00D6629A">
            <w:pPr>
              <w:pStyle w:val="TableText"/>
              <w:jc w:val="right"/>
            </w:pPr>
            <w:r w:rsidRPr="005B0796">
              <w:rPr>
                <w:rFonts w:cs="Arial"/>
              </w:rPr>
              <w:t>1285</w:t>
            </w:r>
          </w:p>
        </w:tc>
        <w:tc>
          <w:tcPr>
            <w:tcW w:w="962" w:type="dxa"/>
            <w:hideMark/>
          </w:tcPr>
          <w:p w:rsidR="00D060FC" w:rsidRPr="005B0796" w:rsidRDefault="00D060FC" w:rsidP="00D6629A">
            <w:pPr>
              <w:pStyle w:val="TableText"/>
              <w:jc w:val="right"/>
            </w:pPr>
            <w:r w:rsidRPr="005B0796">
              <w:rPr>
                <w:rFonts w:cs="Arial"/>
              </w:rPr>
              <w:t>41.3</w:t>
            </w:r>
          </w:p>
        </w:tc>
        <w:tc>
          <w:tcPr>
            <w:tcW w:w="963" w:type="dxa"/>
            <w:hideMark/>
          </w:tcPr>
          <w:p w:rsidR="00D060FC" w:rsidRPr="005B0796" w:rsidRDefault="00D060FC" w:rsidP="00D6629A">
            <w:pPr>
              <w:pStyle w:val="TableText"/>
              <w:jc w:val="right"/>
            </w:pPr>
            <w:r w:rsidRPr="005B0796">
              <w:rPr>
                <w:rFonts w:cs="Arial"/>
              </w:rPr>
              <w:t>29.1, 54.8</w:t>
            </w:r>
          </w:p>
        </w:tc>
      </w:tr>
    </w:tbl>
    <w:p w:rsidR="00D060FC" w:rsidRPr="005B0796" w:rsidRDefault="00DA779A" w:rsidP="00DA779A">
      <w:pPr>
        <w:pStyle w:val="TableNotes"/>
      </w:pPr>
      <w:r w:rsidRPr="005B0796">
        <w:t xml:space="preserve">Note: 95% CI: 95% </w:t>
      </w:r>
      <w:r w:rsidR="00564689" w:rsidRPr="005B0796">
        <w:t>confidence interval</w:t>
      </w:r>
    </w:p>
    <w:p w:rsidR="00E94D17" w:rsidRPr="005B0796" w:rsidRDefault="00E94D17" w:rsidP="00E94D17">
      <w:pPr>
        <w:sectPr w:rsidR="00E94D17" w:rsidRPr="005B0796" w:rsidSect="00BF35AC">
          <w:footerReference w:type="even" r:id="rId76"/>
          <w:pgSz w:w="9979" w:h="14170" w:code="243"/>
          <w:pgMar w:top="1440" w:right="1152" w:bottom="1440" w:left="1728" w:header="576" w:footer="576" w:gutter="0"/>
          <w:cols w:space="708"/>
          <w:docGrid w:linePitch="360"/>
        </w:sectPr>
      </w:pPr>
      <w:bookmarkStart w:id="475" w:name="_Ref484521423"/>
      <w:bookmarkStart w:id="476" w:name="_Toc482023835"/>
      <w:bookmarkStart w:id="477" w:name="_Toc487014360"/>
    </w:p>
    <w:p w:rsidR="00DA779A" w:rsidRPr="005B0796" w:rsidRDefault="00DA779A" w:rsidP="00DA779A">
      <w:pPr>
        <w:pStyle w:val="FigureName"/>
      </w:pPr>
      <w:bookmarkStart w:id="478" w:name="_Toc51190052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12</w:t>
      </w:r>
      <w:r w:rsidR="00D30A3C">
        <w:rPr>
          <w:noProof/>
        </w:rPr>
        <w:fldChar w:fldCharType="end"/>
      </w:r>
      <w:bookmarkEnd w:id="475"/>
      <w:r w:rsidRPr="005B0796">
        <w:tab/>
        <w:t>Estimated prevalence of posttraumatic stress disorder from specific event types in Transitioned ADF</w:t>
      </w:r>
      <w:bookmarkEnd w:id="476"/>
      <w:bookmarkEnd w:id="477"/>
      <w:bookmarkEnd w:id="478"/>
    </w:p>
    <w:tbl>
      <w:tblPr>
        <w:tblW w:w="5000" w:type="pct"/>
        <w:tblLayout w:type="fixed"/>
        <w:tblCellMar>
          <w:left w:w="115" w:type="dxa"/>
          <w:right w:w="115" w:type="dxa"/>
        </w:tblCellMar>
        <w:tblLook w:val="04A0" w:firstRow="1" w:lastRow="0" w:firstColumn="1" w:lastColumn="0" w:noHBand="0" w:noVBand="1"/>
      </w:tblPr>
      <w:tblGrid>
        <w:gridCol w:w="11520"/>
      </w:tblGrid>
      <w:tr w:rsidR="00D060FC" w:rsidRPr="005B0796" w:rsidTr="00D6629A">
        <w:trPr>
          <w:cantSplit/>
        </w:trPr>
        <w:tc>
          <w:tcPr>
            <w:tcW w:w="7315" w:type="dxa"/>
          </w:tcPr>
          <w:p w:rsidR="00D060FC" w:rsidRPr="005B0796" w:rsidRDefault="00D060FC" w:rsidP="0019239D">
            <w:r w:rsidRPr="005B0796">
              <w:rPr>
                <w:noProof/>
                <w:lang w:eastAsia="en-AU"/>
              </w:rPr>
              <w:drawing>
                <wp:inline distT="0" distB="0" distL="0" distR="0" wp14:anchorId="59FF42D0" wp14:editId="30B31A9A">
                  <wp:extent cx="7248525" cy="4105275"/>
                  <wp:effectExtent l="0" t="0" r="0" b="0"/>
                  <wp:docPr id="27" name="Chart 27" descr="Figure 4.12 Estimated prevalence of posttraumatic stress disorder from specific event types in Transitioned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E94D17" w:rsidRPr="005B0796" w:rsidRDefault="00E94D17" w:rsidP="00E94D17">
      <w:pPr>
        <w:sectPr w:rsidR="00E94D17" w:rsidRPr="005B0796" w:rsidSect="00E94D17">
          <w:footerReference w:type="default" r:id="rId78"/>
          <w:pgSz w:w="14170" w:h="9979" w:orient="landscape" w:code="243"/>
          <w:pgMar w:top="1728" w:right="1440" w:bottom="1152" w:left="1440" w:header="576" w:footer="576" w:gutter="0"/>
          <w:cols w:space="708"/>
          <w:docGrid w:linePitch="360"/>
        </w:sectPr>
      </w:pPr>
      <w:bookmarkStart w:id="479" w:name="_Toc487011197"/>
    </w:p>
    <w:p w:rsidR="00D060FC" w:rsidRPr="005B0796" w:rsidRDefault="00D060FC" w:rsidP="00DA779A">
      <w:pPr>
        <w:pStyle w:val="Heading2"/>
      </w:pPr>
      <w:bookmarkStart w:id="480" w:name="_Toc494449713"/>
      <w:bookmarkStart w:id="481" w:name="_Toc511900295"/>
      <w:r w:rsidRPr="005B0796">
        <w:t>Estimated prevalence of affective disorders in Transitioned ADF</w:t>
      </w:r>
      <w:bookmarkEnd w:id="479"/>
      <w:bookmarkEnd w:id="480"/>
      <w:bookmarkEnd w:id="481"/>
    </w:p>
    <w:p w:rsidR="00DA779A" w:rsidRPr="005B0796" w:rsidRDefault="00DA779A" w:rsidP="00DA779A">
      <w:pPr>
        <w:pStyle w:val="ShadedBullet"/>
      </w:pPr>
      <w:r w:rsidRPr="005B0796">
        <w:t>One in five (23.1%) Transitioned ADF are estimated to have experienced an affective disorder in the last 12 months.</w:t>
      </w:r>
    </w:p>
    <w:p w:rsidR="00DA779A" w:rsidRPr="005B0796" w:rsidRDefault="00DA779A" w:rsidP="00DA779A">
      <w:pPr>
        <w:pStyle w:val="ShadedBullet"/>
      </w:pPr>
      <w:r w:rsidRPr="005B0796">
        <w:t>The most common affective disorder type in Transitioned ADF was depressive episodes (11.2%).</w:t>
      </w:r>
    </w:p>
    <w:p w:rsidR="00DA779A" w:rsidRPr="005B0796" w:rsidRDefault="00DA779A" w:rsidP="00DA779A">
      <w:pPr>
        <w:pStyle w:val="ShadedBullet"/>
      </w:pPr>
      <w:r w:rsidRPr="005B0796">
        <w:t>Ex-Serving Transitioned ADF reported higher rates of affective disorder (32.9%) compared to those who remained in the Active Reserves (12.5%) or Inactive Reserves (17.0%).</w:t>
      </w:r>
    </w:p>
    <w:p w:rsidR="00DA779A" w:rsidRPr="005B0796" w:rsidRDefault="00DA779A" w:rsidP="00DA779A">
      <w:pPr>
        <w:pStyle w:val="ShadedBullet"/>
      </w:pPr>
      <w:r w:rsidRPr="005B0796">
        <w:t>Affective disorders were lowest in Transitioned ADF aged 58+ (10.8%). However, dysthymia was most commonly observed in the 38–47 age group (11.8%).</w:t>
      </w:r>
    </w:p>
    <w:p w:rsidR="00DA779A" w:rsidRPr="005B0796" w:rsidRDefault="00DA779A" w:rsidP="00DA779A">
      <w:pPr>
        <w:pStyle w:val="ShadedBullet"/>
      </w:pPr>
      <w:r w:rsidRPr="005B0796">
        <w:t xml:space="preserve">Affective disorders were most commonly observed in Transitioned ADF members with fewer years of service, who were lower in rank, who had been medically discharged and who were DVA clients. </w:t>
      </w:r>
    </w:p>
    <w:p w:rsidR="00DA779A" w:rsidRPr="005B0796" w:rsidRDefault="00DA779A" w:rsidP="00DA779A">
      <w:pPr>
        <w:pStyle w:val="ShadedBoxText"/>
      </w:pPr>
      <w:r w:rsidRPr="005B0796">
        <w:rPr>
          <w:b/>
        </w:rPr>
        <w:t>Glossary:</w:t>
      </w:r>
      <w:r w:rsidRPr="00F6614D">
        <w:t xml:space="preserve"> r</w:t>
      </w:r>
      <w:r w:rsidRPr="005B0796">
        <w:t>efer to the Glossary of terms for definitions of key terms in this section.</w:t>
      </w:r>
    </w:p>
    <w:p w:rsidR="00D060FC" w:rsidRPr="005B0796" w:rsidRDefault="00D060FC" w:rsidP="00D6629A">
      <w:r w:rsidRPr="005B0796">
        <w:t>The following section provides a summary of the estimated prevalence of 12-month ICD-10 affective disorders among ADF members in the first five years post-transition (transitioned from the Regular ADF between 2010 and 2014). It describes the associated demographic (sex, age), transition (transition status, years since transition, type of discharge) and Service (Service, rank, years of service, deployment status) predictors. The association between affective disorder and DVA status is also</w:t>
      </w:r>
      <w:r w:rsidR="00462A0C" w:rsidRPr="005B0796">
        <w:t xml:space="preserve"> </w:t>
      </w:r>
      <w:r w:rsidRPr="005B0796">
        <w:t xml:space="preserve">outlined. </w:t>
      </w:r>
    </w:p>
    <w:p w:rsidR="00D060FC" w:rsidRPr="005B0796" w:rsidRDefault="00D060FC" w:rsidP="00D6629A">
      <w:r w:rsidRPr="005B0796">
        <w:t>The Mental Health and Wellbeing Transition Study examined three types of affective disorder:</w:t>
      </w:r>
    </w:p>
    <w:p w:rsidR="00D060FC" w:rsidRPr="005B0796" w:rsidRDefault="00D060FC" w:rsidP="00D6629A">
      <w:pPr>
        <w:pStyle w:val="Bullet"/>
        <w:rPr>
          <w:rFonts w:cs="@헤드라인A"/>
          <w:szCs w:val="32"/>
        </w:rPr>
      </w:pPr>
      <w:r w:rsidRPr="005B0796">
        <w:rPr>
          <w:b/>
        </w:rPr>
        <w:t>Depressive episodes</w:t>
      </w:r>
      <w:r w:rsidRPr="005B0796">
        <w:t xml:space="preserve"> are a characteristic of a major depressive disorder and require that an individual has suffered from depressed mood lasting a minimum of two weeks, with associated symptoms or feelings of worthlessness, lack of appetite, difficulty with memory, reduced energy, low self-esteem, concentration problems and suicidal thoughts. Depressive episodes can be mild, moderate or severe. All three are included under the same heading.</w:t>
      </w:r>
      <w:r w:rsidRPr="005B0796">
        <w:rPr>
          <w:rFonts w:cs="@헤드라인A"/>
          <w:szCs w:val="32"/>
        </w:rPr>
        <w:t xml:space="preserve"> Hierarchy rules were applied to depressive episodes, such that a person could not have met criteria for a hypomanic or manic episode</w:t>
      </w:r>
    </w:p>
    <w:p w:rsidR="00D060FC" w:rsidRPr="005B0796" w:rsidRDefault="00D060FC" w:rsidP="00D6629A">
      <w:pPr>
        <w:pStyle w:val="Bullet"/>
        <w:rPr>
          <w:rFonts w:cs="@헤드라인A"/>
          <w:szCs w:val="32"/>
        </w:rPr>
      </w:pPr>
      <w:r w:rsidRPr="005B0796">
        <w:rPr>
          <w:b/>
        </w:rPr>
        <w:t>Dysthymia</w:t>
      </w:r>
      <w:r w:rsidRPr="005B0796">
        <w:t xml:space="preserve"> </w:t>
      </w:r>
      <w:r w:rsidR="00F6614D">
        <w:t xml:space="preserve">is a </w:t>
      </w:r>
      <w:r w:rsidRPr="005B0796">
        <w:t xml:space="preserve">chronic or pervasive disturbance of mood lasting several years that is not sufficiently severe or in which the depressive episodes are not sufficiently prolonged to warrant a diagnosis of a depressive disorder. </w:t>
      </w:r>
      <w:r w:rsidRPr="005B0796">
        <w:rPr>
          <w:rFonts w:cs="@헤드라인A"/>
          <w:szCs w:val="32"/>
        </w:rPr>
        <w:t>Hierarchy rules were applied to dysthymia, such that to have this mental disorder, a person could not have met criteria for a hypomanic or manic episode, and could not have reported episodes of severe or moderate depression within the first two years of dysthymia</w:t>
      </w:r>
    </w:p>
    <w:p w:rsidR="00D060FC" w:rsidRPr="005B0796" w:rsidRDefault="00D060FC" w:rsidP="00D6629A">
      <w:pPr>
        <w:pStyle w:val="Bullet"/>
        <w:rPr>
          <w:rFonts w:cs="@헤드라인A"/>
          <w:szCs w:val="32"/>
        </w:rPr>
      </w:pPr>
      <w:r w:rsidRPr="00F6614D">
        <w:rPr>
          <w:b/>
        </w:rPr>
        <w:t>Bipolar Affective Disorder</w:t>
      </w:r>
      <w:r w:rsidRPr="005B0796">
        <w:rPr>
          <w:i/>
        </w:rPr>
        <w:t xml:space="preserve"> </w:t>
      </w:r>
      <w:r w:rsidRPr="005B0796">
        <w:t>is associated with fluctuations of mood that are significantly disturbed. These fluctuations of mood are markedly elevated on some occasions (hypomania or mania) and can be markedly lowered on other occasions (depressive episodes). A diagnosis of bipolar affective disorder was applied in this study if the individuals met criteria for mania or hypomania in the last 12</w:t>
      </w:r>
      <w:r w:rsidR="00F6614D">
        <w:t> </w:t>
      </w:r>
      <w:r w:rsidRPr="005B0796">
        <w:t>months, as follows.</w:t>
      </w:r>
    </w:p>
    <w:p w:rsidR="00D060FC" w:rsidRPr="005B0796" w:rsidRDefault="00D060FC" w:rsidP="00D6629A">
      <w:pPr>
        <w:pStyle w:val="Dash"/>
      </w:pPr>
      <w:r w:rsidRPr="00F6614D">
        <w:rPr>
          <w:b/>
        </w:rPr>
        <w:t>Hypomanic episodes</w:t>
      </w:r>
      <w:r w:rsidRPr="005B0796">
        <w:t xml:space="preserve"> last at least four consecutive days and are considered abnormal to the individual. These episodes are characterised by increased activity, talkativeness, elevated mood, disrupted concentration, decreased need for sleep and disrupted judgment </w:t>
      </w:r>
      <w:r w:rsidR="00F6614D">
        <w:t xml:space="preserve">that </w:t>
      </w:r>
      <w:r w:rsidRPr="005B0796">
        <w:t>manifest</w:t>
      </w:r>
      <w:r w:rsidR="00F6614D">
        <w:t>s</w:t>
      </w:r>
      <w:r w:rsidRPr="005B0796">
        <w:t xml:space="preserve"> as risk taking (for example, mild spending sprees). In a subgroup of people, these mental disorders are particularly characterised by irritability. </w:t>
      </w:r>
      <w:r w:rsidRPr="005B0796">
        <w:rPr>
          <w:rFonts w:cs="@헤드라인A"/>
          <w:szCs w:val="32"/>
        </w:rPr>
        <w:t xml:space="preserve">To meet criteria for the </w:t>
      </w:r>
      <w:r w:rsidR="00462A0C" w:rsidRPr="005B0796">
        <w:rPr>
          <w:rFonts w:cs="@헤드라인A"/>
          <w:szCs w:val="32"/>
        </w:rPr>
        <w:t>‘</w:t>
      </w:r>
      <w:r w:rsidRPr="005B0796">
        <w:rPr>
          <w:rFonts w:cs="@헤드라인A"/>
          <w:szCs w:val="32"/>
        </w:rPr>
        <w:t>with hierarchy</w:t>
      </w:r>
      <w:r w:rsidR="00462A0C" w:rsidRPr="005B0796">
        <w:rPr>
          <w:rFonts w:cs="@헤드라인A"/>
          <w:szCs w:val="32"/>
        </w:rPr>
        <w:t>’</w:t>
      </w:r>
      <w:r w:rsidRPr="005B0796">
        <w:rPr>
          <w:rFonts w:cs="@헤드라인A"/>
          <w:szCs w:val="32"/>
        </w:rPr>
        <w:t xml:space="preserve"> version, the person cannot have met criteria for an episode of mania.</w:t>
      </w:r>
    </w:p>
    <w:p w:rsidR="00D060FC" w:rsidRPr="005B0796" w:rsidRDefault="00D060FC" w:rsidP="00D6629A">
      <w:pPr>
        <w:pStyle w:val="Dash"/>
        <w:rPr>
          <w:rFonts w:cs="@헤드라인A"/>
          <w:color w:val="262626"/>
        </w:rPr>
      </w:pPr>
      <w:r w:rsidRPr="00F6614D">
        <w:rPr>
          <w:b/>
        </w:rPr>
        <w:t>Mania</w:t>
      </w:r>
      <w:r w:rsidRPr="005B0796">
        <w:rPr>
          <w:i/>
        </w:rPr>
        <w:t xml:space="preserve"> </w:t>
      </w:r>
      <w:r w:rsidRPr="005B0796">
        <w:t>is similar to hypomania but is more severe in nature. Lasting slightly longer (a minimum of a week), these episodes often lead to severe interference with personal functioning. In addition to the symptoms outlined under hypomania, mania is often associated with feelings of grandiosity, marked sexual indiscretions and racing thoughts.</w:t>
      </w:r>
    </w:p>
    <w:p w:rsidR="00D060FC" w:rsidRPr="005B0796" w:rsidRDefault="00D060FC" w:rsidP="00D6629A">
      <w:pPr>
        <w:rPr>
          <w:rFonts w:cs="@헤드라인A"/>
          <w:color w:val="262626"/>
        </w:rPr>
      </w:pPr>
      <w:r w:rsidRPr="005B0796">
        <w:t>The following tables summarise the estimated prevalence of 12-month ICD-10 affective disorder for the entire Transitioned ADF (Transitioned ADF), which is then separated by transition status (Ex</w:t>
      </w:r>
      <w:r w:rsidRPr="005B0796">
        <w:noBreakHyphen/>
        <w:t xml:space="preserve">Serving, Inactive Reservist, Active Reservist) according to ICD-10 criteria. The criteria were based on interviews conducted using the </w:t>
      </w:r>
      <w:bookmarkStart w:id="482" w:name="_Hlk490566443"/>
      <w:r w:rsidRPr="005B0796">
        <w:t>World Mental Health Survey Initiative Version of the</w:t>
      </w:r>
      <w:r w:rsidR="00462A0C" w:rsidRPr="005B0796">
        <w:t xml:space="preserve"> </w:t>
      </w:r>
      <w:r w:rsidRPr="005B0796">
        <w:t>World Health Organization Composite International Diagnostic Interview – version 3.0 (CIDI)</w:t>
      </w:r>
      <w:bookmarkEnd w:id="482"/>
      <w:r w:rsidRPr="005B0796">
        <w:rPr>
          <w:rFonts w:cs="@헤드라인A"/>
          <w:color w:val="262626"/>
        </w:rPr>
        <w:t>.</w:t>
      </w:r>
    </w:p>
    <w:p w:rsidR="00D060FC" w:rsidRPr="005B0796" w:rsidRDefault="00D060FC" w:rsidP="00D6629A">
      <w:pPr>
        <w:pStyle w:val="Heading3"/>
      </w:pPr>
      <w:bookmarkStart w:id="483" w:name="_Toc494449714"/>
      <w:bookmarkStart w:id="484" w:name="_Toc511900296"/>
      <w:r w:rsidRPr="005B0796">
        <w:t>Transitioned ADF population</w:t>
      </w:r>
      <w:bookmarkEnd w:id="483"/>
      <w:bookmarkEnd w:id="484"/>
    </w:p>
    <w:p w:rsidR="00D060FC" w:rsidRPr="005B0796" w:rsidRDefault="00D060FC" w:rsidP="00D6629A">
      <w:r w:rsidRPr="005B0796">
        <w:t>Among Transitioned ADF, the overall estimated rate of 12-month affective disorder</w:t>
      </w:r>
      <w:r w:rsidR="00F6614D">
        <w:t>s</w:t>
      </w:r>
      <w:r w:rsidRPr="005B0796">
        <w:t xml:space="preserve"> identified was 23.1% (95% CI 19.2, 27.5). This represents some 5755 individuals. The most prevalent affective disorder was depressive episodes (11.2%, 95% CI 8.6, 14.3). Bipolar affective disorder (which included individuals who had experienced either hypomanic or manic episodes in the previous 12</w:t>
      </w:r>
      <w:r w:rsidR="00F6614D">
        <w:t> </w:t>
      </w:r>
      <w:r w:rsidRPr="005B0796">
        <w:t>months) was similar in prevalence, with 9.8% of the Transitioned ADF meeting criteria for this disorder in the last 12 months (</w:t>
      </w:r>
      <w:r w:rsidR="009E72D3" w:rsidRPr="005B0796">
        <w:t>Table 4.16</w:t>
      </w:r>
      <w:r w:rsidRPr="005B0796">
        <w:t xml:space="preserve">). </w:t>
      </w:r>
    </w:p>
    <w:p w:rsidR="00DA779A" w:rsidRPr="005B0796" w:rsidRDefault="00DA779A" w:rsidP="00DA779A">
      <w:pPr>
        <w:pStyle w:val="TableName"/>
      </w:pPr>
      <w:bookmarkStart w:id="485" w:name="_Ref484519064"/>
      <w:bookmarkStart w:id="486" w:name="_Toc482023768"/>
      <w:bookmarkStart w:id="487" w:name="_Toc487014267"/>
      <w:bookmarkStart w:id="488" w:name="_Toc492995570"/>
      <w:bookmarkStart w:id="489" w:name="_Toc51190041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16</w:t>
      </w:r>
      <w:r w:rsidR="00D30A3C">
        <w:rPr>
          <w:noProof/>
        </w:rPr>
        <w:fldChar w:fldCharType="end"/>
      </w:r>
      <w:bookmarkEnd w:id="485"/>
      <w:r w:rsidRPr="005B0796">
        <w:tab/>
        <w:t>Estimated prevalence of 12-month ICD-10 affective disorders in Transitioned ADF</w:t>
      </w:r>
      <w:bookmarkEnd w:id="486"/>
      <w:bookmarkEnd w:id="487"/>
      <w:bookmarkEnd w:id="488"/>
      <w:bookmarkEnd w:id="489"/>
    </w:p>
    <w:tbl>
      <w:tblPr>
        <w:tblStyle w:val="TWRPTable"/>
        <w:tblW w:w="5000" w:type="pct"/>
        <w:tblLayout w:type="fixed"/>
        <w:tblLook w:val="04A0" w:firstRow="1" w:lastRow="0" w:firstColumn="1" w:lastColumn="0" w:noHBand="0" w:noVBand="1"/>
        <w:tblDescription w:val="Table 4.16 Estimated prevalence of 12-month ICD-10 affective disorders in Transitioned ADF"/>
      </w:tblPr>
      <w:tblGrid>
        <w:gridCol w:w="3258"/>
        <w:gridCol w:w="1352"/>
        <w:gridCol w:w="1352"/>
        <w:gridCol w:w="1353"/>
      </w:tblGrid>
      <w:tr w:rsidR="00D060FC" w:rsidRPr="005B0796" w:rsidTr="00D6629A">
        <w:trPr>
          <w:cnfStyle w:val="100000000000" w:firstRow="1" w:lastRow="0" w:firstColumn="0" w:lastColumn="0" w:oddVBand="0" w:evenVBand="0" w:oddHBand="0" w:evenHBand="0" w:firstRowFirstColumn="0" w:firstRowLastColumn="0" w:lastRowFirstColumn="0" w:lastRowLastColumn="0"/>
          <w:tblHeader/>
        </w:trPr>
        <w:tc>
          <w:tcPr>
            <w:tcW w:w="3258" w:type="dxa"/>
            <w:tcBorders>
              <w:top w:val="single" w:sz="4" w:space="0" w:color="000000"/>
              <w:bottom w:val="nil"/>
            </w:tcBorders>
            <w:noWrap/>
            <w:hideMark/>
          </w:tcPr>
          <w:p w:rsidR="00D060FC" w:rsidRPr="005B0796" w:rsidRDefault="00D060FC" w:rsidP="00D6629A">
            <w:pPr>
              <w:pStyle w:val="TableText"/>
              <w:rPr>
                <w:lang w:eastAsia="en-AU"/>
              </w:rPr>
            </w:pPr>
          </w:p>
        </w:tc>
        <w:tc>
          <w:tcPr>
            <w:tcW w:w="4057" w:type="dxa"/>
            <w:gridSpan w:val="3"/>
            <w:noWrap/>
          </w:tcPr>
          <w:p w:rsidR="00D060FC" w:rsidRPr="005B0796" w:rsidRDefault="00D060FC" w:rsidP="00D6629A">
            <w:pPr>
              <w:pStyle w:val="TableText"/>
              <w:jc w:val="center"/>
              <w:rPr>
                <w:lang w:eastAsia="en-AU"/>
              </w:rPr>
            </w:pPr>
            <w:r w:rsidRPr="005B0796">
              <w:rPr>
                <w:lang w:eastAsia="en-AU"/>
              </w:rPr>
              <w:t>Transitioned ADF (n = 24,932)</w:t>
            </w:r>
          </w:p>
        </w:tc>
      </w:tr>
      <w:tr w:rsidR="00D060FC" w:rsidRPr="005B0796" w:rsidTr="00D6629A">
        <w:trPr>
          <w:cnfStyle w:val="100000000000" w:firstRow="1" w:lastRow="0" w:firstColumn="0" w:lastColumn="0" w:oddVBand="0" w:evenVBand="0" w:oddHBand="0" w:evenHBand="0" w:firstRowFirstColumn="0" w:firstRowLastColumn="0" w:lastRowFirstColumn="0" w:lastRowLastColumn="0"/>
          <w:tblHeader/>
        </w:trPr>
        <w:tc>
          <w:tcPr>
            <w:tcW w:w="3258" w:type="dxa"/>
            <w:tcBorders>
              <w:top w:val="nil"/>
            </w:tcBorders>
            <w:noWrap/>
            <w:hideMark/>
          </w:tcPr>
          <w:p w:rsidR="00D060FC" w:rsidRPr="005B0796" w:rsidRDefault="00D6629A" w:rsidP="00D6629A">
            <w:pPr>
              <w:pStyle w:val="TableText"/>
              <w:rPr>
                <w:lang w:eastAsia="en-AU"/>
              </w:rPr>
            </w:pPr>
            <w:r w:rsidRPr="005B0796">
              <w:rPr>
                <w:lang w:eastAsia="en-AU"/>
              </w:rPr>
              <w:t>ICD-10 affective disorder</w:t>
            </w:r>
          </w:p>
        </w:tc>
        <w:tc>
          <w:tcPr>
            <w:tcW w:w="1352" w:type="dxa"/>
            <w:noWrap/>
            <w:hideMark/>
          </w:tcPr>
          <w:p w:rsidR="00D060FC" w:rsidRPr="005B0796" w:rsidRDefault="00D060FC" w:rsidP="00D6629A">
            <w:pPr>
              <w:pStyle w:val="TableText"/>
              <w:jc w:val="right"/>
              <w:rPr>
                <w:lang w:eastAsia="en-AU"/>
              </w:rPr>
            </w:pPr>
            <w:r w:rsidRPr="005B0796">
              <w:rPr>
                <w:lang w:eastAsia="en-AU"/>
              </w:rPr>
              <w:t>Weighted n</w:t>
            </w:r>
          </w:p>
        </w:tc>
        <w:tc>
          <w:tcPr>
            <w:tcW w:w="1352" w:type="dxa"/>
            <w:hideMark/>
          </w:tcPr>
          <w:p w:rsidR="00D060FC" w:rsidRPr="005B0796" w:rsidRDefault="00D060FC" w:rsidP="00D6629A">
            <w:pPr>
              <w:pStyle w:val="TableText"/>
              <w:jc w:val="right"/>
              <w:rPr>
                <w:lang w:eastAsia="en-AU"/>
              </w:rPr>
            </w:pPr>
            <w:r w:rsidRPr="005B0796">
              <w:rPr>
                <w:lang w:eastAsia="en-AU"/>
              </w:rPr>
              <w:t>%</w:t>
            </w:r>
          </w:p>
        </w:tc>
        <w:tc>
          <w:tcPr>
            <w:tcW w:w="1353" w:type="dxa"/>
            <w:hideMark/>
          </w:tcPr>
          <w:p w:rsidR="00D060FC" w:rsidRPr="005B0796" w:rsidRDefault="00D060FC" w:rsidP="00D6629A">
            <w:pPr>
              <w:pStyle w:val="TableText"/>
              <w:jc w:val="right"/>
              <w:rPr>
                <w:lang w:eastAsia="en-AU"/>
              </w:rPr>
            </w:pPr>
            <w:r w:rsidRPr="005B0796">
              <w:rPr>
                <w:lang w:eastAsia="en-AU"/>
              </w:rPr>
              <w:t>95% CI</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lang w:eastAsia="en-AU"/>
              </w:rPr>
            </w:pPr>
            <w:r w:rsidRPr="005B0796">
              <w:rPr>
                <w:lang w:eastAsia="en-AU"/>
              </w:rPr>
              <w:t>Depressive episodes</w:t>
            </w:r>
          </w:p>
        </w:tc>
        <w:tc>
          <w:tcPr>
            <w:tcW w:w="1352" w:type="dxa"/>
            <w:noWrap/>
            <w:hideMark/>
          </w:tcPr>
          <w:p w:rsidR="00D060FC" w:rsidRPr="005B0796" w:rsidRDefault="00D060FC" w:rsidP="00D6629A">
            <w:pPr>
              <w:pStyle w:val="TableText"/>
              <w:jc w:val="right"/>
              <w:rPr>
                <w:lang w:eastAsia="en-AU"/>
              </w:rPr>
            </w:pPr>
            <w:r w:rsidRPr="005B0796">
              <w:rPr>
                <w:lang w:eastAsia="en-AU"/>
              </w:rPr>
              <w:t>2783</w:t>
            </w:r>
          </w:p>
        </w:tc>
        <w:tc>
          <w:tcPr>
            <w:tcW w:w="1352" w:type="dxa"/>
            <w:noWrap/>
            <w:hideMark/>
          </w:tcPr>
          <w:p w:rsidR="00D060FC" w:rsidRPr="005B0796" w:rsidRDefault="00D060FC" w:rsidP="00D6629A">
            <w:pPr>
              <w:pStyle w:val="TableText"/>
              <w:jc w:val="right"/>
              <w:rPr>
                <w:lang w:eastAsia="en-AU"/>
              </w:rPr>
            </w:pPr>
            <w:r w:rsidRPr="005B0796">
              <w:rPr>
                <w:lang w:eastAsia="en-AU"/>
              </w:rPr>
              <w:t>11.2</w:t>
            </w:r>
          </w:p>
        </w:tc>
        <w:tc>
          <w:tcPr>
            <w:tcW w:w="1353" w:type="dxa"/>
            <w:noWrap/>
            <w:hideMark/>
          </w:tcPr>
          <w:p w:rsidR="00D060FC" w:rsidRPr="005B0796" w:rsidRDefault="00D060FC" w:rsidP="00D6629A">
            <w:pPr>
              <w:pStyle w:val="TableText"/>
              <w:jc w:val="right"/>
              <w:rPr>
                <w:lang w:eastAsia="en-AU"/>
              </w:rPr>
            </w:pPr>
            <w:r w:rsidRPr="005B0796">
              <w:rPr>
                <w:lang w:eastAsia="en-AU"/>
              </w:rPr>
              <w:t>8.6, 14.3</w:t>
            </w:r>
          </w:p>
        </w:tc>
      </w:tr>
      <w:tr w:rsidR="00D060FC" w:rsidRPr="005B0796" w:rsidTr="00D6629A">
        <w:tc>
          <w:tcPr>
            <w:tcW w:w="3258" w:type="dxa"/>
            <w:hideMark/>
          </w:tcPr>
          <w:p w:rsidR="00D060FC" w:rsidRPr="005B0796" w:rsidRDefault="00D060FC" w:rsidP="00D6629A">
            <w:pPr>
              <w:pStyle w:val="TableText"/>
              <w:rPr>
                <w:lang w:eastAsia="en-AU"/>
              </w:rPr>
            </w:pPr>
            <w:r w:rsidRPr="005B0796">
              <w:rPr>
                <w:lang w:eastAsia="en-AU"/>
              </w:rPr>
              <w:t>Dysthymia</w:t>
            </w:r>
          </w:p>
        </w:tc>
        <w:tc>
          <w:tcPr>
            <w:tcW w:w="1352" w:type="dxa"/>
            <w:noWrap/>
            <w:hideMark/>
          </w:tcPr>
          <w:p w:rsidR="00D060FC" w:rsidRPr="005B0796" w:rsidRDefault="00D060FC" w:rsidP="00D6629A">
            <w:pPr>
              <w:pStyle w:val="TableText"/>
              <w:jc w:val="right"/>
              <w:rPr>
                <w:lang w:eastAsia="en-AU"/>
              </w:rPr>
            </w:pPr>
            <w:r w:rsidRPr="005B0796">
              <w:rPr>
                <w:lang w:eastAsia="en-AU"/>
              </w:rPr>
              <w:t>1140</w:t>
            </w:r>
          </w:p>
        </w:tc>
        <w:tc>
          <w:tcPr>
            <w:tcW w:w="1352" w:type="dxa"/>
            <w:noWrap/>
            <w:hideMark/>
          </w:tcPr>
          <w:p w:rsidR="00D060FC" w:rsidRPr="005B0796" w:rsidRDefault="00D060FC" w:rsidP="00D6629A">
            <w:pPr>
              <w:pStyle w:val="TableText"/>
              <w:jc w:val="right"/>
              <w:rPr>
                <w:lang w:eastAsia="en-AU"/>
              </w:rPr>
            </w:pPr>
            <w:r w:rsidRPr="005B0796">
              <w:rPr>
                <w:lang w:eastAsia="en-AU"/>
              </w:rPr>
              <w:t>4.6</w:t>
            </w:r>
          </w:p>
        </w:tc>
        <w:tc>
          <w:tcPr>
            <w:tcW w:w="1353" w:type="dxa"/>
            <w:noWrap/>
            <w:hideMark/>
          </w:tcPr>
          <w:p w:rsidR="00D060FC" w:rsidRPr="005B0796" w:rsidRDefault="00D060FC" w:rsidP="00D6629A">
            <w:pPr>
              <w:pStyle w:val="TableText"/>
              <w:jc w:val="right"/>
              <w:rPr>
                <w:lang w:eastAsia="en-AU"/>
              </w:rPr>
            </w:pPr>
            <w:r w:rsidRPr="005B0796">
              <w:rPr>
                <w:lang w:eastAsia="en-AU"/>
              </w:rPr>
              <w:t>3.1, 6.7</w:t>
            </w:r>
          </w:p>
        </w:tc>
      </w:tr>
      <w:tr w:rsidR="00D060FC" w:rsidRPr="005B0796" w:rsidTr="00D6629A">
        <w:trPr>
          <w:cnfStyle w:val="000000100000" w:firstRow="0" w:lastRow="0" w:firstColumn="0" w:lastColumn="0" w:oddVBand="0" w:evenVBand="0" w:oddHBand="1" w:evenHBand="0" w:firstRowFirstColumn="0" w:firstRowLastColumn="0" w:lastRowFirstColumn="0" w:lastRowLastColumn="0"/>
        </w:trPr>
        <w:tc>
          <w:tcPr>
            <w:tcW w:w="3258" w:type="dxa"/>
            <w:hideMark/>
          </w:tcPr>
          <w:p w:rsidR="00D060FC" w:rsidRPr="005B0796" w:rsidRDefault="00D060FC" w:rsidP="00D6629A">
            <w:pPr>
              <w:pStyle w:val="TableText"/>
              <w:rPr>
                <w:lang w:eastAsia="en-AU"/>
              </w:rPr>
            </w:pPr>
            <w:r w:rsidRPr="005B0796">
              <w:rPr>
                <w:lang w:eastAsia="en-AU"/>
              </w:rPr>
              <w:t>Bipolar affective disorder</w:t>
            </w:r>
          </w:p>
        </w:tc>
        <w:tc>
          <w:tcPr>
            <w:tcW w:w="1352" w:type="dxa"/>
            <w:noWrap/>
            <w:hideMark/>
          </w:tcPr>
          <w:p w:rsidR="00D060FC" w:rsidRPr="005B0796" w:rsidRDefault="00D060FC" w:rsidP="00D6629A">
            <w:pPr>
              <w:pStyle w:val="TableText"/>
              <w:jc w:val="right"/>
              <w:rPr>
                <w:lang w:eastAsia="en-AU"/>
              </w:rPr>
            </w:pPr>
            <w:r w:rsidRPr="005B0796">
              <w:rPr>
                <w:lang w:eastAsia="en-AU"/>
              </w:rPr>
              <w:t>2443</w:t>
            </w:r>
          </w:p>
        </w:tc>
        <w:tc>
          <w:tcPr>
            <w:tcW w:w="1352" w:type="dxa"/>
            <w:noWrap/>
            <w:hideMark/>
          </w:tcPr>
          <w:p w:rsidR="00D060FC" w:rsidRPr="005B0796" w:rsidRDefault="00D060FC" w:rsidP="00D6629A">
            <w:pPr>
              <w:pStyle w:val="TableText"/>
              <w:jc w:val="right"/>
              <w:rPr>
                <w:lang w:eastAsia="en-AU"/>
              </w:rPr>
            </w:pPr>
            <w:r w:rsidRPr="005B0796">
              <w:rPr>
                <w:lang w:eastAsia="en-AU"/>
              </w:rPr>
              <w:t>9.8</w:t>
            </w:r>
          </w:p>
        </w:tc>
        <w:tc>
          <w:tcPr>
            <w:tcW w:w="1353" w:type="dxa"/>
            <w:noWrap/>
            <w:hideMark/>
          </w:tcPr>
          <w:p w:rsidR="00D060FC" w:rsidRPr="005B0796" w:rsidRDefault="00D060FC" w:rsidP="00D6629A">
            <w:pPr>
              <w:pStyle w:val="TableText"/>
              <w:jc w:val="right"/>
              <w:rPr>
                <w:lang w:eastAsia="en-AU"/>
              </w:rPr>
            </w:pPr>
            <w:r w:rsidRPr="005B0796">
              <w:rPr>
                <w:lang w:eastAsia="en-AU"/>
              </w:rPr>
              <w:t>7.0, 13.5</w:t>
            </w:r>
          </w:p>
        </w:tc>
      </w:tr>
      <w:tr w:rsidR="00D060FC" w:rsidRPr="005B0796" w:rsidTr="00D6629A">
        <w:tc>
          <w:tcPr>
            <w:tcW w:w="3258" w:type="dxa"/>
            <w:noWrap/>
            <w:hideMark/>
          </w:tcPr>
          <w:p w:rsidR="00D060FC" w:rsidRPr="005B0796" w:rsidRDefault="00D060FC" w:rsidP="00D6629A">
            <w:pPr>
              <w:pStyle w:val="TableText"/>
              <w:rPr>
                <w:lang w:eastAsia="en-AU"/>
              </w:rPr>
            </w:pPr>
            <w:r w:rsidRPr="005B0796">
              <w:rPr>
                <w:lang w:eastAsia="en-AU"/>
              </w:rPr>
              <w:t>Any affective disorder</w:t>
            </w:r>
          </w:p>
        </w:tc>
        <w:tc>
          <w:tcPr>
            <w:tcW w:w="1352" w:type="dxa"/>
            <w:noWrap/>
            <w:hideMark/>
          </w:tcPr>
          <w:p w:rsidR="00D060FC" w:rsidRPr="005B0796" w:rsidRDefault="00D060FC" w:rsidP="00D6629A">
            <w:pPr>
              <w:pStyle w:val="TableText"/>
              <w:jc w:val="right"/>
              <w:rPr>
                <w:lang w:eastAsia="en-AU"/>
              </w:rPr>
            </w:pPr>
            <w:r w:rsidRPr="005B0796">
              <w:rPr>
                <w:lang w:eastAsia="en-AU"/>
              </w:rPr>
              <w:t>5755</w:t>
            </w:r>
          </w:p>
        </w:tc>
        <w:tc>
          <w:tcPr>
            <w:tcW w:w="1352" w:type="dxa"/>
            <w:noWrap/>
            <w:hideMark/>
          </w:tcPr>
          <w:p w:rsidR="00D060FC" w:rsidRPr="005B0796" w:rsidRDefault="00D060FC" w:rsidP="00D6629A">
            <w:pPr>
              <w:pStyle w:val="TableText"/>
              <w:jc w:val="right"/>
              <w:rPr>
                <w:lang w:eastAsia="en-AU"/>
              </w:rPr>
            </w:pPr>
            <w:r w:rsidRPr="005B0796">
              <w:rPr>
                <w:lang w:eastAsia="en-AU"/>
              </w:rPr>
              <w:t>23.1</w:t>
            </w:r>
          </w:p>
        </w:tc>
        <w:tc>
          <w:tcPr>
            <w:tcW w:w="1353" w:type="dxa"/>
            <w:noWrap/>
            <w:hideMark/>
          </w:tcPr>
          <w:p w:rsidR="00D060FC" w:rsidRPr="005B0796" w:rsidRDefault="00D060FC" w:rsidP="00D6629A">
            <w:pPr>
              <w:pStyle w:val="TableText"/>
              <w:jc w:val="right"/>
              <w:rPr>
                <w:lang w:eastAsia="en-AU"/>
              </w:rPr>
            </w:pPr>
            <w:r w:rsidRPr="005B0796">
              <w:rPr>
                <w:lang w:eastAsia="en-AU"/>
              </w:rPr>
              <w:t>19.2, 27.5</w:t>
            </w:r>
          </w:p>
        </w:tc>
      </w:tr>
    </w:tbl>
    <w:p w:rsidR="00D060FC" w:rsidRPr="005B0796" w:rsidRDefault="00DA779A" w:rsidP="00DA779A">
      <w:pPr>
        <w:pStyle w:val="TableNotes"/>
      </w:pPr>
      <w:r w:rsidRPr="005B0796">
        <w:t xml:space="preserve">Note: 95% CI: 95% </w:t>
      </w:r>
      <w:r w:rsidR="00564689" w:rsidRPr="005B0796">
        <w:t>confidence interval</w:t>
      </w:r>
    </w:p>
    <w:p w:rsidR="00D060FC" w:rsidRPr="005B0796" w:rsidRDefault="00D060FC" w:rsidP="00D6629A">
      <w:pPr>
        <w:pStyle w:val="Heading3"/>
      </w:pPr>
      <w:bookmarkStart w:id="490" w:name="_Toc494449715"/>
      <w:bookmarkStart w:id="491" w:name="_Toc511900297"/>
      <w:r w:rsidRPr="005B0796">
        <w:t>Transition status</w:t>
      </w:r>
      <w:bookmarkEnd w:id="490"/>
      <w:bookmarkEnd w:id="491"/>
    </w:p>
    <w:p w:rsidR="00974184" w:rsidRPr="005B0796" w:rsidRDefault="00D060FC" w:rsidP="00974184">
      <w:pPr>
        <w:rPr>
          <w:rFonts w:cs="@헤드라인A"/>
          <w:color w:val="262626"/>
        </w:rPr>
      </w:pPr>
      <w:r w:rsidRPr="005B0796">
        <w:t xml:space="preserve">The estimated prevalence of any ICD-10 affective disorder in the last 12 months was highest in Ex-Serving ADF members (32.9%, 95% CI 26.0, 40.5). The prevalence was significantly higher than rates for both Inactive Reservists (17.0%, 95% CI 11.2, 24.9) and Active Reservists (12.5% 95% CI 7.9, 19.2). Ex-Serving ADF members were just over two times more likely than Inactive Reservists (OR 2.2%, 95% CI 1.2, 4.0) and nearly three times more likely than Active Reservists (OR 2.9, 95% CI 1.5, 5.5) to have </w:t>
      </w:r>
      <w:r w:rsidR="00462A0C" w:rsidRPr="005B0796">
        <w:t>‘</w:t>
      </w:r>
      <w:r w:rsidRPr="005B0796">
        <w:t>any 12-month affective disorder</w:t>
      </w:r>
      <w:r w:rsidR="00462A0C" w:rsidRPr="005B0796">
        <w:t>’</w:t>
      </w:r>
      <w:r w:rsidRPr="005B0796">
        <w:t xml:space="preserve">. Regarding 12-month ICD-10 depressive episodes, Ex-Serving members were two times more likely than Inactive Reservists (OR 2.0, 95% CI 1.0, 4.1) and more than </w:t>
      </w:r>
      <w:r w:rsidR="00F6614D">
        <w:t>four</w:t>
      </w:r>
      <w:r w:rsidRPr="005B0796">
        <w:t xml:space="preserve"> times more likely than Active Reservists (OR 4.5, 95% CI 2.6, 8.0) to meet criteria. Inactive Reservists were more than twice as likely to meet criteria compared to Active Reservists (OR 2.3, 95% CI 1.1, 4.8). While rates of affective disorders were lower among individuals still engaged in Reserve Service in some form, the fact that more than 12% of Active Reservists (95% CI 7.9, 19.2) met criteria for an affective disorder in the preceding 12 months indicates a significant level of disorder in this group</w:t>
      </w:r>
      <w:r w:rsidRPr="005B0796">
        <w:rPr>
          <w:color w:val="000000" w:themeColor="text1"/>
        </w:rPr>
        <w:t xml:space="preserve"> </w:t>
      </w:r>
      <w:r w:rsidRPr="005B0796">
        <w:rPr>
          <w:rFonts w:cs="@헤드라인A"/>
          <w:color w:val="262626"/>
        </w:rPr>
        <w:t>(</w:t>
      </w:r>
      <w:r w:rsidR="009E72D3" w:rsidRPr="005B0796">
        <w:t>Table 4.17</w:t>
      </w:r>
      <w:r w:rsidRPr="005B0796">
        <w:rPr>
          <w:rFonts w:cs="@헤드라인A"/>
          <w:color w:val="262626"/>
        </w:rPr>
        <w:t xml:space="preserve"> and </w:t>
      </w:r>
      <w:r w:rsidR="009E72D3" w:rsidRPr="005B0796">
        <w:t>Figure 4.13</w:t>
      </w:r>
      <w:r w:rsidR="00974184" w:rsidRPr="005B0796">
        <w:rPr>
          <w:rFonts w:cs="@헤드라인A"/>
          <w:color w:val="262626"/>
        </w:rPr>
        <w:t>).</w:t>
      </w:r>
    </w:p>
    <w:p w:rsidR="00997E39" w:rsidRPr="005B0796" w:rsidRDefault="00997E39" w:rsidP="00997E39">
      <w:pPr>
        <w:pStyle w:val="TableName"/>
      </w:pPr>
      <w:bookmarkStart w:id="492" w:name="_Ref484519086"/>
      <w:bookmarkStart w:id="493" w:name="_Toc482023769"/>
      <w:bookmarkStart w:id="494" w:name="_Toc487014268"/>
      <w:bookmarkStart w:id="495" w:name="_Toc492995571"/>
      <w:bookmarkStart w:id="496" w:name="_Toc51190042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17</w:t>
      </w:r>
      <w:r w:rsidR="00D30A3C">
        <w:rPr>
          <w:noProof/>
        </w:rPr>
        <w:fldChar w:fldCharType="end"/>
      </w:r>
      <w:bookmarkEnd w:id="492"/>
      <w:r w:rsidRPr="005B0796">
        <w:tab/>
        <w:t>Estimated prevalence of 12-month ICD-10 affective disorders in Transitioned ADF</w:t>
      </w:r>
      <w:r w:rsidR="00F6614D">
        <w:t>,</w:t>
      </w:r>
      <w:r w:rsidRPr="005B0796">
        <w:t xml:space="preserve"> by affective disorder type and transition status</w:t>
      </w:r>
      <w:bookmarkEnd w:id="493"/>
      <w:bookmarkEnd w:id="494"/>
      <w:bookmarkEnd w:id="495"/>
      <w:bookmarkEnd w:id="496"/>
    </w:p>
    <w:tbl>
      <w:tblPr>
        <w:tblStyle w:val="TWRPTable"/>
        <w:tblW w:w="5000" w:type="pct"/>
        <w:tblLayout w:type="fixed"/>
        <w:tblLook w:val="04A0" w:firstRow="1" w:lastRow="0" w:firstColumn="1" w:lastColumn="0" w:noHBand="0" w:noVBand="1"/>
        <w:tblDescription w:val="Table 4.17 Estimated prevalence of 12-month ICD-10 affective disorders in Transitioned ADF by affective disorder type and transition status"/>
      </w:tblPr>
      <w:tblGrid>
        <w:gridCol w:w="1098"/>
        <w:gridCol w:w="811"/>
        <w:gridCol w:w="451"/>
        <w:gridCol w:w="811"/>
        <w:gridCol w:w="809"/>
        <w:gridCol w:w="449"/>
        <w:gridCol w:w="816"/>
        <w:gridCol w:w="805"/>
        <w:gridCol w:w="449"/>
        <w:gridCol w:w="816"/>
      </w:tblGrid>
      <w:tr w:rsidR="00D060FC" w:rsidRPr="005B0796" w:rsidTr="009E72D3">
        <w:trPr>
          <w:cnfStyle w:val="100000000000" w:firstRow="1" w:lastRow="0" w:firstColumn="0" w:lastColumn="0" w:oddVBand="0" w:evenVBand="0" w:oddHBand="0" w:evenHBand="0" w:firstRowFirstColumn="0" w:firstRowLastColumn="0" w:lastRowFirstColumn="0" w:lastRowLastColumn="0"/>
          <w:tblHeader/>
        </w:trPr>
        <w:tc>
          <w:tcPr>
            <w:tcW w:w="751" w:type="pct"/>
            <w:vMerge w:val="restart"/>
            <w:tcBorders>
              <w:top w:val="single" w:sz="4" w:space="0" w:color="000000"/>
              <w:bottom w:val="nil"/>
            </w:tcBorders>
            <w:noWrap/>
            <w:hideMark/>
          </w:tcPr>
          <w:p w:rsidR="00D060FC" w:rsidRPr="005B0796" w:rsidRDefault="00D060FC" w:rsidP="00D6629A">
            <w:pPr>
              <w:pStyle w:val="TableText"/>
            </w:pPr>
          </w:p>
        </w:tc>
        <w:tc>
          <w:tcPr>
            <w:tcW w:w="4249" w:type="pct"/>
            <w:gridSpan w:val="9"/>
            <w:noWrap/>
            <w:hideMark/>
          </w:tcPr>
          <w:p w:rsidR="00D060FC" w:rsidRPr="005B0796" w:rsidRDefault="00D060FC" w:rsidP="00D6629A">
            <w:pPr>
              <w:pStyle w:val="TableText"/>
              <w:jc w:val="center"/>
            </w:pPr>
            <w:r w:rsidRPr="005B0796">
              <w:t>Transition status*</w:t>
            </w:r>
          </w:p>
        </w:tc>
      </w:tr>
      <w:tr w:rsidR="00D060FC" w:rsidRPr="005B0796" w:rsidTr="009E72D3">
        <w:trPr>
          <w:cnfStyle w:val="100000000000" w:firstRow="1" w:lastRow="0" w:firstColumn="0" w:lastColumn="0" w:oddVBand="0" w:evenVBand="0" w:oddHBand="0" w:evenHBand="0" w:firstRowFirstColumn="0" w:firstRowLastColumn="0" w:lastRowFirstColumn="0" w:lastRowLastColumn="0"/>
          <w:tblHeader/>
        </w:trPr>
        <w:tc>
          <w:tcPr>
            <w:tcW w:w="751" w:type="pct"/>
            <w:vMerge/>
            <w:tcBorders>
              <w:top w:val="nil"/>
              <w:bottom w:val="nil"/>
            </w:tcBorders>
            <w:hideMark/>
          </w:tcPr>
          <w:p w:rsidR="00D060FC" w:rsidRPr="005B0796" w:rsidRDefault="00D060FC" w:rsidP="00D6629A">
            <w:pPr>
              <w:pStyle w:val="TableText"/>
            </w:pPr>
          </w:p>
        </w:tc>
        <w:tc>
          <w:tcPr>
            <w:tcW w:w="1416" w:type="pct"/>
            <w:gridSpan w:val="3"/>
            <w:noWrap/>
            <w:hideMark/>
          </w:tcPr>
          <w:p w:rsidR="00D060FC" w:rsidRPr="005B0796" w:rsidRDefault="00D060FC" w:rsidP="001D2F98">
            <w:pPr>
              <w:pStyle w:val="TableText"/>
              <w:jc w:val="center"/>
            </w:pPr>
            <w:r w:rsidRPr="005B0796">
              <w:t>Ex-Serving</w:t>
            </w:r>
            <w:r w:rsidR="001D2F98" w:rsidRPr="005B0796">
              <w:br/>
            </w:r>
            <w:r w:rsidRPr="005B0796">
              <w:t>(n = 11,440)</w:t>
            </w:r>
          </w:p>
        </w:tc>
        <w:tc>
          <w:tcPr>
            <w:tcW w:w="1418" w:type="pct"/>
            <w:gridSpan w:val="3"/>
            <w:noWrap/>
            <w:hideMark/>
          </w:tcPr>
          <w:p w:rsidR="00D060FC" w:rsidRPr="005B0796" w:rsidRDefault="00D060FC" w:rsidP="001D2F98">
            <w:pPr>
              <w:pStyle w:val="TableText"/>
              <w:jc w:val="center"/>
            </w:pPr>
            <w:r w:rsidRPr="005B0796">
              <w:t>Inactive Reservists</w:t>
            </w:r>
            <w:r w:rsidR="001D2F98" w:rsidRPr="005B0796">
              <w:br/>
            </w:r>
            <w:r w:rsidRPr="005B0796">
              <w:t>(n = 6447)</w:t>
            </w:r>
          </w:p>
        </w:tc>
        <w:tc>
          <w:tcPr>
            <w:tcW w:w="1416" w:type="pct"/>
            <w:gridSpan w:val="3"/>
            <w:noWrap/>
            <w:hideMark/>
          </w:tcPr>
          <w:p w:rsidR="00D060FC" w:rsidRPr="005B0796" w:rsidRDefault="00D060FC" w:rsidP="001D2F98">
            <w:pPr>
              <w:pStyle w:val="TableText"/>
              <w:jc w:val="center"/>
            </w:pPr>
            <w:r w:rsidRPr="005B0796">
              <w:t>Active Reservists</w:t>
            </w:r>
            <w:r w:rsidR="001D2F98" w:rsidRPr="005B0796">
              <w:br/>
            </w:r>
            <w:r w:rsidRPr="005B0796">
              <w:t>(n = 6968)</w:t>
            </w:r>
          </w:p>
        </w:tc>
      </w:tr>
      <w:tr w:rsidR="009E72D3" w:rsidRPr="005B0796" w:rsidTr="009E72D3">
        <w:trPr>
          <w:cnfStyle w:val="100000000000" w:firstRow="1" w:lastRow="0" w:firstColumn="0" w:lastColumn="0" w:oddVBand="0" w:evenVBand="0" w:oddHBand="0" w:evenHBand="0" w:firstRowFirstColumn="0" w:firstRowLastColumn="0" w:lastRowFirstColumn="0" w:lastRowLastColumn="0"/>
          <w:tblHeader/>
        </w:trPr>
        <w:tc>
          <w:tcPr>
            <w:tcW w:w="751" w:type="pct"/>
            <w:tcBorders>
              <w:top w:val="nil"/>
            </w:tcBorders>
            <w:noWrap/>
            <w:hideMark/>
          </w:tcPr>
          <w:p w:rsidR="00D060FC" w:rsidRPr="005B0796" w:rsidRDefault="00D6629A" w:rsidP="00D6629A">
            <w:pPr>
              <w:pStyle w:val="TableText"/>
            </w:pPr>
            <w:r w:rsidRPr="005B0796">
              <w:t>ICD-10 affective disorder</w:t>
            </w:r>
          </w:p>
        </w:tc>
        <w:tc>
          <w:tcPr>
            <w:tcW w:w="554" w:type="pct"/>
            <w:noWrap/>
            <w:hideMark/>
          </w:tcPr>
          <w:p w:rsidR="00D060FC" w:rsidRPr="005B0796" w:rsidRDefault="00D060FC" w:rsidP="001D2F98">
            <w:pPr>
              <w:pStyle w:val="TableText"/>
              <w:jc w:val="right"/>
            </w:pPr>
            <w:r w:rsidRPr="005B0796">
              <w:t>Weighted n</w:t>
            </w:r>
          </w:p>
        </w:tc>
        <w:tc>
          <w:tcPr>
            <w:tcW w:w="308" w:type="pct"/>
            <w:hideMark/>
          </w:tcPr>
          <w:p w:rsidR="00D060FC" w:rsidRPr="005B0796" w:rsidRDefault="00D060FC" w:rsidP="00D6629A">
            <w:pPr>
              <w:pStyle w:val="TableText"/>
              <w:jc w:val="right"/>
            </w:pPr>
            <w:r w:rsidRPr="005B0796">
              <w:t>%</w:t>
            </w:r>
          </w:p>
        </w:tc>
        <w:tc>
          <w:tcPr>
            <w:tcW w:w="554" w:type="pct"/>
            <w:hideMark/>
          </w:tcPr>
          <w:p w:rsidR="00D060FC" w:rsidRPr="005B0796" w:rsidRDefault="00D060FC" w:rsidP="00D6629A">
            <w:pPr>
              <w:pStyle w:val="TableText"/>
              <w:jc w:val="right"/>
            </w:pPr>
            <w:r w:rsidRPr="005B0796">
              <w:t>95% CI</w:t>
            </w:r>
          </w:p>
        </w:tc>
        <w:tc>
          <w:tcPr>
            <w:tcW w:w="553" w:type="pct"/>
            <w:noWrap/>
            <w:hideMark/>
          </w:tcPr>
          <w:p w:rsidR="00D060FC" w:rsidRPr="005B0796" w:rsidRDefault="00D060FC" w:rsidP="00D6629A">
            <w:pPr>
              <w:pStyle w:val="TableText"/>
              <w:jc w:val="right"/>
            </w:pPr>
            <w:r w:rsidRPr="005B0796">
              <w:t>Weighted n</w:t>
            </w:r>
          </w:p>
        </w:tc>
        <w:tc>
          <w:tcPr>
            <w:tcW w:w="307" w:type="pct"/>
            <w:hideMark/>
          </w:tcPr>
          <w:p w:rsidR="00D060FC" w:rsidRPr="005B0796" w:rsidRDefault="00D060FC" w:rsidP="00D6629A">
            <w:pPr>
              <w:pStyle w:val="TableText"/>
              <w:jc w:val="right"/>
            </w:pPr>
            <w:r w:rsidRPr="005B0796">
              <w:t>%</w:t>
            </w:r>
          </w:p>
        </w:tc>
        <w:tc>
          <w:tcPr>
            <w:tcW w:w="558" w:type="pct"/>
            <w:hideMark/>
          </w:tcPr>
          <w:p w:rsidR="00D060FC" w:rsidRPr="005B0796" w:rsidRDefault="00D060FC" w:rsidP="00D6629A">
            <w:pPr>
              <w:pStyle w:val="TableText"/>
              <w:jc w:val="right"/>
            </w:pPr>
            <w:r w:rsidRPr="005B0796">
              <w:t>95% CI</w:t>
            </w:r>
          </w:p>
        </w:tc>
        <w:tc>
          <w:tcPr>
            <w:tcW w:w="550" w:type="pct"/>
            <w:hideMark/>
          </w:tcPr>
          <w:p w:rsidR="00D060FC" w:rsidRPr="005B0796" w:rsidRDefault="00D060FC" w:rsidP="00D6629A">
            <w:pPr>
              <w:pStyle w:val="TableText"/>
              <w:jc w:val="right"/>
            </w:pPr>
            <w:r w:rsidRPr="005B0796">
              <w:t>Weighted n</w:t>
            </w:r>
          </w:p>
        </w:tc>
        <w:tc>
          <w:tcPr>
            <w:tcW w:w="307" w:type="pct"/>
            <w:hideMark/>
          </w:tcPr>
          <w:p w:rsidR="00D060FC" w:rsidRPr="005B0796" w:rsidRDefault="00D060FC" w:rsidP="00D6629A">
            <w:pPr>
              <w:pStyle w:val="TableText"/>
              <w:jc w:val="right"/>
            </w:pPr>
            <w:r w:rsidRPr="005B0796">
              <w:t>%</w:t>
            </w:r>
          </w:p>
        </w:tc>
        <w:tc>
          <w:tcPr>
            <w:tcW w:w="558" w:type="pct"/>
            <w:hideMark/>
          </w:tcPr>
          <w:p w:rsidR="00D060FC" w:rsidRPr="005B0796" w:rsidRDefault="00D060FC" w:rsidP="00D6629A">
            <w:pPr>
              <w:pStyle w:val="TableText"/>
              <w:jc w:val="right"/>
            </w:pPr>
            <w:r w:rsidRPr="005B0796">
              <w:t>95% CI</w:t>
            </w:r>
          </w:p>
        </w:tc>
      </w:tr>
      <w:tr w:rsidR="009E72D3" w:rsidRPr="005B0796" w:rsidTr="009E72D3">
        <w:trPr>
          <w:cnfStyle w:val="000000100000" w:firstRow="0" w:lastRow="0" w:firstColumn="0" w:lastColumn="0" w:oddVBand="0" w:evenVBand="0" w:oddHBand="1" w:evenHBand="0" w:firstRowFirstColumn="0" w:firstRowLastColumn="0" w:lastRowFirstColumn="0" w:lastRowLastColumn="0"/>
        </w:trPr>
        <w:tc>
          <w:tcPr>
            <w:tcW w:w="751" w:type="pct"/>
            <w:hideMark/>
          </w:tcPr>
          <w:p w:rsidR="00D060FC" w:rsidRPr="005B0796" w:rsidRDefault="00D060FC" w:rsidP="00D6629A">
            <w:pPr>
              <w:pStyle w:val="TableText"/>
              <w:rPr>
                <w:szCs w:val="18"/>
                <w:lang w:eastAsia="en-AU"/>
              </w:rPr>
            </w:pPr>
            <w:r w:rsidRPr="005B0796">
              <w:rPr>
                <w:szCs w:val="18"/>
                <w:lang w:eastAsia="en-AU"/>
              </w:rPr>
              <w:t>Depressive episodes</w:t>
            </w:r>
            <w:r w:rsidRPr="005B0796">
              <w:rPr>
                <w:szCs w:val="18"/>
                <w:vertAlign w:val="superscript"/>
                <w:lang w:eastAsia="en-AU"/>
              </w:rPr>
              <w:t>a</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1876</w:t>
            </w:r>
          </w:p>
        </w:tc>
        <w:tc>
          <w:tcPr>
            <w:tcW w:w="308" w:type="pct"/>
            <w:noWrap/>
            <w:hideMark/>
          </w:tcPr>
          <w:p w:rsidR="00D060FC" w:rsidRPr="005B0796" w:rsidRDefault="00D060FC" w:rsidP="00D6629A">
            <w:pPr>
              <w:pStyle w:val="TableText"/>
              <w:jc w:val="right"/>
              <w:rPr>
                <w:szCs w:val="18"/>
                <w:lang w:eastAsia="en-AU"/>
              </w:rPr>
            </w:pPr>
            <w:r w:rsidRPr="005B0796">
              <w:rPr>
                <w:szCs w:val="18"/>
                <w:lang w:eastAsia="en-AU"/>
              </w:rPr>
              <w:t>16.4</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11.7, 22.4</w:t>
            </w:r>
          </w:p>
        </w:tc>
        <w:tc>
          <w:tcPr>
            <w:tcW w:w="553" w:type="pct"/>
            <w:noWrap/>
            <w:hideMark/>
          </w:tcPr>
          <w:p w:rsidR="00D060FC" w:rsidRPr="005B0796" w:rsidRDefault="00D060FC" w:rsidP="00D6629A">
            <w:pPr>
              <w:pStyle w:val="TableText"/>
              <w:jc w:val="right"/>
              <w:rPr>
                <w:szCs w:val="18"/>
                <w:lang w:eastAsia="en-AU"/>
              </w:rPr>
            </w:pPr>
            <w:r w:rsidRPr="005B0796">
              <w:rPr>
                <w:szCs w:val="18"/>
                <w:lang w:eastAsia="en-AU"/>
              </w:rPr>
              <w:t>561</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8.7</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5.0, 14.6</w:t>
            </w:r>
          </w:p>
        </w:tc>
        <w:tc>
          <w:tcPr>
            <w:tcW w:w="550" w:type="pct"/>
            <w:noWrap/>
            <w:hideMark/>
          </w:tcPr>
          <w:p w:rsidR="00D060FC" w:rsidRPr="005B0796" w:rsidRDefault="00D060FC" w:rsidP="00D6629A">
            <w:pPr>
              <w:pStyle w:val="TableText"/>
              <w:jc w:val="right"/>
              <w:rPr>
                <w:szCs w:val="18"/>
                <w:lang w:eastAsia="en-AU"/>
              </w:rPr>
            </w:pPr>
            <w:r w:rsidRPr="005B0796">
              <w:rPr>
                <w:szCs w:val="18"/>
                <w:lang w:eastAsia="en-AU"/>
              </w:rPr>
              <w:t>327</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4.7</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3.0, 7.2</w:t>
            </w:r>
          </w:p>
        </w:tc>
      </w:tr>
      <w:tr w:rsidR="009E72D3" w:rsidRPr="005B0796" w:rsidTr="009E72D3">
        <w:tc>
          <w:tcPr>
            <w:tcW w:w="751" w:type="pct"/>
            <w:hideMark/>
          </w:tcPr>
          <w:p w:rsidR="00D060FC" w:rsidRPr="005B0796" w:rsidRDefault="00D060FC" w:rsidP="00D6629A">
            <w:pPr>
              <w:pStyle w:val="TableText"/>
              <w:rPr>
                <w:szCs w:val="18"/>
                <w:lang w:eastAsia="en-AU"/>
              </w:rPr>
            </w:pPr>
            <w:r w:rsidRPr="005B0796">
              <w:rPr>
                <w:szCs w:val="18"/>
                <w:lang w:eastAsia="en-AU"/>
              </w:rPr>
              <w:t>Dysthymia</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686</w:t>
            </w:r>
          </w:p>
        </w:tc>
        <w:tc>
          <w:tcPr>
            <w:tcW w:w="308" w:type="pct"/>
            <w:noWrap/>
            <w:hideMark/>
          </w:tcPr>
          <w:p w:rsidR="00D060FC" w:rsidRPr="005B0796" w:rsidRDefault="00D060FC" w:rsidP="00D6629A">
            <w:pPr>
              <w:pStyle w:val="TableText"/>
              <w:jc w:val="right"/>
              <w:rPr>
                <w:szCs w:val="18"/>
                <w:lang w:eastAsia="en-AU"/>
              </w:rPr>
            </w:pPr>
            <w:r w:rsidRPr="005B0796">
              <w:rPr>
                <w:szCs w:val="18"/>
                <w:lang w:eastAsia="en-AU"/>
              </w:rPr>
              <w:t>6.0</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3.6, 9.8</w:t>
            </w:r>
          </w:p>
        </w:tc>
        <w:tc>
          <w:tcPr>
            <w:tcW w:w="553" w:type="pct"/>
            <w:noWrap/>
            <w:hideMark/>
          </w:tcPr>
          <w:p w:rsidR="00D060FC" w:rsidRPr="005B0796" w:rsidRDefault="00D060FC" w:rsidP="00D6629A">
            <w:pPr>
              <w:pStyle w:val="TableText"/>
              <w:jc w:val="right"/>
              <w:rPr>
                <w:szCs w:val="18"/>
                <w:lang w:eastAsia="en-AU"/>
              </w:rPr>
            </w:pPr>
            <w:r w:rsidRPr="005B0796">
              <w:rPr>
                <w:szCs w:val="18"/>
                <w:lang w:eastAsia="en-AU"/>
              </w:rPr>
              <w:t>206</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3.2</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1.3, 7.6</w:t>
            </w:r>
          </w:p>
        </w:tc>
        <w:tc>
          <w:tcPr>
            <w:tcW w:w="550" w:type="pct"/>
            <w:noWrap/>
            <w:hideMark/>
          </w:tcPr>
          <w:p w:rsidR="00D060FC" w:rsidRPr="005B0796" w:rsidRDefault="00D060FC" w:rsidP="00D6629A">
            <w:pPr>
              <w:pStyle w:val="TableText"/>
              <w:jc w:val="right"/>
              <w:rPr>
                <w:szCs w:val="18"/>
                <w:lang w:eastAsia="en-AU"/>
              </w:rPr>
            </w:pPr>
            <w:r w:rsidRPr="005B0796">
              <w:rPr>
                <w:szCs w:val="18"/>
                <w:lang w:eastAsia="en-AU"/>
              </w:rPr>
              <w:t>251</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3.6</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1.5, 8.7</w:t>
            </w:r>
          </w:p>
        </w:tc>
      </w:tr>
      <w:tr w:rsidR="009E72D3" w:rsidRPr="005B0796" w:rsidTr="009E72D3">
        <w:trPr>
          <w:cnfStyle w:val="000000100000" w:firstRow="0" w:lastRow="0" w:firstColumn="0" w:lastColumn="0" w:oddVBand="0" w:evenVBand="0" w:oddHBand="1" w:evenHBand="0" w:firstRowFirstColumn="0" w:firstRowLastColumn="0" w:lastRowFirstColumn="0" w:lastRowLastColumn="0"/>
        </w:trPr>
        <w:tc>
          <w:tcPr>
            <w:tcW w:w="751" w:type="pct"/>
            <w:hideMark/>
          </w:tcPr>
          <w:p w:rsidR="00D060FC" w:rsidRPr="005B0796" w:rsidRDefault="00D060FC" w:rsidP="00D6629A">
            <w:pPr>
              <w:pStyle w:val="TableText"/>
              <w:rPr>
                <w:szCs w:val="18"/>
                <w:lang w:eastAsia="en-AU"/>
              </w:rPr>
            </w:pPr>
            <w:r w:rsidRPr="005B0796">
              <w:rPr>
                <w:szCs w:val="18"/>
                <w:lang w:eastAsia="en-AU"/>
              </w:rPr>
              <w:t>Bipolar affective disorder</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1590</w:t>
            </w:r>
          </w:p>
        </w:tc>
        <w:tc>
          <w:tcPr>
            <w:tcW w:w="308" w:type="pct"/>
            <w:noWrap/>
            <w:hideMark/>
          </w:tcPr>
          <w:p w:rsidR="00D060FC" w:rsidRPr="005B0796" w:rsidRDefault="00D060FC" w:rsidP="00D6629A">
            <w:pPr>
              <w:pStyle w:val="TableText"/>
              <w:jc w:val="right"/>
              <w:rPr>
                <w:szCs w:val="18"/>
                <w:lang w:eastAsia="en-AU"/>
              </w:rPr>
            </w:pPr>
            <w:r w:rsidRPr="005B0796">
              <w:rPr>
                <w:szCs w:val="18"/>
                <w:lang w:eastAsia="en-AU"/>
              </w:rPr>
              <w:t>13.9</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9.1, 20.7</w:t>
            </w:r>
          </w:p>
        </w:tc>
        <w:tc>
          <w:tcPr>
            <w:tcW w:w="553" w:type="pct"/>
            <w:noWrap/>
            <w:hideMark/>
          </w:tcPr>
          <w:p w:rsidR="00D060FC" w:rsidRPr="005B0796" w:rsidRDefault="00D060FC" w:rsidP="00D6629A">
            <w:pPr>
              <w:pStyle w:val="TableText"/>
              <w:jc w:val="right"/>
              <w:rPr>
                <w:szCs w:val="18"/>
                <w:lang w:eastAsia="en-AU"/>
              </w:rPr>
            </w:pPr>
            <w:r w:rsidRPr="005B0796">
              <w:rPr>
                <w:szCs w:val="18"/>
                <w:lang w:eastAsia="en-AU"/>
              </w:rPr>
              <w:t>464</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7.2</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3.4, 14.3</w:t>
            </w:r>
          </w:p>
        </w:tc>
        <w:tc>
          <w:tcPr>
            <w:tcW w:w="550" w:type="pct"/>
            <w:noWrap/>
            <w:hideMark/>
          </w:tcPr>
          <w:p w:rsidR="00D060FC" w:rsidRPr="005B0796" w:rsidRDefault="00D060FC" w:rsidP="00D6629A">
            <w:pPr>
              <w:pStyle w:val="TableText"/>
              <w:jc w:val="right"/>
              <w:rPr>
                <w:szCs w:val="18"/>
                <w:lang w:eastAsia="en-AU"/>
              </w:rPr>
            </w:pPr>
            <w:r w:rsidRPr="005B0796">
              <w:rPr>
                <w:szCs w:val="18"/>
                <w:lang w:eastAsia="en-AU"/>
              </w:rPr>
              <w:t>376</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5.4</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2.3, 12.2</w:t>
            </w:r>
          </w:p>
        </w:tc>
      </w:tr>
      <w:tr w:rsidR="009E72D3" w:rsidRPr="005B0796" w:rsidTr="009E72D3">
        <w:tc>
          <w:tcPr>
            <w:tcW w:w="751" w:type="pct"/>
            <w:noWrap/>
            <w:hideMark/>
          </w:tcPr>
          <w:p w:rsidR="00D060FC" w:rsidRPr="005B0796" w:rsidRDefault="00D060FC" w:rsidP="00D6629A">
            <w:pPr>
              <w:pStyle w:val="TableText"/>
              <w:rPr>
                <w:szCs w:val="18"/>
                <w:lang w:eastAsia="en-AU"/>
              </w:rPr>
            </w:pPr>
            <w:r w:rsidRPr="005B0796">
              <w:rPr>
                <w:szCs w:val="18"/>
                <w:lang w:eastAsia="en-AU"/>
              </w:rPr>
              <w:t>Any affective disorder</w:t>
            </w:r>
            <w:r w:rsidRPr="005B0796">
              <w:rPr>
                <w:szCs w:val="18"/>
                <w:vertAlign w:val="superscript"/>
                <w:lang w:eastAsia="en-AU"/>
              </w:rPr>
              <w:t>b</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3764</w:t>
            </w:r>
          </w:p>
        </w:tc>
        <w:tc>
          <w:tcPr>
            <w:tcW w:w="308" w:type="pct"/>
            <w:noWrap/>
            <w:hideMark/>
          </w:tcPr>
          <w:p w:rsidR="00D060FC" w:rsidRPr="005B0796" w:rsidRDefault="00D060FC" w:rsidP="00D6629A">
            <w:pPr>
              <w:pStyle w:val="TableText"/>
              <w:jc w:val="right"/>
              <w:rPr>
                <w:szCs w:val="18"/>
                <w:lang w:eastAsia="en-AU"/>
              </w:rPr>
            </w:pPr>
            <w:r w:rsidRPr="005B0796">
              <w:rPr>
                <w:szCs w:val="18"/>
                <w:lang w:eastAsia="en-AU"/>
              </w:rPr>
              <w:t>32.9</w:t>
            </w:r>
          </w:p>
        </w:tc>
        <w:tc>
          <w:tcPr>
            <w:tcW w:w="554" w:type="pct"/>
            <w:noWrap/>
            <w:hideMark/>
          </w:tcPr>
          <w:p w:rsidR="00D060FC" w:rsidRPr="005B0796" w:rsidRDefault="00D060FC" w:rsidP="00D6629A">
            <w:pPr>
              <w:pStyle w:val="TableText"/>
              <w:jc w:val="right"/>
              <w:rPr>
                <w:szCs w:val="18"/>
                <w:lang w:eastAsia="en-AU"/>
              </w:rPr>
            </w:pPr>
            <w:r w:rsidRPr="005B0796">
              <w:rPr>
                <w:szCs w:val="18"/>
                <w:lang w:eastAsia="en-AU"/>
              </w:rPr>
              <w:t>26.0, 40.5</w:t>
            </w:r>
          </w:p>
        </w:tc>
        <w:tc>
          <w:tcPr>
            <w:tcW w:w="553" w:type="pct"/>
            <w:noWrap/>
            <w:hideMark/>
          </w:tcPr>
          <w:p w:rsidR="00D060FC" w:rsidRPr="005B0796" w:rsidRDefault="00D060FC" w:rsidP="00D6629A">
            <w:pPr>
              <w:pStyle w:val="TableText"/>
              <w:jc w:val="right"/>
              <w:rPr>
                <w:szCs w:val="18"/>
                <w:lang w:eastAsia="en-AU"/>
              </w:rPr>
            </w:pPr>
            <w:r w:rsidRPr="005B0796">
              <w:rPr>
                <w:szCs w:val="18"/>
                <w:lang w:eastAsia="en-AU"/>
              </w:rPr>
              <w:t>1096</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17.0</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11.2, 24.9</w:t>
            </w:r>
          </w:p>
        </w:tc>
        <w:tc>
          <w:tcPr>
            <w:tcW w:w="550" w:type="pct"/>
            <w:noWrap/>
            <w:hideMark/>
          </w:tcPr>
          <w:p w:rsidR="00D060FC" w:rsidRPr="005B0796" w:rsidRDefault="00D060FC" w:rsidP="00D6629A">
            <w:pPr>
              <w:pStyle w:val="TableText"/>
              <w:jc w:val="right"/>
              <w:rPr>
                <w:szCs w:val="18"/>
                <w:lang w:eastAsia="en-AU"/>
              </w:rPr>
            </w:pPr>
            <w:r w:rsidRPr="005B0796">
              <w:rPr>
                <w:szCs w:val="18"/>
                <w:lang w:eastAsia="en-AU"/>
              </w:rPr>
              <w:t>871</w:t>
            </w:r>
          </w:p>
        </w:tc>
        <w:tc>
          <w:tcPr>
            <w:tcW w:w="307" w:type="pct"/>
            <w:noWrap/>
            <w:hideMark/>
          </w:tcPr>
          <w:p w:rsidR="00D060FC" w:rsidRPr="005B0796" w:rsidRDefault="00D060FC" w:rsidP="00D6629A">
            <w:pPr>
              <w:pStyle w:val="TableText"/>
              <w:jc w:val="right"/>
              <w:rPr>
                <w:szCs w:val="18"/>
                <w:lang w:eastAsia="en-AU"/>
              </w:rPr>
            </w:pPr>
            <w:r w:rsidRPr="005B0796">
              <w:rPr>
                <w:szCs w:val="18"/>
                <w:lang w:eastAsia="en-AU"/>
              </w:rPr>
              <w:t>12.5</w:t>
            </w:r>
          </w:p>
        </w:tc>
        <w:tc>
          <w:tcPr>
            <w:tcW w:w="558" w:type="pct"/>
            <w:noWrap/>
            <w:hideMark/>
          </w:tcPr>
          <w:p w:rsidR="00D060FC" w:rsidRPr="005B0796" w:rsidRDefault="00D060FC" w:rsidP="00D6629A">
            <w:pPr>
              <w:pStyle w:val="TableText"/>
              <w:jc w:val="right"/>
              <w:rPr>
                <w:szCs w:val="18"/>
                <w:lang w:eastAsia="en-AU"/>
              </w:rPr>
            </w:pPr>
            <w:r w:rsidRPr="005B0796">
              <w:rPr>
                <w:szCs w:val="18"/>
                <w:lang w:eastAsia="en-AU"/>
              </w:rPr>
              <w:t>7.9, 19.2</w:t>
            </w:r>
          </w:p>
        </w:tc>
      </w:tr>
    </w:tbl>
    <w:p w:rsidR="00997E39" w:rsidRPr="005B0796" w:rsidRDefault="00997E39" w:rsidP="00997E39">
      <w:pPr>
        <w:pStyle w:val="TableNotes"/>
      </w:pPr>
      <w:bookmarkStart w:id="497" w:name="_Ref486417175"/>
      <w:bookmarkStart w:id="498" w:name="_Toc487014361"/>
      <w:r w:rsidRPr="005B0796">
        <w:t>*n = 77 members were missing transition status, but were included in the population, and therefore for the purpose of this analysis are included as a non-responder</w:t>
      </w:r>
    </w:p>
    <w:p w:rsidR="00997E39" w:rsidRPr="005B0796" w:rsidRDefault="00997E39" w:rsidP="00997E39">
      <w:pPr>
        <w:pStyle w:val="TableNotes"/>
      </w:pPr>
      <w:r w:rsidRPr="005B0796">
        <w:rPr>
          <w:vertAlign w:val="superscript"/>
        </w:rPr>
        <w:t>a</w:t>
      </w:r>
      <w:r w:rsidRPr="005B0796">
        <w:t xml:space="preserve"> Ex-Serving vs Inactive Reservists: OR 2.0, 95% CI 1.0, 4.1; Ex-Serving vs Active Reservists: OR 4.5, 95% CI 2.6, 8.0</w:t>
      </w:r>
      <w:r w:rsidR="00F6614D">
        <w:t>;</w:t>
      </w:r>
      <w:r w:rsidRPr="005B0796">
        <w:t xml:space="preserve"> Inactive vs Active Reservists: OR 2.3, 95% CI 1.1, 4.8 </w:t>
      </w:r>
    </w:p>
    <w:p w:rsidR="00997E39" w:rsidRPr="005B0796" w:rsidRDefault="00997E39" w:rsidP="00997E39">
      <w:pPr>
        <w:pStyle w:val="TableNotes"/>
      </w:pPr>
      <w:r w:rsidRPr="005B0796">
        <w:rPr>
          <w:vertAlign w:val="superscript"/>
        </w:rPr>
        <w:t>b</w:t>
      </w:r>
      <w:r w:rsidRPr="005B0796">
        <w:t xml:space="preserve"> Ex-Serving vs Inactive Reservists: OR 2.2%, 95% CI 1.2, 4.0; Ex-Serving vs Active Reservists: OR 2.9, 95% CI 1.5, 5.5</w:t>
      </w:r>
    </w:p>
    <w:p w:rsidR="00997E39" w:rsidRPr="005B0796" w:rsidRDefault="00997E39" w:rsidP="00997E39">
      <w:pPr>
        <w:pStyle w:val="TableNotes"/>
      </w:pPr>
      <w:r w:rsidRPr="005B0796">
        <w:rPr>
          <w:rFonts w:cs="Calibri"/>
          <w:bCs/>
        </w:rPr>
        <w:t xml:space="preserve">Note: 95% CI: 95% </w:t>
      </w:r>
      <w:r w:rsidR="00564689" w:rsidRPr="005B0796">
        <w:rPr>
          <w:rFonts w:cs="Calibri"/>
          <w:bCs/>
        </w:rPr>
        <w:t>confidence interval</w:t>
      </w:r>
    </w:p>
    <w:p w:rsidR="00997E39" w:rsidRPr="005B0796" w:rsidRDefault="00997E39" w:rsidP="00997E39">
      <w:pPr>
        <w:pStyle w:val="FigureName"/>
      </w:pPr>
      <w:bookmarkStart w:id="499" w:name="_Ref494279452"/>
      <w:bookmarkStart w:id="500" w:name="_Toc51190053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13</w:t>
      </w:r>
      <w:r w:rsidR="00D30A3C">
        <w:rPr>
          <w:noProof/>
        </w:rPr>
        <w:fldChar w:fldCharType="end"/>
      </w:r>
      <w:bookmarkEnd w:id="497"/>
      <w:bookmarkEnd w:id="499"/>
      <w:r w:rsidR="00C73E19" w:rsidRPr="005B0796">
        <w:tab/>
      </w:r>
      <w:r w:rsidRPr="005B0796">
        <w:t>Estimated prevalence of 12-month ICD-10 affective disorders in Transitioned ADF</w:t>
      </w:r>
      <w:r w:rsidR="00492B66">
        <w:t>,</w:t>
      </w:r>
      <w:r w:rsidRPr="005B0796">
        <w:t xml:space="preserve"> by affective disorder type and transition status</w:t>
      </w:r>
      <w:bookmarkEnd w:id="498"/>
      <w:bookmarkEnd w:id="500"/>
    </w:p>
    <w:tbl>
      <w:tblPr>
        <w:tblW w:w="5000" w:type="pct"/>
        <w:tblLayout w:type="fixed"/>
        <w:tblCellMar>
          <w:left w:w="115" w:type="dxa"/>
          <w:right w:w="115" w:type="dxa"/>
        </w:tblCellMar>
        <w:tblLook w:val="04A0" w:firstRow="1" w:lastRow="0" w:firstColumn="1" w:lastColumn="0" w:noHBand="0" w:noVBand="1"/>
      </w:tblPr>
      <w:tblGrid>
        <w:gridCol w:w="7329"/>
      </w:tblGrid>
      <w:tr w:rsidR="00D060FC" w:rsidRPr="005B0796" w:rsidTr="001D2F98">
        <w:trPr>
          <w:cantSplit/>
        </w:trPr>
        <w:tc>
          <w:tcPr>
            <w:tcW w:w="7315" w:type="dxa"/>
          </w:tcPr>
          <w:p w:rsidR="00D060FC" w:rsidRPr="005B0796" w:rsidRDefault="00D060FC" w:rsidP="0019239D">
            <w:r w:rsidRPr="005B0796">
              <w:rPr>
                <w:i/>
                <w:noProof/>
                <w:lang w:eastAsia="en-AU"/>
              </w:rPr>
              <w:drawing>
                <wp:inline distT="0" distB="0" distL="0" distR="0" wp14:anchorId="62105525" wp14:editId="279F460F">
                  <wp:extent cx="4514850" cy="2743200"/>
                  <wp:effectExtent l="0" t="0" r="0" b="0"/>
                  <wp:docPr id="28" name="Chart 28" descr="Figure 4.13 Estimated prevalence of 12-month ICD-10 affective disorders in Transitioned ADF by affective disorder type and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rsidR="00997E39" w:rsidRPr="005B0796" w:rsidRDefault="00997E39" w:rsidP="00997E39">
      <w:pPr>
        <w:pStyle w:val="TableNotes"/>
      </w:pPr>
      <w:bookmarkStart w:id="501" w:name="_Ref484519252"/>
      <w:bookmarkStart w:id="502" w:name="_Toc482023816"/>
      <w:r w:rsidRPr="005B0796">
        <w:t>Depressive episodes:</w:t>
      </w:r>
      <w:r w:rsidRPr="005B0796">
        <w:rPr>
          <w:vertAlign w:val="superscript"/>
        </w:rPr>
        <w:t xml:space="preserve"> </w:t>
      </w:r>
      <w:r w:rsidRPr="005B0796">
        <w:t>Ex-Serving vs Inactive Reservists: OR 2.0, 95% CI 1.0, 4.1; Ex-Serving vs Active Reservists: OR 4.5, 95% CI 2.6, 8.0; Inactive vs Active Reservists: OR 2.3, 95% CI 1.1, 4.8</w:t>
      </w:r>
    </w:p>
    <w:p w:rsidR="00D060FC" w:rsidRPr="005B0796" w:rsidRDefault="00997E39" w:rsidP="00997E39">
      <w:pPr>
        <w:pStyle w:val="TableNotes"/>
      </w:pPr>
      <w:r w:rsidRPr="005B0796">
        <w:t>Any affective disorder: Ex-Serving vs Inactive Reservists: OR 2.2%, 95% CI 1.2, 4.0; Ex-Serving vs Active Reservists: OR 2.9, 95% CI 1.5, 5.5</w:t>
      </w:r>
      <w:bookmarkEnd w:id="501"/>
      <w:bookmarkEnd w:id="502"/>
    </w:p>
    <w:p w:rsidR="00D060FC" w:rsidRPr="005B0796" w:rsidRDefault="00D060FC" w:rsidP="00D17C3E">
      <w:pPr>
        <w:pStyle w:val="Heading3"/>
      </w:pPr>
      <w:bookmarkStart w:id="503" w:name="_Toc482021339"/>
      <w:bookmarkStart w:id="504" w:name="_Toc482024430"/>
      <w:bookmarkStart w:id="505" w:name="_Toc487011198"/>
      <w:bookmarkStart w:id="506" w:name="_Toc494449716"/>
      <w:bookmarkStart w:id="507" w:name="_Toc511900298"/>
      <w:r w:rsidRPr="005B0796">
        <w:t>Demographic factors</w:t>
      </w:r>
      <w:bookmarkEnd w:id="503"/>
      <w:bookmarkEnd w:id="504"/>
      <w:bookmarkEnd w:id="505"/>
      <w:bookmarkEnd w:id="506"/>
      <w:bookmarkEnd w:id="507"/>
    </w:p>
    <w:p w:rsidR="00D060FC" w:rsidRPr="005B0796" w:rsidRDefault="00D060FC" w:rsidP="00D17C3E">
      <w:pPr>
        <w:pStyle w:val="Heading4"/>
      </w:pPr>
      <w:r w:rsidRPr="005B0796">
        <w:t>Sex</w:t>
      </w:r>
    </w:p>
    <w:p w:rsidR="00D060FC" w:rsidRPr="005B0796" w:rsidRDefault="009E72D3" w:rsidP="00D17C3E">
      <w:r w:rsidRPr="005B0796">
        <w:t>Table 4.18</w:t>
      </w:r>
      <w:r w:rsidR="00D060FC" w:rsidRPr="005B0796">
        <w:t xml:space="preserve"> and </w:t>
      </w:r>
      <w:r w:rsidRPr="005B0796">
        <w:t>Figure 4.14</w:t>
      </w:r>
      <w:r w:rsidR="00D060FC" w:rsidRPr="005B0796">
        <w:t xml:space="preserve"> show there were no statistically significant differences between males and females in the Transitioned ADF in the estimated prevalence of affective disorders.</w:t>
      </w:r>
    </w:p>
    <w:p w:rsidR="00997E39" w:rsidRPr="005B0796" w:rsidRDefault="00997E39" w:rsidP="00997E39">
      <w:pPr>
        <w:pStyle w:val="TableName"/>
      </w:pPr>
      <w:bookmarkStart w:id="508" w:name="_Ref484519296"/>
      <w:bookmarkStart w:id="509" w:name="_Toc482023770"/>
      <w:bookmarkStart w:id="510" w:name="_Toc487014269"/>
      <w:bookmarkStart w:id="511" w:name="_Toc492995572"/>
      <w:bookmarkStart w:id="512" w:name="_Toc51190042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18</w:t>
      </w:r>
      <w:r w:rsidR="00D30A3C">
        <w:rPr>
          <w:noProof/>
        </w:rPr>
        <w:fldChar w:fldCharType="end"/>
      </w:r>
      <w:bookmarkEnd w:id="508"/>
      <w:r w:rsidRPr="005B0796">
        <w:tab/>
        <w:t>Estimated prevalence of 12-month affective disorders in Transitioned ADF members</w:t>
      </w:r>
      <w:r w:rsidR="00492B66">
        <w:t>,</w:t>
      </w:r>
      <w:r w:rsidRPr="005B0796">
        <w:t xml:space="preserve"> by affective disorder type and sex</w:t>
      </w:r>
      <w:bookmarkEnd w:id="509"/>
      <w:bookmarkEnd w:id="510"/>
      <w:bookmarkEnd w:id="511"/>
      <w:bookmarkEnd w:id="512"/>
    </w:p>
    <w:tbl>
      <w:tblPr>
        <w:tblStyle w:val="TWRPTable"/>
        <w:tblW w:w="5000" w:type="pct"/>
        <w:tblLayout w:type="fixed"/>
        <w:tblLook w:val="04A0" w:firstRow="1" w:lastRow="0" w:firstColumn="1" w:lastColumn="0" w:noHBand="0" w:noVBand="1"/>
        <w:tblDescription w:val="Table 4.18 Estimated prevalence of 12-month affective disorders in Transitioned ADF members by affective disorder type and sex"/>
      </w:tblPr>
      <w:tblGrid>
        <w:gridCol w:w="2035"/>
        <w:gridCol w:w="880"/>
        <w:gridCol w:w="880"/>
        <w:gridCol w:w="880"/>
        <w:gridCol w:w="880"/>
        <w:gridCol w:w="880"/>
        <w:gridCol w:w="880"/>
      </w:tblGrid>
      <w:tr w:rsidR="00D060FC" w:rsidRPr="005B0796" w:rsidTr="00D17C3E">
        <w:trPr>
          <w:cnfStyle w:val="100000000000" w:firstRow="1" w:lastRow="0" w:firstColumn="0" w:lastColumn="0" w:oddVBand="0" w:evenVBand="0" w:oddHBand="0" w:evenHBand="0" w:firstRowFirstColumn="0" w:firstRowLastColumn="0" w:lastRowFirstColumn="0" w:lastRowLastColumn="0"/>
          <w:tblHeader/>
        </w:trPr>
        <w:tc>
          <w:tcPr>
            <w:tcW w:w="2035" w:type="dxa"/>
            <w:vMerge w:val="restart"/>
            <w:tcBorders>
              <w:top w:val="single" w:sz="4" w:space="0" w:color="000000"/>
              <w:bottom w:val="nil"/>
            </w:tcBorders>
            <w:noWrap/>
            <w:hideMark/>
          </w:tcPr>
          <w:p w:rsidR="00D060FC" w:rsidRPr="005B0796" w:rsidRDefault="00D060FC" w:rsidP="00D17C3E">
            <w:pPr>
              <w:pStyle w:val="TableText"/>
              <w:rPr>
                <w:lang w:eastAsia="en-AU"/>
              </w:rPr>
            </w:pPr>
          </w:p>
        </w:tc>
        <w:tc>
          <w:tcPr>
            <w:tcW w:w="5280" w:type="dxa"/>
            <w:gridSpan w:val="6"/>
            <w:noWrap/>
            <w:hideMark/>
          </w:tcPr>
          <w:p w:rsidR="00D060FC" w:rsidRPr="005B0796" w:rsidRDefault="00D060FC" w:rsidP="00D17C3E">
            <w:pPr>
              <w:pStyle w:val="TableText"/>
              <w:jc w:val="center"/>
              <w:rPr>
                <w:lang w:eastAsia="en-AU"/>
              </w:rPr>
            </w:pPr>
            <w:r w:rsidRPr="005B0796">
              <w:rPr>
                <w:lang w:eastAsia="en-AU"/>
              </w:rPr>
              <w:t>Sex</w:t>
            </w:r>
          </w:p>
        </w:tc>
      </w:tr>
      <w:tr w:rsidR="00D060FC" w:rsidRPr="005B0796" w:rsidTr="00D17C3E">
        <w:trPr>
          <w:cnfStyle w:val="100000000000" w:firstRow="1" w:lastRow="0" w:firstColumn="0" w:lastColumn="0" w:oddVBand="0" w:evenVBand="0" w:oddHBand="0" w:evenHBand="0" w:firstRowFirstColumn="0" w:firstRowLastColumn="0" w:lastRowFirstColumn="0" w:lastRowLastColumn="0"/>
          <w:tblHeader/>
        </w:trPr>
        <w:tc>
          <w:tcPr>
            <w:tcW w:w="2035" w:type="dxa"/>
            <w:vMerge/>
            <w:tcBorders>
              <w:top w:val="nil"/>
              <w:bottom w:val="nil"/>
            </w:tcBorders>
            <w:hideMark/>
          </w:tcPr>
          <w:p w:rsidR="00D060FC" w:rsidRPr="005B0796" w:rsidRDefault="00D060FC" w:rsidP="00D17C3E">
            <w:pPr>
              <w:pStyle w:val="TableText"/>
              <w:rPr>
                <w:lang w:eastAsia="en-AU"/>
              </w:rPr>
            </w:pPr>
          </w:p>
        </w:tc>
        <w:tc>
          <w:tcPr>
            <w:tcW w:w="2640" w:type="dxa"/>
            <w:gridSpan w:val="3"/>
            <w:noWrap/>
            <w:hideMark/>
          </w:tcPr>
          <w:p w:rsidR="00D060FC" w:rsidRPr="005B0796" w:rsidRDefault="00D060FC" w:rsidP="00D17C3E">
            <w:pPr>
              <w:pStyle w:val="TableText"/>
              <w:jc w:val="center"/>
              <w:rPr>
                <w:lang w:eastAsia="en-AU"/>
              </w:rPr>
            </w:pPr>
            <w:r w:rsidRPr="005B0796">
              <w:rPr>
                <w:lang w:eastAsia="en-AU"/>
              </w:rPr>
              <w:t xml:space="preserve">Transitioned males </w:t>
            </w:r>
            <w:r w:rsidRPr="005B0796">
              <w:rPr>
                <w:lang w:eastAsia="en-AU"/>
              </w:rPr>
              <w:br/>
              <w:t>(n = 21,671)</w:t>
            </w:r>
          </w:p>
        </w:tc>
        <w:tc>
          <w:tcPr>
            <w:tcW w:w="2640" w:type="dxa"/>
            <w:gridSpan w:val="3"/>
            <w:noWrap/>
            <w:hideMark/>
          </w:tcPr>
          <w:p w:rsidR="00D060FC" w:rsidRPr="005B0796" w:rsidRDefault="00D060FC" w:rsidP="00D17C3E">
            <w:pPr>
              <w:pStyle w:val="TableText"/>
              <w:jc w:val="center"/>
              <w:rPr>
                <w:lang w:eastAsia="en-AU"/>
              </w:rPr>
            </w:pPr>
            <w:r w:rsidRPr="005B0796">
              <w:rPr>
                <w:lang w:eastAsia="en-AU"/>
              </w:rPr>
              <w:t xml:space="preserve">Transitioned females </w:t>
            </w:r>
            <w:r w:rsidRPr="005B0796">
              <w:rPr>
                <w:lang w:eastAsia="en-AU"/>
              </w:rPr>
              <w:br/>
              <w:t>(n = 3261)</w:t>
            </w:r>
          </w:p>
        </w:tc>
      </w:tr>
      <w:tr w:rsidR="00D060FC" w:rsidRPr="005B0796" w:rsidTr="00D17C3E">
        <w:trPr>
          <w:cnfStyle w:val="100000000000" w:firstRow="1" w:lastRow="0" w:firstColumn="0" w:lastColumn="0" w:oddVBand="0" w:evenVBand="0" w:oddHBand="0" w:evenHBand="0" w:firstRowFirstColumn="0" w:firstRowLastColumn="0" w:lastRowFirstColumn="0" w:lastRowLastColumn="0"/>
          <w:tblHeader/>
        </w:trPr>
        <w:tc>
          <w:tcPr>
            <w:tcW w:w="2035" w:type="dxa"/>
            <w:tcBorders>
              <w:top w:val="nil"/>
            </w:tcBorders>
            <w:noWrap/>
            <w:hideMark/>
          </w:tcPr>
          <w:p w:rsidR="00D060FC" w:rsidRPr="005B0796" w:rsidRDefault="00D17C3E" w:rsidP="00D17C3E">
            <w:pPr>
              <w:pStyle w:val="TableText"/>
              <w:rPr>
                <w:lang w:eastAsia="en-AU"/>
              </w:rPr>
            </w:pPr>
            <w:r w:rsidRPr="005B0796">
              <w:rPr>
                <w:lang w:eastAsia="en-AU"/>
              </w:rPr>
              <w:t xml:space="preserve">ICD-10 </w:t>
            </w:r>
            <w:r w:rsidR="00D13778" w:rsidRPr="005B0796">
              <w:rPr>
                <w:lang w:eastAsia="en-AU"/>
              </w:rPr>
              <w:t>affective disorder</w:t>
            </w:r>
          </w:p>
        </w:tc>
        <w:tc>
          <w:tcPr>
            <w:tcW w:w="880" w:type="dxa"/>
            <w:noWrap/>
            <w:hideMark/>
          </w:tcPr>
          <w:p w:rsidR="00D060FC" w:rsidRPr="005B0796" w:rsidRDefault="00D060FC" w:rsidP="00D17C3E">
            <w:pPr>
              <w:pStyle w:val="TableText"/>
              <w:jc w:val="right"/>
              <w:rPr>
                <w:lang w:eastAsia="en-AU"/>
              </w:rPr>
            </w:pPr>
            <w:r w:rsidRPr="005B0796">
              <w:rPr>
                <w:lang w:eastAsia="en-AU"/>
              </w:rPr>
              <w:t>Weighted n</w:t>
            </w:r>
          </w:p>
        </w:tc>
        <w:tc>
          <w:tcPr>
            <w:tcW w:w="880" w:type="dxa"/>
            <w:hideMark/>
          </w:tcPr>
          <w:p w:rsidR="00D060FC" w:rsidRPr="005B0796" w:rsidRDefault="00D060FC" w:rsidP="00D17C3E">
            <w:pPr>
              <w:pStyle w:val="TableText"/>
              <w:jc w:val="right"/>
              <w:rPr>
                <w:lang w:eastAsia="en-AU"/>
              </w:rPr>
            </w:pPr>
            <w:r w:rsidRPr="005B0796">
              <w:rPr>
                <w:lang w:eastAsia="en-AU"/>
              </w:rPr>
              <w:t>%</w:t>
            </w:r>
          </w:p>
        </w:tc>
        <w:tc>
          <w:tcPr>
            <w:tcW w:w="880" w:type="dxa"/>
            <w:hideMark/>
          </w:tcPr>
          <w:p w:rsidR="00D060FC" w:rsidRPr="005B0796" w:rsidRDefault="00D060FC" w:rsidP="00D17C3E">
            <w:pPr>
              <w:pStyle w:val="TableText"/>
              <w:jc w:val="right"/>
              <w:rPr>
                <w:lang w:eastAsia="en-AU"/>
              </w:rPr>
            </w:pPr>
            <w:r w:rsidRPr="005B0796">
              <w:rPr>
                <w:lang w:eastAsia="en-AU"/>
              </w:rPr>
              <w:t>95% CI</w:t>
            </w:r>
          </w:p>
        </w:tc>
        <w:tc>
          <w:tcPr>
            <w:tcW w:w="880" w:type="dxa"/>
            <w:noWrap/>
            <w:hideMark/>
          </w:tcPr>
          <w:p w:rsidR="00D060FC" w:rsidRPr="005B0796" w:rsidRDefault="00D060FC" w:rsidP="00D17C3E">
            <w:pPr>
              <w:pStyle w:val="TableText"/>
              <w:jc w:val="right"/>
              <w:rPr>
                <w:lang w:eastAsia="en-AU"/>
              </w:rPr>
            </w:pPr>
            <w:r w:rsidRPr="005B0796">
              <w:rPr>
                <w:lang w:eastAsia="en-AU"/>
              </w:rPr>
              <w:t>Weighted n</w:t>
            </w:r>
          </w:p>
        </w:tc>
        <w:tc>
          <w:tcPr>
            <w:tcW w:w="880" w:type="dxa"/>
            <w:hideMark/>
          </w:tcPr>
          <w:p w:rsidR="00D060FC" w:rsidRPr="005B0796" w:rsidRDefault="00D060FC" w:rsidP="00D17C3E">
            <w:pPr>
              <w:pStyle w:val="TableText"/>
              <w:jc w:val="right"/>
              <w:rPr>
                <w:lang w:eastAsia="en-AU"/>
              </w:rPr>
            </w:pPr>
            <w:r w:rsidRPr="005B0796">
              <w:rPr>
                <w:lang w:eastAsia="en-AU"/>
              </w:rPr>
              <w:t>%</w:t>
            </w:r>
          </w:p>
        </w:tc>
        <w:tc>
          <w:tcPr>
            <w:tcW w:w="880" w:type="dxa"/>
            <w:hideMark/>
          </w:tcPr>
          <w:p w:rsidR="00D060FC" w:rsidRPr="005B0796" w:rsidRDefault="00D060FC" w:rsidP="00D17C3E">
            <w:pPr>
              <w:pStyle w:val="TableText"/>
              <w:jc w:val="right"/>
              <w:rPr>
                <w:lang w:eastAsia="en-AU"/>
              </w:rPr>
            </w:pPr>
            <w:r w:rsidRPr="005B0796">
              <w:rPr>
                <w:lang w:eastAsia="en-AU"/>
              </w:rPr>
              <w:t>95% CI</w:t>
            </w:r>
          </w:p>
        </w:tc>
      </w:tr>
      <w:tr w:rsidR="00D060FC" w:rsidRPr="005B0796" w:rsidTr="00D17C3E">
        <w:trPr>
          <w:cnfStyle w:val="000000100000" w:firstRow="0" w:lastRow="0" w:firstColumn="0" w:lastColumn="0" w:oddVBand="0" w:evenVBand="0" w:oddHBand="1" w:evenHBand="0" w:firstRowFirstColumn="0" w:firstRowLastColumn="0" w:lastRowFirstColumn="0" w:lastRowLastColumn="0"/>
        </w:trPr>
        <w:tc>
          <w:tcPr>
            <w:tcW w:w="2035" w:type="dxa"/>
            <w:hideMark/>
          </w:tcPr>
          <w:p w:rsidR="00D060FC" w:rsidRPr="005B0796" w:rsidRDefault="00D060FC" w:rsidP="00D17C3E">
            <w:pPr>
              <w:pStyle w:val="TableText"/>
              <w:rPr>
                <w:lang w:eastAsia="en-AU"/>
              </w:rPr>
            </w:pPr>
            <w:r w:rsidRPr="005B0796">
              <w:rPr>
                <w:lang w:eastAsia="en-AU"/>
              </w:rPr>
              <w:t>Depressive episodes</w:t>
            </w:r>
          </w:p>
        </w:tc>
        <w:tc>
          <w:tcPr>
            <w:tcW w:w="880" w:type="dxa"/>
            <w:noWrap/>
            <w:hideMark/>
          </w:tcPr>
          <w:p w:rsidR="00D060FC" w:rsidRPr="005B0796" w:rsidRDefault="00D060FC" w:rsidP="00D17C3E">
            <w:pPr>
              <w:pStyle w:val="TableText"/>
              <w:jc w:val="right"/>
              <w:rPr>
                <w:lang w:eastAsia="en-AU"/>
              </w:rPr>
            </w:pPr>
            <w:r w:rsidRPr="005B0796">
              <w:rPr>
                <w:lang w:eastAsia="en-AU"/>
              </w:rPr>
              <w:t>2241</w:t>
            </w:r>
          </w:p>
        </w:tc>
        <w:tc>
          <w:tcPr>
            <w:tcW w:w="880" w:type="dxa"/>
            <w:noWrap/>
            <w:hideMark/>
          </w:tcPr>
          <w:p w:rsidR="00D060FC" w:rsidRPr="005B0796" w:rsidRDefault="00D060FC" w:rsidP="00D17C3E">
            <w:pPr>
              <w:pStyle w:val="TableText"/>
              <w:jc w:val="right"/>
              <w:rPr>
                <w:lang w:eastAsia="en-AU"/>
              </w:rPr>
            </w:pPr>
            <w:r w:rsidRPr="005B0796">
              <w:rPr>
                <w:lang w:eastAsia="en-AU"/>
              </w:rPr>
              <w:t>10.3</w:t>
            </w:r>
          </w:p>
        </w:tc>
        <w:tc>
          <w:tcPr>
            <w:tcW w:w="880" w:type="dxa"/>
            <w:noWrap/>
            <w:hideMark/>
          </w:tcPr>
          <w:p w:rsidR="00D060FC" w:rsidRPr="005B0796" w:rsidRDefault="00D060FC" w:rsidP="00D17C3E">
            <w:pPr>
              <w:pStyle w:val="TableText"/>
              <w:jc w:val="right"/>
              <w:rPr>
                <w:lang w:eastAsia="en-AU"/>
              </w:rPr>
            </w:pPr>
            <w:r w:rsidRPr="005B0796">
              <w:rPr>
                <w:lang w:eastAsia="en-AU"/>
              </w:rPr>
              <w:t>7.7, 13.7</w:t>
            </w:r>
          </w:p>
        </w:tc>
        <w:tc>
          <w:tcPr>
            <w:tcW w:w="880" w:type="dxa"/>
            <w:noWrap/>
            <w:hideMark/>
          </w:tcPr>
          <w:p w:rsidR="00D060FC" w:rsidRPr="005B0796" w:rsidRDefault="00D060FC" w:rsidP="00D17C3E">
            <w:pPr>
              <w:pStyle w:val="TableText"/>
              <w:jc w:val="right"/>
              <w:rPr>
                <w:lang w:eastAsia="en-AU"/>
              </w:rPr>
            </w:pPr>
            <w:r w:rsidRPr="005B0796">
              <w:rPr>
                <w:lang w:eastAsia="en-AU"/>
              </w:rPr>
              <w:t>542</w:t>
            </w:r>
          </w:p>
        </w:tc>
        <w:tc>
          <w:tcPr>
            <w:tcW w:w="880" w:type="dxa"/>
            <w:noWrap/>
            <w:hideMark/>
          </w:tcPr>
          <w:p w:rsidR="00D060FC" w:rsidRPr="005B0796" w:rsidRDefault="00D060FC" w:rsidP="00D17C3E">
            <w:pPr>
              <w:pStyle w:val="TableText"/>
              <w:jc w:val="right"/>
              <w:rPr>
                <w:lang w:eastAsia="en-AU"/>
              </w:rPr>
            </w:pPr>
            <w:r w:rsidRPr="005B0796">
              <w:rPr>
                <w:lang w:eastAsia="en-AU"/>
              </w:rPr>
              <w:t>16.6</w:t>
            </w:r>
          </w:p>
        </w:tc>
        <w:tc>
          <w:tcPr>
            <w:tcW w:w="880" w:type="dxa"/>
            <w:noWrap/>
            <w:hideMark/>
          </w:tcPr>
          <w:p w:rsidR="00D060FC" w:rsidRPr="005B0796" w:rsidRDefault="00D060FC" w:rsidP="00D17C3E">
            <w:pPr>
              <w:pStyle w:val="TableText"/>
              <w:jc w:val="right"/>
              <w:rPr>
                <w:lang w:eastAsia="en-AU"/>
              </w:rPr>
            </w:pPr>
            <w:r w:rsidRPr="005B0796">
              <w:rPr>
                <w:lang w:eastAsia="en-AU"/>
              </w:rPr>
              <w:t>9.4, 27.7</w:t>
            </w:r>
          </w:p>
        </w:tc>
      </w:tr>
      <w:tr w:rsidR="00D060FC" w:rsidRPr="005B0796" w:rsidTr="00D17C3E">
        <w:tc>
          <w:tcPr>
            <w:tcW w:w="2035" w:type="dxa"/>
            <w:hideMark/>
          </w:tcPr>
          <w:p w:rsidR="00D060FC" w:rsidRPr="005B0796" w:rsidRDefault="00D060FC" w:rsidP="00D17C3E">
            <w:pPr>
              <w:pStyle w:val="TableText"/>
              <w:rPr>
                <w:lang w:eastAsia="en-AU"/>
              </w:rPr>
            </w:pPr>
            <w:r w:rsidRPr="005B0796">
              <w:rPr>
                <w:lang w:eastAsia="en-AU"/>
              </w:rPr>
              <w:t>Dysthymia</w:t>
            </w:r>
          </w:p>
        </w:tc>
        <w:tc>
          <w:tcPr>
            <w:tcW w:w="880" w:type="dxa"/>
            <w:noWrap/>
            <w:hideMark/>
          </w:tcPr>
          <w:p w:rsidR="00D060FC" w:rsidRPr="005B0796" w:rsidRDefault="00D060FC" w:rsidP="00D17C3E">
            <w:pPr>
              <w:pStyle w:val="TableText"/>
              <w:jc w:val="right"/>
              <w:rPr>
                <w:lang w:eastAsia="en-AU"/>
              </w:rPr>
            </w:pPr>
            <w:r w:rsidRPr="005B0796">
              <w:rPr>
                <w:lang w:eastAsia="en-AU"/>
              </w:rPr>
              <w:t>972</w:t>
            </w:r>
          </w:p>
        </w:tc>
        <w:tc>
          <w:tcPr>
            <w:tcW w:w="880" w:type="dxa"/>
            <w:noWrap/>
            <w:hideMark/>
          </w:tcPr>
          <w:p w:rsidR="00D060FC" w:rsidRPr="005B0796" w:rsidRDefault="00D060FC" w:rsidP="00D17C3E">
            <w:pPr>
              <w:pStyle w:val="TableText"/>
              <w:jc w:val="right"/>
              <w:rPr>
                <w:lang w:eastAsia="en-AU"/>
              </w:rPr>
            </w:pPr>
            <w:r w:rsidRPr="005B0796">
              <w:rPr>
                <w:lang w:eastAsia="en-AU"/>
              </w:rPr>
              <w:t>4.5</w:t>
            </w:r>
          </w:p>
        </w:tc>
        <w:tc>
          <w:tcPr>
            <w:tcW w:w="880" w:type="dxa"/>
            <w:noWrap/>
            <w:hideMark/>
          </w:tcPr>
          <w:p w:rsidR="00D060FC" w:rsidRPr="005B0796" w:rsidRDefault="00D060FC" w:rsidP="00D17C3E">
            <w:pPr>
              <w:pStyle w:val="TableText"/>
              <w:jc w:val="right"/>
              <w:rPr>
                <w:lang w:eastAsia="en-AU"/>
              </w:rPr>
            </w:pPr>
            <w:r w:rsidRPr="005B0796">
              <w:rPr>
                <w:lang w:eastAsia="en-AU"/>
              </w:rPr>
              <w:t>2.8, 7.0</w:t>
            </w:r>
          </w:p>
        </w:tc>
        <w:tc>
          <w:tcPr>
            <w:tcW w:w="880" w:type="dxa"/>
            <w:noWrap/>
            <w:hideMark/>
          </w:tcPr>
          <w:p w:rsidR="00D060FC" w:rsidRPr="005B0796" w:rsidRDefault="00D060FC" w:rsidP="00D17C3E">
            <w:pPr>
              <w:pStyle w:val="TableText"/>
              <w:jc w:val="right"/>
              <w:rPr>
                <w:lang w:eastAsia="en-AU"/>
              </w:rPr>
            </w:pPr>
            <w:r w:rsidRPr="005B0796">
              <w:rPr>
                <w:lang w:eastAsia="en-AU"/>
              </w:rPr>
              <w:t>168</w:t>
            </w:r>
          </w:p>
        </w:tc>
        <w:tc>
          <w:tcPr>
            <w:tcW w:w="880" w:type="dxa"/>
            <w:noWrap/>
            <w:hideMark/>
          </w:tcPr>
          <w:p w:rsidR="00D060FC" w:rsidRPr="005B0796" w:rsidRDefault="00D060FC" w:rsidP="00D17C3E">
            <w:pPr>
              <w:pStyle w:val="TableText"/>
              <w:jc w:val="right"/>
              <w:rPr>
                <w:lang w:eastAsia="en-AU"/>
              </w:rPr>
            </w:pPr>
            <w:r w:rsidRPr="005B0796">
              <w:rPr>
                <w:lang w:eastAsia="en-AU"/>
              </w:rPr>
              <w:t>5.1</w:t>
            </w:r>
          </w:p>
        </w:tc>
        <w:tc>
          <w:tcPr>
            <w:tcW w:w="880" w:type="dxa"/>
            <w:noWrap/>
            <w:hideMark/>
          </w:tcPr>
          <w:p w:rsidR="00D060FC" w:rsidRPr="005B0796" w:rsidRDefault="00D060FC" w:rsidP="00D17C3E">
            <w:pPr>
              <w:pStyle w:val="TableText"/>
              <w:jc w:val="right"/>
              <w:rPr>
                <w:lang w:eastAsia="en-AU"/>
              </w:rPr>
            </w:pPr>
            <w:r w:rsidRPr="005B0796">
              <w:rPr>
                <w:lang w:eastAsia="en-AU"/>
              </w:rPr>
              <w:t>2.9, 9.0</w:t>
            </w:r>
          </w:p>
        </w:tc>
      </w:tr>
      <w:tr w:rsidR="00D060FC" w:rsidRPr="005B0796" w:rsidTr="00D17C3E">
        <w:trPr>
          <w:cnfStyle w:val="000000100000" w:firstRow="0" w:lastRow="0" w:firstColumn="0" w:lastColumn="0" w:oddVBand="0" w:evenVBand="0" w:oddHBand="1" w:evenHBand="0" w:firstRowFirstColumn="0" w:firstRowLastColumn="0" w:lastRowFirstColumn="0" w:lastRowLastColumn="0"/>
        </w:trPr>
        <w:tc>
          <w:tcPr>
            <w:tcW w:w="2035" w:type="dxa"/>
            <w:hideMark/>
          </w:tcPr>
          <w:p w:rsidR="00D060FC" w:rsidRPr="005B0796" w:rsidRDefault="00D060FC" w:rsidP="00D17C3E">
            <w:pPr>
              <w:pStyle w:val="TableText"/>
              <w:rPr>
                <w:lang w:eastAsia="en-AU"/>
              </w:rPr>
            </w:pPr>
            <w:r w:rsidRPr="005B0796">
              <w:rPr>
                <w:lang w:eastAsia="en-AU"/>
              </w:rPr>
              <w:t>Bipolar affective disorder</w:t>
            </w:r>
          </w:p>
        </w:tc>
        <w:tc>
          <w:tcPr>
            <w:tcW w:w="880" w:type="dxa"/>
            <w:noWrap/>
            <w:hideMark/>
          </w:tcPr>
          <w:p w:rsidR="00D060FC" w:rsidRPr="005B0796" w:rsidRDefault="00D060FC" w:rsidP="00D17C3E">
            <w:pPr>
              <w:pStyle w:val="TableText"/>
              <w:jc w:val="right"/>
              <w:rPr>
                <w:lang w:eastAsia="en-AU"/>
              </w:rPr>
            </w:pPr>
            <w:r w:rsidRPr="005B0796">
              <w:rPr>
                <w:lang w:eastAsia="en-AU"/>
              </w:rPr>
              <w:t>2286</w:t>
            </w:r>
          </w:p>
        </w:tc>
        <w:tc>
          <w:tcPr>
            <w:tcW w:w="880" w:type="dxa"/>
            <w:noWrap/>
            <w:hideMark/>
          </w:tcPr>
          <w:p w:rsidR="00D060FC" w:rsidRPr="005B0796" w:rsidRDefault="00D060FC" w:rsidP="00D17C3E">
            <w:pPr>
              <w:pStyle w:val="TableText"/>
              <w:jc w:val="right"/>
              <w:rPr>
                <w:lang w:eastAsia="en-AU"/>
              </w:rPr>
            </w:pPr>
            <w:r w:rsidRPr="005B0796">
              <w:rPr>
                <w:lang w:eastAsia="en-AU"/>
              </w:rPr>
              <w:t>10.5</w:t>
            </w:r>
          </w:p>
        </w:tc>
        <w:tc>
          <w:tcPr>
            <w:tcW w:w="880" w:type="dxa"/>
            <w:noWrap/>
            <w:hideMark/>
          </w:tcPr>
          <w:p w:rsidR="00D060FC" w:rsidRPr="005B0796" w:rsidRDefault="00D060FC" w:rsidP="00D17C3E">
            <w:pPr>
              <w:pStyle w:val="TableText"/>
              <w:jc w:val="right"/>
              <w:rPr>
                <w:lang w:eastAsia="en-AU"/>
              </w:rPr>
            </w:pPr>
            <w:r w:rsidRPr="005B0796">
              <w:rPr>
                <w:lang w:eastAsia="en-AU"/>
              </w:rPr>
              <w:t>7.4, 14.8</w:t>
            </w:r>
          </w:p>
        </w:tc>
        <w:tc>
          <w:tcPr>
            <w:tcW w:w="880" w:type="dxa"/>
            <w:noWrap/>
            <w:hideMark/>
          </w:tcPr>
          <w:p w:rsidR="00D060FC" w:rsidRPr="005B0796" w:rsidRDefault="00D060FC" w:rsidP="00D17C3E">
            <w:pPr>
              <w:pStyle w:val="TableText"/>
              <w:jc w:val="right"/>
              <w:rPr>
                <w:lang w:eastAsia="en-AU"/>
              </w:rPr>
            </w:pPr>
            <w:r w:rsidRPr="005B0796">
              <w:rPr>
                <w:lang w:eastAsia="en-AU"/>
              </w:rPr>
              <w:t>157</w:t>
            </w:r>
          </w:p>
        </w:tc>
        <w:tc>
          <w:tcPr>
            <w:tcW w:w="880" w:type="dxa"/>
            <w:noWrap/>
            <w:hideMark/>
          </w:tcPr>
          <w:p w:rsidR="00D060FC" w:rsidRPr="005B0796" w:rsidRDefault="00D060FC" w:rsidP="00D17C3E">
            <w:pPr>
              <w:pStyle w:val="TableText"/>
              <w:jc w:val="right"/>
              <w:rPr>
                <w:lang w:eastAsia="en-AU"/>
              </w:rPr>
            </w:pPr>
            <w:r w:rsidRPr="005B0796">
              <w:rPr>
                <w:lang w:eastAsia="en-AU"/>
              </w:rPr>
              <w:t>4.8</w:t>
            </w:r>
          </w:p>
        </w:tc>
        <w:tc>
          <w:tcPr>
            <w:tcW w:w="880" w:type="dxa"/>
            <w:noWrap/>
            <w:hideMark/>
          </w:tcPr>
          <w:p w:rsidR="00D060FC" w:rsidRPr="005B0796" w:rsidRDefault="00D060FC" w:rsidP="00D17C3E">
            <w:pPr>
              <w:pStyle w:val="TableText"/>
              <w:jc w:val="right"/>
              <w:rPr>
                <w:lang w:eastAsia="en-AU"/>
              </w:rPr>
            </w:pPr>
            <w:r w:rsidRPr="005B0796">
              <w:rPr>
                <w:lang w:eastAsia="en-AU"/>
              </w:rPr>
              <w:t>1.6, 13.5</w:t>
            </w:r>
          </w:p>
        </w:tc>
      </w:tr>
      <w:tr w:rsidR="00D060FC" w:rsidRPr="005B0796" w:rsidTr="00D17C3E">
        <w:tc>
          <w:tcPr>
            <w:tcW w:w="2035" w:type="dxa"/>
            <w:noWrap/>
            <w:hideMark/>
          </w:tcPr>
          <w:p w:rsidR="00D060FC" w:rsidRPr="005B0796" w:rsidRDefault="00D060FC" w:rsidP="00D17C3E">
            <w:pPr>
              <w:pStyle w:val="TableText"/>
              <w:rPr>
                <w:lang w:eastAsia="en-AU"/>
              </w:rPr>
            </w:pPr>
            <w:r w:rsidRPr="005B0796">
              <w:rPr>
                <w:lang w:eastAsia="en-AU"/>
              </w:rPr>
              <w:t>Any affective disorder</w:t>
            </w:r>
          </w:p>
        </w:tc>
        <w:tc>
          <w:tcPr>
            <w:tcW w:w="880" w:type="dxa"/>
            <w:noWrap/>
            <w:hideMark/>
          </w:tcPr>
          <w:p w:rsidR="00D060FC" w:rsidRPr="005B0796" w:rsidRDefault="00D060FC" w:rsidP="00D17C3E">
            <w:pPr>
              <w:pStyle w:val="TableText"/>
              <w:jc w:val="right"/>
              <w:rPr>
                <w:lang w:eastAsia="en-AU"/>
              </w:rPr>
            </w:pPr>
            <w:r w:rsidRPr="005B0796">
              <w:rPr>
                <w:lang w:eastAsia="en-AU"/>
              </w:rPr>
              <w:t>5005</w:t>
            </w:r>
          </w:p>
        </w:tc>
        <w:tc>
          <w:tcPr>
            <w:tcW w:w="880" w:type="dxa"/>
            <w:noWrap/>
            <w:hideMark/>
          </w:tcPr>
          <w:p w:rsidR="00D060FC" w:rsidRPr="005B0796" w:rsidRDefault="00D060FC" w:rsidP="00D17C3E">
            <w:pPr>
              <w:pStyle w:val="TableText"/>
              <w:jc w:val="right"/>
              <w:rPr>
                <w:lang w:eastAsia="en-AU"/>
              </w:rPr>
            </w:pPr>
            <w:r w:rsidRPr="005B0796">
              <w:rPr>
                <w:lang w:eastAsia="en-AU"/>
              </w:rPr>
              <w:t>23.1</w:t>
            </w:r>
          </w:p>
        </w:tc>
        <w:tc>
          <w:tcPr>
            <w:tcW w:w="880" w:type="dxa"/>
            <w:noWrap/>
            <w:hideMark/>
          </w:tcPr>
          <w:p w:rsidR="00D060FC" w:rsidRPr="005B0796" w:rsidRDefault="00D060FC" w:rsidP="00D17C3E">
            <w:pPr>
              <w:pStyle w:val="TableText"/>
              <w:jc w:val="right"/>
              <w:rPr>
                <w:lang w:eastAsia="en-AU"/>
              </w:rPr>
            </w:pPr>
            <w:r w:rsidRPr="005B0796">
              <w:rPr>
                <w:lang w:eastAsia="en-AU"/>
              </w:rPr>
              <w:t>18.8, 28.0</w:t>
            </w:r>
          </w:p>
        </w:tc>
        <w:tc>
          <w:tcPr>
            <w:tcW w:w="880" w:type="dxa"/>
            <w:noWrap/>
            <w:hideMark/>
          </w:tcPr>
          <w:p w:rsidR="00D060FC" w:rsidRPr="005B0796" w:rsidRDefault="00D060FC" w:rsidP="00D17C3E">
            <w:pPr>
              <w:pStyle w:val="TableText"/>
              <w:jc w:val="right"/>
              <w:rPr>
                <w:lang w:eastAsia="en-AU"/>
              </w:rPr>
            </w:pPr>
            <w:r w:rsidRPr="005B0796">
              <w:rPr>
                <w:lang w:eastAsia="en-AU"/>
              </w:rPr>
              <w:t>750</w:t>
            </w:r>
          </w:p>
        </w:tc>
        <w:tc>
          <w:tcPr>
            <w:tcW w:w="880" w:type="dxa"/>
            <w:noWrap/>
            <w:hideMark/>
          </w:tcPr>
          <w:p w:rsidR="00D060FC" w:rsidRPr="005B0796" w:rsidRDefault="00D060FC" w:rsidP="00D17C3E">
            <w:pPr>
              <w:pStyle w:val="TableText"/>
              <w:jc w:val="right"/>
              <w:rPr>
                <w:lang w:eastAsia="en-AU"/>
              </w:rPr>
            </w:pPr>
            <w:r w:rsidRPr="005B0796">
              <w:rPr>
                <w:lang w:eastAsia="en-AU"/>
              </w:rPr>
              <w:t>23.0</w:t>
            </w:r>
          </w:p>
        </w:tc>
        <w:tc>
          <w:tcPr>
            <w:tcW w:w="880" w:type="dxa"/>
            <w:noWrap/>
            <w:hideMark/>
          </w:tcPr>
          <w:p w:rsidR="00D060FC" w:rsidRPr="005B0796" w:rsidRDefault="00D060FC" w:rsidP="00D17C3E">
            <w:pPr>
              <w:pStyle w:val="TableText"/>
              <w:jc w:val="right"/>
              <w:rPr>
                <w:lang w:eastAsia="en-AU"/>
              </w:rPr>
            </w:pPr>
            <w:r w:rsidRPr="005B0796">
              <w:rPr>
                <w:lang w:eastAsia="en-AU"/>
              </w:rPr>
              <w:t>14.7, 34.1</w:t>
            </w:r>
          </w:p>
        </w:tc>
      </w:tr>
    </w:tbl>
    <w:p w:rsidR="00D060FC" w:rsidRPr="005B0796" w:rsidRDefault="00997E39" w:rsidP="00997E39">
      <w:pPr>
        <w:pStyle w:val="TableNotes"/>
        <w:rPr>
          <w:i/>
        </w:rPr>
      </w:pPr>
      <w:r w:rsidRPr="005B0796">
        <w:t xml:space="preserve">Note: 95% CI: 95% </w:t>
      </w:r>
      <w:r w:rsidR="00564689" w:rsidRPr="005B0796">
        <w:t>confidence interval</w:t>
      </w:r>
    </w:p>
    <w:p w:rsidR="00997E39" w:rsidRPr="005B0796" w:rsidRDefault="00997E39" w:rsidP="00997E39">
      <w:pPr>
        <w:pStyle w:val="FigureName"/>
      </w:pPr>
      <w:bookmarkStart w:id="513" w:name="_Ref484519277"/>
      <w:bookmarkStart w:id="514" w:name="_Toc482023817"/>
      <w:bookmarkStart w:id="515" w:name="_Toc487014362"/>
      <w:bookmarkStart w:id="516" w:name="_Toc51190053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14</w:t>
      </w:r>
      <w:r w:rsidR="00D30A3C">
        <w:rPr>
          <w:noProof/>
        </w:rPr>
        <w:fldChar w:fldCharType="end"/>
      </w:r>
      <w:bookmarkEnd w:id="513"/>
      <w:r w:rsidRPr="005B0796">
        <w:tab/>
        <w:t>Estimated prevalence of 12-month ICD-10 affective disorders in Transitioned ADF members, by affective disorder type and sex</w:t>
      </w:r>
      <w:bookmarkEnd w:id="514"/>
      <w:bookmarkEnd w:id="515"/>
      <w:bookmarkEnd w:id="516"/>
    </w:p>
    <w:tbl>
      <w:tblPr>
        <w:tblW w:w="5000" w:type="pct"/>
        <w:tblLayout w:type="fixed"/>
        <w:tblCellMar>
          <w:left w:w="115" w:type="dxa"/>
          <w:right w:w="115" w:type="dxa"/>
        </w:tblCellMar>
        <w:tblLook w:val="04A0" w:firstRow="1" w:lastRow="0" w:firstColumn="1" w:lastColumn="0" w:noHBand="0" w:noVBand="1"/>
      </w:tblPr>
      <w:tblGrid>
        <w:gridCol w:w="7329"/>
      </w:tblGrid>
      <w:tr w:rsidR="00D060FC" w:rsidRPr="005B0796" w:rsidTr="003624B8">
        <w:trPr>
          <w:cantSplit/>
        </w:trPr>
        <w:tc>
          <w:tcPr>
            <w:tcW w:w="7315" w:type="dxa"/>
          </w:tcPr>
          <w:p w:rsidR="00D060FC" w:rsidRPr="005B0796" w:rsidRDefault="00D060FC" w:rsidP="0019239D">
            <w:r w:rsidRPr="005B0796">
              <w:rPr>
                <w:i/>
                <w:noProof/>
                <w:lang w:eastAsia="en-AU"/>
              </w:rPr>
              <w:drawing>
                <wp:inline distT="0" distB="0" distL="0" distR="0" wp14:anchorId="244F6A38" wp14:editId="15AAA5BC">
                  <wp:extent cx="4572000" cy="2743200"/>
                  <wp:effectExtent l="0" t="0" r="0" b="0"/>
                  <wp:docPr id="65" name="Chart 65" descr="Figure 4.14 Estimated prevalence of 12-month ICD-10 affective disorders in Transitioned ADF members, by affective disorder type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rsidR="00D060FC" w:rsidRPr="005B0796" w:rsidRDefault="00D060FC" w:rsidP="003624B8">
      <w:pPr>
        <w:pStyle w:val="Heading4"/>
      </w:pPr>
      <w:r w:rsidRPr="005B0796">
        <w:t>Age</w:t>
      </w:r>
    </w:p>
    <w:p w:rsidR="00D060FC" w:rsidRPr="005B0796" w:rsidRDefault="009E72D3" w:rsidP="003624B8">
      <w:r w:rsidRPr="005B0796">
        <w:t>Table 4.19</w:t>
      </w:r>
      <w:r w:rsidR="00D060FC" w:rsidRPr="005B0796">
        <w:t xml:space="preserve"> and </w:t>
      </w:r>
      <w:r w:rsidRPr="005B0796">
        <w:t>Figure 4.15</w:t>
      </w:r>
      <w:r w:rsidR="00D060FC" w:rsidRPr="005B0796">
        <w:t xml:space="preserve"> show the estimated rates of 12-month affective disorders by age categories. For affective disorders overall, rates were lowest among those aged 58+ (OR 10.8%, 95% CI </w:t>
      </w:r>
      <w:r w:rsidR="00D060FC" w:rsidRPr="005B0796">
        <w:rPr>
          <w:rFonts w:eastAsia="Times New Roman"/>
          <w:lang w:eastAsia="en-GB"/>
        </w:rPr>
        <w:t>5.9, 18.9</w:t>
      </w:r>
      <w:r w:rsidR="00D060FC" w:rsidRPr="005B0796">
        <w:t xml:space="preserve">) and highest among the 38–47 age group (OR 29.8%, 95% CI </w:t>
      </w:r>
      <w:r w:rsidR="00D060FC" w:rsidRPr="005B0796">
        <w:rPr>
          <w:rFonts w:eastAsia="Times New Roman"/>
          <w:lang w:eastAsia="en-GB"/>
        </w:rPr>
        <w:t>21.8, 39.4)</w:t>
      </w:r>
      <w:r w:rsidR="00D060FC" w:rsidRPr="005B0796">
        <w:t>. The only significant overall decrease with age was for depressive episodes. When examining the individual categories, the estimated prevalence in the Transitioned ADF for individuals aged over 58 (OR 4.1%, 95% CI 2.3, 7.2) was significantly lower than for those aged 18–27 (OR 13.7%, 95% CI 6.7, 25.9; OR 0.2, 95% CI 0.1, 0.6 respectively).</w:t>
      </w:r>
    </w:p>
    <w:p w:rsidR="00157CE2" w:rsidRPr="005B0796" w:rsidRDefault="00157CE2" w:rsidP="003624B8">
      <w:pPr>
        <w:sectPr w:rsidR="00157CE2" w:rsidRPr="005B0796" w:rsidSect="00BF35AC">
          <w:footerReference w:type="even" r:id="rId81"/>
          <w:footerReference w:type="default" r:id="rId82"/>
          <w:pgSz w:w="9979" w:h="14170" w:code="243"/>
          <w:pgMar w:top="1440" w:right="1152" w:bottom="1440" w:left="1728" w:header="576" w:footer="576" w:gutter="0"/>
          <w:cols w:space="708"/>
          <w:docGrid w:linePitch="360"/>
        </w:sectPr>
      </w:pPr>
    </w:p>
    <w:p w:rsidR="00157CE2" w:rsidRPr="005B0796" w:rsidRDefault="00157CE2" w:rsidP="00997E39">
      <w:pPr>
        <w:pStyle w:val="TableName"/>
      </w:pPr>
      <w:bookmarkStart w:id="517" w:name="_Ref494279705"/>
      <w:bookmarkStart w:id="518" w:name="_Toc51190042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19</w:t>
      </w:r>
      <w:r w:rsidR="00D30A3C">
        <w:rPr>
          <w:noProof/>
        </w:rPr>
        <w:fldChar w:fldCharType="end"/>
      </w:r>
      <w:bookmarkEnd w:id="517"/>
      <w:r w:rsidR="00997E39" w:rsidRPr="005B0796">
        <w:tab/>
      </w:r>
      <w:r w:rsidRPr="005B0796">
        <w:t>Estimated prevalence of 12-month ICD-10 affective disorders in Transitioned ADF</w:t>
      </w:r>
      <w:r w:rsidR="00492B66">
        <w:t>,</w:t>
      </w:r>
      <w:r w:rsidRPr="005B0796">
        <w:t xml:space="preserve"> by affective disorder type and age</w:t>
      </w:r>
      <w:bookmarkEnd w:id="518"/>
    </w:p>
    <w:tbl>
      <w:tblPr>
        <w:tblStyle w:val="TWRPTable"/>
        <w:tblW w:w="5000" w:type="pct"/>
        <w:tblLayout w:type="fixed"/>
        <w:tblLook w:val="04A0" w:firstRow="1" w:lastRow="0" w:firstColumn="1" w:lastColumn="0" w:noHBand="0" w:noVBand="1"/>
        <w:tblDescription w:val="Table 4.19 Estimated prevalence of 12-month ICD-10 affective disorders in Transitioned ADF by affective disorder type and age"/>
      </w:tblPr>
      <w:tblGrid>
        <w:gridCol w:w="918"/>
        <w:gridCol w:w="810"/>
        <w:gridCol w:w="540"/>
        <w:gridCol w:w="767"/>
        <w:gridCol w:w="763"/>
        <w:gridCol w:w="540"/>
        <w:gridCol w:w="815"/>
        <w:gridCol w:w="805"/>
        <w:gridCol w:w="540"/>
        <w:gridCol w:w="772"/>
        <w:gridCol w:w="758"/>
        <w:gridCol w:w="540"/>
        <w:gridCol w:w="820"/>
        <w:gridCol w:w="800"/>
        <w:gridCol w:w="540"/>
        <w:gridCol w:w="778"/>
      </w:tblGrid>
      <w:tr w:rsidR="00C76968" w:rsidRPr="005B0796" w:rsidTr="00920385">
        <w:trPr>
          <w:cnfStyle w:val="100000000000" w:firstRow="1" w:lastRow="0" w:firstColumn="0" w:lastColumn="0" w:oddVBand="0" w:evenVBand="0" w:oddHBand="0" w:evenHBand="0" w:firstRowFirstColumn="0" w:firstRowLastColumn="0" w:lastRowFirstColumn="0" w:lastRowLastColumn="0"/>
          <w:cantSplit/>
          <w:tblHeader/>
        </w:trPr>
        <w:tc>
          <w:tcPr>
            <w:tcW w:w="918" w:type="dxa"/>
            <w:vMerge w:val="restart"/>
            <w:tcBorders>
              <w:top w:val="single" w:sz="4" w:space="0" w:color="000000"/>
            </w:tcBorders>
          </w:tcPr>
          <w:p w:rsidR="00C76968" w:rsidRPr="005B0796" w:rsidRDefault="00C76968" w:rsidP="003624B8">
            <w:pPr>
              <w:pStyle w:val="TableText"/>
              <w:rPr>
                <w:b w:val="0"/>
                <w:lang w:eastAsia="en-AU"/>
              </w:rPr>
            </w:pPr>
            <w:r w:rsidRPr="005B0796">
              <w:rPr>
                <w:lang w:eastAsia="en-AU"/>
              </w:rPr>
              <w:t>ICD-10 affective disorder</w:t>
            </w:r>
          </w:p>
        </w:tc>
        <w:tc>
          <w:tcPr>
            <w:tcW w:w="10588" w:type="dxa"/>
            <w:gridSpan w:val="15"/>
            <w:noWrap/>
          </w:tcPr>
          <w:p w:rsidR="00C76968" w:rsidRPr="005B0796" w:rsidRDefault="00C76968" w:rsidP="003624B8">
            <w:pPr>
              <w:pStyle w:val="TableText"/>
              <w:jc w:val="center"/>
            </w:pPr>
            <w:r w:rsidRPr="005B0796">
              <w:t>Age</w:t>
            </w:r>
          </w:p>
        </w:tc>
      </w:tr>
      <w:tr w:rsidR="00C76968" w:rsidRPr="005B0796" w:rsidTr="00920385">
        <w:trPr>
          <w:cnfStyle w:val="100000000000" w:firstRow="1" w:lastRow="0" w:firstColumn="0" w:lastColumn="0" w:oddVBand="0" w:evenVBand="0" w:oddHBand="0" w:evenHBand="0" w:firstRowFirstColumn="0" w:firstRowLastColumn="0" w:lastRowFirstColumn="0" w:lastRowLastColumn="0"/>
          <w:cantSplit/>
          <w:tblHeader/>
        </w:trPr>
        <w:tc>
          <w:tcPr>
            <w:tcW w:w="918" w:type="dxa"/>
            <w:vMerge/>
            <w:hideMark/>
          </w:tcPr>
          <w:p w:rsidR="00C76968" w:rsidRPr="005B0796" w:rsidRDefault="00C76968" w:rsidP="003624B8">
            <w:pPr>
              <w:pStyle w:val="TableText"/>
              <w:rPr>
                <w:lang w:eastAsia="en-AU"/>
              </w:rPr>
            </w:pPr>
          </w:p>
        </w:tc>
        <w:tc>
          <w:tcPr>
            <w:tcW w:w="2117" w:type="dxa"/>
            <w:gridSpan w:val="3"/>
            <w:noWrap/>
            <w:hideMark/>
          </w:tcPr>
          <w:p w:rsidR="00C76968" w:rsidRPr="005B0796" w:rsidRDefault="00C76968" w:rsidP="003624B8">
            <w:pPr>
              <w:pStyle w:val="TableText"/>
              <w:jc w:val="center"/>
              <w:rPr>
                <w:lang w:eastAsia="en-AU"/>
              </w:rPr>
            </w:pPr>
            <w:r w:rsidRPr="005B0796">
              <w:rPr>
                <w:lang w:eastAsia="en-AU"/>
              </w:rPr>
              <w:t>18–27 (n = 5195)</w:t>
            </w:r>
          </w:p>
        </w:tc>
        <w:tc>
          <w:tcPr>
            <w:tcW w:w="2118" w:type="dxa"/>
            <w:gridSpan w:val="3"/>
            <w:noWrap/>
            <w:hideMark/>
          </w:tcPr>
          <w:p w:rsidR="00C76968" w:rsidRPr="005B0796" w:rsidRDefault="00C76968" w:rsidP="003624B8">
            <w:pPr>
              <w:pStyle w:val="TableText"/>
              <w:jc w:val="center"/>
              <w:rPr>
                <w:lang w:eastAsia="en-AU"/>
              </w:rPr>
            </w:pPr>
            <w:r w:rsidRPr="005B0796">
              <w:rPr>
                <w:lang w:eastAsia="en-AU"/>
              </w:rPr>
              <w:t>28–37 (n = 8808)</w:t>
            </w:r>
          </w:p>
        </w:tc>
        <w:tc>
          <w:tcPr>
            <w:tcW w:w="2117" w:type="dxa"/>
            <w:gridSpan w:val="3"/>
            <w:noWrap/>
            <w:hideMark/>
          </w:tcPr>
          <w:p w:rsidR="00C76968" w:rsidRPr="005B0796" w:rsidRDefault="00C76968" w:rsidP="003624B8">
            <w:pPr>
              <w:pStyle w:val="TableText"/>
              <w:jc w:val="center"/>
              <w:rPr>
                <w:lang w:eastAsia="en-AU"/>
              </w:rPr>
            </w:pPr>
            <w:r w:rsidRPr="005B0796">
              <w:rPr>
                <w:lang w:eastAsia="en-AU"/>
              </w:rPr>
              <w:t>38–47 (n = 5215)</w:t>
            </w:r>
          </w:p>
        </w:tc>
        <w:tc>
          <w:tcPr>
            <w:tcW w:w="2118" w:type="dxa"/>
            <w:gridSpan w:val="3"/>
          </w:tcPr>
          <w:p w:rsidR="00C76968" w:rsidRPr="005B0796" w:rsidRDefault="00C76968" w:rsidP="003624B8">
            <w:pPr>
              <w:pStyle w:val="TableText"/>
              <w:jc w:val="center"/>
            </w:pPr>
            <w:r w:rsidRPr="005B0796">
              <w:t>48–57 (n = 3389)</w:t>
            </w:r>
          </w:p>
        </w:tc>
        <w:tc>
          <w:tcPr>
            <w:tcW w:w="2118" w:type="dxa"/>
            <w:gridSpan w:val="3"/>
          </w:tcPr>
          <w:p w:rsidR="00C76968" w:rsidRPr="005B0796" w:rsidRDefault="00C76968" w:rsidP="003624B8">
            <w:pPr>
              <w:pStyle w:val="TableText"/>
              <w:jc w:val="center"/>
            </w:pPr>
            <w:r w:rsidRPr="005B0796">
              <w:t>58+ (n = 1937)</w:t>
            </w:r>
          </w:p>
        </w:tc>
      </w:tr>
      <w:tr w:rsidR="00C76968" w:rsidRPr="005B0796" w:rsidTr="00920385">
        <w:trPr>
          <w:cnfStyle w:val="100000000000" w:firstRow="1" w:lastRow="0" w:firstColumn="0" w:lastColumn="0" w:oddVBand="0" w:evenVBand="0" w:oddHBand="0" w:evenHBand="0" w:firstRowFirstColumn="0" w:firstRowLastColumn="0" w:lastRowFirstColumn="0" w:lastRowLastColumn="0"/>
          <w:cantSplit/>
          <w:tblHeader/>
        </w:trPr>
        <w:tc>
          <w:tcPr>
            <w:tcW w:w="918" w:type="dxa"/>
            <w:vMerge/>
            <w:noWrap/>
            <w:hideMark/>
          </w:tcPr>
          <w:p w:rsidR="00C76968" w:rsidRPr="005B0796" w:rsidRDefault="00C76968" w:rsidP="003624B8">
            <w:pPr>
              <w:pStyle w:val="TableText"/>
              <w:rPr>
                <w:lang w:eastAsia="en-AU"/>
              </w:rPr>
            </w:pPr>
          </w:p>
        </w:tc>
        <w:tc>
          <w:tcPr>
            <w:tcW w:w="810" w:type="dxa"/>
            <w:noWrap/>
            <w:hideMark/>
          </w:tcPr>
          <w:p w:rsidR="00C76968" w:rsidRPr="005B0796" w:rsidRDefault="00C76968" w:rsidP="003624B8">
            <w:pPr>
              <w:pStyle w:val="TableText"/>
              <w:jc w:val="right"/>
              <w:rPr>
                <w:lang w:eastAsia="en-AU"/>
              </w:rPr>
            </w:pPr>
            <w:r w:rsidRPr="005B0796">
              <w:rPr>
                <w:lang w:eastAsia="en-AU"/>
              </w:rPr>
              <w:t>Weighted n</w:t>
            </w:r>
          </w:p>
        </w:tc>
        <w:tc>
          <w:tcPr>
            <w:tcW w:w="540" w:type="dxa"/>
            <w:hideMark/>
          </w:tcPr>
          <w:p w:rsidR="00C76968" w:rsidRPr="005B0796" w:rsidRDefault="00C76968" w:rsidP="003624B8">
            <w:pPr>
              <w:pStyle w:val="TableText"/>
              <w:jc w:val="right"/>
              <w:rPr>
                <w:lang w:eastAsia="en-AU"/>
              </w:rPr>
            </w:pPr>
            <w:r w:rsidRPr="005B0796">
              <w:rPr>
                <w:lang w:eastAsia="en-AU"/>
              </w:rPr>
              <w:t>%</w:t>
            </w:r>
          </w:p>
        </w:tc>
        <w:tc>
          <w:tcPr>
            <w:tcW w:w="767" w:type="dxa"/>
            <w:hideMark/>
          </w:tcPr>
          <w:p w:rsidR="00C76968" w:rsidRPr="005B0796" w:rsidRDefault="00C76968" w:rsidP="003624B8">
            <w:pPr>
              <w:pStyle w:val="TableText"/>
              <w:jc w:val="right"/>
              <w:rPr>
                <w:lang w:eastAsia="en-AU"/>
              </w:rPr>
            </w:pPr>
            <w:r w:rsidRPr="005B0796">
              <w:rPr>
                <w:lang w:eastAsia="en-AU"/>
              </w:rPr>
              <w:t>95% CI</w:t>
            </w:r>
          </w:p>
        </w:tc>
        <w:tc>
          <w:tcPr>
            <w:tcW w:w="763" w:type="dxa"/>
            <w:noWrap/>
            <w:hideMark/>
          </w:tcPr>
          <w:p w:rsidR="00C76968" w:rsidRPr="005B0796" w:rsidRDefault="00C76968" w:rsidP="003624B8">
            <w:pPr>
              <w:pStyle w:val="TableText"/>
              <w:jc w:val="right"/>
              <w:rPr>
                <w:lang w:eastAsia="en-AU"/>
              </w:rPr>
            </w:pPr>
            <w:r w:rsidRPr="005B0796">
              <w:rPr>
                <w:lang w:eastAsia="en-AU"/>
              </w:rPr>
              <w:t>Weighted n</w:t>
            </w:r>
          </w:p>
        </w:tc>
        <w:tc>
          <w:tcPr>
            <w:tcW w:w="540" w:type="dxa"/>
            <w:hideMark/>
          </w:tcPr>
          <w:p w:rsidR="00C76968" w:rsidRPr="005B0796" w:rsidRDefault="00C76968" w:rsidP="003624B8">
            <w:pPr>
              <w:pStyle w:val="TableText"/>
              <w:jc w:val="right"/>
              <w:rPr>
                <w:lang w:eastAsia="en-AU"/>
              </w:rPr>
            </w:pPr>
            <w:r w:rsidRPr="005B0796">
              <w:rPr>
                <w:lang w:eastAsia="en-AU"/>
              </w:rPr>
              <w:t>%</w:t>
            </w:r>
          </w:p>
        </w:tc>
        <w:tc>
          <w:tcPr>
            <w:tcW w:w="815" w:type="dxa"/>
            <w:hideMark/>
          </w:tcPr>
          <w:p w:rsidR="00C76968" w:rsidRPr="005B0796" w:rsidRDefault="00C76968" w:rsidP="003624B8">
            <w:pPr>
              <w:pStyle w:val="TableText"/>
              <w:jc w:val="right"/>
              <w:rPr>
                <w:lang w:eastAsia="en-AU"/>
              </w:rPr>
            </w:pPr>
            <w:r w:rsidRPr="005B0796">
              <w:rPr>
                <w:lang w:eastAsia="en-AU"/>
              </w:rPr>
              <w:t>95% CI</w:t>
            </w:r>
          </w:p>
        </w:tc>
        <w:tc>
          <w:tcPr>
            <w:tcW w:w="805" w:type="dxa"/>
            <w:noWrap/>
            <w:hideMark/>
          </w:tcPr>
          <w:p w:rsidR="00C76968" w:rsidRPr="005B0796" w:rsidRDefault="00C76968" w:rsidP="003624B8">
            <w:pPr>
              <w:pStyle w:val="TableText"/>
              <w:jc w:val="right"/>
              <w:rPr>
                <w:lang w:eastAsia="en-AU"/>
              </w:rPr>
            </w:pPr>
            <w:r w:rsidRPr="005B0796">
              <w:rPr>
                <w:lang w:eastAsia="en-AU"/>
              </w:rPr>
              <w:t>Weighted n</w:t>
            </w:r>
          </w:p>
        </w:tc>
        <w:tc>
          <w:tcPr>
            <w:tcW w:w="540" w:type="dxa"/>
            <w:hideMark/>
          </w:tcPr>
          <w:p w:rsidR="00C76968" w:rsidRPr="005B0796" w:rsidRDefault="00C76968" w:rsidP="003624B8">
            <w:pPr>
              <w:pStyle w:val="TableText"/>
              <w:jc w:val="right"/>
              <w:rPr>
                <w:lang w:eastAsia="en-AU"/>
              </w:rPr>
            </w:pPr>
            <w:r w:rsidRPr="005B0796">
              <w:rPr>
                <w:lang w:eastAsia="en-AU"/>
              </w:rPr>
              <w:t>%</w:t>
            </w:r>
          </w:p>
        </w:tc>
        <w:tc>
          <w:tcPr>
            <w:tcW w:w="772" w:type="dxa"/>
            <w:hideMark/>
          </w:tcPr>
          <w:p w:rsidR="00C76968" w:rsidRPr="005B0796" w:rsidRDefault="00C76968" w:rsidP="003624B8">
            <w:pPr>
              <w:pStyle w:val="TableText"/>
              <w:jc w:val="right"/>
              <w:rPr>
                <w:lang w:eastAsia="en-AU"/>
              </w:rPr>
            </w:pPr>
            <w:r w:rsidRPr="005B0796">
              <w:rPr>
                <w:lang w:eastAsia="en-AU"/>
              </w:rPr>
              <w:t>95% CI</w:t>
            </w:r>
          </w:p>
        </w:tc>
        <w:tc>
          <w:tcPr>
            <w:tcW w:w="758" w:type="dxa"/>
          </w:tcPr>
          <w:p w:rsidR="00C76968" w:rsidRPr="005B0796" w:rsidRDefault="00C76968" w:rsidP="003624B8">
            <w:pPr>
              <w:pStyle w:val="TableText"/>
              <w:jc w:val="right"/>
              <w:rPr>
                <w:lang w:eastAsia="en-AU"/>
              </w:rPr>
            </w:pPr>
            <w:r w:rsidRPr="005B0796">
              <w:rPr>
                <w:lang w:eastAsia="en-AU"/>
              </w:rPr>
              <w:t>Weighted n</w:t>
            </w:r>
          </w:p>
        </w:tc>
        <w:tc>
          <w:tcPr>
            <w:tcW w:w="540" w:type="dxa"/>
          </w:tcPr>
          <w:p w:rsidR="00C76968" w:rsidRPr="005B0796" w:rsidRDefault="00C76968" w:rsidP="003624B8">
            <w:pPr>
              <w:pStyle w:val="TableText"/>
              <w:jc w:val="right"/>
              <w:rPr>
                <w:lang w:eastAsia="en-AU"/>
              </w:rPr>
            </w:pPr>
            <w:r w:rsidRPr="005B0796">
              <w:rPr>
                <w:lang w:eastAsia="en-AU"/>
              </w:rPr>
              <w:t>%</w:t>
            </w:r>
          </w:p>
        </w:tc>
        <w:tc>
          <w:tcPr>
            <w:tcW w:w="820" w:type="dxa"/>
          </w:tcPr>
          <w:p w:rsidR="00C76968" w:rsidRPr="005B0796" w:rsidRDefault="00C76968" w:rsidP="003624B8">
            <w:pPr>
              <w:pStyle w:val="TableText"/>
              <w:jc w:val="right"/>
              <w:rPr>
                <w:lang w:eastAsia="en-AU"/>
              </w:rPr>
            </w:pPr>
            <w:r w:rsidRPr="005B0796">
              <w:rPr>
                <w:lang w:eastAsia="en-AU"/>
              </w:rPr>
              <w:t>95% CI</w:t>
            </w:r>
          </w:p>
        </w:tc>
        <w:tc>
          <w:tcPr>
            <w:tcW w:w="800" w:type="dxa"/>
          </w:tcPr>
          <w:p w:rsidR="00C76968" w:rsidRPr="005B0796" w:rsidRDefault="00C76968" w:rsidP="003624B8">
            <w:pPr>
              <w:pStyle w:val="TableText"/>
              <w:jc w:val="right"/>
              <w:rPr>
                <w:lang w:eastAsia="en-AU"/>
              </w:rPr>
            </w:pPr>
            <w:r w:rsidRPr="005B0796">
              <w:rPr>
                <w:lang w:eastAsia="en-AU"/>
              </w:rPr>
              <w:t>Weighted n</w:t>
            </w:r>
          </w:p>
        </w:tc>
        <w:tc>
          <w:tcPr>
            <w:tcW w:w="540" w:type="dxa"/>
          </w:tcPr>
          <w:p w:rsidR="00C76968" w:rsidRPr="005B0796" w:rsidRDefault="00C76968" w:rsidP="003624B8">
            <w:pPr>
              <w:pStyle w:val="TableText"/>
              <w:jc w:val="right"/>
              <w:rPr>
                <w:lang w:eastAsia="en-AU"/>
              </w:rPr>
            </w:pPr>
            <w:r w:rsidRPr="005B0796">
              <w:rPr>
                <w:lang w:eastAsia="en-AU"/>
              </w:rPr>
              <w:t>%</w:t>
            </w:r>
          </w:p>
        </w:tc>
        <w:tc>
          <w:tcPr>
            <w:tcW w:w="778" w:type="dxa"/>
          </w:tcPr>
          <w:p w:rsidR="00C76968" w:rsidRPr="005B0796" w:rsidRDefault="00C76968" w:rsidP="003624B8">
            <w:pPr>
              <w:pStyle w:val="TableText"/>
              <w:jc w:val="right"/>
              <w:rPr>
                <w:lang w:eastAsia="en-AU"/>
              </w:rPr>
            </w:pPr>
            <w:r w:rsidRPr="005B0796">
              <w:rPr>
                <w:lang w:eastAsia="en-AU"/>
              </w:rPr>
              <w:t>95% CI</w:t>
            </w:r>
          </w:p>
        </w:tc>
      </w:tr>
      <w:tr w:rsidR="003624B8" w:rsidRPr="005B0796" w:rsidTr="00D13778">
        <w:trPr>
          <w:cnfStyle w:val="000000100000" w:firstRow="0" w:lastRow="0" w:firstColumn="0" w:lastColumn="0" w:oddVBand="0" w:evenVBand="0" w:oddHBand="1" w:evenHBand="0" w:firstRowFirstColumn="0" w:firstRowLastColumn="0" w:lastRowFirstColumn="0" w:lastRowLastColumn="0"/>
          <w:cantSplit/>
        </w:trPr>
        <w:tc>
          <w:tcPr>
            <w:tcW w:w="918" w:type="dxa"/>
            <w:hideMark/>
          </w:tcPr>
          <w:p w:rsidR="003624B8" w:rsidRPr="005B0796" w:rsidRDefault="003624B8" w:rsidP="003624B8">
            <w:pPr>
              <w:pStyle w:val="TableText"/>
              <w:rPr>
                <w:lang w:eastAsia="en-AU"/>
              </w:rPr>
            </w:pPr>
            <w:r w:rsidRPr="005B0796">
              <w:rPr>
                <w:lang w:eastAsia="en-AU"/>
              </w:rPr>
              <w:t>Depressive episodes</w:t>
            </w:r>
            <w:r w:rsidRPr="005B0796">
              <w:rPr>
                <w:vertAlign w:val="superscript"/>
                <w:lang w:eastAsia="en-AU"/>
              </w:rPr>
              <w:t>a</w:t>
            </w:r>
            <w:r w:rsidRPr="005B0796">
              <w:rPr>
                <w:lang w:eastAsia="en-AU"/>
              </w:rPr>
              <w:t xml:space="preserve"> </w:t>
            </w:r>
          </w:p>
        </w:tc>
        <w:tc>
          <w:tcPr>
            <w:tcW w:w="810" w:type="dxa"/>
            <w:noWrap/>
            <w:hideMark/>
          </w:tcPr>
          <w:p w:rsidR="003624B8" w:rsidRPr="005B0796" w:rsidRDefault="003624B8" w:rsidP="003624B8">
            <w:pPr>
              <w:pStyle w:val="TableText"/>
              <w:jc w:val="right"/>
              <w:rPr>
                <w:lang w:eastAsia="en-AU"/>
              </w:rPr>
            </w:pPr>
            <w:r w:rsidRPr="005B0796">
              <w:rPr>
                <w:lang w:eastAsia="en-AU"/>
              </w:rPr>
              <w:t>711</w:t>
            </w:r>
          </w:p>
        </w:tc>
        <w:tc>
          <w:tcPr>
            <w:tcW w:w="540" w:type="dxa"/>
            <w:hideMark/>
          </w:tcPr>
          <w:p w:rsidR="003624B8" w:rsidRPr="005B0796" w:rsidRDefault="003624B8" w:rsidP="003624B8">
            <w:pPr>
              <w:pStyle w:val="TableText"/>
              <w:jc w:val="right"/>
              <w:rPr>
                <w:lang w:eastAsia="en-AU"/>
              </w:rPr>
            </w:pPr>
            <w:r w:rsidRPr="005B0796">
              <w:rPr>
                <w:lang w:eastAsia="en-GB"/>
              </w:rPr>
              <w:t>13.7</w:t>
            </w:r>
          </w:p>
        </w:tc>
        <w:tc>
          <w:tcPr>
            <w:tcW w:w="767" w:type="dxa"/>
            <w:hideMark/>
          </w:tcPr>
          <w:p w:rsidR="003624B8" w:rsidRPr="005B0796" w:rsidRDefault="003624B8" w:rsidP="003624B8">
            <w:pPr>
              <w:pStyle w:val="TableText"/>
              <w:jc w:val="right"/>
              <w:rPr>
                <w:lang w:eastAsia="en-GB"/>
              </w:rPr>
            </w:pPr>
            <w:r w:rsidRPr="005B0796">
              <w:rPr>
                <w:lang w:eastAsia="en-GB"/>
              </w:rPr>
              <w:t>6.7, 25.9</w:t>
            </w:r>
          </w:p>
        </w:tc>
        <w:tc>
          <w:tcPr>
            <w:tcW w:w="763" w:type="dxa"/>
            <w:noWrap/>
            <w:hideMark/>
          </w:tcPr>
          <w:p w:rsidR="003624B8" w:rsidRPr="005B0796" w:rsidRDefault="003624B8" w:rsidP="003624B8">
            <w:pPr>
              <w:pStyle w:val="TableText"/>
              <w:jc w:val="right"/>
              <w:rPr>
                <w:color w:val="000000" w:themeColor="text1"/>
                <w:lang w:eastAsia="en-AU"/>
              </w:rPr>
            </w:pPr>
            <w:r w:rsidRPr="005B0796">
              <w:rPr>
                <w:color w:val="000000" w:themeColor="text1"/>
                <w:lang w:eastAsia="en-AU"/>
              </w:rPr>
              <w:t>967</w:t>
            </w:r>
          </w:p>
        </w:tc>
        <w:tc>
          <w:tcPr>
            <w:tcW w:w="540" w:type="dxa"/>
            <w:hideMark/>
          </w:tcPr>
          <w:p w:rsidR="003624B8" w:rsidRPr="005B0796" w:rsidRDefault="003624B8" w:rsidP="003624B8">
            <w:pPr>
              <w:pStyle w:val="TableText"/>
              <w:jc w:val="right"/>
              <w:rPr>
                <w:color w:val="000000" w:themeColor="text1"/>
                <w:lang w:eastAsia="en-AU"/>
              </w:rPr>
            </w:pPr>
            <w:r w:rsidRPr="005B0796">
              <w:rPr>
                <w:color w:val="000000" w:themeColor="text1"/>
                <w:lang w:eastAsia="en-GB"/>
              </w:rPr>
              <w:t>11.0</w:t>
            </w:r>
          </w:p>
        </w:tc>
        <w:tc>
          <w:tcPr>
            <w:tcW w:w="815" w:type="dxa"/>
            <w:hideMark/>
          </w:tcPr>
          <w:p w:rsidR="003624B8" w:rsidRPr="005B0796" w:rsidRDefault="003624B8" w:rsidP="003624B8">
            <w:pPr>
              <w:pStyle w:val="TableText"/>
              <w:jc w:val="right"/>
              <w:rPr>
                <w:color w:val="000000" w:themeColor="text1"/>
                <w:lang w:eastAsia="en-GB"/>
              </w:rPr>
            </w:pPr>
            <w:r w:rsidRPr="005B0796">
              <w:rPr>
                <w:color w:val="000000" w:themeColor="text1"/>
                <w:lang w:eastAsia="en-GB"/>
              </w:rPr>
              <w:t>6.2, 18.8</w:t>
            </w:r>
          </w:p>
        </w:tc>
        <w:tc>
          <w:tcPr>
            <w:tcW w:w="805" w:type="dxa"/>
            <w:hideMark/>
          </w:tcPr>
          <w:p w:rsidR="003624B8" w:rsidRPr="005B0796" w:rsidRDefault="003624B8" w:rsidP="003624B8">
            <w:pPr>
              <w:pStyle w:val="TableText"/>
              <w:jc w:val="right"/>
              <w:rPr>
                <w:lang w:eastAsia="en-AU"/>
              </w:rPr>
            </w:pPr>
            <w:r w:rsidRPr="005B0796">
              <w:rPr>
                <w:lang w:eastAsia="en-AU"/>
              </w:rPr>
              <w:t>751</w:t>
            </w:r>
          </w:p>
        </w:tc>
        <w:tc>
          <w:tcPr>
            <w:tcW w:w="540" w:type="dxa"/>
            <w:hideMark/>
          </w:tcPr>
          <w:p w:rsidR="003624B8" w:rsidRPr="005B0796" w:rsidRDefault="003624B8" w:rsidP="003624B8">
            <w:pPr>
              <w:pStyle w:val="TableText"/>
              <w:jc w:val="right"/>
              <w:rPr>
                <w:lang w:eastAsia="en-AU"/>
              </w:rPr>
            </w:pPr>
            <w:r w:rsidRPr="005B0796">
              <w:rPr>
                <w:lang w:eastAsia="en-GB"/>
              </w:rPr>
              <w:t>14.4</w:t>
            </w:r>
          </w:p>
        </w:tc>
        <w:tc>
          <w:tcPr>
            <w:tcW w:w="772" w:type="dxa"/>
            <w:hideMark/>
          </w:tcPr>
          <w:p w:rsidR="003624B8" w:rsidRPr="005B0796" w:rsidRDefault="003624B8" w:rsidP="003624B8">
            <w:pPr>
              <w:pStyle w:val="TableText"/>
              <w:jc w:val="right"/>
              <w:rPr>
                <w:lang w:eastAsia="en-GB"/>
              </w:rPr>
            </w:pPr>
            <w:r w:rsidRPr="005B0796">
              <w:rPr>
                <w:lang w:eastAsia="en-GB"/>
              </w:rPr>
              <w:t>9.5, 21.1</w:t>
            </w:r>
          </w:p>
        </w:tc>
        <w:tc>
          <w:tcPr>
            <w:tcW w:w="758" w:type="dxa"/>
          </w:tcPr>
          <w:p w:rsidR="003624B8" w:rsidRPr="005B0796" w:rsidRDefault="003624B8" w:rsidP="003624B8">
            <w:pPr>
              <w:pStyle w:val="TableText"/>
              <w:jc w:val="right"/>
              <w:rPr>
                <w:lang w:eastAsia="en-AU"/>
              </w:rPr>
            </w:pPr>
            <w:r w:rsidRPr="005B0796">
              <w:rPr>
                <w:lang w:eastAsia="en-AU"/>
              </w:rPr>
              <w:t>377</w:t>
            </w:r>
          </w:p>
        </w:tc>
        <w:tc>
          <w:tcPr>
            <w:tcW w:w="540" w:type="dxa"/>
          </w:tcPr>
          <w:p w:rsidR="003624B8" w:rsidRPr="005B0796" w:rsidRDefault="003624B8" w:rsidP="003624B8">
            <w:pPr>
              <w:pStyle w:val="TableText"/>
              <w:jc w:val="right"/>
              <w:rPr>
                <w:lang w:eastAsia="en-AU"/>
              </w:rPr>
            </w:pPr>
            <w:r w:rsidRPr="005B0796">
              <w:rPr>
                <w:lang w:eastAsia="en-GB"/>
              </w:rPr>
              <w:t>11.1</w:t>
            </w:r>
          </w:p>
        </w:tc>
        <w:tc>
          <w:tcPr>
            <w:tcW w:w="820" w:type="dxa"/>
          </w:tcPr>
          <w:p w:rsidR="003624B8" w:rsidRPr="005B0796" w:rsidRDefault="003624B8" w:rsidP="003624B8">
            <w:pPr>
              <w:pStyle w:val="TableText"/>
              <w:jc w:val="right"/>
              <w:rPr>
                <w:lang w:eastAsia="en-GB"/>
              </w:rPr>
            </w:pPr>
            <w:r w:rsidRPr="005B0796">
              <w:rPr>
                <w:lang w:eastAsia="en-GB"/>
              </w:rPr>
              <w:t>7.7, 15.9</w:t>
            </w:r>
          </w:p>
        </w:tc>
        <w:tc>
          <w:tcPr>
            <w:tcW w:w="800" w:type="dxa"/>
          </w:tcPr>
          <w:p w:rsidR="003624B8" w:rsidRPr="005B0796" w:rsidRDefault="003624B8" w:rsidP="003624B8">
            <w:pPr>
              <w:pStyle w:val="TableText"/>
              <w:jc w:val="right"/>
              <w:rPr>
                <w:lang w:eastAsia="en-AU"/>
              </w:rPr>
            </w:pPr>
            <w:r w:rsidRPr="005B0796">
              <w:rPr>
                <w:lang w:eastAsia="en-AU"/>
              </w:rPr>
              <w:t>79</w:t>
            </w:r>
          </w:p>
        </w:tc>
        <w:tc>
          <w:tcPr>
            <w:tcW w:w="540" w:type="dxa"/>
          </w:tcPr>
          <w:p w:rsidR="003624B8" w:rsidRPr="005B0796" w:rsidRDefault="003624B8" w:rsidP="003624B8">
            <w:pPr>
              <w:pStyle w:val="TableText"/>
              <w:jc w:val="right"/>
              <w:rPr>
                <w:lang w:eastAsia="en-AU"/>
              </w:rPr>
            </w:pPr>
            <w:r w:rsidRPr="005B0796">
              <w:rPr>
                <w:lang w:eastAsia="en-GB"/>
              </w:rPr>
              <w:t>4.1</w:t>
            </w:r>
          </w:p>
        </w:tc>
        <w:tc>
          <w:tcPr>
            <w:tcW w:w="778" w:type="dxa"/>
          </w:tcPr>
          <w:p w:rsidR="003624B8" w:rsidRPr="005B0796" w:rsidRDefault="003624B8" w:rsidP="003624B8">
            <w:pPr>
              <w:pStyle w:val="TableText"/>
              <w:jc w:val="right"/>
              <w:rPr>
                <w:lang w:eastAsia="en-GB"/>
              </w:rPr>
            </w:pPr>
            <w:r w:rsidRPr="005B0796">
              <w:rPr>
                <w:lang w:eastAsia="en-GB"/>
              </w:rPr>
              <w:t>2.3, 7.2</w:t>
            </w:r>
          </w:p>
        </w:tc>
      </w:tr>
      <w:tr w:rsidR="003624B8" w:rsidRPr="005B0796" w:rsidTr="00D13778">
        <w:trPr>
          <w:cantSplit/>
        </w:trPr>
        <w:tc>
          <w:tcPr>
            <w:tcW w:w="918" w:type="dxa"/>
            <w:hideMark/>
          </w:tcPr>
          <w:p w:rsidR="003624B8" w:rsidRPr="005B0796" w:rsidRDefault="003624B8" w:rsidP="003624B8">
            <w:pPr>
              <w:pStyle w:val="TableText"/>
              <w:rPr>
                <w:lang w:eastAsia="en-AU"/>
              </w:rPr>
            </w:pPr>
            <w:r w:rsidRPr="005B0796">
              <w:rPr>
                <w:lang w:eastAsia="en-AU"/>
              </w:rPr>
              <w:t>Dysthymia</w:t>
            </w:r>
          </w:p>
        </w:tc>
        <w:tc>
          <w:tcPr>
            <w:tcW w:w="810" w:type="dxa"/>
            <w:noWrap/>
            <w:hideMark/>
          </w:tcPr>
          <w:p w:rsidR="003624B8" w:rsidRPr="005B0796" w:rsidRDefault="003624B8" w:rsidP="003624B8">
            <w:pPr>
              <w:pStyle w:val="TableText"/>
              <w:jc w:val="right"/>
              <w:rPr>
                <w:lang w:eastAsia="en-AU"/>
              </w:rPr>
            </w:pPr>
            <w:r w:rsidRPr="005B0796">
              <w:rPr>
                <w:lang w:eastAsia="en-AU"/>
              </w:rPr>
              <w:t>20</w:t>
            </w:r>
          </w:p>
        </w:tc>
        <w:tc>
          <w:tcPr>
            <w:tcW w:w="540" w:type="dxa"/>
            <w:hideMark/>
          </w:tcPr>
          <w:p w:rsidR="003624B8" w:rsidRPr="005B0796" w:rsidRDefault="003624B8" w:rsidP="003624B8">
            <w:pPr>
              <w:pStyle w:val="TableText"/>
              <w:jc w:val="right"/>
              <w:rPr>
                <w:lang w:eastAsia="en-AU"/>
              </w:rPr>
            </w:pPr>
            <w:r w:rsidRPr="005B0796">
              <w:rPr>
                <w:lang w:eastAsia="en-GB"/>
              </w:rPr>
              <w:t>0.4</w:t>
            </w:r>
          </w:p>
        </w:tc>
        <w:tc>
          <w:tcPr>
            <w:tcW w:w="767" w:type="dxa"/>
            <w:hideMark/>
          </w:tcPr>
          <w:p w:rsidR="003624B8" w:rsidRPr="005B0796" w:rsidRDefault="003624B8" w:rsidP="003624B8">
            <w:pPr>
              <w:pStyle w:val="TableText"/>
              <w:jc w:val="right"/>
              <w:rPr>
                <w:lang w:eastAsia="en-GB"/>
              </w:rPr>
            </w:pPr>
            <w:r w:rsidRPr="005B0796">
              <w:rPr>
                <w:lang w:eastAsia="en-GB"/>
              </w:rPr>
              <w:t>0.1, 2.5</w:t>
            </w:r>
          </w:p>
        </w:tc>
        <w:tc>
          <w:tcPr>
            <w:tcW w:w="763" w:type="dxa"/>
            <w:noWrap/>
            <w:hideMark/>
          </w:tcPr>
          <w:p w:rsidR="003624B8" w:rsidRPr="005B0796" w:rsidRDefault="003624B8" w:rsidP="003624B8">
            <w:pPr>
              <w:pStyle w:val="TableText"/>
              <w:jc w:val="right"/>
              <w:rPr>
                <w:color w:val="000000" w:themeColor="text1"/>
                <w:lang w:eastAsia="en-AU"/>
              </w:rPr>
            </w:pPr>
            <w:r w:rsidRPr="005B0796">
              <w:rPr>
                <w:color w:val="000000" w:themeColor="text1"/>
                <w:lang w:eastAsia="en-AU"/>
              </w:rPr>
              <w:t>283</w:t>
            </w:r>
          </w:p>
        </w:tc>
        <w:tc>
          <w:tcPr>
            <w:tcW w:w="540" w:type="dxa"/>
            <w:hideMark/>
          </w:tcPr>
          <w:p w:rsidR="003624B8" w:rsidRPr="005B0796" w:rsidRDefault="003624B8" w:rsidP="003624B8">
            <w:pPr>
              <w:pStyle w:val="TableText"/>
              <w:jc w:val="right"/>
              <w:rPr>
                <w:color w:val="000000" w:themeColor="text1"/>
                <w:lang w:eastAsia="en-AU"/>
              </w:rPr>
            </w:pPr>
            <w:r w:rsidRPr="005B0796">
              <w:rPr>
                <w:color w:val="000000" w:themeColor="text1"/>
                <w:lang w:eastAsia="en-GB"/>
              </w:rPr>
              <w:t>3.2</w:t>
            </w:r>
          </w:p>
        </w:tc>
        <w:tc>
          <w:tcPr>
            <w:tcW w:w="815" w:type="dxa"/>
            <w:hideMark/>
          </w:tcPr>
          <w:p w:rsidR="003624B8" w:rsidRPr="005B0796" w:rsidRDefault="003624B8" w:rsidP="003624B8">
            <w:pPr>
              <w:pStyle w:val="TableText"/>
              <w:jc w:val="right"/>
              <w:rPr>
                <w:color w:val="000000" w:themeColor="text1"/>
                <w:lang w:eastAsia="en-GB"/>
              </w:rPr>
            </w:pPr>
            <w:r w:rsidRPr="005B0796">
              <w:rPr>
                <w:color w:val="000000" w:themeColor="text1"/>
                <w:lang w:eastAsia="en-GB"/>
              </w:rPr>
              <w:t>1.2, 8.3</w:t>
            </w:r>
          </w:p>
        </w:tc>
        <w:tc>
          <w:tcPr>
            <w:tcW w:w="805" w:type="dxa"/>
            <w:hideMark/>
          </w:tcPr>
          <w:p w:rsidR="003624B8" w:rsidRPr="005B0796" w:rsidRDefault="003624B8" w:rsidP="003624B8">
            <w:pPr>
              <w:pStyle w:val="TableText"/>
              <w:jc w:val="right"/>
              <w:rPr>
                <w:lang w:eastAsia="en-AU"/>
              </w:rPr>
            </w:pPr>
            <w:r w:rsidRPr="005B0796">
              <w:rPr>
                <w:lang w:eastAsia="en-AU"/>
              </w:rPr>
              <w:t>616</w:t>
            </w:r>
          </w:p>
        </w:tc>
        <w:tc>
          <w:tcPr>
            <w:tcW w:w="540" w:type="dxa"/>
            <w:hideMark/>
          </w:tcPr>
          <w:p w:rsidR="003624B8" w:rsidRPr="005B0796" w:rsidRDefault="003624B8" w:rsidP="003624B8">
            <w:pPr>
              <w:pStyle w:val="TableText"/>
              <w:jc w:val="right"/>
              <w:rPr>
                <w:lang w:eastAsia="en-AU"/>
              </w:rPr>
            </w:pPr>
            <w:r w:rsidRPr="005B0796">
              <w:rPr>
                <w:lang w:eastAsia="en-GB"/>
              </w:rPr>
              <w:t>11.8</w:t>
            </w:r>
          </w:p>
        </w:tc>
        <w:tc>
          <w:tcPr>
            <w:tcW w:w="772" w:type="dxa"/>
            <w:hideMark/>
          </w:tcPr>
          <w:p w:rsidR="003624B8" w:rsidRPr="005B0796" w:rsidRDefault="003624B8" w:rsidP="003624B8">
            <w:pPr>
              <w:pStyle w:val="TableText"/>
              <w:jc w:val="right"/>
              <w:rPr>
                <w:lang w:eastAsia="en-GB"/>
              </w:rPr>
            </w:pPr>
            <w:r w:rsidRPr="005B0796">
              <w:rPr>
                <w:lang w:eastAsia="en-GB"/>
              </w:rPr>
              <w:t>6.4, 20.8</w:t>
            </w:r>
          </w:p>
        </w:tc>
        <w:tc>
          <w:tcPr>
            <w:tcW w:w="758" w:type="dxa"/>
          </w:tcPr>
          <w:p w:rsidR="003624B8" w:rsidRPr="005B0796" w:rsidRDefault="003624B8" w:rsidP="003624B8">
            <w:pPr>
              <w:pStyle w:val="TableText"/>
              <w:jc w:val="right"/>
              <w:rPr>
                <w:lang w:eastAsia="en-AU"/>
              </w:rPr>
            </w:pPr>
            <w:r w:rsidRPr="005B0796">
              <w:rPr>
                <w:lang w:eastAsia="en-AU"/>
              </w:rPr>
              <w:t>220</w:t>
            </w:r>
          </w:p>
        </w:tc>
        <w:tc>
          <w:tcPr>
            <w:tcW w:w="540" w:type="dxa"/>
          </w:tcPr>
          <w:p w:rsidR="003624B8" w:rsidRPr="005B0796" w:rsidRDefault="003624B8" w:rsidP="003624B8">
            <w:pPr>
              <w:pStyle w:val="TableText"/>
              <w:jc w:val="right"/>
              <w:rPr>
                <w:lang w:eastAsia="en-AU"/>
              </w:rPr>
            </w:pPr>
            <w:r w:rsidRPr="005B0796">
              <w:rPr>
                <w:lang w:eastAsia="en-GB"/>
              </w:rPr>
              <w:t>6.5</w:t>
            </w:r>
          </w:p>
        </w:tc>
        <w:tc>
          <w:tcPr>
            <w:tcW w:w="820" w:type="dxa"/>
          </w:tcPr>
          <w:p w:rsidR="003624B8" w:rsidRPr="005B0796" w:rsidRDefault="003624B8" w:rsidP="003624B8">
            <w:pPr>
              <w:pStyle w:val="TableText"/>
              <w:jc w:val="right"/>
              <w:rPr>
                <w:lang w:eastAsia="en-GB"/>
              </w:rPr>
            </w:pPr>
            <w:r w:rsidRPr="005B0796">
              <w:rPr>
                <w:lang w:eastAsia="en-GB"/>
              </w:rPr>
              <w:t>3.8, 10.7</w:t>
            </w:r>
          </w:p>
        </w:tc>
        <w:tc>
          <w:tcPr>
            <w:tcW w:w="800" w:type="dxa"/>
          </w:tcPr>
          <w:p w:rsidR="003624B8" w:rsidRPr="005B0796" w:rsidRDefault="003624B8" w:rsidP="003624B8">
            <w:pPr>
              <w:pStyle w:val="TableText"/>
              <w:jc w:val="right"/>
              <w:rPr>
                <w:lang w:eastAsia="en-AU"/>
              </w:rPr>
            </w:pPr>
            <w:r w:rsidRPr="005B0796">
              <w:rPr>
                <w:lang w:eastAsia="en-AU"/>
              </w:rPr>
              <w:t>22</w:t>
            </w:r>
          </w:p>
        </w:tc>
        <w:tc>
          <w:tcPr>
            <w:tcW w:w="540" w:type="dxa"/>
          </w:tcPr>
          <w:p w:rsidR="003624B8" w:rsidRPr="005B0796" w:rsidRDefault="003624B8" w:rsidP="003624B8">
            <w:pPr>
              <w:pStyle w:val="TableText"/>
              <w:jc w:val="right"/>
              <w:rPr>
                <w:lang w:eastAsia="en-AU"/>
              </w:rPr>
            </w:pPr>
            <w:r w:rsidRPr="005B0796">
              <w:rPr>
                <w:lang w:eastAsia="en-GB"/>
              </w:rPr>
              <w:t>1.2</w:t>
            </w:r>
          </w:p>
        </w:tc>
        <w:tc>
          <w:tcPr>
            <w:tcW w:w="778" w:type="dxa"/>
          </w:tcPr>
          <w:p w:rsidR="003624B8" w:rsidRPr="005B0796" w:rsidRDefault="003624B8" w:rsidP="003624B8">
            <w:pPr>
              <w:pStyle w:val="TableText"/>
              <w:jc w:val="right"/>
              <w:rPr>
                <w:lang w:eastAsia="en-GB"/>
              </w:rPr>
            </w:pPr>
            <w:r w:rsidRPr="005B0796">
              <w:rPr>
                <w:lang w:eastAsia="en-GB"/>
              </w:rPr>
              <w:t>0.4, 3.4</w:t>
            </w:r>
          </w:p>
        </w:tc>
      </w:tr>
      <w:tr w:rsidR="003624B8" w:rsidRPr="005B0796" w:rsidTr="00D13778">
        <w:trPr>
          <w:cnfStyle w:val="000000100000" w:firstRow="0" w:lastRow="0" w:firstColumn="0" w:lastColumn="0" w:oddVBand="0" w:evenVBand="0" w:oddHBand="1" w:evenHBand="0" w:firstRowFirstColumn="0" w:firstRowLastColumn="0" w:lastRowFirstColumn="0" w:lastRowLastColumn="0"/>
          <w:cantSplit/>
        </w:trPr>
        <w:tc>
          <w:tcPr>
            <w:tcW w:w="918" w:type="dxa"/>
            <w:hideMark/>
          </w:tcPr>
          <w:p w:rsidR="003624B8" w:rsidRPr="005B0796" w:rsidRDefault="003624B8" w:rsidP="003624B8">
            <w:pPr>
              <w:pStyle w:val="TableText"/>
              <w:rPr>
                <w:lang w:eastAsia="en-AU"/>
              </w:rPr>
            </w:pPr>
            <w:r w:rsidRPr="005B0796">
              <w:rPr>
                <w:lang w:eastAsia="en-AU"/>
              </w:rPr>
              <w:t>Bipolar affective disorder</w:t>
            </w:r>
          </w:p>
        </w:tc>
        <w:tc>
          <w:tcPr>
            <w:tcW w:w="810" w:type="dxa"/>
            <w:noWrap/>
            <w:hideMark/>
          </w:tcPr>
          <w:p w:rsidR="003624B8" w:rsidRPr="005B0796" w:rsidRDefault="003624B8" w:rsidP="003624B8">
            <w:pPr>
              <w:pStyle w:val="TableText"/>
              <w:jc w:val="right"/>
              <w:rPr>
                <w:lang w:eastAsia="en-AU"/>
              </w:rPr>
            </w:pPr>
            <w:r w:rsidRPr="005B0796">
              <w:rPr>
                <w:lang w:eastAsia="en-AU"/>
              </w:rPr>
              <w:t>723</w:t>
            </w:r>
          </w:p>
        </w:tc>
        <w:tc>
          <w:tcPr>
            <w:tcW w:w="540" w:type="dxa"/>
            <w:hideMark/>
          </w:tcPr>
          <w:p w:rsidR="003624B8" w:rsidRPr="005B0796" w:rsidRDefault="003624B8" w:rsidP="003624B8">
            <w:pPr>
              <w:pStyle w:val="TableText"/>
              <w:jc w:val="right"/>
              <w:rPr>
                <w:lang w:eastAsia="en-AU"/>
              </w:rPr>
            </w:pPr>
            <w:r w:rsidRPr="005B0796">
              <w:rPr>
                <w:lang w:eastAsia="en-GB"/>
              </w:rPr>
              <w:t>13.9</w:t>
            </w:r>
          </w:p>
        </w:tc>
        <w:tc>
          <w:tcPr>
            <w:tcW w:w="767" w:type="dxa"/>
            <w:hideMark/>
          </w:tcPr>
          <w:p w:rsidR="003624B8" w:rsidRPr="005B0796" w:rsidRDefault="003624B8" w:rsidP="003624B8">
            <w:pPr>
              <w:pStyle w:val="TableText"/>
              <w:jc w:val="right"/>
              <w:rPr>
                <w:lang w:eastAsia="en-GB"/>
              </w:rPr>
            </w:pPr>
            <w:r w:rsidRPr="005B0796">
              <w:rPr>
                <w:lang w:eastAsia="en-GB"/>
              </w:rPr>
              <w:t>6.5, 27.4</w:t>
            </w:r>
          </w:p>
        </w:tc>
        <w:tc>
          <w:tcPr>
            <w:tcW w:w="763" w:type="dxa"/>
            <w:noWrap/>
            <w:hideMark/>
          </w:tcPr>
          <w:p w:rsidR="003624B8" w:rsidRPr="005B0796" w:rsidRDefault="003624B8" w:rsidP="003624B8">
            <w:pPr>
              <w:pStyle w:val="TableText"/>
              <w:jc w:val="right"/>
              <w:rPr>
                <w:color w:val="000000" w:themeColor="text1"/>
                <w:lang w:eastAsia="en-AU"/>
              </w:rPr>
            </w:pPr>
            <w:r w:rsidRPr="005B0796">
              <w:rPr>
                <w:color w:val="000000" w:themeColor="text1"/>
                <w:lang w:eastAsia="en-AU"/>
              </w:rPr>
              <w:t>1022</w:t>
            </w:r>
          </w:p>
        </w:tc>
        <w:tc>
          <w:tcPr>
            <w:tcW w:w="540" w:type="dxa"/>
            <w:hideMark/>
          </w:tcPr>
          <w:p w:rsidR="003624B8" w:rsidRPr="005B0796" w:rsidRDefault="003624B8" w:rsidP="003624B8">
            <w:pPr>
              <w:pStyle w:val="TableText"/>
              <w:jc w:val="right"/>
              <w:rPr>
                <w:color w:val="000000" w:themeColor="text1"/>
                <w:lang w:eastAsia="en-AU"/>
              </w:rPr>
            </w:pPr>
            <w:r w:rsidRPr="005B0796">
              <w:rPr>
                <w:color w:val="000000" w:themeColor="text1"/>
                <w:lang w:eastAsia="en-GB"/>
              </w:rPr>
              <w:t>11.6</w:t>
            </w:r>
          </w:p>
        </w:tc>
        <w:tc>
          <w:tcPr>
            <w:tcW w:w="815" w:type="dxa"/>
            <w:hideMark/>
          </w:tcPr>
          <w:p w:rsidR="003624B8" w:rsidRPr="005B0796" w:rsidRDefault="003624B8" w:rsidP="003624B8">
            <w:pPr>
              <w:pStyle w:val="TableText"/>
              <w:jc w:val="right"/>
              <w:rPr>
                <w:color w:val="000000" w:themeColor="text1"/>
                <w:lang w:eastAsia="en-GB"/>
              </w:rPr>
            </w:pPr>
            <w:r w:rsidRPr="005B0796">
              <w:rPr>
                <w:color w:val="000000" w:themeColor="text1"/>
                <w:lang w:eastAsia="en-GB"/>
              </w:rPr>
              <w:t>6.4, 20.3</w:t>
            </w:r>
          </w:p>
        </w:tc>
        <w:tc>
          <w:tcPr>
            <w:tcW w:w="805" w:type="dxa"/>
            <w:hideMark/>
          </w:tcPr>
          <w:p w:rsidR="003624B8" w:rsidRPr="005B0796" w:rsidRDefault="003624B8" w:rsidP="003624B8">
            <w:pPr>
              <w:pStyle w:val="TableText"/>
              <w:jc w:val="right"/>
              <w:rPr>
                <w:lang w:eastAsia="en-AU"/>
              </w:rPr>
            </w:pPr>
            <w:r w:rsidRPr="005B0796">
              <w:rPr>
                <w:lang w:eastAsia="en-AU"/>
              </w:rPr>
              <w:t>418</w:t>
            </w:r>
          </w:p>
        </w:tc>
        <w:tc>
          <w:tcPr>
            <w:tcW w:w="540" w:type="dxa"/>
            <w:hideMark/>
          </w:tcPr>
          <w:p w:rsidR="003624B8" w:rsidRPr="005B0796" w:rsidRDefault="003624B8" w:rsidP="003624B8">
            <w:pPr>
              <w:pStyle w:val="TableText"/>
              <w:jc w:val="right"/>
              <w:rPr>
                <w:lang w:eastAsia="en-AU"/>
              </w:rPr>
            </w:pPr>
            <w:r w:rsidRPr="005B0796">
              <w:rPr>
                <w:lang w:eastAsia="en-GB"/>
              </w:rPr>
              <w:t>8.0</w:t>
            </w:r>
          </w:p>
        </w:tc>
        <w:tc>
          <w:tcPr>
            <w:tcW w:w="772" w:type="dxa"/>
            <w:hideMark/>
          </w:tcPr>
          <w:p w:rsidR="003624B8" w:rsidRPr="005B0796" w:rsidRDefault="003624B8" w:rsidP="003624B8">
            <w:pPr>
              <w:pStyle w:val="TableText"/>
              <w:jc w:val="right"/>
              <w:rPr>
                <w:lang w:eastAsia="en-GB"/>
              </w:rPr>
            </w:pPr>
            <w:r w:rsidRPr="005B0796">
              <w:rPr>
                <w:lang w:eastAsia="en-GB"/>
              </w:rPr>
              <w:t>3.9, 15.7</w:t>
            </w:r>
          </w:p>
        </w:tc>
        <w:tc>
          <w:tcPr>
            <w:tcW w:w="758" w:type="dxa"/>
          </w:tcPr>
          <w:p w:rsidR="003624B8" w:rsidRPr="005B0796" w:rsidRDefault="003624B8" w:rsidP="003624B8">
            <w:pPr>
              <w:pStyle w:val="TableText"/>
              <w:jc w:val="right"/>
              <w:rPr>
                <w:lang w:eastAsia="en-AU"/>
              </w:rPr>
            </w:pPr>
            <w:r w:rsidRPr="005B0796">
              <w:rPr>
                <w:lang w:eastAsia="en-AU"/>
              </w:rPr>
              <w:t>230</w:t>
            </w:r>
          </w:p>
        </w:tc>
        <w:tc>
          <w:tcPr>
            <w:tcW w:w="540" w:type="dxa"/>
          </w:tcPr>
          <w:p w:rsidR="003624B8" w:rsidRPr="005B0796" w:rsidRDefault="003624B8" w:rsidP="003624B8">
            <w:pPr>
              <w:pStyle w:val="TableText"/>
              <w:jc w:val="right"/>
              <w:rPr>
                <w:lang w:eastAsia="en-AU"/>
              </w:rPr>
            </w:pPr>
            <w:r w:rsidRPr="005B0796">
              <w:rPr>
                <w:lang w:eastAsia="en-GB"/>
              </w:rPr>
              <w:t>6.8</w:t>
            </w:r>
          </w:p>
        </w:tc>
        <w:tc>
          <w:tcPr>
            <w:tcW w:w="820" w:type="dxa"/>
          </w:tcPr>
          <w:p w:rsidR="003624B8" w:rsidRPr="005B0796" w:rsidRDefault="003624B8" w:rsidP="003624B8">
            <w:pPr>
              <w:pStyle w:val="TableText"/>
              <w:jc w:val="right"/>
              <w:rPr>
                <w:lang w:eastAsia="en-GB"/>
              </w:rPr>
            </w:pPr>
            <w:r w:rsidRPr="005B0796">
              <w:rPr>
                <w:lang w:eastAsia="en-GB"/>
              </w:rPr>
              <w:t>3.1, 14.3</w:t>
            </w:r>
          </w:p>
        </w:tc>
        <w:tc>
          <w:tcPr>
            <w:tcW w:w="800" w:type="dxa"/>
          </w:tcPr>
          <w:p w:rsidR="003624B8" w:rsidRPr="005B0796" w:rsidRDefault="003624B8" w:rsidP="003624B8">
            <w:pPr>
              <w:pStyle w:val="TableText"/>
              <w:jc w:val="right"/>
              <w:rPr>
                <w:lang w:eastAsia="en-AU"/>
              </w:rPr>
            </w:pPr>
            <w:r w:rsidRPr="005B0796">
              <w:rPr>
                <w:lang w:eastAsia="en-AU"/>
              </w:rPr>
              <w:t>121</w:t>
            </w:r>
          </w:p>
        </w:tc>
        <w:tc>
          <w:tcPr>
            <w:tcW w:w="540" w:type="dxa"/>
          </w:tcPr>
          <w:p w:rsidR="003624B8" w:rsidRPr="005B0796" w:rsidRDefault="003624B8" w:rsidP="003624B8">
            <w:pPr>
              <w:pStyle w:val="TableText"/>
              <w:jc w:val="right"/>
              <w:rPr>
                <w:lang w:eastAsia="en-AU"/>
              </w:rPr>
            </w:pPr>
            <w:r w:rsidRPr="005B0796">
              <w:rPr>
                <w:lang w:eastAsia="en-GB"/>
              </w:rPr>
              <w:t>6.2</w:t>
            </w:r>
          </w:p>
        </w:tc>
        <w:tc>
          <w:tcPr>
            <w:tcW w:w="778" w:type="dxa"/>
          </w:tcPr>
          <w:p w:rsidR="003624B8" w:rsidRPr="005B0796" w:rsidRDefault="003624B8" w:rsidP="003624B8">
            <w:pPr>
              <w:pStyle w:val="TableText"/>
              <w:jc w:val="right"/>
              <w:rPr>
                <w:lang w:eastAsia="en-GB"/>
              </w:rPr>
            </w:pPr>
            <w:r w:rsidRPr="005B0796">
              <w:rPr>
                <w:lang w:eastAsia="en-GB"/>
              </w:rPr>
              <w:t>2.3, 15.8</w:t>
            </w:r>
          </w:p>
        </w:tc>
      </w:tr>
      <w:tr w:rsidR="003624B8" w:rsidRPr="005B0796" w:rsidTr="00D13778">
        <w:trPr>
          <w:cantSplit/>
        </w:trPr>
        <w:tc>
          <w:tcPr>
            <w:tcW w:w="918" w:type="dxa"/>
            <w:noWrap/>
            <w:hideMark/>
          </w:tcPr>
          <w:p w:rsidR="003624B8" w:rsidRPr="005B0796" w:rsidRDefault="003624B8" w:rsidP="003624B8">
            <w:pPr>
              <w:pStyle w:val="TableText"/>
              <w:rPr>
                <w:lang w:eastAsia="en-AU"/>
              </w:rPr>
            </w:pPr>
            <w:r w:rsidRPr="005B0796">
              <w:rPr>
                <w:lang w:eastAsia="en-AU"/>
              </w:rPr>
              <w:t>Any affective disorder</w:t>
            </w:r>
          </w:p>
        </w:tc>
        <w:tc>
          <w:tcPr>
            <w:tcW w:w="810" w:type="dxa"/>
            <w:noWrap/>
            <w:hideMark/>
          </w:tcPr>
          <w:p w:rsidR="003624B8" w:rsidRPr="005B0796" w:rsidRDefault="003624B8" w:rsidP="003624B8">
            <w:pPr>
              <w:pStyle w:val="TableText"/>
              <w:jc w:val="right"/>
              <w:rPr>
                <w:lang w:eastAsia="en-AU"/>
              </w:rPr>
            </w:pPr>
            <w:r w:rsidRPr="005B0796">
              <w:rPr>
                <w:lang w:eastAsia="en-AU"/>
              </w:rPr>
              <w:t>1435</w:t>
            </w:r>
          </w:p>
        </w:tc>
        <w:tc>
          <w:tcPr>
            <w:tcW w:w="540" w:type="dxa"/>
            <w:hideMark/>
          </w:tcPr>
          <w:p w:rsidR="003624B8" w:rsidRPr="005B0796" w:rsidRDefault="003624B8" w:rsidP="003624B8">
            <w:pPr>
              <w:pStyle w:val="TableText"/>
              <w:jc w:val="right"/>
              <w:rPr>
                <w:lang w:eastAsia="en-AU"/>
              </w:rPr>
            </w:pPr>
            <w:r w:rsidRPr="005B0796">
              <w:rPr>
                <w:lang w:eastAsia="en-GB"/>
              </w:rPr>
              <w:t>27.6</w:t>
            </w:r>
          </w:p>
        </w:tc>
        <w:tc>
          <w:tcPr>
            <w:tcW w:w="767" w:type="dxa"/>
            <w:hideMark/>
          </w:tcPr>
          <w:p w:rsidR="003624B8" w:rsidRPr="005B0796" w:rsidRDefault="003624B8" w:rsidP="003624B8">
            <w:pPr>
              <w:pStyle w:val="TableText"/>
              <w:jc w:val="right"/>
              <w:rPr>
                <w:lang w:eastAsia="en-GB"/>
              </w:rPr>
            </w:pPr>
            <w:r w:rsidRPr="005B0796">
              <w:rPr>
                <w:lang w:eastAsia="en-GB"/>
              </w:rPr>
              <w:t>16.8, 41.9</w:t>
            </w:r>
          </w:p>
        </w:tc>
        <w:tc>
          <w:tcPr>
            <w:tcW w:w="763" w:type="dxa"/>
            <w:noWrap/>
            <w:hideMark/>
          </w:tcPr>
          <w:p w:rsidR="003624B8" w:rsidRPr="005B0796" w:rsidRDefault="003624B8" w:rsidP="003624B8">
            <w:pPr>
              <w:pStyle w:val="TableText"/>
              <w:jc w:val="right"/>
              <w:rPr>
                <w:color w:val="000000" w:themeColor="text1"/>
                <w:lang w:eastAsia="en-AU"/>
              </w:rPr>
            </w:pPr>
            <w:r w:rsidRPr="005B0796">
              <w:rPr>
                <w:color w:val="000000" w:themeColor="text1"/>
                <w:lang w:eastAsia="en-AU"/>
              </w:rPr>
              <w:t>2111</w:t>
            </w:r>
          </w:p>
        </w:tc>
        <w:tc>
          <w:tcPr>
            <w:tcW w:w="540" w:type="dxa"/>
            <w:hideMark/>
          </w:tcPr>
          <w:p w:rsidR="003624B8" w:rsidRPr="005B0796" w:rsidRDefault="003624B8" w:rsidP="003624B8">
            <w:pPr>
              <w:pStyle w:val="TableText"/>
              <w:jc w:val="right"/>
              <w:rPr>
                <w:color w:val="000000" w:themeColor="text1"/>
                <w:lang w:eastAsia="en-AU"/>
              </w:rPr>
            </w:pPr>
            <w:r w:rsidRPr="005B0796">
              <w:rPr>
                <w:color w:val="000000" w:themeColor="text1"/>
                <w:lang w:eastAsia="en-GB"/>
              </w:rPr>
              <w:t>24.0</w:t>
            </w:r>
          </w:p>
        </w:tc>
        <w:tc>
          <w:tcPr>
            <w:tcW w:w="815" w:type="dxa"/>
            <w:hideMark/>
          </w:tcPr>
          <w:p w:rsidR="003624B8" w:rsidRPr="005B0796" w:rsidRDefault="003624B8" w:rsidP="003624B8">
            <w:pPr>
              <w:pStyle w:val="TableText"/>
              <w:jc w:val="right"/>
              <w:rPr>
                <w:color w:val="000000" w:themeColor="text1"/>
                <w:lang w:eastAsia="en-GB"/>
              </w:rPr>
            </w:pPr>
            <w:r w:rsidRPr="005B0796">
              <w:rPr>
                <w:color w:val="000000" w:themeColor="text1"/>
                <w:lang w:eastAsia="en-GB"/>
              </w:rPr>
              <w:t>16.3, 33.8</w:t>
            </w:r>
          </w:p>
        </w:tc>
        <w:tc>
          <w:tcPr>
            <w:tcW w:w="805" w:type="dxa"/>
            <w:hideMark/>
          </w:tcPr>
          <w:p w:rsidR="003624B8" w:rsidRPr="005B0796" w:rsidRDefault="003624B8" w:rsidP="003624B8">
            <w:pPr>
              <w:pStyle w:val="TableText"/>
              <w:jc w:val="right"/>
              <w:rPr>
                <w:lang w:eastAsia="en-AU"/>
              </w:rPr>
            </w:pPr>
            <w:r w:rsidRPr="005B0796">
              <w:rPr>
                <w:lang w:eastAsia="en-AU"/>
              </w:rPr>
              <w:t>1554</w:t>
            </w:r>
          </w:p>
        </w:tc>
        <w:tc>
          <w:tcPr>
            <w:tcW w:w="540" w:type="dxa"/>
            <w:hideMark/>
          </w:tcPr>
          <w:p w:rsidR="003624B8" w:rsidRPr="005B0796" w:rsidRDefault="003624B8" w:rsidP="003624B8">
            <w:pPr>
              <w:pStyle w:val="TableText"/>
              <w:jc w:val="right"/>
              <w:rPr>
                <w:lang w:eastAsia="en-AU"/>
              </w:rPr>
            </w:pPr>
            <w:r w:rsidRPr="005B0796">
              <w:rPr>
                <w:lang w:eastAsia="en-GB"/>
              </w:rPr>
              <w:t>29.8</w:t>
            </w:r>
          </w:p>
        </w:tc>
        <w:tc>
          <w:tcPr>
            <w:tcW w:w="772" w:type="dxa"/>
            <w:hideMark/>
          </w:tcPr>
          <w:p w:rsidR="003624B8" w:rsidRPr="005B0796" w:rsidRDefault="003624B8" w:rsidP="003624B8">
            <w:pPr>
              <w:pStyle w:val="TableText"/>
              <w:jc w:val="right"/>
              <w:rPr>
                <w:lang w:eastAsia="en-GB"/>
              </w:rPr>
            </w:pPr>
            <w:r w:rsidRPr="005B0796">
              <w:rPr>
                <w:lang w:eastAsia="en-GB"/>
              </w:rPr>
              <w:t>21.8, 39.4</w:t>
            </w:r>
          </w:p>
        </w:tc>
        <w:tc>
          <w:tcPr>
            <w:tcW w:w="758" w:type="dxa"/>
          </w:tcPr>
          <w:p w:rsidR="003624B8" w:rsidRPr="005B0796" w:rsidRDefault="003624B8" w:rsidP="003624B8">
            <w:pPr>
              <w:pStyle w:val="TableText"/>
              <w:jc w:val="right"/>
              <w:rPr>
                <w:lang w:eastAsia="en-AU"/>
              </w:rPr>
            </w:pPr>
            <w:r w:rsidRPr="005B0796">
              <w:rPr>
                <w:lang w:eastAsia="en-AU"/>
              </w:rPr>
              <w:t>642</w:t>
            </w:r>
          </w:p>
        </w:tc>
        <w:tc>
          <w:tcPr>
            <w:tcW w:w="540" w:type="dxa"/>
          </w:tcPr>
          <w:p w:rsidR="003624B8" w:rsidRPr="005B0796" w:rsidRDefault="003624B8" w:rsidP="003624B8">
            <w:pPr>
              <w:pStyle w:val="TableText"/>
              <w:jc w:val="right"/>
              <w:rPr>
                <w:lang w:eastAsia="en-AU"/>
              </w:rPr>
            </w:pPr>
            <w:r w:rsidRPr="005B0796">
              <w:rPr>
                <w:lang w:eastAsia="en-GB"/>
              </w:rPr>
              <w:t>18.9</w:t>
            </w:r>
          </w:p>
        </w:tc>
        <w:tc>
          <w:tcPr>
            <w:tcW w:w="820" w:type="dxa"/>
          </w:tcPr>
          <w:p w:rsidR="003624B8" w:rsidRPr="005B0796" w:rsidRDefault="003624B8" w:rsidP="003624B8">
            <w:pPr>
              <w:pStyle w:val="TableText"/>
              <w:jc w:val="right"/>
              <w:rPr>
                <w:lang w:eastAsia="en-GB"/>
              </w:rPr>
            </w:pPr>
            <w:r w:rsidRPr="005B0796">
              <w:rPr>
                <w:lang w:eastAsia="en-GB"/>
              </w:rPr>
              <w:t>13.5, 25.9</w:t>
            </w:r>
          </w:p>
        </w:tc>
        <w:tc>
          <w:tcPr>
            <w:tcW w:w="800" w:type="dxa"/>
          </w:tcPr>
          <w:p w:rsidR="003624B8" w:rsidRPr="005B0796" w:rsidRDefault="003624B8" w:rsidP="003624B8">
            <w:pPr>
              <w:pStyle w:val="TableText"/>
              <w:jc w:val="right"/>
              <w:rPr>
                <w:lang w:eastAsia="en-AU"/>
              </w:rPr>
            </w:pPr>
            <w:r w:rsidRPr="005B0796">
              <w:rPr>
                <w:lang w:eastAsia="en-AU"/>
              </w:rPr>
              <w:t>208</w:t>
            </w:r>
          </w:p>
        </w:tc>
        <w:tc>
          <w:tcPr>
            <w:tcW w:w="540" w:type="dxa"/>
          </w:tcPr>
          <w:p w:rsidR="003624B8" w:rsidRPr="005B0796" w:rsidRDefault="003624B8" w:rsidP="003624B8">
            <w:pPr>
              <w:pStyle w:val="TableText"/>
              <w:jc w:val="right"/>
              <w:rPr>
                <w:lang w:eastAsia="en-AU"/>
              </w:rPr>
            </w:pPr>
            <w:r w:rsidRPr="005B0796">
              <w:rPr>
                <w:lang w:eastAsia="en-GB"/>
              </w:rPr>
              <w:t>10.8</w:t>
            </w:r>
          </w:p>
        </w:tc>
        <w:tc>
          <w:tcPr>
            <w:tcW w:w="778" w:type="dxa"/>
          </w:tcPr>
          <w:p w:rsidR="003624B8" w:rsidRPr="005B0796" w:rsidRDefault="003624B8" w:rsidP="003624B8">
            <w:pPr>
              <w:pStyle w:val="TableText"/>
              <w:jc w:val="right"/>
              <w:rPr>
                <w:lang w:eastAsia="en-GB"/>
              </w:rPr>
            </w:pPr>
            <w:r w:rsidRPr="005B0796">
              <w:rPr>
                <w:lang w:eastAsia="en-GB"/>
              </w:rPr>
              <w:t>5.9, 18.9</w:t>
            </w:r>
          </w:p>
        </w:tc>
      </w:tr>
    </w:tbl>
    <w:p w:rsidR="003624B8" w:rsidRPr="005B0796" w:rsidRDefault="003624B8" w:rsidP="003624B8">
      <w:pPr>
        <w:pStyle w:val="TableNotes"/>
      </w:pPr>
      <w:r w:rsidRPr="005B0796">
        <w:rPr>
          <w:rFonts w:eastAsia="Times New Roman"/>
          <w:vertAlign w:val="superscript"/>
          <w:lang w:eastAsia="en-AU"/>
        </w:rPr>
        <w:t>a</w:t>
      </w:r>
      <w:r w:rsidRPr="005B0796">
        <w:rPr>
          <w:rFonts w:eastAsia="Times New Roman"/>
          <w:lang w:eastAsia="en-AU"/>
        </w:rPr>
        <w:t xml:space="preserve"> </w:t>
      </w:r>
      <w:r w:rsidRPr="005B0796">
        <w:t>58+ versus 18–27: OR 0.2, 95% CI 0.1, 0.6</w:t>
      </w:r>
    </w:p>
    <w:p w:rsidR="003624B8" w:rsidRPr="005B0796" w:rsidRDefault="003624B8" w:rsidP="003624B8">
      <w:pPr>
        <w:pStyle w:val="TableNotes"/>
        <w:rPr>
          <w:rFonts w:cs="Calibri"/>
          <w:bCs/>
        </w:rPr>
      </w:pPr>
      <w:r w:rsidRPr="005B0796">
        <w:rPr>
          <w:rFonts w:cs="Calibri"/>
          <w:bCs/>
        </w:rPr>
        <w:t xml:space="preserve">Note: 95% CI: 95% </w:t>
      </w:r>
      <w:r w:rsidR="00564689" w:rsidRPr="005B0796">
        <w:rPr>
          <w:rFonts w:cs="Calibri"/>
          <w:bCs/>
        </w:rPr>
        <w:t>confidence interval</w:t>
      </w:r>
    </w:p>
    <w:p w:rsidR="00157CE2" w:rsidRPr="005B0796" w:rsidRDefault="00157CE2" w:rsidP="00157CE2"/>
    <w:p w:rsidR="00157CE2" w:rsidRPr="005B0796" w:rsidRDefault="00157CE2" w:rsidP="00157CE2">
      <w:pPr>
        <w:sectPr w:rsidR="00157CE2" w:rsidRPr="005B0796" w:rsidSect="00BE66A5">
          <w:headerReference w:type="even" r:id="rId83"/>
          <w:headerReference w:type="default" r:id="rId84"/>
          <w:footerReference w:type="even" r:id="rId85"/>
          <w:footerReference w:type="default" r:id="rId86"/>
          <w:pgSz w:w="14170" w:h="9979" w:orient="landscape" w:code="243"/>
          <w:pgMar w:top="1872" w:right="1440" w:bottom="1152" w:left="1440" w:header="576" w:footer="576" w:gutter="0"/>
          <w:cols w:space="708"/>
          <w:docGrid w:linePitch="360"/>
        </w:sectPr>
      </w:pPr>
    </w:p>
    <w:p w:rsidR="00997E39" w:rsidRPr="005B0796" w:rsidRDefault="00997E39" w:rsidP="00997E39">
      <w:pPr>
        <w:pStyle w:val="FigureName"/>
      </w:pPr>
      <w:bookmarkStart w:id="519" w:name="_Ref484519384"/>
      <w:bookmarkStart w:id="520" w:name="_Toc482023818"/>
      <w:bookmarkStart w:id="521" w:name="_Toc487014363"/>
      <w:bookmarkStart w:id="522" w:name="_Toc51190053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15</w:t>
      </w:r>
      <w:r w:rsidR="00D30A3C">
        <w:rPr>
          <w:noProof/>
        </w:rPr>
        <w:fldChar w:fldCharType="end"/>
      </w:r>
      <w:bookmarkEnd w:id="519"/>
      <w:r w:rsidRPr="005B0796">
        <w:tab/>
        <w:t>Estimated prevalence of 12-month ICD-10 affective disorders in Transitioned ADF, by affective disorder type and age</w:t>
      </w:r>
      <w:bookmarkEnd w:id="520"/>
      <w:bookmarkEnd w:id="521"/>
      <w:bookmarkEnd w:id="522"/>
    </w:p>
    <w:tbl>
      <w:tblPr>
        <w:tblW w:w="5000" w:type="pct"/>
        <w:tblLayout w:type="fixed"/>
        <w:tblCellMar>
          <w:left w:w="115" w:type="dxa"/>
          <w:right w:w="115" w:type="dxa"/>
        </w:tblCellMar>
        <w:tblLook w:val="04A0" w:firstRow="1" w:lastRow="0" w:firstColumn="1" w:lastColumn="0" w:noHBand="0" w:noVBand="1"/>
      </w:tblPr>
      <w:tblGrid>
        <w:gridCol w:w="7329"/>
      </w:tblGrid>
      <w:tr w:rsidR="00157CE2" w:rsidRPr="005B0796" w:rsidTr="003624B8">
        <w:trPr>
          <w:cantSplit/>
        </w:trPr>
        <w:tc>
          <w:tcPr>
            <w:tcW w:w="7315" w:type="dxa"/>
          </w:tcPr>
          <w:p w:rsidR="00157CE2" w:rsidRPr="005B0796" w:rsidRDefault="00157CE2" w:rsidP="0019239D">
            <w:r w:rsidRPr="005B0796">
              <w:rPr>
                <w:noProof/>
                <w:lang w:eastAsia="en-AU"/>
              </w:rPr>
              <w:drawing>
                <wp:inline distT="0" distB="0" distL="0" distR="0" wp14:anchorId="4EA4EA66" wp14:editId="27C12160">
                  <wp:extent cx="4572000" cy="2834640"/>
                  <wp:effectExtent l="0" t="0" r="0" b="3810"/>
                  <wp:docPr id="31" name="Chart 31" descr="Figure 4.15 Estimated prevalence of 12-month ICD-10 affective disorders in Transitioned ADF, by affective disorder type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997E39" w:rsidRPr="005B0796" w:rsidRDefault="00997E39" w:rsidP="00997E39">
      <w:pPr>
        <w:pStyle w:val="TableNotes"/>
      </w:pPr>
      <w:bookmarkStart w:id="523" w:name="_Toc482021340"/>
      <w:bookmarkStart w:id="524" w:name="_Toc482024431"/>
      <w:bookmarkStart w:id="525" w:name="_Toc487011199"/>
      <w:r w:rsidRPr="005B0796">
        <w:t>Depressive episodes: 58+ versus 18–27: OR 0.2, 95% CI 0.1, 0.6</w:t>
      </w:r>
    </w:p>
    <w:p w:rsidR="00157CE2" w:rsidRPr="005B0796" w:rsidRDefault="00157CE2" w:rsidP="003624B8">
      <w:pPr>
        <w:pStyle w:val="Heading3"/>
      </w:pPr>
      <w:bookmarkStart w:id="526" w:name="_Toc494449717"/>
      <w:bookmarkStart w:id="527" w:name="_Toc511900299"/>
      <w:r w:rsidRPr="005B0796">
        <w:t>Service factors</w:t>
      </w:r>
      <w:bookmarkEnd w:id="523"/>
      <w:bookmarkEnd w:id="524"/>
      <w:bookmarkEnd w:id="525"/>
      <w:bookmarkEnd w:id="526"/>
      <w:bookmarkEnd w:id="527"/>
    </w:p>
    <w:p w:rsidR="00157CE2" w:rsidRPr="005B0796" w:rsidRDefault="00157CE2" w:rsidP="003624B8">
      <w:pPr>
        <w:pStyle w:val="Heading4"/>
      </w:pPr>
      <w:r w:rsidRPr="005B0796">
        <w:t>Service</w:t>
      </w:r>
    </w:p>
    <w:p w:rsidR="00157CE2" w:rsidRPr="005B0796" w:rsidRDefault="00157CE2" w:rsidP="003624B8">
      <w:r w:rsidRPr="005B0796">
        <w:t>When the individual Services were considered (</w:t>
      </w:r>
      <w:r w:rsidR="009E72D3" w:rsidRPr="005B0796">
        <w:t>Table 4.20</w:t>
      </w:r>
      <w:r w:rsidRPr="005B0796">
        <w:t xml:space="preserve"> and </w:t>
      </w:r>
      <w:r w:rsidR="009E72D3" w:rsidRPr="005B0796">
        <w:t>Figure 4.16</w:t>
      </w:r>
      <w:r w:rsidRPr="005B0796">
        <w:t xml:space="preserve">), there were no significant differences </w:t>
      </w:r>
      <w:r w:rsidR="00492B66">
        <w:t>i</w:t>
      </w:r>
      <w:r w:rsidRPr="005B0796">
        <w:t xml:space="preserve">n </w:t>
      </w:r>
      <w:r w:rsidR="00492B66">
        <w:t xml:space="preserve">the prevalence of </w:t>
      </w:r>
      <w:r w:rsidRPr="005B0796">
        <w:t xml:space="preserve">any of the individual ICD-10 affective disorders. </w:t>
      </w:r>
    </w:p>
    <w:p w:rsidR="00997E39" w:rsidRPr="005B0796" w:rsidRDefault="00997E39" w:rsidP="00997E39">
      <w:pPr>
        <w:pStyle w:val="TableName"/>
      </w:pPr>
      <w:bookmarkStart w:id="528" w:name="_Ref484519432"/>
      <w:bookmarkStart w:id="529" w:name="_Toc482023772"/>
      <w:bookmarkStart w:id="530" w:name="_Toc487014271"/>
      <w:bookmarkStart w:id="531" w:name="_Toc492995574"/>
      <w:bookmarkStart w:id="532" w:name="_Toc51190042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20</w:t>
      </w:r>
      <w:r w:rsidR="00D30A3C">
        <w:rPr>
          <w:noProof/>
        </w:rPr>
        <w:fldChar w:fldCharType="end"/>
      </w:r>
      <w:bookmarkEnd w:id="528"/>
      <w:bookmarkEnd w:id="529"/>
      <w:r w:rsidRPr="005B0796">
        <w:tab/>
        <w:t>Estimated prevalence of 12-month ICD-10 affective disorders, by Service at time of transition from Regular ADF into Transitioned ADF</w:t>
      </w:r>
      <w:bookmarkEnd w:id="530"/>
      <w:bookmarkEnd w:id="531"/>
      <w:bookmarkEnd w:id="532"/>
    </w:p>
    <w:tbl>
      <w:tblPr>
        <w:tblStyle w:val="TWRPTable"/>
        <w:tblW w:w="5000" w:type="pct"/>
        <w:tblLayout w:type="fixed"/>
        <w:tblLook w:val="04A0" w:firstRow="1" w:lastRow="0" w:firstColumn="1" w:lastColumn="0" w:noHBand="0" w:noVBand="1"/>
        <w:tblDescription w:val="Table 4.20 Estimated prevalence of 12-month ICD-10 affective disorders, by Service at time of transition from Regular ADF into Transitioned ADF"/>
      </w:tblPr>
      <w:tblGrid>
        <w:gridCol w:w="1368"/>
        <w:gridCol w:w="810"/>
        <w:gridCol w:w="450"/>
        <w:gridCol w:w="722"/>
        <w:gridCol w:w="808"/>
        <w:gridCol w:w="450"/>
        <w:gridCol w:w="724"/>
        <w:gridCol w:w="806"/>
        <w:gridCol w:w="450"/>
        <w:gridCol w:w="727"/>
      </w:tblGrid>
      <w:tr w:rsidR="00157CE2" w:rsidRPr="005B0796" w:rsidTr="00D13778">
        <w:trPr>
          <w:cnfStyle w:val="100000000000" w:firstRow="1" w:lastRow="0" w:firstColumn="0" w:lastColumn="0" w:oddVBand="0" w:evenVBand="0" w:oddHBand="0" w:evenHBand="0" w:firstRowFirstColumn="0" w:firstRowLastColumn="0" w:lastRowFirstColumn="0" w:lastRowLastColumn="0"/>
          <w:tblHeader/>
        </w:trPr>
        <w:tc>
          <w:tcPr>
            <w:tcW w:w="1368" w:type="dxa"/>
            <w:vMerge w:val="restart"/>
            <w:tcBorders>
              <w:top w:val="single" w:sz="4" w:space="0" w:color="000000"/>
              <w:bottom w:val="nil"/>
            </w:tcBorders>
            <w:noWrap/>
            <w:hideMark/>
          </w:tcPr>
          <w:p w:rsidR="00157CE2" w:rsidRPr="005B0796" w:rsidRDefault="00157CE2" w:rsidP="003624B8">
            <w:pPr>
              <w:pStyle w:val="TableText"/>
              <w:rPr>
                <w:lang w:eastAsia="en-AU"/>
              </w:rPr>
            </w:pPr>
          </w:p>
        </w:tc>
        <w:tc>
          <w:tcPr>
            <w:tcW w:w="5947" w:type="dxa"/>
            <w:gridSpan w:val="9"/>
            <w:noWrap/>
            <w:hideMark/>
          </w:tcPr>
          <w:p w:rsidR="00157CE2" w:rsidRPr="005B0796" w:rsidRDefault="00157CE2" w:rsidP="003624B8">
            <w:pPr>
              <w:pStyle w:val="TableText"/>
              <w:jc w:val="center"/>
              <w:rPr>
                <w:lang w:eastAsia="en-AU"/>
              </w:rPr>
            </w:pPr>
            <w:r w:rsidRPr="005B0796">
              <w:rPr>
                <w:lang w:eastAsia="en-AU"/>
              </w:rPr>
              <w:t>Service at transition</w:t>
            </w:r>
          </w:p>
        </w:tc>
      </w:tr>
      <w:tr w:rsidR="00157CE2" w:rsidRPr="005B0796" w:rsidTr="00D13778">
        <w:trPr>
          <w:cnfStyle w:val="100000000000" w:firstRow="1" w:lastRow="0" w:firstColumn="0" w:lastColumn="0" w:oddVBand="0" w:evenVBand="0" w:oddHBand="0" w:evenHBand="0" w:firstRowFirstColumn="0" w:firstRowLastColumn="0" w:lastRowFirstColumn="0" w:lastRowLastColumn="0"/>
          <w:tblHeader/>
        </w:trPr>
        <w:tc>
          <w:tcPr>
            <w:tcW w:w="1368" w:type="dxa"/>
            <w:vMerge/>
            <w:tcBorders>
              <w:top w:val="nil"/>
              <w:bottom w:val="nil"/>
            </w:tcBorders>
            <w:hideMark/>
          </w:tcPr>
          <w:p w:rsidR="00157CE2" w:rsidRPr="005B0796" w:rsidRDefault="00157CE2" w:rsidP="003624B8">
            <w:pPr>
              <w:pStyle w:val="TableText"/>
              <w:rPr>
                <w:lang w:eastAsia="en-AU"/>
              </w:rPr>
            </w:pPr>
          </w:p>
        </w:tc>
        <w:tc>
          <w:tcPr>
            <w:tcW w:w="1982" w:type="dxa"/>
            <w:gridSpan w:val="3"/>
            <w:noWrap/>
            <w:hideMark/>
          </w:tcPr>
          <w:p w:rsidR="00157CE2" w:rsidRPr="005B0796" w:rsidRDefault="00157CE2" w:rsidP="003624B8">
            <w:pPr>
              <w:pStyle w:val="TableText"/>
              <w:jc w:val="center"/>
              <w:rPr>
                <w:lang w:eastAsia="en-AU"/>
              </w:rPr>
            </w:pPr>
            <w:r w:rsidRPr="005B0796">
              <w:rPr>
                <w:lang w:eastAsia="en-AU"/>
              </w:rPr>
              <w:t>Navy (n = 5671)</w:t>
            </w:r>
          </w:p>
        </w:tc>
        <w:tc>
          <w:tcPr>
            <w:tcW w:w="1982" w:type="dxa"/>
            <w:gridSpan w:val="3"/>
            <w:noWrap/>
            <w:hideMark/>
          </w:tcPr>
          <w:p w:rsidR="00157CE2" w:rsidRPr="005B0796" w:rsidRDefault="00157CE2" w:rsidP="003624B8">
            <w:pPr>
              <w:pStyle w:val="TableText"/>
              <w:jc w:val="center"/>
              <w:rPr>
                <w:lang w:eastAsia="en-AU"/>
              </w:rPr>
            </w:pPr>
            <w:r w:rsidRPr="005B0796">
              <w:rPr>
                <w:lang w:eastAsia="en-AU"/>
              </w:rPr>
              <w:t>Army (n = 15,038)</w:t>
            </w:r>
          </w:p>
        </w:tc>
        <w:tc>
          <w:tcPr>
            <w:tcW w:w="1983" w:type="dxa"/>
            <w:gridSpan w:val="3"/>
            <w:noWrap/>
            <w:hideMark/>
          </w:tcPr>
          <w:p w:rsidR="00157CE2" w:rsidRPr="005B0796" w:rsidRDefault="00157CE2" w:rsidP="003624B8">
            <w:pPr>
              <w:pStyle w:val="TableText"/>
              <w:jc w:val="center"/>
              <w:rPr>
                <w:lang w:eastAsia="en-AU"/>
              </w:rPr>
            </w:pPr>
            <w:r w:rsidRPr="005B0796">
              <w:rPr>
                <w:lang w:eastAsia="en-AU"/>
              </w:rPr>
              <w:t>Air Force (n = 4223)</w:t>
            </w:r>
          </w:p>
        </w:tc>
      </w:tr>
      <w:tr w:rsidR="00157CE2" w:rsidRPr="005B0796" w:rsidTr="00D13778">
        <w:trPr>
          <w:cnfStyle w:val="100000000000" w:firstRow="1" w:lastRow="0" w:firstColumn="0" w:lastColumn="0" w:oddVBand="0" w:evenVBand="0" w:oddHBand="0" w:evenHBand="0" w:firstRowFirstColumn="0" w:firstRowLastColumn="0" w:lastRowFirstColumn="0" w:lastRowLastColumn="0"/>
          <w:tblHeader/>
        </w:trPr>
        <w:tc>
          <w:tcPr>
            <w:tcW w:w="1368" w:type="dxa"/>
            <w:tcBorders>
              <w:top w:val="nil"/>
            </w:tcBorders>
            <w:noWrap/>
            <w:hideMark/>
          </w:tcPr>
          <w:p w:rsidR="00157CE2" w:rsidRPr="005B0796" w:rsidRDefault="003624B8" w:rsidP="003624B8">
            <w:pPr>
              <w:pStyle w:val="TableText"/>
              <w:rPr>
                <w:lang w:eastAsia="en-AU"/>
              </w:rPr>
            </w:pPr>
            <w:r w:rsidRPr="005B0796">
              <w:rPr>
                <w:lang w:eastAsia="en-AU"/>
              </w:rPr>
              <w:t>ICD-10 affective disorder</w:t>
            </w:r>
          </w:p>
        </w:tc>
        <w:tc>
          <w:tcPr>
            <w:tcW w:w="810" w:type="dxa"/>
            <w:noWrap/>
            <w:hideMark/>
          </w:tcPr>
          <w:p w:rsidR="00157CE2" w:rsidRPr="005B0796" w:rsidRDefault="00157CE2" w:rsidP="003624B8">
            <w:pPr>
              <w:pStyle w:val="TableText"/>
              <w:jc w:val="right"/>
              <w:rPr>
                <w:lang w:eastAsia="en-AU"/>
              </w:rPr>
            </w:pPr>
            <w:r w:rsidRPr="005B0796">
              <w:rPr>
                <w:lang w:eastAsia="en-AU"/>
              </w:rPr>
              <w:t>Weighted n</w:t>
            </w:r>
          </w:p>
        </w:tc>
        <w:tc>
          <w:tcPr>
            <w:tcW w:w="450" w:type="dxa"/>
            <w:hideMark/>
          </w:tcPr>
          <w:p w:rsidR="00157CE2" w:rsidRPr="005B0796" w:rsidRDefault="00157CE2" w:rsidP="003624B8">
            <w:pPr>
              <w:pStyle w:val="TableText"/>
              <w:jc w:val="right"/>
              <w:rPr>
                <w:lang w:eastAsia="en-AU"/>
              </w:rPr>
            </w:pPr>
            <w:r w:rsidRPr="005B0796">
              <w:rPr>
                <w:lang w:eastAsia="en-AU"/>
              </w:rPr>
              <w:t>%</w:t>
            </w:r>
          </w:p>
        </w:tc>
        <w:tc>
          <w:tcPr>
            <w:tcW w:w="722" w:type="dxa"/>
            <w:hideMark/>
          </w:tcPr>
          <w:p w:rsidR="00157CE2" w:rsidRPr="005B0796" w:rsidRDefault="00157CE2" w:rsidP="003624B8">
            <w:pPr>
              <w:pStyle w:val="TableText"/>
              <w:jc w:val="right"/>
              <w:rPr>
                <w:lang w:eastAsia="en-AU"/>
              </w:rPr>
            </w:pPr>
            <w:r w:rsidRPr="005B0796">
              <w:rPr>
                <w:lang w:eastAsia="en-AU"/>
              </w:rPr>
              <w:t>95% CI</w:t>
            </w:r>
          </w:p>
        </w:tc>
        <w:tc>
          <w:tcPr>
            <w:tcW w:w="808" w:type="dxa"/>
            <w:noWrap/>
            <w:hideMark/>
          </w:tcPr>
          <w:p w:rsidR="00157CE2" w:rsidRPr="005B0796" w:rsidRDefault="00157CE2" w:rsidP="003624B8">
            <w:pPr>
              <w:pStyle w:val="TableText"/>
              <w:jc w:val="right"/>
              <w:rPr>
                <w:lang w:eastAsia="en-AU"/>
              </w:rPr>
            </w:pPr>
            <w:r w:rsidRPr="005B0796">
              <w:rPr>
                <w:lang w:eastAsia="en-AU"/>
              </w:rPr>
              <w:t>Weighted n</w:t>
            </w:r>
          </w:p>
        </w:tc>
        <w:tc>
          <w:tcPr>
            <w:tcW w:w="450" w:type="dxa"/>
            <w:hideMark/>
          </w:tcPr>
          <w:p w:rsidR="00157CE2" w:rsidRPr="005B0796" w:rsidRDefault="00157CE2" w:rsidP="003624B8">
            <w:pPr>
              <w:pStyle w:val="TableText"/>
              <w:jc w:val="right"/>
              <w:rPr>
                <w:lang w:eastAsia="en-AU"/>
              </w:rPr>
            </w:pPr>
            <w:r w:rsidRPr="005B0796">
              <w:rPr>
                <w:lang w:eastAsia="en-AU"/>
              </w:rPr>
              <w:t>%</w:t>
            </w:r>
          </w:p>
        </w:tc>
        <w:tc>
          <w:tcPr>
            <w:tcW w:w="724" w:type="dxa"/>
            <w:hideMark/>
          </w:tcPr>
          <w:p w:rsidR="00157CE2" w:rsidRPr="005B0796" w:rsidRDefault="00157CE2" w:rsidP="003624B8">
            <w:pPr>
              <w:pStyle w:val="TableText"/>
              <w:jc w:val="right"/>
              <w:rPr>
                <w:lang w:eastAsia="en-AU"/>
              </w:rPr>
            </w:pPr>
            <w:r w:rsidRPr="005B0796">
              <w:rPr>
                <w:lang w:eastAsia="en-AU"/>
              </w:rPr>
              <w:t>95% CI</w:t>
            </w:r>
          </w:p>
        </w:tc>
        <w:tc>
          <w:tcPr>
            <w:tcW w:w="806" w:type="dxa"/>
            <w:noWrap/>
            <w:hideMark/>
          </w:tcPr>
          <w:p w:rsidR="00157CE2" w:rsidRPr="005B0796" w:rsidRDefault="00157CE2" w:rsidP="003624B8">
            <w:pPr>
              <w:pStyle w:val="TableText"/>
              <w:jc w:val="right"/>
              <w:rPr>
                <w:lang w:eastAsia="en-AU"/>
              </w:rPr>
            </w:pPr>
            <w:r w:rsidRPr="005B0796">
              <w:rPr>
                <w:lang w:eastAsia="en-AU"/>
              </w:rPr>
              <w:t>Weighted n</w:t>
            </w:r>
          </w:p>
        </w:tc>
        <w:tc>
          <w:tcPr>
            <w:tcW w:w="450" w:type="dxa"/>
            <w:hideMark/>
          </w:tcPr>
          <w:p w:rsidR="00157CE2" w:rsidRPr="005B0796" w:rsidRDefault="00157CE2" w:rsidP="003624B8">
            <w:pPr>
              <w:pStyle w:val="TableText"/>
              <w:jc w:val="right"/>
              <w:rPr>
                <w:lang w:eastAsia="en-AU"/>
              </w:rPr>
            </w:pPr>
            <w:r w:rsidRPr="005B0796">
              <w:rPr>
                <w:lang w:eastAsia="en-AU"/>
              </w:rPr>
              <w:t>%</w:t>
            </w:r>
          </w:p>
        </w:tc>
        <w:tc>
          <w:tcPr>
            <w:tcW w:w="727" w:type="dxa"/>
            <w:hideMark/>
          </w:tcPr>
          <w:p w:rsidR="00157CE2" w:rsidRPr="005B0796" w:rsidRDefault="00157CE2" w:rsidP="003624B8">
            <w:pPr>
              <w:pStyle w:val="TableText"/>
              <w:jc w:val="right"/>
              <w:rPr>
                <w:lang w:eastAsia="en-AU"/>
              </w:rPr>
            </w:pPr>
            <w:r w:rsidRPr="005B0796">
              <w:rPr>
                <w:lang w:eastAsia="en-AU"/>
              </w:rPr>
              <w:t>95% CI</w:t>
            </w:r>
          </w:p>
        </w:tc>
      </w:tr>
      <w:tr w:rsidR="00157CE2" w:rsidRPr="005B0796" w:rsidTr="00D13778">
        <w:trPr>
          <w:cnfStyle w:val="000000100000" w:firstRow="0" w:lastRow="0" w:firstColumn="0" w:lastColumn="0" w:oddVBand="0" w:evenVBand="0" w:oddHBand="1" w:evenHBand="0" w:firstRowFirstColumn="0" w:firstRowLastColumn="0" w:lastRowFirstColumn="0" w:lastRowLastColumn="0"/>
        </w:trPr>
        <w:tc>
          <w:tcPr>
            <w:tcW w:w="1368" w:type="dxa"/>
            <w:hideMark/>
          </w:tcPr>
          <w:p w:rsidR="00157CE2" w:rsidRPr="005B0796" w:rsidRDefault="00157CE2" w:rsidP="003624B8">
            <w:pPr>
              <w:pStyle w:val="TableText"/>
              <w:rPr>
                <w:lang w:eastAsia="en-AU"/>
              </w:rPr>
            </w:pPr>
            <w:r w:rsidRPr="005B0796">
              <w:rPr>
                <w:lang w:eastAsia="en-AU"/>
              </w:rPr>
              <w:t>Depressive episodes</w:t>
            </w:r>
          </w:p>
        </w:tc>
        <w:tc>
          <w:tcPr>
            <w:tcW w:w="810" w:type="dxa"/>
            <w:noWrap/>
            <w:hideMark/>
          </w:tcPr>
          <w:p w:rsidR="00157CE2" w:rsidRPr="005B0796" w:rsidRDefault="00157CE2" w:rsidP="003624B8">
            <w:pPr>
              <w:pStyle w:val="TableText"/>
              <w:jc w:val="right"/>
              <w:rPr>
                <w:lang w:eastAsia="en-AU"/>
              </w:rPr>
            </w:pPr>
            <w:r w:rsidRPr="005B0796">
              <w:rPr>
                <w:lang w:eastAsia="en-AU"/>
              </w:rPr>
              <w:t>758</w:t>
            </w:r>
          </w:p>
        </w:tc>
        <w:tc>
          <w:tcPr>
            <w:tcW w:w="450" w:type="dxa"/>
            <w:hideMark/>
          </w:tcPr>
          <w:p w:rsidR="00157CE2" w:rsidRPr="005B0796" w:rsidRDefault="00157CE2" w:rsidP="003624B8">
            <w:pPr>
              <w:pStyle w:val="TableText"/>
              <w:jc w:val="right"/>
              <w:rPr>
                <w:lang w:eastAsia="en-AU"/>
              </w:rPr>
            </w:pPr>
            <w:r w:rsidRPr="005B0796">
              <w:rPr>
                <w:lang w:eastAsia="en-AU"/>
              </w:rPr>
              <w:t>13.4</w:t>
            </w:r>
          </w:p>
        </w:tc>
        <w:tc>
          <w:tcPr>
            <w:tcW w:w="722" w:type="dxa"/>
            <w:hideMark/>
          </w:tcPr>
          <w:p w:rsidR="00157CE2" w:rsidRPr="005B0796" w:rsidRDefault="00157CE2" w:rsidP="003624B8">
            <w:pPr>
              <w:pStyle w:val="TableText"/>
              <w:jc w:val="right"/>
              <w:rPr>
                <w:lang w:eastAsia="en-AU"/>
              </w:rPr>
            </w:pPr>
            <w:r w:rsidRPr="005B0796">
              <w:rPr>
                <w:lang w:eastAsia="en-AU"/>
              </w:rPr>
              <w:t>7.8, 22.1</w:t>
            </w:r>
          </w:p>
        </w:tc>
        <w:tc>
          <w:tcPr>
            <w:tcW w:w="808" w:type="dxa"/>
            <w:noWrap/>
            <w:hideMark/>
          </w:tcPr>
          <w:p w:rsidR="00157CE2" w:rsidRPr="005B0796" w:rsidRDefault="00157CE2" w:rsidP="003624B8">
            <w:pPr>
              <w:pStyle w:val="TableText"/>
              <w:jc w:val="right"/>
              <w:rPr>
                <w:lang w:eastAsia="en-AU"/>
              </w:rPr>
            </w:pPr>
            <w:r w:rsidRPr="005B0796">
              <w:rPr>
                <w:lang w:eastAsia="en-AU"/>
              </w:rPr>
              <w:t>1473</w:t>
            </w:r>
          </w:p>
        </w:tc>
        <w:tc>
          <w:tcPr>
            <w:tcW w:w="450" w:type="dxa"/>
            <w:hideMark/>
          </w:tcPr>
          <w:p w:rsidR="00157CE2" w:rsidRPr="005B0796" w:rsidRDefault="00157CE2" w:rsidP="003624B8">
            <w:pPr>
              <w:pStyle w:val="TableText"/>
              <w:jc w:val="right"/>
              <w:rPr>
                <w:lang w:eastAsia="en-AU"/>
              </w:rPr>
            </w:pPr>
            <w:r w:rsidRPr="005B0796">
              <w:rPr>
                <w:lang w:eastAsia="en-AU"/>
              </w:rPr>
              <w:t>9.8</w:t>
            </w:r>
          </w:p>
        </w:tc>
        <w:tc>
          <w:tcPr>
            <w:tcW w:w="724" w:type="dxa"/>
            <w:hideMark/>
          </w:tcPr>
          <w:p w:rsidR="00157CE2" w:rsidRPr="005B0796" w:rsidRDefault="00157CE2" w:rsidP="003624B8">
            <w:pPr>
              <w:pStyle w:val="TableText"/>
              <w:jc w:val="right"/>
              <w:rPr>
                <w:lang w:eastAsia="en-AU"/>
              </w:rPr>
            </w:pPr>
            <w:r w:rsidRPr="005B0796">
              <w:rPr>
                <w:lang w:eastAsia="en-AU"/>
              </w:rPr>
              <w:t>6.8, 13.9</w:t>
            </w:r>
          </w:p>
        </w:tc>
        <w:tc>
          <w:tcPr>
            <w:tcW w:w="806" w:type="dxa"/>
            <w:noWrap/>
            <w:hideMark/>
          </w:tcPr>
          <w:p w:rsidR="00157CE2" w:rsidRPr="005B0796" w:rsidRDefault="00157CE2" w:rsidP="003624B8">
            <w:pPr>
              <w:pStyle w:val="TableText"/>
              <w:jc w:val="right"/>
              <w:rPr>
                <w:lang w:eastAsia="en-AU"/>
              </w:rPr>
            </w:pPr>
            <w:r w:rsidRPr="005B0796">
              <w:rPr>
                <w:lang w:eastAsia="en-AU"/>
              </w:rPr>
              <w:t>551</w:t>
            </w:r>
          </w:p>
        </w:tc>
        <w:tc>
          <w:tcPr>
            <w:tcW w:w="450" w:type="dxa"/>
            <w:hideMark/>
          </w:tcPr>
          <w:p w:rsidR="00157CE2" w:rsidRPr="005B0796" w:rsidRDefault="00157CE2" w:rsidP="003624B8">
            <w:pPr>
              <w:pStyle w:val="TableText"/>
              <w:jc w:val="right"/>
              <w:rPr>
                <w:lang w:eastAsia="en-AU"/>
              </w:rPr>
            </w:pPr>
            <w:r w:rsidRPr="005B0796">
              <w:rPr>
                <w:lang w:eastAsia="en-AU"/>
              </w:rPr>
              <w:t>13.1</w:t>
            </w:r>
          </w:p>
        </w:tc>
        <w:tc>
          <w:tcPr>
            <w:tcW w:w="727" w:type="dxa"/>
            <w:hideMark/>
          </w:tcPr>
          <w:p w:rsidR="00157CE2" w:rsidRPr="005B0796" w:rsidRDefault="00157CE2" w:rsidP="003624B8">
            <w:pPr>
              <w:pStyle w:val="TableText"/>
              <w:jc w:val="right"/>
              <w:rPr>
                <w:lang w:eastAsia="en-AU"/>
              </w:rPr>
            </w:pPr>
            <w:r w:rsidRPr="005B0796">
              <w:rPr>
                <w:lang w:eastAsia="en-AU"/>
              </w:rPr>
              <w:t>8.0, 20.6</w:t>
            </w:r>
          </w:p>
        </w:tc>
      </w:tr>
      <w:tr w:rsidR="00157CE2" w:rsidRPr="005B0796" w:rsidTr="00D13778">
        <w:tc>
          <w:tcPr>
            <w:tcW w:w="1368" w:type="dxa"/>
            <w:hideMark/>
          </w:tcPr>
          <w:p w:rsidR="00157CE2" w:rsidRPr="005B0796" w:rsidRDefault="00157CE2" w:rsidP="003624B8">
            <w:pPr>
              <w:pStyle w:val="TableText"/>
              <w:rPr>
                <w:lang w:eastAsia="en-AU"/>
              </w:rPr>
            </w:pPr>
            <w:r w:rsidRPr="005B0796">
              <w:rPr>
                <w:lang w:eastAsia="en-AU"/>
              </w:rPr>
              <w:t>Dysthymia</w:t>
            </w:r>
          </w:p>
        </w:tc>
        <w:tc>
          <w:tcPr>
            <w:tcW w:w="810" w:type="dxa"/>
            <w:noWrap/>
            <w:hideMark/>
          </w:tcPr>
          <w:p w:rsidR="00157CE2" w:rsidRPr="005B0796" w:rsidRDefault="00157CE2" w:rsidP="003624B8">
            <w:pPr>
              <w:pStyle w:val="TableText"/>
              <w:jc w:val="right"/>
              <w:rPr>
                <w:lang w:eastAsia="en-AU"/>
              </w:rPr>
            </w:pPr>
            <w:r w:rsidRPr="005B0796">
              <w:rPr>
                <w:lang w:eastAsia="en-AU"/>
              </w:rPr>
              <w:t>338</w:t>
            </w:r>
          </w:p>
        </w:tc>
        <w:tc>
          <w:tcPr>
            <w:tcW w:w="450" w:type="dxa"/>
            <w:hideMark/>
          </w:tcPr>
          <w:p w:rsidR="00157CE2" w:rsidRPr="005B0796" w:rsidRDefault="00157CE2" w:rsidP="003624B8">
            <w:pPr>
              <w:pStyle w:val="TableText"/>
              <w:jc w:val="right"/>
              <w:rPr>
                <w:lang w:eastAsia="en-AU"/>
              </w:rPr>
            </w:pPr>
            <w:r w:rsidRPr="005B0796">
              <w:rPr>
                <w:lang w:eastAsia="en-AU"/>
              </w:rPr>
              <w:t>6.0</w:t>
            </w:r>
          </w:p>
        </w:tc>
        <w:tc>
          <w:tcPr>
            <w:tcW w:w="722" w:type="dxa"/>
            <w:hideMark/>
          </w:tcPr>
          <w:p w:rsidR="00157CE2" w:rsidRPr="005B0796" w:rsidRDefault="00157CE2" w:rsidP="003624B8">
            <w:pPr>
              <w:pStyle w:val="TableText"/>
              <w:jc w:val="right"/>
              <w:rPr>
                <w:lang w:eastAsia="en-AU"/>
              </w:rPr>
            </w:pPr>
            <w:r w:rsidRPr="005B0796">
              <w:rPr>
                <w:lang w:eastAsia="en-AU"/>
              </w:rPr>
              <w:t>3.0, 11.5</w:t>
            </w:r>
          </w:p>
        </w:tc>
        <w:tc>
          <w:tcPr>
            <w:tcW w:w="808" w:type="dxa"/>
            <w:noWrap/>
            <w:hideMark/>
          </w:tcPr>
          <w:p w:rsidR="00157CE2" w:rsidRPr="005B0796" w:rsidRDefault="00157CE2" w:rsidP="003624B8">
            <w:pPr>
              <w:pStyle w:val="TableText"/>
              <w:jc w:val="right"/>
              <w:rPr>
                <w:lang w:eastAsia="en-AU"/>
              </w:rPr>
            </w:pPr>
            <w:r w:rsidRPr="005B0796">
              <w:rPr>
                <w:lang w:eastAsia="en-AU"/>
              </w:rPr>
              <w:t>454</w:t>
            </w:r>
          </w:p>
        </w:tc>
        <w:tc>
          <w:tcPr>
            <w:tcW w:w="450" w:type="dxa"/>
            <w:hideMark/>
          </w:tcPr>
          <w:p w:rsidR="00157CE2" w:rsidRPr="005B0796" w:rsidRDefault="00157CE2" w:rsidP="003624B8">
            <w:pPr>
              <w:pStyle w:val="TableText"/>
              <w:jc w:val="right"/>
              <w:rPr>
                <w:lang w:eastAsia="en-AU"/>
              </w:rPr>
            </w:pPr>
            <w:r w:rsidRPr="005B0796">
              <w:rPr>
                <w:lang w:eastAsia="en-AU"/>
              </w:rPr>
              <w:t>3.0</w:t>
            </w:r>
          </w:p>
        </w:tc>
        <w:tc>
          <w:tcPr>
            <w:tcW w:w="724" w:type="dxa"/>
            <w:hideMark/>
          </w:tcPr>
          <w:p w:rsidR="00157CE2" w:rsidRPr="005B0796" w:rsidRDefault="00157CE2" w:rsidP="003624B8">
            <w:pPr>
              <w:pStyle w:val="TableText"/>
              <w:jc w:val="right"/>
              <w:rPr>
                <w:lang w:eastAsia="en-AU"/>
              </w:rPr>
            </w:pPr>
            <w:r w:rsidRPr="005B0796">
              <w:rPr>
                <w:lang w:eastAsia="en-AU"/>
              </w:rPr>
              <w:t>1.5, 5.9</w:t>
            </w:r>
          </w:p>
        </w:tc>
        <w:tc>
          <w:tcPr>
            <w:tcW w:w="806" w:type="dxa"/>
            <w:noWrap/>
            <w:hideMark/>
          </w:tcPr>
          <w:p w:rsidR="00157CE2" w:rsidRPr="005B0796" w:rsidRDefault="00157CE2" w:rsidP="003624B8">
            <w:pPr>
              <w:pStyle w:val="TableText"/>
              <w:jc w:val="right"/>
              <w:rPr>
                <w:lang w:eastAsia="en-AU"/>
              </w:rPr>
            </w:pPr>
            <w:r w:rsidRPr="005B0796">
              <w:rPr>
                <w:lang w:eastAsia="en-AU"/>
              </w:rPr>
              <w:t>348</w:t>
            </w:r>
          </w:p>
        </w:tc>
        <w:tc>
          <w:tcPr>
            <w:tcW w:w="450" w:type="dxa"/>
            <w:hideMark/>
          </w:tcPr>
          <w:p w:rsidR="00157CE2" w:rsidRPr="005B0796" w:rsidRDefault="00157CE2" w:rsidP="003624B8">
            <w:pPr>
              <w:pStyle w:val="TableText"/>
              <w:jc w:val="right"/>
              <w:rPr>
                <w:lang w:eastAsia="en-AU"/>
              </w:rPr>
            </w:pPr>
            <w:r w:rsidRPr="005B0796">
              <w:rPr>
                <w:lang w:eastAsia="en-AU"/>
              </w:rPr>
              <w:t>8.2</w:t>
            </w:r>
          </w:p>
        </w:tc>
        <w:tc>
          <w:tcPr>
            <w:tcW w:w="727" w:type="dxa"/>
            <w:hideMark/>
          </w:tcPr>
          <w:p w:rsidR="00157CE2" w:rsidRPr="005B0796" w:rsidRDefault="00157CE2" w:rsidP="003624B8">
            <w:pPr>
              <w:pStyle w:val="TableText"/>
              <w:jc w:val="right"/>
              <w:rPr>
                <w:lang w:eastAsia="en-AU"/>
              </w:rPr>
            </w:pPr>
            <w:r w:rsidRPr="005B0796">
              <w:rPr>
                <w:lang w:eastAsia="en-AU"/>
              </w:rPr>
              <w:t>4.1, 15.7</w:t>
            </w:r>
          </w:p>
        </w:tc>
      </w:tr>
      <w:tr w:rsidR="00157CE2" w:rsidRPr="005B0796" w:rsidTr="00D13778">
        <w:trPr>
          <w:cnfStyle w:val="000000100000" w:firstRow="0" w:lastRow="0" w:firstColumn="0" w:lastColumn="0" w:oddVBand="0" w:evenVBand="0" w:oddHBand="1" w:evenHBand="0" w:firstRowFirstColumn="0" w:firstRowLastColumn="0" w:lastRowFirstColumn="0" w:lastRowLastColumn="0"/>
        </w:trPr>
        <w:tc>
          <w:tcPr>
            <w:tcW w:w="1368" w:type="dxa"/>
            <w:hideMark/>
          </w:tcPr>
          <w:p w:rsidR="00157CE2" w:rsidRPr="005B0796" w:rsidRDefault="00157CE2" w:rsidP="003624B8">
            <w:pPr>
              <w:pStyle w:val="TableText"/>
              <w:rPr>
                <w:lang w:eastAsia="en-AU"/>
              </w:rPr>
            </w:pPr>
            <w:r w:rsidRPr="005B0796">
              <w:rPr>
                <w:lang w:eastAsia="en-AU"/>
              </w:rPr>
              <w:t>Bipolar affective disorder</w:t>
            </w:r>
          </w:p>
        </w:tc>
        <w:tc>
          <w:tcPr>
            <w:tcW w:w="810" w:type="dxa"/>
            <w:noWrap/>
            <w:hideMark/>
          </w:tcPr>
          <w:p w:rsidR="00157CE2" w:rsidRPr="005B0796" w:rsidRDefault="00157CE2" w:rsidP="003624B8">
            <w:pPr>
              <w:pStyle w:val="TableText"/>
              <w:jc w:val="right"/>
              <w:rPr>
                <w:lang w:eastAsia="en-AU"/>
              </w:rPr>
            </w:pPr>
            <w:r w:rsidRPr="005B0796">
              <w:rPr>
                <w:lang w:eastAsia="en-AU"/>
              </w:rPr>
              <w:t>386</w:t>
            </w:r>
          </w:p>
        </w:tc>
        <w:tc>
          <w:tcPr>
            <w:tcW w:w="450" w:type="dxa"/>
            <w:hideMark/>
          </w:tcPr>
          <w:p w:rsidR="00157CE2" w:rsidRPr="005B0796" w:rsidRDefault="00157CE2" w:rsidP="003624B8">
            <w:pPr>
              <w:pStyle w:val="TableText"/>
              <w:jc w:val="right"/>
              <w:rPr>
                <w:lang w:eastAsia="en-AU"/>
              </w:rPr>
            </w:pPr>
            <w:r w:rsidRPr="005B0796">
              <w:rPr>
                <w:lang w:eastAsia="en-AU"/>
              </w:rPr>
              <w:t>6.8</w:t>
            </w:r>
          </w:p>
        </w:tc>
        <w:tc>
          <w:tcPr>
            <w:tcW w:w="722" w:type="dxa"/>
            <w:hideMark/>
          </w:tcPr>
          <w:p w:rsidR="00157CE2" w:rsidRPr="005B0796" w:rsidRDefault="00157CE2" w:rsidP="003624B8">
            <w:pPr>
              <w:pStyle w:val="TableText"/>
              <w:jc w:val="right"/>
              <w:rPr>
                <w:lang w:eastAsia="en-AU"/>
              </w:rPr>
            </w:pPr>
            <w:r w:rsidRPr="005B0796">
              <w:rPr>
                <w:lang w:eastAsia="en-AU"/>
              </w:rPr>
              <w:t>2.9, 15.0</w:t>
            </w:r>
          </w:p>
        </w:tc>
        <w:tc>
          <w:tcPr>
            <w:tcW w:w="808" w:type="dxa"/>
            <w:noWrap/>
            <w:hideMark/>
          </w:tcPr>
          <w:p w:rsidR="00157CE2" w:rsidRPr="005B0796" w:rsidRDefault="00157CE2" w:rsidP="003624B8">
            <w:pPr>
              <w:pStyle w:val="TableText"/>
              <w:jc w:val="right"/>
              <w:rPr>
                <w:lang w:eastAsia="en-AU"/>
              </w:rPr>
            </w:pPr>
            <w:r w:rsidRPr="005B0796">
              <w:rPr>
                <w:lang w:eastAsia="en-AU"/>
              </w:rPr>
              <w:t>1847</w:t>
            </w:r>
          </w:p>
        </w:tc>
        <w:tc>
          <w:tcPr>
            <w:tcW w:w="450" w:type="dxa"/>
            <w:hideMark/>
          </w:tcPr>
          <w:p w:rsidR="00157CE2" w:rsidRPr="005B0796" w:rsidRDefault="00157CE2" w:rsidP="003624B8">
            <w:pPr>
              <w:pStyle w:val="TableText"/>
              <w:jc w:val="right"/>
              <w:rPr>
                <w:lang w:eastAsia="en-AU"/>
              </w:rPr>
            </w:pPr>
            <w:r w:rsidRPr="005B0796">
              <w:rPr>
                <w:lang w:eastAsia="en-AU"/>
              </w:rPr>
              <w:t>12.3</w:t>
            </w:r>
          </w:p>
        </w:tc>
        <w:tc>
          <w:tcPr>
            <w:tcW w:w="724" w:type="dxa"/>
            <w:hideMark/>
          </w:tcPr>
          <w:p w:rsidR="00157CE2" w:rsidRPr="005B0796" w:rsidRDefault="00157CE2" w:rsidP="003624B8">
            <w:pPr>
              <w:pStyle w:val="TableText"/>
              <w:jc w:val="right"/>
              <w:rPr>
                <w:lang w:eastAsia="en-AU"/>
              </w:rPr>
            </w:pPr>
            <w:r w:rsidRPr="005B0796">
              <w:rPr>
                <w:lang w:eastAsia="en-AU"/>
              </w:rPr>
              <w:t>8.2, 17.9</w:t>
            </w:r>
          </w:p>
        </w:tc>
        <w:tc>
          <w:tcPr>
            <w:tcW w:w="806" w:type="dxa"/>
            <w:noWrap/>
            <w:hideMark/>
          </w:tcPr>
          <w:p w:rsidR="00157CE2" w:rsidRPr="005B0796" w:rsidRDefault="00157CE2" w:rsidP="003624B8">
            <w:pPr>
              <w:pStyle w:val="TableText"/>
              <w:jc w:val="right"/>
              <w:rPr>
                <w:lang w:eastAsia="en-AU"/>
              </w:rPr>
            </w:pPr>
            <w:r w:rsidRPr="005B0796">
              <w:rPr>
                <w:lang w:eastAsia="en-AU"/>
              </w:rPr>
              <w:t>209</w:t>
            </w:r>
          </w:p>
        </w:tc>
        <w:tc>
          <w:tcPr>
            <w:tcW w:w="450" w:type="dxa"/>
            <w:hideMark/>
          </w:tcPr>
          <w:p w:rsidR="00157CE2" w:rsidRPr="005B0796" w:rsidRDefault="00157CE2" w:rsidP="003624B8">
            <w:pPr>
              <w:pStyle w:val="TableText"/>
              <w:jc w:val="right"/>
              <w:rPr>
                <w:lang w:eastAsia="en-AU"/>
              </w:rPr>
            </w:pPr>
            <w:r w:rsidRPr="005B0796">
              <w:rPr>
                <w:lang w:eastAsia="en-AU"/>
              </w:rPr>
              <w:t>5.0</w:t>
            </w:r>
          </w:p>
        </w:tc>
        <w:tc>
          <w:tcPr>
            <w:tcW w:w="727" w:type="dxa"/>
            <w:hideMark/>
          </w:tcPr>
          <w:p w:rsidR="00157CE2" w:rsidRPr="005B0796" w:rsidRDefault="00157CE2" w:rsidP="003624B8">
            <w:pPr>
              <w:pStyle w:val="TableText"/>
              <w:jc w:val="right"/>
              <w:rPr>
                <w:lang w:eastAsia="en-AU"/>
              </w:rPr>
            </w:pPr>
            <w:r w:rsidRPr="005B0796">
              <w:rPr>
                <w:lang w:eastAsia="en-AU"/>
              </w:rPr>
              <w:t>2.3, 10.5</w:t>
            </w:r>
          </w:p>
        </w:tc>
      </w:tr>
      <w:tr w:rsidR="00157CE2" w:rsidRPr="005B0796" w:rsidTr="00D13778">
        <w:tc>
          <w:tcPr>
            <w:tcW w:w="1368" w:type="dxa"/>
            <w:noWrap/>
            <w:hideMark/>
          </w:tcPr>
          <w:p w:rsidR="00157CE2" w:rsidRPr="005B0796" w:rsidRDefault="00157CE2" w:rsidP="003624B8">
            <w:pPr>
              <w:pStyle w:val="TableText"/>
              <w:rPr>
                <w:lang w:eastAsia="en-AU"/>
              </w:rPr>
            </w:pPr>
            <w:r w:rsidRPr="005B0796">
              <w:rPr>
                <w:lang w:eastAsia="en-AU"/>
              </w:rPr>
              <w:t>Any affective disorder</w:t>
            </w:r>
          </w:p>
        </w:tc>
        <w:tc>
          <w:tcPr>
            <w:tcW w:w="810" w:type="dxa"/>
            <w:noWrap/>
            <w:hideMark/>
          </w:tcPr>
          <w:p w:rsidR="00157CE2" w:rsidRPr="005B0796" w:rsidRDefault="00157CE2" w:rsidP="003624B8">
            <w:pPr>
              <w:pStyle w:val="TableText"/>
              <w:jc w:val="right"/>
              <w:rPr>
                <w:lang w:eastAsia="en-AU"/>
              </w:rPr>
            </w:pPr>
            <w:r w:rsidRPr="005B0796">
              <w:rPr>
                <w:lang w:eastAsia="en-AU"/>
              </w:rPr>
              <w:t>1309</w:t>
            </w:r>
          </w:p>
        </w:tc>
        <w:tc>
          <w:tcPr>
            <w:tcW w:w="450" w:type="dxa"/>
            <w:hideMark/>
          </w:tcPr>
          <w:p w:rsidR="00157CE2" w:rsidRPr="005B0796" w:rsidRDefault="00157CE2" w:rsidP="003624B8">
            <w:pPr>
              <w:pStyle w:val="TableText"/>
              <w:jc w:val="right"/>
              <w:rPr>
                <w:lang w:eastAsia="en-AU"/>
              </w:rPr>
            </w:pPr>
            <w:r w:rsidRPr="005B0796">
              <w:rPr>
                <w:lang w:eastAsia="en-AU"/>
              </w:rPr>
              <w:t>23.1</w:t>
            </w:r>
          </w:p>
        </w:tc>
        <w:tc>
          <w:tcPr>
            <w:tcW w:w="722" w:type="dxa"/>
            <w:hideMark/>
          </w:tcPr>
          <w:p w:rsidR="00157CE2" w:rsidRPr="005B0796" w:rsidRDefault="00157CE2" w:rsidP="003624B8">
            <w:pPr>
              <w:pStyle w:val="TableText"/>
              <w:jc w:val="right"/>
              <w:rPr>
                <w:lang w:eastAsia="en-AU"/>
              </w:rPr>
            </w:pPr>
            <w:r w:rsidRPr="005B0796">
              <w:rPr>
                <w:lang w:eastAsia="en-AU"/>
              </w:rPr>
              <w:t>15.5, 32.9</w:t>
            </w:r>
          </w:p>
        </w:tc>
        <w:tc>
          <w:tcPr>
            <w:tcW w:w="808" w:type="dxa"/>
            <w:noWrap/>
            <w:hideMark/>
          </w:tcPr>
          <w:p w:rsidR="00157CE2" w:rsidRPr="005B0796" w:rsidRDefault="00157CE2" w:rsidP="003624B8">
            <w:pPr>
              <w:pStyle w:val="TableText"/>
              <w:jc w:val="right"/>
              <w:rPr>
                <w:lang w:eastAsia="en-AU"/>
              </w:rPr>
            </w:pPr>
            <w:r w:rsidRPr="005B0796">
              <w:rPr>
                <w:lang w:eastAsia="en-AU"/>
              </w:rPr>
              <w:t>3577</w:t>
            </w:r>
          </w:p>
        </w:tc>
        <w:tc>
          <w:tcPr>
            <w:tcW w:w="450" w:type="dxa"/>
            <w:hideMark/>
          </w:tcPr>
          <w:p w:rsidR="00157CE2" w:rsidRPr="005B0796" w:rsidRDefault="00157CE2" w:rsidP="003624B8">
            <w:pPr>
              <w:pStyle w:val="TableText"/>
              <w:jc w:val="right"/>
              <w:rPr>
                <w:lang w:eastAsia="en-AU"/>
              </w:rPr>
            </w:pPr>
            <w:r w:rsidRPr="005B0796">
              <w:rPr>
                <w:lang w:eastAsia="en-AU"/>
              </w:rPr>
              <w:t>23.8</w:t>
            </w:r>
          </w:p>
        </w:tc>
        <w:tc>
          <w:tcPr>
            <w:tcW w:w="724" w:type="dxa"/>
            <w:hideMark/>
          </w:tcPr>
          <w:p w:rsidR="00157CE2" w:rsidRPr="005B0796" w:rsidRDefault="00157CE2" w:rsidP="003624B8">
            <w:pPr>
              <w:pStyle w:val="TableText"/>
              <w:jc w:val="right"/>
              <w:rPr>
                <w:lang w:eastAsia="en-AU"/>
              </w:rPr>
            </w:pPr>
            <w:r w:rsidRPr="005B0796">
              <w:rPr>
                <w:lang w:eastAsia="en-AU"/>
              </w:rPr>
              <w:t>18.5, 30.0</w:t>
            </w:r>
          </w:p>
        </w:tc>
        <w:tc>
          <w:tcPr>
            <w:tcW w:w="806" w:type="dxa"/>
            <w:noWrap/>
            <w:hideMark/>
          </w:tcPr>
          <w:p w:rsidR="00157CE2" w:rsidRPr="005B0796" w:rsidRDefault="00157CE2" w:rsidP="003624B8">
            <w:pPr>
              <w:pStyle w:val="TableText"/>
              <w:jc w:val="right"/>
              <w:rPr>
                <w:lang w:eastAsia="en-AU"/>
              </w:rPr>
            </w:pPr>
            <w:r w:rsidRPr="005B0796">
              <w:rPr>
                <w:lang w:eastAsia="en-AU"/>
              </w:rPr>
              <w:t>869</w:t>
            </w:r>
          </w:p>
        </w:tc>
        <w:tc>
          <w:tcPr>
            <w:tcW w:w="450" w:type="dxa"/>
            <w:hideMark/>
          </w:tcPr>
          <w:p w:rsidR="00157CE2" w:rsidRPr="005B0796" w:rsidRDefault="00157CE2" w:rsidP="003624B8">
            <w:pPr>
              <w:pStyle w:val="TableText"/>
              <w:jc w:val="right"/>
              <w:rPr>
                <w:lang w:eastAsia="en-AU"/>
              </w:rPr>
            </w:pPr>
            <w:r w:rsidRPr="005B0796">
              <w:rPr>
                <w:lang w:eastAsia="en-AU"/>
              </w:rPr>
              <w:t>20.6</w:t>
            </w:r>
          </w:p>
        </w:tc>
        <w:tc>
          <w:tcPr>
            <w:tcW w:w="727" w:type="dxa"/>
            <w:hideMark/>
          </w:tcPr>
          <w:p w:rsidR="00157CE2" w:rsidRPr="005B0796" w:rsidRDefault="00157CE2" w:rsidP="003624B8">
            <w:pPr>
              <w:pStyle w:val="TableText"/>
              <w:jc w:val="right"/>
              <w:rPr>
                <w:lang w:eastAsia="en-AU"/>
              </w:rPr>
            </w:pPr>
            <w:r w:rsidRPr="005B0796">
              <w:rPr>
                <w:lang w:eastAsia="en-AU"/>
              </w:rPr>
              <w:t>14.4, 28.6</w:t>
            </w:r>
          </w:p>
        </w:tc>
      </w:tr>
    </w:tbl>
    <w:p w:rsidR="00997E39" w:rsidRPr="005B0796" w:rsidRDefault="00997E39" w:rsidP="00997E39">
      <w:pPr>
        <w:pStyle w:val="TableNotes"/>
      </w:pPr>
      <w:bookmarkStart w:id="533" w:name="_Ref484519445"/>
      <w:bookmarkStart w:id="534" w:name="_Toc482023819"/>
      <w:bookmarkStart w:id="535" w:name="_Toc487014364"/>
      <w:r w:rsidRPr="005B0796">
        <w:t xml:space="preserve">Note: 95% CI: 95% </w:t>
      </w:r>
      <w:r w:rsidR="00564689" w:rsidRPr="005B0796">
        <w:t>confidence interval</w:t>
      </w:r>
    </w:p>
    <w:p w:rsidR="00997E39" w:rsidRPr="005B0796" w:rsidRDefault="00997E39" w:rsidP="00997E39">
      <w:pPr>
        <w:pStyle w:val="FigureName"/>
      </w:pPr>
      <w:bookmarkStart w:id="536" w:name="_Ref494279892"/>
      <w:bookmarkStart w:id="537" w:name="_Toc51190053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16</w:t>
      </w:r>
      <w:r w:rsidR="00D30A3C">
        <w:rPr>
          <w:noProof/>
        </w:rPr>
        <w:fldChar w:fldCharType="end"/>
      </w:r>
      <w:bookmarkEnd w:id="533"/>
      <w:bookmarkEnd w:id="534"/>
      <w:bookmarkEnd w:id="536"/>
      <w:r w:rsidRPr="005B0796">
        <w:tab/>
        <w:t>Estimated prevalence of 12-month ICD-10 affective disorders, by Service at time of transition from Regular ADF into Transitioned ADF</w:t>
      </w:r>
      <w:bookmarkEnd w:id="535"/>
      <w:bookmarkEnd w:id="537"/>
    </w:p>
    <w:tbl>
      <w:tblPr>
        <w:tblW w:w="5000" w:type="pct"/>
        <w:tblLayout w:type="fixed"/>
        <w:tblCellMar>
          <w:left w:w="115" w:type="dxa"/>
          <w:right w:w="115" w:type="dxa"/>
        </w:tblCellMar>
        <w:tblLook w:val="04A0" w:firstRow="1" w:lastRow="0" w:firstColumn="1" w:lastColumn="0" w:noHBand="0" w:noVBand="1"/>
      </w:tblPr>
      <w:tblGrid>
        <w:gridCol w:w="7329"/>
      </w:tblGrid>
      <w:tr w:rsidR="00157CE2" w:rsidRPr="005B0796" w:rsidTr="00360462">
        <w:trPr>
          <w:cantSplit/>
        </w:trPr>
        <w:tc>
          <w:tcPr>
            <w:tcW w:w="9711" w:type="dxa"/>
          </w:tcPr>
          <w:p w:rsidR="00157CE2" w:rsidRPr="005B0796" w:rsidRDefault="00157CE2" w:rsidP="0019239D">
            <w:pPr>
              <w:rPr>
                <w:rFonts w:cs="Calibri"/>
              </w:rPr>
            </w:pPr>
            <w:r w:rsidRPr="005B0796">
              <w:rPr>
                <w:noProof/>
                <w:lang w:eastAsia="en-AU"/>
              </w:rPr>
              <w:drawing>
                <wp:inline distT="0" distB="0" distL="0" distR="0" wp14:anchorId="372A1CF1" wp14:editId="65A524D0">
                  <wp:extent cx="4572000" cy="2743200"/>
                  <wp:effectExtent l="0" t="0" r="0" b="0"/>
                  <wp:docPr id="32" name="Chart 32" descr="Figure 4.16 Estimated prevalence of 12-month ICD-10 affective disorders, by Service at time of transition from Regular ADF into Transitioned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rsidR="00157CE2" w:rsidRPr="005B0796" w:rsidRDefault="00157CE2" w:rsidP="00360462">
      <w:pPr>
        <w:pStyle w:val="Heading4"/>
      </w:pPr>
      <w:r w:rsidRPr="005B0796">
        <w:t>Rank</w:t>
      </w:r>
    </w:p>
    <w:p w:rsidR="00157CE2" w:rsidRPr="005B0796" w:rsidRDefault="00157CE2" w:rsidP="00360462">
      <w:r w:rsidRPr="005B0796">
        <w:t xml:space="preserve">The estimated prevalence of </w:t>
      </w:r>
      <w:r w:rsidR="00462A0C" w:rsidRPr="005B0796">
        <w:t>‘</w:t>
      </w:r>
      <w:r w:rsidRPr="005B0796">
        <w:t>any 12-month ICD-10 affective disorder</w:t>
      </w:r>
      <w:r w:rsidR="00462A0C" w:rsidRPr="005B0796">
        <w:t>’</w:t>
      </w:r>
      <w:r w:rsidRPr="005B0796">
        <w:t xml:space="preserve"> was highest among Transitioned ADF members with a lower rank upon transition (28.0%, 95% CI 21.1, 36.2). Compared to Officers, Other Ranks were 2.4 times more likely to meet criteria for </w:t>
      </w:r>
      <w:r w:rsidR="00462A0C" w:rsidRPr="005B0796">
        <w:t>‘</w:t>
      </w:r>
      <w:r w:rsidRPr="005B0796">
        <w:t>any 12-month affective disorder</w:t>
      </w:r>
      <w:r w:rsidR="00462A0C" w:rsidRPr="005B0796">
        <w:t>’</w:t>
      </w:r>
      <w:r w:rsidRPr="005B0796">
        <w:t xml:space="preserve"> (OR 2.4, 95% CI 1.3, 4.6) and more than four times more likely to meet criteria for bipolar affective disorder (OR 4.5, 95% CI 1.6, 13.3). Other Ranks were also more likely to meet criteria for bipolar affective disorder compared to Non-Commissioned Officers (OR 2.8, 95% CI 1.1, 6.8) (</w:t>
      </w:r>
      <w:r w:rsidR="009E72D3" w:rsidRPr="005B0796">
        <w:t>Table 4.21</w:t>
      </w:r>
      <w:r w:rsidRPr="005B0796">
        <w:t xml:space="preserve"> and </w:t>
      </w:r>
      <w:r w:rsidR="009E72D3" w:rsidRPr="005B0796">
        <w:t>Figure 4.17</w:t>
      </w:r>
      <w:r w:rsidRPr="005B0796">
        <w:t>).</w:t>
      </w:r>
    </w:p>
    <w:p w:rsidR="00157CE2" w:rsidRPr="005B0796" w:rsidRDefault="00157CE2" w:rsidP="00360462">
      <w:r w:rsidRPr="005B0796">
        <w:t>Compared to Officers, Non-Commissioned Officers were one</w:t>
      </w:r>
      <w:r w:rsidR="00492B66">
        <w:t>-</w:t>
      </w:r>
      <w:r w:rsidRPr="005B0796">
        <w:t>and</w:t>
      </w:r>
      <w:r w:rsidR="00492B66">
        <w:t>-a-</w:t>
      </w:r>
      <w:r w:rsidRPr="005B0796">
        <w:t xml:space="preserve">half times more likely to meet criteria for depressive episodes (OR 1.6, 95% CI 1.0, 2.6), and 1.7 times more likely to meet 12-month criteria for any affective disorder (OR 1.7, 95% CI 1.1, 2.5). </w:t>
      </w:r>
    </w:p>
    <w:p w:rsidR="00997E39" w:rsidRPr="005B0796" w:rsidRDefault="00997E39" w:rsidP="00997E39">
      <w:pPr>
        <w:pStyle w:val="TableName"/>
      </w:pPr>
      <w:bookmarkStart w:id="538" w:name="_Ref484519528"/>
      <w:bookmarkStart w:id="539" w:name="_Toc482023773"/>
      <w:bookmarkStart w:id="540" w:name="_Toc487014272"/>
      <w:bookmarkStart w:id="541" w:name="_Toc492995575"/>
      <w:bookmarkStart w:id="542" w:name="_Toc51190042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21</w:t>
      </w:r>
      <w:r w:rsidR="00D30A3C">
        <w:rPr>
          <w:noProof/>
        </w:rPr>
        <w:fldChar w:fldCharType="end"/>
      </w:r>
      <w:bookmarkEnd w:id="538"/>
      <w:r w:rsidRPr="005B0796">
        <w:tab/>
      </w:r>
      <w:bookmarkEnd w:id="539"/>
      <w:r w:rsidRPr="005B0796">
        <w:t>Estimated prevalence of 12-month ICD-10 affective disorders, by rank at time of transition from Regular ADF into Transitioned ADF</w:t>
      </w:r>
      <w:bookmarkEnd w:id="540"/>
      <w:bookmarkEnd w:id="541"/>
      <w:bookmarkEnd w:id="542"/>
    </w:p>
    <w:tbl>
      <w:tblPr>
        <w:tblStyle w:val="TWRPTable"/>
        <w:tblW w:w="5000" w:type="pct"/>
        <w:tblLayout w:type="fixed"/>
        <w:tblLook w:val="04A0" w:firstRow="1" w:lastRow="0" w:firstColumn="1" w:lastColumn="0" w:noHBand="0" w:noVBand="1"/>
        <w:tblDescription w:val="Table 4.21 Estimated prevalence of 12-month ICD-10 affective disorders, by rank at time of transition from Regular ADF into Transitioned ADF"/>
      </w:tblPr>
      <w:tblGrid>
        <w:gridCol w:w="1098"/>
        <w:gridCol w:w="810"/>
        <w:gridCol w:w="540"/>
        <w:gridCol w:w="722"/>
        <w:gridCol w:w="808"/>
        <w:gridCol w:w="450"/>
        <w:gridCol w:w="814"/>
        <w:gridCol w:w="806"/>
        <w:gridCol w:w="450"/>
        <w:gridCol w:w="817"/>
      </w:tblGrid>
      <w:tr w:rsidR="00157CE2" w:rsidRPr="005B0796" w:rsidTr="00D13778">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Borders>
              <w:top w:val="single" w:sz="4" w:space="0" w:color="000000"/>
              <w:bottom w:val="nil"/>
            </w:tcBorders>
            <w:noWrap/>
            <w:hideMark/>
          </w:tcPr>
          <w:p w:rsidR="00157CE2" w:rsidRPr="005B0796" w:rsidRDefault="00157CE2" w:rsidP="00360462">
            <w:pPr>
              <w:pStyle w:val="TableText"/>
              <w:rPr>
                <w:lang w:eastAsia="en-AU"/>
              </w:rPr>
            </w:pPr>
          </w:p>
        </w:tc>
        <w:tc>
          <w:tcPr>
            <w:tcW w:w="6217" w:type="dxa"/>
            <w:gridSpan w:val="9"/>
            <w:noWrap/>
            <w:hideMark/>
          </w:tcPr>
          <w:p w:rsidR="00157CE2" w:rsidRPr="005B0796" w:rsidRDefault="00157CE2" w:rsidP="00360462">
            <w:pPr>
              <w:pStyle w:val="TableText"/>
              <w:jc w:val="center"/>
              <w:rPr>
                <w:lang w:eastAsia="en-AU"/>
              </w:rPr>
            </w:pPr>
            <w:r w:rsidRPr="005B0796">
              <w:rPr>
                <w:lang w:eastAsia="en-AU"/>
              </w:rPr>
              <w:t>Rank at transition</w:t>
            </w:r>
          </w:p>
        </w:tc>
      </w:tr>
      <w:tr w:rsidR="00157CE2" w:rsidRPr="005B0796" w:rsidTr="00D13778">
        <w:trPr>
          <w:cnfStyle w:val="100000000000" w:firstRow="1" w:lastRow="0" w:firstColumn="0" w:lastColumn="0" w:oddVBand="0" w:evenVBand="0" w:oddHBand="0" w:evenHBand="0" w:firstRowFirstColumn="0" w:firstRowLastColumn="0" w:lastRowFirstColumn="0" w:lastRowLastColumn="0"/>
          <w:tblHeader/>
        </w:trPr>
        <w:tc>
          <w:tcPr>
            <w:tcW w:w="1098" w:type="dxa"/>
            <w:vMerge/>
            <w:tcBorders>
              <w:top w:val="nil"/>
              <w:bottom w:val="nil"/>
            </w:tcBorders>
            <w:hideMark/>
          </w:tcPr>
          <w:p w:rsidR="00157CE2" w:rsidRPr="005B0796" w:rsidRDefault="00157CE2" w:rsidP="00360462">
            <w:pPr>
              <w:pStyle w:val="TableText"/>
              <w:rPr>
                <w:lang w:eastAsia="en-AU"/>
              </w:rPr>
            </w:pPr>
          </w:p>
        </w:tc>
        <w:tc>
          <w:tcPr>
            <w:tcW w:w="2072" w:type="dxa"/>
            <w:gridSpan w:val="3"/>
            <w:noWrap/>
            <w:hideMark/>
          </w:tcPr>
          <w:p w:rsidR="00157CE2" w:rsidRPr="005B0796" w:rsidRDefault="00157CE2" w:rsidP="00360462">
            <w:pPr>
              <w:pStyle w:val="TableText"/>
              <w:jc w:val="center"/>
              <w:rPr>
                <w:lang w:eastAsia="en-AU"/>
              </w:rPr>
            </w:pPr>
            <w:r w:rsidRPr="005B0796">
              <w:rPr>
                <w:lang w:eastAsia="en-AU"/>
              </w:rPr>
              <w:t>OFFR (n = 4063)</w:t>
            </w:r>
          </w:p>
        </w:tc>
        <w:tc>
          <w:tcPr>
            <w:tcW w:w="2072" w:type="dxa"/>
            <w:gridSpan w:val="3"/>
            <w:noWrap/>
            <w:hideMark/>
          </w:tcPr>
          <w:p w:rsidR="00157CE2" w:rsidRPr="005B0796" w:rsidRDefault="00157CE2" w:rsidP="00360462">
            <w:pPr>
              <w:pStyle w:val="TableText"/>
              <w:jc w:val="center"/>
              <w:rPr>
                <w:lang w:eastAsia="en-AU"/>
              </w:rPr>
            </w:pPr>
            <w:r w:rsidRPr="005B0796">
              <w:rPr>
                <w:lang w:eastAsia="en-AU"/>
              </w:rPr>
              <w:t>NCO (n = 7866)</w:t>
            </w:r>
          </w:p>
        </w:tc>
        <w:tc>
          <w:tcPr>
            <w:tcW w:w="2073" w:type="dxa"/>
            <w:gridSpan w:val="3"/>
            <w:noWrap/>
            <w:hideMark/>
          </w:tcPr>
          <w:p w:rsidR="00157CE2" w:rsidRPr="005B0796" w:rsidRDefault="00157CE2" w:rsidP="00360462">
            <w:pPr>
              <w:pStyle w:val="TableText"/>
              <w:jc w:val="center"/>
              <w:rPr>
                <w:lang w:eastAsia="en-AU"/>
              </w:rPr>
            </w:pPr>
            <w:r w:rsidRPr="005B0796">
              <w:rPr>
                <w:lang w:eastAsia="en-AU"/>
              </w:rPr>
              <w:t>Other Ranks (n = 13,003)</w:t>
            </w:r>
          </w:p>
        </w:tc>
      </w:tr>
      <w:tr w:rsidR="00157CE2" w:rsidRPr="005B0796" w:rsidTr="00D13778">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nil"/>
            </w:tcBorders>
            <w:noWrap/>
            <w:hideMark/>
          </w:tcPr>
          <w:p w:rsidR="00157CE2" w:rsidRPr="005B0796" w:rsidRDefault="00360462" w:rsidP="00360462">
            <w:pPr>
              <w:pStyle w:val="TableText"/>
              <w:rPr>
                <w:lang w:eastAsia="en-AU"/>
              </w:rPr>
            </w:pPr>
            <w:r w:rsidRPr="005B0796">
              <w:rPr>
                <w:lang w:eastAsia="en-AU"/>
              </w:rPr>
              <w:t xml:space="preserve">ICD-10 </w:t>
            </w:r>
            <w:r w:rsidR="00D13778" w:rsidRPr="005B0796">
              <w:rPr>
                <w:lang w:eastAsia="en-AU"/>
              </w:rPr>
              <w:t>affective disorder</w:t>
            </w:r>
          </w:p>
        </w:tc>
        <w:tc>
          <w:tcPr>
            <w:tcW w:w="810" w:type="dxa"/>
            <w:noWrap/>
            <w:hideMark/>
          </w:tcPr>
          <w:p w:rsidR="00157CE2" w:rsidRPr="005B0796" w:rsidRDefault="00157CE2" w:rsidP="00360462">
            <w:pPr>
              <w:pStyle w:val="TableText"/>
              <w:jc w:val="right"/>
              <w:rPr>
                <w:lang w:eastAsia="en-AU"/>
              </w:rPr>
            </w:pPr>
            <w:r w:rsidRPr="005B0796">
              <w:rPr>
                <w:lang w:eastAsia="en-AU"/>
              </w:rPr>
              <w:t>Weighted n</w:t>
            </w:r>
          </w:p>
        </w:tc>
        <w:tc>
          <w:tcPr>
            <w:tcW w:w="540" w:type="dxa"/>
            <w:hideMark/>
          </w:tcPr>
          <w:p w:rsidR="00157CE2" w:rsidRPr="005B0796" w:rsidRDefault="00157CE2" w:rsidP="00360462">
            <w:pPr>
              <w:pStyle w:val="TableText"/>
              <w:jc w:val="right"/>
              <w:rPr>
                <w:lang w:eastAsia="en-AU"/>
              </w:rPr>
            </w:pPr>
            <w:r w:rsidRPr="005B0796">
              <w:rPr>
                <w:lang w:eastAsia="en-AU"/>
              </w:rPr>
              <w:t>%</w:t>
            </w:r>
          </w:p>
        </w:tc>
        <w:tc>
          <w:tcPr>
            <w:tcW w:w="722" w:type="dxa"/>
            <w:hideMark/>
          </w:tcPr>
          <w:p w:rsidR="00157CE2" w:rsidRPr="005B0796" w:rsidRDefault="00157CE2" w:rsidP="00360462">
            <w:pPr>
              <w:pStyle w:val="TableText"/>
              <w:jc w:val="right"/>
              <w:rPr>
                <w:lang w:eastAsia="en-AU"/>
              </w:rPr>
            </w:pPr>
            <w:r w:rsidRPr="005B0796">
              <w:rPr>
                <w:lang w:eastAsia="en-AU"/>
              </w:rPr>
              <w:t>95% CI</w:t>
            </w:r>
          </w:p>
        </w:tc>
        <w:tc>
          <w:tcPr>
            <w:tcW w:w="808" w:type="dxa"/>
            <w:noWrap/>
            <w:hideMark/>
          </w:tcPr>
          <w:p w:rsidR="00157CE2" w:rsidRPr="005B0796" w:rsidRDefault="00157CE2" w:rsidP="00360462">
            <w:pPr>
              <w:pStyle w:val="TableText"/>
              <w:jc w:val="right"/>
              <w:rPr>
                <w:lang w:eastAsia="en-AU"/>
              </w:rPr>
            </w:pPr>
            <w:r w:rsidRPr="005B0796">
              <w:rPr>
                <w:lang w:eastAsia="en-AU"/>
              </w:rPr>
              <w:t>Weighted n</w:t>
            </w:r>
          </w:p>
        </w:tc>
        <w:tc>
          <w:tcPr>
            <w:tcW w:w="450" w:type="dxa"/>
            <w:hideMark/>
          </w:tcPr>
          <w:p w:rsidR="00157CE2" w:rsidRPr="005B0796" w:rsidRDefault="00157CE2" w:rsidP="00360462">
            <w:pPr>
              <w:pStyle w:val="TableText"/>
              <w:jc w:val="right"/>
              <w:rPr>
                <w:lang w:eastAsia="en-AU"/>
              </w:rPr>
            </w:pPr>
            <w:r w:rsidRPr="005B0796">
              <w:rPr>
                <w:lang w:eastAsia="en-AU"/>
              </w:rPr>
              <w:t>%</w:t>
            </w:r>
          </w:p>
        </w:tc>
        <w:tc>
          <w:tcPr>
            <w:tcW w:w="814" w:type="dxa"/>
            <w:hideMark/>
          </w:tcPr>
          <w:p w:rsidR="00157CE2" w:rsidRPr="005B0796" w:rsidRDefault="00157CE2" w:rsidP="00360462">
            <w:pPr>
              <w:pStyle w:val="TableText"/>
              <w:jc w:val="right"/>
              <w:rPr>
                <w:lang w:eastAsia="en-AU"/>
              </w:rPr>
            </w:pPr>
            <w:r w:rsidRPr="005B0796">
              <w:rPr>
                <w:lang w:eastAsia="en-AU"/>
              </w:rPr>
              <w:t>95% CI</w:t>
            </w:r>
          </w:p>
        </w:tc>
        <w:tc>
          <w:tcPr>
            <w:tcW w:w="806" w:type="dxa"/>
            <w:noWrap/>
            <w:hideMark/>
          </w:tcPr>
          <w:p w:rsidR="00157CE2" w:rsidRPr="005B0796" w:rsidRDefault="00157CE2" w:rsidP="00360462">
            <w:pPr>
              <w:pStyle w:val="TableText"/>
              <w:jc w:val="right"/>
              <w:rPr>
                <w:lang w:eastAsia="en-AU"/>
              </w:rPr>
            </w:pPr>
            <w:r w:rsidRPr="005B0796">
              <w:rPr>
                <w:lang w:eastAsia="en-AU"/>
              </w:rPr>
              <w:t>Weighted n</w:t>
            </w:r>
          </w:p>
        </w:tc>
        <w:tc>
          <w:tcPr>
            <w:tcW w:w="450" w:type="dxa"/>
            <w:hideMark/>
          </w:tcPr>
          <w:p w:rsidR="00157CE2" w:rsidRPr="005B0796" w:rsidRDefault="00157CE2" w:rsidP="00360462">
            <w:pPr>
              <w:pStyle w:val="TableText"/>
              <w:jc w:val="right"/>
              <w:rPr>
                <w:lang w:eastAsia="en-AU"/>
              </w:rPr>
            </w:pPr>
            <w:r w:rsidRPr="005B0796">
              <w:rPr>
                <w:lang w:eastAsia="en-AU"/>
              </w:rPr>
              <w:t>%</w:t>
            </w:r>
          </w:p>
        </w:tc>
        <w:tc>
          <w:tcPr>
            <w:tcW w:w="817" w:type="dxa"/>
            <w:hideMark/>
          </w:tcPr>
          <w:p w:rsidR="00157CE2" w:rsidRPr="005B0796" w:rsidRDefault="00157CE2" w:rsidP="00360462">
            <w:pPr>
              <w:pStyle w:val="TableText"/>
              <w:jc w:val="right"/>
              <w:rPr>
                <w:lang w:eastAsia="en-AU"/>
              </w:rPr>
            </w:pPr>
            <w:r w:rsidRPr="005B0796">
              <w:rPr>
                <w:lang w:eastAsia="en-AU"/>
              </w:rPr>
              <w:t>95% CI</w:t>
            </w:r>
          </w:p>
        </w:tc>
      </w:tr>
      <w:tr w:rsidR="00157CE2" w:rsidRPr="005B0796" w:rsidTr="00D13778">
        <w:trPr>
          <w:cnfStyle w:val="000000100000" w:firstRow="0" w:lastRow="0" w:firstColumn="0" w:lastColumn="0" w:oddVBand="0" w:evenVBand="0" w:oddHBand="1" w:evenHBand="0" w:firstRowFirstColumn="0" w:firstRowLastColumn="0" w:lastRowFirstColumn="0" w:lastRowLastColumn="0"/>
        </w:trPr>
        <w:tc>
          <w:tcPr>
            <w:tcW w:w="1098" w:type="dxa"/>
            <w:hideMark/>
          </w:tcPr>
          <w:p w:rsidR="00157CE2" w:rsidRPr="005B0796" w:rsidRDefault="00157CE2" w:rsidP="00360462">
            <w:pPr>
              <w:pStyle w:val="TableText"/>
              <w:rPr>
                <w:lang w:eastAsia="en-AU"/>
              </w:rPr>
            </w:pPr>
            <w:r w:rsidRPr="005B0796">
              <w:rPr>
                <w:lang w:eastAsia="en-AU"/>
              </w:rPr>
              <w:t>Depressive episodes</w:t>
            </w:r>
            <w:r w:rsidRPr="005B0796">
              <w:rPr>
                <w:vertAlign w:val="superscript"/>
                <w:lang w:eastAsia="en-AU"/>
              </w:rPr>
              <w:t>a</w:t>
            </w:r>
          </w:p>
        </w:tc>
        <w:tc>
          <w:tcPr>
            <w:tcW w:w="810" w:type="dxa"/>
            <w:noWrap/>
            <w:hideMark/>
          </w:tcPr>
          <w:p w:rsidR="00157CE2" w:rsidRPr="005B0796" w:rsidRDefault="00157CE2" w:rsidP="00360462">
            <w:pPr>
              <w:pStyle w:val="TableText"/>
              <w:jc w:val="right"/>
              <w:rPr>
                <w:lang w:eastAsia="en-AU"/>
              </w:rPr>
            </w:pPr>
            <w:r w:rsidRPr="005B0796">
              <w:rPr>
                <w:lang w:eastAsia="en-AU"/>
              </w:rPr>
              <w:t>348</w:t>
            </w:r>
          </w:p>
        </w:tc>
        <w:tc>
          <w:tcPr>
            <w:tcW w:w="540" w:type="dxa"/>
            <w:hideMark/>
          </w:tcPr>
          <w:p w:rsidR="00157CE2" w:rsidRPr="005B0796" w:rsidRDefault="00157CE2" w:rsidP="00360462">
            <w:pPr>
              <w:pStyle w:val="TableText"/>
              <w:jc w:val="right"/>
              <w:rPr>
                <w:lang w:eastAsia="en-AU"/>
              </w:rPr>
            </w:pPr>
            <w:r w:rsidRPr="005B0796">
              <w:rPr>
                <w:lang w:eastAsia="en-AU"/>
              </w:rPr>
              <w:t>8.6</w:t>
            </w:r>
          </w:p>
        </w:tc>
        <w:tc>
          <w:tcPr>
            <w:tcW w:w="722" w:type="dxa"/>
            <w:hideMark/>
          </w:tcPr>
          <w:p w:rsidR="00157CE2" w:rsidRPr="005B0796" w:rsidRDefault="00157CE2" w:rsidP="00360462">
            <w:pPr>
              <w:pStyle w:val="TableText"/>
              <w:jc w:val="right"/>
              <w:rPr>
                <w:lang w:eastAsia="en-AU"/>
              </w:rPr>
            </w:pPr>
            <w:r w:rsidRPr="005B0796">
              <w:rPr>
                <w:lang w:eastAsia="en-AU"/>
              </w:rPr>
              <w:t>6.0, 12.1</w:t>
            </w:r>
          </w:p>
        </w:tc>
        <w:tc>
          <w:tcPr>
            <w:tcW w:w="808" w:type="dxa"/>
            <w:noWrap/>
            <w:hideMark/>
          </w:tcPr>
          <w:p w:rsidR="00157CE2" w:rsidRPr="005B0796" w:rsidRDefault="00157CE2" w:rsidP="00360462">
            <w:pPr>
              <w:pStyle w:val="TableText"/>
              <w:jc w:val="right"/>
              <w:rPr>
                <w:lang w:eastAsia="en-AU"/>
              </w:rPr>
            </w:pPr>
            <w:r w:rsidRPr="005B0796">
              <w:rPr>
                <w:lang w:eastAsia="en-AU"/>
              </w:rPr>
              <w:t>1034</w:t>
            </w:r>
          </w:p>
        </w:tc>
        <w:tc>
          <w:tcPr>
            <w:tcW w:w="450" w:type="dxa"/>
            <w:hideMark/>
          </w:tcPr>
          <w:p w:rsidR="00157CE2" w:rsidRPr="005B0796" w:rsidRDefault="00157CE2" w:rsidP="00360462">
            <w:pPr>
              <w:pStyle w:val="TableText"/>
              <w:jc w:val="right"/>
              <w:rPr>
                <w:lang w:eastAsia="en-AU"/>
              </w:rPr>
            </w:pPr>
            <w:r w:rsidRPr="005B0796">
              <w:rPr>
                <w:lang w:eastAsia="en-AU"/>
              </w:rPr>
              <w:t>13.1</w:t>
            </w:r>
          </w:p>
        </w:tc>
        <w:tc>
          <w:tcPr>
            <w:tcW w:w="814" w:type="dxa"/>
            <w:hideMark/>
          </w:tcPr>
          <w:p w:rsidR="00157CE2" w:rsidRPr="005B0796" w:rsidRDefault="00157CE2" w:rsidP="00360462">
            <w:pPr>
              <w:pStyle w:val="TableText"/>
              <w:jc w:val="right"/>
              <w:rPr>
                <w:lang w:eastAsia="en-AU"/>
              </w:rPr>
            </w:pPr>
            <w:r w:rsidRPr="005B0796">
              <w:rPr>
                <w:lang w:eastAsia="en-AU"/>
              </w:rPr>
              <w:t>10.4, 16.5</w:t>
            </w:r>
          </w:p>
        </w:tc>
        <w:tc>
          <w:tcPr>
            <w:tcW w:w="806" w:type="dxa"/>
            <w:noWrap/>
            <w:hideMark/>
          </w:tcPr>
          <w:p w:rsidR="00157CE2" w:rsidRPr="005B0796" w:rsidRDefault="00157CE2" w:rsidP="00360462">
            <w:pPr>
              <w:pStyle w:val="TableText"/>
              <w:jc w:val="right"/>
              <w:rPr>
                <w:lang w:eastAsia="en-AU"/>
              </w:rPr>
            </w:pPr>
            <w:r w:rsidRPr="005B0796">
              <w:rPr>
                <w:lang w:eastAsia="en-AU"/>
              </w:rPr>
              <w:t>1401</w:t>
            </w:r>
          </w:p>
        </w:tc>
        <w:tc>
          <w:tcPr>
            <w:tcW w:w="450" w:type="dxa"/>
            <w:hideMark/>
          </w:tcPr>
          <w:p w:rsidR="00157CE2" w:rsidRPr="005B0796" w:rsidRDefault="00157CE2" w:rsidP="00360462">
            <w:pPr>
              <w:pStyle w:val="TableText"/>
              <w:jc w:val="right"/>
              <w:rPr>
                <w:lang w:eastAsia="en-AU"/>
              </w:rPr>
            </w:pPr>
            <w:r w:rsidRPr="005B0796">
              <w:rPr>
                <w:lang w:eastAsia="en-AU"/>
              </w:rPr>
              <w:t>10.8</w:t>
            </w:r>
          </w:p>
        </w:tc>
        <w:tc>
          <w:tcPr>
            <w:tcW w:w="817" w:type="dxa"/>
            <w:hideMark/>
          </w:tcPr>
          <w:p w:rsidR="00157CE2" w:rsidRPr="005B0796" w:rsidRDefault="00157CE2" w:rsidP="00360462">
            <w:pPr>
              <w:pStyle w:val="TableText"/>
              <w:jc w:val="right"/>
              <w:rPr>
                <w:lang w:eastAsia="en-AU"/>
              </w:rPr>
            </w:pPr>
            <w:r w:rsidRPr="005B0796">
              <w:rPr>
                <w:lang w:eastAsia="en-AU"/>
              </w:rPr>
              <w:t>6.6, 17.0</w:t>
            </w:r>
          </w:p>
        </w:tc>
      </w:tr>
      <w:tr w:rsidR="00157CE2" w:rsidRPr="005B0796" w:rsidTr="00D13778">
        <w:tc>
          <w:tcPr>
            <w:tcW w:w="1098" w:type="dxa"/>
            <w:hideMark/>
          </w:tcPr>
          <w:p w:rsidR="00157CE2" w:rsidRPr="005B0796" w:rsidRDefault="00157CE2" w:rsidP="00360462">
            <w:pPr>
              <w:pStyle w:val="TableText"/>
              <w:rPr>
                <w:lang w:eastAsia="en-AU"/>
              </w:rPr>
            </w:pPr>
            <w:r w:rsidRPr="005B0796">
              <w:rPr>
                <w:lang w:eastAsia="en-AU"/>
              </w:rPr>
              <w:t>Dysthymia</w:t>
            </w:r>
          </w:p>
        </w:tc>
        <w:tc>
          <w:tcPr>
            <w:tcW w:w="810" w:type="dxa"/>
            <w:noWrap/>
            <w:hideMark/>
          </w:tcPr>
          <w:p w:rsidR="00157CE2" w:rsidRPr="005B0796" w:rsidRDefault="00157CE2" w:rsidP="00360462">
            <w:pPr>
              <w:pStyle w:val="TableText"/>
              <w:jc w:val="right"/>
              <w:rPr>
                <w:lang w:eastAsia="en-AU"/>
              </w:rPr>
            </w:pPr>
            <w:r w:rsidRPr="005B0796">
              <w:rPr>
                <w:lang w:eastAsia="en-AU"/>
              </w:rPr>
              <w:t>146</w:t>
            </w:r>
          </w:p>
        </w:tc>
        <w:tc>
          <w:tcPr>
            <w:tcW w:w="540" w:type="dxa"/>
            <w:hideMark/>
          </w:tcPr>
          <w:p w:rsidR="00157CE2" w:rsidRPr="005B0796" w:rsidRDefault="00157CE2" w:rsidP="00360462">
            <w:pPr>
              <w:pStyle w:val="TableText"/>
              <w:jc w:val="right"/>
              <w:rPr>
                <w:lang w:eastAsia="en-AU"/>
              </w:rPr>
            </w:pPr>
            <w:r w:rsidRPr="005B0796">
              <w:rPr>
                <w:lang w:eastAsia="en-AU"/>
              </w:rPr>
              <w:t>3.6</w:t>
            </w:r>
          </w:p>
        </w:tc>
        <w:tc>
          <w:tcPr>
            <w:tcW w:w="722" w:type="dxa"/>
            <w:hideMark/>
          </w:tcPr>
          <w:p w:rsidR="00157CE2" w:rsidRPr="005B0796" w:rsidRDefault="00157CE2" w:rsidP="00360462">
            <w:pPr>
              <w:pStyle w:val="TableText"/>
              <w:jc w:val="right"/>
              <w:rPr>
                <w:lang w:eastAsia="en-AU"/>
              </w:rPr>
            </w:pPr>
            <w:r w:rsidRPr="005B0796">
              <w:rPr>
                <w:lang w:eastAsia="en-AU"/>
              </w:rPr>
              <w:t>2.0, 6.3</w:t>
            </w:r>
          </w:p>
        </w:tc>
        <w:tc>
          <w:tcPr>
            <w:tcW w:w="808" w:type="dxa"/>
            <w:noWrap/>
            <w:hideMark/>
          </w:tcPr>
          <w:p w:rsidR="00157CE2" w:rsidRPr="005B0796" w:rsidRDefault="00157CE2" w:rsidP="00360462">
            <w:pPr>
              <w:pStyle w:val="TableText"/>
              <w:jc w:val="right"/>
              <w:rPr>
                <w:lang w:eastAsia="en-AU"/>
              </w:rPr>
            </w:pPr>
            <w:r w:rsidRPr="005B0796">
              <w:rPr>
                <w:lang w:eastAsia="en-AU"/>
              </w:rPr>
              <w:t>461</w:t>
            </w:r>
          </w:p>
        </w:tc>
        <w:tc>
          <w:tcPr>
            <w:tcW w:w="450" w:type="dxa"/>
            <w:hideMark/>
          </w:tcPr>
          <w:p w:rsidR="00157CE2" w:rsidRPr="005B0796" w:rsidRDefault="00157CE2" w:rsidP="00360462">
            <w:pPr>
              <w:pStyle w:val="TableText"/>
              <w:jc w:val="right"/>
              <w:rPr>
                <w:lang w:eastAsia="en-AU"/>
              </w:rPr>
            </w:pPr>
            <w:r w:rsidRPr="005B0796">
              <w:rPr>
                <w:lang w:eastAsia="en-AU"/>
              </w:rPr>
              <w:t>5.9</w:t>
            </w:r>
          </w:p>
        </w:tc>
        <w:tc>
          <w:tcPr>
            <w:tcW w:w="814" w:type="dxa"/>
            <w:hideMark/>
          </w:tcPr>
          <w:p w:rsidR="00157CE2" w:rsidRPr="005B0796" w:rsidRDefault="00157CE2" w:rsidP="00360462">
            <w:pPr>
              <w:pStyle w:val="TableText"/>
              <w:jc w:val="right"/>
              <w:rPr>
                <w:lang w:eastAsia="en-AU"/>
              </w:rPr>
            </w:pPr>
            <w:r w:rsidRPr="005B0796">
              <w:rPr>
                <w:lang w:eastAsia="en-AU"/>
              </w:rPr>
              <w:t>4.0, 8.5</w:t>
            </w:r>
          </w:p>
        </w:tc>
        <w:tc>
          <w:tcPr>
            <w:tcW w:w="806" w:type="dxa"/>
            <w:noWrap/>
            <w:hideMark/>
          </w:tcPr>
          <w:p w:rsidR="00157CE2" w:rsidRPr="005B0796" w:rsidRDefault="00157CE2" w:rsidP="00360462">
            <w:pPr>
              <w:pStyle w:val="TableText"/>
              <w:jc w:val="right"/>
              <w:rPr>
                <w:lang w:eastAsia="en-AU"/>
              </w:rPr>
            </w:pPr>
            <w:r w:rsidRPr="005B0796">
              <w:rPr>
                <w:lang w:eastAsia="en-AU"/>
              </w:rPr>
              <w:t>532</w:t>
            </w:r>
          </w:p>
        </w:tc>
        <w:tc>
          <w:tcPr>
            <w:tcW w:w="450" w:type="dxa"/>
            <w:hideMark/>
          </w:tcPr>
          <w:p w:rsidR="00157CE2" w:rsidRPr="005B0796" w:rsidRDefault="00157CE2" w:rsidP="00360462">
            <w:pPr>
              <w:pStyle w:val="TableText"/>
              <w:jc w:val="right"/>
              <w:rPr>
                <w:lang w:eastAsia="en-AU"/>
              </w:rPr>
            </w:pPr>
            <w:r w:rsidRPr="005B0796">
              <w:rPr>
                <w:lang w:eastAsia="en-AU"/>
              </w:rPr>
              <w:t>4.1</w:t>
            </w:r>
          </w:p>
        </w:tc>
        <w:tc>
          <w:tcPr>
            <w:tcW w:w="817" w:type="dxa"/>
            <w:hideMark/>
          </w:tcPr>
          <w:p w:rsidR="00157CE2" w:rsidRPr="005B0796" w:rsidRDefault="00157CE2" w:rsidP="00360462">
            <w:pPr>
              <w:pStyle w:val="TableText"/>
              <w:jc w:val="right"/>
              <w:rPr>
                <w:lang w:eastAsia="en-AU"/>
              </w:rPr>
            </w:pPr>
            <w:r w:rsidRPr="005B0796">
              <w:rPr>
                <w:lang w:eastAsia="en-AU"/>
              </w:rPr>
              <w:t>1.9, 8.6</w:t>
            </w:r>
          </w:p>
        </w:tc>
      </w:tr>
      <w:tr w:rsidR="00157CE2" w:rsidRPr="005B0796" w:rsidTr="00D13778">
        <w:trPr>
          <w:cnfStyle w:val="000000100000" w:firstRow="0" w:lastRow="0" w:firstColumn="0" w:lastColumn="0" w:oddVBand="0" w:evenVBand="0" w:oddHBand="1" w:evenHBand="0" w:firstRowFirstColumn="0" w:firstRowLastColumn="0" w:lastRowFirstColumn="0" w:lastRowLastColumn="0"/>
        </w:trPr>
        <w:tc>
          <w:tcPr>
            <w:tcW w:w="1098" w:type="dxa"/>
            <w:hideMark/>
          </w:tcPr>
          <w:p w:rsidR="00157CE2" w:rsidRPr="005B0796" w:rsidRDefault="00157CE2" w:rsidP="00360462">
            <w:pPr>
              <w:pStyle w:val="TableText"/>
              <w:rPr>
                <w:lang w:eastAsia="en-AU"/>
              </w:rPr>
            </w:pPr>
            <w:r w:rsidRPr="005B0796">
              <w:rPr>
                <w:lang w:eastAsia="en-AU"/>
              </w:rPr>
              <w:t>Bipolar affective disorder</w:t>
            </w:r>
            <w:r w:rsidRPr="005B0796">
              <w:rPr>
                <w:vertAlign w:val="superscript"/>
                <w:lang w:eastAsia="en-AU"/>
              </w:rPr>
              <w:t>b</w:t>
            </w:r>
          </w:p>
        </w:tc>
        <w:tc>
          <w:tcPr>
            <w:tcW w:w="810" w:type="dxa"/>
            <w:noWrap/>
            <w:hideMark/>
          </w:tcPr>
          <w:p w:rsidR="00157CE2" w:rsidRPr="005B0796" w:rsidRDefault="00157CE2" w:rsidP="00360462">
            <w:pPr>
              <w:pStyle w:val="TableText"/>
              <w:jc w:val="right"/>
              <w:rPr>
                <w:lang w:eastAsia="en-AU"/>
              </w:rPr>
            </w:pPr>
            <w:r w:rsidRPr="005B0796">
              <w:rPr>
                <w:lang w:eastAsia="en-AU"/>
              </w:rPr>
              <w:t>141</w:t>
            </w:r>
          </w:p>
        </w:tc>
        <w:tc>
          <w:tcPr>
            <w:tcW w:w="540" w:type="dxa"/>
            <w:hideMark/>
          </w:tcPr>
          <w:p w:rsidR="00157CE2" w:rsidRPr="005B0796" w:rsidRDefault="00157CE2" w:rsidP="00360462">
            <w:pPr>
              <w:pStyle w:val="TableText"/>
              <w:jc w:val="right"/>
              <w:rPr>
                <w:lang w:eastAsia="en-AU"/>
              </w:rPr>
            </w:pPr>
            <w:r w:rsidRPr="005B0796">
              <w:rPr>
                <w:lang w:eastAsia="en-AU"/>
              </w:rPr>
              <w:t>3.5</w:t>
            </w:r>
          </w:p>
        </w:tc>
        <w:tc>
          <w:tcPr>
            <w:tcW w:w="722" w:type="dxa"/>
            <w:hideMark/>
          </w:tcPr>
          <w:p w:rsidR="00157CE2" w:rsidRPr="005B0796" w:rsidRDefault="00157CE2" w:rsidP="00360462">
            <w:pPr>
              <w:pStyle w:val="TableText"/>
              <w:jc w:val="right"/>
              <w:rPr>
                <w:lang w:eastAsia="en-AU"/>
              </w:rPr>
            </w:pPr>
            <w:r w:rsidRPr="005B0796">
              <w:rPr>
                <w:lang w:eastAsia="en-AU"/>
              </w:rPr>
              <w:t>2.0, 6.0</w:t>
            </w:r>
          </w:p>
        </w:tc>
        <w:tc>
          <w:tcPr>
            <w:tcW w:w="808" w:type="dxa"/>
            <w:noWrap/>
            <w:hideMark/>
          </w:tcPr>
          <w:p w:rsidR="00157CE2" w:rsidRPr="005B0796" w:rsidRDefault="00157CE2" w:rsidP="00360462">
            <w:pPr>
              <w:pStyle w:val="TableText"/>
              <w:jc w:val="right"/>
              <w:rPr>
                <w:lang w:eastAsia="en-AU"/>
              </w:rPr>
            </w:pPr>
            <w:r w:rsidRPr="005B0796">
              <w:rPr>
                <w:lang w:eastAsia="en-AU"/>
              </w:rPr>
              <w:t>447</w:t>
            </w:r>
          </w:p>
        </w:tc>
        <w:tc>
          <w:tcPr>
            <w:tcW w:w="450" w:type="dxa"/>
            <w:hideMark/>
          </w:tcPr>
          <w:p w:rsidR="00157CE2" w:rsidRPr="005B0796" w:rsidRDefault="00157CE2" w:rsidP="00360462">
            <w:pPr>
              <w:pStyle w:val="TableText"/>
              <w:jc w:val="right"/>
              <w:rPr>
                <w:lang w:eastAsia="en-AU"/>
              </w:rPr>
            </w:pPr>
            <w:r w:rsidRPr="005B0796">
              <w:rPr>
                <w:lang w:eastAsia="en-AU"/>
              </w:rPr>
              <w:t>5.7</w:t>
            </w:r>
          </w:p>
        </w:tc>
        <w:tc>
          <w:tcPr>
            <w:tcW w:w="814" w:type="dxa"/>
            <w:hideMark/>
          </w:tcPr>
          <w:p w:rsidR="00157CE2" w:rsidRPr="005B0796" w:rsidRDefault="00157CE2" w:rsidP="00360462">
            <w:pPr>
              <w:pStyle w:val="TableText"/>
              <w:jc w:val="right"/>
              <w:rPr>
                <w:lang w:eastAsia="en-AU"/>
              </w:rPr>
            </w:pPr>
            <w:r w:rsidRPr="005B0796">
              <w:rPr>
                <w:lang w:eastAsia="en-AU"/>
              </w:rPr>
              <w:t>4.0, 8.0</w:t>
            </w:r>
          </w:p>
        </w:tc>
        <w:tc>
          <w:tcPr>
            <w:tcW w:w="806" w:type="dxa"/>
            <w:noWrap/>
            <w:hideMark/>
          </w:tcPr>
          <w:p w:rsidR="00157CE2" w:rsidRPr="005B0796" w:rsidRDefault="00157CE2" w:rsidP="00360462">
            <w:pPr>
              <w:pStyle w:val="TableText"/>
              <w:jc w:val="right"/>
              <w:rPr>
                <w:lang w:eastAsia="en-AU"/>
              </w:rPr>
            </w:pPr>
            <w:r w:rsidRPr="005B0796">
              <w:rPr>
                <w:lang w:eastAsia="en-AU"/>
              </w:rPr>
              <w:t>1855</w:t>
            </w:r>
          </w:p>
        </w:tc>
        <w:tc>
          <w:tcPr>
            <w:tcW w:w="450" w:type="dxa"/>
            <w:hideMark/>
          </w:tcPr>
          <w:p w:rsidR="00157CE2" w:rsidRPr="005B0796" w:rsidRDefault="00157CE2" w:rsidP="00360462">
            <w:pPr>
              <w:pStyle w:val="TableText"/>
              <w:jc w:val="right"/>
              <w:rPr>
                <w:lang w:eastAsia="en-AU"/>
              </w:rPr>
            </w:pPr>
            <w:r w:rsidRPr="005B0796">
              <w:rPr>
                <w:lang w:eastAsia="en-AU"/>
              </w:rPr>
              <w:t>14.3</w:t>
            </w:r>
          </w:p>
        </w:tc>
        <w:tc>
          <w:tcPr>
            <w:tcW w:w="817" w:type="dxa"/>
            <w:hideMark/>
          </w:tcPr>
          <w:p w:rsidR="00157CE2" w:rsidRPr="005B0796" w:rsidRDefault="00157CE2" w:rsidP="00360462">
            <w:pPr>
              <w:pStyle w:val="TableText"/>
              <w:jc w:val="right"/>
              <w:rPr>
                <w:lang w:eastAsia="en-AU"/>
              </w:rPr>
            </w:pPr>
            <w:r w:rsidRPr="005B0796">
              <w:rPr>
                <w:lang w:eastAsia="en-AU"/>
              </w:rPr>
              <w:t>9.2, 21.4</w:t>
            </w:r>
          </w:p>
        </w:tc>
      </w:tr>
      <w:tr w:rsidR="00157CE2" w:rsidRPr="005B0796" w:rsidTr="00D13778">
        <w:tc>
          <w:tcPr>
            <w:tcW w:w="1098" w:type="dxa"/>
            <w:noWrap/>
            <w:hideMark/>
          </w:tcPr>
          <w:p w:rsidR="00157CE2" w:rsidRPr="005B0796" w:rsidRDefault="00157CE2" w:rsidP="00360462">
            <w:pPr>
              <w:pStyle w:val="TableText"/>
              <w:rPr>
                <w:lang w:eastAsia="en-AU"/>
              </w:rPr>
            </w:pPr>
            <w:r w:rsidRPr="005B0796">
              <w:rPr>
                <w:lang w:eastAsia="en-AU"/>
              </w:rPr>
              <w:t>Any affective disorder</w:t>
            </w:r>
            <w:r w:rsidRPr="005B0796">
              <w:rPr>
                <w:vertAlign w:val="superscript"/>
                <w:lang w:eastAsia="en-AU"/>
              </w:rPr>
              <w:t>c</w:t>
            </w:r>
          </w:p>
        </w:tc>
        <w:tc>
          <w:tcPr>
            <w:tcW w:w="810" w:type="dxa"/>
            <w:noWrap/>
            <w:hideMark/>
          </w:tcPr>
          <w:p w:rsidR="00157CE2" w:rsidRPr="005B0796" w:rsidRDefault="00157CE2" w:rsidP="00360462">
            <w:pPr>
              <w:pStyle w:val="TableText"/>
              <w:jc w:val="right"/>
              <w:rPr>
                <w:lang w:eastAsia="en-AU"/>
              </w:rPr>
            </w:pPr>
            <w:r w:rsidRPr="005B0796">
              <w:rPr>
                <w:lang w:eastAsia="en-AU"/>
              </w:rPr>
              <w:t>531</w:t>
            </w:r>
          </w:p>
        </w:tc>
        <w:tc>
          <w:tcPr>
            <w:tcW w:w="540" w:type="dxa"/>
            <w:hideMark/>
          </w:tcPr>
          <w:p w:rsidR="00157CE2" w:rsidRPr="005B0796" w:rsidRDefault="00157CE2" w:rsidP="00360462">
            <w:pPr>
              <w:pStyle w:val="TableText"/>
              <w:jc w:val="right"/>
              <w:rPr>
                <w:lang w:eastAsia="en-AU"/>
              </w:rPr>
            </w:pPr>
            <w:r w:rsidRPr="005B0796">
              <w:rPr>
                <w:lang w:eastAsia="en-AU"/>
              </w:rPr>
              <w:t>13.1</w:t>
            </w:r>
          </w:p>
        </w:tc>
        <w:tc>
          <w:tcPr>
            <w:tcW w:w="722" w:type="dxa"/>
            <w:hideMark/>
          </w:tcPr>
          <w:p w:rsidR="00157CE2" w:rsidRPr="005B0796" w:rsidRDefault="00157CE2" w:rsidP="00360462">
            <w:pPr>
              <w:pStyle w:val="TableText"/>
              <w:jc w:val="right"/>
              <w:rPr>
                <w:lang w:eastAsia="en-AU"/>
              </w:rPr>
            </w:pPr>
            <w:r w:rsidRPr="005B0796">
              <w:rPr>
                <w:lang w:eastAsia="en-AU"/>
              </w:rPr>
              <w:t>9.9, 17.1</w:t>
            </w:r>
          </w:p>
        </w:tc>
        <w:tc>
          <w:tcPr>
            <w:tcW w:w="808" w:type="dxa"/>
            <w:noWrap/>
            <w:hideMark/>
          </w:tcPr>
          <w:p w:rsidR="00157CE2" w:rsidRPr="005B0796" w:rsidRDefault="00157CE2" w:rsidP="00360462">
            <w:pPr>
              <w:pStyle w:val="TableText"/>
              <w:jc w:val="right"/>
              <w:rPr>
                <w:lang w:eastAsia="en-AU"/>
              </w:rPr>
            </w:pPr>
            <w:r w:rsidRPr="005B0796">
              <w:rPr>
                <w:lang w:eastAsia="en-AU"/>
              </w:rPr>
              <w:t>1582</w:t>
            </w:r>
          </w:p>
        </w:tc>
        <w:tc>
          <w:tcPr>
            <w:tcW w:w="450" w:type="dxa"/>
            <w:hideMark/>
          </w:tcPr>
          <w:p w:rsidR="00157CE2" w:rsidRPr="005B0796" w:rsidRDefault="00157CE2" w:rsidP="00360462">
            <w:pPr>
              <w:pStyle w:val="TableText"/>
              <w:jc w:val="right"/>
              <w:rPr>
                <w:lang w:eastAsia="en-AU"/>
              </w:rPr>
            </w:pPr>
            <w:r w:rsidRPr="005B0796">
              <w:rPr>
                <w:lang w:eastAsia="en-AU"/>
              </w:rPr>
              <w:t>20.1</w:t>
            </w:r>
          </w:p>
        </w:tc>
        <w:tc>
          <w:tcPr>
            <w:tcW w:w="814" w:type="dxa"/>
            <w:hideMark/>
          </w:tcPr>
          <w:p w:rsidR="00157CE2" w:rsidRPr="005B0796" w:rsidRDefault="00157CE2" w:rsidP="00360462">
            <w:pPr>
              <w:pStyle w:val="TableText"/>
              <w:jc w:val="right"/>
              <w:rPr>
                <w:lang w:eastAsia="en-AU"/>
              </w:rPr>
            </w:pPr>
            <w:r w:rsidRPr="005B0796">
              <w:rPr>
                <w:lang w:eastAsia="en-AU"/>
              </w:rPr>
              <w:t>16.8, 23.9</w:t>
            </w:r>
          </w:p>
        </w:tc>
        <w:tc>
          <w:tcPr>
            <w:tcW w:w="806" w:type="dxa"/>
            <w:noWrap/>
            <w:hideMark/>
          </w:tcPr>
          <w:p w:rsidR="00157CE2" w:rsidRPr="005B0796" w:rsidRDefault="00157CE2" w:rsidP="00360462">
            <w:pPr>
              <w:pStyle w:val="TableText"/>
              <w:jc w:val="right"/>
              <w:rPr>
                <w:lang w:eastAsia="en-AU"/>
              </w:rPr>
            </w:pPr>
            <w:r w:rsidRPr="005B0796">
              <w:rPr>
                <w:lang w:eastAsia="en-AU"/>
              </w:rPr>
              <w:t>3642</w:t>
            </w:r>
          </w:p>
        </w:tc>
        <w:tc>
          <w:tcPr>
            <w:tcW w:w="450" w:type="dxa"/>
            <w:hideMark/>
          </w:tcPr>
          <w:p w:rsidR="00157CE2" w:rsidRPr="005B0796" w:rsidRDefault="00157CE2" w:rsidP="00360462">
            <w:pPr>
              <w:pStyle w:val="TableText"/>
              <w:jc w:val="right"/>
              <w:rPr>
                <w:lang w:eastAsia="en-AU"/>
              </w:rPr>
            </w:pPr>
            <w:r w:rsidRPr="005B0796">
              <w:rPr>
                <w:lang w:eastAsia="en-AU"/>
              </w:rPr>
              <w:t>28.0</w:t>
            </w:r>
          </w:p>
        </w:tc>
        <w:tc>
          <w:tcPr>
            <w:tcW w:w="817" w:type="dxa"/>
            <w:hideMark/>
          </w:tcPr>
          <w:p w:rsidR="00157CE2" w:rsidRPr="005B0796" w:rsidRDefault="00157CE2" w:rsidP="00360462">
            <w:pPr>
              <w:pStyle w:val="TableText"/>
              <w:jc w:val="right"/>
              <w:rPr>
                <w:lang w:eastAsia="en-AU"/>
              </w:rPr>
            </w:pPr>
            <w:r w:rsidRPr="005B0796">
              <w:rPr>
                <w:lang w:eastAsia="en-AU"/>
              </w:rPr>
              <w:t>21.1, 36.2</w:t>
            </w:r>
          </w:p>
        </w:tc>
      </w:tr>
    </w:tbl>
    <w:p w:rsidR="00997E39" w:rsidRPr="005B0796" w:rsidRDefault="00997E39" w:rsidP="00997E39">
      <w:pPr>
        <w:pStyle w:val="TableNotes"/>
      </w:pPr>
      <w:bookmarkStart w:id="543" w:name="_Ref486415555"/>
      <w:bookmarkStart w:id="544" w:name="_Toc487014365"/>
      <w:r w:rsidRPr="005B0796">
        <w:rPr>
          <w:vertAlign w:val="superscript"/>
        </w:rPr>
        <w:t>a</w:t>
      </w:r>
      <w:r w:rsidRPr="005B0796">
        <w:t xml:space="preserve"> NCO vs OFFR: OR 1.6, 95% CI 1.0, 2.6</w:t>
      </w:r>
    </w:p>
    <w:p w:rsidR="00997E39" w:rsidRPr="005B0796" w:rsidRDefault="00997E39" w:rsidP="00997E39">
      <w:pPr>
        <w:pStyle w:val="TableNotes"/>
      </w:pPr>
      <w:r w:rsidRPr="005B0796">
        <w:rPr>
          <w:vertAlign w:val="superscript"/>
        </w:rPr>
        <w:t>b</w:t>
      </w:r>
      <w:r w:rsidRPr="005B0796">
        <w:t xml:space="preserve"> Other Ranks vs OFFR: OR 4.5, 95% CI 1.6, 13.3; Other Ranks vs NCO: OR 2.8, 95% CI 1.1, 6.8 </w:t>
      </w:r>
    </w:p>
    <w:p w:rsidR="00997E39" w:rsidRPr="005B0796" w:rsidRDefault="00997E39" w:rsidP="00997E39">
      <w:pPr>
        <w:pStyle w:val="TableNotes"/>
      </w:pPr>
      <w:r w:rsidRPr="005B0796">
        <w:rPr>
          <w:vertAlign w:val="superscript"/>
        </w:rPr>
        <w:t>c</w:t>
      </w:r>
      <w:r w:rsidRPr="005B0796">
        <w:t xml:space="preserve"> Other Ranks vs OFFR: OR 2.4, 95% CI 1.3, 4.6; NCO vs OFFR: OR 1.7, 95% CI 1.1, 2.5 </w:t>
      </w:r>
    </w:p>
    <w:p w:rsidR="00997E39" w:rsidRPr="005B0796" w:rsidRDefault="00997E39" w:rsidP="00997E39">
      <w:pPr>
        <w:pStyle w:val="TableNotes"/>
        <w:rPr>
          <w:rFonts w:cs="Calibri"/>
          <w:bCs/>
        </w:rPr>
      </w:pPr>
      <w:r w:rsidRPr="005B0796">
        <w:rPr>
          <w:rFonts w:cs="Calibri"/>
          <w:bCs/>
        </w:rPr>
        <w:t xml:space="preserve">Note: 95% CI: 95% </w:t>
      </w:r>
      <w:r w:rsidR="00564689" w:rsidRPr="005B0796">
        <w:rPr>
          <w:rFonts w:cs="Calibri"/>
          <w:bCs/>
        </w:rPr>
        <w:t>confidence interval</w:t>
      </w:r>
    </w:p>
    <w:p w:rsidR="00157CE2" w:rsidRPr="005B0796" w:rsidRDefault="00997E39" w:rsidP="00997E39">
      <w:pPr>
        <w:pStyle w:val="FigureName"/>
      </w:pPr>
      <w:bookmarkStart w:id="545" w:name="_Ref494279957"/>
      <w:bookmarkStart w:id="546" w:name="_Toc51190053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17</w:t>
      </w:r>
      <w:r w:rsidR="00D30A3C">
        <w:rPr>
          <w:noProof/>
        </w:rPr>
        <w:fldChar w:fldCharType="end"/>
      </w:r>
      <w:bookmarkEnd w:id="543"/>
      <w:bookmarkEnd w:id="545"/>
      <w:r w:rsidRPr="005B0796">
        <w:tab/>
        <w:t>Estimated prevalence of 12-month ICD-10 affective disorders, by rank at time of transition from Regular ADF into Transitioned ADF</w:t>
      </w:r>
      <w:bookmarkEnd w:id="544"/>
      <w:bookmarkEnd w:id="546"/>
    </w:p>
    <w:tbl>
      <w:tblPr>
        <w:tblW w:w="5000" w:type="pct"/>
        <w:tblLayout w:type="fixed"/>
        <w:tblCellMar>
          <w:left w:w="115" w:type="dxa"/>
          <w:right w:w="115" w:type="dxa"/>
        </w:tblCellMar>
        <w:tblLook w:val="04A0" w:firstRow="1" w:lastRow="0" w:firstColumn="1" w:lastColumn="0" w:noHBand="0" w:noVBand="1"/>
      </w:tblPr>
      <w:tblGrid>
        <w:gridCol w:w="7329"/>
      </w:tblGrid>
      <w:tr w:rsidR="00157CE2" w:rsidRPr="005B0796" w:rsidTr="00360462">
        <w:trPr>
          <w:cantSplit/>
        </w:trPr>
        <w:tc>
          <w:tcPr>
            <w:tcW w:w="7315" w:type="dxa"/>
          </w:tcPr>
          <w:p w:rsidR="00157CE2" w:rsidRPr="005B0796" w:rsidRDefault="00157CE2" w:rsidP="00360462">
            <w:pPr>
              <w:keepNext/>
              <w:rPr>
                <w:rFonts w:cs="Calibri"/>
              </w:rPr>
            </w:pPr>
            <w:r w:rsidRPr="005B0796">
              <w:rPr>
                <w:noProof/>
                <w:lang w:eastAsia="en-AU"/>
              </w:rPr>
              <w:drawing>
                <wp:inline distT="0" distB="0" distL="0" distR="0" wp14:anchorId="0B82228C" wp14:editId="1A740651">
                  <wp:extent cx="4572000" cy="2743200"/>
                  <wp:effectExtent l="0" t="0" r="0" b="0"/>
                  <wp:docPr id="34" name="Chart 34" descr="Figure 4.17 Estimated prevalence of 12-month ICD-10 affective disorders, by rank at time of transition from Regular ADF into Transitioned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rsidR="00997E39" w:rsidRPr="005B0796" w:rsidRDefault="00997E39" w:rsidP="00997E39">
      <w:pPr>
        <w:pStyle w:val="TableNotes"/>
      </w:pPr>
      <w:bookmarkStart w:id="547" w:name="_Ref484519514"/>
      <w:bookmarkStart w:id="548" w:name="_Toc482023820"/>
      <w:r w:rsidRPr="005B0796">
        <w:t>Depressive episodes: NCO vs OFFR: OR 1.6, 95% CI 1.0, 2.6</w:t>
      </w:r>
    </w:p>
    <w:p w:rsidR="00997E39" w:rsidRPr="005B0796" w:rsidRDefault="00997E39" w:rsidP="00997E39">
      <w:pPr>
        <w:pStyle w:val="TableNotes"/>
      </w:pPr>
      <w:r w:rsidRPr="005B0796">
        <w:t xml:space="preserve">Bipolar affective disorder: Other Ranks vs OFFR: OR 4.5, 95% CI 1.6, 13.3; Other Ranks vs NCO: OR 2.8, 95% CI 1.1, 6.8 </w:t>
      </w:r>
    </w:p>
    <w:p w:rsidR="00997E39" w:rsidRPr="005B0796" w:rsidRDefault="00997E39" w:rsidP="00997E39">
      <w:pPr>
        <w:pStyle w:val="TableNotes"/>
      </w:pPr>
      <w:r w:rsidRPr="005B0796">
        <w:t>Any affective disorder: Other Ranks vs OFFR: OR 2.4, 95% CI 1.3, 4.6; NCO vs OFFR: OR 1.7, 95% CI 1.1, 2.5</w:t>
      </w:r>
      <w:bookmarkEnd w:id="547"/>
      <w:bookmarkEnd w:id="548"/>
    </w:p>
    <w:p w:rsidR="00157CE2" w:rsidRPr="005B0796" w:rsidRDefault="00157CE2" w:rsidP="00360462">
      <w:pPr>
        <w:pStyle w:val="Heading4"/>
        <w:rPr>
          <w:rFonts w:eastAsia="Times New Roman"/>
          <w:szCs w:val="22"/>
        </w:rPr>
      </w:pPr>
      <w:r w:rsidRPr="005B0796">
        <w:t>Deployment</w:t>
      </w:r>
    </w:p>
    <w:p w:rsidR="00157CE2" w:rsidRPr="005B0796" w:rsidRDefault="009E72D3" w:rsidP="00D13778">
      <w:pPr>
        <w:keepLines/>
      </w:pPr>
      <w:r w:rsidRPr="005B0796">
        <w:t>Table 4.22</w:t>
      </w:r>
      <w:r w:rsidR="00157CE2" w:rsidRPr="005B0796">
        <w:t xml:space="preserve"> and </w:t>
      </w:r>
      <w:r w:rsidRPr="005B0796">
        <w:t>Figure 4.18</w:t>
      </w:r>
      <w:r w:rsidR="00157CE2" w:rsidRPr="005B0796">
        <w:t xml:space="preserve"> show the estimated prevalence of any 12-month ICD-10 affective disorder according to deployment status. Rates for each affective disorder and </w:t>
      </w:r>
      <w:r w:rsidR="00462A0C" w:rsidRPr="005B0796">
        <w:t>‘</w:t>
      </w:r>
      <w:r w:rsidR="00157CE2" w:rsidRPr="005B0796">
        <w:t>any affective disorder</w:t>
      </w:r>
      <w:r w:rsidR="00462A0C" w:rsidRPr="005B0796">
        <w:t>’</w:t>
      </w:r>
      <w:r w:rsidR="00157CE2" w:rsidRPr="005B0796">
        <w:t xml:space="preserve"> were similar across the </w:t>
      </w:r>
      <w:r w:rsidR="00462A0C" w:rsidRPr="005B0796">
        <w:t>‘</w:t>
      </w:r>
      <w:r w:rsidR="00157CE2" w:rsidRPr="005B0796">
        <w:t>ever deployed</w:t>
      </w:r>
      <w:r w:rsidR="00462A0C" w:rsidRPr="005B0796">
        <w:t>’</w:t>
      </w:r>
      <w:r w:rsidR="00157CE2" w:rsidRPr="005B0796">
        <w:t xml:space="preserve"> and </w:t>
      </w:r>
      <w:r w:rsidR="00462A0C" w:rsidRPr="005B0796">
        <w:t>‘</w:t>
      </w:r>
      <w:r w:rsidR="00157CE2" w:rsidRPr="005B0796">
        <w:t>never deployed</w:t>
      </w:r>
      <w:r w:rsidR="00462A0C" w:rsidRPr="005B0796">
        <w:t>’</w:t>
      </w:r>
      <w:r w:rsidR="00157CE2" w:rsidRPr="005B0796">
        <w:t xml:space="preserve"> groups, except for dysthymia. Dysthymia was significantly more prevalent among those who been deployed during their career than those who had not (</w:t>
      </w:r>
      <w:r w:rsidR="00157CE2" w:rsidRPr="005B0796">
        <w:rPr>
          <w:color w:val="000000" w:themeColor="text1"/>
        </w:rPr>
        <w:t xml:space="preserve">OR 7.3, 95% CI 1.6, 34.6). As </w:t>
      </w:r>
      <w:r w:rsidR="00157CE2" w:rsidRPr="005B0796">
        <w:t>dysthymia is a relatively low</w:t>
      </w:r>
      <w:r w:rsidR="00492B66">
        <w:t>-</w:t>
      </w:r>
      <w:r w:rsidR="00157CE2" w:rsidRPr="005B0796">
        <w:t>prevalence mental disorder, the confidence intervals for this estimate are quite wide, and the result should be interpreted with caution.</w:t>
      </w:r>
    </w:p>
    <w:p w:rsidR="00997E39" w:rsidRPr="005B0796" w:rsidRDefault="00997E39" w:rsidP="00997E39">
      <w:pPr>
        <w:pStyle w:val="TableName"/>
      </w:pPr>
      <w:bookmarkStart w:id="549" w:name="_Ref484519554"/>
      <w:bookmarkStart w:id="550" w:name="_Toc482023774"/>
      <w:bookmarkStart w:id="551" w:name="_Toc487014273"/>
      <w:bookmarkStart w:id="552" w:name="_Toc492995576"/>
      <w:bookmarkStart w:id="553" w:name="_Toc51190042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22</w:t>
      </w:r>
      <w:r w:rsidR="00D30A3C">
        <w:rPr>
          <w:noProof/>
        </w:rPr>
        <w:fldChar w:fldCharType="end"/>
      </w:r>
      <w:bookmarkEnd w:id="549"/>
      <w:r w:rsidRPr="005B0796">
        <w:tab/>
        <w:t>Estimated prevalence of 12-month ICD-10 affective disorders in Transitioned ADF</w:t>
      </w:r>
      <w:r w:rsidR="00492B66">
        <w:t>,</w:t>
      </w:r>
      <w:r w:rsidRPr="005B0796">
        <w:t xml:space="preserve"> by affective disorder type and deployment status</w:t>
      </w:r>
      <w:bookmarkEnd w:id="550"/>
      <w:bookmarkEnd w:id="551"/>
      <w:bookmarkEnd w:id="552"/>
      <w:bookmarkEnd w:id="553"/>
    </w:p>
    <w:tbl>
      <w:tblPr>
        <w:tblStyle w:val="TWRPTable"/>
        <w:tblW w:w="5000" w:type="pct"/>
        <w:tblLayout w:type="fixed"/>
        <w:tblLook w:val="04A0" w:firstRow="1" w:lastRow="0" w:firstColumn="1" w:lastColumn="0" w:noHBand="0" w:noVBand="1"/>
        <w:tblDescription w:val="Table 4.22 Estimated prevalence of 12-month ICD-10 affective disorders in Transitioned ADF by affective disorder type and deployment status"/>
      </w:tblPr>
      <w:tblGrid>
        <w:gridCol w:w="1908"/>
        <w:gridCol w:w="901"/>
        <w:gridCol w:w="901"/>
        <w:gridCol w:w="901"/>
        <w:gridCol w:w="901"/>
        <w:gridCol w:w="901"/>
        <w:gridCol w:w="902"/>
      </w:tblGrid>
      <w:tr w:rsidR="00157CE2" w:rsidRPr="005B0796" w:rsidTr="00360462">
        <w:trPr>
          <w:cnfStyle w:val="100000000000" w:firstRow="1" w:lastRow="0" w:firstColumn="0" w:lastColumn="0" w:oddVBand="0" w:evenVBand="0" w:oddHBand="0" w:evenHBand="0" w:firstRowFirstColumn="0" w:firstRowLastColumn="0" w:lastRowFirstColumn="0" w:lastRowLastColumn="0"/>
          <w:tblHeader/>
        </w:trPr>
        <w:tc>
          <w:tcPr>
            <w:tcW w:w="1908" w:type="dxa"/>
            <w:tcBorders>
              <w:bottom w:val="nil"/>
            </w:tcBorders>
          </w:tcPr>
          <w:p w:rsidR="00157CE2" w:rsidRPr="005B0796" w:rsidRDefault="00157CE2" w:rsidP="00360462">
            <w:pPr>
              <w:pStyle w:val="TableText"/>
              <w:rPr>
                <w:lang w:eastAsia="en-AU"/>
              </w:rPr>
            </w:pPr>
          </w:p>
        </w:tc>
        <w:tc>
          <w:tcPr>
            <w:tcW w:w="5407" w:type="dxa"/>
            <w:gridSpan w:val="6"/>
            <w:hideMark/>
          </w:tcPr>
          <w:p w:rsidR="00157CE2" w:rsidRPr="005B0796" w:rsidRDefault="00157CE2" w:rsidP="00360462">
            <w:pPr>
              <w:pStyle w:val="TableText"/>
              <w:jc w:val="center"/>
              <w:rPr>
                <w:lang w:eastAsia="en-AU"/>
              </w:rPr>
            </w:pPr>
            <w:r w:rsidRPr="005B0796">
              <w:rPr>
                <w:lang w:eastAsia="en-AU"/>
              </w:rPr>
              <w:t>Deployment status</w:t>
            </w:r>
          </w:p>
        </w:tc>
      </w:tr>
      <w:tr w:rsidR="00157CE2" w:rsidRPr="005B0796" w:rsidTr="003604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bottom w:val="nil"/>
            </w:tcBorders>
            <w:hideMark/>
          </w:tcPr>
          <w:p w:rsidR="00157CE2" w:rsidRPr="005B0796" w:rsidRDefault="00157CE2" w:rsidP="00360462">
            <w:pPr>
              <w:pStyle w:val="TableText"/>
              <w:rPr>
                <w:rFonts w:eastAsia="Times New Roman"/>
              </w:rPr>
            </w:pPr>
          </w:p>
        </w:tc>
        <w:tc>
          <w:tcPr>
            <w:tcW w:w="2703" w:type="dxa"/>
            <w:gridSpan w:val="3"/>
          </w:tcPr>
          <w:p w:rsidR="00157CE2" w:rsidRPr="005B0796" w:rsidRDefault="00157CE2" w:rsidP="00360462">
            <w:pPr>
              <w:pStyle w:val="TableText"/>
              <w:jc w:val="center"/>
            </w:pPr>
            <w:r w:rsidRPr="005B0796">
              <w:rPr>
                <w:lang w:eastAsia="en-AU"/>
              </w:rPr>
              <w:t>Ever deployed (n = 20,087)</w:t>
            </w:r>
          </w:p>
        </w:tc>
        <w:tc>
          <w:tcPr>
            <w:tcW w:w="2704" w:type="dxa"/>
            <w:gridSpan w:val="3"/>
            <w:hideMark/>
          </w:tcPr>
          <w:p w:rsidR="00157CE2" w:rsidRPr="005B0796" w:rsidRDefault="00157CE2" w:rsidP="00360462">
            <w:pPr>
              <w:pStyle w:val="TableText"/>
              <w:jc w:val="center"/>
            </w:pPr>
            <w:r w:rsidRPr="005B0796">
              <w:rPr>
                <w:lang w:eastAsia="en-AU"/>
              </w:rPr>
              <w:t>Never deployed (n = 4885)</w:t>
            </w:r>
          </w:p>
        </w:tc>
      </w:tr>
      <w:tr w:rsidR="00157CE2" w:rsidRPr="005B0796" w:rsidTr="003604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157CE2" w:rsidRPr="005B0796" w:rsidRDefault="00360462" w:rsidP="00360462">
            <w:pPr>
              <w:pStyle w:val="TableText"/>
              <w:rPr>
                <w:rFonts w:eastAsia="Times New Roman"/>
              </w:rPr>
            </w:pPr>
            <w:r w:rsidRPr="005B0796">
              <w:rPr>
                <w:lang w:eastAsia="en-AU"/>
              </w:rPr>
              <w:t xml:space="preserve">ICD-10 </w:t>
            </w:r>
            <w:r w:rsidR="00D13778" w:rsidRPr="005B0796">
              <w:rPr>
                <w:lang w:eastAsia="en-AU"/>
              </w:rPr>
              <w:t>affective disorder</w:t>
            </w:r>
          </w:p>
        </w:tc>
        <w:tc>
          <w:tcPr>
            <w:tcW w:w="901" w:type="dxa"/>
            <w:hideMark/>
          </w:tcPr>
          <w:p w:rsidR="00157CE2" w:rsidRPr="005B0796" w:rsidRDefault="00157CE2" w:rsidP="00360462">
            <w:pPr>
              <w:pStyle w:val="TableText"/>
              <w:jc w:val="right"/>
            </w:pPr>
            <w:r w:rsidRPr="005B0796">
              <w:rPr>
                <w:lang w:eastAsia="en-AU"/>
              </w:rPr>
              <w:t>Weighted n</w:t>
            </w:r>
          </w:p>
        </w:tc>
        <w:tc>
          <w:tcPr>
            <w:tcW w:w="901" w:type="dxa"/>
            <w:hideMark/>
          </w:tcPr>
          <w:p w:rsidR="00157CE2" w:rsidRPr="005B0796" w:rsidRDefault="00157CE2" w:rsidP="00360462">
            <w:pPr>
              <w:pStyle w:val="TableText"/>
              <w:jc w:val="right"/>
            </w:pPr>
            <w:r w:rsidRPr="005B0796">
              <w:rPr>
                <w:lang w:eastAsia="en-AU"/>
              </w:rPr>
              <w:t>%</w:t>
            </w:r>
          </w:p>
        </w:tc>
        <w:tc>
          <w:tcPr>
            <w:tcW w:w="901" w:type="dxa"/>
            <w:hideMark/>
          </w:tcPr>
          <w:p w:rsidR="00157CE2" w:rsidRPr="005B0796" w:rsidRDefault="00157CE2" w:rsidP="00360462">
            <w:pPr>
              <w:pStyle w:val="TableText"/>
              <w:jc w:val="right"/>
            </w:pPr>
            <w:r w:rsidRPr="005B0796">
              <w:rPr>
                <w:lang w:eastAsia="en-AU"/>
              </w:rPr>
              <w:t>95% CI</w:t>
            </w:r>
          </w:p>
        </w:tc>
        <w:tc>
          <w:tcPr>
            <w:tcW w:w="901" w:type="dxa"/>
            <w:hideMark/>
          </w:tcPr>
          <w:p w:rsidR="00157CE2" w:rsidRPr="005B0796" w:rsidRDefault="00157CE2" w:rsidP="00360462">
            <w:pPr>
              <w:pStyle w:val="TableText"/>
              <w:jc w:val="right"/>
            </w:pPr>
            <w:r w:rsidRPr="005B0796">
              <w:rPr>
                <w:lang w:eastAsia="en-AU"/>
              </w:rPr>
              <w:t>Weighted n</w:t>
            </w:r>
          </w:p>
        </w:tc>
        <w:tc>
          <w:tcPr>
            <w:tcW w:w="901" w:type="dxa"/>
            <w:hideMark/>
          </w:tcPr>
          <w:p w:rsidR="00157CE2" w:rsidRPr="005B0796" w:rsidRDefault="00157CE2" w:rsidP="00360462">
            <w:pPr>
              <w:pStyle w:val="TableText"/>
              <w:jc w:val="right"/>
            </w:pPr>
            <w:r w:rsidRPr="005B0796">
              <w:rPr>
                <w:lang w:eastAsia="en-AU"/>
              </w:rPr>
              <w:t>%</w:t>
            </w:r>
          </w:p>
        </w:tc>
        <w:tc>
          <w:tcPr>
            <w:tcW w:w="902" w:type="dxa"/>
            <w:hideMark/>
          </w:tcPr>
          <w:p w:rsidR="00157CE2" w:rsidRPr="005B0796" w:rsidRDefault="00157CE2" w:rsidP="00360462">
            <w:pPr>
              <w:pStyle w:val="TableText"/>
              <w:jc w:val="right"/>
            </w:pPr>
            <w:r w:rsidRPr="005B0796">
              <w:rPr>
                <w:lang w:eastAsia="en-AU"/>
              </w:rPr>
              <w:t>95% CI</w:t>
            </w:r>
          </w:p>
        </w:tc>
      </w:tr>
      <w:tr w:rsidR="00157CE2" w:rsidRPr="005B0796" w:rsidTr="00360462">
        <w:trPr>
          <w:cnfStyle w:val="000000100000" w:firstRow="0" w:lastRow="0" w:firstColumn="0" w:lastColumn="0" w:oddVBand="0" w:evenVBand="0" w:oddHBand="1" w:evenHBand="0" w:firstRowFirstColumn="0" w:firstRowLastColumn="0" w:lastRowFirstColumn="0" w:lastRowLastColumn="0"/>
        </w:trPr>
        <w:tc>
          <w:tcPr>
            <w:tcW w:w="1908" w:type="dxa"/>
            <w:hideMark/>
          </w:tcPr>
          <w:p w:rsidR="00157CE2" w:rsidRPr="005B0796" w:rsidRDefault="00157CE2" w:rsidP="00360462">
            <w:pPr>
              <w:pStyle w:val="TableText"/>
              <w:rPr>
                <w:rFonts w:eastAsia="Times New Roman"/>
              </w:rPr>
            </w:pPr>
            <w:r w:rsidRPr="005B0796">
              <w:t>Depressive episodes</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2125</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11.3</w:t>
            </w:r>
          </w:p>
        </w:tc>
        <w:tc>
          <w:tcPr>
            <w:tcW w:w="901"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8.5, 14.8</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634</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11.3</w:t>
            </w:r>
          </w:p>
        </w:tc>
        <w:tc>
          <w:tcPr>
            <w:tcW w:w="902"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5.4, 22.1</w:t>
            </w:r>
          </w:p>
        </w:tc>
      </w:tr>
      <w:tr w:rsidR="00157CE2" w:rsidRPr="005B0796" w:rsidTr="00360462">
        <w:tc>
          <w:tcPr>
            <w:tcW w:w="1908" w:type="dxa"/>
            <w:hideMark/>
          </w:tcPr>
          <w:p w:rsidR="00157CE2" w:rsidRPr="005B0796" w:rsidRDefault="00157CE2" w:rsidP="00360462">
            <w:pPr>
              <w:pStyle w:val="TableText"/>
              <w:rPr>
                <w:rFonts w:eastAsia="Times New Roman"/>
              </w:rPr>
            </w:pPr>
            <w:r w:rsidRPr="005B0796">
              <w:t>Dysthymia</w:t>
            </w:r>
            <w:r w:rsidRPr="005B0796">
              <w:rPr>
                <w:vertAlign w:val="superscript"/>
                <w:lang w:eastAsia="en-AU"/>
              </w:rPr>
              <w:t>a</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1043</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5.5</w:t>
            </w:r>
          </w:p>
        </w:tc>
        <w:tc>
          <w:tcPr>
            <w:tcW w:w="901"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3.6, 8.3</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53</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1.0</w:t>
            </w:r>
          </w:p>
        </w:tc>
        <w:tc>
          <w:tcPr>
            <w:tcW w:w="902"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0.3, 3.0</w:t>
            </w:r>
          </w:p>
        </w:tc>
      </w:tr>
      <w:tr w:rsidR="00157CE2" w:rsidRPr="005B0796" w:rsidTr="00360462">
        <w:trPr>
          <w:cnfStyle w:val="000000100000" w:firstRow="0" w:lastRow="0" w:firstColumn="0" w:lastColumn="0" w:oddVBand="0" w:evenVBand="0" w:oddHBand="1" w:evenHBand="0" w:firstRowFirstColumn="0" w:firstRowLastColumn="0" w:lastRowFirstColumn="0" w:lastRowLastColumn="0"/>
        </w:trPr>
        <w:tc>
          <w:tcPr>
            <w:tcW w:w="1908" w:type="dxa"/>
            <w:hideMark/>
          </w:tcPr>
          <w:p w:rsidR="00157CE2" w:rsidRPr="005B0796" w:rsidRDefault="00157CE2" w:rsidP="00360462">
            <w:pPr>
              <w:pStyle w:val="TableText"/>
              <w:rPr>
                <w:rFonts w:eastAsia="Times New Roman"/>
              </w:rPr>
            </w:pPr>
            <w:r w:rsidRPr="005B0796">
              <w:t>Bipolar affective disorder</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1807</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9.6</w:t>
            </w:r>
          </w:p>
        </w:tc>
        <w:tc>
          <w:tcPr>
            <w:tcW w:w="901"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6.6, 13.8</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618</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11.1</w:t>
            </w:r>
          </w:p>
        </w:tc>
        <w:tc>
          <w:tcPr>
            <w:tcW w:w="902"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4.8, 23.4</w:t>
            </w:r>
          </w:p>
        </w:tc>
      </w:tr>
      <w:tr w:rsidR="00157CE2" w:rsidRPr="005B0796" w:rsidTr="00360462">
        <w:tc>
          <w:tcPr>
            <w:tcW w:w="1908" w:type="dxa"/>
            <w:hideMark/>
          </w:tcPr>
          <w:p w:rsidR="00157CE2" w:rsidRPr="005B0796" w:rsidRDefault="00157CE2" w:rsidP="00360462">
            <w:pPr>
              <w:pStyle w:val="TableText"/>
              <w:rPr>
                <w:rFonts w:eastAsia="Times New Roman"/>
              </w:rPr>
            </w:pPr>
            <w:r w:rsidRPr="005B0796">
              <w:t>Any affective disorder</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4436</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23.6</w:t>
            </w:r>
          </w:p>
        </w:tc>
        <w:tc>
          <w:tcPr>
            <w:tcW w:w="901"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19.3, 28.5</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rPr>
              <w:t>1251</w:t>
            </w:r>
          </w:p>
        </w:tc>
        <w:tc>
          <w:tcPr>
            <w:tcW w:w="901" w:type="dxa"/>
            <w:hideMark/>
          </w:tcPr>
          <w:p w:rsidR="00157CE2" w:rsidRPr="005B0796" w:rsidRDefault="00157CE2" w:rsidP="00360462">
            <w:pPr>
              <w:pStyle w:val="TableText"/>
              <w:jc w:val="right"/>
              <w:rPr>
                <w:color w:val="000000" w:themeColor="text1"/>
              </w:rPr>
            </w:pPr>
            <w:r w:rsidRPr="005B0796">
              <w:rPr>
                <w:color w:val="000000" w:themeColor="text1"/>
                <w:lang w:eastAsia="en-GB"/>
              </w:rPr>
              <w:t>22.4</w:t>
            </w:r>
          </w:p>
        </w:tc>
        <w:tc>
          <w:tcPr>
            <w:tcW w:w="902" w:type="dxa"/>
            <w:hideMark/>
          </w:tcPr>
          <w:p w:rsidR="00157CE2" w:rsidRPr="005B0796" w:rsidRDefault="00157CE2" w:rsidP="00360462">
            <w:pPr>
              <w:pStyle w:val="TableText"/>
              <w:jc w:val="right"/>
              <w:rPr>
                <w:color w:val="000000" w:themeColor="text1"/>
                <w:lang w:eastAsia="en-GB"/>
              </w:rPr>
            </w:pPr>
            <w:r w:rsidRPr="005B0796">
              <w:rPr>
                <w:color w:val="000000" w:themeColor="text1"/>
                <w:lang w:eastAsia="en-GB"/>
              </w:rPr>
              <w:t>13.2, 35.3</w:t>
            </w:r>
          </w:p>
        </w:tc>
      </w:tr>
    </w:tbl>
    <w:p w:rsidR="00997E39" w:rsidRPr="005B0796" w:rsidRDefault="00997E39" w:rsidP="00997E39">
      <w:pPr>
        <w:pStyle w:val="TableNotes"/>
      </w:pPr>
      <w:r w:rsidRPr="005B0796">
        <w:rPr>
          <w:rFonts w:eastAsia="Times New Roman"/>
          <w:vertAlign w:val="superscript"/>
          <w:lang w:eastAsia="en-AU"/>
        </w:rPr>
        <w:t>a</w:t>
      </w:r>
      <w:r w:rsidRPr="005B0796">
        <w:t xml:space="preserve"> Ever vs Never Deployed: OR 7.3 95% CI 1.6, 34.6</w:t>
      </w:r>
    </w:p>
    <w:p w:rsidR="00997E39" w:rsidRPr="005B0796" w:rsidRDefault="00997E39" w:rsidP="00997E39">
      <w:pPr>
        <w:pStyle w:val="TableNotes"/>
        <w:rPr>
          <w:bCs/>
        </w:rPr>
      </w:pPr>
      <w:r w:rsidRPr="005B0796">
        <w:rPr>
          <w:bCs/>
        </w:rPr>
        <w:t xml:space="preserve">Note: 95% CI: 95% </w:t>
      </w:r>
      <w:r w:rsidR="00564689" w:rsidRPr="005B0796">
        <w:rPr>
          <w:bCs/>
        </w:rPr>
        <w:t>confidence interval</w:t>
      </w:r>
    </w:p>
    <w:p w:rsidR="00157CE2" w:rsidRPr="005B0796" w:rsidRDefault="00997E39" w:rsidP="00997E39">
      <w:pPr>
        <w:pStyle w:val="FigureName"/>
      </w:pPr>
      <w:bookmarkStart w:id="554" w:name="_Ref484519566"/>
      <w:bookmarkStart w:id="555" w:name="_Toc482023821"/>
      <w:bookmarkStart w:id="556" w:name="_Toc487014366"/>
      <w:bookmarkStart w:id="557" w:name="_Toc51190053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18</w:t>
      </w:r>
      <w:r w:rsidR="00D30A3C">
        <w:rPr>
          <w:noProof/>
        </w:rPr>
        <w:fldChar w:fldCharType="end"/>
      </w:r>
      <w:bookmarkEnd w:id="554"/>
      <w:bookmarkEnd w:id="555"/>
      <w:r w:rsidRPr="005B0796">
        <w:tab/>
        <w:t>Estimated prevalence of 12-month ICD-10 affective disorders in Transitioned ADF</w:t>
      </w:r>
      <w:r w:rsidR="00492B66">
        <w:t>,</w:t>
      </w:r>
      <w:r w:rsidRPr="005B0796">
        <w:t xml:space="preserve"> by affective disorder type and deployment status</w:t>
      </w:r>
      <w:bookmarkEnd w:id="556"/>
      <w:bookmarkEnd w:id="557"/>
    </w:p>
    <w:tbl>
      <w:tblPr>
        <w:tblW w:w="5000" w:type="pct"/>
        <w:tblLayout w:type="fixed"/>
        <w:tblCellMar>
          <w:left w:w="115" w:type="dxa"/>
          <w:right w:w="115" w:type="dxa"/>
        </w:tblCellMar>
        <w:tblLook w:val="04A0" w:firstRow="1" w:lastRow="0" w:firstColumn="1" w:lastColumn="0" w:noHBand="0" w:noVBand="1"/>
      </w:tblPr>
      <w:tblGrid>
        <w:gridCol w:w="7329"/>
      </w:tblGrid>
      <w:tr w:rsidR="00157CE2" w:rsidRPr="005B0796" w:rsidTr="00360462">
        <w:trPr>
          <w:cantSplit/>
        </w:trPr>
        <w:tc>
          <w:tcPr>
            <w:tcW w:w="7315" w:type="dxa"/>
          </w:tcPr>
          <w:p w:rsidR="00157CE2" w:rsidRPr="005B0796" w:rsidRDefault="00157CE2" w:rsidP="00360462">
            <w:pPr>
              <w:keepNext/>
            </w:pPr>
            <w:r w:rsidRPr="005B0796">
              <w:rPr>
                <w:i/>
                <w:noProof/>
                <w:lang w:eastAsia="en-AU"/>
              </w:rPr>
              <w:drawing>
                <wp:inline distT="0" distB="0" distL="0" distR="0" wp14:anchorId="70230067" wp14:editId="09D36B5A">
                  <wp:extent cx="4572000" cy="2743200"/>
                  <wp:effectExtent l="0" t="0" r="0" b="0"/>
                  <wp:docPr id="42" name="Chart 42" descr="Figure 4.18 Estimated prevalence of 12-month ICD-10 affective disorders in Transitioned ADF by affective disorder type and deploy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rsidR="00997E39" w:rsidRPr="005B0796" w:rsidRDefault="00997E39" w:rsidP="00997E39">
      <w:pPr>
        <w:pStyle w:val="TableNotes"/>
        <w:rPr>
          <w:rFonts w:cs="Calibri"/>
        </w:rPr>
      </w:pPr>
      <w:r w:rsidRPr="005B0796">
        <w:t xml:space="preserve">Dysthymia: Ever vs Never deployed: OR </w:t>
      </w:r>
      <w:r w:rsidRPr="005B0796">
        <w:rPr>
          <w:rFonts w:cs="Calibri"/>
        </w:rPr>
        <w:t>7.3, 95% CI 1.6, 34.6</w:t>
      </w:r>
    </w:p>
    <w:p w:rsidR="00997E39" w:rsidRPr="005B0796" w:rsidRDefault="00997E39" w:rsidP="00360462">
      <w:pPr>
        <w:pStyle w:val="Heading4"/>
        <w:rPr>
          <w:rFonts w:eastAsia="Times New Roman"/>
          <w:szCs w:val="22"/>
        </w:rPr>
      </w:pPr>
      <w:r w:rsidRPr="005B0796">
        <w:t>Years of service</w:t>
      </w:r>
    </w:p>
    <w:p w:rsidR="00997E39" w:rsidRPr="005B0796" w:rsidRDefault="009E72D3" w:rsidP="00360462">
      <w:r w:rsidRPr="005B0796">
        <w:t>Table 4.23</w:t>
      </w:r>
      <w:r w:rsidR="00997E39" w:rsidRPr="005B0796">
        <w:t xml:space="preserve"> and </w:t>
      </w:r>
      <w:r w:rsidRPr="005B0796">
        <w:t>Figure 4.19</w:t>
      </w:r>
      <w:r w:rsidR="00997E39" w:rsidRPr="005B0796">
        <w:t xml:space="preserve"> show the estimated prevalence of 12-month affective disorder</w:t>
      </w:r>
      <w:r w:rsidR="00492B66">
        <w:t>s</w:t>
      </w:r>
      <w:r w:rsidR="00997E39" w:rsidRPr="005B0796">
        <w:t xml:space="preserve"> by years of service in the Regular ADF among members of the Transitioned ADF. Estimated rates of depressive episodes were highest among those with under four years of service (22.6%, 95% CI 9.4, 45.1), while estimated rates of bipolar affective disorder were highest among those with 4–7.9 years of service (14.6%, 95% CI 8.7, 23.5). The only significant finding was for dysthymia where those with 8</w:t>
      </w:r>
      <w:r w:rsidR="00492B66">
        <w:t>–</w:t>
      </w:r>
      <w:r w:rsidR="00997E39" w:rsidRPr="005B0796">
        <w:t xml:space="preserve">11.9 years of Regular service had significantly greater rates of 12-month dysthymia than those with under </w:t>
      </w:r>
      <w:r w:rsidR="00492B66">
        <w:t>four</w:t>
      </w:r>
      <w:r w:rsidR="00997E39" w:rsidRPr="005B0796">
        <w:t xml:space="preserve"> years of Regular ADF service (OR 7.4, 95% CI 1.3, 43.9). Again, a</w:t>
      </w:r>
      <w:r w:rsidR="00492B66">
        <w:t>s dysthymia is a relatively low-</w:t>
      </w:r>
      <w:r w:rsidR="00997E39" w:rsidRPr="005B0796">
        <w:t>prevalence mental disorder, the confidence intervals for this estimate are quite wide, and the result should be interpreted with caution.</w:t>
      </w:r>
    </w:p>
    <w:p w:rsidR="00997E39" w:rsidRPr="005B0796" w:rsidRDefault="00997E39" w:rsidP="00997E39">
      <w:pPr>
        <w:pStyle w:val="FigureName"/>
      </w:pPr>
      <w:bookmarkStart w:id="558" w:name="_Ref484519584"/>
      <w:bookmarkStart w:id="559" w:name="_Toc482023822"/>
      <w:bookmarkStart w:id="560" w:name="_Toc487014367"/>
      <w:bookmarkStart w:id="561" w:name="_Toc51190053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19</w:t>
      </w:r>
      <w:r w:rsidR="00D30A3C">
        <w:rPr>
          <w:noProof/>
        </w:rPr>
        <w:fldChar w:fldCharType="end"/>
      </w:r>
      <w:bookmarkEnd w:id="558"/>
      <w:r w:rsidRPr="005B0796">
        <w:tab/>
        <w:t xml:space="preserve">Estimated prevalence of 12-month ICD-10 affective disorders in Transitioned ADF, by affective disorder type and years of service in Regular </w:t>
      </w:r>
      <w:bookmarkEnd w:id="559"/>
      <w:bookmarkEnd w:id="560"/>
      <w:r w:rsidRPr="005B0796">
        <w:t>ADF</w:t>
      </w:r>
      <w:bookmarkEnd w:id="561"/>
    </w:p>
    <w:tbl>
      <w:tblPr>
        <w:tblW w:w="5000" w:type="pct"/>
        <w:tblLayout w:type="fixed"/>
        <w:tblCellMar>
          <w:left w:w="115" w:type="dxa"/>
          <w:right w:w="115" w:type="dxa"/>
        </w:tblCellMar>
        <w:tblLook w:val="04A0" w:firstRow="1" w:lastRow="0" w:firstColumn="1" w:lastColumn="0" w:noHBand="0" w:noVBand="1"/>
      </w:tblPr>
      <w:tblGrid>
        <w:gridCol w:w="7329"/>
      </w:tblGrid>
      <w:tr w:rsidR="00545711" w:rsidRPr="005B0796" w:rsidTr="00C76968">
        <w:trPr>
          <w:cantSplit/>
        </w:trPr>
        <w:tc>
          <w:tcPr>
            <w:tcW w:w="7315" w:type="dxa"/>
          </w:tcPr>
          <w:p w:rsidR="00545711" w:rsidRPr="005B0796" w:rsidRDefault="00545711" w:rsidP="00360462">
            <w:pPr>
              <w:keepNext/>
            </w:pPr>
            <w:r w:rsidRPr="005B0796">
              <w:rPr>
                <w:noProof/>
                <w:lang w:eastAsia="en-AU"/>
              </w:rPr>
              <w:drawing>
                <wp:inline distT="0" distB="0" distL="0" distR="0" wp14:anchorId="0ECA1FCF" wp14:editId="7B32FFF1">
                  <wp:extent cx="4572000" cy="2743200"/>
                  <wp:effectExtent l="0" t="0" r="0" b="0"/>
                  <wp:docPr id="45" name="Chart 45" descr="Figure 4.19 Estimated prevalence of 12-month ICD-10 affective disorders in Transitioned ADF, by affective disorder type and years of service in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rsidR="00997E39" w:rsidRPr="005B0796" w:rsidRDefault="00997E39" w:rsidP="00997E39">
      <w:pPr>
        <w:pStyle w:val="TableNotes"/>
        <w:rPr>
          <w:color w:val="000000" w:themeColor="text1"/>
        </w:rPr>
      </w:pPr>
      <w:bookmarkStart w:id="562" w:name="_Toc482021341"/>
      <w:bookmarkStart w:id="563" w:name="_Toc482024432"/>
      <w:bookmarkStart w:id="564" w:name="_Toc487011200"/>
      <w:r w:rsidRPr="005B0796">
        <w:t xml:space="preserve">Dysthymia: 8–11.9 vs &lt; 4 years of Regular Service: </w:t>
      </w:r>
      <w:r w:rsidRPr="005B0796">
        <w:rPr>
          <w:color w:val="000000" w:themeColor="text1"/>
        </w:rPr>
        <w:t>OR 7.4, 95% CI 1.3, 43.9</w:t>
      </w:r>
    </w:p>
    <w:p w:rsidR="00997E39" w:rsidRPr="005B0796" w:rsidRDefault="00997E39" w:rsidP="00360462">
      <w:pPr>
        <w:pStyle w:val="Heading3"/>
        <w:rPr>
          <w:rFonts w:eastAsia="Times New Roman"/>
        </w:rPr>
      </w:pPr>
      <w:bookmarkStart w:id="565" w:name="_Toc494449718"/>
      <w:bookmarkStart w:id="566" w:name="_Toc511900300"/>
      <w:r w:rsidRPr="005B0796">
        <w:t>Transition factors</w:t>
      </w:r>
      <w:bookmarkEnd w:id="562"/>
      <w:bookmarkEnd w:id="563"/>
      <w:bookmarkEnd w:id="564"/>
      <w:bookmarkEnd w:id="565"/>
      <w:bookmarkEnd w:id="566"/>
    </w:p>
    <w:p w:rsidR="00997E39" w:rsidRPr="005B0796" w:rsidRDefault="00997E39" w:rsidP="00360462">
      <w:pPr>
        <w:pStyle w:val="Heading4"/>
      </w:pPr>
      <w:r w:rsidRPr="005B0796">
        <w:t>Years since transition</w:t>
      </w:r>
    </w:p>
    <w:p w:rsidR="00997E39" w:rsidRPr="005B0796" w:rsidRDefault="009E72D3" w:rsidP="00366EB6">
      <w:r w:rsidRPr="005B0796">
        <w:t>Table 4.24</w:t>
      </w:r>
      <w:r w:rsidR="00997E39" w:rsidRPr="005B0796">
        <w:t xml:space="preserve"> and Figure 4.20 show the estimated prevalence of 12-month affective disorder</w:t>
      </w:r>
      <w:r w:rsidR="00492B66">
        <w:t>s</w:t>
      </w:r>
      <w:r w:rsidR="00520FC8" w:rsidRPr="005B0796">
        <w:t xml:space="preserve">, </w:t>
      </w:r>
      <w:r w:rsidR="00997E39" w:rsidRPr="005B0796">
        <w:t>by the number of years since transition in the Transitioned ADF. There were no significant impacts of years since transition on any of the individual affective disorder types.</w:t>
      </w:r>
    </w:p>
    <w:p w:rsidR="00997E39" w:rsidRPr="005B0796" w:rsidRDefault="00997E39" w:rsidP="00997E39">
      <w:pPr>
        <w:pStyle w:val="FigureName"/>
      </w:pPr>
      <w:bookmarkStart w:id="567" w:name="_Toc482023823"/>
      <w:bookmarkStart w:id="568" w:name="_Toc487014368"/>
      <w:bookmarkStart w:id="569" w:name="_Toc51190053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20</w:t>
      </w:r>
      <w:r w:rsidR="00D30A3C">
        <w:rPr>
          <w:noProof/>
        </w:rPr>
        <w:fldChar w:fldCharType="end"/>
      </w:r>
      <w:r w:rsidRPr="005B0796">
        <w:tab/>
        <w:t>Estimated prevalence of 12-month ICD-10 affective disorders in Transitioned ADF, by affective disorder type and years since transition</w:t>
      </w:r>
      <w:bookmarkEnd w:id="567"/>
      <w:bookmarkEnd w:id="568"/>
      <w:bookmarkEnd w:id="569"/>
    </w:p>
    <w:tbl>
      <w:tblPr>
        <w:tblW w:w="5000" w:type="pct"/>
        <w:tblLayout w:type="fixed"/>
        <w:tblCellMar>
          <w:left w:w="115" w:type="dxa"/>
          <w:right w:w="115" w:type="dxa"/>
        </w:tblCellMar>
        <w:tblLook w:val="04A0" w:firstRow="1" w:lastRow="0" w:firstColumn="1" w:lastColumn="0" w:noHBand="0" w:noVBand="1"/>
      </w:tblPr>
      <w:tblGrid>
        <w:gridCol w:w="7329"/>
      </w:tblGrid>
      <w:tr w:rsidR="00E70BD6" w:rsidRPr="005B0796" w:rsidTr="00366EB6">
        <w:trPr>
          <w:cantSplit/>
        </w:trPr>
        <w:tc>
          <w:tcPr>
            <w:tcW w:w="9606" w:type="dxa"/>
          </w:tcPr>
          <w:p w:rsidR="00E70BD6" w:rsidRPr="005B0796" w:rsidRDefault="00E70BD6" w:rsidP="00366EB6">
            <w:pPr>
              <w:keepNext/>
            </w:pPr>
            <w:r w:rsidRPr="005B0796">
              <w:rPr>
                <w:noProof/>
                <w:lang w:eastAsia="en-AU"/>
              </w:rPr>
              <w:drawing>
                <wp:inline distT="0" distB="0" distL="0" distR="0" wp14:anchorId="6E91C625" wp14:editId="696B748C">
                  <wp:extent cx="4572000" cy="2743200"/>
                  <wp:effectExtent l="0" t="0" r="0" b="0"/>
                  <wp:docPr id="46" name="Chart 46" descr="Figure 4.20 Estimated prevalence of 12-month ICD-10 affective disorders in Transitioned ADF, by affective disorder type and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rsidR="00E70BD6" w:rsidRPr="005B0796" w:rsidRDefault="00E70BD6" w:rsidP="00366EB6">
      <w:pPr>
        <w:pStyle w:val="Heading4"/>
        <w:rPr>
          <w:rFonts w:eastAsia="Times New Roman"/>
          <w:szCs w:val="22"/>
        </w:rPr>
      </w:pPr>
      <w:r w:rsidRPr="005B0796">
        <w:t>Reason for discharge</w:t>
      </w:r>
    </w:p>
    <w:p w:rsidR="00E70BD6" w:rsidRPr="005B0796" w:rsidRDefault="00E70BD6" w:rsidP="00366EB6">
      <w:r w:rsidRPr="005B0796">
        <w:t xml:space="preserve">The estimated prevalence of </w:t>
      </w:r>
      <w:r w:rsidR="00462A0C" w:rsidRPr="005B0796">
        <w:t>‘</w:t>
      </w:r>
      <w:r w:rsidRPr="005B0796">
        <w:t>any 12-month ICD-10 affective disorder</w:t>
      </w:r>
      <w:r w:rsidR="00462A0C" w:rsidRPr="005B0796">
        <w:t>’</w:t>
      </w:r>
      <w:r w:rsidRPr="005B0796">
        <w:t xml:space="preserve"> was significantly greater for Transitioned ADF members who were medically discharged (39.5%, 95% CI 30.2, 49.6) compared to those who were discharged for another reason (17.4%, 95% CI 13.2, 22.3; OR 2.8, 95% CI 1.6, 4.9). Medically discharged Transitioned ADF members were also 2.4 times more likely to meet criteria for depressive episodes (OR 2.4, 95% CI 1.2, 4.6), three times more likely to meet criteria for 12-month ICD-10 dysthymia (OR </w:t>
      </w:r>
      <w:r w:rsidRPr="005B0796">
        <w:rPr>
          <w:rFonts w:eastAsia="Times New Roman"/>
          <w:lang w:eastAsia="en-AU"/>
        </w:rPr>
        <w:t xml:space="preserve">3.2, 95% CI 1.2, 8.3) and </w:t>
      </w:r>
      <w:r w:rsidRPr="005B0796">
        <w:t>more than two times more likely to meet criteria for bipolar affective disorder (OR 2.4, 95% CI 1.1, 5.2) (</w:t>
      </w:r>
      <w:r w:rsidR="009E72D3" w:rsidRPr="005B0796">
        <w:t>Table 4.25</w:t>
      </w:r>
      <w:r w:rsidRPr="005B0796">
        <w:t xml:space="preserve"> and </w:t>
      </w:r>
      <w:r w:rsidR="009E72D3" w:rsidRPr="005B0796">
        <w:t>Figure 4.21</w:t>
      </w:r>
      <w:r w:rsidRPr="005B0796">
        <w:t>).</w:t>
      </w:r>
    </w:p>
    <w:p w:rsidR="00545711" w:rsidRPr="005B0796" w:rsidRDefault="00545711" w:rsidP="00545711"/>
    <w:p w:rsidR="00545711" w:rsidRPr="005B0796" w:rsidRDefault="00545711" w:rsidP="00545711">
      <w:pPr>
        <w:sectPr w:rsidR="00545711" w:rsidRPr="005B0796" w:rsidSect="00BE5E98">
          <w:footerReference w:type="even" r:id="rId93"/>
          <w:footerReference w:type="default" r:id="rId94"/>
          <w:pgSz w:w="9979" w:h="14170" w:code="243"/>
          <w:pgMar w:top="1440" w:right="1152" w:bottom="1440" w:left="1728" w:header="576" w:footer="576" w:gutter="0"/>
          <w:cols w:space="708"/>
          <w:docGrid w:linePitch="360"/>
        </w:sectPr>
      </w:pPr>
    </w:p>
    <w:p w:rsidR="00545711" w:rsidRPr="005B0796" w:rsidRDefault="00997E39" w:rsidP="00997E39">
      <w:pPr>
        <w:pStyle w:val="TableName"/>
      </w:pPr>
      <w:bookmarkStart w:id="570" w:name="_Toc482023775"/>
      <w:bookmarkStart w:id="571" w:name="_Ref484519595"/>
      <w:bookmarkStart w:id="572" w:name="_Toc487014274"/>
      <w:bookmarkStart w:id="573" w:name="_Toc492995577"/>
      <w:bookmarkStart w:id="574" w:name="_Toc51190042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23</w:t>
      </w:r>
      <w:r w:rsidR="00D30A3C">
        <w:rPr>
          <w:noProof/>
        </w:rPr>
        <w:fldChar w:fldCharType="end"/>
      </w:r>
      <w:bookmarkEnd w:id="570"/>
      <w:bookmarkEnd w:id="571"/>
      <w:r w:rsidRPr="005B0796">
        <w:tab/>
        <w:t xml:space="preserve">Estimated prevalence of 12-month ICD-10 affective disorders in Transitioned ADF, by affective disorder type and years of service in Regular </w:t>
      </w:r>
      <w:bookmarkEnd w:id="572"/>
      <w:r w:rsidRPr="005B0796">
        <w:t>ADF</w:t>
      </w:r>
      <w:bookmarkEnd w:id="573"/>
      <w:bookmarkEnd w:id="574"/>
    </w:p>
    <w:tbl>
      <w:tblPr>
        <w:tblStyle w:val="TWRPTable"/>
        <w:tblW w:w="5000" w:type="pct"/>
        <w:tblLayout w:type="fixed"/>
        <w:tblLook w:val="04A0" w:firstRow="1" w:lastRow="0" w:firstColumn="1" w:lastColumn="0" w:noHBand="0" w:noVBand="1"/>
        <w:tblDescription w:val="Table 4.23 Estimated prevalence of 12-month ICD-10 affective disorders in Transitioned ADF, by affective disorder type and years of service in Regular ADF"/>
      </w:tblPr>
      <w:tblGrid>
        <w:gridCol w:w="1700"/>
        <w:gridCol w:w="1334"/>
        <w:gridCol w:w="845"/>
        <w:gridCol w:w="1089"/>
        <w:gridCol w:w="1089"/>
        <w:gridCol w:w="1091"/>
        <w:gridCol w:w="1089"/>
        <w:gridCol w:w="1089"/>
        <w:gridCol w:w="1089"/>
        <w:gridCol w:w="1091"/>
      </w:tblGrid>
      <w:tr w:rsidR="00F26E45" w:rsidRPr="005B0796" w:rsidTr="00F26E45">
        <w:trPr>
          <w:cnfStyle w:val="100000000000" w:firstRow="1" w:lastRow="0" w:firstColumn="0" w:lastColumn="0" w:oddVBand="0" w:evenVBand="0" w:oddHBand="0" w:evenHBand="0" w:firstRowFirstColumn="0" w:firstRowLastColumn="0" w:lastRowFirstColumn="0" w:lastRowLastColumn="0"/>
          <w:cantSplit/>
          <w:tblHeader/>
        </w:trPr>
        <w:tc>
          <w:tcPr>
            <w:tcW w:w="1700" w:type="dxa"/>
            <w:vMerge w:val="restart"/>
          </w:tcPr>
          <w:p w:rsidR="00F26E45" w:rsidRPr="005B0796" w:rsidRDefault="00F26E45" w:rsidP="008A1DE7">
            <w:pPr>
              <w:pStyle w:val="TableText"/>
              <w:rPr>
                <w:szCs w:val="14"/>
                <w:lang w:eastAsia="en-AU"/>
              </w:rPr>
            </w:pPr>
            <w:r w:rsidRPr="005B0796">
              <w:rPr>
                <w:szCs w:val="14"/>
                <w:lang w:eastAsia="en-AU"/>
              </w:rPr>
              <w:t>ICD-10 affective disorder</w:t>
            </w:r>
          </w:p>
        </w:tc>
        <w:tc>
          <w:tcPr>
            <w:tcW w:w="9806" w:type="dxa"/>
            <w:gridSpan w:val="9"/>
            <w:noWrap/>
          </w:tcPr>
          <w:p w:rsidR="00F26E45" w:rsidRPr="005B0796" w:rsidRDefault="00F26E45" w:rsidP="003266FC">
            <w:pPr>
              <w:pStyle w:val="TableText"/>
              <w:jc w:val="center"/>
              <w:rPr>
                <w:szCs w:val="14"/>
                <w:lang w:eastAsia="en-AU"/>
              </w:rPr>
            </w:pPr>
            <w:r w:rsidRPr="005B0796">
              <w:rPr>
                <w:szCs w:val="14"/>
                <w:lang w:eastAsia="en-AU"/>
              </w:rPr>
              <w:t>Years of service in Regular ADF</w:t>
            </w:r>
          </w:p>
        </w:tc>
      </w:tr>
      <w:tr w:rsidR="00F26E45" w:rsidRPr="005B0796" w:rsidTr="00F26E45">
        <w:trPr>
          <w:cnfStyle w:val="100000000000" w:firstRow="1" w:lastRow="0" w:firstColumn="0" w:lastColumn="0" w:oddVBand="0" w:evenVBand="0" w:oddHBand="0" w:evenHBand="0" w:firstRowFirstColumn="0" w:firstRowLastColumn="0" w:lastRowFirstColumn="0" w:lastRowLastColumn="0"/>
          <w:cantSplit/>
          <w:tblHeader/>
        </w:trPr>
        <w:tc>
          <w:tcPr>
            <w:tcW w:w="1700" w:type="dxa"/>
            <w:vMerge/>
            <w:hideMark/>
          </w:tcPr>
          <w:p w:rsidR="00F26E45" w:rsidRPr="005B0796" w:rsidRDefault="00F26E45" w:rsidP="008A1DE7">
            <w:pPr>
              <w:pStyle w:val="TableText"/>
              <w:rPr>
                <w:szCs w:val="14"/>
                <w:lang w:eastAsia="en-AU"/>
              </w:rPr>
            </w:pPr>
          </w:p>
        </w:tc>
        <w:tc>
          <w:tcPr>
            <w:tcW w:w="3268" w:type="dxa"/>
            <w:gridSpan w:val="3"/>
            <w:noWrap/>
            <w:hideMark/>
          </w:tcPr>
          <w:p w:rsidR="00F26E45" w:rsidRPr="005B0796" w:rsidRDefault="00F26E45" w:rsidP="003266FC">
            <w:pPr>
              <w:pStyle w:val="TableText"/>
              <w:jc w:val="center"/>
              <w:rPr>
                <w:szCs w:val="14"/>
                <w:lang w:eastAsia="en-AU"/>
              </w:rPr>
            </w:pPr>
            <w:r w:rsidRPr="005B0796">
              <w:rPr>
                <w:szCs w:val="14"/>
                <w:lang w:eastAsia="en-AU"/>
              </w:rPr>
              <w:t>3 months – 3.9 years</w:t>
            </w:r>
            <w:r w:rsidRPr="005B0796">
              <w:rPr>
                <w:szCs w:val="14"/>
                <w:lang w:eastAsia="en-AU"/>
              </w:rPr>
              <w:br/>
              <w:t>(n = 2413)</w:t>
            </w:r>
          </w:p>
        </w:tc>
        <w:tc>
          <w:tcPr>
            <w:tcW w:w="3269" w:type="dxa"/>
            <w:gridSpan w:val="3"/>
            <w:noWrap/>
            <w:hideMark/>
          </w:tcPr>
          <w:p w:rsidR="00F26E45" w:rsidRPr="005B0796" w:rsidRDefault="00F26E45" w:rsidP="003266FC">
            <w:pPr>
              <w:pStyle w:val="TableText"/>
              <w:jc w:val="center"/>
              <w:rPr>
                <w:szCs w:val="14"/>
                <w:lang w:eastAsia="en-AU"/>
              </w:rPr>
            </w:pPr>
            <w:r w:rsidRPr="005B0796">
              <w:rPr>
                <w:szCs w:val="14"/>
                <w:lang w:eastAsia="en-AU"/>
              </w:rPr>
              <w:t>4–7.9 years</w:t>
            </w:r>
            <w:r w:rsidRPr="005B0796">
              <w:rPr>
                <w:szCs w:val="14"/>
                <w:lang w:eastAsia="en-AU"/>
              </w:rPr>
              <w:br/>
              <w:t>(n = 9015)</w:t>
            </w:r>
          </w:p>
        </w:tc>
        <w:tc>
          <w:tcPr>
            <w:tcW w:w="3269" w:type="dxa"/>
            <w:gridSpan w:val="3"/>
            <w:noWrap/>
            <w:hideMark/>
          </w:tcPr>
          <w:p w:rsidR="00F26E45" w:rsidRPr="005B0796" w:rsidRDefault="00F26E45" w:rsidP="003266FC">
            <w:pPr>
              <w:pStyle w:val="TableText"/>
              <w:jc w:val="center"/>
              <w:rPr>
                <w:szCs w:val="14"/>
                <w:lang w:eastAsia="en-AU"/>
              </w:rPr>
            </w:pPr>
            <w:r w:rsidRPr="005B0796">
              <w:rPr>
                <w:szCs w:val="14"/>
                <w:lang w:eastAsia="en-AU"/>
              </w:rPr>
              <w:t>8–11.9 years</w:t>
            </w:r>
            <w:r w:rsidRPr="005B0796">
              <w:rPr>
                <w:szCs w:val="14"/>
                <w:lang w:eastAsia="en-AU"/>
              </w:rPr>
              <w:br/>
              <w:t>(n = 3295)</w:t>
            </w:r>
          </w:p>
        </w:tc>
      </w:tr>
      <w:tr w:rsidR="00F26E45" w:rsidRPr="005B0796" w:rsidTr="00F26E45">
        <w:trPr>
          <w:cnfStyle w:val="100000000000" w:firstRow="1" w:lastRow="0" w:firstColumn="0" w:lastColumn="0" w:oddVBand="0" w:evenVBand="0" w:oddHBand="0" w:evenHBand="0" w:firstRowFirstColumn="0" w:firstRowLastColumn="0" w:lastRowFirstColumn="0" w:lastRowLastColumn="0"/>
          <w:cantSplit/>
          <w:tblHeader/>
        </w:trPr>
        <w:tc>
          <w:tcPr>
            <w:tcW w:w="1700" w:type="dxa"/>
            <w:vMerge/>
            <w:noWrap/>
            <w:hideMark/>
          </w:tcPr>
          <w:p w:rsidR="00F26E45" w:rsidRPr="005B0796" w:rsidRDefault="00F26E45" w:rsidP="008A1DE7">
            <w:pPr>
              <w:pStyle w:val="TableText"/>
              <w:rPr>
                <w:szCs w:val="14"/>
                <w:lang w:eastAsia="en-AU"/>
              </w:rPr>
            </w:pPr>
          </w:p>
        </w:tc>
        <w:tc>
          <w:tcPr>
            <w:tcW w:w="1334" w:type="dxa"/>
            <w:noWrap/>
            <w:hideMark/>
          </w:tcPr>
          <w:p w:rsidR="00F26E45" w:rsidRPr="005B0796" w:rsidRDefault="00F26E45" w:rsidP="008A1DE7">
            <w:pPr>
              <w:pStyle w:val="TableText"/>
              <w:jc w:val="right"/>
              <w:rPr>
                <w:szCs w:val="14"/>
                <w:lang w:eastAsia="en-AU"/>
              </w:rPr>
            </w:pPr>
            <w:r w:rsidRPr="005B0796">
              <w:rPr>
                <w:szCs w:val="14"/>
                <w:lang w:eastAsia="en-AU"/>
              </w:rPr>
              <w:t>Weighted n</w:t>
            </w:r>
          </w:p>
        </w:tc>
        <w:tc>
          <w:tcPr>
            <w:tcW w:w="845" w:type="dxa"/>
            <w:hideMark/>
          </w:tcPr>
          <w:p w:rsidR="00F26E45" w:rsidRPr="005B0796" w:rsidRDefault="00F26E45" w:rsidP="008A1DE7">
            <w:pPr>
              <w:pStyle w:val="TableText"/>
              <w:jc w:val="right"/>
              <w:rPr>
                <w:szCs w:val="14"/>
                <w:lang w:eastAsia="en-AU"/>
              </w:rPr>
            </w:pPr>
            <w:r w:rsidRPr="005B0796">
              <w:rPr>
                <w:szCs w:val="14"/>
                <w:lang w:eastAsia="en-AU"/>
              </w:rPr>
              <w:t>%</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95% CI</w:t>
            </w:r>
          </w:p>
        </w:tc>
        <w:tc>
          <w:tcPr>
            <w:tcW w:w="1089" w:type="dxa"/>
            <w:noWrap/>
            <w:hideMark/>
          </w:tcPr>
          <w:p w:rsidR="00F26E45" w:rsidRPr="005B0796" w:rsidRDefault="00F26E45" w:rsidP="008A1DE7">
            <w:pPr>
              <w:pStyle w:val="TableText"/>
              <w:jc w:val="right"/>
              <w:rPr>
                <w:szCs w:val="14"/>
                <w:lang w:eastAsia="en-AU"/>
              </w:rPr>
            </w:pPr>
            <w:r w:rsidRPr="005B0796">
              <w:rPr>
                <w:szCs w:val="14"/>
                <w:lang w:eastAsia="en-AU"/>
              </w:rPr>
              <w:t>Weighted n</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95% CI</w:t>
            </w:r>
          </w:p>
        </w:tc>
        <w:tc>
          <w:tcPr>
            <w:tcW w:w="1089" w:type="dxa"/>
            <w:noWrap/>
            <w:hideMark/>
          </w:tcPr>
          <w:p w:rsidR="00F26E45" w:rsidRPr="005B0796" w:rsidRDefault="00F26E45" w:rsidP="008A1DE7">
            <w:pPr>
              <w:pStyle w:val="TableText"/>
              <w:jc w:val="right"/>
              <w:rPr>
                <w:szCs w:val="14"/>
                <w:lang w:eastAsia="en-AU"/>
              </w:rPr>
            </w:pPr>
            <w:r w:rsidRPr="005B0796">
              <w:rPr>
                <w:szCs w:val="14"/>
                <w:lang w:eastAsia="en-AU"/>
              </w:rPr>
              <w:t>Weighted n</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95% CI</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cantSplit/>
        </w:trPr>
        <w:tc>
          <w:tcPr>
            <w:tcW w:w="1700" w:type="dxa"/>
            <w:hideMark/>
          </w:tcPr>
          <w:p w:rsidR="00F26E45" w:rsidRPr="005B0796" w:rsidRDefault="00F26E45" w:rsidP="008A1DE7">
            <w:pPr>
              <w:pStyle w:val="TableText"/>
              <w:rPr>
                <w:szCs w:val="14"/>
                <w:lang w:eastAsia="en-AU"/>
              </w:rPr>
            </w:pPr>
            <w:r w:rsidRPr="005B0796">
              <w:rPr>
                <w:szCs w:val="14"/>
                <w:lang w:eastAsia="en-AU"/>
              </w:rPr>
              <w:t>Depressive episodes</w:t>
            </w:r>
          </w:p>
        </w:tc>
        <w:tc>
          <w:tcPr>
            <w:tcW w:w="1334" w:type="dxa"/>
            <w:noWrap/>
            <w:hideMark/>
          </w:tcPr>
          <w:p w:rsidR="00F26E45" w:rsidRPr="005B0796" w:rsidRDefault="00F26E45" w:rsidP="008A1DE7">
            <w:pPr>
              <w:pStyle w:val="TableText"/>
              <w:jc w:val="right"/>
              <w:rPr>
                <w:szCs w:val="14"/>
                <w:lang w:eastAsia="en-AU"/>
              </w:rPr>
            </w:pPr>
            <w:r w:rsidRPr="005B0796">
              <w:rPr>
                <w:szCs w:val="14"/>
                <w:lang w:eastAsia="en-AU"/>
              </w:rPr>
              <w:t>545</w:t>
            </w:r>
          </w:p>
        </w:tc>
        <w:tc>
          <w:tcPr>
            <w:tcW w:w="845" w:type="dxa"/>
            <w:hideMark/>
          </w:tcPr>
          <w:p w:rsidR="00F26E45" w:rsidRPr="005B0796" w:rsidRDefault="00F26E45" w:rsidP="008A1DE7">
            <w:pPr>
              <w:pStyle w:val="TableText"/>
              <w:jc w:val="right"/>
              <w:rPr>
                <w:szCs w:val="14"/>
                <w:lang w:eastAsia="en-AU"/>
              </w:rPr>
            </w:pPr>
            <w:r w:rsidRPr="005B0796">
              <w:rPr>
                <w:szCs w:val="14"/>
                <w:lang w:eastAsia="en-AU"/>
              </w:rPr>
              <w:t>22.6</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9.4, 45.1</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838</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9.3</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5.2, 16.1</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402</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12.2</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5.9, 23.4</w:t>
            </w:r>
          </w:p>
        </w:tc>
      </w:tr>
      <w:tr w:rsidR="00F26E45" w:rsidRPr="005B0796" w:rsidTr="00F26E45">
        <w:trPr>
          <w:cantSplit/>
        </w:trPr>
        <w:tc>
          <w:tcPr>
            <w:tcW w:w="1700" w:type="dxa"/>
            <w:hideMark/>
          </w:tcPr>
          <w:p w:rsidR="00F26E45" w:rsidRPr="005B0796" w:rsidRDefault="00F26E45" w:rsidP="008A1DE7">
            <w:pPr>
              <w:pStyle w:val="TableText"/>
              <w:rPr>
                <w:szCs w:val="14"/>
                <w:lang w:eastAsia="en-AU"/>
              </w:rPr>
            </w:pPr>
            <w:r w:rsidRPr="005B0796">
              <w:rPr>
                <w:szCs w:val="14"/>
                <w:lang w:eastAsia="en-AU"/>
              </w:rPr>
              <w:t>Dysthymia</w:t>
            </w:r>
            <w:r w:rsidRPr="005B0796">
              <w:rPr>
                <w:szCs w:val="14"/>
                <w:vertAlign w:val="superscript"/>
                <w:lang w:eastAsia="en-AU"/>
              </w:rPr>
              <w:t>a</w:t>
            </w:r>
          </w:p>
        </w:tc>
        <w:tc>
          <w:tcPr>
            <w:tcW w:w="1334" w:type="dxa"/>
            <w:noWrap/>
            <w:hideMark/>
          </w:tcPr>
          <w:p w:rsidR="00F26E45" w:rsidRPr="005B0796" w:rsidRDefault="00F26E45" w:rsidP="008A1DE7">
            <w:pPr>
              <w:pStyle w:val="TableText"/>
              <w:jc w:val="right"/>
              <w:rPr>
                <w:szCs w:val="14"/>
                <w:lang w:eastAsia="en-AU"/>
              </w:rPr>
            </w:pPr>
            <w:r w:rsidRPr="005B0796">
              <w:rPr>
                <w:szCs w:val="14"/>
                <w:lang w:eastAsia="en-AU"/>
              </w:rPr>
              <w:t>41</w:t>
            </w:r>
          </w:p>
        </w:tc>
        <w:tc>
          <w:tcPr>
            <w:tcW w:w="845" w:type="dxa"/>
            <w:hideMark/>
          </w:tcPr>
          <w:p w:rsidR="00F26E45" w:rsidRPr="005B0796" w:rsidRDefault="00F26E45" w:rsidP="008A1DE7">
            <w:pPr>
              <w:pStyle w:val="TableText"/>
              <w:jc w:val="right"/>
              <w:rPr>
                <w:szCs w:val="14"/>
                <w:lang w:eastAsia="en-AU"/>
              </w:rPr>
            </w:pPr>
            <w:r w:rsidRPr="005B0796">
              <w:rPr>
                <w:szCs w:val="14"/>
                <w:lang w:eastAsia="en-AU"/>
              </w:rPr>
              <w:t>1.7</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0.4, 6.6</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243</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2.7</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0.8, 8.6</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310</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9.4</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4.3, 19.1</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cantSplit/>
        </w:trPr>
        <w:tc>
          <w:tcPr>
            <w:tcW w:w="1700" w:type="dxa"/>
            <w:hideMark/>
          </w:tcPr>
          <w:p w:rsidR="00F26E45" w:rsidRPr="005B0796" w:rsidRDefault="00F26E45" w:rsidP="008A1DE7">
            <w:pPr>
              <w:pStyle w:val="TableText"/>
              <w:rPr>
                <w:szCs w:val="14"/>
                <w:lang w:eastAsia="en-AU"/>
              </w:rPr>
            </w:pPr>
            <w:r w:rsidRPr="005B0796">
              <w:rPr>
                <w:szCs w:val="14"/>
                <w:lang w:eastAsia="en-AU"/>
              </w:rPr>
              <w:t>Bipolar affective disorder</w:t>
            </w:r>
          </w:p>
        </w:tc>
        <w:tc>
          <w:tcPr>
            <w:tcW w:w="1334" w:type="dxa"/>
            <w:noWrap/>
            <w:hideMark/>
          </w:tcPr>
          <w:p w:rsidR="00F26E45" w:rsidRPr="005B0796" w:rsidRDefault="00F26E45" w:rsidP="008A1DE7">
            <w:pPr>
              <w:pStyle w:val="TableText"/>
              <w:jc w:val="right"/>
              <w:rPr>
                <w:szCs w:val="14"/>
                <w:lang w:eastAsia="en-AU"/>
              </w:rPr>
            </w:pPr>
            <w:r w:rsidRPr="005B0796">
              <w:rPr>
                <w:szCs w:val="14"/>
                <w:lang w:eastAsia="en-AU"/>
              </w:rPr>
              <w:t>87</w:t>
            </w:r>
          </w:p>
        </w:tc>
        <w:tc>
          <w:tcPr>
            <w:tcW w:w="845" w:type="dxa"/>
            <w:hideMark/>
          </w:tcPr>
          <w:p w:rsidR="00F26E45" w:rsidRPr="005B0796" w:rsidRDefault="00F26E45" w:rsidP="008A1DE7">
            <w:pPr>
              <w:pStyle w:val="TableText"/>
              <w:jc w:val="right"/>
              <w:rPr>
                <w:szCs w:val="14"/>
                <w:lang w:eastAsia="en-AU"/>
              </w:rPr>
            </w:pPr>
            <w:r w:rsidRPr="005B0796">
              <w:rPr>
                <w:szCs w:val="14"/>
                <w:lang w:eastAsia="en-AU"/>
              </w:rPr>
              <w:t>3.6</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0.7, 16.2</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1316</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14.6</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8.7, 23.5</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376</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11.4</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4.5, 25.7</w:t>
            </w:r>
          </w:p>
        </w:tc>
      </w:tr>
      <w:tr w:rsidR="00F26E45" w:rsidRPr="005B0796" w:rsidTr="00F26E45">
        <w:trPr>
          <w:cantSplit/>
        </w:trPr>
        <w:tc>
          <w:tcPr>
            <w:tcW w:w="1700" w:type="dxa"/>
            <w:noWrap/>
            <w:hideMark/>
          </w:tcPr>
          <w:p w:rsidR="00F26E45" w:rsidRPr="005B0796" w:rsidRDefault="00F26E45" w:rsidP="008A1DE7">
            <w:pPr>
              <w:pStyle w:val="TableText"/>
              <w:rPr>
                <w:szCs w:val="14"/>
                <w:lang w:eastAsia="en-AU"/>
              </w:rPr>
            </w:pPr>
            <w:r w:rsidRPr="005B0796">
              <w:rPr>
                <w:szCs w:val="14"/>
                <w:lang w:eastAsia="en-AU"/>
              </w:rPr>
              <w:t>Any affective disorder</w:t>
            </w:r>
          </w:p>
        </w:tc>
        <w:tc>
          <w:tcPr>
            <w:tcW w:w="1334" w:type="dxa"/>
            <w:noWrap/>
            <w:hideMark/>
          </w:tcPr>
          <w:p w:rsidR="00F26E45" w:rsidRPr="005B0796" w:rsidRDefault="00F26E45" w:rsidP="008A1DE7">
            <w:pPr>
              <w:pStyle w:val="TableText"/>
              <w:jc w:val="right"/>
              <w:rPr>
                <w:szCs w:val="14"/>
                <w:lang w:eastAsia="en-AU"/>
              </w:rPr>
            </w:pPr>
            <w:r w:rsidRPr="005B0796">
              <w:rPr>
                <w:szCs w:val="14"/>
                <w:lang w:eastAsia="en-AU"/>
              </w:rPr>
              <w:t>635</w:t>
            </w:r>
          </w:p>
        </w:tc>
        <w:tc>
          <w:tcPr>
            <w:tcW w:w="845" w:type="dxa"/>
            <w:hideMark/>
          </w:tcPr>
          <w:p w:rsidR="00F26E45" w:rsidRPr="005B0796" w:rsidRDefault="00F26E45" w:rsidP="008A1DE7">
            <w:pPr>
              <w:pStyle w:val="TableText"/>
              <w:jc w:val="right"/>
              <w:rPr>
                <w:szCs w:val="14"/>
                <w:lang w:eastAsia="en-AU"/>
              </w:rPr>
            </w:pPr>
            <w:r w:rsidRPr="005B0796">
              <w:rPr>
                <w:szCs w:val="14"/>
                <w:lang w:eastAsia="en-AU"/>
              </w:rPr>
              <w:t>26.3</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12.0, 48.3</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2371</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26.3</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18.5, 35.9</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883</w:t>
            </w:r>
          </w:p>
        </w:tc>
        <w:tc>
          <w:tcPr>
            <w:tcW w:w="1089" w:type="dxa"/>
            <w:hideMark/>
          </w:tcPr>
          <w:p w:rsidR="00F26E45" w:rsidRPr="005B0796" w:rsidRDefault="00F26E45" w:rsidP="008A1DE7">
            <w:pPr>
              <w:pStyle w:val="TableText"/>
              <w:jc w:val="right"/>
              <w:rPr>
                <w:szCs w:val="14"/>
                <w:lang w:eastAsia="en-AU"/>
              </w:rPr>
            </w:pPr>
            <w:r w:rsidRPr="005B0796">
              <w:rPr>
                <w:szCs w:val="14"/>
                <w:lang w:eastAsia="en-AU"/>
              </w:rPr>
              <w:t>26.8</w:t>
            </w:r>
          </w:p>
        </w:tc>
        <w:tc>
          <w:tcPr>
            <w:tcW w:w="1091" w:type="dxa"/>
            <w:hideMark/>
          </w:tcPr>
          <w:p w:rsidR="00F26E45" w:rsidRPr="005B0796" w:rsidRDefault="00F26E45" w:rsidP="008A1DE7">
            <w:pPr>
              <w:pStyle w:val="TableText"/>
              <w:jc w:val="right"/>
              <w:rPr>
                <w:szCs w:val="14"/>
                <w:lang w:eastAsia="en-AU"/>
              </w:rPr>
            </w:pPr>
            <w:r w:rsidRPr="005B0796">
              <w:rPr>
                <w:szCs w:val="14"/>
                <w:lang w:eastAsia="en-AU"/>
              </w:rPr>
              <w:t>16.1, 41.0</w:t>
            </w:r>
          </w:p>
        </w:tc>
      </w:tr>
    </w:tbl>
    <w:p w:rsidR="00F26E45" w:rsidRPr="005B0796" w:rsidRDefault="00F26E45" w:rsidP="00F26E45">
      <w:pPr>
        <w:pStyle w:val="TableText"/>
      </w:pPr>
    </w:p>
    <w:tbl>
      <w:tblPr>
        <w:tblStyle w:val="TWRPTable"/>
        <w:tblW w:w="5000" w:type="pct"/>
        <w:tblLayout w:type="fixed"/>
        <w:tblLook w:val="04A0" w:firstRow="1" w:lastRow="0" w:firstColumn="1" w:lastColumn="0" w:noHBand="0" w:noVBand="1"/>
        <w:tblDescription w:val="Table 4.23 (cont) Estimated prevalence of 12-month ICD-10 affective disorders in Transitioned ADF, by affective disorder type and years of service in Regular ADF"/>
      </w:tblPr>
      <w:tblGrid>
        <w:gridCol w:w="1701"/>
        <w:gridCol w:w="1089"/>
        <w:gridCol w:w="1089"/>
        <w:gridCol w:w="1089"/>
        <w:gridCol w:w="1089"/>
        <w:gridCol w:w="1091"/>
        <w:gridCol w:w="1089"/>
        <w:gridCol w:w="1089"/>
        <w:gridCol w:w="1089"/>
        <w:gridCol w:w="1091"/>
      </w:tblGrid>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Pr>
          <w:p w:rsidR="00F26E45" w:rsidRPr="005B0796" w:rsidRDefault="00F26E45" w:rsidP="00F26E45">
            <w:pPr>
              <w:pStyle w:val="TableText"/>
              <w:rPr>
                <w:szCs w:val="14"/>
                <w:lang w:eastAsia="en-AU"/>
              </w:rPr>
            </w:pPr>
            <w:r w:rsidRPr="005B0796">
              <w:rPr>
                <w:szCs w:val="14"/>
                <w:lang w:eastAsia="en-AU"/>
              </w:rPr>
              <w:t>ICD-10 affective disorder</w:t>
            </w:r>
          </w:p>
        </w:tc>
        <w:tc>
          <w:tcPr>
            <w:tcW w:w="9805" w:type="dxa"/>
            <w:gridSpan w:val="9"/>
            <w:noWrap/>
          </w:tcPr>
          <w:p w:rsidR="00F26E45" w:rsidRPr="005B0796" w:rsidRDefault="00F26E45" w:rsidP="00F26E45">
            <w:pPr>
              <w:pStyle w:val="TableText"/>
              <w:jc w:val="center"/>
              <w:rPr>
                <w:szCs w:val="14"/>
                <w:lang w:eastAsia="en-AU"/>
              </w:rPr>
            </w:pPr>
            <w:r w:rsidRPr="005B0796">
              <w:rPr>
                <w:szCs w:val="14"/>
                <w:lang w:eastAsia="en-AU"/>
              </w:rPr>
              <w:t>Years of service in Regular ADF</w:t>
            </w:r>
          </w:p>
        </w:tc>
      </w:tr>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1701" w:type="dxa"/>
            <w:vMerge/>
            <w:hideMark/>
          </w:tcPr>
          <w:p w:rsidR="00F26E45" w:rsidRPr="005B0796" w:rsidRDefault="00F26E45" w:rsidP="00F26E45">
            <w:pPr>
              <w:pStyle w:val="TableText"/>
              <w:rPr>
                <w:szCs w:val="14"/>
                <w:lang w:eastAsia="en-AU"/>
              </w:rPr>
            </w:pPr>
          </w:p>
        </w:tc>
        <w:tc>
          <w:tcPr>
            <w:tcW w:w="3267" w:type="dxa"/>
            <w:gridSpan w:val="3"/>
            <w:noWrap/>
            <w:hideMark/>
          </w:tcPr>
          <w:p w:rsidR="00F26E45" w:rsidRPr="005B0796" w:rsidRDefault="00F26E45" w:rsidP="00F26E45">
            <w:pPr>
              <w:pStyle w:val="TableText"/>
              <w:jc w:val="center"/>
              <w:rPr>
                <w:szCs w:val="14"/>
                <w:lang w:eastAsia="en-AU"/>
              </w:rPr>
            </w:pPr>
            <w:r w:rsidRPr="005B0796">
              <w:rPr>
                <w:szCs w:val="14"/>
                <w:lang w:eastAsia="en-AU"/>
              </w:rPr>
              <w:t>12–15.9 years</w:t>
            </w:r>
            <w:r w:rsidRPr="005B0796">
              <w:rPr>
                <w:szCs w:val="14"/>
                <w:lang w:eastAsia="en-AU"/>
              </w:rPr>
              <w:br/>
              <w:t>(n = 2086)</w:t>
            </w:r>
          </w:p>
        </w:tc>
        <w:tc>
          <w:tcPr>
            <w:tcW w:w="3269" w:type="dxa"/>
            <w:gridSpan w:val="3"/>
          </w:tcPr>
          <w:p w:rsidR="00F26E45" w:rsidRPr="005B0796" w:rsidRDefault="00F26E45" w:rsidP="00F26E45">
            <w:pPr>
              <w:pStyle w:val="TableText"/>
              <w:jc w:val="center"/>
              <w:rPr>
                <w:szCs w:val="14"/>
                <w:lang w:eastAsia="en-AU"/>
              </w:rPr>
            </w:pPr>
            <w:r w:rsidRPr="005B0796">
              <w:rPr>
                <w:szCs w:val="14"/>
                <w:lang w:eastAsia="en-AU"/>
              </w:rPr>
              <w:t>16–19.9 years</w:t>
            </w:r>
            <w:r w:rsidRPr="005B0796">
              <w:rPr>
                <w:szCs w:val="14"/>
                <w:lang w:eastAsia="en-AU"/>
              </w:rPr>
              <w:br/>
              <w:t>(n = 967)</w:t>
            </w:r>
          </w:p>
        </w:tc>
        <w:tc>
          <w:tcPr>
            <w:tcW w:w="3269" w:type="dxa"/>
            <w:gridSpan w:val="3"/>
          </w:tcPr>
          <w:p w:rsidR="00F26E45" w:rsidRPr="005B0796" w:rsidRDefault="00F26E45" w:rsidP="00F26E45">
            <w:pPr>
              <w:pStyle w:val="TableText"/>
              <w:jc w:val="center"/>
              <w:rPr>
                <w:szCs w:val="14"/>
                <w:lang w:eastAsia="en-AU"/>
              </w:rPr>
            </w:pPr>
            <w:r w:rsidRPr="005B0796">
              <w:rPr>
                <w:szCs w:val="14"/>
                <w:lang w:eastAsia="en-AU"/>
              </w:rPr>
              <w:t>&gt; 20 years</w:t>
            </w:r>
            <w:r w:rsidRPr="005B0796">
              <w:rPr>
                <w:szCs w:val="14"/>
                <w:lang w:eastAsia="en-AU"/>
              </w:rPr>
              <w:br/>
              <w:t>(n = 5772)</w:t>
            </w:r>
          </w:p>
        </w:tc>
      </w:tr>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1701" w:type="dxa"/>
            <w:vMerge/>
            <w:noWrap/>
            <w:hideMark/>
          </w:tcPr>
          <w:p w:rsidR="00F26E45" w:rsidRPr="005B0796" w:rsidRDefault="00F26E45" w:rsidP="00F26E45">
            <w:pPr>
              <w:pStyle w:val="TableText"/>
              <w:rPr>
                <w:szCs w:val="14"/>
                <w:lang w:eastAsia="en-AU"/>
              </w:rPr>
            </w:pPr>
          </w:p>
        </w:tc>
        <w:tc>
          <w:tcPr>
            <w:tcW w:w="1089" w:type="dxa"/>
            <w:noWrap/>
            <w:hideMark/>
          </w:tcPr>
          <w:p w:rsidR="00F26E45" w:rsidRPr="005B0796" w:rsidRDefault="00F26E45" w:rsidP="00F26E45">
            <w:pPr>
              <w:pStyle w:val="TableText"/>
              <w:jc w:val="right"/>
              <w:rPr>
                <w:szCs w:val="14"/>
                <w:lang w:eastAsia="en-AU"/>
              </w:rPr>
            </w:pPr>
            <w:r w:rsidRPr="005B0796">
              <w:rPr>
                <w:szCs w:val="14"/>
                <w:lang w:eastAsia="en-AU"/>
              </w:rPr>
              <w:t>Weighted n</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95% CI</w:t>
            </w:r>
          </w:p>
        </w:tc>
        <w:tc>
          <w:tcPr>
            <w:tcW w:w="1089" w:type="dxa"/>
          </w:tcPr>
          <w:p w:rsidR="00F26E45" w:rsidRPr="005B0796" w:rsidRDefault="00F26E45" w:rsidP="00F26E45">
            <w:pPr>
              <w:pStyle w:val="TableText"/>
              <w:jc w:val="right"/>
              <w:rPr>
                <w:szCs w:val="14"/>
                <w:lang w:eastAsia="en-AU"/>
              </w:rPr>
            </w:pPr>
            <w:r w:rsidRPr="005B0796">
              <w:rPr>
                <w:szCs w:val="14"/>
                <w:lang w:eastAsia="en-AU"/>
              </w:rPr>
              <w:t>Weighted n</w:t>
            </w:r>
          </w:p>
        </w:tc>
        <w:tc>
          <w:tcPr>
            <w:tcW w:w="1091" w:type="dxa"/>
          </w:tcPr>
          <w:p w:rsidR="00F26E45" w:rsidRPr="005B0796" w:rsidRDefault="00F26E45" w:rsidP="00F26E45">
            <w:pPr>
              <w:pStyle w:val="TableText"/>
              <w:jc w:val="right"/>
              <w:rPr>
                <w:szCs w:val="14"/>
                <w:lang w:eastAsia="en-AU"/>
              </w:rPr>
            </w:pPr>
            <w:r w:rsidRPr="005B0796">
              <w:rPr>
                <w:szCs w:val="14"/>
                <w:lang w:eastAsia="en-AU"/>
              </w:rPr>
              <w:t>%</w:t>
            </w:r>
          </w:p>
        </w:tc>
        <w:tc>
          <w:tcPr>
            <w:tcW w:w="1089" w:type="dxa"/>
          </w:tcPr>
          <w:p w:rsidR="00F26E45" w:rsidRPr="005B0796" w:rsidRDefault="00F26E45" w:rsidP="00F26E45">
            <w:pPr>
              <w:pStyle w:val="TableText"/>
              <w:jc w:val="right"/>
              <w:rPr>
                <w:szCs w:val="14"/>
                <w:lang w:eastAsia="en-AU"/>
              </w:rPr>
            </w:pPr>
            <w:r w:rsidRPr="005B0796">
              <w:rPr>
                <w:szCs w:val="14"/>
                <w:lang w:eastAsia="en-AU"/>
              </w:rPr>
              <w:t>95% CI</w:t>
            </w:r>
          </w:p>
        </w:tc>
        <w:tc>
          <w:tcPr>
            <w:tcW w:w="1089" w:type="dxa"/>
          </w:tcPr>
          <w:p w:rsidR="00F26E45" w:rsidRPr="005B0796" w:rsidRDefault="00F26E45" w:rsidP="00F26E45">
            <w:pPr>
              <w:pStyle w:val="TableText"/>
              <w:jc w:val="right"/>
              <w:rPr>
                <w:szCs w:val="14"/>
                <w:lang w:eastAsia="en-AU"/>
              </w:rPr>
            </w:pPr>
            <w:r w:rsidRPr="005B0796">
              <w:rPr>
                <w:szCs w:val="14"/>
                <w:lang w:eastAsia="en-AU"/>
              </w:rPr>
              <w:t>Weighted n</w:t>
            </w:r>
          </w:p>
        </w:tc>
        <w:tc>
          <w:tcPr>
            <w:tcW w:w="1089" w:type="dxa"/>
          </w:tcPr>
          <w:p w:rsidR="00F26E45" w:rsidRPr="005B0796" w:rsidRDefault="00F26E45" w:rsidP="00F26E45">
            <w:pPr>
              <w:pStyle w:val="TableText"/>
              <w:jc w:val="right"/>
              <w:rPr>
                <w:szCs w:val="14"/>
                <w:lang w:eastAsia="en-AU"/>
              </w:rPr>
            </w:pPr>
            <w:r w:rsidRPr="005B0796">
              <w:rPr>
                <w:szCs w:val="14"/>
                <w:lang w:eastAsia="en-AU"/>
              </w:rPr>
              <w:t>%</w:t>
            </w:r>
          </w:p>
        </w:tc>
        <w:tc>
          <w:tcPr>
            <w:tcW w:w="1091" w:type="dxa"/>
          </w:tcPr>
          <w:p w:rsidR="00F26E45" w:rsidRPr="005B0796" w:rsidRDefault="00F26E45" w:rsidP="00F26E45">
            <w:pPr>
              <w:pStyle w:val="TableText"/>
              <w:jc w:val="right"/>
              <w:rPr>
                <w:szCs w:val="14"/>
                <w:lang w:eastAsia="en-AU"/>
              </w:rPr>
            </w:pPr>
            <w:r w:rsidRPr="005B0796">
              <w:rPr>
                <w:szCs w:val="14"/>
                <w:lang w:eastAsia="en-AU"/>
              </w:rPr>
              <w:t>95% CI</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trPr>
        <w:tc>
          <w:tcPr>
            <w:tcW w:w="1701" w:type="dxa"/>
            <w:hideMark/>
          </w:tcPr>
          <w:p w:rsidR="00F26E45" w:rsidRPr="005B0796" w:rsidRDefault="00F26E45" w:rsidP="00F26E45">
            <w:pPr>
              <w:pStyle w:val="TableText"/>
              <w:rPr>
                <w:szCs w:val="14"/>
                <w:lang w:eastAsia="en-AU"/>
              </w:rPr>
            </w:pPr>
            <w:r w:rsidRPr="005B0796">
              <w:rPr>
                <w:szCs w:val="14"/>
                <w:lang w:eastAsia="en-AU"/>
              </w:rPr>
              <w:t>Depressive episodes</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261</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12.5</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6.2, 23.4</w:t>
            </w:r>
          </w:p>
        </w:tc>
        <w:tc>
          <w:tcPr>
            <w:tcW w:w="1089" w:type="dxa"/>
          </w:tcPr>
          <w:p w:rsidR="00F26E45" w:rsidRPr="005B0796" w:rsidRDefault="00F26E45" w:rsidP="00F26E45">
            <w:pPr>
              <w:pStyle w:val="TableText"/>
              <w:jc w:val="right"/>
              <w:rPr>
                <w:szCs w:val="14"/>
                <w:lang w:eastAsia="en-AU"/>
              </w:rPr>
            </w:pPr>
            <w:r w:rsidRPr="005B0796">
              <w:rPr>
                <w:szCs w:val="14"/>
                <w:lang w:eastAsia="en-AU"/>
              </w:rPr>
              <w:t>97</w:t>
            </w:r>
          </w:p>
        </w:tc>
        <w:tc>
          <w:tcPr>
            <w:tcW w:w="1091" w:type="dxa"/>
          </w:tcPr>
          <w:p w:rsidR="00F26E45" w:rsidRPr="005B0796" w:rsidRDefault="00F26E45" w:rsidP="00F26E45">
            <w:pPr>
              <w:pStyle w:val="TableText"/>
              <w:jc w:val="right"/>
              <w:rPr>
                <w:szCs w:val="14"/>
                <w:lang w:eastAsia="en-AU"/>
              </w:rPr>
            </w:pPr>
            <w:r w:rsidRPr="005B0796">
              <w:rPr>
                <w:szCs w:val="14"/>
                <w:lang w:eastAsia="en-AU"/>
              </w:rPr>
              <w:t>10.0</w:t>
            </w:r>
          </w:p>
        </w:tc>
        <w:tc>
          <w:tcPr>
            <w:tcW w:w="1089" w:type="dxa"/>
          </w:tcPr>
          <w:p w:rsidR="00F26E45" w:rsidRPr="005B0796" w:rsidRDefault="00F26E45" w:rsidP="00F26E45">
            <w:pPr>
              <w:pStyle w:val="TableText"/>
              <w:jc w:val="right"/>
              <w:rPr>
                <w:szCs w:val="14"/>
                <w:lang w:eastAsia="en-AU"/>
              </w:rPr>
            </w:pPr>
            <w:r w:rsidRPr="005B0796">
              <w:rPr>
                <w:szCs w:val="14"/>
                <w:lang w:eastAsia="en-AU"/>
              </w:rPr>
              <w:t>4.9, 19.5</w:t>
            </w:r>
          </w:p>
        </w:tc>
        <w:tc>
          <w:tcPr>
            <w:tcW w:w="1089" w:type="dxa"/>
          </w:tcPr>
          <w:p w:rsidR="00F26E45" w:rsidRPr="005B0796" w:rsidRDefault="00F26E45" w:rsidP="00F26E45">
            <w:pPr>
              <w:pStyle w:val="TableText"/>
              <w:jc w:val="right"/>
              <w:rPr>
                <w:szCs w:val="14"/>
                <w:lang w:eastAsia="en-AU"/>
              </w:rPr>
            </w:pPr>
            <w:r w:rsidRPr="005B0796">
              <w:rPr>
                <w:szCs w:val="14"/>
                <w:lang w:eastAsia="en-AU"/>
              </w:rPr>
              <w:t>664</w:t>
            </w:r>
          </w:p>
        </w:tc>
        <w:tc>
          <w:tcPr>
            <w:tcW w:w="1089" w:type="dxa"/>
          </w:tcPr>
          <w:p w:rsidR="00F26E45" w:rsidRPr="005B0796" w:rsidRDefault="00F26E45" w:rsidP="00F26E45">
            <w:pPr>
              <w:pStyle w:val="TableText"/>
              <w:jc w:val="right"/>
              <w:rPr>
                <w:szCs w:val="14"/>
                <w:lang w:eastAsia="en-AU"/>
              </w:rPr>
            </w:pPr>
            <w:r w:rsidRPr="005B0796">
              <w:rPr>
                <w:szCs w:val="14"/>
                <w:lang w:eastAsia="en-AU"/>
              </w:rPr>
              <w:t>11.5</w:t>
            </w:r>
          </w:p>
        </w:tc>
        <w:tc>
          <w:tcPr>
            <w:tcW w:w="1091" w:type="dxa"/>
          </w:tcPr>
          <w:p w:rsidR="00F26E45" w:rsidRPr="005B0796" w:rsidRDefault="00F26E45" w:rsidP="00F26E45">
            <w:pPr>
              <w:pStyle w:val="TableText"/>
              <w:jc w:val="right"/>
              <w:rPr>
                <w:szCs w:val="14"/>
                <w:lang w:eastAsia="en-AU"/>
              </w:rPr>
            </w:pPr>
            <w:r w:rsidRPr="005B0796">
              <w:rPr>
                <w:szCs w:val="14"/>
                <w:lang w:eastAsia="en-AU"/>
              </w:rPr>
              <w:t>8.4, 15.6</w:t>
            </w:r>
          </w:p>
        </w:tc>
      </w:tr>
      <w:tr w:rsidR="00F26E45" w:rsidRPr="005B0796" w:rsidTr="00F26E45">
        <w:tc>
          <w:tcPr>
            <w:tcW w:w="1701" w:type="dxa"/>
            <w:hideMark/>
          </w:tcPr>
          <w:p w:rsidR="00F26E45" w:rsidRPr="005B0796" w:rsidRDefault="00F26E45" w:rsidP="00F26E45">
            <w:pPr>
              <w:pStyle w:val="TableText"/>
              <w:rPr>
                <w:szCs w:val="14"/>
                <w:lang w:eastAsia="en-AU"/>
              </w:rPr>
            </w:pPr>
            <w:r w:rsidRPr="005B0796">
              <w:rPr>
                <w:szCs w:val="14"/>
                <w:lang w:eastAsia="en-AU"/>
              </w:rPr>
              <w:t>Dysthymia</w:t>
            </w:r>
            <w:r w:rsidRPr="005B0796">
              <w:rPr>
                <w:szCs w:val="14"/>
                <w:vertAlign w:val="superscript"/>
                <w:lang w:eastAsia="en-AU"/>
              </w:rPr>
              <w:t>a</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127</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6.1</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1.8, 18.5</w:t>
            </w:r>
          </w:p>
        </w:tc>
        <w:tc>
          <w:tcPr>
            <w:tcW w:w="1089" w:type="dxa"/>
          </w:tcPr>
          <w:p w:rsidR="00F26E45" w:rsidRPr="005B0796" w:rsidRDefault="00F26E45" w:rsidP="00F26E45">
            <w:pPr>
              <w:pStyle w:val="TableText"/>
              <w:jc w:val="right"/>
              <w:rPr>
                <w:szCs w:val="14"/>
                <w:lang w:eastAsia="en-AU"/>
              </w:rPr>
            </w:pPr>
            <w:r w:rsidRPr="005B0796">
              <w:rPr>
                <w:szCs w:val="14"/>
                <w:lang w:eastAsia="en-AU"/>
              </w:rPr>
              <w:t>33</w:t>
            </w:r>
          </w:p>
        </w:tc>
        <w:tc>
          <w:tcPr>
            <w:tcW w:w="1091" w:type="dxa"/>
          </w:tcPr>
          <w:p w:rsidR="00F26E45" w:rsidRPr="005B0796" w:rsidRDefault="00F26E45" w:rsidP="00F26E45">
            <w:pPr>
              <w:pStyle w:val="TableText"/>
              <w:jc w:val="right"/>
              <w:rPr>
                <w:szCs w:val="14"/>
                <w:lang w:eastAsia="en-AU"/>
              </w:rPr>
            </w:pPr>
            <w:r w:rsidRPr="005B0796">
              <w:rPr>
                <w:szCs w:val="14"/>
                <w:lang w:eastAsia="en-AU"/>
              </w:rPr>
              <w:t>3.4</w:t>
            </w:r>
          </w:p>
        </w:tc>
        <w:tc>
          <w:tcPr>
            <w:tcW w:w="1089" w:type="dxa"/>
          </w:tcPr>
          <w:p w:rsidR="00F26E45" w:rsidRPr="005B0796" w:rsidRDefault="00F26E45" w:rsidP="00F26E45">
            <w:pPr>
              <w:pStyle w:val="TableText"/>
              <w:jc w:val="right"/>
              <w:rPr>
                <w:szCs w:val="14"/>
                <w:lang w:eastAsia="en-AU"/>
              </w:rPr>
            </w:pPr>
            <w:r w:rsidRPr="005B0796">
              <w:rPr>
                <w:szCs w:val="14"/>
                <w:lang w:eastAsia="en-AU"/>
              </w:rPr>
              <w:t>0.9, 12.3</w:t>
            </w:r>
          </w:p>
        </w:tc>
        <w:tc>
          <w:tcPr>
            <w:tcW w:w="1089" w:type="dxa"/>
          </w:tcPr>
          <w:p w:rsidR="00F26E45" w:rsidRPr="005B0796" w:rsidRDefault="00F26E45" w:rsidP="00F26E45">
            <w:pPr>
              <w:pStyle w:val="TableText"/>
              <w:jc w:val="right"/>
              <w:rPr>
                <w:szCs w:val="14"/>
                <w:lang w:eastAsia="en-AU"/>
              </w:rPr>
            </w:pPr>
            <w:r w:rsidRPr="005B0796">
              <w:rPr>
                <w:szCs w:val="14"/>
                <w:lang w:eastAsia="en-AU"/>
              </w:rPr>
              <w:t>352</w:t>
            </w:r>
          </w:p>
        </w:tc>
        <w:tc>
          <w:tcPr>
            <w:tcW w:w="1089" w:type="dxa"/>
          </w:tcPr>
          <w:p w:rsidR="00F26E45" w:rsidRPr="005B0796" w:rsidRDefault="00F26E45" w:rsidP="00F26E45">
            <w:pPr>
              <w:pStyle w:val="TableText"/>
              <w:jc w:val="right"/>
              <w:rPr>
                <w:szCs w:val="14"/>
                <w:lang w:eastAsia="en-AU"/>
              </w:rPr>
            </w:pPr>
            <w:r w:rsidRPr="005B0796">
              <w:rPr>
                <w:szCs w:val="14"/>
                <w:lang w:eastAsia="en-AU"/>
              </w:rPr>
              <w:t>6.1</w:t>
            </w:r>
          </w:p>
        </w:tc>
        <w:tc>
          <w:tcPr>
            <w:tcW w:w="1091" w:type="dxa"/>
          </w:tcPr>
          <w:p w:rsidR="00F26E45" w:rsidRPr="005B0796" w:rsidRDefault="00F26E45" w:rsidP="00F26E45">
            <w:pPr>
              <w:pStyle w:val="TableText"/>
              <w:jc w:val="right"/>
              <w:rPr>
                <w:szCs w:val="14"/>
                <w:lang w:eastAsia="en-AU"/>
              </w:rPr>
            </w:pPr>
            <w:r w:rsidRPr="005B0796">
              <w:rPr>
                <w:szCs w:val="14"/>
                <w:lang w:eastAsia="en-AU"/>
              </w:rPr>
              <w:t>3.6, 10.2</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trPr>
        <w:tc>
          <w:tcPr>
            <w:tcW w:w="1701" w:type="dxa"/>
            <w:hideMark/>
          </w:tcPr>
          <w:p w:rsidR="00F26E45" w:rsidRPr="005B0796" w:rsidRDefault="00F26E45" w:rsidP="00F26E45">
            <w:pPr>
              <w:pStyle w:val="TableText"/>
              <w:rPr>
                <w:szCs w:val="14"/>
                <w:lang w:eastAsia="en-AU"/>
              </w:rPr>
            </w:pPr>
            <w:r w:rsidRPr="005B0796">
              <w:rPr>
                <w:szCs w:val="14"/>
                <w:lang w:eastAsia="en-AU"/>
              </w:rPr>
              <w:t>Bipolar affective disorder</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125</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6.0</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2.8, 12.5</w:t>
            </w:r>
          </w:p>
        </w:tc>
        <w:tc>
          <w:tcPr>
            <w:tcW w:w="1089" w:type="dxa"/>
          </w:tcPr>
          <w:p w:rsidR="00F26E45" w:rsidRPr="005B0796" w:rsidRDefault="00F26E45" w:rsidP="00F26E45">
            <w:pPr>
              <w:pStyle w:val="TableText"/>
              <w:jc w:val="right"/>
              <w:rPr>
                <w:szCs w:val="14"/>
                <w:lang w:eastAsia="en-AU"/>
              </w:rPr>
            </w:pPr>
            <w:r w:rsidRPr="005B0796">
              <w:rPr>
                <w:szCs w:val="14"/>
                <w:lang w:eastAsia="en-AU"/>
              </w:rPr>
              <w:t>76</w:t>
            </w:r>
          </w:p>
        </w:tc>
        <w:tc>
          <w:tcPr>
            <w:tcW w:w="1091" w:type="dxa"/>
          </w:tcPr>
          <w:p w:rsidR="00F26E45" w:rsidRPr="005B0796" w:rsidRDefault="00F26E45" w:rsidP="00F26E45">
            <w:pPr>
              <w:pStyle w:val="TableText"/>
              <w:jc w:val="right"/>
              <w:rPr>
                <w:szCs w:val="14"/>
                <w:lang w:eastAsia="en-AU"/>
              </w:rPr>
            </w:pPr>
            <w:r w:rsidRPr="005B0796">
              <w:rPr>
                <w:szCs w:val="14"/>
                <w:lang w:eastAsia="en-AU"/>
              </w:rPr>
              <w:t>7.9</w:t>
            </w:r>
          </w:p>
        </w:tc>
        <w:tc>
          <w:tcPr>
            <w:tcW w:w="1089" w:type="dxa"/>
          </w:tcPr>
          <w:p w:rsidR="00F26E45" w:rsidRPr="005B0796" w:rsidRDefault="00F26E45" w:rsidP="00F26E45">
            <w:pPr>
              <w:pStyle w:val="TableText"/>
              <w:jc w:val="right"/>
              <w:rPr>
                <w:szCs w:val="14"/>
                <w:lang w:eastAsia="en-AU"/>
              </w:rPr>
            </w:pPr>
            <w:r w:rsidRPr="005B0796">
              <w:rPr>
                <w:szCs w:val="14"/>
                <w:lang w:eastAsia="en-AU"/>
              </w:rPr>
              <w:t>3.6, 16.4</w:t>
            </w:r>
          </w:p>
        </w:tc>
        <w:tc>
          <w:tcPr>
            <w:tcW w:w="1089" w:type="dxa"/>
          </w:tcPr>
          <w:p w:rsidR="00F26E45" w:rsidRPr="005B0796" w:rsidRDefault="00F26E45" w:rsidP="00F26E45">
            <w:pPr>
              <w:pStyle w:val="TableText"/>
              <w:jc w:val="right"/>
              <w:rPr>
                <w:szCs w:val="14"/>
                <w:lang w:eastAsia="en-AU"/>
              </w:rPr>
            </w:pPr>
            <w:r w:rsidRPr="005B0796">
              <w:rPr>
                <w:szCs w:val="14"/>
                <w:lang w:eastAsia="en-AU"/>
              </w:rPr>
              <w:t>260</w:t>
            </w:r>
          </w:p>
        </w:tc>
        <w:tc>
          <w:tcPr>
            <w:tcW w:w="1089" w:type="dxa"/>
          </w:tcPr>
          <w:p w:rsidR="00F26E45" w:rsidRPr="005B0796" w:rsidRDefault="00F26E45" w:rsidP="00F26E45">
            <w:pPr>
              <w:pStyle w:val="TableText"/>
              <w:jc w:val="right"/>
              <w:rPr>
                <w:szCs w:val="14"/>
                <w:lang w:eastAsia="en-AU"/>
              </w:rPr>
            </w:pPr>
            <w:r w:rsidRPr="005B0796">
              <w:rPr>
                <w:szCs w:val="14"/>
                <w:lang w:eastAsia="en-AU"/>
              </w:rPr>
              <w:t>4.5</w:t>
            </w:r>
          </w:p>
        </w:tc>
        <w:tc>
          <w:tcPr>
            <w:tcW w:w="1091" w:type="dxa"/>
          </w:tcPr>
          <w:p w:rsidR="00F26E45" w:rsidRPr="005B0796" w:rsidRDefault="00F26E45" w:rsidP="00F26E45">
            <w:pPr>
              <w:pStyle w:val="TableText"/>
              <w:jc w:val="right"/>
              <w:rPr>
                <w:szCs w:val="14"/>
                <w:lang w:eastAsia="en-AU"/>
              </w:rPr>
            </w:pPr>
            <w:r w:rsidRPr="005B0796">
              <w:rPr>
                <w:szCs w:val="14"/>
                <w:lang w:eastAsia="en-AU"/>
              </w:rPr>
              <w:t>2.4, 8.3</w:t>
            </w:r>
          </w:p>
        </w:tc>
      </w:tr>
      <w:tr w:rsidR="00F26E45" w:rsidRPr="005B0796" w:rsidTr="00F26E45">
        <w:tc>
          <w:tcPr>
            <w:tcW w:w="1701" w:type="dxa"/>
            <w:noWrap/>
            <w:hideMark/>
          </w:tcPr>
          <w:p w:rsidR="00F26E45" w:rsidRPr="005B0796" w:rsidRDefault="00F26E45" w:rsidP="00F26E45">
            <w:pPr>
              <w:pStyle w:val="TableText"/>
              <w:rPr>
                <w:szCs w:val="14"/>
                <w:lang w:eastAsia="en-AU"/>
              </w:rPr>
            </w:pPr>
            <w:r w:rsidRPr="005B0796">
              <w:rPr>
                <w:szCs w:val="14"/>
                <w:lang w:eastAsia="en-AU"/>
              </w:rPr>
              <w:t>Any affective disorder</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401</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19.2</w:t>
            </w:r>
          </w:p>
        </w:tc>
        <w:tc>
          <w:tcPr>
            <w:tcW w:w="1089" w:type="dxa"/>
            <w:hideMark/>
          </w:tcPr>
          <w:p w:rsidR="00F26E45" w:rsidRPr="005B0796" w:rsidRDefault="00F26E45" w:rsidP="00F26E45">
            <w:pPr>
              <w:pStyle w:val="TableText"/>
              <w:jc w:val="right"/>
              <w:rPr>
                <w:szCs w:val="14"/>
                <w:lang w:eastAsia="en-AU"/>
              </w:rPr>
            </w:pPr>
            <w:r w:rsidRPr="005B0796">
              <w:rPr>
                <w:szCs w:val="14"/>
                <w:lang w:eastAsia="en-AU"/>
              </w:rPr>
              <w:t>11.5, 30.3</w:t>
            </w:r>
          </w:p>
        </w:tc>
        <w:tc>
          <w:tcPr>
            <w:tcW w:w="1089" w:type="dxa"/>
          </w:tcPr>
          <w:p w:rsidR="00F26E45" w:rsidRPr="005B0796" w:rsidRDefault="00F26E45" w:rsidP="00F26E45">
            <w:pPr>
              <w:pStyle w:val="TableText"/>
              <w:jc w:val="right"/>
              <w:rPr>
                <w:szCs w:val="14"/>
                <w:lang w:eastAsia="en-AU"/>
              </w:rPr>
            </w:pPr>
            <w:r w:rsidRPr="005B0796">
              <w:rPr>
                <w:szCs w:val="14"/>
                <w:lang w:eastAsia="en-AU"/>
              </w:rPr>
              <w:t>193</w:t>
            </w:r>
          </w:p>
        </w:tc>
        <w:tc>
          <w:tcPr>
            <w:tcW w:w="1091" w:type="dxa"/>
          </w:tcPr>
          <w:p w:rsidR="00F26E45" w:rsidRPr="005B0796" w:rsidRDefault="00F26E45" w:rsidP="00F26E45">
            <w:pPr>
              <w:pStyle w:val="TableText"/>
              <w:jc w:val="right"/>
              <w:rPr>
                <w:szCs w:val="14"/>
                <w:lang w:eastAsia="en-AU"/>
              </w:rPr>
            </w:pPr>
            <w:r w:rsidRPr="005B0796">
              <w:rPr>
                <w:szCs w:val="14"/>
                <w:lang w:eastAsia="en-AU"/>
              </w:rPr>
              <w:t>20</w:t>
            </w:r>
          </w:p>
        </w:tc>
        <w:tc>
          <w:tcPr>
            <w:tcW w:w="1089" w:type="dxa"/>
          </w:tcPr>
          <w:p w:rsidR="00F26E45" w:rsidRPr="005B0796" w:rsidRDefault="00F26E45" w:rsidP="00F26E45">
            <w:pPr>
              <w:pStyle w:val="TableText"/>
              <w:jc w:val="right"/>
              <w:rPr>
                <w:szCs w:val="14"/>
                <w:lang w:eastAsia="en-AU"/>
              </w:rPr>
            </w:pPr>
            <w:r w:rsidRPr="005B0796">
              <w:rPr>
                <w:szCs w:val="14"/>
                <w:lang w:eastAsia="en-AU"/>
              </w:rPr>
              <w:t>12.1, 31.1</w:t>
            </w:r>
          </w:p>
        </w:tc>
        <w:tc>
          <w:tcPr>
            <w:tcW w:w="1089" w:type="dxa"/>
          </w:tcPr>
          <w:p w:rsidR="00F26E45" w:rsidRPr="005B0796" w:rsidRDefault="00F26E45" w:rsidP="00F26E45">
            <w:pPr>
              <w:pStyle w:val="TableText"/>
              <w:jc w:val="right"/>
              <w:rPr>
                <w:szCs w:val="14"/>
                <w:lang w:eastAsia="en-AU"/>
              </w:rPr>
            </w:pPr>
            <w:r w:rsidRPr="005B0796">
              <w:rPr>
                <w:szCs w:val="14"/>
                <w:lang w:eastAsia="en-AU"/>
              </w:rPr>
              <w:t>1074</w:t>
            </w:r>
          </w:p>
        </w:tc>
        <w:tc>
          <w:tcPr>
            <w:tcW w:w="1089" w:type="dxa"/>
          </w:tcPr>
          <w:p w:rsidR="00F26E45" w:rsidRPr="005B0796" w:rsidRDefault="00F26E45" w:rsidP="00F26E45">
            <w:pPr>
              <w:pStyle w:val="TableText"/>
              <w:jc w:val="right"/>
              <w:rPr>
                <w:szCs w:val="14"/>
                <w:lang w:eastAsia="en-AU"/>
              </w:rPr>
            </w:pPr>
            <w:r w:rsidRPr="005B0796">
              <w:rPr>
                <w:szCs w:val="14"/>
                <w:lang w:eastAsia="en-AU"/>
              </w:rPr>
              <w:t>18.6</w:t>
            </w:r>
          </w:p>
        </w:tc>
        <w:tc>
          <w:tcPr>
            <w:tcW w:w="1091" w:type="dxa"/>
          </w:tcPr>
          <w:p w:rsidR="00F26E45" w:rsidRPr="005B0796" w:rsidRDefault="00F26E45" w:rsidP="00F26E45">
            <w:pPr>
              <w:pStyle w:val="TableText"/>
              <w:jc w:val="right"/>
              <w:rPr>
                <w:szCs w:val="14"/>
                <w:lang w:eastAsia="en-AU"/>
              </w:rPr>
            </w:pPr>
            <w:r w:rsidRPr="005B0796">
              <w:rPr>
                <w:szCs w:val="14"/>
                <w:lang w:eastAsia="en-AU"/>
              </w:rPr>
              <w:t>14.3, 23.8</w:t>
            </w:r>
          </w:p>
        </w:tc>
      </w:tr>
    </w:tbl>
    <w:p w:rsidR="00997E39" w:rsidRPr="005B0796" w:rsidRDefault="00997E39" w:rsidP="00997E39">
      <w:pPr>
        <w:pStyle w:val="TableNotes"/>
      </w:pPr>
      <w:r w:rsidRPr="005B0796">
        <w:rPr>
          <w:rFonts w:eastAsia="Times New Roman"/>
          <w:vertAlign w:val="superscript"/>
          <w:lang w:eastAsia="en-AU"/>
        </w:rPr>
        <w:t>a</w:t>
      </w:r>
      <w:r w:rsidRPr="005B0796">
        <w:t xml:space="preserve"> 8–11.9 vs &lt; 4 years of Regular Service: OR 7.4, 95% CI 1.3, 43.9</w:t>
      </w:r>
    </w:p>
    <w:p w:rsidR="00997E39" w:rsidRPr="005B0796" w:rsidRDefault="00997E39" w:rsidP="00997E39">
      <w:pPr>
        <w:pStyle w:val="TableNotes"/>
        <w:rPr>
          <w:rFonts w:cs="Calibri"/>
          <w:bCs/>
        </w:rPr>
      </w:pPr>
      <w:r w:rsidRPr="005B0796">
        <w:rPr>
          <w:rFonts w:cs="Calibri"/>
          <w:bCs/>
        </w:rPr>
        <w:t xml:space="preserve">Note: 95% CI: 95% </w:t>
      </w:r>
      <w:r w:rsidR="00564689" w:rsidRPr="005B0796">
        <w:rPr>
          <w:rFonts w:cs="Calibri"/>
          <w:bCs/>
        </w:rPr>
        <w:t>confidence interval</w:t>
      </w:r>
    </w:p>
    <w:p w:rsidR="00545711" w:rsidRPr="005B0796" w:rsidRDefault="00545711" w:rsidP="00997E39">
      <w:pPr>
        <w:pStyle w:val="TableName"/>
      </w:pPr>
      <w:bookmarkStart w:id="575" w:name="_Ref494280159"/>
      <w:bookmarkStart w:id="576" w:name="_Toc511900427"/>
      <w:bookmarkStart w:id="577" w:name="_Ref484519607"/>
      <w:bookmarkStart w:id="578" w:name="_Toc482023776"/>
      <w:bookmarkStart w:id="579" w:name="_Toc487014275"/>
      <w:bookmarkStart w:id="580" w:name="_Toc49299557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24</w:t>
      </w:r>
      <w:r w:rsidR="00D30A3C">
        <w:rPr>
          <w:noProof/>
        </w:rPr>
        <w:fldChar w:fldCharType="end"/>
      </w:r>
      <w:bookmarkEnd w:id="575"/>
      <w:r w:rsidR="003266FC" w:rsidRPr="005B0796">
        <w:tab/>
      </w:r>
      <w:r w:rsidRPr="005B0796">
        <w:t>Estimated prevalence of 12-month ICD-10 affective disorders in Transitioned ADF, by affective disorder type and years since transition</w:t>
      </w:r>
      <w:bookmarkEnd w:id="576"/>
    </w:p>
    <w:tbl>
      <w:tblPr>
        <w:tblStyle w:val="TWRPTable"/>
        <w:tblW w:w="5000" w:type="pct"/>
        <w:tblLayout w:type="fixed"/>
        <w:tblLook w:val="04A0" w:firstRow="1" w:lastRow="0" w:firstColumn="1" w:lastColumn="0" w:noHBand="0" w:noVBand="1"/>
        <w:tblDescription w:val="Table 4.24 Estimated prevalence of 12-month ICD-10 affective disorders in Transitioned ADF, by affective disorder type and years since transition"/>
      </w:tblPr>
      <w:tblGrid>
        <w:gridCol w:w="2648"/>
        <w:gridCol w:w="984"/>
        <w:gridCol w:w="984"/>
        <w:gridCol w:w="984"/>
        <w:gridCol w:w="984"/>
        <w:gridCol w:w="984"/>
        <w:gridCol w:w="984"/>
        <w:gridCol w:w="984"/>
        <w:gridCol w:w="984"/>
        <w:gridCol w:w="986"/>
      </w:tblGrid>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2648" w:type="dxa"/>
            <w:vMerge w:val="restart"/>
            <w:tcBorders>
              <w:top w:val="single" w:sz="4" w:space="0" w:color="000000"/>
            </w:tcBorders>
          </w:tcPr>
          <w:bookmarkEnd w:id="577"/>
          <w:bookmarkEnd w:id="578"/>
          <w:bookmarkEnd w:id="579"/>
          <w:bookmarkEnd w:id="580"/>
          <w:p w:rsidR="00F26E45" w:rsidRPr="005B0796" w:rsidRDefault="00F26E45" w:rsidP="007653D8">
            <w:pPr>
              <w:pStyle w:val="TableText"/>
              <w:rPr>
                <w:lang w:eastAsia="en-AU"/>
              </w:rPr>
            </w:pPr>
            <w:r w:rsidRPr="005B0796">
              <w:rPr>
                <w:lang w:eastAsia="en-AU"/>
              </w:rPr>
              <w:t>ICD-10 affective disorder</w:t>
            </w:r>
          </w:p>
        </w:tc>
        <w:tc>
          <w:tcPr>
            <w:tcW w:w="8858" w:type="dxa"/>
            <w:gridSpan w:val="9"/>
            <w:noWrap/>
          </w:tcPr>
          <w:p w:rsidR="00F26E45" w:rsidRPr="005B0796" w:rsidRDefault="00F26E45" w:rsidP="007653D8">
            <w:pPr>
              <w:pStyle w:val="TableText"/>
              <w:jc w:val="center"/>
              <w:rPr>
                <w:lang w:eastAsia="en-AU"/>
              </w:rPr>
            </w:pPr>
            <w:r w:rsidRPr="005B0796">
              <w:rPr>
                <w:lang w:eastAsia="en-AU"/>
              </w:rPr>
              <w:t>Years since transition</w:t>
            </w:r>
          </w:p>
        </w:tc>
      </w:tr>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2648" w:type="dxa"/>
            <w:vMerge/>
            <w:tcBorders>
              <w:top w:val="single" w:sz="4" w:space="0" w:color="000000"/>
            </w:tcBorders>
            <w:hideMark/>
          </w:tcPr>
          <w:p w:rsidR="00F26E45" w:rsidRPr="005B0796" w:rsidRDefault="00F26E45" w:rsidP="007653D8">
            <w:pPr>
              <w:pStyle w:val="TableText"/>
              <w:rPr>
                <w:lang w:eastAsia="en-AU"/>
              </w:rPr>
            </w:pPr>
          </w:p>
        </w:tc>
        <w:tc>
          <w:tcPr>
            <w:tcW w:w="2952" w:type="dxa"/>
            <w:gridSpan w:val="3"/>
            <w:noWrap/>
            <w:hideMark/>
          </w:tcPr>
          <w:p w:rsidR="00F26E45" w:rsidRPr="005B0796" w:rsidRDefault="00F26E45" w:rsidP="007653D8">
            <w:pPr>
              <w:pStyle w:val="TableText"/>
              <w:jc w:val="center"/>
              <w:rPr>
                <w:lang w:eastAsia="en-AU"/>
              </w:rPr>
            </w:pPr>
            <w:r w:rsidRPr="005B0796">
              <w:rPr>
                <w:lang w:eastAsia="en-AU"/>
              </w:rPr>
              <w:t>0 (n = 1945)</w:t>
            </w:r>
          </w:p>
        </w:tc>
        <w:tc>
          <w:tcPr>
            <w:tcW w:w="2952" w:type="dxa"/>
            <w:gridSpan w:val="3"/>
            <w:noWrap/>
            <w:hideMark/>
          </w:tcPr>
          <w:p w:rsidR="00F26E45" w:rsidRPr="005B0796" w:rsidRDefault="00F26E45" w:rsidP="007653D8">
            <w:pPr>
              <w:pStyle w:val="TableText"/>
              <w:jc w:val="center"/>
              <w:rPr>
                <w:lang w:eastAsia="en-AU"/>
              </w:rPr>
            </w:pPr>
            <w:r w:rsidRPr="005B0796">
              <w:rPr>
                <w:lang w:eastAsia="en-AU"/>
              </w:rPr>
              <w:t>1 (n = 4874)</w:t>
            </w:r>
          </w:p>
        </w:tc>
        <w:tc>
          <w:tcPr>
            <w:tcW w:w="2954" w:type="dxa"/>
            <w:gridSpan w:val="3"/>
            <w:noWrap/>
            <w:hideMark/>
          </w:tcPr>
          <w:p w:rsidR="00F26E45" w:rsidRPr="005B0796" w:rsidRDefault="00F26E45" w:rsidP="007653D8">
            <w:pPr>
              <w:pStyle w:val="TableText"/>
              <w:jc w:val="center"/>
              <w:rPr>
                <w:lang w:eastAsia="en-AU"/>
              </w:rPr>
            </w:pPr>
            <w:r w:rsidRPr="005B0796">
              <w:rPr>
                <w:lang w:eastAsia="en-AU"/>
              </w:rPr>
              <w:t>2 (n = 4944)</w:t>
            </w:r>
          </w:p>
        </w:tc>
      </w:tr>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2648" w:type="dxa"/>
            <w:vMerge/>
            <w:tcBorders>
              <w:top w:val="single" w:sz="4" w:space="0" w:color="000000"/>
            </w:tcBorders>
            <w:noWrap/>
            <w:hideMark/>
          </w:tcPr>
          <w:p w:rsidR="00F26E45" w:rsidRPr="005B0796" w:rsidRDefault="00F26E45" w:rsidP="007653D8">
            <w:pPr>
              <w:pStyle w:val="TableText"/>
              <w:rPr>
                <w:lang w:eastAsia="en-AU"/>
              </w:rPr>
            </w:pPr>
          </w:p>
        </w:tc>
        <w:tc>
          <w:tcPr>
            <w:tcW w:w="984" w:type="dxa"/>
            <w:noWrap/>
            <w:hideMark/>
          </w:tcPr>
          <w:p w:rsidR="00F26E45" w:rsidRPr="005B0796" w:rsidRDefault="00F26E45" w:rsidP="00F26E45">
            <w:pPr>
              <w:pStyle w:val="TableText"/>
              <w:jc w:val="right"/>
              <w:rPr>
                <w:lang w:eastAsia="en-AU"/>
              </w:rPr>
            </w:pPr>
            <w:r w:rsidRPr="005B0796">
              <w:rPr>
                <w:lang w:eastAsia="en-AU"/>
              </w:rPr>
              <w:t>Weighted n</w:t>
            </w:r>
          </w:p>
        </w:tc>
        <w:tc>
          <w:tcPr>
            <w:tcW w:w="984" w:type="dxa"/>
            <w:hideMark/>
          </w:tcPr>
          <w:p w:rsidR="00F26E45" w:rsidRPr="005B0796" w:rsidRDefault="00F26E45" w:rsidP="00F26E45">
            <w:pPr>
              <w:pStyle w:val="TableText"/>
              <w:jc w:val="right"/>
              <w:rPr>
                <w:lang w:eastAsia="en-AU"/>
              </w:rPr>
            </w:pPr>
            <w:r w:rsidRPr="005B0796">
              <w:rPr>
                <w:lang w:eastAsia="en-AU"/>
              </w:rPr>
              <w:t>%</w:t>
            </w:r>
          </w:p>
        </w:tc>
        <w:tc>
          <w:tcPr>
            <w:tcW w:w="984" w:type="dxa"/>
            <w:hideMark/>
          </w:tcPr>
          <w:p w:rsidR="00F26E45" w:rsidRPr="005B0796" w:rsidRDefault="00F26E45" w:rsidP="00F26E45">
            <w:pPr>
              <w:pStyle w:val="TableText"/>
              <w:jc w:val="right"/>
              <w:rPr>
                <w:lang w:eastAsia="en-AU"/>
              </w:rPr>
            </w:pPr>
            <w:r w:rsidRPr="005B0796">
              <w:rPr>
                <w:lang w:eastAsia="en-AU"/>
              </w:rPr>
              <w:t>95% CI</w:t>
            </w:r>
          </w:p>
        </w:tc>
        <w:tc>
          <w:tcPr>
            <w:tcW w:w="984" w:type="dxa"/>
            <w:noWrap/>
            <w:hideMark/>
          </w:tcPr>
          <w:p w:rsidR="00F26E45" w:rsidRPr="005B0796" w:rsidRDefault="00F26E45" w:rsidP="00F26E45">
            <w:pPr>
              <w:pStyle w:val="TableText"/>
              <w:jc w:val="right"/>
              <w:rPr>
                <w:lang w:eastAsia="en-AU"/>
              </w:rPr>
            </w:pPr>
            <w:r w:rsidRPr="005B0796">
              <w:rPr>
                <w:lang w:eastAsia="en-AU"/>
              </w:rPr>
              <w:t>Weighted n</w:t>
            </w:r>
          </w:p>
        </w:tc>
        <w:tc>
          <w:tcPr>
            <w:tcW w:w="984" w:type="dxa"/>
            <w:hideMark/>
          </w:tcPr>
          <w:p w:rsidR="00F26E45" w:rsidRPr="005B0796" w:rsidRDefault="00F26E45" w:rsidP="00F26E45">
            <w:pPr>
              <w:pStyle w:val="TableText"/>
              <w:jc w:val="right"/>
              <w:rPr>
                <w:lang w:eastAsia="en-AU"/>
              </w:rPr>
            </w:pPr>
            <w:r w:rsidRPr="005B0796">
              <w:rPr>
                <w:lang w:eastAsia="en-AU"/>
              </w:rPr>
              <w:t>%</w:t>
            </w:r>
          </w:p>
        </w:tc>
        <w:tc>
          <w:tcPr>
            <w:tcW w:w="984" w:type="dxa"/>
            <w:hideMark/>
          </w:tcPr>
          <w:p w:rsidR="00F26E45" w:rsidRPr="005B0796" w:rsidRDefault="00F26E45" w:rsidP="00F26E45">
            <w:pPr>
              <w:pStyle w:val="TableText"/>
              <w:jc w:val="right"/>
              <w:rPr>
                <w:lang w:eastAsia="en-AU"/>
              </w:rPr>
            </w:pPr>
            <w:r w:rsidRPr="005B0796">
              <w:rPr>
                <w:lang w:eastAsia="en-AU"/>
              </w:rPr>
              <w:t>95% CI</w:t>
            </w:r>
          </w:p>
        </w:tc>
        <w:tc>
          <w:tcPr>
            <w:tcW w:w="984" w:type="dxa"/>
            <w:noWrap/>
            <w:hideMark/>
          </w:tcPr>
          <w:p w:rsidR="00F26E45" w:rsidRPr="005B0796" w:rsidRDefault="00F26E45" w:rsidP="00F26E45">
            <w:pPr>
              <w:pStyle w:val="TableText"/>
              <w:jc w:val="right"/>
              <w:rPr>
                <w:lang w:eastAsia="en-AU"/>
              </w:rPr>
            </w:pPr>
            <w:r w:rsidRPr="005B0796">
              <w:rPr>
                <w:lang w:eastAsia="en-AU"/>
              </w:rPr>
              <w:t>Weighted n</w:t>
            </w:r>
          </w:p>
        </w:tc>
        <w:tc>
          <w:tcPr>
            <w:tcW w:w="984" w:type="dxa"/>
            <w:hideMark/>
          </w:tcPr>
          <w:p w:rsidR="00F26E45" w:rsidRPr="005B0796" w:rsidRDefault="00F26E45" w:rsidP="00F26E45">
            <w:pPr>
              <w:pStyle w:val="TableText"/>
              <w:jc w:val="right"/>
              <w:rPr>
                <w:lang w:eastAsia="en-AU"/>
              </w:rPr>
            </w:pPr>
            <w:r w:rsidRPr="005B0796">
              <w:rPr>
                <w:lang w:eastAsia="en-AU"/>
              </w:rPr>
              <w:t>%</w:t>
            </w:r>
          </w:p>
        </w:tc>
        <w:tc>
          <w:tcPr>
            <w:tcW w:w="986" w:type="dxa"/>
            <w:hideMark/>
          </w:tcPr>
          <w:p w:rsidR="00F26E45" w:rsidRPr="005B0796" w:rsidRDefault="00F26E45" w:rsidP="00F26E45">
            <w:pPr>
              <w:pStyle w:val="TableText"/>
              <w:jc w:val="right"/>
              <w:rPr>
                <w:lang w:eastAsia="en-AU"/>
              </w:rPr>
            </w:pPr>
            <w:r w:rsidRPr="005B0796">
              <w:rPr>
                <w:lang w:eastAsia="en-AU"/>
              </w:rPr>
              <w:t>95% CI</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trPr>
        <w:tc>
          <w:tcPr>
            <w:tcW w:w="2648" w:type="dxa"/>
            <w:hideMark/>
          </w:tcPr>
          <w:p w:rsidR="00F26E45" w:rsidRPr="005B0796" w:rsidRDefault="00F26E45" w:rsidP="007653D8">
            <w:pPr>
              <w:pStyle w:val="TableText"/>
              <w:rPr>
                <w:lang w:eastAsia="en-AU"/>
              </w:rPr>
            </w:pPr>
            <w:r w:rsidRPr="005B0796">
              <w:rPr>
                <w:lang w:eastAsia="en-AU"/>
              </w:rPr>
              <w:t>Depressive episodes</w:t>
            </w:r>
          </w:p>
        </w:tc>
        <w:tc>
          <w:tcPr>
            <w:tcW w:w="984" w:type="dxa"/>
            <w:noWrap/>
            <w:hideMark/>
          </w:tcPr>
          <w:p w:rsidR="00F26E45" w:rsidRPr="005B0796" w:rsidRDefault="00F26E45" w:rsidP="00F26E45">
            <w:pPr>
              <w:pStyle w:val="TableText"/>
              <w:jc w:val="right"/>
              <w:rPr>
                <w:lang w:eastAsia="en-AU"/>
              </w:rPr>
            </w:pPr>
            <w:r w:rsidRPr="005B0796">
              <w:rPr>
                <w:lang w:eastAsia="en-AU"/>
              </w:rPr>
              <w:t>161</w:t>
            </w:r>
          </w:p>
        </w:tc>
        <w:tc>
          <w:tcPr>
            <w:tcW w:w="984" w:type="dxa"/>
            <w:hideMark/>
          </w:tcPr>
          <w:p w:rsidR="00F26E45" w:rsidRPr="005B0796" w:rsidRDefault="00F26E45" w:rsidP="00F26E45">
            <w:pPr>
              <w:pStyle w:val="TableText"/>
              <w:jc w:val="right"/>
              <w:rPr>
                <w:lang w:eastAsia="en-AU"/>
              </w:rPr>
            </w:pPr>
            <w:r w:rsidRPr="005B0796">
              <w:rPr>
                <w:lang w:eastAsia="en-AU"/>
              </w:rPr>
              <w:t>8.3</w:t>
            </w:r>
          </w:p>
        </w:tc>
        <w:tc>
          <w:tcPr>
            <w:tcW w:w="984" w:type="dxa"/>
            <w:hideMark/>
          </w:tcPr>
          <w:p w:rsidR="00F26E45" w:rsidRPr="005B0796" w:rsidRDefault="00F26E45" w:rsidP="00F26E45">
            <w:pPr>
              <w:pStyle w:val="TableText"/>
              <w:jc w:val="right"/>
              <w:rPr>
                <w:lang w:eastAsia="en-AU"/>
              </w:rPr>
            </w:pPr>
            <w:r w:rsidRPr="005B0796">
              <w:rPr>
                <w:lang w:eastAsia="en-AU"/>
              </w:rPr>
              <w:t>4.5, 14.8</w:t>
            </w:r>
          </w:p>
        </w:tc>
        <w:tc>
          <w:tcPr>
            <w:tcW w:w="984" w:type="dxa"/>
            <w:noWrap/>
            <w:hideMark/>
          </w:tcPr>
          <w:p w:rsidR="00F26E45" w:rsidRPr="005B0796" w:rsidRDefault="00F26E45" w:rsidP="00F26E45">
            <w:pPr>
              <w:pStyle w:val="TableText"/>
              <w:jc w:val="right"/>
              <w:rPr>
                <w:lang w:eastAsia="en-AU"/>
              </w:rPr>
            </w:pPr>
            <w:r w:rsidRPr="005B0796">
              <w:rPr>
                <w:lang w:eastAsia="en-AU"/>
              </w:rPr>
              <w:t>677</w:t>
            </w:r>
          </w:p>
        </w:tc>
        <w:tc>
          <w:tcPr>
            <w:tcW w:w="984" w:type="dxa"/>
            <w:hideMark/>
          </w:tcPr>
          <w:p w:rsidR="00F26E45" w:rsidRPr="005B0796" w:rsidRDefault="00F26E45" w:rsidP="00F26E45">
            <w:pPr>
              <w:pStyle w:val="TableText"/>
              <w:jc w:val="right"/>
              <w:rPr>
                <w:lang w:eastAsia="en-AU"/>
              </w:rPr>
            </w:pPr>
            <w:r w:rsidRPr="005B0796">
              <w:rPr>
                <w:lang w:eastAsia="en-AU"/>
              </w:rPr>
              <w:t>13.9</w:t>
            </w:r>
          </w:p>
        </w:tc>
        <w:tc>
          <w:tcPr>
            <w:tcW w:w="984" w:type="dxa"/>
            <w:hideMark/>
          </w:tcPr>
          <w:p w:rsidR="00F26E45" w:rsidRPr="005B0796" w:rsidRDefault="00F26E45" w:rsidP="00F26E45">
            <w:pPr>
              <w:pStyle w:val="TableText"/>
              <w:jc w:val="right"/>
              <w:rPr>
                <w:lang w:eastAsia="en-AU"/>
              </w:rPr>
            </w:pPr>
            <w:r w:rsidRPr="005B0796">
              <w:rPr>
                <w:lang w:eastAsia="en-AU"/>
              </w:rPr>
              <w:t>8.7, 21.3</w:t>
            </w:r>
          </w:p>
        </w:tc>
        <w:tc>
          <w:tcPr>
            <w:tcW w:w="984" w:type="dxa"/>
            <w:hideMark/>
          </w:tcPr>
          <w:p w:rsidR="00F26E45" w:rsidRPr="005B0796" w:rsidRDefault="00F26E45" w:rsidP="00F26E45">
            <w:pPr>
              <w:pStyle w:val="TableText"/>
              <w:jc w:val="right"/>
              <w:rPr>
                <w:lang w:eastAsia="en-AU"/>
              </w:rPr>
            </w:pPr>
            <w:r w:rsidRPr="005B0796">
              <w:rPr>
                <w:lang w:eastAsia="en-AU"/>
              </w:rPr>
              <w:t>455</w:t>
            </w:r>
          </w:p>
        </w:tc>
        <w:tc>
          <w:tcPr>
            <w:tcW w:w="984" w:type="dxa"/>
            <w:hideMark/>
          </w:tcPr>
          <w:p w:rsidR="00F26E45" w:rsidRPr="005B0796" w:rsidRDefault="00F26E45" w:rsidP="00F26E45">
            <w:pPr>
              <w:pStyle w:val="TableText"/>
              <w:jc w:val="right"/>
              <w:rPr>
                <w:lang w:eastAsia="en-AU"/>
              </w:rPr>
            </w:pPr>
            <w:r w:rsidRPr="005B0796">
              <w:rPr>
                <w:lang w:eastAsia="en-AU"/>
              </w:rPr>
              <w:t>9.2</w:t>
            </w:r>
          </w:p>
        </w:tc>
        <w:tc>
          <w:tcPr>
            <w:tcW w:w="986" w:type="dxa"/>
            <w:hideMark/>
          </w:tcPr>
          <w:p w:rsidR="00F26E45" w:rsidRPr="005B0796" w:rsidRDefault="00F26E45" w:rsidP="00F26E45">
            <w:pPr>
              <w:pStyle w:val="TableText"/>
              <w:jc w:val="right"/>
              <w:rPr>
                <w:lang w:eastAsia="en-AU"/>
              </w:rPr>
            </w:pPr>
            <w:r w:rsidRPr="005B0796">
              <w:rPr>
                <w:lang w:eastAsia="en-AU"/>
              </w:rPr>
              <w:t>4.9, 16.7</w:t>
            </w:r>
          </w:p>
        </w:tc>
      </w:tr>
      <w:tr w:rsidR="00F26E45" w:rsidRPr="005B0796" w:rsidTr="00F26E45">
        <w:tc>
          <w:tcPr>
            <w:tcW w:w="2648" w:type="dxa"/>
            <w:hideMark/>
          </w:tcPr>
          <w:p w:rsidR="00F26E45" w:rsidRPr="005B0796" w:rsidRDefault="00F26E45" w:rsidP="007653D8">
            <w:pPr>
              <w:pStyle w:val="TableText"/>
              <w:rPr>
                <w:lang w:eastAsia="en-AU"/>
              </w:rPr>
            </w:pPr>
            <w:r w:rsidRPr="005B0796">
              <w:rPr>
                <w:lang w:eastAsia="en-AU"/>
              </w:rPr>
              <w:t>Dysthymia</w:t>
            </w:r>
          </w:p>
        </w:tc>
        <w:tc>
          <w:tcPr>
            <w:tcW w:w="984" w:type="dxa"/>
            <w:noWrap/>
            <w:hideMark/>
          </w:tcPr>
          <w:p w:rsidR="00F26E45" w:rsidRPr="005B0796" w:rsidRDefault="00F26E45" w:rsidP="00F26E45">
            <w:pPr>
              <w:pStyle w:val="TableText"/>
              <w:jc w:val="right"/>
              <w:rPr>
                <w:lang w:eastAsia="en-AU"/>
              </w:rPr>
            </w:pPr>
            <w:r w:rsidRPr="005B0796">
              <w:rPr>
                <w:lang w:eastAsia="en-AU"/>
              </w:rPr>
              <w:t>72</w:t>
            </w:r>
          </w:p>
        </w:tc>
        <w:tc>
          <w:tcPr>
            <w:tcW w:w="984" w:type="dxa"/>
            <w:hideMark/>
          </w:tcPr>
          <w:p w:rsidR="00F26E45" w:rsidRPr="005B0796" w:rsidRDefault="00F26E45" w:rsidP="00F26E45">
            <w:pPr>
              <w:pStyle w:val="TableText"/>
              <w:jc w:val="right"/>
              <w:rPr>
                <w:lang w:eastAsia="en-AU"/>
              </w:rPr>
            </w:pPr>
            <w:r w:rsidRPr="005B0796">
              <w:rPr>
                <w:lang w:eastAsia="en-AU"/>
              </w:rPr>
              <w:t>3.7</w:t>
            </w:r>
          </w:p>
        </w:tc>
        <w:tc>
          <w:tcPr>
            <w:tcW w:w="984" w:type="dxa"/>
            <w:hideMark/>
          </w:tcPr>
          <w:p w:rsidR="00F26E45" w:rsidRPr="005B0796" w:rsidRDefault="00F26E45" w:rsidP="00F26E45">
            <w:pPr>
              <w:pStyle w:val="TableText"/>
              <w:jc w:val="right"/>
              <w:rPr>
                <w:lang w:eastAsia="en-AU"/>
              </w:rPr>
            </w:pPr>
            <w:r w:rsidRPr="005B0796">
              <w:rPr>
                <w:lang w:eastAsia="en-AU"/>
              </w:rPr>
              <w:t>1.5, 8.7</w:t>
            </w:r>
          </w:p>
        </w:tc>
        <w:tc>
          <w:tcPr>
            <w:tcW w:w="984" w:type="dxa"/>
            <w:noWrap/>
            <w:hideMark/>
          </w:tcPr>
          <w:p w:rsidR="00F26E45" w:rsidRPr="005B0796" w:rsidRDefault="00F26E45" w:rsidP="00F26E45">
            <w:pPr>
              <w:pStyle w:val="TableText"/>
              <w:jc w:val="right"/>
              <w:rPr>
                <w:lang w:eastAsia="en-AU"/>
              </w:rPr>
            </w:pPr>
            <w:r w:rsidRPr="005B0796">
              <w:rPr>
                <w:lang w:eastAsia="en-AU"/>
              </w:rPr>
              <w:t>229</w:t>
            </w:r>
          </w:p>
        </w:tc>
        <w:tc>
          <w:tcPr>
            <w:tcW w:w="984" w:type="dxa"/>
            <w:hideMark/>
          </w:tcPr>
          <w:p w:rsidR="00F26E45" w:rsidRPr="005B0796" w:rsidRDefault="00F26E45" w:rsidP="00F26E45">
            <w:pPr>
              <w:pStyle w:val="TableText"/>
              <w:jc w:val="right"/>
              <w:rPr>
                <w:lang w:eastAsia="en-AU"/>
              </w:rPr>
            </w:pPr>
            <w:r w:rsidRPr="005B0796">
              <w:rPr>
                <w:lang w:eastAsia="en-AU"/>
              </w:rPr>
              <w:t>4.7</w:t>
            </w:r>
          </w:p>
        </w:tc>
        <w:tc>
          <w:tcPr>
            <w:tcW w:w="984" w:type="dxa"/>
            <w:hideMark/>
          </w:tcPr>
          <w:p w:rsidR="00F26E45" w:rsidRPr="005B0796" w:rsidRDefault="00F26E45" w:rsidP="00F26E45">
            <w:pPr>
              <w:pStyle w:val="TableText"/>
              <w:jc w:val="right"/>
              <w:rPr>
                <w:lang w:eastAsia="en-AU"/>
              </w:rPr>
            </w:pPr>
            <w:r w:rsidRPr="005B0796">
              <w:rPr>
                <w:lang w:eastAsia="en-AU"/>
              </w:rPr>
              <w:t>1.9, 11.3</w:t>
            </w:r>
          </w:p>
        </w:tc>
        <w:tc>
          <w:tcPr>
            <w:tcW w:w="984" w:type="dxa"/>
            <w:hideMark/>
          </w:tcPr>
          <w:p w:rsidR="00F26E45" w:rsidRPr="005B0796" w:rsidRDefault="00F26E45" w:rsidP="00F26E45">
            <w:pPr>
              <w:pStyle w:val="TableText"/>
              <w:jc w:val="right"/>
              <w:rPr>
                <w:lang w:eastAsia="en-AU"/>
              </w:rPr>
            </w:pPr>
            <w:r w:rsidRPr="005B0796">
              <w:rPr>
                <w:lang w:eastAsia="en-AU"/>
              </w:rPr>
              <w:t>237</w:t>
            </w:r>
          </w:p>
        </w:tc>
        <w:tc>
          <w:tcPr>
            <w:tcW w:w="984" w:type="dxa"/>
            <w:hideMark/>
          </w:tcPr>
          <w:p w:rsidR="00F26E45" w:rsidRPr="005B0796" w:rsidRDefault="00F26E45" w:rsidP="00F26E45">
            <w:pPr>
              <w:pStyle w:val="TableText"/>
              <w:jc w:val="right"/>
              <w:rPr>
                <w:lang w:eastAsia="en-AU"/>
              </w:rPr>
            </w:pPr>
            <w:r w:rsidRPr="005B0796">
              <w:rPr>
                <w:lang w:eastAsia="en-AU"/>
              </w:rPr>
              <w:t>4.8</w:t>
            </w:r>
          </w:p>
        </w:tc>
        <w:tc>
          <w:tcPr>
            <w:tcW w:w="986" w:type="dxa"/>
            <w:hideMark/>
          </w:tcPr>
          <w:p w:rsidR="00F26E45" w:rsidRPr="005B0796" w:rsidRDefault="00F26E45" w:rsidP="00F26E45">
            <w:pPr>
              <w:pStyle w:val="TableText"/>
              <w:jc w:val="right"/>
              <w:rPr>
                <w:lang w:eastAsia="en-AU"/>
              </w:rPr>
            </w:pPr>
            <w:r w:rsidRPr="005B0796">
              <w:rPr>
                <w:lang w:eastAsia="en-AU"/>
              </w:rPr>
              <w:t>2.2, 9.8</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trPr>
        <w:tc>
          <w:tcPr>
            <w:tcW w:w="2648" w:type="dxa"/>
            <w:hideMark/>
          </w:tcPr>
          <w:p w:rsidR="00F26E45" w:rsidRPr="005B0796" w:rsidRDefault="00F26E45" w:rsidP="007653D8">
            <w:pPr>
              <w:pStyle w:val="TableText"/>
              <w:rPr>
                <w:lang w:eastAsia="en-AU"/>
              </w:rPr>
            </w:pPr>
            <w:r w:rsidRPr="005B0796">
              <w:rPr>
                <w:lang w:eastAsia="en-AU"/>
              </w:rPr>
              <w:t>Bipolar affective disorder</w:t>
            </w:r>
          </w:p>
        </w:tc>
        <w:tc>
          <w:tcPr>
            <w:tcW w:w="984" w:type="dxa"/>
            <w:noWrap/>
            <w:hideMark/>
          </w:tcPr>
          <w:p w:rsidR="00F26E45" w:rsidRPr="005B0796" w:rsidRDefault="00F26E45" w:rsidP="00F26E45">
            <w:pPr>
              <w:pStyle w:val="TableText"/>
              <w:jc w:val="right"/>
              <w:rPr>
                <w:lang w:eastAsia="en-AU"/>
              </w:rPr>
            </w:pPr>
            <w:r w:rsidRPr="005B0796">
              <w:rPr>
                <w:lang w:eastAsia="en-AU"/>
              </w:rPr>
              <w:t>278</w:t>
            </w:r>
          </w:p>
        </w:tc>
        <w:tc>
          <w:tcPr>
            <w:tcW w:w="984" w:type="dxa"/>
            <w:hideMark/>
          </w:tcPr>
          <w:p w:rsidR="00F26E45" w:rsidRPr="005B0796" w:rsidRDefault="00F26E45" w:rsidP="00F26E45">
            <w:pPr>
              <w:pStyle w:val="TableText"/>
              <w:jc w:val="right"/>
              <w:rPr>
                <w:lang w:eastAsia="en-AU"/>
              </w:rPr>
            </w:pPr>
            <w:r w:rsidRPr="005B0796">
              <w:rPr>
                <w:lang w:eastAsia="en-AU"/>
              </w:rPr>
              <w:t>14.3</w:t>
            </w:r>
          </w:p>
        </w:tc>
        <w:tc>
          <w:tcPr>
            <w:tcW w:w="984" w:type="dxa"/>
            <w:hideMark/>
          </w:tcPr>
          <w:p w:rsidR="00F26E45" w:rsidRPr="005B0796" w:rsidRDefault="00F26E45" w:rsidP="00F26E45">
            <w:pPr>
              <w:pStyle w:val="TableText"/>
              <w:jc w:val="right"/>
              <w:rPr>
                <w:lang w:eastAsia="en-AU"/>
              </w:rPr>
            </w:pPr>
            <w:r w:rsidRPr="005B0796">
              <w:rPr>
                <w:lang w:eastAsia="en-AU"/>
              </w:rPr>
              <w:t>6.2, 29.6</w:t>
            </w:r>
          </w:p>
        </w:tc>
        <w:tc>
          <w:tcPr>
            <w:tcW w:w="984" w:type="dxa"/>
            <w:noWrap/>
            <w:hideMark/>
          </w:tcPr>
          <w:p w:rsidR="00F26E45" w:rsidRPr="005B0796" w:rsidRDefault="00F26E45" w:rsidP="00F26E45">
            <w:pPr>
              <w:pStyle w:val="TableText"/>
              <w:jc w:val="right"/>
              <w:rPr>
                <w:lang w:eastAsia="en-AU"/>
              </w:rPr>
            </w:pPr>
            <w:r w:rsidRPr="005B0796">
              <w:rPr>
                <w:lang w:eastAsia="en-AU"/>
              </w:rPr>
              <w:t>721</w:t>
            </w:r>
          </w:p>
        </w:tc>
        <w:tc>
          <w:tcPr>
            <w:tcW w:w="984" w:type="dxa"/>
            <w:hideMark/>
          </w:tcPr>
          <w:p w:rsidR="00F26E45" w:rsidRPr="005B0796" w:rsidRDefault="00F26E45" w:rsidP="00F26E45">
            <w:pPr>
              <w:pStyle w:val="TableText"/>
              <w:jc w:val="right"/>
              <w:rPr>
                <w:lang w:eastAsia="en-AU"/>
              </w:rPr>
            </w:pPr>
            <w:r w:rsidRPr="005B0796">
              <w:rPr>
                <w:lang w:eastAsia="en-AU"/>
              </w:rPr>
              <w:t>14.8</w:t>
            </w:r>
          </w:p>
        </w:tc>
        <w:tc>
          <w:tcPr>
            <w:tcW w:w="984" w:type="dxa"/>
            <w:hideMark/>
          </w:tcPr>
          <w:p w:rsidR="00F26E45" w:rsidRPr="005B0796" w:rsidRDefault="00F26E45" w:rsidP="00F26E45">
            <w:pPr>
              <w:pStyle w:val="TableText"/>
              <w:jc w:val="right"/>
              <w:rPr>
                <w:lang w:eastAsia="en-AU"/>
              </w:rPr>
            </w:pPr>
            <w:r w:rsidRPr="005B0796">
              <w:rPr>
                <w:lang w:eastAsia="en-AU"/>
              </w:rPr>
              <w:t>7.7, 26.5</w:t>
            </w:r>
          </w:p>
        </w:tc>
        <w:tc>
          <w:tcPr>
            <w:tcW w:w="984" w:type="dxa"/>
            <w:hideMark/>
          </w:tcPr>
          <w:p w:rsidR="00F26E45" w:rsidRPr="005B0796" w:rsidRDefault="00F26E45" w:rsidP="00F26E45">
            <w:pPr>
              <w:pStyle w:val="TableText"/>
              <w:jc w:val="right"/>
              <w:rPr>
                <w:lang w:eastAsia="en-AU"/>
              </w:rPr>
            </w:pPr>
            <w:r w:rsidRPr="005B0796">
              <w:rPr>
                <w:lang w:eastAsia="en-AU"/>
              </w:rPr>
              <w:t>504</w:t>
            </w:r>
          </w:p>
        </w:tc>
        <w:tc>
          <w:tcPr>
            <w:tcW w:w="984" w:type="dxa"/>
            <w:hideMark/>
          </w:tcPr>
          <w:p w:rsidR="00F26E45" w:rsidRPr="005B0796" w:rsidRDefault="00F26E45" w:rsidP="00F26E45">
            <w:pPr>
              <w:pStyle w:val="TableText"/>
              <w:jc w:val="right"/>
              <w:rPr>
                <w:lang w:eastAsia="en-AU"/>
              </w:rPr>
            </w:pPr>
            <w:r w:rsidRPr="005B0796">
              <w:rPr>
                <w:lang w:eastAsia="en-AU"/>
              </w:rPr>
              <w:t>10.2</w:t>
            </w:r>
          </w:p>
        </w:tc>
        <w:tc>
          <w:tcPr>
            <w:tcW w:w="986" w:type="dxa"/>
            <w:hideMark/>
          </w:tcPr>
          <w:p w:rsidR="00F26E45" w:rsidRPr="005B0796" w:rsidRDefault="00F26E45" w:rsidP="00F26E45">
            <w:pPr>
              <w:pStyle w:val="TableText"/>
              <w:jc w:val="right"/>
              <w:rPr>
                <w:lang w:eastAsia="en-AU"/>
              </w:rPr>
            </w:pPr>
            <w:r w:rsidRPr="005B0796">
              <w:rPr>
                <w:lang w:eastAsia="en-AU"/>
              </w:rPr>
              <w:t>4.8, 20.4</w:t>
            </w:r>
          </w:p>
        </w:tc>
      </w:tr>
      <w:tr w:rsidR="00F26E45" w:rsidRPr="005B0796" w:rsidTr="00F26E45">
        <w:tc>
          <w:tcPr>
            <w:tcW w:w="2648" w:type="dxa"/>
            <w:noWrap/>
            <w:hideMark/>
          </w:tcPr>
          <w:p w:rsidR="00F26E45" w:rsidRPr="005B0796" w:rsidRDefault="00F26E45" w:rsidP="007653D8">
            <w:pPr>
              <w:pStyle w:val="TableText"/>
              <w:rPr>
                <w:lang w:eastAsia="en-AU"/>
              </w:rPr>
            </w:pPr>
            <w:r w:rsidRPr="005B0796">
              <w:rPr>
                <w:lang w:eastAsia="en-AU"/>
              </w:rPr>
              <w:t>Any affective disorder</w:t>
            </w:r>
          </w:p>
        </w:tc>
        <w:tc>
          <w:tcPr>
            <w:tcW w:w="984" w:type="dxa"/>
            <w:noWrap/>
            <w:hideMark/>
          </w:tcPr>
          <w:p w:rsidR="00F26E45" w:rsidRPr="005B0796" w:rsidRDefault="00F26E45" w:rsidP="00F26E45">
            <w:pPr>
              <w:pStyle w:val="TableText"/>
              <w:jc w:val="right"/>
              <w:rPr>
                <w:lang w:eastAsia="en-AU"/>
              </w:rPr>
            </w:pPr>
            <w:r w:rsidRPr="005B0796">
              <w:rPr>
                <w:lang w:eastAsia="en-AU"/>
              </w:rPr>
              <w:t>440</w:t>
            </w:r>
          </w:p>
        </w:tc>
        <w:tc>
          <w:tcPr>
            <w:tcW w:w="984" w:type="dxa"/>
            <w:hideMark/>
          </w:tcPr>
          <w:p w:rsidR="00F26E45" w:rsidRPr="005B0796" w:rsidRDefault="00F26E45" w:rsidP="00F26E45">
            <w:pPr>
              <w:pStyle w:val="TableText"/>
              <w:jc w:val="right"/>
              <w:rPr>
                <w:lang w:eastAsia="en-AU"/>
              </w:rPr>
            </w:pPr>
            <w:r w:rsidRPr="005B0796">
              <w:rPr>
                <w:lang w:eastAsia="en-AU"/>
              </w:rPr>
              <w:t>22.6</w:t>
            </w:r>
          </w:p>
        </w:tc>
        <w:tc>
          <w:tcPr>
            <w:tcW w:w="984" w:type="dxa"/>
            <w:hideMark/>
          </w:tcPr>
          <w:p w:rsidR="00F26E45" w:rsidRPr="005B0796" w:rsidRDefault="00F26E45" w:rsidP="00F26E45">
            <w:pPr>
              <w:pStyle w:val="TableText"/>
              <w:jc w:val="right"/>
              <w:rPr>
                <w:lang w:eastAsia="en-AU"/>
              </w:rPr>
            </w:pPr>
            <w:r w:rsidRPr="005B0796">
              <w:rPr>
                <w:lang w:eastAsia="en-AU"/>
              </w:rPr>
              <w:t>12.9, 36.5</w:t>
            </w:r>
          </w:p>
        </w:tc>
        <w:tc>
          <w:tcPr>
            <w:tcW w:w="984" w:type="dxa"/>
            <w:noWrap/>
            <w:hideMark/>
          </w:tcPr>
          <w:p w:rsidR="00F26E45" w:rsidRPr="005B0796" w:rsidRDefault="00F26E45" w:rsidP="00F26E45">
            <w:pPr>
              <w:pStyle w:val="TableText"/>
              <w:jc w:val="right"/>
              <w:rPr>
                <w:lang w:eastAsia="en-AU"/>
              </w:rPr>
            </w:pPr>
            <w:r w:rsidRPr="005B0796">
              <w:rPr>
                <w:lang w:eastAsia="en-AU"/>
              </w:rPr>
              <w:t>1526</w:t>
            </w:r>
          </w:p>
        </w:tc>
        <w:tc>
          <w:tcPr>
            <w:tcW w:w="984" w:type="dxa"/>
            <w:hideMark/>
          </w:tcPr>
          <w:p w:rsidR="00F26E45" w:rsidRPr="005B0796" w:rsidRDefault="00F26E45" w:rsidP="00F26E45">
            <w:pPr>
              <w:pStyle w:val="TableText"/>
              <w:jc w:val="right"/>
              <w:rPr>
                <w:lang w:eastAsia="en-AU"/>
              </w:rPr>
            </w:pPr>
            <w:r w:rsidRPr="005B0796">
              <w:rPr>
                <w:lang w:eastAsia="en-AU"/>
              </w:rPr>
              <w:t>31.3</w:t>
            </w:r>
          </w:p>
        </w:tc>
        <w:tc>
          <w:tcPr>
            <w:tcW w:w="984" w:type="dxa"/>
            <w:hideMark/>
          </w:tcPr>
          <w:p w:rsidR="00F26E45" w:rsidRPr="005B0796" w:rsidRDefault="00F26E45" w:rsidP="00F26E45">
            <w:pPr>
              <w:pStyle w:val="TableText"/>
              <w:jc w:val="right"/>
              <w:rPr>
                <w:lang w:eastAsia="en-AU"/>
              </w:rPr>
            </w:pPr>
            <w:r w:rsidRPr="005B0796">
              <w:rPr>
                <w:lang w:eastAsia="en-AU"/>
              </w:rPr>
              <w:t>21.9, 42.5</w:t>
            </w:r>
          </w:p>
        </w:tc>
        <w:tc>
          <w:tcPr>
            <w:tcW w:w="984" w:type="dxa"/>
            <w:hideMark/>
          </w:tcPr>
          <w:p w:rsidR="00F26E45" w:rsidRPr="005B0796" w:rsidRDefault="00F26E45" w:rsidP="00F26E45">
            <w:pPr>
              <w:pStyle w:val="TableText"/>
              <w:jc w:val="right"/>
              <w:rPr>
                <w:lang w:eastAsia="en-AU"/>
              </w:rPr>
            </w:pPr>
            <w:r w:rsidRPr="005B0796">
              <w:rPr>
                <w:lang w:eastAsia="en-AU"/>
              </w:rPr>
              <w:t>974</w:t>
            </w:r>
          </w:p>
        </w:tc>
        <w:tc>
          <w:tcPr>
            <w:tcW w:w="984" w:type="dxa"/>
            <w:hideMark/>
          </w:tcPr>
          <w:p w:rsidR="00F26E45" w:rsidRPr="005B0796" w:rsidRDefault="00F26E45" w:rsidP="00F26E45">
            <w:pPr>
              <w:pStyle w:val="TableText"/>
              <w:jc w:val="right"/>
              <w:rPr>
                <w:lang w:eastAsia="en-AU"/>
              </w:rPr>
            </w:pPr>
            <w:r w:rsidRPr="005B0796">
              <w:rPr>
                <w:lang w:eastAsia="en-AU"/>
              </w:rPr>
              <w:t>19.7</w:t>
            </w:r>
          </w:p>
        </w:tc>
        <w:tc>
          <w:tcPr>
            <w:tcW w:w="986" w:type="dxa"/>
            <w:hideMark/>
          </w:tcPr>
          <w:p w:rsidR="00F26E45" w:rsidRPr="005B0796" w:rsidRDefault="00F26E45" w:rsidP="00F26E45">
            <w:pPr>
              <w:pStyle w:val="TableText"/>
              <w:jc w:val="right"/>
              <w:rPr>
                <w:lang w:eastAsia="en-AU"/>
              </w:rPr>
            </w:pPr>
            <w:r w:rsidRPr="005B0796">
              <w:rPr>
                <w:lang w:eastAsia="en-AU"/>
              </w:rPr>
              <w:t>12.2, 30.2</w:t>
            </w:r>
          </w:p>
        </w:tc>
      </w:tr>
    </w:tbl>
    <w:p w:rsidR="00F26E45" w:rsidRPr="005B0796" w:rsidRDefault="00F26E45" w:rsidP="00F26E45">
      <w:pPr>
        <w:pStyle w:val="TableText"/>
      </w:pPr>
    </w:p>
    <w:tbl>
      <w:tblPr>
        <w:tblStyle w:val="TWRPTable"/>
        <w:tblW w:w="5000" w:type="pct"/>
        <w:tblLayout w:type="fixed"/>
        <w:tblLook w:val="04A0" w:firstRow="1" w:lastRow="0" w:firstColumn="1" w:lastColumn="0" w:noHBand="0" w:noVBand="1"/>
        <w:tblDescription w:val="Table 4.24 (cont) Estimated prevalence of 12-month ICD-10 affective disorders in Transitioned ADF, by affective disorder type and years since transition"/>
      </w:tblPr>
      <w:tblGrid>
        <w:gridCol w:w="2648"/>
        <w:gridCol w:w="984"/>
        <w:gridCol w:w="984"/>
        <w:gridCol w:w="984"/>
        <w:gridCol w:w="984"/>
        <w:gridCol w:w="984"/>
        <w:gridCol w:w="984"/>
        <w:gridCol w:w="984"/>
        <w:gridCol w:w="984"/>
        <w:gridCol w:w="986"/>
      </w:tblGrid>
      <w:tr w:rsidR="00C76968" w:rsidRPr="005B0796" w:rsidTr="00920385">
        <w:trPr>
          <w:cnfStyle w:val="100000000000" w:firstRow="1" w:lastRow="0" w:firstColumn="0" w:lastColumn="0" w:oddVBand="0" w:evenVBand="0" w:oddHBand="0" w:evenHBand="0" w:firstRowFirstColumn="0" w:firstRowLastColumn="0" w:lastRowFirstColumn="0" w:lastRowLastColumn="0"/>
          <w:tblHeader/>
        </w:trPr>
        <w:tc>
          <w:tcPr>
            <w:tcW w:w="2648" w:type="dxa"/>
            <w:vMerge w:val="restart"/>
            <w:tcBorders>
              <w:top w:val="single" w:sz="4" w:space="0" w:color="000000"/>
            </w:tcBorders>
          </w:tcPr>
          <w:p w:rsidR="00C76968" w:rsidRPr="005B0796" w:rsidRDefault="00C76968" w:rsidP="00F26E45">
            <w:pPr>
              <w:pStyle w:val="TableText"/>
              <w:rPr>
                <w:lang w:eastAsia="en-AU"/>
              </w:rPr>
            </w:pPr>
            <w:r w:rsidRPr="005B0796">
              <w:rPr>
                <w:lang w:eastAsia="en-AU"/>
              </w:rPr>
              <w:t>ICD-10 affective disorder</w:t>
            </w:r>
          </w:p>
        </w:tc>
        <w:tc>
          <w:tcPr>
            <w:tcW w:w="8858" w:type="dxa"/>
            <w:gridSpan w:val="9"/>
            <w:noWrap/>
          </w:tcPr>
          <w:p w:rsidR="00C76968" w:rsidRPr="005B0796" w:rsidRDefault="00C76968" w:rsidP="00F26E45">
            <w:pPr>
              <w:pStyle w:val="TableText"/>
              <w:jc w:val="center"/>
              <w:rPr>
                <w:lang w:eastAsia="en-AU"/>
              </w:rPr>
            </w:pPr>
            <w:r w:rsidRPr="005B0796">
              <w:rPr>
                <w:lang w:eastAsia="en-AU"/>
              </w:rPr>
              <w:t>Years since transition</w:t>
            </w:r>
          </w:p>
        </w:tc>
      </w:tr>
      <w:tr w:rsidR="00C76968" w:rsidRPr="005B0796" w:rsidTr="00920385">
        <w:trPr>
          <w:cnfStyle w:val="100000000000" w:firstRow="1" w:lastRow="0" w:firstColumn="0" w:lastColumn="0" w:oddVBand="0" w:evenVBand="0" w:oddHBand="0" w:evenHBand="0" w:firstRowFirstColumn="0" w:firstRowLastColumn="0" w:lastRowFirstColumn="0" w:lastRowLastColumn="0"/>
          <w:tblHeader/>
        </w:trPr>
        <w:tc>
          <w:tcPr>
            <w:tcW w:w="2648" w:type="dxa"/>
            <w:vMerge/>
            <w:hideMark/>
          </w:tcPr>
          <w:p w:rsidR="00C76968" w:rsidRPr="005B0796" w:rsidRDefault="00C76968" w:rsidP="00F26E45">
            <w:pPr>
              <w:pStyle w:val="TableText"/>
              <w:rPr>
                <w:lang w:eastAsia="en-AU"/>
              </w:rPr>
            </w:pPr>
          </w:p>
        </w:tc>
        <w:tc>
          <w:tcPr>
            <w:tcW w:w="2952" w:type="dxa"/>
            <w:gridSpan w:val="3"/>
            <w:noWrap/>
            <w:hideMark/>
          </w:tcPr>
          <w:p w:rsidR="00C76968" w:rsidRPr="005B0796" w:rsidRDefault="00C76968" w:rsidP="00F26E45">
            <w:pPr>
              <w:pStyle w:val="TableText"/>
              <w:jc w:val="center"/>
              <w:rPr>
                <w:lang w:eastAsia="en-AU"/>
              </w:rPr>
            </w:pPr>
            <w:r w:rsidRPr="005B0796">
              <w:rPr>
                <w:lang w:eastAsia="en-AU"/>
              </w:rPr>
              <w:t>3 (n = 5233)</w:t>
            </w:r>
          </w:p>
        </w:tc>
        <w:tc>
          <w:tcPr>
            <w:tcW w:w="2952" w:type="dxa"/>
            <w:gridSpan w:val="3"/>
          </w:tcPr>
          <w:p w:rsidR="00C76968" w:rsidRPr="005B0796" w:rsidRDefault="00C76968" w:rsidP="00F26E45">
            <w:pPr>
              <w:pStyle w:val="TableText"/>
              <w:jc w:val="center"/>
              <w:rPr>
                <w:lang w:eastAsia="en-AU"/>
              </w:rPr>
            </w:pPr>
            <w:r w:rsidRPr="005B0796">
              <w:rPr>
                <w:lang w:eastAsia="en-AU"/>
              </w:rPr>
              <w:t>4 (n = 3582)</w:t>
            </w:r>
          </w:p>
        </w:tc>
        <w:tc>
          <w:tcPr>
            <w:tcW w:w="2954" w:type="dxa"/>
            <w:gridSpan w:val="3"/>
          </w:tcPr>
          <w:p w:rsidR="00C76968" w:rsidRPr="005B0796" w:rsidRDefault="00C76968" w:rsidP="00F26E45">
            <w:pPr>
              <w:pStyle w:val="TableText"/>
              <w:jc w:val="center"/>
              <w:rPr>
                <w:lang w:eastAsia="en-AU"/>
              </w:rPr>
            </w:pPr>
            <w:r w:rsidRPr="005B0796">
              <w:rPr>
                <w:lang w:eastAsia="en-AU"/>
              </w:rPr>
              <w:t>5 (n = 2785)</w:t>
            </w:r>
          </w:p>
        </w:tc>
      </w:tr>
      <w:tr w:rsidR="00C76968" w:rsidRPr="005B0796" w:rsidTr="00920385">
        <w:trPr>
          <w:cnfStyle w:val="100000000000" w:firstRow="1" w:lastRow="0" w:firstColumn="0" w:lastColumn="0" w:oddVBand="0" w:evenVBand="0" w:oddHBand="0" w:evenHBand="0" w:firstRowFirstColumn="0" w:firstRowLastColumn="0" w:lastRowFirstColumn="0" w:lastRowLastColumn="0"/>
          <w:tblHeader/>
        </w:trPr>
        <w:tc>
          <w:tcPr>
            <w:tcW w:w="2648" w:type="dxa"/>
            <w:vMerge/>
            <w:noWrap/>
            <w:hideMark/>
          </w:tcPr>
          <w:p w:rsidR="00C76968" w:rsidRPr="005B0796" w:rsidRDefault="00C76968" w:rsidP="00F26E45">
            <w:pPr>
              <w:pStyle w:val="TableText"/>
              <w:rPr>
                <w:lang w:eastAsia="en-AU"/>
              </w:rPr>
            </w:pPr>
          </w:p>
        </w:tc>
        <w:tc>
          <w:tcPr>
            <w:tcW w:w="984" w:type="dxa"/>
            <w:noWrap/>
            <w:hideMark/>
          </w:tcPr>
          <w:p w:rsidR="00C76968" w:rsidRPr="005B0796" w:rsidRDefault="00C76968" w:rsidP="00F26E45">
            <w:pPr>
              <w:pStyle w:val="TableText"/>
              <w:jc w:val="right"/>
              <w:rPr>
                <w:lang w:eastAsia="en-AU"/>
              </w:rPr>
            </w:pPr>
            <w:r w:rsidRPr="005B0796">
              <w:rPr>
                <w:lang w:eastAsia="en-AU"/>
              </w:rPr>
              <w:t>Weighted n</w:t>
            </w:r>
          </w:p>
        </w:tc>
        <w:tc>
          <w:tcPr>
            <w:tcW w:w="984" w:type="dxa"/>
            <w:hideMark/>
          </w:tcPr>
          <w:p w:rsidR="00C76968" w:rsidRPr="005B0796" w:rsidRDefault="00C76968" w:rsidP="00F26E45">
            <w:pPr>
              <w:pStyle w:val="TableText"/>
              <w:jc w:val="right"/>
              <w:rPr>
                <w:lang w:eastAsia="en-AU"/>
              </w:rPr>
            </w:pPr>
            <w:r w:rsidRPr="005B0796">
              <w:rPr>
                <w:lang w:eastAsia="en-AU"/>
              </w:rPr>
              <w:t>%</w:t>
            </w:r>
          </w:p>
        </w:tc>
        <w:tc>
          <w:tcPr>
            <w:tcW w:w="984" w:type="dxa"/>
            <w:hideMark/>
          </w:tcPr>
          <w:p w:rsidR="00C76968" w:rsidRPr="005B0796" w:rsidRDefault="00C76968" w:rsidP="00F26E45">
            <w:pPr>
              <w:pStyle w:val="TableText"/>
              <w:jc w:val="right"/>
              <w:rPr>
                <w:lang w:eastAsia="en-AU"/>
              </w:rPr>
            </w:pPr>
            <w:r w:rsidRPr="005B0796">
              <w:rPr>
                <w:lang w:eastAsia="en-AU"/>
              </w:rPr>
              <w:t>95% CI</w:t>
            </w:r>
          </w:p>
        </w:tc>
        <w:tc>
          <w:tcPr>
            <w:tcW w:w="984" w:type="dxa"/>
          </w:tcPr>
          <w:p w:rsidR="00C76968" w:rsidRPr="005B0796" w:rsidRDefault="00C76968" w:rsidP="00F26E45">
            <w:pPr>
              <w:pStyle w:val="TableText"/>
              <w:jc w:val="right"/>
              <w:rPr>
                <w:lang w:eastAsia="en-AU"/>
              </w:rPr>
            </w:pPr>
            <w:r w:rsidRPr="005B0796">
              <w:rPr>
                <w:lang w:eastAsia="en-AU"/>
              </w:rPr>
              <w:t>Weighted n</w:t>
            </w:r>
          </w:p>
        </w:tc>
        <w:tc>
          <w:tcPr>
            <w:tcW w:w="984" w:type="dxa"/>
          </w:tcPr>
          <w:p w:rsidR="00C76968" w:rsidRPr="005B0796" w:rsidRDefault="00C76968" w:rsidP="00F26E45">
            <w:pPr>
              <w:pStyle w:val="TableText"/>
              <w:jc w:val="right"/>
              <w:rPr>
                <w:lang w:eastAsia="en-AU"/>
              </w:rPr>
            </w:pPr>
            <w:r w:rsidRPr="005B0796">
              <w:rPr>
                <w:lang w:eastAsia="en-AU"/>
              </w:rPr>
              <w:t>%</w:t>
            </w:r>
          </w:p>
        </w:tc>
        <w:tc>
          <w:tcPr>
            <w:tcW w:w="984" w:type="dxa"/>
          </w:tcPr>
          <w:p w:rsidR="00C76968" w:rsidRPr="005B0796" w:rsidRDefault="00C76968" w:rsidP="00F26E45">
            <w:pPr>
              <w:pStyle w:val="TableText"/>
              <w:jc w:val="right"/>
              <w:rPr>
                <w:lang w:eastAsia="en-AU"/>
              </w:rPr>
            </w:pPr>
            <w:r w:rsidRPr="005B0796">
              <w:rPr>
                <w:lang w:eastAsia="en-AU"/>
              </w:rPr>
              <w:t>95% CI</w:t>
            </w:r>
          </w:p>
        </w:tc>
        <w:tc>
          <w:tcPr>
            <w:tcW w:w="984" w:type="dxa"/>
          </w:tcPr>
          <w:p w:rsidR="00C76968" w:rsidRPr="005B0796" w:rsidRDefault="00C76968" w:rsidP="00F26E45">
            <w:pPr>
              <w:pStyle w:val="TableText"/>
              <w:jc w:val="right"/>
              <w:rPr>
                <w:lang w:eastAsia="en-AU"/>
              </w:rPr>
            </w:pPr>
            <w:r w:rsidRPr="005B0796">
              <w:rPr>
                <w:lang w:eastAsia="en-AU"/>
              </w:rPr>
              <w:t>Weighted n</w:t>
            </w:r>
          </w:p>
        </w:tc>
        <w:tc>
          <w:tcPr>
            <w:tcW w:w="984" w:type="dxa"/>
          </w:tcPr>
          <w:p w:rsidR="00C76968" w:rsidRPr="005B0796" w:rsidRDefault="00C76968" w:rsidP="00F26E45">
            <w:pPr>
              <w:pStyle w:val="TableText"/>
              <w:jc w:val="right"/>
              <w:rPr>
                <w:lang w:eastAsia="en-AU"/>
              </w:rPr>
            </w:pPr>
            <w:r w:rsidRPr="005B0796">
              <w:rPr>
                <w:lang w:eastAsia="en-AU"/>
              </w:rPr>
              <w:t>%</w:t>
            </w:r>
          </w:p>
        </w:tc>
        <w:tc>
          <w:tcPr>
            <w:tcW w:w="986" w:type="dxa"/>
          </w:tcPr>
          <w:p w:rsidR="00C76968" w:rsidRPr="005B0796" w:rsidRDefault="00C76968" w:rsidP="00F26E45">
            <w:pPr>
              <w:pStyle w:val="TableText"/>
              <w:jc w:val="right"/>
              <w:rPr>
                <w:lang w:eastAsia="en-AU"/>
              </w:rPr>
            </w:pPr>
            <w:r w:rsidRPr="005B0796">
              <w:rPr>
                <w:lang w:eastAsia="en-AU"/>
              </w:rPr>
              <w:t>95% CI</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trPr>
        <w:tc>
          <w:tcPr>
            <w:tcW w:w="2648" w:type="dxa"/>
            <w:hideMark/>
          </w:tcPr>
          <w:p w:rsidR="00F26E45" w:rsidRPr="005B0796" w:rsidRDefault="00F26E45" w:rsidP="00F26E45">
            <w:pPr>
              <w:pStyle w:val="TableText"/>
              <w:rPr>
                <w:lang w:eastAsia="en-AU"/>
              </w:rPr>
            </w:pPr>
            <w:r w:rsidRPr="005B0796">
              <w:rPr>
                <w:lang w:eastAsia="en-AU"/>
              </w:rPr>
              <w:t>Depressive episodes</w:t>
            </w:r>
          </w:p>
        </w:tc>
        <w:tc>
          <w:tcPr>
            <w:tcW w:w="984" w:type="dxa"/>
            <w:hideMark/>
          </w:tcPr>
          <w:p w:rsidR="00F26E45" w:rsidRPr="005B0796" w:rsidRDefault="00F26E45" w:rsidP="00F26E45">
            <w:pPr>
              <w:pStyle w:val="TableText"/>
              <w:jc w:val="right"/>
              <w:rPr>
                <w:lang w:eastAsia="en-AU"/>
              </w:rPr>
            </w:pPr>
            <w:r w:rsidRPr="005B0796">
              <w:rPr>
                <w:lang w:eastAsia="en-AU"/>
              </w:rPr>
              <w:t>581</w:t>
            </w:r>
          </w:p>
        </w:tc>
        <w:tc>
          <w:tcPr>
            <w:tcW w:w="984" w:type="dxa"/>
            <w:hideMark/>
          </w:tcPr>
          <w:p w:rsidR="00F26E45" w:rsidRPr="005B0796" w:rsidRDefault="00F26E45" w:rsidP="00F26E45">
            <w:pPr>
              <w:pStyle w:val="TableText"/>
              <w:jc w:val="right"/>
              <w:rPr>
                <w:lang w:eastAsia="en-AU"/>
              </w:rPr>
            </w:pPr>
            <w:r w:rsidRPr="005B0796">
              <w:rPr>
                <w:lang w:eastAsia="en-AU"/>
              </w:rPr>
              <w:t>11.1</w:t>
            </w:r>
          </w:p>
        </w:tc>
        <w:tc>
          <w:tcPr>
            <w:tcW w:w="984" w:type="dxa"/>
            <w:hideMark/>
          </w:tcPr>
          <w:p w:rsidR="00F26E45" w:rsidRPr="005B0796" w:rsidRDefault="00F26E45" w:rsidP="00F26E45">
            <w:pPr>
              <w:pStyle w:val="TableText"/>
              <w:jc w:val="right"/>
              <w:rPr>
                <w:lang w:eastAsia="en-AU"/>
              </w:rPr>
            </w:pPr>
            <w:r w:rsidRPr="005B0796">
              <w:rPr>
                <w:lang w:eastAsia="en-AU"/>
              </w:rPr>
              <w:t>6.0, 19.5</w:t>
            </w:r>
          </w:p>
        </w:tc>
        <w:tc>
          <w:tcPr>
            <w:tcW w:w="984" w:type="dxa"/>
          </w:tcPr>
          <w:p w:rsidR="00F26E45" w:rsidRPr="005B0796" w:rsidRDefault="00F26E45" w:rsidP="00F26E45">
            <w:pPr>
              <w:pStyle w:val="TableText"/>
              <w:jc w:val="right"/>
              <w:rPr>
                <w:lang w:eastAsia="en-AU"/>
              </w:rPr>
            </w:pPr>
            <w:r w:rsidRPr="005B0796">
              <w:rPr>
                <w:lang w:eastAsia="en-AU"/>
              </w:rPr>
              <w:t>552</w:t>
            </w:r>
          </w:p>
        </w:tc>
        <w:tc>
          <w:tcPr>
            <w:tcW w:w="984" w:type="dxa"/>
          </w:tcPr>
          <w:p w:rsidR="00F26E45" w:rsidRPr="005B0796" w:rsidRDefault="00F26E45" w:rsidP="00F26E45">
            <w:pPr>
              <w:pStyle w:val="TableText"/>
              <w:jc w:val="right"/>
              <w:rPr>
                <w:lang w:eastAsia="en-AU"/>
              </w:rPr>
            </w:pPr>
            <w:r w:rsidRPr="005B0796">
              <w:rPr>
                <w:lang w:eastAsia="en-AU"/>
              </w:rPr>
              <w:t>15.4</w:t>
            </w:r>
          </w:p>
        </w:tc>
        <w:tc>
          <w:tcPr>
            <w:tcW w:w="984" w:type="dxa"/>
          </w:tcPr>
          <w:p w:rsidR="00F26E45" w:rsidRPr="005B0796" w:rsidRDefault="00F26E45" w:rsidP="00F26E45">
            <w:pPr>
              <w:pStyle w:val="TableText"/>
              <w:jc w:val="right"/>
              <w:rPr>
                <w:lang w:eastAsia="en-AU"/>
              </w:rPr>
            </w:pPr>
            <w:r w:rsidRPr="005B0796">
              <w:rPr>
                <w:lang w:eastAsia="en-AU"/>
              </w:rPr>
              <w:t>7.9, 27.7</w:t>
            </w:r>
          </w:p>
        </w:tc>
        <w:tc>
          <w:tcPr>
            <w:tcW w:w="984" w:type="dxa"/>
          </w:tcPr>
          <w:p w:rsidR="00F26E45" w:rsidRPr="005B0796" w:rsidRDefault="00F26E45" w:rsidP="00F26E45">
            <w:pPr>
              <w:pStyle w:val="TableText"/>
              <w:jc w:val="right"/>
              <w:rPr>
                <w:lang w:eastAsia="en-AU"/>
              </w:rPr>
            </w:pPr>
            <w:r w:rsidRPr="005B0796">
              <w:rPr>
                <w:lang w:eastAsia="en-AU"/>
              </w:rPr>
              <w:t>312</w:t>
            </w:r>
          </w:p>
        </w:tc>
        <w:tc>
          <w:tcPr>
            <w:tcW w:w="984" w:type="dxa"/>
          </w:tcPr>
          <w:p w:rsidR="00F26E45" w:rsidRPr="005B0796" w:rsidRDefault="00F26E45" w:rsidP="00F26E45">
            <w:pPr>
              <w:pStyle w:val="TableText"/>
              <w:jc w:val="right"/>
              <w:rPr>
                <w:lang w:eastAsia="en-AU"/>
              </w:rPr>
            </w:pPr>
            <w:r w:rsidRPr="005B0796">
              <w:rPr>
                <w:lang w:eastAsia="en-AU"/>
              </w:rPr>
              <w:t>11.2</w:t>
            </w:r>
          </w:p>
        </w:tc>
        <w:tc>
          <w:tcPr>
            <w:tcW w:w="986" w:type="dxa"/>
          </w:tcPr>
          <w:p w:rsidR="00F26E45" w:rsidRPr="005B0796" w:rsidRDefault="00F26E45" w:rsidP="00F26E45">
            <w:pPr>
              <w:pStyle w:val="TableText"/>
              <w:jc w:val="right"/>
              <w:rPr>
                <w:lang w:eastAsia="en-AU"/>
              </w:rPr>
            </w:pPr>
            <w:r w:rsidRPr="005B0796">
              <w:rPr>
                <w:lang w:eastAsia="en-AU"/>
              </w:rPr>
              <w:t>5.0, 23.2</w:t>
            </w:r>
          </w:p>
        </w:tc>
      </w:tr>
      <w:tr w:rsidR="00F26E45" w:rsidRPr="005B0796" w:rsidTr="00F26E45">
        <w:tc>
          <w:tcPr>
            <w:tcW w:w="2648" w:type="dxa"/>
            <w:hideMark/>
          </w:tcPr>
          <w:p w:rsidR="00F26E45" w:rsidRPr="005B0796" w:rsidRDefault="00F26E45" w:rsidP="00F26E45">
            <w:pPr>
              <w:pStyle w:val="TableText"/>
              <w:rPr>
                <w:lang w:eastAsia="en-AU"/>
              </w:rPr>
            </w:pPr>
            <w:r w:rsidRPr="005B0796">
              <w:rPr>
                <w:lang w:eastAsia="en-AU"/>
              </w:rPr>
              <w:t>Dysthymia</w:t>
            </w:r>
          </w:p>
        </w:tc>
        <w:tc>
          <w:tcPr>
            <w:tcW w:w="984" w:type="dxa"/>
            <w:hideMark/>
          </w:tcPr>
          <w:p w:rsidR="00F26E45" w:rsidRPr="005B0796" w:rsidRDefault="00F26E45" w:rsidP="00F26E45">
            <w:pPr>
              <w:pStyle w:val="TableText"/>
              <w:jc w:val="right"/>
              <w:rPr>
                <w:lang w:eastAsia="en-AU"/>
              </w:rPr>
            </w:pPr>
            <w:r w:rsidRPr="005B0796">
              <w:rPr>
                <w:lang w:eastAsia="en-AU"/>
              </w:rPr>
              <w:t>152</w:t>
            </w:r>
          </w:p>
        </w:tc>
        <w:tc>
          <w:tcPr>
            <w:tcW w:w="984" w:type="dxa"/>
            <w:hideMark/>
          </w:tcPr>
          <w:p w:rsidR="00F26E45" w:rsidRPr="005B0796" w:rsidRDefault="00F26E45" w:rsidP="00F26E45">
            <w:pPr>
              <w:pStyle w:val="TableText"/>
              <w:jc w:val="right"/>
              <w:rPr>
                <w:lang w:eastAsia="en-AU"/>
              </w:rPr>
            </w:pPr>
            <w:r w:rsidRPr="005B0796">
              <w:rPr>
                <w:lang w:eastAsia="en-AU"/>
              </w:rPr>
              <w:t>2.9</w:t>
            </w:r>
          </w:p>
        </w:tc>
        <w:tc>
          <w:tcPr>
            <w:tcW w:w="984" w:type="dxa"/>
            <w:hideMark/>
          </w:tcPr>
          <w:p w:rsidR="00F26E45" w:rsidRPr="005B0796" w:rsidRDefault="00F26E45" w:rsidP="00F26E45">
            <w:pPr>
              <w:pStyle w:val="TableText"/>
              <w:jc w:val="right"/>
              <w:rPr>
                <w:lang w:eastAsia="en-AU"/>
              </w:rPr>
            </w:pPr>
            <w:r w:rsidRPr="005B0796">
              <w:rPr>
                <w:lang w:eastAsia="en-AU"/>
              </w:rPr>
              <w:t>0.8, 10.3</w:t>
            </w:r>
          </w:p>
        </w:tc>
        <w:tc>
          <w:tcPr>
            <w:tcW w:w="984" w:type="dxa"/>
          </w:tcPr>
          <w:p w:rsidR="00F26E45" w:rsidRPr="005B0796" w:rsidRDefault="00F26E45" w:rsidP="00F26E45">
            <w:pPr>
              <w:pStyle w:val="TableText"/>
              <w:jc w:val="right"/>
              <w:rPr>
                <w:lang w:eastAsia="en-AU"/>
              </w:rPr>
            </w:pPr>
            <w:r w:rsidRPr="005B0796">
              <w:rPr>
                <w:lang w:eastAsia="en-AU"/>
              </w:rPr>
              <w:t>290</w:t>
            </w:r>
          </w:p>
        </w:tc>
        <w:tc>
          <w:tcPr>
            <w:tcW w:w="984" w:type="dxa"/>
          </w:tcPr>
          <w:p w:rsidR="00F26E45" w:rsidRPr="005B0796" w:rsidRDefault="00F26E45" w:rsidP="00F26E45">
            <w:pPr>
              <w:pStyle w:val="TableText"/>
              <w:jc w:val="right"/>
              <w:rPr>
                <w:lang w:eastAsia="en-AU"/>
              </w:rPr>
            </w:pPr>
            <w:r w:rsidRPr="005B0796">
              <w:rPr>
                <w:lang w:eastAsia="en-AU"/>
              </w:rPr>
              <w:t>8.1</w:t>
            </w:r>
          </w:p>
        </w:tc>
        <w:tc>
          <w:tcPr>
            <w:tcW w:w="984" w:type="dxa"/>
          </w:tcPr>
          <w:p w:rsidR="00F26E45" w:rsidRPr="005B0796" w:rsidRDefault="00F26E45" w:rsidP="00F26E45">
            <w:pPr>
              <w:pStyle w:val="TableText"/>
              <w:jc w:val="right"/>
              <w:rPr>
                <w:lang w:eastAsia="en-AU"/>
              </w:rPr>
            </w:pPr>
            <w:r w:rsidRPr="005B0796">
              <w:rPr>
                <w:lang w:eastAsia="en-AU"/>
              </w:rPr>
              <w:t>3.3, 18.4</w:t>
            </w:r>
          </w:p>
        </w:tc>
        <w:tc>
          <w:tcPr>
            <w:tcW w:w="984" w:type="dxa"/>
          </w:tcPr>
          <w:p w:rsidR="00F26E45" w:rsidRPr="005B0796" w:rsidRDefault="00F26E45" w:rsidP="00F26E45">
            <w:pPr>
              <w:pStyle w:val="TableText"/>
              <w:jc w:val="right"/>
              <w:rPr>
                <w:lang w:eastAsia="en-AU"/>
              </w:rPr>
            </w:pPr>
            <w:r w:rsidRPr="005B0796">
              <w:rPr>
                <w:lang w:eastAsia="en-AU"/>
              </w:rPr>
              <w:t>159</w:t>
            </w:r>
          </w:p>
        </w:tc>
        <w:tc>
          <w:tcPr>
            <w:tcW w:w="984" w:type="dxa"/>
          </w:tcPr>
          <w:p w:rsidR="00F26E45" w:rsidRPr="005B0796" w:rsidRDefault="00F26E45" w:rsidP="00F26E45">
            <w:pPr>
              <w:pStyle w:val="TableText"/>
              <w:jc w:val="right"/>
              <w:rPr>
                <w:lang w:eastAsia="en-AU"/>
              </w:rPr>
            </w:pPr>
            <w:r w:rsidRPr="005B0796">
              <w:rPr>
                <w:lang w:eastAsia="en-AU"/>
              </w:rPr>
              <w:t>5.7</w:t>
            </w:r>
          </w:p>
        </w:tc>
        <w:tc>
          <w:tcPr>
            <w:tcW w:w="986" w:type="dxa"/>
          </w:tcPr>
          <w:p w:rsidR="00F26E45" w:rsidRPr="005B0796" w:rsidRDefault="00F26E45" w:rsidP="00F26E45">
            <w:pPr>
              <w:pStyle w:val="TableText"/>
              <w:jc w:val="right"/>
              <w:rPr>
                <w:lang w:eastAsia="en-AU"/>
              </w:rPr>
            </w:pPr>
            <w:r w:rsidRPr="005B0796">
              <w:rPr>
                <w:lang w:eastAsia="en-AU"/>
              </w:rPr>
              <w:t>2.2, 14.0</w:t>
            </w:r>
          </w:p>
        </w:tc>
      </w:tr>
      <w:tr w:rsidR="00F26E45" w:rsidRPr="005B0796" w:rsidTr="00F26E45">
        <w:trPr>
          <w:cnfStyle w:val="000000100000" w:firstRow="0" w:lastRow="0" w:firstColumn="0" w:lastColumn="0" w:oddVBand="0" w:evenVBand="0" w:oddHBand="1" w:evenHBand="0" w:firstRowFirstColumn="0" w:firstRowLastColumn="0" w:lastRowFirstColumn="0" w:lastRowLastColumn="0"/>
        </w:trPr>
        <w:tc>
          <w:tcPr>
            <w:tcW w:w="2648" w:type="dxa"/>
            <w:hideMark/>
          </w:tcPr>
          <w:p w:rsidR="00F26E45" w:rsidRPr="005B0796" w:rsidRDefault="00F26E45" w:rsidP="00F26E45">
            <w:pPr>
              <w:pStyle w:val="TableText"/>
              <w:rPr>
                <w:lang w:eastAsia="en-AU"/>
              </w:rPr>
            </w:pPr>
            <w:r w:rsidRPr="005B0796">
              <w:rPr>
                <w:lang w:eastAsia="en-AU"/>
              </w:rPr>
              <w:t>Bipolar affective disorder</w:t>
            </w:r>
          </w:p>
        </w:tc>
        <w:tc>
          <w:tcPr>
            <w:tcW w:w="984" w:type="dxa"/>
            <w:hideMark/>
          </w:tcPr>
          <w:p w:rsidR="00F26E45" w:rsidRPr="005B0796" w:rsidRDefault="00F26E45" w:rsidP="00F26E45">
            <w:pPr>
              <w:pStyle w:val="TableText"/>
              <w:jc w:val="right"/>
              <w:rPr>
                <w:lang w:eastAsia="en-AU"/>
              </w:rPr>
            </w:pPr>
            <w:r w:rsidRPr="005B0796">
              <w:rPr>
                <w:lang w:eastAsia="en-AU"/>
              </w:rPr>
              <w:t>314</w:t>
            </w:r>
          </w:p>
        </w:tc>
        <w:tc>
          <w:tcPr>
            <w:tcW w:w="984" w:type="dxa"/>
            <w:hideMark/>
          </w:tcPr>
          <w:p w:rsidR="00F26E45" w:rsidRPr="005B0796" w:rsidRDefault="00F26E45" w:rsidP="00F26E45">
            <w:pPr>
              <w:pStyle w:val="TableText"/>
              <w:jc w:val="right"/>
              <w:rPr>
                <w:lang w:eastAsia="en-AU"/>
              </w:rPr>
            </w:pPr>
            <w:r w:rsidRPr="005B0796">
              <w:rPr>
                <w:lang w:eastAsia="en-AU"/>
              </w:rPr>
              <w:t>6.0</w:t>
            </w:r>
          </w:p>
        </w:tc>
        <w:tc>
          <w:tcPr>
            <w:tcW w:w="984" w:type="dxa"/>
            <w:hideMark/>
          </w:tcPr>
          <w:p w:rsidR="00F26E45" w:rsidRPr="005B0796" w:rsidRDefault="00F26E45" w:rsidP="00F26E45">
            <w:pPr>
              <w:pStyle w:val="TableText"/>
              <w:jc w:val="right"/>
              <w:rPr>
                <w:lang w:eastAsia="en-AU"/>
              </w:rPr>
            </w:pPr>
            <w:r w:rsidRPr="005B0796">
              <w:rPr>
                <w:lang w:eastAsia="en-AU"/>
              </w:rPr>
              <w:t>2.3, 14.8</w:t>
            </w:r>
          </w:p>
        </w:tc>
        <w:tc>
          <w:tcPr>
            <w:tcW w:w="984" w:type="dxa"/>
          </w:tcPr>
          <w:p w:rsidR="00F26E45" w:rsidRPr="005B0796" w:rsidRDefault="00F26E45" w:rsidP="00F26E45">
            <w:pPr>
              <w:pStyle w:val="TableText"/>
              <w:jc w:val="right"/>
              <w:rPr>
                <w:lang w:eastAsia="en-AU"/>
              </w:rPr>
            </w:pPr>
            <w:r w:rsidRPr="005B0796">
              <w:rPr>
                <w:lang w:eastAsia="en-AU"/>
              </w:rPr>
              <w:t>319</w:t>
            </w:r>
          </w:p>
        </w:tc>
        <w:tc>
          <w:tcPr>
            <w:tcW w:w="984" w:type="dxa"/>
          </w:tcPr>
          <w:p w:rsidR="00F26E45" w:rsidRPr="005B0796" w:rsidRDefault="00F26E45" w:rsidP="00F26E45">
            <w:pPr>
              <w:pStyle w:val="TableText"/>
              <w:jc w:val="right"/>
              <w:rPr>
                <w:lang w:eastAsia="en-AU"/>
              </w:rPr>
            </w:pPr>
            <w:r w:rsidRPr="005B0796">
              <w:rPr>
                <w:lang w:eastAsia="en-AU"/>
              </w:rPr>
              <w:t>8.9</w:t>
            </w:r>
          </w:p>
        </w:tc>
        <w:tc>
          <w:tcPr>
            <w:tcW w:w="984" w:type="dxa"/>
          </w:tcPr>
          <w:p w:rsidR="00F26E45" w:rsidRPr="005B0796" w:rsidRDefault="00F26E45" w:rsidP="00F26E45">
            <w:pPr>
              <w:pStyle w:val="TableText"/>
              <w:jc w:val="right"/>
              <w:rPr>
                <w:lang w:eastAsia="en-AU"/>
              </w:rPr>
            </w:pPr>
            <w:r w:rsidRPr="005B0796">
              <w:rPr>
                <w:lang w:eastAsia="en-AU"/>
              </w:rPr>
              <w:t>3.8, 19.8</w:t>
            </w:r>
          </w:p>
        </w:tc>
        <w:tc>
          <w:tcPr>
            <w:tcW w:w="984" w:type="dxa"/>
          </w:tcPr>
          <w:p w:rsidR="00F26E45" w:rsidRPr="005B0796" w:rsidRDefault="00F26E45" w:rsidP="00F26E45">
            <w:pPr>
              <w:pStyle w:val="TableText"/>
              <w:jc w:val="right"/>
              <w:rPr>
                <w:lang w:eastAsia="en-AU"/>
              </w:rPr>
            </w:pPr>
            <w:r w:rsidRPr="005B0796">
              <w:rPr>
                <w:lang w:eastAsia="en-AU"/>
              </w:rPr>
              <w:t>281</w:t>
            </w:r>
          </w:p>
        </w:tc>
        <w:tc>
          <w:tcPr>
            <w:tcW w:w="984" w:type="dxa"/>
          </w:tcPr>
          <w:p w:rsidR="00F26E45" w:rsidRPr="005B0796" w:rsidRDefault="00F26E45" w:rsidP="00F26E45">
            <w:pPr>
              <w:pStyle w:val="TableText"/>
              <w:jc w:val="right"/>
              <w:rPr>
                <w:lang w:eastAsia="en-AU"/>
              </w:rPr>
            </w:pPr>
            <w:r w:rsidRPr="005B0796">
              <w:rPr>
                <w:lang w:eastAsia="en-AU"/>
              </w:rPr>
              <w:t>10.1</w:t>
            </w:r>
          </w:p>
        </w:tc>
        <w:tc>
          <w:tcPr>
            <w:tcW w:w="986" w:type="dxa"/>
          </w:tcPr>
          <w:p w:rsidR="00F26E45" w:rsidRPr="005B0796" w:rsidRDefault="00F26E45" w:rsidP="00F26E45">
            <w:pPr>
              <w:pStyle w:val="TableText"/>
              <w:jc w:val="right"/>
              <w:rPr>
                <w:lang w:eastAsia="en-AU"/>
              </w:rPr>
            </w:pPr>
            <w:r w:rsidRPr="005B0796">
              <w:rPr>
                <w:lang w:eastAsia="en-AU"/>
              </w:rPr>
              <w:t>3.8, 24.3</w:t>
            </w:r>
          </w:p>
        </w:tc>
      </w:tr>
      <w:tr w:rsidR="00F26E45" w:rsidRPr="005B0796" w:rsidTr="00F26E45">
        <w:tc>
          <w:tcPr>
            <w:tcW w:w="2648" w:type="dxa"/>
            <w:noWrap/>
            <w:hideMark/>
          </w:tcPr>
          <w:p w:rsidR="00F26E45" w:rsidRPr="005B0796" w:rsidRDefault="00F26E45" w:rsidP="00F26E45">
            <w:pPr>
              <w:pStyle w:val="TableText"/>
              <w:rPr>
                <w:lang w:eastAsia="en-AU"/>
              </w:rPr>
            </w:pPr>
            <w:r w:rsidRPr="005B0796">
              <w:rPr>
                <w:lang w:eastAsia="en-AU"/>
              </w:rPr>
              <w:t>Any affective disorder</w:t>
            </w:r>
          </w:p>
        </w:tc>
        <w:tc>
          <w:tcPr>
            <w:tcW w:w="984" w:type="dxa"/>
            <w:hideMark/>
          </w:tcPr>
          <w:p w:rsidR="00F26E45" w:rsidRPr="005B0796" w:rsidRDefault="00F26E45" w:rsidP="00F26E45">
            <w:pPr>
              <w:pStyle w:val="TableText"/>
              <w:jc w:val="right"/>
              <w:rPr>
                <w:lang w:eastAsia="en-AU"/>
              </w:rPr>
            </w:pPr>
            <w:r w:rsidRPr="005B0796">
              <w:rPr>
                <w:lang w:eastAsia="en-AU"/>
              </w:rPr>
              <w:t>1015</w:t>
            </w:r>
          </w:p>
        </w:tc>
        <w:tc>
          <w:tcPr>
            <w:tcW w:w="984" w:type="dxa"/>
            <w:hideMark/>
          </w:tcPr>
          <w:p w:rsidR="00F26E45" w:rsidRPr="005B0796" w:rsidRDefault="00F26E45" w:rsidP="00F26E45">
            <w:pPr>
              <w:pStyle w:val="TableText"/>
              <w:jc w:val="right"/>
              <w:rPr>
                <w:lang w:eastAsia="en-AU"/>
              </w:rPr>
            </w:pPr>
            <w:r w:rsidRPr="005B0796">
              <w:rPr>
                <w:lang w:eastAsia="en-AU"/>
              </w:rPr>
              <w:t>19.4</w:t>
            </w:r>
          </w:p>
        </w:tc>
        <w:tc>
          <w:tcPr>
            <w:tcW w:w="984" w:type="dxa"/>
            <w:hideMark/>
          </w:tcPr>
          <w:p w:rsidR="00F26E45" w:rsidRPr="005B0796" w:rsidRDefault="00F26E45" w:rsidP="00F26E45">
            <w:pPr>
              <w:pStyle w:val="TableText"/>
              <w:jc w:val="right"/>
              <w:rPr>
                <w:lang w:eastAsia="en-AU"/>
              </w:rPr>
            </w:pPr>
            <w:r w:rsidRPr="005B0796">
              <w:rPr>
                <w:lang w:eastAsia="en-AU"/>
              </w:rPr>
              <w:t>12.1, 29.6</w:t>
            </w:r>
          </w:p>
        </w:tc>
        <w:tc>
          <w:tcPr>
            <w:tcW w:w="984" w:type="dxa"/>
          </w:tcPr>
          <w:p w:rsidR="00F26E45" w:rsidRPr="005B0796" w:rsidRDefault="00F26E45" w:rsidP="00F26E45">
            <w:pPr>
              <w:pStyle w:val="TableText"/>
              <w:jc w:val="right"/>
              <w:rPr>
                <w:lang w:eastAsia="en-AU"/>
              </w:rPr>
            </w:pPr>
            <w:r w:rsidRPr="005B0796">
              <w:rPr>
                <w:lang w:eastAsia="en-AU"/>
              </w:rPr>
              <w:t>1032</w:t>
            </w:r>
          </w:p>
        </w:tc>
        <w:tc>
          <w:tcPr>
            <w:tcW w:w="984" w:type="dxa"/>
          </w:tcPr>
          <w:p w:rsidR="00F26E45" w:rsidRPr="005B0796" w:rsidRDefault="00F26E45" w:rsidP="00F26E45">
            <w:pPr>
              <w:pStyle w:val="TableText"/>
              <w:jc w:val="right"/>
              <w:rPr>
                <w:lang w:eastAsia="en-AU"/>
              </w:rPr>
            </w:pPr>
            <w:r w:rsidRPr="005B0796">
              <w:rPr>
                <w:lang w:eastAsia="en-AU"/>
              </w:rPr>
              <w:t>28.8</w:t>
            </w:r>
          </w:p>
        </w:tc>
        <w:tc>
          <w:tcPr>
            <w:tcW w:w="984" w:type="dxa"/>
          </w:tcPr>
          <w:p w:rsidR="00F26E45" w:rsidRPr="005B0796" w:rsidRDefault="00F26E45" w:rsidP="00F26E45">
            <w:pPr>
              <w:pStyle w:val="TableText"/>
              <w:jc w:val="right"/>
              <w:rPr>
                <w:lang w:eastAsia="en-AU"/>
              </w:rPr>
            </w:pPr>
            <w:r w:rsidRPr="005B0796">
              <w:rPr>
                <w:lang w:eastAsia="en-AU"/>
              </w:rPr>
              <w:t>18.4, 42.0</w:t>
            </w:r>
          </w:p>
        </w:tc>
        <w:tc>
          <w:tcPr>
            <w:tcW w:w="984" w:type="dxa"/>
          </w:tcPr>
          <w:p w:rsidR="00F26E45" w:rsidRPr="005B0796" w:rsidRDefault="00F26E45" w:rsidP="00F26E45">
            <w:pPr>
              <w:pStyle w:val="TableText"/>
              <w:jc w:val="right"/>
              <w:rPr>
                <w:lang w:eastAsia="en-AU"/>
              </w:rPr>
            </w:pPr>
            <w:r w:rsidRPr="005B0796">
              <w:rPr>
                <w:lang w:eastAsia="en-AU"/>
              </w:rPr>
              <w:t>682</w:t>
            </w:r>
          </w:p>
        </w:tc>
        <w:tc>
          <w:tcPr>
            <w:tcW w:w="984" w:type="dxa"/>
          </w:tcPr>
          <w:p w:rsidR="00F26E45" w:rsidRPr="005B0796" w:rsidRDefault="00F26E45" w:rsidP="00F26E45">
            <w:pPr>
              <w:pStyle w:val="TableText"/>
              <w:jc w:val="right"/>
              <w:rPr>
                <w:lang w:eastAsia="en-AU"/>
              </w:rPr>
            </w:pPr>
            <w:r w:rsidRPr="005B0796">
              <w:rPr>
                <w:lang w:eastAsia="en-AU"/>
              </w:rPr>
              <w:t>24.5</w:t>
            </w:r>
          </w:p>
        </w:tc>
        <w:tc>
          <w:tcPr>
            <w:tcW w:w="986" w:type="dxa"/>
          </w:tcPr>
          <w:p w:rsidR="00F26E45" w:rsidRPr="005B0796" w:rsidRDefault="00F26E45" w:rsidP="00F26E45">
            <w:pPr>
              <w:pStyle w:val="TableText"/>
              <w:jc w:val="right"/>
              <w:rPr>
                <w:lang w:eastAsia="en-AU"/>
              </w:rPr>
            </w:pPr>
            <w:r w:rsidRPr="005B0796">
              <w:rPr>
                <w:lang w:eastAsia="en-AU"/>
              </w:rPr>
              <w:t>14.4, 38.6</w:t>
            </w:r>
          </w:p>
        </w:tc>
      </w:tr>
    </w:tbl>
    <w:p w:rsidR="00545711" w:rsidRPr="005B0796" w:rsidRDefault="00997E39" w:rsidP="00997E39">
      <w:pPr>
        <w:pStyle w:val="TableNotes"/>
      </w:pPr>
      <w:r w:rsidRPr="005B0796">
        <w:t xml:space="preserve">Note: 95% CI: 95% </w:t>
      </w:r>
      <w:r w:rsidR="00564689" w:rsidRPr="005B0796">
        <w:t>confidence interval</w:t>
      </w:r>
    </w:p>
    <w:p w:rsidR="00E70BD6" w:rsidRPr="005B0796" w:rsidRDefault="00E70BD6" w:rsidP="00997E39">
      <w:pPr>
        <w:pStyle w:val="TableName"/>
      </w:pPr>
      <w:bookmarkStart w:id="581" w:name="_Ref494280285"/>
      <w:bookmarkStart w:id="582" w:name="_Toc51190042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25</w:t>
      </w:r>
      <w:r w:rsidR="00D30A3C">
        <w:rPr>
          <w:noProof/>
        </w:rPr>
        <w:fldChar w:fldCharType="end"/>
      </w:r>
      <w:bookmarkEnd w:id="581"/>
      <w:r w:rsidR="00997E39" w:rsidRPr="005B0796">
        <w:tab/>
      </w:r>
      <w:r w:rsidRPr="005B0796">
        <w:t>Estimated prevalence of 12-month ICD-10 affective disorders in Transitioned ADF, by affective disorder type and reason for discharge</w:t>
      </w:r>
      <w:bookmarkEnd w:id="582"/>
    </w:p>
    <w:tbl>
      <w:tblPr>
        <w:tblStyle w:val="TWRPTable"/>
        <w:tblW w:w="5000" w:type="pct"/>
        <w:tblLayout w:type="fixed"/>
        <w:tblLook w:val="04A0" w:firstRow="1" w:lastRow="0" w:firstColumn="1" w:lastColumn="0" w:noHBand="0" w:noVBand="1"/>
        <w:tblDescription w:val="Table 4.25 Estimated prevalence of 12-month ICD-10 affective disorders in Transitioned ADF, by affective disorder type and reason for discharge"/>
      </w:tblPr>
      <w:tblGrid>
        <w:gridCol w:w="2447"/>
        <w:gridCol w:w="1509"/>
        <w:gridCol w:w="1510"/>
        <w:gridCol w:w="1510"/>
        <w:gridCol w:w="1510"/>
        <w:gridCol w:w="1510"/>
        <w:gridCol w:w="1510"/>
      </w:tblGrid>
      <w:tr w:rsidR="00E70BD6" w:rsidRPr="005B0796" w:rsidTr="00ED2BE5">
        <w:trPr>
          <w:cnfStyle w:val="100000000000" w:firstRow="1" w:lastRow="0" w:firstColumn="0" w:lastColumn="0" w:oddVBand="0" w:evenVBand="0" w:oddHBand="0" w:evenHBand="0" w:firstRowFirstColumn="0" w:firstRowLastColumn="0" w:lastRowFirstColumn="0" w:lastRowLastColumn="0"/>
          <w:tblHeader/>
        </w:trPr>
        <w:tc>
          <w:tcPr>
            <w:tcW w:w="1064" w:type="pct"/>
            <w:vMerge w:val="restart"/>
            <w:tcBorders>
              <w:top w:val="single" w:sz="4" w:space="0" w:color="000000"/>
              <w:bottom w:val="nil"/>
            </w:tcBorders>
            <w:noWrap/>
            <w:hideMark/>
          </w:tcPr>
          <w:p w:rsidR="00E70BD6" w:rsidRPr="005B0796" w:rsidRDefault="00E70BD6" w:rsidP="00ED2BE5">
            <w:pPr>
              <w:pStyle w:val="TableText"/>
            </w:pPr>
          </w:p>
        </w:tc>
        <w:tc>
          <w:tcPr>
            <w:tcW w:w="3936" w:type="pct"/>
            <w:gridSpan w:val="6"/>
            <w:noWrap/>
          </w:tcPr>
          <w:p w:rsidR="00E70BD6" w:rsidRPr="005B0796" w:rsidRDefault="00E70BD6" w:rsidP="00ED2BE5">
            <w:pPr>
              <w:pStyle w:val="TableText"/>
              <w:jc w:val="center"/>
            </w:pPr>
            <w:r w:rsidRPr="005B0796">
              <w:t>Reason for discharge</w:t>
            </w:r>
          </w:p>
        </w:tc>
      </w:tr>
      <w:tr w:rsidR="00E70BD6" w:rsidRPr="005B0796" w:rsidTr="00ED2BE5">
        <w:trPr>
          <w:cnfStyle w:val="100000000000" w:firstRow="1" w:lastRow="0" w:firstColumn="0" w:lastColumn="0" w:oddVBand="0" w:evenVBand="0" w:oddHBand="0" w:evenHBand="0" w:firstRowFirstColumn="0" w:firstRowLastColumn="0" w:lastRowFirstColumn="0" w:lastRowLastColumn="0"/>
          <w:tblHeader/>
        </w:trPr>
        <w:tc>
          <w:tcPr>
            <w:tcW w:w="1064" w:type="pct"/>
            <w:vMerge/>
            <w:tcBorders>
              <w:top w:val="nil"/>
              <w:bottom w:val="nil"/>
            </w:tcBorders>
            <w:hideMark/>
          </w:tcPr>
          <w:p w:rsidR="00E70BD6" w:rsidRPr="005B0796" w:rsidRDefault="00E70BD6" w:rsidP="00ED2BE5">
            <w:pPr>
              <w:pStyle w:val="TableText"/>
            </w:pPr>
          </w:p>
        </w:tc>
        <w:tc>
          <w:tcPr>
            <w:tcW w:w="1968" w:type="pct"/>
            <w:gridSpan w:val="3"/>
            <w:noWrap/>
            <w:hideMark/>
          </w:tcPr>
          <w:p w:rsidR="00E70BD6" w:rsidRPr="005B0796" w:rsidRDefault="00E70BD6" w:rsidP="00ED2BE5">
            <w:pPr>
              <w:pStyle w:val="TableText"/>
              <w:jc w:val="center"/>
            </w:pPr>
            <w:r w:rsidRPr="005B0796">
              <w:t>Medical (n = 5082)</w:t>
            </w:r>
          </w:p>
        </w:tc>
        <w:tc>
          <w:tcPr>
            <w:tcW w:w="1968" w:type="pct"/>
            <w:gridSpan w:val="3"/>
            <w:noWrap/>
            <w:hideMark/>
          </w:tcPr>
          <w:p w:rsidR="00E70BD6" w:rsidRPr="005B0796" w:rsidRDefault="00E70BD6" w:rsidP="00ED2BE5">
            <w:pPr>
              <w:pStyle w:val="TableText"/>
              <w:jc w:val="center"/>
            </w:pPr>
            <w:r w:rsidRPr="005B0796">
              <w:t>Other (n = 19,154)</w:t>
            </w:r>
          </w:p>
        </w:tc>
      </w:tr>
      <w:tr w:rsidR="00E70BD6" w:rsidRPr="005B0796" w:rsidTr="00ED2BE5">
        <w:trPr>
          <w:cnfStyle w:val="100000000000" w:firstRow="1" w:lastRow="0" w:firstColumn="0" w:lastColumn="0" w:oddVBand="0" w:evenVBand="0" w:oddHBand="0" w:evenHBand="0" w:firstRowFirstColumn="0" w:firstRowLastColumn="0" w:lastRowFirstColumn="0" w:lastRowLastColumn="0"/>
          <w:tblHeader/>
        </w:trPr>
        <w:tc>
          <w:tcPr>
            <w:tcW w:w="1064" w:type="pct"/>
            <w:tcBorders>
              <w:top w:val="nil"/>
            </w:tcBorders>
            <w:noWrap/>
            <w:hideMark/>
          </w:tcPr>
          <w:p w:rsidR="00E70BD6" w:rsidRPr="005B0796" w:rsidRDefault="00ED2BE5" w:rsidP="00ED2BE5">
            <w:pPr>
              <w:pStyle w:val="TableText"/>
            </w:pPr>
            <w:r w:rsidRPr="005B0796">
              <w:t xml:space="preserve">ICD-10 </w:t>
            </w:r>
            <w:r w:rsidR="00D13778" w:rsidRPr="005B0796">
              <w:t>affective disorder</w:t>
            </w:r>
          </w:p>
        </w:tc>
        <w:tc>
          <w:tcPr>
            <w:tcW w:w="656" w:type="pct"/>
            <w:noWrap/>
            <w:hideMark/>
          </w:tcPr>
          <w:p w:rsidR="00E70BD6" w:rsidRPr="005B0796" w:rsidRDefault="00E70BD6" w:rsidP="00ED2BE5">
            <w:pPr>
              <w:pStyle w:val="TableText"/>
              <w:jc w:val="right"/>
            </w:pPr>
            <w:r w:rsidRPr="005B0796">
              <w:rPr>
                <w:rFonts w:eastAsia="Times New Roman"/>
                <w:lang w:eastAsia="en-AU"/>
              </w:rPr>
              <w:t>Weighted n</w:t>
            </w:r>
          </w:p>
        </w:tc>
        <w:tc>
          <w:tcPr>
            <w:tcW w:w="656" w:type="pct"/>
            <w:hideMark/>
          </w:tcPr>
          <w:p w:rsidR="00E70BD6" w:rsidRPr="005B0796" w:rsidRDefault="00E70BD6" w:rsidP="00ED2BE5">
            <w:pPr>
              <w:pStyle w:val="TableText"/>
              <w:jc w:val="right"/>
            </w:pPr>
            <w:r w:rsidRPr="005B0796">
              <w:t>%</w:t>
            </w:r>
          </w:p>
        </w:tc>
        <w:tc>
          <w:tcPr>
            <w:tcW w:w="656" w:type="pct"/>
            <w:hideMark/>
          </w:tcPr>
          <w:p w:rsidR="00E70BD6" w:rsidRPr="005B0796" w:rsidRDefault="00E70BD6" w:rsidP="00ED2BE5">
            <w:pPr>
              <w:pStyle w:val="TableText"/>
              <w:jc w:val="right"/>
            </w:pPr>
            <w:r w:rsidRPr="005B0796">
              <w:t>95% CI</w:t>
            </w:r>
          </w:p>
        </w:tc>
        <w:tc>
          <w:tcPr>
            <w:tcW w:w="656" w:type="pct"/>
            <w:noWrap/>
            <w:hideMark/>
          </w:tcPr>
          <w:p w:rsidR="00E70BD6" w:rsidRPr="005B0796" w:rsidRDefault="00E70BD6" w:rsidP="00ED2BE5">
            <w:pPr>
              <w:pStyle w:val="TableText"/>
              <w:jc w:val="right"/>
            </w:pPr>
            <w:r w:rsidRPr="005B0796">
              <w:rPr>
                <w:rFonts w:eastAsia="Times New Roman"/>
                <w:lang w:eastAsia="en-AU"/>
              </w:rPr>
              <w:t>Weighted n</w:t>
            </w:r>
          </w:p>
        </w:tc>
        <w:tc>
          <w:tcPr>
            <w:tcW w:w="656" w:type="pct"/>
            <w:hideMark/>
          </w:tcPr>
          <w:p w:rsidR="00E70BD6" w:rsidRPr="005B0796" w:rsidRDefault="00E70BD6" w:rsidP="00ED2BE5">
            <w:pPr>
              <w:pStyle w:val="TableText"/>
              <w:jc w:val="right"/>
            </w:pPr>
            <w:r w:rsidRPr="005B0796">
              <w:t>%</w:t>
            </w:r>
          </w:p>
        </w:tc>
        <w:tc>
          <w:tcPr>
            <w:tcW w:w="656" w:type="pct"/>
            <w:hideMark/>
          </w:tcPr>
          <w:p w:rsidR="00E70BD6" w:rsidRPr="005B0796" w:rsidRDefault="00E70BD6" w:rsidP="00ED2BE5">
            <w:pPr>
              <w:pStyle w:val="TableText"/>
              <w:jc w:val="right"/>
            </w:pPr>
            <w:r w:rsidRPr="005B0796">
              <w:t>95% CI</w:t>
            </w:r>
          </w:p>
        </w:tc>
      </w:tr>
      <w:tr w:rsidR="00E70BD6" w:rsidRPr="005B0796" w:rsidTr="00ED2BE5">
        <w:trPr>
          <w:cnfStyle w:val="000000100000" w:firstRow="0" w:lastRow="0" w:firstColumn="0" w:lastColumn="0" w:oddVBand="0" w:evenVBand="0" w:oddHBand="1" w:evenHBand="0" w:firstRowFirstColumn="0" w:firstRowLastColumn="0" w:lastRowFirstColumn="0" w:lastRowLastColumn="0"/>
        </w:trPr>
        <w:tc>
          <w:tcPr>
            <w:tcW w:w="1064" w:type="pct"/>
            <w:hideMark/>
          </w:tcPr>
          <w:p w:rsidR="00E70BD6" w:rsidRPr="005B0796" w:rsidRDefault="00E70BD6" w:rsidP="00ED2BE5">
            <w:pPr>
              <w:pStyle w:val="TableText"/>
              <w:rPr>
                <w:color w:val="000000" w:themeColor="text1"/>
              </w:rPr>
            </w:pPr>
            <w:r w:rsidRPr="005B0796">
              <w:rPr>
                <w:color w:val="000000" w:themeColor="text1"/>
              </w:rPr>
              <w:t>Depressive episodes</w:t>
            </w:r>
            <w:r w:rsidRPr="005B0796">
              <w:rPr>
                <w:color w:val="000000" w:themeColor="text1"/>
                <w:vertAlign w:val="superscript"/>
              </w:rPr>
              <w:t>a</w:t>
            </w:r>
          </w:p>
        </w:tc>
        <w:tc>
          <w:tcPr>
            <w:tcW w:w="656" w:type="pct"/>
            <w:noWrap/>
            <w:hideMark/>
          </w:tcPr>
          <w:p w:rsidR="00E70BD6" w:rsidRPr="005B0796" w:rsidRDefault="00E70BD6" w:rsidP="00ED2BE5">
            <w:pPr>
              <w:pStyle w:val="TableText"/>
              <w:jc w:val="right"/>
              <w:rPr>
                <w:color w:val="000000" w:themeColor="text1"/>
              </w:rPr>
            </w:pPr>
            <w:r w:rsidRPr="005B0796">
              <w:rPr>
                <w:color w:val="000000" w:themeColor="text1"/>
              </w:rPr>
              <w:t>925</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18.2</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12.1, 26.5</w:t>
            </w:r>
          </w:p>
        </w:tc>
        <w:tc>
          <w:tcPr>
            <w:tcW w:w="656" w:type="pct"/>
            <w:noWrap/>
            <w:hideMark/>
          </w:tcPr>
          <w:p w:rsidR="00E70BD6" w:rsidRPr="005B0796" w:rsidRDefault="00E70BD6" w:rsidP="00ED2BE5">
            <w:pPr>
              <w:pStyle w:val="TableText"/>
              <w:jc w:val="right"/>
              <w:rPr>
                <w:color w:val="000000" w:themeColor="text1"/>
              </w:rPr>
            </w:pPr>
            <w:r w:rsidRPr="005B0796">
              <w:rPr>
                <w:color w:val="000000" w:themeColor="text1"/>
              </w:rPr>
              <w:t>1670</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8.7</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6.1, 12.3</w:t>
            </w:r>
          </w:p>
        </w:tc>
      </w:tr>
      <w:tr w:rsidR="00E70BD6" w:rsidRPr="005B0796" w:rsidTr="00ED2BE5">
        <w:tc>
          <w:tcPr>
            <w:tcW w:w="1064" w:type="pct"/>
            <w:hideMark/>
          </w:tcPr>
          <w:p w:rsidR="00E70BD6" w:rsidRPr="005B0796" w:rsidRDefault="00E70BD6" w:rsidP="00ED2BE5">
            <w:pPr>
              <w:pStyle w:val="TableText"/>
              <w:rPr>
                <w:color w:val="000000" w:themeColor="text1"/>
              </w:rPr>
            </w:pPr>
            <w:r w:rsidRPr="005B0796">
              <w:rPr>
                <w:color w:val="000000" w:themeColor="text1"/>
              </w:rPr>
              <w:t>Dysthymia</w:t>
            </w:r>
            <w:r w:rsidRPr="005B0796">
              <w:rPr>
                <w:color w:val="000000" w:themeColor="text1"/>
                <w:vertAlign w:val="superscript"/>
              </w:rPr>
              <w:t>b</w:t>
            </w:r>
          </w:p>
        </w:tc>
        <w:tc>
          <w:tcPr>
            <w:tcW w:w="656" w:type="pct"/>
            <w:noWrap/>
            <w:hideMark/>
          </w:tcPr>
          <w:p w:rsidR="00E70BD6" w:rsidRPr="005B0796" w:rsidRDefault="00E70BD6" w:rsidP="00ED2BE5">
            <w:pPr>
              <w:pStyle w:val="TableText"/>
              <w:jc w:val="right"/>
              <w:rPr>
                <w:color w:val="000000" w:themeColor="text1"/>
              </w:rPr>
            </w:pPr>
            <w:r w:rsidRPr="005B0796">
              <w:rPr>
                <w:color w:val="000000" w:themeColor="text1"/>
              </w:rPr>
              <w:t>462</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9.1</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5.1, 15.7</w:t>
            </w:r>
          </w:p>
        </w:tc>
        <w:tc>
          <w:tcPr>
            <w:tcW w:w="656" w:type="pct"/>
            <w:noWrap/>
            <w:hideMark/>
          </w:tcPr>
          <w:p w:rsidR="00E70BD6" w:rsidRPr="005B0796" w:rsidRDefault="00E70BD6" w:rsidP="00ED2BE5">
            <w:pPr>
              <w:pStyle w:val="TableText"/>
              <w:jc w:val="right"/>
              <w:rPr>
                <w:color w:val="000000" w:themeColor="text1"/>
              </w:rPr>
            </w:pPr>
            <w:r w:rsidRPr="005B0796">
              <w:rPr>
                <w:color w:val="000000" w:themeColor="text1"/>
              </w:rPr>
              <w:t>573</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3.0</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1.7, 5.3</w:t>
            </w:r>
          </w:p>
        </w:tc>
      </w:tr>
      <w:tr w:rsidR="00E70BD6" w:rsidRPr="005B0796" w:rsidTr="00ED2BE5">
        <w:trPr>
          <w:cnfStyle w:val="000000100000" w:firstRow="0" w:lastRow="0" w:firstColumn="0" w:lastColumn="0" w:oddVBand="0" w:evenVBand="0" w:oddHBand="1" w:evenHBand="0" w:firstRowFirstColumn="0" w:firstRowLastColumn="0" w:lastRowFirstColumn="0" w:lastRowLastColumn="0"/>
        </w:trPr>
        <w:tc>
          <w:tcPr>
            <w:tcW w:w="1064" w:type="pct"/>
            <w:hideMark/>
          </w:tcPr>
          <w:p w:rsidR="00E70BD6" w:rsidRPr="005B0796" w:rsidRDefault="00E70BD6" w:rsidP="00ED2BE5">
            <w:pPr>
              <w:pStyle w:val="TableText"/>
              <w:rPr>
                <w:color w:val="000000" w:themeColor="text1"/>
              </w:rPr>
            </w:pPr>
            <w:r w:rsidRPr="005B0796">
              <w:rPr>
                <w:color w:val="000000" w:themeColor="text1"/>
              </w:rPr>
              <w:t>Bipolar affective disorder</w:t>
            </w:r>
            <w:r w:rsidRPr="005B0796">
              <w:rPr>
                <w:color w:val="000000" w:themeColor="text1"/>
                <w:vertAlign w:val="superscript"/>
              </w:rPr>
              <w:t>c</w:t>
            </w:r>
          </w:p>
        </w:tc>
        <w:tc>
          <w:tcPr>
            <w:tcW w:w="656" w:type="pct"/>
            <w:noWrap/>
            <w:hideMark/>
          </w:tcPr>
          <w:p w:rsidR="00E70BD6" w:rsidRPr="005B0796" w:rsidRDefault="00E70BD6" w:rsidP="00ED2BE5">
            <w:pPr>
              <w:pStyle w:val="TableText"/>
              <w:jc w:val="right"/>
              <w:rPr>
                <w:color w:val="000000" w:themeColor="text1"/>
              </w:rPr>
            </w:pPr>
            <w:r w:rsidRPr="005B0796">
              <w:rPr>
                <w:color w:val="000000" w:themeColor="text1"/>
              </w:rPr>
              <w:t>872</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17.2</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10.5, 26.9</w:t>
            </w:r>
          </w:p>
        </w:tc>
        <w:tc>
          <w:tcPr>
            <w:tcW w:w="656" w:type="pct"/>
            <w:noWrap/>
            <w:hideMark/>
          </w:tcPr>
          <w:p w:rsidR="00E70BD6" w:rsidRPr="005B0796" w:rsidRDefault="00E70BD6" w:rsidP="00ED2BE5">
            <w:pPr>
              <w:pStyle w:val="TableText"/>
              <w:jc w:val="right"/>
              <w:rPr>
                <w:color w:val="000000" w:themeColor="text1"/>
              </w:rPr>
            </w:pPr>
            <w:r w:rsidRPr="005B0796">
              <w:rPr>
                <w:color w:val="000000" w:themeColor="text1"/>
              </w:rPr>
              <w:t>1384</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7.2</w:t>
            </w:r>
          </w:p>
        </w:tc>
        <w:tc>
          <w:tcPr>
            <w:tcW w:w="656" w:type="pct"/>
            <w:hideMark/>
          </w:tcPr>
          <w:p w:rsidR="00E70BD6" w:rsidRPr="005B0796" w:rsidRDefault="00E70BD6" w:rsidP="00ED2BE5">
            <w:pPr>
              <w:pStyle w:val="TableText"/>
              <w:jc w:val="right"/>
              <w:rPr>
                <w:color w:val="000000" w:themeColor="text1"/>
              </w:rPr>
            </w:pPr>
            <w:r w:rsidRPr="005B0796">
              <w:rPr>
                <w:color w:val="000000" w:themeColor="text1"/>
              </w:rPr>
              <w:t>4.5, 11.4</w:t>
            </w:r>
          </w:p>
        </w:tc>
      </w:tr>
      <w:tr w:rsidR="00E70BD6" w:rsidRPr="005B0796" w:rsidTr="00ED2BE5">
        <w:tc>
          <w:tcPr>
            <w:tcW w:w="1064" w:type="pct"/>
          </w:tcPr>
          <w:tbl>
            <w:tblPr>
              <w:tblW w:w="4716" w:type="dxa"/>
              <w:tblLayout w:type="fixed"/>
              <w:tblCellMar>
                <w:left w:w="0" w:type="dxa"/>
                <w:right w:w="0" w:type="dxa"/>
              </w:tblCellMar>
              <w:tblLook w:val="04A0" w:firstRow="1" w:lastRow="0" w:firstColumn="1" w:lastColumn="0" w:noHBand="0" w:noVBand="1"/>
            </w:tblPr>
            <w:tblGrid>
              <w:gridCol w:w="4716"/>
            </w:tblGrid>
            <w:tr w:rsidR="00E70BD6" w:rsidRPr="005B0796" w:rsidTr="0019239D">
              <w:trPr>
                <w:trHeight w:val="351"/>
              </w:trPr>
              <w:tc>
                <w:tcPr>
                  <w:tcW w:w="5000" w:type="pct"/>
                  <w:noWrap/>
                  <w:tcMar>
                    <w:top w:w="15" w:type="dxa"/>
                    <w:left w:w="15" w:type="dxa"/>
                    <w:bottom w:w="0" w:type="dxa"/>
                    <w:right w:w="15" w:type="dxa"/>
                  </w:tcMar>
                  <w:vAlign w:val="center"/>
                  <w:hideMark/>
                </w:tcPr>
                <w:p w:rsidR="00E70BD6" w:rsidRPr="005B0796" w:rsidRDefault="00E70BD6" w:rsidP="00ED2BE5">
                  <w:pPr>
                    <w:pStyle w:val="TableText"/>
                    <w:rPr>
                      <w:color w:val="000000" w:themeColor="text1"/>
                    </w:rPr>
                  </w:pPr>
                  <w:r w:rsidRPr="005B0796">
                    <w:rPr>
                      <w:color w:val="000000" w:themeColor="text1"/>
                    </w:rPr>
                    <w:t>Any affective disorder</w:t>
                  </w:r>
                  <w:r w:rsidRPr="005B0796">
                    <w:rPr>
                      <w:color w:val="000000" w:themeColor="text1"/>
                      <w:vertAlign w:val="superscript"/>
                    </w:rPr>
                    <w:t>d</w:t>
                  </w:r>
                </w:p>
              </w:tc>
            </w:tr>
          </w:tbl>
          <w:p w:rsidR="00E70BD6" w:rsidRPr="005B0796" w:rsidRDefault="00E70BD6" w:rsidP="00ED2BE5">
            <w:pPr>
              <w:pStyle w:val="TableText"/>
              <w:rPr>
                <w:color w:val="000000" w:themeColor="text1"/>
              </w:rPr>
            </w:pPr>
          </w:p>
        </w:tc>
        <w:tc>
          <w:tcPr>
            <w:tcW w:w="656" w:type="pct"/>
            <w:noWrap/>
          </w:tcPr>
          <w:p w:rsidR="00E70BD6" w:rsidRPr="005B0796" w:rsidRDefault="00E70BD6" w:rsidP="00ED2BE5">
            <w:pPr>
              <w:pStyle w:val="TableText"/>
              <w:jc w:val="right"/>
              <w:rPr>
                <w:color w:val="000000" w:themeColor="text1"/>
              </w:rPr>
            </w:pPr>
            <w:r w:rsidRPr="005B0796">
              <w:rPr>
                <w:color w:val="000000" w:themeColor="text1"/>
              </w:rPr>
              <w:t>2008</w:t>
            </w:r>
          </w:p>
        </w:tc>
        <w:tc>
          <w:tcPr>
            <w:tcW w:w="656" w:type="pct"/>
          </w:tcPr>
          <w:p w:rsidR="00E70BD6" w:rsidRPr="005B0796" w:rsidRDefault="00E70BD6" w:rsidP="00ED2BE5">
            <w:pPr>
              <w:pStyle w:val="TableText"/>
              <w:jc w:val="right"/>
              <w:rPr>
                <w:color w:val="000000" w:themeColor="text1"/>
              </w:rPr>
            </w:pPr>
            <w:r w:rsidRPr="005B0796">
              <w:rPr>
                <w:color w:val="000000" w:themeColor="text1"/>
              </w:rPr>
              <w:t>39.5</w:t>
            </w:r>
          </w:p>
        </w:tc>
        <w:tc>
          <w:tcPr>
            <w:tcW w:w="656" w:type="pct"/>
          </w:tcPr>
          <w:p w:rsidR="00E70BD6" w:rsidRPr="005B0796" w:rsidRDefault="00E70BD6" w:rsidP="00ED2BE5">
            <w:pPr>
              <w:pStyle w:val="TableText"/>
              <w:jc w:val="right"/>
              <w:rPr>
                <w:color w:val="000000" w:themeColor="text1"/>
              </w:rPr>
            </w:pPr>
            <w:r w:rsidRPr="005B0796">
              <w:rPr>
                <w:color w:val="000000" w:themeColor="text1"/>
              </w:rPr>
              <w:t>30.2, 49.6</w:t>
            </w:r>
          </w:p>
        </w:tc>
        <w:tc>
          <w:tcPr>
            <w:tcW w:w="656" w:type="pct"/>
            <w:noWrap/>
          </w:tcPr>
          <w:p w:rsidR="00E70BD6" w:rsidRPr="005B0796" w:rsidRDefault="00E70BD6" w:rsidP="00ED2BE5">
            <w:pPr>
              <w:pStyle w:val="TableText"/>
              <w:jc w:val="right"/>
              <w:rPr>
                <w:color w:val="000000" w:themeColor="text1"/>
              </w:rPr>
            </w:pPr>
            <w:r w:rsidRPr="005B0796">
              <w:rPr>
                <w:color w:val="000000" w:themeColor="text1"/>
              </w:rPr>
              <w:t>3324</w:t>
            </w:r>
          </w:p>
        </w:tc>
        <w:tc>
          <w:tcPr>
            <w:tcW w:w="656" w:type="pct"/>
          </w:tcPr>
          <w:p w:rsidR="00E70BD6" w:rsidRPr="005B0796" w:rsidRDefault="00E70BD6" w:rsidP="00ED2BE5">
            <w:pPr>
              <w:pStyle w:val="TableText"/>
              <w:jc w:val="right"/>
              <w:rPr>
                <w:color w:val="000000" w:themeColor="text1"/>
              </w:rPr>
            </w:pPr>
            <w:r w:rsidRPr="005B0796">
              <w:rPr>
                <w:color w:val="000000" w:themeColor="text1"/>
              </w:rPr>
              <w:t>17.4</w:t>
            </w:r>
          </w:p>
        </w:tc>
        <w:tc>
          <w:tcPr>
            <w:tcW w:w="656" w:type="pct"/>
          </w:tcPr>
          <w:p w:rsidR="00E70BD6" w:rsidRPr="005B0796" w:rsidRDefault="00E70BD6" w:rsidP="00ED2BE5">
            <w:pPr>
              <w:pStyle w:val="TableText"/>
              <w:jc w:val="right"/>
              <w:rPr>
                <w:color w:val="000000" w:themeColor="text1"/>
              </w:rPr>
            </w:pPr>
            <w:r w:rsidRPr="005B0796">
              <w:rPr>
                <w:color w:val="000000" w:themeColor="text1"/>
              </w:rPr>
              <w:t>13.2, 22.3</w:t>
            </w:r>
          </w:p>
        </w:tc>
      </w:tr>
    </w:tbl>
    <w:p w:rsidR="00997E39" w:rsidRPr="005B0796" w:rsidRDefault="00997E39" w:rsidP="00ED2BE5">
      <w:pPr>
        <w:pStyle w:val="TableNotes"/>
        <w:keepNext/>
      </w:pPr>
      <w:r w:rsidRPr="005B0796">
        <w:rPr>
          <w:vertAlign w:val="superscript"/>
        </w:rPr>
        <w:t>a</w:t>
      </w:r>
      <w:r w:rsidRPr="005B0796">
        <w:t xml:space="preserve"> Medical discharge vs Other: OR 2.4, 95% CI 1.2, 4.6</w:t>
      </w:r>
    </w:p>
    <w:p w:rsidR="00997E39" w:rsidRPr="005B0796" w:rsidRDefault="00997E39" w:rsidP="00ED2BE5">
      <w:pPr>
        <w:pStyle w:val="TableNotes"/>
        <w:keepNext/>
      </w:pPr>
      <w:r w:rsidRPr="005B0796">
        <w:rPr>
          <w:vertAlign w:val="superscript"/>
        </w:rPr>
        <w:t>b</w:t>
      </w:r>
      <w:r w:rsidRPr="005B0796">
        <w:t xml:space="preserve"> Medical discharge vs Other: OR </w:t>
      </w:r>
      <w:r w:rsidRPr="005B0796">
        <w:rPr>
          <w:rFonts w:ascii="Cambria Math" w:eastAsia="Times New Roman" w:hAnsi="Cambria Math"/>
          <w:lang w:eastAsia="en-AU"/>
        </w:rPr>
        <w:t>3.2, 95% CI 1.2, 8.3</w:t>
      </w:r>
    </w:p>
    <w:p w:rsidR="00997E39" w:rsidRPr="005B0796" w:rsidRDefault="00997E39" w:rsidP="00ED2BE5">
      <w:pPr>
        <w:pStyle w:val="TableNotes"/>
        <w:keepNext/>
      </w:pPr>
      <w:r w:rsidRPr="005B0796">
        <w:rPr>
          <w:vertAlign w:val="superscript"/>
        </w:rPr>
        <w:t>c</w:t>
      </w:r>
      <w:r w:rsidRPr="005B0796">
        <w:t xml:space="preserve"> Medical discharge vs Other: OR 2.4, 95% CI 1.1, 5.2</w:t>
      </w:r>
    </w:p>
    <w:p w:rsidR="00997E39" w:rsidRPr="005B0796" w:rsidRDefault="00997E39" w:rsidP="00ED2BE5">
      <w:pPr>
        <w:pStyle w:val="TableNotes"/>
        <w:keepNext/>
        <w:rPr>
          <w:rFonts w:ascii="Cambria Math" w:eastAsia="Times New Roman" w:hAnsi="Cambria Math"/>
          <w:lang w:eastAsia="en-AU"/>
        </w:rPr>
      </w:pPr>
      <w:r w:rsidRPr="005B0796">
        <w:rPr>
          <w:vertAlign w:val="superscript"/>
        </w:rPr>
        <w:t>d</w:t>
      </w:r>
      <w:r w:rsidRPr="005B0796">
        <w:t xml:space="preserve"> Medical discharge vs Other: OR </w:t>
      </w:r>
      <w:r w:rsidRPr="005B0796">
        <w:rPr>
          <w:rFonts w:ascii="Cambria Math" w:eastAsia="Times New Roman" w:hAnsi="Cambria Math"/>
          <w:lang w:eastAsia="en-AU"/>
        </w:rPr>
        <w:t>2.8, 95% CI 1.6, 4.9</w:t>
      </w:r>
    </w:p>
    <w:p w:rsidR="00997E39" w:rsidRPr="005B0796" w:rsidRDefault="00997E39" w:rsidP="00997E39">
      <w:pPr>
        <w:pStyle w:val="TableNotes"/>
        <w:rPr>
          <w:rFonts w:cs="Calibri"/>
          <w:bCs/>
        </w:rPr>
      </w:pPr>
      <w:r w:rsidRPr="005B0796">
        <w:rPr>
          <w:rFonts w:cs="Calibri"/>
          <w:bCs/>
        </w:rPr>
        <w:t xml:space="preserve">Note: 95% CI: 95% </w:t>
      </w:r>
      <w:r w:rsidR="00564689" w:rsidRPr="005B0796">
        <w:rPr>
          <w:rFonts w:cs="Calibri"/>
          <w:bCs/>
        </w:rPr>
        <w:t>confidence interval</w:t>
      </w:r>
    </w:p>
    <w:p w:rsidR="00545711" w:rsidRPr="005B0796" w:rsidRDefault="00545711" w:rsidP="00545711">
      <w:pPr>
        <w:sectPr w:rsidR="00545711" w:rsidRPr="005B0796" w:rsidSect="00BE66A5">
          <w:headerReference w:type="even" r:id="rId95"/>
          <w:headerReference w:type="default" r:id="rId96"/>
          <w:footerReference w:type="even" r:id="rId97"/>
          <w:footerReference w:type="default" r:id="rId98"/>
          <w:pgSz w:w="14170" w:h="9979" w:orient="landscape" w:code="243"/>
          <w:pgMar w:top="1872" w:right="1440" w:bottom="1152" w:left="1440" w:header="576" w:footer="576" w:gutter="0"/>
          <w:cols w:space="708"/>
          <w:docGrid w:linePitch="360"/>
        </w:sectPr>
      </w:pPr>
    </w:p>
    <w:p w:rsidR="003C56FB" w:rsidRPr="005B0796" w:rsidRDefault="003C56FB" w:rsidP="003C56FB">
      <w:pPr>
        <w:pStyle w:val="FigureName"/>
      </w:pPr>
      <w:bookmarkStart w:id="583" w:name="_Ref484521137"/>
      <w:bookmarkStart w:id="584" w:name="_Toc482023824"/>
      <w:bookmarkStart w:id="585" w:name="_Toc487014369"/>
      <w:bookmarkStart w:id="586" w:name="_Toc51190053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21</w:t>
      </w:r>
      <w:r w:rsidR="00D30A3C">
        <w:rPr>
          <w:noProof/>
        </w:rPr>
        <w:fldChar w:fldCharType="end"/>
      </w:r>
      <w:bookmarkEnd w:id="583"/>
      <w:r w:rsidRPr="005B0796">
        <w:tab/>
        <w:t>Estimated prevalence of 12-month ICD-10 affective disorders in Transitioned ADF, by affective disorder type and reason for discharge</w:t>
      </w:r>
      <w:bookmarkEnd w:id="584"/>
      <w:bookmarkEnd w:id="585"/>
      <w:bookmarkEnd w:id="586"/>
    </w:p>
    <w:tbl>
      <w:tblPr>
        <w:tblW w:w="5000" w:type="pct"/>
        <w:tblLayout w:type="fixed"/>
        <w:tblCellMar>
          <w:left w:w="115" w:type="dxa"/>
          <w:right w:w="115" w:type="dxa"/>
        </w:tblCellMar>
        <w:tblLook w:val="04A0" w:firstRow="1" w:lastRow="0" w:firstColumn="1" w:lastColumn="0" w:noHBand="0" w:noVBand="1"/>
      </w:tblPr>
      <w:tblGrid>
        <w:gridCol w:w="7329"/>
      </w:tblGrid>
      <w:tr w:rsidR="00E70BD6" w:rsidRPr="005B0796" w:rsidTr="004E563C">
        <w:trPr>
          <w:cantSplit/>
        </w:trPr>
        <w:tc>
          <w:tcPr>
            <w:tcW w:w="7315" w:type="dxa"/>
          </w:tcPr>
          <w:p w:rsidR="00E70BD6" w:rsidRPr="005B0796" w:rsidRDefault="00E70BD6" w:rsidP="004E563C">
            <w:pPr>
              <w:keepNext/>
            </w:pPr>
            <w:r w:rsidRPr="005B0796">
              <w:rPr>
                <w:noProof/>
                <w:lang w:eastAsia="en-AU"/>
              </w:rPr>
              <w:drawing>
                <wp:inline distT="0" distB="0" distL="0" distR="0" wp14:anchorId="5A63097B" wp14:editId="246F9FBB">
                  <wp:extent cx="4572000" cy="2743200"/>
                  <wp:effectExtent l="0" t="0" r="0" b="0"/>
                  <wp:docPr id="47" name="Chart 47" descr="Figure 4.21 Estimated prevalence of 12-month ICD-10 affective disorders in Transitioned ADF, by affective disorder type and reason for disch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rsidR="003C56FB" w:rsidRPr="00492B66" w:rsidRDefault="003C56FB" w:rsidP="003C56FB">
      <w:pPr>
        <w:pStyle w:val="TableNotes"/>
      </w:pPr>
      <w:r w:rsidRPr="00492B66">
        <w:t>Depressive episodes: Medical vs Other: OR 2.4, 95% CI 1.2, 4.6</w:t>
      </w:r>
    </w:p>
    <w:p w:rsidR="003C56FB" w:rsidRPr="00492B66" w:rsidRDefault="003C56FB" w:rsidP="003C56FB">
      <w:pPr>
        <w:pStyle w:val="TableNotes"/>
      </w:pPr>
      <w:r w:rsidRPr="00492B66">
        <w:t xml:space="preserve">Dysthymia: Medical vs Other: OR </w:t>
      </w:r>
      <w:r w:rsidRPr="00492B66">
        <w:rPr>
          <w:rFonts w:eastAsia="Times New Roman"/>
          <w:lang w:eastAsia="en-AU"/>
        </w:rPr>
        <w:t>3.2, 95% CI 1.2, 8.3</w:t>
      </w:r>
    </w:p>
    <w:p w:rsidR="003C56FB" w:rsidRPr="00492B66" w:rsidRDefault="003C56FB" w:rsidP="003C56FB">
      <w:pPr>
        <w:pStyle w:val="TableNotes"/>
      </w:pPr>
      <w:r w:rsidRPr="00492B66">
        <w:t>Bipolar affective disorder: Medical vs Other: OR 2.4, 95% CI 1.1, 5.2</w:t>
      </w:r>
    </w:p>
    <w:p w:rsidR="003C56FB" w:rsidRPr="005B0796" w:rsidRDefault="003C56FB" w:rsidP="003C56FB">
      <w:pPr>
        <w:pStyle w:val="TableNotes"/>
        <w:rPr>
          <w:rFonts w:eastAsia="Times New Roman"/>
          <w:lang w:eastAsia="en-AU"/>
        </w:rPr>
      </w:pPr>
      <w:r w:rsidRPr="005B0796">
        <w:t xml:space="preserve">Any affective disorder: Medical vs Other: OR </w:t>
      </w:r>
      <w:r w:rsidRPr="005B0796">
        <w:rPr>
          <w:rFonts w:ascii="Cambria Math" w:eastAsia="Times New Roman" w:hAnsi="Cambria Math"/>
          <w:lang w:eastAsia="en-AU"/>
        </w:rPr>
        <w:t>2.8, 95% CI 1.6, 4.9</w:t>
      </w:r>
    </w:p>
    <w:p w:rsidR="00E70BD6" w:rsidRPr="005B0796" w:rsidRDefault="00E70BD6" w:rsidP="004E563C">
      <w:pPr>
        <w:pStyle w:val="Heading4"/>
      </w:pPr>
      <w:r w:rsidRPr="005B0796">
        <w:t>DVA status</w:t>
      </w:r>
    </w:p>
    <w:p w:rsidR="00E70BD6" w:rsidRPr="005B0796" w:rsidRDefault="009E72D3" w:rsidP="004E563C">
      <w:r w:rsidRPr="005B0796">
        <w:t>Table 4.26</w:t>
      </w:r>
      <w:r w:rsidR="00E70BD6" w:rsidRPr="005B0796">
        <w:t xml:space="preserve"> and </w:t>
      </w:r>
      <w:r w:rsidRPr="005B0796">
        <w:t>Figure 4.22</w:t>
      </w:r>
      <w:r w:rsidR="00E70BD6" w:rsidRPr="005B0796">
        <w:t xml:space="preserve"> show the estimated prevalence of 12-month affective disorder</w:t>
      </w:r>
      <w:r w:rsidR="00492B66">
        <w:t>s</w:t>
      </w:r>
      <w:r w:rsidR="00E70BD6" w:rsidRPr="005B0796">
        <w:t xml:space="preserve"> for Transitioned ADF members who were DVA clients compared to those who were not. More than one</w:t>
      </w:r>
      <w:r w:rsidR="00E70BD6" w:rsidRPr="005B0796">
        <w:noBreakHyphen/>
        <w:t xml:space="preserve">quarter of Transitioned ADF members who were DVA clients met criteria for </w:t>
      </w:r>
      <w:r w:rsidR="00462A0C" w:rsidRPr="005B0796">
        <w:t>‘</w:t>
      </w:r>
      <w:r w:rsidR="00E70BD6" w:rsidRPr="005B0796">
        <w:t>any 12-month ICD</w:t>
      </w:r>
      <w:r w:rsidR="00E70BD6" w:rsidRPr="005B0796">
        <w:noBreakHyphen/>
        <w:t>10 affective disorder</w:t>
      </w:r>
      <w:r w:rsidR="00462A0C" w:rsidRPr="005B0796">
        <w:t>’</w:t>
      </w:r>
      <w:r w:rsidR="00E70BD6" w:rsidRPr="005B0796">
        <w:t xml:space="preserve"> (28.4%, 95% CI 23.1, 24.4) compared to 16.6% (95% CI 11.1, 24.0) of those who were not DVA clients (OR 2.3, 95% CI 1.3, 4.0). Interestingly, there were no significant differences between these two groups in rates of 12-month bipolar affective disorder, with 10.2% of DVA clients and 10.0% who were not DVA clients meeting criteria. However, DVA clients were nearly three times more likely to meet criteria for 12-month ICD-10 depressive episodes (OR 2.9, 95% CI 1.4, 5.7) and over five times more likely to meet criteria for 12-month ICD-10 dysthymia (OR 5.6, 95% CI 1.5, 21.0).</w:t>
      </w:r>
    </w:p>
    <w:p w:rsidR="00E70BD6" w:rsidRPr="005B0796" w:rsidRDefault="003C56FB" w:rsidP="003C56FB">
      <w:pPr>
        <w:pStyle w:val="TableName"/>
      </w:pPr>
      <w:bookmarkStart w:id="587" w:name="_Ref484519704"/>
      <w:bookmarkStart w:id="588" w:name="_Toc482023778"/>
      <w:bookmarkStart w:id="589" w:name="_Toc487014277"/>
      <w:bookmarkStart w:id="590" w:name="_Toc492995580"/>
      <w:bookmarkStart w:id="591" w:name="_Toc51190042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26</w:t>
      </w:r>
      <w:r w:rsidR="00D30A3C">
        <w:rPr>
          <w:noProof/>
        </w:rPr>
        <w:fldChar w:fldCharType="end"/>
      </w:r>
      <w:bookmarkEnd w:id="587"/>
      <w:r w:rsidRPr="005B0796">
        <w:tab/>
        <w:t>Estimated prevalence of 12-month ICD-10 affective disorders in Transitioned ADF</w:t>
      </w:r>
      <w:r w:rsidR="00492B66">
        <w:t>,</w:t>
      </w:r>
      <w:r w:rsidRPr="005B0796">
        <w:t xml:space="preserve"> by affective disorder type and DVA status</w:t>
      </w:r>
      <w:bookmarkEnd w:id="588"/>
      <w:bookmarkEnd w:id="589"/>
      <w:bookmarkEnd w:id="590"/>
      <w:bookmarkEnd w:id="591"/>
    </w:p>
    <w:tbl>
      <w:tblPr>
        <w:tblStyle w:val="TWRPTable"/>
        <w:tblW w:w="5000" w:type="pct"/>
        <w:tblLayout w:type="fixed"/>
        <w:tblLook w:val="04A0" w:firstRow="1" w:lastRow="0" w:firstColumn="1" w:lastColumn="0" w:noHBand="0" w:noVBand="1"/>
        <w:tblDescription w:val="Table 4.26 Estimated prevalence of 12-month ICD-10 affective disorders in Transitioned ADF by affective disorder type and DVA status"/>
      </w:tblPr>
      <w:tblGrid>
        <w:gridCol w:w="2088"/>
        <w:gridCol w:w="871"/>
        <w:gridCol w:w="871"/>
        <w:gridCol w:w="871"/>
        <w:gridCol w:w="871"/>
        <w:gridCol w:w="871"/>
        <w:gridCol w:w="872"/>
      </w:tblGrid>
      <w:tr w:rsidR="00E70BD6" w:rsidRPr="005B0796" w:rsidTr="004E563C">
        <w:trPr>
          <w:cnfStyle w:val="100000000000" w:firstRow="1" w:lastRow="0" w:firstColumn="0" w:lastColumn="0" w:oddVBand="0" w:evenVBand="0" w:oddHBand="0" w:evenHBand="0" w:firstRowFirstColumn="0" w:firstRowLastColumn="0" w:lastRowFirstColumn="0" w:lastRowLastColumn="0"/>
          <w:tblHeader/>
        </w:trPr>
        <w:tc>
          <w:tcPr>
            <w:tcW w:w="2088" w:type="dxa"/>
            <w:vMerge w:val="restart"/>
            <w:tcBorders>
              <w:top w:val="single" w:sz="4" w:space="0" w:color="000000"/>
              <w:bottom w:val="nil"/>
            </w:tcBorders>
            <w:noWrap/>
            <w:hideMark/>
          </w:tcPr>
          <w:p w:rsidR="00E70BD6" w:rsidRPr="005B0796" w:rsidRDefault="00E70BD6" w:rsidP="004E563C">
            <w:pPr>
              <w:pStyle w:val="TableText"/>
              <w:rPr>
                <w:lang w:eastAsia="en-AU"/>
              </w:rPr>
            </w:pPr>
          </w:p>
        </w:tc>
        <w:tc>
          <w:tcPr>
            <w:tcW w:w="5227" w:type="dxa"/>
            <w:gridSpan w:val="6"/>
            <w:noWrap/>
            <w:hideMark/>
          </w:tcPr>
          <w:p w:rsidR="00E70BD6" w:rsidRPr="005B0796" w:rsidRDefault="00E70BD6" w:rsidP="004E563C">
            <w:pPr>
              <w:pStyle w:val="TableText"/>
              <w:jc w:val="center"/>
              <w:rPr>
                <w:lang w:eastAsia="en-AU"/>
              </w:rPr>
            </w:pPr>
            <w:r w:rsidRPr="005B0796">
              <w:rPr>
                <w:lang w:eastAsia="en-AU"/>
              </w:rPr>
              <w:t>DVA client</w:t>
            </w:r>
          </w:p>
        </w:tc>
      </w:tr>
      <w:tr w:rsidR="00E70BD6" w:rsidRPr="005B0796" w:rsidTr="004E563C">
        <w:trPr>
          <w:cnfStyle w:val="100000000000" w:firstRow="1" w:lastRow="0" w:firstColumn="0" w:lastColumn="0" w:oddVBand="0" w:evenVBand="0" w:oddHBand="0" w:evenHBand="0" w:firstRowFirstColumn="0" w:firstRowLastColumn="0" w:lastRowFirstColumn="0" w:lastRowLastColumn="0"/>
          <w:tblHeader/>
        </w:trPr>
        <w:tc>
          <w:tcPr>
            <w:tcW w:w="2088" w:type="dxa"/>
            <w:vMerge/>
            <w:tcBorders>
              <w:top w:val="nil"/>
              <w:bottom w:val="nil"/>
            </w:tcBorders>
            <w:hideMark/>
          </w:tcPr>
          <w:p w:rsidR="00E70BD6" w:rsidRPr="005B0796" w:rsidRDefault="00E70BD6" w:rsidP="004E563C">
            <w:pPr>
              <w:pStyle w:val="TableText"/>
              <w:rPr>
                <w:lang w:eastAsia="en-AU"/>
              </w:rPr>
            </w:pPr>
          </w:p>
        </w:tc>
        <w:tc>
          <w:tcPr>
            <w:tcW w:w="2613" w:type="dxa"/>
            <w:gridSpan w:val="3"/>
            <w:noWrap/>
            <w:hideMark/>
          </w:tcPr>
          <w:p w:rsidR="00E70BD6" w:rsidRPr="005B0796" w:rsidRDefault="00E70BD6" w:rsidP="004E563C">
            <w:pPr>
              <w:pStyle w:val="TableText"/>
              <w:jc w:val="center"/>
              <w:rPr>
                <w:lang w:eastAsia="en-AU"/>
              </w:rPr>
            </w:pPr>
            <w:r w:rsidRPr="005B0796">
              <w:rPr>
                <w:lang w:eastAsia="en-AU"/>
              </w:rPr>
              <w:t>No (n = 15,605)</w:t>
            </w:r>
          </w:p>
        </w:tc>
        <w:tc>
          <w:tcPr>
            <w:tcW w:w="2614" w:type="dxa"/>
            <w:gridSpan w:val="3"/>
            <w:noWrap/>
            <w:hideMark/>
          </w:tcPr>
          <w:p w:rsidR="00E70BD6" w:rsidRPr="005B0796" w:rsidRDefault="00E70BD6" w:rsidP="004E563C">
            <w:pPr>
              <w:pStyle w:val="TableText"/>
              <w:jc w:val="center"/>
              <w:rPr>
                <w:lang w:eastAsia="en-AU"/>
              </w:rPr>
            </w:pPr>
            <w:r w:rsidRPr="005B0796">
              <w:rPr>
                <w:lang w:eastAsia="en-AU"/>
              </w:rPr>
              <w:t>Yes (n = 8774)</w:t>
            </w:r>
          </w:p>
        </w:tc>
      </w:tr>
      <w:tr w:rsidR="00E70BD6" w:rsidRPr="005B0796" w:rsidTr="004E563C">
        <w:trPr>
          <w:cnfStyle w:val="100000000000" w:firstRow="1" w:lastRow="0" w:firstColumn="0" w:lastColumn="0" w:oddVBand="0" w:evenVBand="0" w:oddHBand="0" w:evenHBand="0" w:firstRowFirstColumn="0" w:firstRowLastColumn="0" w:lastRowFirstColumn="0" w:lastRowLastColumn="0"/>
          <w:tblHeader/>
        </w:trPr>
        <w:tc>
          <w:tcPr>
            <w:tcW w:w="2088" w:type="dxa"/>
            <w:tcBorders>
              <w:top w:val="nil"/>
            </w:tcBorders>
            <w:noWrap/>
            <w:hideMark/>
          </w:tcPr>
          <w:p w:rsidR="00E70BD6" w:rsidRPr="005B0796" w:rsidRDefault="004E563C" w:rsidP="004E563C">
            <w:pPr>
              <w:pStyle w:val="TableText"/>
              <w:rPr>
                <w:lang w:eastAsia="en-AU"/>
              </w:rPr>
            </w:pPr>
            <w:r w:rsidRPr="005B0796">
              <w:rPr>
                <w:lang w:eastAsia="en-AU"/>
              </w:rPr>
              <w:t xml:space="preserve">ICD-10 </w:t>
            </w:r>
            <w:r w:rsidR="00D13778" w:rsidRPr="005B0796">
              <w:rPr>
                <w:lang w:eastAsia="en-AU"/>
              </w:rPr>
              <w:t>affective disorder</w:t>
            </w:r>
          </w:p>
        </w:tc>
        <w:tc>
          <w:tcPr>
            <w:tcW w:w="871" w:type="dxa"/>
            <w:noWrap/>
            <w:hideMark/>
          </w:tcPr>
          <w:p w:rsidR="00E70BD6" w:rsidRPr="005B0796" w:rsidRDefault="00E70BD6" w:rsidP="004E563C">
            <w:pPr>
              <w:pStyle w:val="TableText"/>
              <w:jc w:val="right"/>
              <w:rPr>
                <w:lang w:eastAsia="en-AU"/>
              </w:rPr>
            </w:pPr>
            <w:r w:rsidRPr="005B0796">
              <w:rPr>
                <w:lang w:eastAsia="en-AU"/>
              </w:rPr>
              <w:t>Weighted n</w:t>
            </w:r>
          </w:p>
        </w:tc>
        <w:tc>
          <w:tcPr>
            <w:tcW w:w="871" w:type="dxa"/>
            <w:hideMark/>
          </w:tcPr>
          <w:p w:rsidR="00E70BD6" w:rsidRPr="005B0796" w:rsidRDefault="00E70BD6" w:rsidP="004E563C">
            <w:pPr>
              <w:pStyle w:val="TableText"/>
              <w:jc w:val="right"/>
              <w:rPr>
                <w:lang w:eastAsia="en-AU"/>
              </w:rPr>
            </w:pPr>
            <w:r w:rsidRPr="005B0796">
              <w:rPr>
                <w:lang w:eastAsia="en-AU"/>
              </w:rPr>
              <w:t>%</w:t>
            </w:r>
          </w:p>
        </w:tc>
        <w:tc>
          <w:tcPr>
            <w:tcW w:w="871" w:type="dxa"/>
            <w:hideMark/>
          </w:tcPr>
          <w:p w:rsidR="00E70BD6" w:rsidRPr="005B0796" w:rsidRDefault="00E70BD6" w:rsidP="004E563C">
            <w:pPr>
              <w:pStyle w:val="TableText"/>
              <w:jc w:val="right"/>
              <w:rPr>
                <w:lang w:eastAsia="en-AU"/>
              </w:rPr>
            </w:pPr>
            <w:r w:rsidRPr="005B0796">
              <w:rPr>
                <w:lang w:eastAsia="en-AU"/>
              </w:rPr>
              <w:t>95% CI</w:t>
            </w:r>
          </w:p>
        </w:tc>
        <w:tc>
          <w:tcPr>
            <w:tcW w:w="871" w:type="dxa"/>
            <w:noWrap/>
            <w:hideMark/>
          </w:tcPr>
          <w:p w:rsidR="00E70BD6" w:rsidRPr="005B0796" w:rsidRDefault="00E70BD6" w:rsidP="004E563C">
            <w:pPr>
              <w:pStyle w:val="TableText"/>
              <w:jc w:val="right"/>
              <w:rPr>
                <w:lang w:eastAsia="en-AU"/>
              </w:rPr>
            </w:pPr>
            <w:r w:rsidRPr="005B0796">
              <w:rPr>
                <w:lang w:eastAsia="en-AU"/>
              </w:rPr>
              <w:t>Weighted n</w:t>
            </w:r>
          </w:p>
        </w:tc>
        <w:tc>
          <w:tcPr>
            <w:tcW w:w="871" w:type="dxa"/>
            <w:hideMark/>
          </w:tcPr>
          <w:p w:rsidR="00E70BD6" w:rsidRPr="005B0796" w:rsidRDefault="00E70BD6" w:rsidP="004E563C">
            <w:pPr>
              <w:pStyle w:val="TableText"/>
              <w:jc w:val="right"/>
              <w:rPr>
                <w:lang w:eastAsia="en-AU"/>
              </w:rPr>
            </w:pPr>
            <w:r w:rsidRPr="005B0796">
              <w:rPr>
                <w:lang w:eastAsia="en-AU"/>
              </w:rPr>
              <w:t>%</w:t>
            </w:r>
          </w:p>
        </w:tc>
        <w:tc>
          <w:tcPr>
            <w:tcW w:w="872" w:type="dxa"/>
            <w:hideMark/>
          </w:tcPr>
          <w:p w:rsidR="00E70BD6" w:rsidRPr="005B0796" w:rsidRDefault="00E70BD6" w:rsidP="004E563C">
            <w:pPr>
              <w:pStyle w:val="TableText"/>
              <w:jc w:val="right"/>
              <w:rPr>
                <w:lang w:eastAsia="en-AU"/>
              </w:rPr>
            </w:pPr>
            <w:r w:rsidRPr="005B0796">
              <w:rPr>
                <w:lang w:eastAsia="en-AU"/>
              </w:rPr>
              <w:t>95% CI</w:t>
            </w:r>
          </w:p>
        </w:tc>
      </w:tr>
      <w:tr w:rsidR="00E70BD6" w:rsidRPr="005B0796" w:rsidTr="004E563C">
        <w:trPr>
          <w:cnfStyle w:val="000000100000" w:firstRow="0" w:lastRow="0" w:firstColumn="0" w:lastColumn="0" w:oddVBand="0" w:evenVBand="0" w:oddHBand="1" w:evenHBand="0" w:firstRowFirstColumn="0" w:firstRowLastColumn="0" w:lastRowFirstColumn="0" w:lastRowLastColumn="0"/>
        </w:trPr>
        <w:tc>
          <w:tcPr>
            <w:tcW w:w="2088" w:type="dxa"/>
            <w:hideMark/>
          </w:tcPr>
          <w:p w:rsidR="00E70BD6" w:rsidRPr="005B0796" w:rsidRDefault="00E70BD6" w:rsidP="004E563C">
            <w:pPr>
              <w:pStyle w:val="TableText"/>
              <w:rPr>
                <w:lang w:eastAsia="en-AU"/>
              </w:rPr>
            </w:pPr>
            <w:r w:rsidRPr="005B0796">
              <w:rPr>
                <w:lang w:eastAsia="en-AU"/>
              </w:rPr>
              <w:t>Depressive episodes</w:t>
            </w:r>
            <w:r w:rsidRPr="005B0796">
              <w:rPr>
                <w:vertAlign w:val="superscript"/>
                <w:lang w:eastAsia="en-AU"/>
              </w:rPr>
              <w:t>a</w:t>
            </w:r>
          </w:p>
        </w:tc>
        <w:tc>
          <w:tcPr>
            <w:tcW w:w="871" w:type="dxa"/>
            <w:noWrap/>
            <w:hideMark/>
          </w:tcPr>
          <w:p w:rsidR="00E70BD6" w:rsidRPr="005B0796" w:rsidRDefault="00E70BD6" w:rsidP="004E563C">
            <w:pPr>
              <w:pStyle w:val="TableText"/>
              <w:jc w:val="right"/>
              <w:rPr>
                <w:lang w:eastAsia="en-AU"/>
              </w:rPr>
            </w:pPr>
            <w:r w:rsidRPr="005B0796">
              <w:rPr>
                <w:lang w:eastAsia="en-AU"/>
              </w:rPr>
              <w:t>999</w:t>
            </w:r>
          </w:p>
        </w:tc>
        <w:tc>
          <w:tcPr>
            <w:tcW w:w="871" w:type="dxa"/>
            <w:hideMark/>
          </w:tcPr>
          <w:p w:rsidR="00E70BD6" w:rsidRPr="005B0796" w:rsidRDefault="00E70BD6" w:rsidP="004E563C">
            <w:pPr>
              <w:pStyle w:val="TableText"/>
              <w:jc w:val="right"/>
              <w:rPr>
                <w:lang w:eastAsia="en-AU"/>
              </w:rPr>
            </w:pPr>
            <w:r w:rsidRPr="005B0796">
              <w:rPr>
                <w:lang w:eastAsia="en-AU"/>
              </w:rPr>
              <w:t>6.4</w:t>
            </w:r>
          </w:p>
        </w:tc>
        <w:tc>
          <w:tcPr>
            <w:tcW w:w="871" w:type="dxa"/>
            <w:hideMark/>
          </w:tcPr>
          <w:p w:rsidR="00E70BD6" w:rsidRPr="005B0796" w:rsidRDefault="00E70BD6" w:rsidP="004E563C">
            <w:pPr>
              <w:pStyle w:val="TableText"/>
              <w:jc w:val="right"/>
              <w:rPr>
                <w:lang w:eastAsia="en-AU"/>
              </w:rPr>
            </w:pPr>
            <w:r w:rsidRPr="005B0796">
              <w:rPr>
                <w:lang w:eastAsia="en-AU"/>
              </w:rPr>
              <w:t>3.6, 11.0</w:t>
            </w:r>
          </w:p>
        </w:tc>
        <w:tc>
          <w:tcPr>
            <w:tcW w:w="871" w:type="dxa"/>
            <w:noWrap/>
            <w:hideMark/>
          </w:tcPr>
          <w:p w:rsidR="00E70BD6" w:rsidRPr="005B0796" w:rsidRDefault="00E70BD6" w:rsidP="004E563C">
            <w:pPr>
              <w:pStyle w:val="TableText"/>
              <w:jc w:val="right"/>
              <w:rPr>
                <w:lang w:eastAsia="en-AU"/>
              </w:rPr>
            </w:pPr>
            <w:r w:rsidRPr="005B0796">
              <w:rPr>
                <w:lang w:eastAsia="en-AU"/>
              </w:rPr>
              <w:t>1290</w:t>
            </w:r>
          </w:p>
        </w:tc>
        <w:tc>
          <w:tcPr>
            <w:tcW w:w="871" w:type="dxa"/>
            <w:hideMark/>
          </w:tcPr>
          <w:p w:rsidR="00E70BD6" w:rsidRPr="005B0796" w:rsidRDefault="00E70BD6" w:rsidP="004E563C">
            <w:pPr>
              <w:pStyle w:val="TableText"/>
              <w:jc w:val="right"/>
              <w:rPr>
                <w:lang w:eastAsia="en-AU"/>
              </w:rPr>
            </w:pPr>
            <w:r w:rsidRPr="005B0796">
              <w:rPr>
                <w:lang w:eastAsia="en-AU"/>
              </w:rPr>
              <w:t>14.7</w:t>
            </w:r>
          </w:p>
        </w:tc>
        <w:tc>
          <w:tcPr>
            <w:tcW w:w="872" w:type="dxa"/>
            <w:hideMark/>
          </w:tcPr>
          <w:p w:rsidR="00E70BD6" w:rsidRPr="005B0796" w:rsidRDefault="00E70BD6" w:rsidP="004E563C">
            <w:pPr>
              <w:pStyle w:val="TableText"/>
              <w:jc w:val="right"/>
              <w:rPr>
                <w:lang w:eastAsia="en-AU"/>
              </w:rPr>
            </w:pPr>
            <w:r w:rsidRPr="005B0796">
              <w:rPr>
                <w:lang w:eastAsia="en-AU"/>
              </w:rPr>
              <w:t>10.9, 19.5</w:t>
            </w:r>
          </w:p>
        </w:tc>
      </w:tr>
      <w:tr w:rsidR="00E70BD6" w:rsidRPr="005B0796" w:rsidTr="004E563C">
        <w:tc>
          <w:tcPr>
            <w:tcW w:w="2088" w:type="dxa"/>
            <w:hideMark/>
          </w:tcPr>
          <w:p w:rsidR="00E70BD6" w:rsidRPr="005B0796" w:rsidRDefault="00E70BD6" w:rsidP="004E563C">
            <w:pPr>
              <w:pStyle w:val="TableText"/>
              <w:rPr>
                <w:lang w:eastAsia="en-AU"/>
              </w:rPr>
            </w:pPr>
            <w:r w:rsidRPr="005B0796">
              <w:rPr>
                <w:lang w:eastAsia="en-AU"/>
              </w:rPr>
              <w:t>Dysthymia</w:t>
            </w:r>
            <w:r w:rsidRPr="005B0796">
              <w:rPr>
                <w:vertAlign w:val="superscript"/>
                <w:lang w:eastAsia="en-AU"/>
              </w:rPr>
              <w:t>b</w:t>
            </w:r>
          </w:p>
        </w:tc>
        <w:tc>
          <w:tcPr>
            <w:tcW w:w="871" w:type="dxa"/>
            <w:noWrap/>
            <w:hideMark/>
          </w:tcPr>
          <w:p w:rsidR="00E70BD6" w:rsidRPr="005B0796" w:rsidRDefault="00E70BD6" w:rsidP="004E563C">
            <w:pPr>
              <w:pStyle w:val="TableText"/>
              <w:jc w:val="right"/>
              <w:rPr>
                <w:lang w:eastAsia="en-AU"/>
              </w:rPr>
            </w:pPr>
            <w:r w:rsidRPr="005B0796">
              <w:rPr>
                <w:lang w:eastAsia="en-AU"/>
              </w:rPr>
              <w:t>203</w:t>
            </w:r>
          </w:p>
        </w:tc>
        <w:tc>
          <w:tcPr>
            <w:tcW w:w="871" w:type="dxa"/>
            <w:hideMark/>
          </w:tcPr>
          <w:p w:rsidR="00E70BD6" w:rsidRPr="005B0796" w:rsidRDefault="00E70BD6" w:rsidP="004E563C">
            <w:pPr>
              <w:pStyle w:val="TableText"/>
              <w:jc w:val="right"/>
              <w:rPr>
                <w:lang w:eastAsia="en-AU"/>
              </w:rPr>
            </w:pPr>
            <w:r w:rsidRPr="005B0796">
              <w:rPr>
                <w:lang w:eastAsia="en-AU"/>
              </w:rPr>
              <w:t>1.3</w:t>
            </w:r>
          </w:p>
        </w:tc>
        <w:tc>
          <w:tcPr>
            <w:tcW w:w="871" w:type="dxa"/>
            <w:hideMark/>
          </w:tcPr>
          <w:p w:rsidR="00E70BD6" w:rsidRPr="005B0796" w:rsidRDefault="00E70BD6" w:rsidP="004E563C">
            <w:pPr>
              <w:pStyle w:val="TableText"/>
              <w:jc w:val="right"/>
              <w:rPr>
                <w:lang w:eastAsia="en-AU"/>
              </w:rPr>
            </w:pPr>
            <w:r w:rsidRPr="005B0796">
              <w:rPr>
                <w:lang w:eastAsia="en-AU"/>
              </w:rPr>
              <w:t>0.4, 4.2</w:t>
            </w:r>
          </w:p>
        </w:tc>
        <w:tc>
          <w:tcPr>
            <w:tcW w:w="871" w:type="dxa"/>
            <w:noWrap/>
            <w:hideMark/>
          </w:tcPr>
          <w:p w:rsidR="00E70BD6" w:rsidRPr="005B0796" w:rsidRDefault="00E70BD6" w:rsidP="004E563C">
            <w:pPr>
              <w:pStyle w:val="TableText"/>
              <w:jc w:val="right"/>
              <w:rPr>
                <w:lang w:eastAsia="en-AU"/>
              </w:rPr>
            </w:pPr>
            <w:r w:rsidRPr="005B0796">
              <w:rPr>
                <w:lang w:eastAsia="en-AU"/>
              </w:rPr>
              <w:t>605</w:t>
            </w:r>
          </w:p>
        </w:tc>
        <w:tc>
          <w:tcPr>
            <w:tcW w:w="871" w:type="dxa"/>
            <w:hideMark/>
          </w:tcPr>
          <w:p w:rsidR="00E70BD6" w:rsidRPr="005B0796" w:rsidRDefault="00E70BD6" w:rsidP="004E563C">
            <w:pPr>
              <w:pStyle w:val="TableText"/>
              <w:jc w:val="right"/>
              <w:rPr>
                <w:lang w:eastAsia="en-AU"/>
              </w:rPr>
            </w:pPr>
            <w:r w:rsidRPr="005B0796">
              <w:rPr>
                <w:lang w:eastAsia="en-AU"/>
              </w:rPr>
              <w:t>6.9</w:t>
            </w:r>
          </w:p>
        </w:tc>
        <w:tc>
          <w:tcPr>
            <w:tcW w:w="872" w:type="dxa"/>
            <w:hideMark/>
          </w:tcPr>
          <w:p w:rsidR="00E70BD6" w:rsidRPr="005B0796" w:rsidRDefault="00E70BD6" w:rsidP="004E563C">
            <w:pPr>
              <w:pStyle w:val="TableText"/>
              <w:jc w:val="right"/>
              <w:rPr>
                <w:lang w:eastAsia="en-AU"/>
              </w:rPr>
            </w:pPr>
            <w:r w:rsidRPr="005B0796">
              <w:rPr>
                <w:lang w:eastAsia="en-AU"/>
              </w:rPr>
              <w:t>4.5, 10.5</w:t>
            </w:r>
          </w:p>
        </w:tc>
      </w:tr>
      <w:tr w:rsidR="00E70BD6" w:rsidRPr="005B0796" w:rsidTr="004E563C">
        <w:trPr>
          <w:cnfStyle w:val="000000100000" w:firstRow="0" w:lastRow="0" w:firstColumn="0" w:lastColumn="0" w:oddVBand="0" w:evenVBand="0" w:oddHBand="1" w:evenHBand="0" w:firstRowFirstColumn="0" w:firstRowLastColumn="0" w:lastRowFirstColumn="0" w:lastRowLastColumn="0"/>
        </w:trPr>
        <w:tc>
          <w:tcPr>
            <w:tcW w:w="2088" w:type="dxa"/>
            <w:hideMark/>
          </w:tcPr>
          <w:p w:rsidR="00E70BD6" w:rsidRPr="005B0796" w:rsidRDefault="00E70BD6" w:rsidP="004E563C">
            <w:pPr>
              <w:pStyle w:val="TableText"/>
              <w:rPr>
                <w:lang w:eastAsia="en-AU"/>
              </w:rPr>
            </w:pPr>
            <w:r w:rsidRPr="005B0796">
              <w:rPr>
                <w:lang w:eastAsia="en-AU"/>
              </w:rPr>
              <w:t>Bipolar affective disorder</w:t>
            </w:r>
          </w:p>
        </w:tc>
        <w:tc>
          <w:tcPr>
            <w:tcW w:w="871" w:type="dxa"/>
            <w:noWrap/>
            <w:hideMark/>
          </w:tcPr>
          <w:p w:rsidR="00E70BD6" w:rsidRPr="005B0796" w:rsidRDefault="00E70BD6" w:rsidP="004E563C">
            <w:pPr>
              <w:pStyle w:val="TableText"/>
              <w:jc w:val="right"/>
              <w:rPr>
                <w:lang w:eastAsia="en-AU"/>
              </w:rPr>
            </w:pPr>
            <w:r w:rsidRPr="005B0796">
              <w:rPr>
                <w:lang w:eastAsia="en-AU"/>
              </w:rPr>
              <w:t>1561</w:t>
            </w:r>
          </w:p>
        </w:tc>
        <w:tc>
          <w:tcPr>
            <w:tcW w:w="871" w:type="dxa"/>
            <w:hideMark/>
          </w:tcPr>
          <w:p w:rsidR="00E70BD6" w:rsidRPr="005B0796" w:rsidRDefault="00E70BD6" w:rsidP="004E563C">
            <w:pPr>
              <w:pStyle w:val="TableText"/>
              <w:jc w:val="right"/>
              <w:rPr>
                <w:lang w:eastAsia="en-AU"/>
              </w:rPr>
            </w:pPr>
            <w:r w:rsidRPr="005B0796">
              <w:rPr>
                <w:lang w:eastAsia="en-AU"/>
              </w:rPr>
              <w:t>10.0</w:t>
            </w:r>
          </w:p>
        </w:tc>
        <w:tc>
          <w:tcPr>
            <w:tcW w:w="871" w:type="dxa"/>
            <w:hideMark/>
          </w:tcPr>
          <w:p w:rsidR="00E70BD6" w:rsidRPr="005B0796" w:rsidRDefault="00E70BD6" w:rsidP="004E563C">
            <w:pPr>
              <w:pStyle w:val="TableText"/>
              <w:jc w:val="right"/>
              <w:rPr>
                <w:lang w:eastAsia="en-AU"/>
              </w:rPr>
            </w:pPr>
            <w:r w:rsidRPr="005B0796">
              <w:rPr>
                <w:lang w:eastAsia="en-AU"/>
              </w:rPr>
              <w:t>5.7, 17.2</w:t>
            </w:r>
          </w:p>
        </w:tc>
        <w:tc>
          <w:tcPr>
            <w:tcW w:w="871" w:type="dxa"/>
            <w:noWrap/>
            <w:hideMark/>
          </w:tcPr>
          <w:p w:rsidR="00E70BD6" w:rsidRPr="005B0796" w:rsidRDefault="00E70BD6" w:rsidP="004E563C">
            <w:pPr>
              <w:pStyle w:val="TableText"/>
              <w:jc w:val="right"/>
              <w:rPr>
                <w:lang w:eastAsia="en-AU"/>
              </w:rPr>
            </w:pPr>
            <w:r w:rsidRPr="005B0796">
              <w:rPr>
                <w:lang w:eastAsia="en-AU"/>
              </w:rPr>
              <w:t>895</w:t>
            </w:r>
          </w:p>
        </w:tc>
        <w:tc>
          <w:tcPr>
            <w:tcW w:w="871" w:type="dxa"/>
            <w:hideMark/>
          </w:tcPr>
          <w:p w:rsidR="00E70BD6" w:rsidRPr="005B0796" w:rsidRDefault="00E70BD6" w:rsidP="004E563C">
            <w:pPr>
              <w:pStyle w:val="TableText"/>
              <w:jc w:val="right"/>
              <w:rPr>
                <w:lang w:eastAsia="en-AU"/>
              </w:rPr>
            </w:pPr>
            <w:r w:rsidRPr="005B0796">
              <w:rPr>
                <w:lang w:eastAsia="en-AU"/>
              </w:rPr>
              <w:t>10.2</w:t>
            </w:r>
          </w:p>
        </w:tc>
        <w:tc>
          <w:tcPr>
            <w:tcW w:w="872" w:type="dxa"/>
            <w:hideMark/>
          </w:tcPr>
          <w:p w:rsidR="00E70BD6" w:rsidRPr="005B0796" w:rsidRDefault="00E70BD6" w:rsidP="004E563C">
            <w:pPr>
              <w:pStyle w:val="TableText"/>
              <w:jc w:val="right"/>
              <w:rPr>
                <w:lang w:eastAsia="en-AU"/>
              </w:rPr>
            </w:pPr>
            <w:r w:rsidRPr="005B0796">
              <w:rPr>
                <w:lang w:eastAsia="en-AU"/>
              </w:rPr>
              <w:t>6.7, 15.1</w:t>
            </w:r>
          </w:p>
        </w:tc>
      </w:tr>
      <w:tr w:rsidR="00E70BD6" w:rsidRPr="005B0796" w:rsidTr="004E563C">
        <w:tc>
          <w:tcPr>
            <w:tcW w:w="2088" w:type="dxa"/>
            <w:noWrap/>
            <w:hideMark/>
          </w:tcPr>
          <w:p w:rsidR="00E70BD6" w:rsidRPr="005B0796" w:rsidRDefault="00E70BD6" w:rsidP="004E563C">
            <w:pPr>
              <w:pStyle w:val="TableText"/>
              <w:rPr>
                <w:lang w:eastAsia="en-AU"/>
              </w:rPr>
            </w:pPr>
            <w:r w:rsidRPr="005B0796">
              <w:rPr>
                <w:lang w:eastAsia="en-AU"/>
              </w:rPr>
              <w:t>Any affective disorder</w:t>
            </w:r>
            <w:r w:rsidRPr="005B0796">
              <w:rPr>
                <w:vertAlign w:val="superscript"/>
                <w:lang w:eastAsia="en-AU"/>
              </w:rPr>
              <w:t>c</w:t>
            </w:r>
          </w:p>
        </w:tc>
        <w:tc>
          <w:tcPr>
            <w:tcW w:w="871" w:type="dxa"/>
            <w:noWrap/>
            <w:hideMark/>
          </w:tcPr>
          <w:p w:rsidR="00E70BD6" w:rsidRPr="005B0796" w:rsidRDefault="00E70BD6" w:rsidP="004E563C">
            <w:pPr>
              <w:pStyle w:val="TableText"/>
              <w:jc w:val="right"/>
              <w:rPr>
                <w:lang w:eastAsia="en-AU"/>
              </w:rPr>
            </w:pPr>
            <w:r w:rsidRPr="005B0796">
              <w:rPr>
                <w:lang w:eastAsia="en-AU"/>
              </w:rPr>
              <w:t>2590</w:t>
            </w:r>
          </w:p>
        </w:tc>
        <w:tc>
          <w:tcPr>
            <w:tcW w:w="871" w:type="dxa"/>
            <w:hideMark/>
          </w:tcPr>
          <w:p w:rsidR="00E70BD6" w:rsidRPr="005B0796" w:rsidRDefault="00E70BD6" w:rsidP="004E563C">
            <w:pPr>
              <w:pStyle w:val="TableText"/>
              <w:jc w:val="right"/>
              <w:rPr>
                <w:lang w:eastAsia="en-AU"/>
              </w:rPr>
            </w:pPr>
            <w:r w:rsidRPr="005B0796">
              <w:rPr>
                <w:lang w:eastAsia="en-AU"/>
              </w:rPr>
              <w:t>16.6</w:t>
            </w:r>
          </w:p>
        </w:tc>
        <w:tc>
          <w:tcPr>
            <w:tcW w:w="871" w:type="dxa"/>
            <w:hideMark/>
          </w:tcPr>
          <w:p w:rsidR="00E70BD6" w:rsidRPr="005B0796" w:rsidRDefault="00E70BD6" w:rsidP="004E563C">
            <w:pPr>
              <w:pStyle w:val="TableText"/>
              <w:jc w:val="right"/>
              <w:rPr>
                <w:lang w:eastAsia="en-AU"/>
              </w:rPr>
            </w:pPr>
            <w:r w:rsidRPr="005B0796">
              <w:rPr>
                <w:lang w:eastAsia="en-AU"/>
              </w:rPr>
              <w:t>11.1, 24.0</w:t>
            </w:r>
          </w:p>
        </w:tc>
        <w:tc>
          <w:tcPr>
            <w:tcW w:w="871" w:type="dxa"/>
            <w:noWrap/>
            <w:hideMark/>
          </w:tcPr>
          <w:p w:rsidR="00E70BD6" w:rsidRPr="005B0796" w:rsidRDefault="00E70BD6" w:rsidP="004E563C">
            <w:pPr>
              <w:pStyle w:val="TableText"/>
              <w:jc w:val="right"/>
              <w:rPr>
                <w:lang w:eastAsia="en-AU"/>
              </w:rPr>
            </w:pPr>
            <w:r w:rsidRPr="005B0796">
              <w:rPr>
                <w:lang w:eastAsia="en-AU"/>
              </w:rPr>
              <w:t>2492</w:t>
            </w:r>
          </w:p>
        </w:tc>
        <w:tc>
          <w:tcPr>
            <w:tcW w:w="871" w:type="dxa"/>
            <w:hideMark/>
          </w:tcPr>
          <w:p w:rsidR="00E70BD6" w:rsidRPr="005B0796" w:rsidRDefault="00E70BD6" w:rsidP="004E563C">
            <w:pPr>
              <w:pStyle w:val="TableText"/>
              <w:jc w:val="right"/>
              <w:rPr>
                <w:lang w:eastAsia="en-AU"/>
              </w:rPr>
            </w:pPr>
            <w:r w:rsidRPr="005B0796">
              <w:rPr>
                <w:lang w:eastAsia="en-AU"/>
              </w:rPr>
              <w:t>28.4</w:t>
            </w:r>
          </w:p>
        </w:tc>
        <w:tc>
          <w:tcPr>
            <w:tcW w:w="872" w:type="dxa"/>
            <w:hideMark/>
          </w:tcPr>
          <w:p w:rsidR="00E70BD6" w:rsidRPr="005B0796" w:rsidRDefault="00E70BD6" w:rsidP="004E563C">
            <w:pPr>
              <w:pStyle w:val="TableText"/>
              <w:jc w:val="right"/>
              <w:rPr>
                <w:lang w:eastAsia="en-AU"/>
              </w:rPr>
            </w:pPr>
            <w:r w:rsidRPr="005B0796">
              <w:rPr>
                <w:lang w:eastAsia="en-AU"/>
              </w:rPr>
              <w:t>23.1, 24.4</w:t>
            </w:r>
          </w:p>
        </w:tc>
      </w:tr>
    </w:tbl>
    <w:p w:rsidR="003C56FB" w:rsidRPr="005B0796" w:rsidRDefault="003C56FB" w:rsidP="003C56FB">
      <w:pPr>
        <w:pStyle w:val="TableNotes"/>
      </w:pPr>
      <w:bookmarkStart w:id="592" w:name="_Ref484521139"/>
      <w:bookmarkStart w:id="593" w:name="_Toc482023825"/>
      <w:bookmarkStart w:id="594" w:name="_Toc487014370"/>
      <w:r w:rsidRPr="005B0796">
        <w:rPr>
          <w:vertAlign w:val="superscript"/>
        </w:rPr>
        <w:t>a</w:t>
      </w:r>
      <w:r w:rsidRPr="005B0796">
        <w:t xml:space="preserve"> DVA client vs Not a Client: OR 2.9, 95% CI 1.4, 5.7</w:t>
      </w:r>
    </w:p>
    <w:p w:rsidR="003C56FB" w:rsidRPr="005B0796" w:rsidRDefault="003C56FB" w:rsidP="003C56FB">
      <w:pPr>
        <w:pStyle w:val="TableNotes"/>
      </w:pPr>
      <w:r w:rsidRPr="005B0796">
        <w:rPr>
          <w:vertAlign w:val="superscript"/>
        </w:rPr>
        <w:t>b</w:t>
      </w:r>
      <w:r w:rsidRPr="005B0796">
        <w:t xml:space="preserve"> DVA client vs Not a Client: OR 5.6, 95% CI 1.5, 21.0</w:t>
      </w:r>
    </w:p>
    <w:p w:rsidR="003C56FB" w:rsidRPr="005B0796" w:rsidRDefault="003C56FB" w:rsidP="003C56FB">
      <w:pPr>
        <w:pStyle w:val="TableNotes"/>
        <w:rPr>
          <w:rFonts w:ascii="Cambria Math" w:eastAsia="Times New Roman" w:hAnsi="Cambria Math"/>
          <w:lang w:eastAsia="en-AU"/>
        </w:rPr>
      </w:pPr>
      <w:r w:rsidRPr="005B0796">
        <w:rPr>
          <w:vertAlign w:val="superscript"/>
        </w:rPr>
        <w:t>c</w:t>
      </w:r>
      <w:r w:rsidRPr="005B0796">
        <w:t xml:space="preserve"> DVA client vs Not a Client: OR 2.3, 95% CI 1.3, 4.0</w:t>
      </w:r>
    </w:p>
    <w:p w:rsidR="003C56FB" w:rsidRPr="005B0796" w:rsidRDefault="003C56FB" w:rsidP="003C56FB">
      <w:pPr>
        <w:pStyle w:val="TableNotes"/>
        <w:rPr>
          <w:rFonts w:cs="Calibri"/>
          <w:bCs/>
        </w:rPr>
      </w:pPr>
      <w:r w:rsidRPr="005B0796">
        <w:rPr>
          <w:rFonts w:cs="Calibri"/>
          <w:bCs/>
        </w:rPr>
        <w:t xml:space="preserve">Note: 95% CI: 95% </w:t>
      </w:r>
      <w:r w:rsidR="00564689" w:rsidRPr="005B0796">
        <w:rPr>
          <w:rFonts w:cs="Calibri"/>
          <w:bCs/>
        </w:rPr>
        <w:t>confidence interval</w:t>
      </w:r>
    </w:p>
    <w:p w:rsidR="003C56FB" w:rsidRPr="005B0796" w:rsidRDefault="003C56FB" w:rsidP="003C56FB">
      <w:pPr>
        <w:pStyle w:val="FigureName"/>
      </w:pPr>
      <w:bookmarkStart w:id="595" w:name="_Ref494280377"/>
      <w:bookmarkStart w:id="596" w:name="_Toc51190053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22</w:t>
      </w:r>
      <w:r w:rsidR="00D30A3C">
        <w:rPr>
          <w:noProof/>
        </w:rPr>
        <w:fldChar w:fldCharType="end"/>
      </w:r>
      <w:bookmarkEnd w:id="592"/>
      <w:bookmarkEnd w:id="595"/>
      <w:r w:rsidRPr="005B0796">
        <w:tab/>
        <w:t>Estimated prevalence of 12-month ICD-10 affective disorders in Transitioned ADF, by affective disorder type and DVA status</w:t>
      </w:r>
      <w:bookmarkEnd w:id="593"/>
      <w:bookmarkEnd w:id="594"/>
      <w:bookmarkEnd w:id="596"/>
    </w:p>
    <w:tbl>
      <w:tblPr>
        <w:tblW w:w="5000" w:type="pct"/>
        <w:tblLayout w:type="fixed"/>
        <w:tblCellMar>
          <w:left w:w="115" w:type="dxa"/>
          <w:right w:w="115" w:type="dxa"/>
        </w:tblCellMar>
        <w:tblLook w:val="04A0" w:firstRow="1" w:lastRow="0" w:firstColumn="1" w:lastColumn="0" w:noHBand="0" w:noVBand="1"/>
      </w:tblPr>
      <w:tblGrid>
        <w:gridCol w:w="7329"/>
      </w:tblGrid>
      <w:tr w:rsidR="00E70BD6" w:rsidRPr="005B0796" w:rsidTr="004E563C">
        <w:trPr>
          <w:cantSplit/>
        </w:trPr>
        <w:tc>
          <w:tcPr>
            <w:tcW w:w="7315" w:type="dxa"/>
          </w:tcPr>
          <w:p w:rsidR="00E70BD6" w:rsidRPr="005B0796" w:rsidRDefault="00E70BD6" w:rsidP="004E563C">
            <w:pPr>
              <w:keepNext/>
            </w:pPr>
            <w:r w:rsidRPr="005B0796">
              <w:rPr>
                <w:noProof/>
                <w:lang w:eastAsia="en-AU"/>
              </w:rPr>
              <w:drawing>
                <wp:inline distT="0" distB="0" distL="0" distR="0" wp14:anchorId="694F9FEC" wp14:editId="2EB71C84">
                  <wp:extent cx="4572000" cy="2743200"/>
                  <wp:effectExtent l="0" t="0" r="0" b="0"/>
                  <wp:docPr id="48" name="Chart 48" descr="Figure 4.22 Estimated prevalence of 12-month ICD-10 affective disorders in Transitioned ADF, by affective disorder type and DVA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bl>
    <w:p w:rsidR="003C56FB" w:rsidRPr="005B0796" w:rsidRDefault="003C56FB" w:rsidP="003C56FB">
      <w:pPr>
        <w:pStyle w:val="TableNotes"/>
      </w:pPr>
      <w:r w:rsidRPr="005B0796">
        <w:t>Depressive episodes: DVA client vs Not a Client: OR 2.9, 95% CI 1.4, 5.7</w:t>
      </w:r>
    </w:p>
    <w:p w:rsidR="003C56FB" w:rsidRPr="005B0796" w:rsidRDefault="003C56FB" w:rsidP="003C56FB">
      <w:pPr>
        <w:pStyle w:val="TableNotes"/>
      </w:pPr>
      <w:r w:rsidRPr="005B0796">
        <w:t>Dysthymia: DVA client vs Not a Client: OR 5.6, 95% CI 1.5, 21.0</w:t>
      </w:r>
    </w:p>
    <w:p w:rsidR="003C56FB" w:rsidRPr="005B0796" w:rsidRDefault="003C56FB" w:rsidP="003C56FB">
      <w:pPr>
        <w:pStyle w:val="TableNotes"/>
        <w:rPr>
          <w:rFonts w:ascii="Cambria Math" w:eastAsia="Times New Roman" w:hAnsi="Cambria Math"/>
          <w:lang w:eastAsia="en-AU"/>
        </w:rPr>
      </w:pPr>
      <w:r w:rsidRPr="005B0796">
        <w:t>Any affective disorder: DVA client vs Not a Client: OR 2.3, 95% CI 1.3, 4.0</w:t>
      </w:r>
    </w:p>
    <w:p w:rsidR="00E70BD6" w:rsidRPr="005B0796" w:rsidRDefault="00E70BD6" w:rsidP="003C56FB">
      <w:pPr>
        <w:pStyle w:val="Heading2"/>
      </w:pPr>
      <w:bookmarkStart w:id="597" w:name="_Toc482021348"/>
      <w:bookmarkStart w:id="598" w:name="_Toc482024439"/>
      <w:bookmarkStart w:id="599" w:name="_Toc487011201"/>
      <w:bookmarkStart w:id="600" w:name="_Toc494449719"/>
      <w:bookmarkStart w:id="601" w:name="_Toc511900301"/>
      <w:r w:rsidRPr="005B0796">
        <w:t>Estimated prevalence of alcohol disorders in Transitioned ADF</w:t>
      </w:r>
      <w:bookmarkEnd w:id="597"/>
      <w:bookmarkEnd w:id="598"/>
      <w:bookmarkEnd w:id="599"/>
      <w:bookmarkEnd w:id="600"/>
      <w:bookmarkEnd w:id="601"/>
    </w:p>
    <w:p w:rsidR="003C56FB" w:rsidRPr="005B0796" w:rsidRDefault="003C56FB" w:rsidP="00067D67">
      <w:pPr>
        <w:pStyle w:val="ShadedBullet"/>
        <w:keepNext/>
      </w:pPr>
      <w:r w:rsidRPr="005B0796">
        <w:t>12.9% of the Transitioned ADF met criteria for an alcohol disorder in the last 12 months.</w:t>
      </w:r>
    </w:p>
    <w:p w:rsidR="003C56FB" w:rsidRPr="005B0796" w:rsidRDefault="003C56FB" w:rsidP="00392583">
      <w:pPr>
        <w:pStyle w:val="ShadedBullet"/>
        <w:keepNext/>
      </w:pPr>
      <w:r w:rsidRPr="005B0796">
        <w:t>Ex-Serving ADF members were over two times more likely to meet criteria for any 12-month ICD-10 alcohol disorder compared to Inactive and Active Reservists.</w:t>
      </w:r>
    </w:p>
    <w:p w:rsidR="003C56FB" w:rsidRPr="005B0796" w:rsidRDefault="003C56FB" w:rsidP="003C56FB">
      <w:pPr>
        <w:pStyle w:val="ShadedBullet"/>
      </w:pPr>
      <w:r w:rsidRPr="005B0796">
        <w:t>Alcohol disorders were most commonly observed in Transitioned ADF members aged 18–47, those with fewer years of service and lower rank, those who were medically discharged and DVA clients.</w:t>
      </w:r>
    </w:p>
    <w:p w:rsidR="003C56FB" w:rsidRPr="005B0796" w:rsidRDefault="0078635A" w:rsidP="003C56FB">
      <w:pPr>
        <w:pStyle w:val="ShadedBullet"/>
      </w:pPr>
      <w:r w:rsidRPr="005B0796">
        <w:t xml:space="preserve">Navy </w:t>
      </w:r>
      <w:r w:rsidR="003C56FB" w:rsidRPr="005B0796">
        <w:t xml:space="preserve">and </w:t>
      </w:r>
      <w:r w:rsidRPr="005B0796">
        <w:t xml:space="preserve">Army </w:t>
      </w:r>
      <w:r w:rsidR="003C56FB" w:rsidRPr="005B0796">
        <w:t>Transitioned ADF members reported higher rates of alcohol disorder compared to Air Force members, with the prevalence of 12-month alcohol disorder highest at one year post-transition.</w:t>
      </w:r>
    </w:p>
    <w:p w:rsidR="003C56FB" w:rsidRPr="005B0796" w:rsidRDefault="003C56FB" w:rsidP="003C56FB">
      <w:pPr>
        <w:pStyle w:val="ShadedBoxText"/>
      </w:pPr>
      <w:r w:rsidRPr="005B0796">
        <w:rPr>
          <w:b/>
        </w:rPr>
        <w:t>Glossary:</w:t>
      </w:r>
      <w:r w:rsidRPr="0078635A">
        <w:t xml:space="preserve"> r</w:t>
      </w:r>
      <w:r w:rsidRPr="005B0796">
        <w:t>efer to the Glossary of terms for definitions of key terms in this section.</w:t>
      </w:r>
      <w:r w:rsidRPr="005B0796">
        <w:rPr>
          <w:bCs/>
        </w:rPr>
        <w:t xml:space="preserve"> </w:t>
      </w:r>
    </w:p>
    <w:p w:rsidR="00E70BD6" w:rsidRPr="005B0796" w:rsidRDefault="00E70BD6" w:rsidP="00FE709E">
      <w:r w:rsidRPr="005B0796">
        <w:t xml:space="preserve">The following section provides a summary of the estimated prevalence of 12-month ICD-10 alcohol disorders among ADF members who transitioned from the Regular ADF between 2010 and 2014. It describes the associated </w:t>
      </w:r>
      <w:r w:rsidR="0078635A">
        <w:t xml:space="preserve">predictors related to </w:t>
      </w:r>
      <w:r w:rsidRPr="005B0796">
        <w:t>demographic (sex, age)</w:t>
      </w:r>
      <w:r w:rsidR="0078635A">
        <w:t>,</w:t>
      </w:r>
      <w:r w:rsidRPr="005B0796">
        <w:t xml:space="preserve"> transition (transition status, years since transition, type of discharge) and Service (Service, rank, years of service, deployment status). The association between alcohol disorders and DVA status is also outlined. A summary is provided of how these estimated rates compare to the national and international literature included in Chapter 6. </w:t>
      </w:r>
    </w:p>
    <w:p w:rsidR="00E70BD6" w:rsidRPr="005B0796" w:rsidRDefault="00E70BD6" w:rsidP="00FE709E">
      <w:r w:rsidRPr="005B0796">
        <w:t>The Mental Health and Wellbeing Transition Study examined two types of alcohol disorders:</w:t>
      </w:r>
    </w:p>
    <w:p w:rsidR="00E70BD6" w:rsidRPr="005B0796" w:rsidRDefault="00E70BD6" w:rsidP="00FE709E">
      <w:pPr>
        <w:pStyle w:val="Bullet"/>
      </w:pPr>
      <w:r w:rsidRPr="005B0796">
        <w:rPr>
          <w:b/>
        </w:rPr>
        <w:t>Alcohol harmful use:</w:t>
      </w:r>
      <w:r w:rsidRPr="005B0796">
        <w:t xml:space="preserve"> a pattern of alcohol use that is damaging to health. The damage may be physical or mental (in the absence of the diagnosis of dependence syndrome (ICD-10). Diagnosis requires </w:t>
      </w:r>
      <w:r w:rsidR="0078635A">
        <w:t xml:space="preserve">a </w:t>
      </w:r>
      <w:r w:rsidRPr="005B0796">
        <w:t>high level of alcohol consumption that is damaging the person</w:t>
      </w:r>
      <w:r w:rsidR="00462A0C" w:rsidRPr="005B0796">
        <w:t>’</w:t>
      </w:r>
      <w:r w:rsidRPr="005B0796">
        <w:t>s physical or mental health. Each participant was initially asked if they consumed 12 or more standard alcoholic drinks in a 12-month period. If so, they were then asked questions about their level of consumption. A diagnosis of alcohol harmful use was applied if the alcohol interfered with either work or other responsibilities; caused arguments with their family or friends; was consumed in a situation where the</w:t>
      </w:r>
      <w:r w:rsidR="0078635A">
        <w:t>y</w:t>
      </w:r>
      <w:r w:rsidRPr="005B0796">
        <w:t xml:space="preserve"> could get hurt; resulted in </w:t>
      </w:r>
      <w:r w:rsidR="0078635A">
        <w:t xml:space="preserve">them </w:t>
      </w:r>
      <w:r w:rsidRPr="005B0796">
        <w:t>being stopped or arrested by police; or if the participant continued to consume alcohol despite experiencing social or interpersonal problems related to their drinking during the last 12 months. A person could not meet criteria for alcohol harmful use if they met criteria for alcohol dependence</w:t>
      </w:r>
    </w:p>
    <w:p w:rsidR="00E70BD6" w:rsidRPr="005B0796" w:rsidRDefault="00E70BD6" w:rsidP="000C2A5F">
      <w:pPr>
        <w:pStyle w:val="Bullet"/>
        <w:keepLines/>
        <w:spacing w:after="120"/>
      </w:pPr>
      <w:r w:rsidRPr="005B0796">
        <w:rPr>
          <w:b/>
        </w:rPr>
        <w:t>Alcohol dependence:</w:t>
      </w:r>
      <w:r w:rsidRPr="005B0796">
        <w:t xml:space="preserve"> a cluster of cognitive, behavioural and physiological characteristics indicating that the person continues to use alcohol despite significant alcohol-related problems (ICD-10). This is characterised by increased prioritisation of alcohol in a person</w:t>
      </w:r>
      <w:r w:rsidR="00462A0C" w:rsidRPr="005B0796">
        <w:t>’</w:t>
      </w:r>
      <w:r w:rsidRPr="005B0796">
        <w:t>s life. The defining feature of alcohol dependence is a strong, overwhelming desire to use alcohol despite experiencing several associated problems. A diagnosis is given if the person reported three or more of the following symptoms in the last 12 months:</w:t>
      </w:r>
    </w:p>
    <w:p w:rsidR="00E70BD6" w:rsidRPr="005B0796" w:rsidRDefault="00E70BD6" w:rsidP="00FE709E">
      <w:pPr>
        <w:pStyle w:val="Dash"/>
        <w:spacing w:after="60"/>
      </w:pPr>
      <w:r w:rsidRPr="005B0796">
        <w:t>a strong and irresistible urge to consume alcohol</w:t>
      </w:r>
    </w:p>
    <w:p w:rsidR="00E70BD6" w:rsidRPr="005B0796" w:rsidRDefault="00E70BD6" w:rsidP="00FE709E">
      <w:pPr>
        <w:pStyle w:val="Dash"/>
        <w:spacing w:after="60"/>
      </w:pPr>
      <w:r w:rsidRPr="005B0796">
        <w:t>a tolerance to the effects of alcohol</w:t>
      </w:r>
    </w:p>
    <w:p w:rsidR="00E70BD6" w:rsidRPr="005B0796" w:rsidRDefault="00E70BD6" w:rsidP="00FE709E">
      <w:pPr>
        <w:pStyle w:val="Dash"/>
        <w:spacing w:after="60"/>
      </w:pPr>
      <w:r w:rsidRPr="005B0796">
        <w:t>an inability to stop or reduce alcohol consumption</w:t>
      </w:r>
    </w:p>
    <w:p w:rsidR="00E70BD6" w:rsidRPr="005B0796" w:rsidRDefault="00E70BD6" w:rsidP="00FE709E">
      <w:pPr>
        <w:pStyle w:val="Dash"/>
        <w:spacing w:after="60"/>
      </w:pPr>
      <w:r w:rsidRPr="005B0796">
        <w:t>withdrawal symptoms upon cessation or reduction of alcohol intake</w:t>
      </w:r>
    </w:p>
    <w:p w:rsidR="00E70BD6" w:rsidRPr="005B0796" w:rsidRDefault="00E70BD6" w:rsidP="00FE709E">
      <w:pPr>
        <w:pStyle w:val="Dash"/>
        <w:spacing w:after="60"/>
      </w:pPr>
      <w:r w:rsidRPr="005B0796">
        <w:t>continuing to drink despite it causing emotional or physical problems</w:t>
      </w:r>
    </w:p>
    <w:p w:rsidR="00E70BD6" w:rsidRPr="005B0796" w:rsidRDefault="00E70BD6" w:rsidP="00FE709E">
      <w:pPr>
        <w:pStyle w:val="Dash"/>
      </w:pPr>
      <w:r w:rsidRPr="005B0796">
        <w:t>a reduction in important activities because of or in order to drink.</w:t>
      </w:r>
    </w:p>
    <w:p w:rsidR="00E70BD6" w:rsidRPr="005B0796" w:rsidRDefault="00E70BD6" w:rsidP="00FE709E">
      <w:r w:rsidRPr="005B0796">
        <w:t>The tables below report the patterns of alcohol harmful use and dependence in Transitioned ADF members according to ICD-10 criteria, based on CIDI interviews.</w:t>
      </w:r>
    </w:p>
    <w:p w:rsidR="00E70BD6" w:rsidRPr="005B0796" w:rsidRDefault="00E70BD6" w:rsidP="00FE709E">
      <w:pPr>
        <w:pStyle w:val="Heading3"/>
      </w:pPr>
      <w:bookmarkStart w:id="602" w:name="_Toc482021350"/>
      <w:bookmarkStart w:id="603" w:name="_Toc482024441"/>
      <w:bookmarkStart w:id="604" w:name="_Toc487011202"/>
      <w:bookmarkStart w:id="605" w:name="_Toc494449720"/>
      <w:bookmarkStart w:id="606" w:name="_Toc511900302"/>
      <w:r w:rsidRPr="005B0796">
        <w:t>Transitioned ADF</w:t>
      </w:r>
      <w:bookmarkEnd w:id="602"/>
      <w:bookmarkEnd w:id="603"/>
      <w:bookmarkEnd w:id="604"/>
      <w:bookmarkEnd w:id="605"/>
      <w:bookmarkEnd w:id="606"/>
    </w:p>
    <w:p w:rsidR="00E70BD6" w:rsidRPr="005B0796" w:rsidRDefault="009E72D3" w:rsidP="00FE709E">
      <w:r w:rsidRPr="005B0796">
        <w:t>Table 4.27</w:t>
      </w:r>
      <w:r w:rsidR="00E70BD6" w:rsidRPr="005B0796">
        <w:t xml:space="preserve"> presents the estimated prevalence of ICD-10 alcohol harmful use and dependence in Transitioned ADF members. In total, 12.9% (95%, CI 9.8, 16.9) of the Transitioned ADF met criteria for an ICD-10 alcohol disorder, with alcohol dependence more prevalent (9.1%, 95% CI 6.4, 12.8) than harmf</w:t>
      </w:r>
      <w:r w:rsidR="003C56FB" w:rsidRPr="005B0796">
        <w:t>ul use (3.8%, 95% CI 2.3, 6.3).</w:t>
      </w:r>
    </w:p>
    <w:p w:rsidR="003C56FB" w:rsidRPr="005B0796" w:rsidRDefault="003C56FB" w:rsidP="003C56FB">
      <w:pPr>
        <w:pStyle w:val="TableName"/>
      </w:pPr>
      <w:bookmarkStart w:id="607" w:name="_Ref484519972"/>
      <w:bookmarkStart w:id="608" w:name="_Toc482023791"/>
      <w:bookmarkStart w:id="609" w:name="_Toc487014278"/>
      <w:bookmarkStart w:id="610" w:name="_Toc492995581"/>
      <w:bookmarkStart w:id="611" w:name="_Toc51190043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27</w:t>
      </w:r>
      <w:r w:rsidR="00D30A3C">
        <w:rPr>
          <w:noProof/>
        </w:rPr>
        <w:fldChar w:fldCharType="end"/>
      </w:r>
      <w:bookmarkEnd w:id="607"/>
      <w:r w:rsidRPr="005B0796">
        <w:tab/>
        <w:t>Estimated prevalence of 12-month ICD-10 alcohol disorders</w:t>
      </w:r>
      <w:bookmarkEnd w:id="608"/>
      <w:bookmarkEnd w:id="609"/>
      <w:bookmarkEnd w:id="610"/>
      <w:bookmarkEnd w:id="611"/>
    </w:p>
    <w:tbl>
      <w:tblPr>
        <w:tblStyle w:val="TWRPTable"/>
        <w:tblW w:w="5000" w:type="pct"/>
        <w:tblLayout w:type="fixed"/>
        <w:tblLook w:val="04A0" w:firstRow="1" w:lastRow="0" w:firstColumn="1" w:lastColumn="0" w:noHBand="0" w:noVBand="1"/>
        <w:tblDescription w:val="Table 4.27 Estimated prevalence of 12-month ICD-10 alcohol disorders"/>
      </w:tblPr>
      <w:tblGrid>
        <w:gridCol w:w="2718"/>
        <w:gridCol w:w="1532"/>
        <w:gridCol w:w="1532"/>
        <w:gridCol w:w="1533"/>
      </w:tblGrid>
      <w:tr w:rsidR="00E70BD6" w:rsidRPr="005B0796" w:rsidTr="00263825">
        <w:trPr>
          <w:cnfStyle w:val="100000000000" w:firstRow="1" w:lastRow="0" w:firstColumn="0" w:lastColumn="0" w:oddVBand="0" w:evenVBand="0" w:oddHBand="0" w:evenHBand="0" w:firstRowFirstColumn="0" w:firstRowLastColumn="0" w:lastRowFirstColumn="0" w:lastRowLastColumn="0"/>
          <w:tblHeader/>
        </w:trPr>
        <w:tc>
          <w:tcPr>
            <w:tcW w:w="2718" w:type="dxa"/>
            <w:vMerge w:val="restart"/>
            <w:noWrap/>
            <w:hideMark/>
          </w:tcPr>
          <w:p w:rsidR="00E70BD6" w:rsidRPr="005B0796" w:rsidRDefault="00E70BD6" w:rsidP="00263825">
            <w:pPr>
              <w:pStyle w:val="TableText"/>
              <w:rPr>
                <w:lang w:eastAsia="en-AU"/>
              </w:rPr>
            </w:pPr>
            <w:r w:rsidRPr="005B0796">
              <w:rPr>
                <w:lang w:eastAsia="en-AU"/>
              </w:rPr>
              <w:t xml:space="preserve">ICD-10 </w:t>
            </w:r>
            <w:r w:rsidR="00C37D89" w:rsidRPr="005B0796">
              <w:rPr>
                <w:lang w:eastAsia="en-AU"/>
              </w:rPr>
              <w:t>alcohol disorder</w:t>
            </w:r>
          </w:p>
        </w:tc>
        <w:tc>
          <w:tcPr>
            <w:tcW w:w="4597" w:type="dxa"/>
            <w:gridSpan w:val="3"/>
            <w:noWrap/>
          </w:tcPr>
          <w:p w:rsidR="00E70BD6" w:rsidRPr="005B0796" w:rsidRDefault="00E70BD6" w:rsidP="00263825">
            <w:pPr>
              <w:pStyle w:val="TableText"/>
              <w:jc w:val="center"/>
              <w:rPr>
                <w:lang w:eastAsia="en-AU"/>
              </w:rPr>
            </w:pPr>
            <w:r w:rsidRPr="005B0796">
              <w:rPr>
                <w:lang w:eastAsia="en-AU"/>
              </w:rPr>
              <w:t>Transitioned ADF (n = 24,932)</w:t>
            </w:r>
          </w:p>
        </w:tc>
      </w:tr>
      <w:tr w:rsidR="00263825" w:rsidRPr="005B0796" w:rsidTr="00263825">
        <w:trPr>
          <w:cnfStyle w:val="100000000000" w:firstRow="1" w:lastRow="0" w:firstColumn="0" w:lastColumn="0" w:oddVBand="0" w:evenVBand="0" w:oddHBand="0" w:evenHBand="0" w:firstRowFirstColumn="0" w:firstRowLastColumn="0" w:lastRowFirstColumn="0" w:lastRowLastColumn="0"/>
          <w:tblHeader/>
        </w:trPr>
        <w:tc>
          <w:tcPr>
            <w:tcW w:w="2718" w:type="dxa"/>
            <w:vMerge/>
            <w:hideMark/>
          </w:tcPr>
          <w:p w:rsidR="00263825" w:rsidRPr="005B0796" w:rsidRDefault="00263825" w:rsidP="00263825">
            <w:pPr>
              <w:pStyle w:val="TableText"/>
              <w:rPr>
                <w:lang w:eastAsia="en-AU"/>
              </w:rPr>
            </w:pPr>
          </w:p>
        </w:tc>
        <w:tc>
          <w:tcPr>
            <w:tcW w:w="1532" w:type="dxa"/>
            <w:noWrap/>
          </w:tcPr>
          <w:p w:rsidR="00263825" w:rsidRPr="005B0796" w:rsidRDefault="00263825" w:rsidP="00263825">
            <w:pPr>
              <w:pStyle w:val="TableText"/>
              <w:jc w:val="right"/>
              <w:rPr>
                <w:lang w:eastAsia="en-AU"/>
              </w:rPr>
            </w:pPr>
            <w:r w:rsidRPr="005B0796">
              <w:rPr>
                <w:lang w:eastAsia="en-AU"/>
              </w:rPr>
              <w:t>Weighted n</w:t>
            </w:r>
          </w:p>
        </w:tc>
        <w:tc>
          <w:tcPr>
            <w:tcW w:w="1532" w:type="dxa"/>
            <w:noWrap/>
          </w:tcPr>
          <w:p w:rsidR="00263825" w:rsidRPr="005B0796" w:rsidRDefault="00263825" w:rsidP="00263825">
            <w:pPr>
              <w:pStyle w:val="TableText"/>
              <w:jc w:val="right"/>
              <w:rPr>
                <w:lang w:eastAsia="en-AU"/>
              </w:rPr>
            </w:pPr>
            <w:r w:rsidRPr="005B0796">
              <w:rPr>
                <w:lang w:eastAsia="en-AU"/>
              </w:rPr>
              <w:t>%</w:t>
            </w:r>
          </w:p>
        </w:tc>
        <w:tc>
          <w:tcPr>
            <w:tcW w:w="1533" w:type="dxa"/>
            <w:noWrap/>
          </w:tcPr>
          <w:p w:rsidR="00263825" w:rsidRPr="005B0796" w:rsidRDefault="00263825" w:rsidP="00263825">
            <w:pPr>
              <w:pStyle w:val="TableText"/>
              <w:jc w:val="right"/>
              <w:rPr>
                <w:lang w:eastAsia="en-AU"/>
              </w:rPr>
            </w:pPr>
            <w:r w:rsidRPr="005B0796">
              <w:rPr>
                <w:lang w:eastAsia="en-AU"/>
              </w:rPr>
              <w:t>95% CI</w:t>
            </w:r>
          </w:p>
        </w:tc>
      </w:tr>
      <w:tr w:rsidR="00263825" w:rsidRPr="005B0796" w:rsidTr="00263825">
        <w:trPr>
          <w:cnfStyle w:val="000000100000" w:firstRow="0" w:lastRow="0" w:firstColumn="0" w:lastColumn="0" w:oddVBand="0" w:evenVBand="0" w:oddHBand="1" w:evenHBand="0" w:firstRowFirstColumn="0" w:firstRowLastColumn="0" w:lastRowFirstColumn="0" w:lastRowLastColumn="0"/>
        </w:trPr>
        <w:tc>
          <w:tcPr>
            <w:tcW w:w="2718" w:type="dxa"/>
            <w:noWrap/>
            <w:hideMark/>
          </w:tcPr>
          <w:p w:rsidR="00263825" w:rsidRPr="005B0796" w:rsidRDefault="00263825" w:rsidP="00263825">
            <w:pPr>
              <w:pStyle w:val="TableText"/>
              <w:rPr>
                <w:lang w:eastAsia="en-AU"/>
              </w:rPr>
            </w:pPr>
            <w:r w:rsidRPr="005B0796">
              <w:rPr>
                <w:lang w:eastAsia="en-AU"/>
              </w:rPr>
              <w:t>Alcohol harmful use</w:t>
            </w:r>
          </w:p>
        </w:tc>
        <w:tc>
          <w:tcPr>
            <w:tcW w:w="1532" w:type="dxa"/>
            <w:noWrap/>
            <w:hideMark/>
          </w:tcPr>
          <w:p w:rsidR="00263825" w:rsidRPr="005B0796" w:rsidRDefault="00263825" w:rsidP="00263825">
            <w:pPr>
              <w:pStyle w:val="TableText"/>
              <w:jc w:val="right"/>
              <w:rPr>
                <w:lang w:eastAsia="en-AU"/>
              </w:rPr>
            </w:pPr>
            <w:r w:rsidRPr="005B0796">
              <w:rPr>
                <w:lang w:eastAsia="en-AU"/>
              </w:rPr>
              <w:t>948</w:t>
            </w:r>
          </w:p>
        </w:tc>
        <w:tc>
          <w:tcPr>
            <w:tcW w:w="1532" w:type="dxa"/>
            <w:hideMark/>
          </w:tcPr>
          <w:p w:rsidR="00263825" w:rsidRPr="005B0796" w:rsidRDefault="00263825" w:rsidP="00263825">
            <w:pPr>
              <w:pStyle w:val="TableText"/>
              <w:jc w:val="right"/>
              <w:rPr>
                <w:lang w:eastAsia="en-AU"/>
              </w:rPr>
            </w:pPr>
            <w:r w:rsidRPr="005B0796">
              <w:rPr>
                <w:lang w:eastAsia="en-AU"/>
              </w:rPr>
              <w:t>3.8</w:t>
            </w:r>
          </w:p>
        </w:tc>
        <w:tc>
          <w:tcPr>
            <w:tcW w:w="1533" w:type="dxa"/>
            <w:hideMark/>
          </w:tcPr>
          <w:p w:rsidR="00263825" w:rsidRPr="005B0796" w:rsidRDefault="00263825" w:rsidP="00263825">
            <w:pPr>
              <w:pStyle w:val="TableText"/>
              <w:jc w:val="right"/>
              <w:rPr>
                <w:lang w:eastAsia="en-AU"/>
              </w:rPr>
            </w:pPr>
            <w:r w:rsidRPr="005B0796">
              <w:rPr>
                <w:lang w:eastAsia="en-AU"/>
              </w:rPr>
              <w:t>2.3, 6.3</w:t>
            </w:r>
          </w:p>
        </w:tc>
      </w:tr>
      <w:tr w:rsidR="00263825" w:rsidRPr="005B0796" w:rsidTr="00263825">
        <w:tc>
          <w:tcPr>
            <w:tcW w:w="2718" w:type="dxa"/>
            <w:noWrap/>
            <w:hideMark/>
          </w:tcPr>
          <w:p w:rsidR="00263825" w:rsidRPr="005B0796" w:rsidRDefault="00263825" w:rsidP="00263825">
            <w:pPr>
              <w:pStyle w:val="TableText"/>
              <w:rPr>
                <w:lang w:eastAsia="en-AU"/>
              </w:rPr>
            </w:pPr>
            <w:r w:rsidRPr="005B0796">
              <w:rPr>
                <w:lang w:eastAsia="en-AU"/>
              </w:rPr>
              <w:t>Alcohol dependence</w:t>
            </w:r>
          </w:p>
        </w:tc>
        <w:tc>
          <w:tcPr>
            <w:tcW w:w="1532" w:type="dxa"/>
            <w:noWrap/>
            <w:hideMark/>
          </w:tcPr>
          <w:p w:rsidR="00263825" w:rsidRPr="005B0796" w:rsidRDefault="00263825" w:rsidP="00263825">
            <w:pPr>
              <w:pStyle w:val="TableText"/>
              <w:jc w:val="right"/>
              <w:rPr>
                <w:lang w:eastAsia="en-AU"/>
              </w:rPr>
            </w:pPr>
            <w:r w:rsidRPr="005B0796">
              <w:rPr>
                <w:lang w:eastAsia="en-AU"/>
              </w:rPr>
              <w:t>2271</w:t>
            </w:r>
          </w:p>
        </w:tc>
        <w:tc>
          <w:tcPr>
            <w:tcW w:w="1532" w:type="dxa"/>
            <w:hideMark/>
          </w:tcPr>
          <w:p w:rsidR="00263825" w:rsidRPr="005B0796" w:rsidRDefault="00263825" w:rsidP="00263825">
            <w:pPr>
              <w:pStyle w:val="TableText"/>
              <w:jc w:val="right"/>
              <w:rPr>
                <w:lang w:eastAsia="en-AU"/>
              </w:rPr>
            </w:pPr>
            <w:r w:rsidRPr="005B0796">
              <w:rPr>
                <w:lang w:eastAsia="en-AU"/>
              </w:rPr>
              <w:t>9.1</w:t>
            </w:r>
          </w:p>
        </w:tc>
        <w:tc>
          <w:tcPr>
            <w:tcW w:w="1533" w:type="dxa"/>
            <w:hideMark/>
          </w:tcPr>
          <w:p w:rsidR="00263825" w:rsidRPr="005B0796" w:rsidRDefault="00263825" w:rsidP="00263825">
            <w:pPr>
              <w:pStyle w:val="TableText"/>
              <w:jc w:val="right"/>
              <w:rPr>
                <w:lang w:eastAsia="en-AU"/>
              </w:rPr>
            </w:pPr>
            <w:r w:rsidRPr="005B0796">
              <w:rPr>
                <w:lang w:eastAsia="en-AU"/>
              </w:rPr>
              <w:t>6.4, 12.8</w:t>
            </w:r>
          </w:p>
        </w:tc>
      </w:tr>
      <w:tr w:rsidR="00263825" w:rsidRPr="005B0796" w:rsidTr="00263825">
        <w:trPr>
          <w:cnfStyle w:val="000000100000" w:firstRow="0" w:lastRow="0" w:firstColumn="0" w:lastColumn="0" w:oddVBand="0" w:evenVBand="0" w:oddHBand="1" w:evenHBand="0" w:firstRowFirstColumn="0" w:firstRowLastColumn="0" w:lastRowFirstColumn="0" w:lastRowLastColumn="0"/>
        </w:trPr>
        <w:tc>
          <w:tcPr>
            <w:tcW w:w="2718" w:type="dxa"/>
            <w:hideMark/>
          </w:tcPr>
          <w:p w:rsidR="00263825" w:rsidRPr="005B0796" w:rsidRDefault="00263825" w:rsidP="00263825">
            <w:pPr>
              <w:pStyle w:val="TableText"/>
              <w:rPr>
                <w:lang w:eastAsia="en-AU"/>
              </w:rPr>
            </w:pPr>
            <w:r w:rsidRPr="005B0796">
              <w:rPr>
                <w:lang w:eastAsia="en-AU"/>
              </w:rPr>
              <w:t>Any alcohol disorder</w:t>
            </w:r>
          </w:p>
        </w:tc>
        <w:tc>
          <w:tcPr>
            <w:tcW w:w="1532" w:type="dxa"/>
            <w:noWrap/>
            <w:hideMark/>
          </w:tcPr>
          <w:p w:rsidR="00263825" w:rsidRPr="005B0796" w:rsidRDefault="00263825" w:rsidP="00263825">
            <w:pPr>
              <w:pStyle w:val="TableText"/>
              <w:jc w:val="right"/>
              <w:rPr>
                <w:lang w:eastAsia="en-AU"/>
              </w:rPr>
            </w:pPr>
            <w:r w:rsidRPr="005B0796">
              <w:rPr>
                <w:lang w:eastAsia="en-AU"/>
              </w:rPr>
              <w:t>3219</w:t>
            </w:r>
          </w:p>
        </w:tc>
        <w:tc>
          <w:tcPr>
            <w:tcW w:w="1532" w:type="dxa"/>
            <w:hideMark/>
          </w:tcPr>
          <w:p w:rsidR="00263825" w:rsidRPr="005B0796" w:rsidRDefault="00263825" w:rsidP="00263825">
            <w:pPr>
              <w:pStyle w:val="TableText"/>
              <w:jc w:val="right"/>
              <w:rPr>
                <w:lang w:eastAsia="en-AU"/>
              </w:rPr>
            </w:pPr>
            <w:r w:rsidRPr="005B0796">
              <w:rPr>
                <w:lang w:eastAsia="en-AU"/>
              </w:rPr>
              <w:t>12.9</w:t>
            </w:r>
          </w:p>
        </w:tc>
        <w:tc>
          <w:tcPr>
            <w:tcW w:w="1533" w:type="dxa"/>
            <w:hideMark/>
          </w:tcPr>
          <w:p w:rsidR="00263825" w:rsidRPr="005B0796" w:rsidRDefault="00263825" w:rsidP="00263825">
            <w:pPr>
              <w:pStyle w:val="TableText"/>
              <w:jc w:val="right"/>
              <w:rPr>
                <w:lang w:eastAsia="en-AU"/>
              </w:rPr>
            </w:pPr>
            <w:r w:rsidRPr="005B0796">
              <w:rPr>
                <w:lang w:eastAsia="en-AU"/>
              </w:rPr>
              <w:t>9.8, 16.9</w:t>
            </w:r>
          </w:p>
        </w:tc>
      </w:tr>
    </w:tbl>
    <w:p w:rsidR="00E70BD6" w:rsidRPr="005B0796" w:rsidRDefault="003C56FB" w:rsidP="003C56FB">
      <w:pPr>
        <w:pStyle w:val="TableNotes"/>
      </w:pPr>
      <w:r w:rsidRPr="005B0796">
        <w:t xml:space="preserve">Note: 95% CI: 95% </w:t>
      </w:r>
      <w:r w:rsidR="00564689" w:rsidRPr="005B0796">
        <w:t>confidence interval</w:t>
      </w:r>
    </w:p>
    <w:p w:rsidR="00E70BD6" w:rsidRPr="005B0796" w:rsidRDefault="00E70BD6" w:rsidP="00263825">
      <w:pPr>
        <w:pStyle w:val="Heading4"/>
      </w:pPr>
      <w:r w:rsidRPr="005B0796">
        <w:t>Transition status</w:t>
      </w:r>
    </w:p>
    <w:p w:rsidR="00E70BD6" w:rsidRPr="005B0796" w:rsidRDefault="00E70BD6" w:rsidP="00263825">
      <w:r w:rsidRPr="005B0796">
        <w:t>When considering transition status (</w:t>
      </w:r>
      <w:r w:rsidR="009E72D3" w:rsidRPr="005B0796">
        <w:t>Table 4.28</w:t>
      </w:r>
      <w:r w:rsidRPr="005B0796">
        <w:t xml:space="preserve"> and </w:t>
      </w:r>
      <w:r w:rsidR="009E72D3" w:rsidRPr="005B0796">
        <w:t>Figure 4.23</w:t>
      </w:r>
      <w:r w:rsidRPr="005B0796">
        <w:t>), 18.7% (95%, CI 13.2, 25.9) of Ex</w:t>
      </w:r>
      <w:r w:rsidRPr="005B0796">
        <w:noBreakHyphen/>
        <w:t xml:space="preserve">Serving ADF members met criteria for </w:t>
      </w:r>
      <w:r w:rsidR="00462A0C" w:rsidRPr="005B0796">
        <w:t>‘</w:t>
      </w:r>
      <w:r w:rsidRPr="005B0796">
        <w:t>any 12-month ICD-10 alcohol disorder</w:t>
      </w:r>
      <w:r w:rsidR="00462A0C" w:rsidRPr="005B0796">
        <w:t>’</w:t>
      </w:r>
      <w:r w:rsidRPr="005B0796">
        <w:t xml:space="preserve">. This rate was more than double the estimated rates for Inactive Reservists (8.7%, 95% CI 4.8, 15.4) and Active Reservists (7.3%, 95% CI 3.4, 15.0). Accordingly, Ex-Serving Transitioned ADF members were twice as likely to meet 12-month criteria for </w:t>
      </w:r>
      <w:r w:rsidR="00462A0C" w:rsidRPr="005B0796">
        <w:t>‘</w:t>
      </w:r>
      <w:r w:rsidRPr="005B0796">
        <w:t>any alcohol disorder</w:t>
      </w:r>
      <w:r w:rsidR="00462A0C" w:rsidRPr="005B0796">
        <w:t>’</w:t>
      </w:r>
      <w:r w:rsidRPr="005B0796">
        <w:t xml:space="preserve"> compared to Inactive Reservists (OR 2.1, 95% CI 1.0, 4.7). Although there were no significant differences in estimated rates of alcohol harmful use between the different transition status groups, Ex-Serving ADF members were also nearly four times more likely than Inactive Reservists to meet criteria for alcohol dependence (OR 3.9, 95% CI 1.4, 11.0). </w:t>
      </w:r>
    </w:p>
    <w:p w:rsidR="00E70BD6" w:rsidRPr="005B0796" w:rsidRDefault="003C56FB" w:rsidP="003C56FB">
      <w:pPr>
        <w:pStyle w:val="TableName"/>
      </w:pPr>
      <w:bookmarkStart w:id="612" w:name="_Ref484519978"/>
      <w:bookmarkStart w:id="613" w:name="_Toc482023792"/>
      <w:bookmarkStart w:id="614" w:name="_Toc487014279"/>
      <w:bookmarkStart w:id="615" w:name="_Toc492995582"/>
      <w:bookmarkStart w:id="616" w:name="_Toc51190043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28</w:t>
      </w:r>
      <w:r w:rsidR="00D30A3C">
        <w:rPr>
          <w:noProof/>
        </w:rPr>
        <w:fldChar w:fldCharType="end"/>
      </w:r>
      <w:bookmarkEnd w:id="612"/>
      <w:r w:rsidRPr="005B0796">
        <w:tab/>
      </w:r>
      <w:bookmarkEnd w:id="613"/>
      <w:r w:rsidRPr="005B0796">
        <w:t>Estimated prevalence of 12-month ICD-10 alcohol disorders in Transitioned ADF members, by alcohol disorder type and transition status (Ex-Serving, Inactive Reservist and Active Reservist</w:t>
      </w:r>
      <w:bookmarkEnd w:id="614"/>
      <w:r w:rsidRPr="005B0796">
        <w:t>)</w:t>
      </w:r>
      <w:bookmarkEnd w:id="615"/>
      <w:bookmarkEnd w:id="616"/>
    </w:p>
    <w:tbl>
      <w:tblPr>
        <w:tblStyle w:val="TWRPTable"/>
        <w:tblW w:w="5000" w:type="pct"/>
        <w:tblLayout w:type="fixed"/>
        <w:tblLook w:val="04A0" w:firstRow="1" w:lastRow="0" w:firstColumn="1" w:lastColumn="0" w:noHBand="0" w:noVBand="1"/>
        <w:tblDescription w:val="Table 4.28 Estimated prevalence of 12-month ICD-10 alcohol disorders in Transitioned ADF members, by alcohol disorder type and transition status (Ex-Serving, Inactive Reservist and Active Reservist)"/>
      </w:tblPr>
      <w:tblGrid>
        <w:gridCol w:w="1008"/>
        <w:gridCol w:w="810"/>
        <w:gridCol w:w="540"/>
        <w:gridCol w:w="752"/>
        <w:gridCol w:w="778"/>
        <w:gridCol w:w="540"/>
        <w:gridCol w:w="784"/>
        <w:gridCol w:w="746"/>
        <w:gridCol w:w="540"/>
        <w:gridCol w:w="817"/>
      </w:tblGrid>
      <w:tr w:rsidR="00EA5FE6" w:rsidRPr="005B0796" w:rsidTr="00EA5FE6">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noWrap/>
          </w:tcPr>
          <w:p w:rsidR="00EA5FE6" w:rsidRPr="005B0796" w:rsidRDefault="00EA5FE6" w:rsidP="00263825">
            <w:pPr>
              <w:pStyle w:val="TableText"/>
              <w:rPr>
                <w:lang w:eastAsia="en-AU"/>
              </w:rPr>
            </w:pPr>
            <w:r w:rsidRPr="005B0796">
              <w:rPr>
                <w:lang w:eastAsia="en-AU"/>
              </w:rPr>
              <w:t>ICD-10 alcohol disorder</w:t>
            </w:r>
          </w:p>
        </w:tc>
        <w:tc>
          <w:tcPr>
            <w:tcW w:w="6307" w:type="dxa"/>
            <w:gridSpan w:val="9"/>
            <w:noWrap/>
          </w:tcPr>
          <w:p w:rsidR="00EA5FE6" w:rsidRPr="005B0796" w:rsidRDefault="00EA5FE6" w:rsidP="00263825">
            <w:pPr>
              <w:pStyle w:val="TableText"/>
              <w:jc w:val="center"/>
              <w:rPr>
                <w:lang w:eastAsia="en-AU"/>
              </w:rPr>
            </w:pPr>
            <w:r w:rsidRPr="005B0796">
              <w:rPr>
                <w:lang w:eastAsia="en-AU"/>
              </w:rPr>
              <w:t>Transition status</w:t>
            </w:r>
          </w:p>
        </w:tc>
      </w:tr>
      <w:tr w:rsidR="00EA5FE6" w:rsidRPr="005B0796" w:rsidTr="00EA5FE6">
        <w:trPr>
          <w:cnfStyle w:val="100000000000" w:firstRow="1" w:lastRow="0" w:firstColumn="0" w:lastColumn="0" w:oddVBand="0" w:evenVBand="0" w:oddHBand="0" w:evenHBand="0" w:firstRowFirstColumn="0" w:firstRowLastColumn="0" w:lastRowFirstColumn="0" w:lastRowLastColumn="0"/>
          <w:tblHeader/>
        </w:trPr>
        <w:tc>
          <w:tcPr>
            <w:tcW w:w="1008" w:type="dxa"/>
            <w:vMerge/>
            <w:hideMark/>
          </w:tcPr>
          <w:p w:rsidR="00EA5FE6" w:rsidRPr="005B0796" w:rsidRDefault="00EA5FE6" w:rsidP="00263825">
            <w:pPr>
              <w:pStyle w:val="TableText"/>
              <w:rPr>
                <w:lang w:eastAsia="en-AU"/>
              </w:rPr>
            </w:pPr>
          </w:p>
        </w:tc>
        <w:tc>
          <w:tcPr>
            <w:tcW w:w="2102" w:type="dxa"/>
            <w:gridSpan w:val="3"/>
            <w:noWrap/>
            <w:hideMark/>
          </w:tcPr>
          <w:p w:rsidR="00EA5FE6" w:rsidRPr="005B0796" w:rsidRDefault="00EA5FE6" w:rsidP="00263825">
            <w:pPr>
              <w:pStyle w:val="TableText"/>
              <w:jc w:val="center"/>
              <w:rPr>
                <w:lang w:eastAsia="en-AU"/>
              </w:rPr>
            </w:pPr>
            <w:r w:rsidRPr="005B0796">
              <w:rPr>
                <w:lang w:eastAsia="en-AU"/>
              </w:rPr>
              <w:t>Ex-Serving (n = 11,440)</w:t>
            </w:r>
          </w:p>
        </w:tc>
        <w:tc>
          <w:tcPr>
            <w:tcW w:w="2102" w:type="dxa"/>
            <w:gridSpan w:val="3"/>
            <w:hideMark/>
          </w:tcPr>
          <w:p w:rsidR="00EA5FE6" w:rsidRPr="005B0796" w:rsidRDefault="00EA5FE6" w:rsidP="00263825">
            <w:pPr>
              <w:pStyle w:val="TableText"/>
              <w:jc w:val="center"/>
              <w:rPr>
                <w:lang w:eastAsia="en-AU"/>
              </w:rPr>
            </w:pPr>
            <w:r w:rsidRPr="005B0796">
              <w:rPr>
                <w:lang w:eastAsia="en-AU"/>
              </w:rPr>
              <w:t>Inactive Reservist (n = 6447)</w:t>
            </w:r>
          </w:p>
        </w:tc>
        <w:tc>
          <w:tcPr>
            <w:tcW w:w="2103" w:type="dxa"/>
            <w:gridSpan w:val="3"/>
            <w:hideMark/>
          </w:tcPr>
          <w:p w:rsidR="00EA5FE6" w:rsidRPr="005B0796" w:rsidRDefault="00EA5FE6" w:rsidP="00263825">
            <w:pPr>
              <w:pStyle w:val="TableText"/>
              <w:jc w:val="center"/>
              <w:rPr>
                <w:lang w:eastAsia="en-AU"/>
              </w:rPr>
            </w:pPr>
            <w:r w:rsidRPr="005B0796">
              <w:rPr>
                <w:lang w:eastAsia="en-AU"/>
              </w:rPr>
              <w:t>Active Reservist (n = 6968)</w:t>
            </w:r>
          </w:p>
        </w:tc>
      </w:tr>
      <w:tr w:rsidR="00EA5FE6" w:rsidRPr="005B0796" w:rsidTr="00EA5FE6">
        <w:trPr>
          <w:cnfStyle w:val="100000000000" w:firstRow="1" w:lastRow="0" w:firstColumn="0" w:lastColumn="0" w:oddVBand="0" w:evenVBand="0" w:oddHBand="0" w:evenHBand="0" w:firstRowFirstColumn="0" w:firstRowLastColumn="0" w:lastRowFirstColumn="0" w:lastRowLastColumn="0"/>
          <w:tblHeader/>
        </w:trPr>
        <w:tc>
          <w:tcPr>
            <w:tcW w:w="1008" w:type="dxa"/>
            <w:vMerge/>
            <w:noWrap/>
            <w:hideMark/>
          </w:tcPr>
          <w:p w:rsidR="00EA5FE6" w:rsidRPr="005B0796" w:rsidRDefault="00EA5FE6" w:rsidP="00263825">
            <w:pPr>
              <w:pStyle w:val="TableText"/>
              <w:rPr>
                <w:lang w:eastAsia="en-AU"/>
              </w:rPr>
            </w:pPr>
          </w:p>
        </w:tc>
        <w:tc>
          <w:tcPr>
            <w:tcW w:w="810" w:type="dxa"/>
            <w:noWrap/>
            <w:hideMark/>
          </w:tcPr>
          <w:p w:rsidR="00EA5FE6" w:rsidRPr="005B0796" w:rsidRDefault="00EA5FE6" w:rsidP="00263825">
            <w:pPr>
              <w:pStyle w:val="TableText"/>
              <w:jc w:val="right"/>
              <w:rPr>
                <w:lang w:eastAsia="en-AU"/>
              </w:rPr>
            </w:pPr>
            <w:r w:rsidRPr="005B0796">
              <w:rPr>
                <w:lang w:eastAsia="en-AU"/>
              </w:rPr>
              <w:t>Weighted n</w:t>
            </w:r>
          </w:p>
        </w:tc>
        <w:tc>
          <w:tcPr>
            <w:tcW w:w="540" w:type="dxa"/>
            <w:hideMark/>
          </w:tcPr>
          <w:p w:rsidR="00EA5FE6" w:rsidRPr="005B0796" w:rsidRDefault="00EA5FE6" w:rsidP="00263825">
            <w:pPr>
              <w:pStyle w:val="TableText"/>
              <w:jc w:val="right"/>
              <w:rPr>
                <w:lang w:eastAsia="en-AU"/>
              </w:rPr>
            </w:pPr>
            <w:r w:rsidRPr="005B0796">
              <w:rPr>
                <w:lang w:eastAsia="en-AU"/>
              </w:rPr>
              <w:t>%</w:t>
            </w:r>
          </w:p>
        </w:tc>
        <w:tc>
          <w:tcPr>
            <w:tcW w:w="752" w:type="dxa"/>
            <w:hideMark/>
          </w:tcPr>
          <w:p w:rsidR="00EA5FE6" w:rsidRPr="005B0796" w:rsidRDefault="00EA5FE6" w:rsidP="00263825">
            <w:pPr>
              <w:pStyle w:val="TableText"/>
              <w:jc w:val="right"/>
              <w:rPr>
                <w:lang w:eastAsia="en-AU"/>
              </w:rPr>
            </w:pPr>
            <w:r w:rsidRPr="005B0796">
              <w:rPr>
                <w:lang w:eastAsia="en-AU"/>
              </w:rPr>
              <w:t>95% CI</w:t>
            </w:r>
          </w:p>
        </w:tc>
        <w:tc>
          <w:tcPr>
            <w:tcW w:w="778" w:type="dxa"/>
            <w:noWrap/>
            <w:hideMark/>
          </w:tcPr>
          <w:p w:rsidR="00EA5FE6" w:rsidRPr="005B0796" w:rsidRDefault="00EA5FE6" w:rsidP="00263825">
            <w:pPr>
              <w:pStyle w:val="TableText"/>
              <w:jc w:val="right"/>
              <w:rPr>
                <w:lang w:eastAsia="en-AU"/>
              </w:rPr>
            </w:pPr>
            <w:r w:rsidRPr="005B0796">
              <w:rPr>
                <w:lang w:eastAsia="en-AU"/>
              </w:rPr>
              <w:t>Weighted n</w:t>
            </w:r>
          </w:p>
        </w:tc>
        <w:tc>
          <w:tcPr>
            <w:tcW w:w="540" w:type="dxa"/>
            <w:hideMark/>
          </w:tcPr>
          <w:p w:rsidR="00EA5FE6" w:rsidRPr="005B0796" w:rsidRDefault="00EA5FE6" w:rsidP="00263825">
            <w:pPr>
              <w:pStyle w:val="TableText"/>
              <w:jc w:val="right"/>
              <w:rPr>
                <w:lang w:eastAsia="en-AU"/>
              </w:rPr>
            </w:pPr>
            <w:r w:rsidRPr="005B0796">
              <w:rPr>
                <w:lang w:eastAsia="en-AU"/>
              </w:rPr>
              <w:t>%</w:t>
            </w:r>
          </w:p>
        </w:tc>
        <w:tc>
          <w:tcPr>
            <w:tcW w:w="784" w:type="dxa"/>
            <w:hideMark/>
          </w:tcPr>
          <w:p w:rsidR="00EA5FE6" w:rsidRPr="005B0796" w:rsidRDefault="00EA5FE6" w:rsidP="00263825">
            <w:pPr>
              <w:pStyle w:val="TableText"/>
              <w:jc w:val="right"/>
              <w:rPr>
                <w:lang w:eastAsia="en-AU"/>
              </w:rPr>
            </w:pPr>
            <w:r w:rsidRPr="005B0796">
              <w:rPr>
                <w:lang w:eastAsia="en-AU"/>
              </w:rPr>
              <w:t>95% CI</w:t>
            </w:r>
          </w:p>
        </w:tc>
        <w:tc>
          <w:tcPr>
            <w:tcW w:w="746" w:type="dxa"/>
            <w:hideMark/>
          </w:tcPr>
          <w:p w:rsidR="00EA5FE6" w:rsidRPr="005B0796" w:rsidRDefault="00EA5FE6" w:rsidP="00263825">
            <w:pPr>
              <w:pStyle w:val="TableText"/>
              <w:jc w:val="right"/>
              <w:rPr>
                <w:lang w:eastAsia="en-AU"/>
              </w:rPr>
            </w:pPr>
            <w:r w:rsidRPr="005B0796">
              <w:rPr>
                <w:lang w:eastAsia="en-AU"/>
              </w:rPr>
              <w:t>Weighted n</w:t>
            </w:r>
          </w:p>
        </w:tc>
        <w:tc>
          <w:tcPr>
            <w:tcW w:w="540" w:type="dxa"/>
            <w:hideMark/>
          </w:tcPr>
          <w:p w:rsidR="00EA5FE6" w:rsidRPr="005B0796" w:rsidRDefault="00EA5FE6" w:rsidP="00263825">
            <w:pPr>
              <w:pStyle w:val="TableText"/>
              <w:jc w:val="right"/>
              <w:rPr>
                <w:lang w:eastAsia="en-AU"/>
              </w:rPr>
            </w:pPr>
            <w:r w:rsidRPr="005B0796">
              <w:rPr>
                <w:lang w:eastAsia="en-AU"/>
              </w:rPr>
              <w:t>%</w:t>
            </w:r>
          </w:p>
        </w:tc>
        <w:tc>
          <w:tcPr>
            <w:tcW w:w="817" w:type="dxa"/>
            <w:hideMark/>
          </w:tcPr>
          <w:p w:rsidR="00EA5FE6" w:rsidRPr="005B0796" w:rsidRDefault="00EA5FE6" w:rsidP="00263825">
            <w:pPr>
              <w:pStyle w:val="TableText"/>
              <w:jc w:val="right"/>
              <w:rPr>
                <w:lang w:eastAsia="en-AU"/>
              </w:rPr>
            </w:pPr>
            <w:r w:rsidRPr="005B0796">
              <w:rPr>
                <w:lang w:eastAsia="en-AU"/>
              </w:rPr>
              <w:t>95% CI</w:t>
            </w:r>
          </w:p>
        </w:tc>
      </w:tr>
      <w:tr w:rsidR="00E70BD6" w:rsidRPr="005B0796" w:rsidTr="00EA5FE6">
        <w:trPr>
          <w:cnfStyle w:val="000000100000" w:firstRow="0" w:lastRow="0" w:firstColumn="0" w:lastColumn="0" w:oddVBand="0" w:evenVBand="0" w:oddHBand="1" w:evenHBand="0" w:firstRowFirstColumn="0" w:firstRowLastColumn="0" w:lastRowFirstColumn="0" w:lastRowLastColumn="0"/>
        </w:trPr>
        <w:tc>
          <w:tcPr>
            <w:tcW w:w="1008" w:type="dxa"/>
            <w:noWrap/>
            <w:hideMark/>
          </w:tcPr>
          <w:p w:rsidR="00E70BD6" w:rsidRPr="005B0796" w:rsidRDefault="00E70BD6" w:rsidP="00263825">
            <w:pPr>
              <w:pStyle w:val="TableText"/>
              <w:rPr>
                <w:lang w:eastAsia="en-AU"/>
              </w:rPr>
            </w:pPr>
            <w:r w:rsidRPr="005B0796">
              <w:rPr>
                <w:lang w:eastAsia="en-AU"/>
              </w:rPr>
              <w:t>Alcohol harmful use</w:t>
            </w:r>
          </w:p>
        </w:tc>
        <w:tc>
          <w:tcPr>
            <w:tcW w:w="810" w:type="dxa"/>
            <w:noWrap/>
            <w:hideMark/>
          </w:tcPr>
          <w:p w:rsidR="00E70BD6" w:rsidRPr="005B0796" w:rsidRDefault="00E70BD6" w:rsidP="00263825">
            <w:pPr>
              <w:pStyle w:val="TableText"/>
              <w:jc w:val="right"/>
              <w:rPr>
                <w:lang w:eastAsia="en-AU"/>
              </w:rPr>
            </w:pPr>
            <w:r w:rsidRPr="005B0796">
              <w:rPr>
                <w:lang w:eastAsia="en-AU"/>
              </w:rPr>
              <w:t>446</w:t>
            </w:r>
          </w:p>
        </w:tc>
        <w:tc>
          <w:tcPr>
            <w:tcW w:w="540" w:type="dxa"/>
            <w:noWrap/>
            <w:hideMark/>
          </w:tcPr>
          <w:p w:rsidR="00E70BD6" w:rsidRPr="005B0796" w:rsidRDefault="00E70BD6" w:rsidP="00263825">
            <w:pPr>
              <w:pStyle w:val="TableText"/>
              <w:jc w:val="right"/>
              <w:rPr>
                <w:lang w:eastAsia="en-AU"/>
              </w:rPr>
            </w:pPr>
            <w:r w:rsidRPr="005B0796">
              <w:rPr>
                <w:lang w:eastAsia="en-AU"/>
              </w:rPr>
              <w:t>3.9</w:t>
            </w:r>
          </w:p>
        </w:tc>
        <w:tc>
          <w:tcPr>
            <w:tcW w:w="752" w:type="dxa"/>
            <w:noWrap/>
            <w:hideMark/>
          </w:tcPr>
          <w:p w:rsidR="00E70BD6" w:rsidRPr="005B0796" w:rsidRDefault="00E70BD6" w:rsidP="00263825">
            <w:pPr>
              <w:pStyle w:val="TableText"/>
              <w:jc w:val="right"/>
              <w:rPr>
                <w:lang w:eastAsia="en-AU"/>
              </w:rPr>
            </w:pPr>
            <w:r w:rsidRPr="005B0796">
              <w:rPr>
                <w:lang w:eastAsia="en-AU"/>
              </w:rPr>
              <w:t>1.9, 8.0</w:t>
            </w:r>
          </w:p>
        </w:tc>
        <w:tc>
          <w:tcPr>
            <w:tcW w:w="778" w:type="dxa"/>
            <w:noWrap/>
            <w:hideMark/>
          </w:tcPr>
          <w:p w:rsidR="00E70BD6" w:rsidRPr="005B0796" w:rsidRDefault="00E70BD6" w:rsidP="00263825">
            <w:pPr>
              <w:pStyle w:val="TableText"/>
              <w:jc w:val="right"/>
              <w:rPr>
                <w:lang w:eastAsia="en-AU"/>
              </w:rPr>
            </w:pPr>
            <w:r w:rsidRPr="005B0796">
              <w:rPr>
                <w:lang w:eastAsia="en-AU"/>
              </w:rPr>
              <w:t>309</w:t>
            </w:r>
          </w:p>
        </w:tc>
        <w:tc>
          <w:tcPr>
            <w:tcW w:w="540" w:type="dxa"/>
            <w:noWrap/>
            <w:hideMark/>
          </w:tcPr>
          <w:p w:rsidR="00E70BD6" w:rsidRPr="005B0796" w:rsidRDefault="00E70BD6" w:rsidP="00263825">
            <w:pPr>
              <w:pStyle w:val="TableText"/>
              <w:jc w:val="right"/>
              <w:rPr>
                <w:lang w:eastAsia="en-AU"/>
              </w:rPr>
            </w:pPr>
            <w:r w:rsidRPr="005B0796">
              <w:rPr>
                <w:lang w:eastAsia="en-AU"/>
              </w:rPr>
              <w:t>4.8</w:t>
            </w:r>
          </w:p>
        </w:tc>
        <w:tc>
          <w:tcPr>
            <w:tcW w:w="784" w:type="dxa"/>
            <w:noWrap/>
            <w:hideMark/>
          </w:tcPr>
          <w:p w:rsidR="00E70BD6" w:rsidRPr="005B0796" w:rsidRDefault="00E70BD6" w:rsidP="00263825">
            <w:pPr>
              <w:pStyle w:val="TableText"/>
              <w:jc w:val="right"/>
              <w:rPr>
                <w:lang w:eastAsia="en-AU"/>
              </w:rPr>
            </w:pPr>
            <w:r w:rsidRPr="005B0796">
              <w:rPr>
                <w:lang w:eastAsia="en-AU"/>
              </w:rPr>
              <w:t>2.1, 10.9</w:t>
            </w:r>
          </w:p>
        </w:tc>
        <w:tc>
          <w:tcPr>
            <w:tcW w:w="746" w:type="dxa"/>
            <w:noWrap/>
            <w:hideMark/>
          </w:tcPr>
          <w:p w:rsidR="00E70BD6" w:rsidRPr="005B0796" w:rsidRDefault="00E70BD6" w:rsidP="00263825">
            <w:pPr>
              <w:pStyle w:val="TableText"/>
              <w:jc w:val="right"/>
              <w:rPr>
                <w:lang w:eastAsia="en-AU"/>
              </w:rPr>
            </w:pPr>
            <w:r w:rsidRPr="005B0796">
              <w:rPr>
                <w:lang w:eastAsia="en-AU"/>
              </w:rPr>
              <w:t>174</w:t>
            </w:r>
          </w:p>
        </w:tc>
        <w:tc>
          <w:tcPr>
            <w:tcW w:w="540" w:type="dxa"/>
            <w:noWrap/>
            <w:hideMark/>
          </w:tcPr>
          <w:p w:rsidR="00E70BD6" w:rsidRPr="005B0796" w:rsidRDefault="00E70BD6" w:rsidP="00263825">
            <w:pPr>
              <w:pStyle w:val="TableText"/>
              <w:jc w:val="right"/>
              <w:rPr>
                <w:lang w:eastAsia="en-AU"/>
              </w:rPr>
            </w:pPr>
            <w:r w:rsidRPr="005B0796">
              <w:rPr>
                <w:lang w:eastAsia="en-AU"/>
              </w:rPr>
              <w:t>2.5</w:t>
            </w:r>
          </w:p>
        </w:tc>
        <w:tc>
          <w:tcPr>
            <w:tcW w:w="817" w:type="dxa"/>
            <w:noWrap/>
            <w:hideMark/>
          </w:tcPr>
          <w:p w:rsidR="00E70BD6" w:rsidRPr="005B0796" w:rsidRDefault="00E70BD6" w:rsidP="00263825">
            <w:pPr>
              <w:pStyle w:val="TableText"/>
              <w:jc w:val="right"/>
              <w:rPr>
                <w:lang w:eastAsia="en-AU"/>
              </w:rPr>
            </w:pPr>
            <w:r w:rsidRPr="005B0796">
              <w:rPr>
                <w:lang w:eastAsia="en-AU"/>
              </w:rPr>
              <w:t>0.7, 8.2</w:t>
            </w:r>
          </w:p>
        </w:tc>
      </w:tr>
      <w:tr w:rsidR="00E70BD6" w:rsidRPr="005B0796" w:rsidTr="00EA5FE6">
        <w:tc>
          <w:tcPr>
            <w:tcW w:w="1008" w:type="dxa"/>
            <w:noWrap/>
            <w:hideMark/>
          </w:tcPr>
          <w:p w:rsidR="00E70BD6" w:rsidRPr="005B0796" w:rsidRDefault="00E70BD6" w:rsidP="00263825">
            <w:pPr>
              <w:pStyle w:val="TableText"/>
              <w:rPr>
                <w:lang w:eastAsia="en-AU"/>
              </w:rPr>
            </w:pPr>
            <w:r w:rsidRPr="005B0796">
              <w:rPr>
                <w:lang w:eastAsia="en-AU"/>
              </w:rPr>
              <w:t>Alcohol dependence</w:t>
            </w:r>
            <w:r w:rsidRPr="005B0796">
              <w:rPr>
                <w:vertAlign w:val="superscript"/>
                <w:lang w:eastAsia="en-AU"/>
              </w:rPr>
              <w:t>a</w:t>
            </w:r>
          </w:p>
        </w:tc>
        <w:tc>
          <w:tcPr>
            <w:tcW w:w="810" w:type="dxa"/>
            <w:noWrap/>
            <w:hideMark/>
          </w:tcPr>
          <w:p w:rsidR="00E70BD6" w:rsidRPr="005B0796" w:rsidRDefault="00E70BD6" w:rsidP="00263825">
            <w:pPr>
              <w:pStyle w:val="TableText"/>
              <w:jc w:val="right"/>
              <w:rPr>
                <w:lang w:eastAsia="en-AU"/>
              </w:rPr>
            </w:pPr>
            <w:r w:rsidRPr="005B0796">
              <w:rPr>
                <w:lang w:eastAsia="en-AU"/>
              </w:rPr>
              <w:t>1693</w:t>
            </w:r>
          </w:p>
        </w:tc>
        <w:tc>
          <w:tcPr>
            <w:tcW w:w="540" w:type="dxa"/>
            <w:noWrap/>
            <w:hideMark/>
          </w:tcPr>
          <w:p w:rsidR="00E70BD6" w:rsidRPr="005B0796" w:rsidRDefault="00E70BD6" w:rsidP="00263825">
            <w:pPr>
              <w:pStyle w:val="TableText"/>
              <w:jc w:val="right"/>
              <w:rPr>
                <w:lang w:eastAsia="en-AU"/>
              </w:rPr>
            </w:pPr>
            <w:r w:rsidRPr="005B0796">
              <w:rPr>
                <w:lang w:eastAsia="en-AU"/>
              </w:rPr>
              <w:t>14.8</w:t>
            </w:r>
          </w:p>
        </w:tc>
        <w:tc>
          <w:tcPr>
            <w:tcW w:w="752" w:type="dxa"/>
            <w:noWrap/>
            <w:hideMark/>
          </w:tcPr>
          <w:p w:rsidR="00E70BD6" w:rsidRPr="005B0796" w:rsidRDefault="00E70BD6" w:rsidP="00263825">
            <w:pPr>
              <w:pStyle w:val="TableText"/>
              <w:jc w:val="right"/>
              <w:rPr>
                <w:lang w:eastAsia="en-AU"/>
              </w:rPr>
            </w:pPr>
            <w:r w:rsidRPr="005B0796">
              <w:rPr>
                <w:lang w:eastAsia="en-AU"/>
              </w:rPr>
              <w:t>9.8, 21.7</w:t>
            </w:r>
          </w:p>
        </w:tc>
        <w:tc>
          <w:tcPr>
            <w:tcW w:w="778" w:type="dxa"/>
            <w:noWrap/>
            <w:hideMark/>
          </w:tcPr>
          <w:p w:rsidR="00E70BD6" w:rsidRPr="005B0796" w:rsidRDefault="00E70BD6" w:rsidP="00263825">
            <w:pPr>
              <w:pStyle w:val="TableText"/>
              <w:jc w:val="right"/>
              <w:rPr>
                <w:lang w:eastAsia="en-AU"/>
              </w:rPr>
            </w:pPr>
            <w:r w:rsidRPr="005B0796">
              <w:rPr>
                <w:lang w:eastAsia="en-AU"/>
              </w:rPr>
              <w:t>251</w:t>
            </w:r>
          </w:p>
        </w:tc>
        <w:tc>
          <w:tcPr>
            <w:tcW w:w="540" w:type="dxa"/>
            <w:noWrap/>
            <w:hideMark/>
          </w:tcPr>
          <w:p w:rsidR="00E70BD6" w:rsidRPr="005B0796" w:rsidRDefault="00E70BD6" w:rsidP="00263825">
            <w:pPr>
              <w:pStyle w:val="TableText"/>
              <w:jc w:val="right"/>
              <w:rPr>
                <w:lang w:eastAsia="en-AU"/>
              </w:rPr>
            </w:pPr>
            <w:r w:rsidRPr="005B0796">
              <w:rPr>
                <w:lang w:eastAsia="en-AU"/>
              </w:rPr>
              <w:t>3.9</w:t>
            </w:r>
          </w:p>
        </w:tc>
        <w:tc>
          <w:tcPr>
            <w:tcW w:w="784" w:type="dxa"/>
            <w:noWrap/>
            <w:hideMark/>
          </w:tcPr>
          <w:p w:rsidR="00E70BD6" w:rsidRPr="005B0796" w:rsidRDefault="00E70BD6" w:rsidP="00263825">
            <w:pPr>
              <w:pStyle w:val="TableText"/>
              <w:jc w:val="right"/>
              <w:rPr>
                <w:lang w:eastAsia="en-AU"/>
              </w:rPr>
            </w:pPr>
            <w:r w:rsidRPr="005B0796">
              <w:rPr>
                <w:lang w:eastAsia="en-AU"/>
              </w:rPr>
              <w:t>1.6, 9.1</w:t>
            </w:r>
          </w:p>
        </w:tc>
        <w:tc>
          <w:tcPr>
            <w:tcW w:w="746" w:type="dxa"/>
            <w:noWrap/>
            <w:hideMark/>
          </w:tcPr>
          <w:p w:rsidR="00E70BD6" w:rsidRPr="005B0796" w:rsidRDefault="00E70BD6" w:rsidP="00263825">
            <w:pPr>
              <w:pStyle w:val="TableText"/>
              <w:jc w:val="right"/>
              <w:rPr>
                <w:lang w:eastAsia="en-AU"/>
              </w:rPr>
            </w:pPr>
            <w:r w:rsidRPr="005B0796">
              <w:rPr>
                <w:lang w:eastAsia="en-AU"/>
              </w:rPr>
              <w:t>334</w:t>
            </w:r>
          </w:p>
        </w:tc>
        <w:tc>
          <w:tcPr>
            <w:tcW w:w="540" w:type="dxa"/>
            <w:noWrap/>
            <w:hideMark/>
          </w:tcPr>
          <w:p w:rsidR="00E70BD6" w:rsidRPr="005B0796" w:rsidRDefault="00E70BD6" w:rsidP="00263825">
            <w:pPr>
              <w:pStyle w:val="TableText"/>
              <w:jc w:val="right"/>
              <w:rPr>
                <w:lang w:eastAsia="en-AU"/>
              </w:rPr>
            </w:pPr>
            <w:r w:rsidRPr="005B0796">
              <w:rPr>
                <w:lang w:eastAsia="en-AU"/>
              </w:rPr>
              <w:t>4.8</w:t>
            </w:r>
          </w:p>
        </w:tc>
        <w:tc>
          <w:tcPr>
            <w:tcW w:w="817" w:type="dxa"/>
            <w:noWrap/>
            <w:hideMark/>
          </w:tcPr>
          <w:p w:rsidR="00E70BD6" w:rsidRPr="005B0796" w:rsidRDefault="00E70BD6" w:rsidP="00263825">
            <w:pPr>
              <w:pStyle w:val="TableText"/>
              <w:jc w:val="right"/>
              <w:rPr>
                <w:lang w:eastAsia="en-AU"/>
              </w:rPr>
            </w:pPr>
            <w:r w:rsidRPr="005B0796">
              <w:rPr>
                <w:lang w:eastAsia="en-AU"/>
              </w:rPr>
              <w:t>1.8, 12.4</w:t>
            </w:r>
          </w:p>
        </w:tc>
      </w:tr>
      <w:tr w:rsidR="00E70BD6" w:rsidRPr="005B0796" w:rsidTr="00EA5FE6">
        <w:trPr>
          <w:cnfStyle w:val="000000100000" w:firstRow="0" w:lastRow="0" w:firstColumn="0" w:lastColumn="0" w:oddVBand="0" w:evenVBand="0" w:oddHBand="1" w:evenHBand="0" w:firstRowFirstColumn="0" w:firstRowLastColumn="0" w:lastRowFirstColumn="0" w:lastRowLastColumn="0"/>
        </w:trPr>
        <w:tc>
          <w:tcPr>
            <w:tcW w:w="1008" w:type="dxa"/>
            <w:hideMark/>
          </w:tcPr>
          <w:p w:rsidR="00E70BD6" w:rsidRPr="005B0796" w:rsidRDefault="00E70BD6" w:rsidP="00263825">
            <w:pPr>
              <w:pStyle w:val="TableText"/>
              <w:rPr>
                <w:lang w:eastAsia="en-AU"/>
              </w:rPr>
            </w:pPr>
            <w:r w:rsidRPr="005B0796">
              <w:rPr>
                <w:lang w:eastAsia="en-AU"/>
              </w:rPr>
              <w:t>Any alcohol disorder</w:t>
            </w:r>
            <w:r w:rsidRPr="005B0796">
              <w:rPr>
                <w:vertAlign w:val="superscript"/>
                <w:lang w:eastAsia="en-AU"/>
              </w:rPr>
              <w:t>b</w:t>
            </w:r>
          </w:p>
        </w:tc>
        <w:tc>
          <w:tcPr>
            <w:tcW w:w="810" w:type="dxa"/>
            <w:noWrap/>
            <w:hideMark/>
          </w:tcPr>
          <w:p w:rsidR="00E70BD6" w:rsidRPr="005B0796" w:rsidRDefault="00E70BD6" w:rsidP="00263825">
            <w:pPr>
              <w:pStyle w:val="TableText"/>
              <w:jc w:val="right"/>
              <w:rPr>
                <w:lang w:eastAsia="en-AU"/>
              </w:rPr>
            </w:pPr>
            <w:r w:rsidRPr="005B0796">
              <w:rPr>
                <w:lang w:eastAsia="en-AU"/>
              </w:rPr>
              <w:t>2139</w:t>
            </w:r>
          </w:p>
        </w:tc>
        <w:tc>
          <w:tcPr>
            <w:tcW w:w="540" w:type="dxa"/>
            <w:noWrap/>
            <w:hideMark/>
          </w:tcPr>
          <w:p w:rsidR="00E70BD6" w:rsidRPr="005B0796" w:rsidRDefault="00E70BD6" w:rsidP="00263825">
            <w:pPr>
              <w:pStyle w:val="TableText"/>
              <w:jc w:val="right"/>
              <w:rPr>
                <w:lang w:eastAsia="en-AU"/>
              </w:rPr>
            </w:pPr>
            <w:r w:rsidRPr="005B0796">
              <w:rPr>
                <w:lang w:eastAsia="en-AU"/>
              </w:rPr>
              <w:t>18.7</w:t>
            </w:r>
          </w:p>
        </w:tc>
        <w:tc>
          <w:tcPr>
            <w:tcW w:w="752" w:type="dxa"/>
            <w:noWrap/>
            <w:hideMark/>
          </w:tcPr>
          <w:p w:rsidR="00E70BD6" w:rsidRPr="005B0796" w:rsidRDefault="00E70BD6" w:rsidP="00263825">
            <w:pPr>
              <w:pStyle w:val="TableText"/>
              <w:jc w:val="right"/>
              <w:rPr>
                <w:lang w:eastAsia="en-AU"/>
              </w:rPr>
            </w:pPr>
            <w:r w:rsidRPr="005B0796">
              <w:rPr>
                <w:lang w:eastAsia="en-AU"/>
              </w:rPr>
              <w:t>13.2, 25.9</w:t>
            </w:r>
          </w:p>
        </w:tc>
        <w:tc>
          <w:tcPr>
            <w:tcW w:w="778" w:type="dxa"/>
            <w:noWrap/>
            <w:hideMark/>
          </w:tcPr>
          <w:p w:rsidR="00E70BD6" w:rsidRPr="005B0796" w:rsidRDefault="00E70BD6" w:rsidP="00263825">
            <w:pPr>
              <w:pStyle w:val="TableText"/>
              <w:jc w:val="right"/>
              <w:rPr>
                <w:lang w:eastAsia="en-AU"/>
              </w:rPr>
            </w:pPr>
            <w:r w:rsidRPr="005B0796">
              <w:rPr>
                <w:lang w:eastAsia="en-AU"/>
              </w:rPr>
              <w:t>561</w:t>
            </w:r>
          </w:p>
        </w:tc>
        <w:tc>
          <w:tcPr>
            <w:tcW w:w="540" w:type="dxa"/>
            <w:noWrap/>
            <w:hideMark/>
          </w:tcPr>
          <w:p w:rsidR="00E70BD6" w:rsidRPr="005B0796" w:rsidRDefault="00E70BD6" w:rsidP="00263825">
            <w:pPr>
              <w:pStyle w:val="TableText"/>
              <w:jc w:val="right"/>
              <w:rPr>
                <w:lang w:eastAsia="en-AU"/>
              </w:rPr>
            </w:pPr>
            <w:r w:rsidRPr="005B0796">
              <w:rPr>
                <w:lang w:eastAsia="en-AU"/>
              </w:rPr>
              <w:t>8.7</w:t>
            </w:r>
          </w:p>
        </w:tc>
        <w:tc>
          <w:tcPr>
            <w:tcW w:w="784" w:type="dxa"/>
            <w:noWrap/>
            <w:hideMark/>
          </w:tcPr>
          <w:p w:rsidR="00E70BD6" w:rsidRPr="005B0796" w:rsidRDefault="00E70BD6" w:rsidP="00263825">
            <w:pPr>
              <w:pStyle w:val="TableText"/>
              <w:jc w:val="right"/>
              <w:rPr>
                <w:lang w:eastAsia="en-AU"/>
              </w:rPr>
            </w:pPr>
            <w:r w:rsidRPr="005B0796">
              <w:rPr>
                <w:lang w:eastAsia="en-AU"/>
              </w:rPr>
              <w:t>4.8, 15.4</w:t>
            </w:r>
          </w:p>
        </w:tc>
        <w:tc>
          <w:tcPr>
            <w:tcW w:w="746" w:type="dxa"/>
            <w:noWrap/>
            <w:hideMark/>
          </w:tcPr>
          <w:p w:rsidR="00E70BD6" w:rsidRPr="005B0796" w:rsidRDefault="00E70BD6" w:rsidP="00263825">
            <w:pPr>
              <w:pStyle w:val="TableText"/>
              <w:jc w:val="right"/>
              <w:rPr>
                <w:lang w:eastAsia="en-AU"/>
              </w:rPr>
            </w:pPr>
            <w:r w:rsidRPr="005B0796">
              <w:rPr>
                <w:lang w:eastAsia="en-AU"/>
              </w:rPr>
              <w:t>509</w:t>
            </w:r>
          </w:p>
        </w:tc>
        <w:tc>
          <w:tcPr>
            <w:tcW w:w="540" w:type="dxa"/>
            <w:noWrap/>
            <w:hideMark/>
          </w:tcPr>
          <w:p w:rsidR="00E70BD6" w:rsidRPr="005B0796" w:rsidRDefault="00E70BD6" w:rsidP="00263825">
            <w:pPr>
              <w:pStyle w:val="TableText"/>
              <w:jc w:val="right"/>
              <w:rPr>
                <w:lang w:eastAsia="en-AU"/>
              </w:rPr>
            </w:pPr>
            <w:r w:rsidRPr="005B0796">
              <w:rPr>
                <w:lang w:eastAsia="en-AU"/>
              </w:rPr>
              <w:t>7.3</w:t>
            </w:r>
          </w:p>
        </w:tc>
        <w:tc>
          <w:tcPr>
            <w:tcW w:w="817" w:type="dxa"/>
            <w:noWrap/>
            <w:hideMark/>
          </w:tcPr>
          <w:p w:rsidR="00E70BD6" w:rsidRPr="005B0796" w:rsidRDefault="00E70BD6" w:rsidP="00263825">
            <w:pPr>
              <w:pStyle w:val="TableText"/>
              <w:jc w:val="right"/>
              <w:rPr>
                <w:lang w:eastAsia="en-AU"/>
              </w:rPr>
            </w:pPr>
            <w:r w:rsidRPr="005B0796">
              <w:rPr>
                <w:lang w:eastAsia="en-AU"/>
              </w:rPr>
              <w:t>3.4, 15.0</w:t>
            </w:r>
          </w:p>
        </w:tc>
      </w:tr>
    </w:tbl>
    <w:p w:rsidR="003C56FB" w:rsidRPr="005B0796" w:rsidRDefault="003C56FB" w:rsidP="003C56FB">
      <w:pPr>
        <w:pStyle w:val="TableNotes"/>
      </w:pPr>
      <w:r w:rsidRPr="005B0796">
        <w:rPr>
          <w:vertAlign w:val="superscript"/>
        </w:rPr>
        <w:t xml:space="preserve">a </w:t>
      </w:r>
      <w:r w:rsidRPr="005B0796">
        <w:t xml:space="preserve">Ex-Serving vs Inactive: OR 3.9, 95% CI 1.4, 11.0 </w:t>
      </w:r>
    </w:p>
    <w:p w:rsidR="003C56FB" w:rsidRPr="005B0796" w:rsidRDefault="003C56FB" w:rsidP="003C56FB">
      <w:pPr>
        <w:pStyle w:val="TableNotes"/>
      </w:pPr>
      <w:r w:rsidRPr="005B0796">
        <w:rPr>
          <w:vertAlign w:val="superscript"/>
        </w:rPr>
        <w:t>b</w:t>
      </w:r>
      <w:r w:rsidRPr="005B0796">
        <w:t xml:space="preserve"> Ex-Serving vs Inactive: OR 2.1, 95% CI 1.0, 4.7 </w:t>
      </w:r>
    </w:p>
    <w:p w:rsidR="003C56FB" w:rsidRPr="005B0796" w:rsidRDefault="003C56FB" w:rsidP="003C56FB">
      <w:pPr>
        <w:pStyle w:val="TableNotes"/>
        <w:rPr>
          <w:rFonts w:cs="Calibri"/>
          <w:bCs/>
        </w:rPr>
      </w:pPr>
      <w:r w:rsidRPr="005B0796">
        <w:rPr>
          <w:rFonts w:cs="Calibri"/>
          <w:bCs/>
        </w:rPr>
        <w:t xml:space="preserve">Note: 95% CI: 95% </w:t>
      </w:r>
      <w:r w:rsidR="00564689" w:rsidRPr="005B0796">
        <w:rPr>
          <w:rFonts w:cs="Calibri"/>
          <w:bCs/>
        </w:rPr>
        <w:t>confidence interval</w:t>
      </w:r>
    </w:p>
    <w:p w:rsidR="003C56FB" w:rsidRPr="005B0796" w:rsidRDefault="003C56FB" w:rsidP="00700D82">
      <w:pPr>
        <w:pStyle w:val="FigureName"/>
      </w:pPr>
      <w:bookmarkStart w:id="617" w:name="_Ref484521463"/>
      <w:bookmarkStart w:id="618" w:name="_Toc482023836"/>
      <w:bookmarkStart w:id="619" w:name="_Toc487014371"/>
      <w:bookmarkStart w:id="620" w:name="_Toc51190054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23</w:t>
      </w:r>
      <w:r w:rsidR="00D30A3C">
        <w:rPr>
          <w:noProof/>
        </w:rPr>
        <w:fldChar w:fldCharType="end"/>
      </w:r>
      <w:bookmarkEnd w:id="617"/>
      <w:r w:rsidRPr="005B0796">
        <w:tab/>
        <w:t>Estimated prevalence of 12-month ICD-10 alcohol disorders in Transitioned ADF members, by alcohol disorder type and transition status (Ex-Serving, Inactive Reservist and Active Reservist)</w:t>
      </w:r>
      <w:bookmarkEnd w:id="618"/>
      <w:bookmarkEnd w:id="619"/>
      <w:bookmarkEnd w:id="620"/>
    </w:p>
    <w:tbl>
      <w:tblPr>
        <w:tblW w:w="5000" w:type="pct"/>
        <w:tblLayout w:type="fixed"/>
        <w:tblCellMar>
          <w:left w:w="115" w:type="dxa"/>
          <w:right w:w="115" w:type="dxa"/>
        </w:tblCellMar>
        <w:tblLook w:val="04A0" w:firstRow="1" w:lastRow="0" w:firstColumn="1" w:lastColumn="0" w:noHBand="0" w:noVBand="1"/>
      </w:tblPr>
      <w:tblGrid>
        <w:gridCol w:w="7329"/>
      </w:tblGrid>
      <w:tr w:rsidR="00E70BD6" w:rsidRPr="005B0796" w:rsidTr="00263825">
        <w:trPr>
          <w:cantSplit/>
        </w:trPr>
        <w:tc>
          <w:tcPr>
            <w:tcW w:w="7315" w:type="dxa"/>
          </w:tcPr>
          <w:p w:rsidR="00E70BD6" w:rsidRPr="005B0796" w:rsidRDefault="00E70BD6" w:rsidP="00263825">
            <w:pPr>
              <w:keepNext/>
            </w:pPr>
            <w:r w:rsidRPr="005B0796">
              <w:rPr>
                <w:noProof/>
                <w:lang w:eastAsia="en-AU"/>
              </w:rPr>
              <w:drawing>
                <wp:inline distT="0" distB="0" distL="0" distR="0" wp14:anchorId="41CDD07D" wp14:editId="0FC431C4">
                  <wp:extent cx="4572000" cy="2743200"/>
                  <wp:effectExtent l="0" t="0" r="0" b="0"/>
                  <wp:docPr id="49" name="Chart 49" descr="Figure 4.23 Estimated prevalence of 12-month ICD-10 alcohol disorders in Transitioned ADF members, by alcohol disorder type and transition status (Ex-Serving, Inactive Reservist and Active Reservis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rsidR="003C56FB" w:rsidRPr="005B0796" w:rsidRDefault="003C56FB" w:rsidP="003C56FB">
      <w:pPr>
        <w:pStyle w:val="TableNotes"/>
      </w:pPr>
      <w:r w:rsidRPr="005B0796">
        <w:t xml:space="preserve">Alcohol dependence: Ex-Serving vs Inactive Reservist: OR 3.9, 95% CI 1.4, 11.0 </w:t>
      </w:r>
    </w:p>
    <w:p w:rsidR="003C56FB" w:rsidRPr="005B0796" w:rsidRDefault="003C56FB" w:rsidP="003C56FB">
      <w:pPr>
        <w:pStyle w:val="TableNotes"/>
      </w:pPr>
      <w:r w:rsidRPr="005B0796">
        <w:t>Any alcohol disorder: Ex-Serving vs Inactive Reservist: OR 2.1, 95% CI 1.0, 4.7</w:t>
      </w:r>
    </w:p>
    <w:p w:rsidR="00E70BD6" w:rsidRPr="005B0796" w:rsidRDefault="00E70BD6" w:rsidP="00263825">
      <w:pPr>
        <w:pStyle w:val="Heading3"/>
      </w:pPr>
      <w:bookmarkStart w:id="621" w:name="_Toc482021351"/>
      <w:bookmarkStart w:id="622" w:name="_Toc482024442"/>
      <w:bookmarkStart w:id="623" w:name="_Toc487011203"/>
      <w:bookmarkStart w:id="624" w:name="_Toc494449721"/>
      <w:bookmarkStart w:id="625" w:name="_Toc511900303"/>
      <w:r w:rsidRPr="005B0796">
        <w:t>Demographic factors</w:t>
      </w:r>
      <w:bookmarkEnd w:id="621"/>
      <w:bookmarkEnd w:id="622"/>
      <w:bookmarkEnd w:id="623"/>
      <w:bookmarkEnd w:id="624"/>
      <w:bookmarkEnd w:id="625"/>
    </w:p>
    <w:p w:rsidR="00E70BD6" w:rsidRPr="005B0796" w:rsidRDefault="00E70BD6" w:rsidP="00263825">
      <w:pPr>
        <w:pStyle w:val="Heading4"/>
      </w:pPr>
      <w:r w:rsidRPr="005B0796">
        <w:t>Sex</w:t>
      </w:r>
    </w:p>
    <w:p w:rsidR="00E70BD6" w:rsidRPr="005B0796" w:rsidRDefault="009E72D3" w:rsidP="00F26E45">
      <w:pPr>
        <w:keepLines/>
      </w:pPr>
      <w:r w:rsidRPr="005B0796">
        <w:t>Table 4.29</w:t>
      </w:r>
      <w:r w:rsidR="00E70BD6" w:rsidRPr="005B0796">
        <w:t xml:space="preserve"> and </w:t>
      </w:r>
      <w:r w:rsidRPr="005B0796">
        <w:t>Figure 4.24</w:t>
      </w:r>
      <w:r w:rsidR="00E70BD6" w:rsidRPr="005B0796">
        <w:t xml:space="preserve"> present the estimated prevalence of ICD-10 alcohol harmful use and dependence in Transitioned ADF males and females. There was no significant difference in estimated rates of alcohol disorders between males and females overall. Interestingly, when examining individual disorder types, there was a trend towards higher estimated rates of 12-month ICD-10 alcohol harmful use among females (6.6%, 95% CI 2.2, 18.2) compared to males (3.4%, 95% CI 1.9, 5.1). The opposite pattern was seen for alcohol dependence, with higher estimated rates among males (9.8%, 95% CI 6.7, 13.9) compared to females (4.8%, 95% CI 1.8, 12.5). However, these differences were not statistically significant, as suggested by the wide confidence intervals.</w:t>
      </w:r>
    </w:p>
    <w:p w:rsidR="000C2A5F" w:rsidRPr="005B0796" w:rsidRDefault="000C2A5F" w:rsidP="00D86734">
      <w:pPr>
        <w:pStyle w:val="Heading4"/>
      </w:pPr>
      <w:bookmarkStart w:id="626" w:name="_Ref484519987"/>
      <w:bookmarkStart w:id="627" w:name="_Toc482023793"/>
      <w:bookmarkStart w:id="628" w:name="_Toc487014280"/>
      <w:bookmarkStart w:id="629" w:name="_Toc492995583"/>
      <w:r w:rsidRPr="005B0796">
        <w:t>Age</w:t>
      </w:r>
    </w:p>
    <w:p w:rsidR="000C2A5F" w:rsidRPr="005B0796" w:rsidRDefault="000C2A5F" w:rsidP="00F26E45">
      <w:r w:rsidRPr="005B0796">
        <w:t xml:space="preserve">Table 4.30 and Figure 4.25 show </w:t>
      </w:r>
      <w:r w:rsidR="0078635A">
        <w:t xml:space="preserve">the </w:t>
      </w:r>
      <w:r w:rsidRPr="005B0796">
        <w:t>estimated prevalence of 12-month alcohol disorders. When the estimated prevalence of ‘any 12-month ICD-10 alcohol disorder’ was examined across age groups, there was an apparent decline in prevalence with increasing age for alcohol dependence, although this relationship was not statistically significant. The prevalence of alcohol harmful use showed a steady increase until ages 38</w:t>
      </w:r>
      <w:r w:rsidR="0078635A">
        <w:t>–</w:t>
      </w:r>
      <w:r w:rsidRPr="005B0796">
        <w:t>47 where prevalence was at its maximum (7.2%, CI 3.1</w:t>
      </w:r>
      <w:r w:rsidR="0078635A">
        <w:t xml:space="preserve">, </w:t>
      </w:r>
      <w:r w:rsidRPr="005B0796">
        <w:t xml:space="preserve">15.7) after which it rapidly decreased to only 0.5% in the 58+ age group. The greatest estimated prevalence of any alcohol </w:t>
      </w:r>
      <w:r w:rsidRPr="005B0796">
        <w:rPr>
          <w:color w:val="000000" w:themeColor="text1"/>
        </w:rPr>
        <w:t>disorder was in those aged 28</w:t>
      </w:r>
      <w:r w:rsidR="0078635A">
        <w:rPr>
          <w:color w:val="000000" w:themeColor="text1"/>
        </w:rPr>
        <w:t>–</w:t>
      </w:r>
      <w:r w:rsidRPr="005B0796">
        <w:rPr>
          <w:color w:val="000000" w:themeColor="text1"/>
        </w:rPr>
        <w:t>37 (16.8%, CI 10.1, 26.5</w:t>
      </w:r>
      <w:r w:rsidRPr="005B0796">
        <w:rPr>
          <w:rFonts w:eastAsia="Times New Roman"/>
          <w:lang w:eastAsia="en-GB"/>
        </w:rPr>
        <w:t>).</w:t>
      </w:r>
      <w:r w:rsidRPr="005B0796">
        <w:t xml:space="preserve"> Overall, there was no significant relationship between age and alcohol disorder </w:t>
      </w:r>
    </w:p>
    <w:p w:rsidR="003C56FB" w:rsidRPr="005B0796" w:rsidRDefault="003C56FB" w:rsidP="003C56FB">
      <w:pPr>
        <w:pStyle w:val="TableName"/>
      </w:pPr>
      <w:bookmarkStart w:id="630" w:name="_Toc51190043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29</w:t>
      </w:r>
      <w:r w:rsidR="00D30A3C">
        <w:rPr>
          <w:noProof/>
        </w:rPr>
        <w:fldChar w:fldCharType="end"/>
      </w:r>
      <w:bookmarkEnd w:id="626"/>
      <w:r w:rsidRPr="005B0796">
        <w:tab/>
        <w:t>Estimated prevalence of 12-month ICD-10 alcohol disorders in Transitioned ADF members, by alcohol disorder type and sex</w:t>
      </w:r>
      <w:bookmarkEnd w:id="627"/>
      <w:bookmarkEnd w:id="628"/>
      <w:bookmarkEnd w:id="629"/>
      <w:bookmarkEnd w:id="630"/>
    </w:p>
    <w:tbl>
      <w:tblPr>
        <w:tblStyle w:val="TWRPTable"/>
        <w:tblW w:w="5000" w:type="pct"/>
        <w:tblLayout w:type="fixed"/>
        <w:tblLook w:val="04A0" w:firstRow="1" w:lastRow="0" w:firstColumn="1" w:lastColumn="0" w:noHBand="0" w:noVBand="1"/>
        <w:tblDescription w:val="Table 4.29 Estimated prevalence of 12-month ICD-10 alcohol disorders in Transitioned ADF members, by alcohol disorder type and sex"/>
      </w:tblPr>
      <w:tblGrid>
        <w:gridCol w:w="2050"/>
        <w:gridCol w:w="877"/>
        <w:gridCol w:w="878"/>
        <w:gridCol w:w="877"/>
        <w:gridCol w:w="878"/>
        <w:gridCol w:w="877"/>
        <w:gridCol w:w="878"/>
      </w:tblGrid>
      <w:tr w:rsidR="00E70BD6" w:rsidRPr="005B0796" w:rsidTr="00D86734">
        <w:trPr>
          <w:cnfStyle w:val="100000000000" w:firstRow="1" w:lastRow="0" w:firstColumn="0" w:lastColumn="0" w:oddVBand="0" w:evenVBand="0" w:oddHBand="0" w:evenHBand="0" w:firstRowFirstColumn="0" w:firstRowLastColumn="0" w:lastRowFirstColumn="0" w:lastRowLastColumn="0"/>
          <w:tblHeader/>
        </w:trPr>
        <w:tc>
          <w:tcPr>
            <w:tcW w:w="2050" w:type="dxa"/>
            <w:vMerge w:val="restart"/>
            <w:tcBorders>
              <w:top w:val="single" w:sz="4" w:space="0" w:color="000000"/>
              <w:bottom w:val="nil"/>
            </w:tcBorders>
            <w:noWrap/>
            <w:hideMark/>
          </w:tcPr>
          <w:p w:rsidR="00E70BD6" w:rsidRPr="005B0796" w:rsidRDefault="00E70BD6" w:rsidP="00D86734">
            <w:pPr>
              <w:pStyle w:val="TableText"/>
              <w:rPr>
                <w:lang w:eastAsia="en-AU"/>
              </w:rPr>
            </w:pPr>
          </w:p>
        </w:tc>
        <w:tc>
          <w:tcPr>
            <w:tcW w:w="5265" w:type="dxa"/>
            <w:gridSpan w:val="6"/>
            <w:noWrap/>
            <w:hideMark/>
          </w:tcPr>
          <w:p w:rsidR="00E70BD6" w:rsidRPr="005B0796" w:rsidRDefault="00E70BD6" w:rsidP="00D86734">
            <w:pPr>
              <w:pStyle w:val="TableText"/>
              <w:jc w:val="center"/>
              <w:rPr>
                <w:lang w:eastAsia="en-AU"/>
              </w:rPr>
            </w:pPr>
            <w:r w:rsidRPr="005B0796">
              <w:rPr>
                <w:lang w:eastAsia="en-AU"/>
              </w:rPr>
              <w:t>Sex</w:t>
            </w:r>
          </w:p>
        </w:tc>
      </w:tr>
      <w:tr w:rsidR="00E70BD6" w:rsidRPr="005B0796" w:rsidTr="00D86734">
        <w:trPr>
          <w:cnfStyle w:val="100000000000" w:firstRow="1" w:lastRow="0" w:firstColumn="0" w:lastColumn="0" w:oddVBand="0" w:evenVBand="0" w:oddHBand="0" w:evenHBand="0" w:firstRowFirstColumn="0" w:firstRowLastColumn="0" w:lastRowFirstColumn="0" w:lastRowLastColumn="0"/>
          <w:tblHeader/>
        </w:trPr>
        <w:tc>
          <w:tcPr>
            <w:tcW w:w="2050" w:type="dxa"/>
            <w:vMerge/>
            <w:tcBorders>
              <w:top w:val="nil"/>
              <w:bottom w:val="nil"/>
            </w:tcBorders>
            <w:hideMark/>
          </w:tcPr>
          <w:p w:rsidR="00E70BD6" w:rsidRPr="005B0796" w:rsidRDefault="00E70BD6" w:rsidP="00D86734">
            <w:pPr>
              <w:pStyle w:val="TableText"/>
              <w:rPr>
                <w:lang w:eastAsia="en-AU"/>
              </w:rPr>
            </w:pPr>
          </w:p>
        </w:tc>
        <w:tc>
          <w:tcPr>
            <w:tcW w:w="2632" w:type="dxa"/>
            <w:gridSpan w:val="3"/>
            <w:noWrap/>
            <w:hideMark/>
          </w:tcPr>
          <w:p w:rsidR="00E70BD6" w:rsidRPr="005B0796" w:rsidRDefault="00E70BD6" w:rsidP="00D86734">
            <w:pPr>
              <w:pStyle w:val="TableText"/>
              <w:jc w:val="center"/>
              <w:rPr>
                <w:lang w:eastAsia="en-AU"/>
              </w:rPr>
            </w:pPr>
            <w:r w:rsidRPr="005B0796">
              <w:rPr>
                <w:lang w:eastAsia="en-AU"/>
              </w:rPr>
              <w:t xml:space="preserve">Transitioned males </w:t>
            </w:r>
            <w:r w:rsidRPr="005B0796">
              <w:rPr>
                <w:lang w:eastAsia="en-AU"/>
              </w:rPr>
              <w:br/>
              <w:t>(n = 21,671)</w:t>
            </w:r>
          </w:p>
        </w:tc>
        <w:tc>
          <w:tcPr>
            <w:tcW w:w="2633" w:type="dxa"/>
            <w:gridSpan w:val="3"/>
            <w:noWrap/>
            <w:hideMark/>
          </w:tcPr>
          <w:p w:rsidR="00E70BD6" w:rsidRPr="005B0796" w:rsidRDefault="00E70BD6" w:rsidP="00D86734">
            <w:pPr>
              <w:pStyle w:val="TableText"/>
              <w:jc w:val="center"/>
              <w:rPr>
                <w:lang w:eastAsia="en-AU"/>
              </w:rPr>
            </w:pPr>
            <w:r w:rsidRPr="005B0796">
              <w:rPr>
                <w:lang w:eastAsia="en-AU"/>
              </w:rPr>
              <w:t xml:space="preserve">Transitioned females </w:t>
            </w:r>
            <w:r w:rsidRPr="005B0796">
              <w:rPr>
                <w:lang w:eastAsia="en-AU"/>
              </w:rPr>
              <w:br/>
              <w:t>(n = 3261)</w:t>
            </w:r>
          </w:p>
        </w:tc>
      </w:tr>
      <w:tr w:rsidR="00E70BD6" w:rsidRPr="005B0796" w:rsidTr="00D86734">
        <w:trPr>
          <w:cnfStyle w:val="100000000000" w:firstRow="1" w:lastRow="0" w:firstColumn="0" w:lastColumn="0" w:oddVBand="0" w:evenVBand="0" w:oddHBand="0" w:evenHBand="0" w:firstRowFirstColumn="0" w:firstRowLastColumn="0" w:lastRowFirstColumn="0" w:lastRowLastColumn="0"/>
          <w:tblHeader/>
        </w:trPr>
        <w:tc>
          <w:tcPr>
            <w:tcW w:w="2050" w:type="dxa"/>
            <w:tcBorders>
              <w:top w:val="nil"/>
            </w:tcBorders>
            <w:noWrap/>
            <w:hideMark/>
          </w:tcPr>
          <w:p w:rsidR="00E70BD6" w:rsidRPr="005B0796" w:rsidRDefault="00D86734" w:rsidP="00D86734">
            <w:pPr>
              <w:pStyle w:val="TableText"/>
              <w:rPr>
                <w:lang w:eastAsia="en-AU"/>
              </w:rPr>
            </w:pPr>
            <w:r w:rsidRPr="005B0796">
              <w:rPr>
                <w:lang w:eastAsia="en-AU"/>
              </w:rPr>
              <w:t xml:space="preserve">ICD-10 </w:t>
            </w:r>
            <w:r w:rsidR="00C37D89" w:rsidRPr="005B0796">
              <w:rPr>
                <w:lang w:eastAsia="en-AU"/>
              </w:rPr>
              <w:t>alcohol disorder</w:t>
            </w:r>
          </w:p>
        </w:tc>
        <w:tc>
          <w:tcPr>
            <w:tcW w:w="877" w:type="dxa"/>
            <w:noWrap/>
            <w:hideMark/>
          </w:tcPr>
          <w:p w:rsidR="00E70BD6" w:rsidRPr="005B0796" w:rsidRDefault="00E70BD6" w:rsidP="00D86734">
            <w:pPr>
              <w:pStyle w:val="TableText"/>
              <w:jc w:val="right"/>
              <w:rPr>
                <w:lang w:eastAsia="en-AU"/>
              </w:rPr>
            </w:pPr>
            <w:r w:rsidRPr="005B0796">
              <w:rPr>
                <w:lang w:eastAsia="en-AU"/>
              </w:rPr>
              <w:t>Weighted n</w:t>
            </w:r>
          </w:p>
        </w:tc>
        <w:tc>
          <w:tcPr>
            <w:tcW w:w="878" w:type="dxa"/>
            <w:hideMark/>
          </w:tcPr>
          <w:p w:rsidR="00E70BD6" w:rsidRPr="005B0796" w:rsidRDefault="00E70BD6" w:rsidP="00D86734">
            <w:pPr>
              <w:pStyle w:val="TableText"/>
              <w:jc w:val="right"/>
              <w:rPr>
                <w:lang w:eastAsia="en-AU"/>
              </w:rPr>
            </w:pPr>
            <w:r w:rsidRPr="005B0796">
              <w:rPr>
                <w:lang w:eastAsia="en-AU"/>
              </w:rPr>
              <w:t>%</w:t>
            </w:r>
          </w:p>
        </w:tc>
        <w:tc>
          <w:tcPr>
            <w:tcW w:w="877" w:type="dxa"/>
            <w:hideMark/>
          </w:tcPr>
          <w:p w:rsidR="00E70BD6" w:rsidRPr="005B0796" w:rsidRDefault="00E70BD6" w:rsidP="00D86734">
            <w:pPr>
              <w:pStyle w:val="TableText"/>
              <w:jc w:val="right"/>
              <w:rPr>
                <w:lang w:eastAsia="en-AU"/>
              </w:rPr>
            </w:pPr>
            <w:r w:rsidRPr="005B0796">
              <w:rPr>
                <w:lang w:eastAsia="en-AU"/>
              </w:rPr>
              <w:t>95% CI</w:t>
            </w:r>
          </w:p>
        </w:tc>
        <w:tc>
          <w:tcPr>
            <w:tcW w:w="878" w:type="dxa"/>
            <w:noWrap/>
            <w:hideMark/>
          </w:tcPr>
          <w:p w:rsidR="00E70BD6" w:rsidRPr="005B0796" w:rsidRDefault="00E70BD6" w:rsidP="00D86734">
            <w:pPr>
              <w:pStyle w:val="TableText"/>
              <w:jc w:val="right"/>
              <w:rPr>
                <w:lang w:eastAsia="en-AU"/>
              </w:rPr>
            </w:pPr>
            <w:r w:rsidRPr="005B0796">
              <w:rPr>
                <w:lang w:eastAsia="en-AU"/>
              </w:rPr>
              <w:t>Weighted n</w:t>
            </w:r>
          </w:p>
        </w:tc>
        <w:tc>
          <w:tcPr>
            <w:tcW w:w="877" w:type="dxa"/>
            <w:hideMark/>
          </w:tcPr>
          <w:p w:rsidR="00E70BD6" w:rsidRPr="005B0796" w:rsidRDefault="00E70BD6" w:rsidP="00D86734">
            <w:pPr>
              <w:pStyle w:val="TableText"/>
              <w:jc w:val="right"/>
              <w:rPr>
                <w:lang w:eastAsia="en-AU"/>
              </w:rPr>
            </w:pPr>
            <w:r w:rsidRPr="005B0796">
              <w:rPr>
                <w:lang w:eastAsia="en-AU"/>
              </w:rPr>
              <w:t>%</w:t>
            </w:r>
          </w:p>
        </w:tc>
        <w:tc>
          <w:tcPr>
            <w:tcW w:w="878" w:type="dxa"/>
            <w:hideMark/>
          </w:tcPr>
          <w:p w:rsidR="00E70BD6" w:rsidRPr="005B0796" w:rsidRDefault="00E70BD6" w:rsidP="00D86734">
            <w:pPr>
              <w:pStyle w:val="TableText"/>
              <w:jc w:val="right"/>
              <w:rPr>
                <w:lang w:eastAsia="en-AU"/>
              </w:rPr>
            </w:pPr>
            <w:r w:rsidRPr="005B0796">
              <w:rPr>
                <w:lang w:eastAsia="en-AU"/>
              </w:rPr>
              <w:t>95% CI</w:t>
            </w:r>
          </w:p>
        </w:tc>
      </w:tr>
      <w:tr w:rsidR="00E70BD6" w:rsidRPr="005B0796" w:rsidTr="00D86734">
        <w:trPr>
          <w:cnfStyle w:val="000000100000" w:firstRow="0" w:lastRow="0" w:firstColumn="0" w:lastColumn="0" w:oddVBand="0" w:evenVBand="0" w:oddHBand="1" w:evenHBand="0" w:firstRowFirstColumn="0" w:firstRowLastColumn="0" w:lastRowFirstColumn="0" w:lastRowLastColumn="0"/>
        </w:trPr>
        <w:tc>
          <w:tcPr>
            <w:tcW w:w="2050" w:type="dxa"/>
            <w:noWrap/>
            <w:hideMark/>
          </w:tcPr>
          <w:p w:rsidR="00E70BD6" w:rsidRPr="005B0796" w:rsidRDefault="00E70BD6" w:rsidP="00D86734">
            <w:pPr>
              <w:pStyle w:val="TableText"/>
              <w:rPr>
                <w:lang w:eastAsia="en-AU"/>
              </w:rPr>
            </w:pPr>
            <w:r w:rsidRPr="005B0796">
              <w:rPr>
                <w:lang w:eastAsia="en-AU"/>
              </w:rPr>
              <w:t>Alcohol harmful use</w:t>
            </w:r>
          </w:p>
        </w:tc>
        <w:tc>
          <w:tcPr>
            <w:tcW w:w="877" w:type="dxa"/>
            <w:noWrap/>
            <w:hideMark/>
          </w:tcPr>
          <w:p w:rsidR="00E70BD6" w:rsidRPr="005B0796" w:rsidRDefault="00E70BD6" w:rsidP="00D86734">
            <w:pPr>
              <w:pStyle w:val="TableText"/>
              <w:jc w:val="right"/>
              <w:rPr>
                <w:lang w:eastAsia="en-AU"/>
              </w:rPr>
            </w:pPr>
            <w:r w:rsidRPr="005B0796">
              <w:rPr>
                <w:lang w:eastAsia="en-AU"/>
              </w:rPr>
              <w:t>734</w:t>
            </w:r>
          </w:p>
        </w:tc>
        <w:tc>
          <w:tcPr>
            <w:tcW w:w="878" w:type="dxa"/>
            <w:noWrap/>
            <w:hideMark/>
          </w:tcPr>
          <w:p w:rsidR="00E70BD6" w:rsidRPr="005B0796" w:rsidRDefault="00E70BD6" w:rsidP="00D86734">
            <w:pPr>
              <w:pStyle w:val="TableText"/>
              <w:jc w:val="right"/>
              <w:rPr>
                <w:lang w:eastAsia="en-AU"/>
              </w:rPr>
            </w:pPr>
            <w:r w:rsidRPr="005B0796">
              <w:rPr>
                <w:lang w:eastAsia="en-AU"/>
              </w:rPr>
              <w:t>3.4</w:t>
            </w:r>
          </w:p>
        </w:tc>
        <w:tc>
          <w:tcPr>
            <w:tcW w:w="877" w:type="dxa"/>
            <w:noWrap/>
            <w:hideMark/>
          </w:tcPr>
          <w:p w:rsidR="00E70BD6" w:rsidRPr="005B0796" w:rsidRDefault="00E70BD6" w:rsidP="00D86734">
            <w:pPr>
              <w:pStyle w:val="TableText"/>
              <w:jc w:val="right"/>
              <w:rPr>
                <w:lang w:eastAsia="en-AU"/>
              </w:rPr>
            </w:pPr>
            <w:r w:rsidRPr="005B0796">
              <w:rPr>
                <w:lang w:eastAsia="en-AU"/>
              </w:rPr>
              <w:t>1.9, 5.1</w:t>
            </w:r>
          </w:p>
        </w:tc>
        <w:tc>
          <w:tcPr>
            <w:tcW w:w="878" w:type="dxa"/>
            <w:noWrap/>
            <w:hideMark/>
          </w:tcPr>
          <w:p w:rsidR="00E70BD6" w:rsidRPr="005B0796" w:rsidRDefault="00E70BD6" w:rsidP="00D86734">
            <w:pPr>
              <w:pStyle w:val="TableText"/>
              <w:jc w:val="right"/>
              <w:rPr>
                <w:lang w:eastAsia="en-AU"/>
              </w:rPr>
            </w:pPr>
            <w:r w:rsidRPr="005B0796">
              <w:rPr>
                <w:lang w:eastAsia="en-AU"/>
              </w:rPr>
              <w:t>214</w:t>
            </w:r>
          </w:p>
        </w:tc>
        <w:tc>
          <w:tcPr>
            <w:tcW w:w="877" w:type="dxa"/>
            <w:noWrap/>
            <w:hideMark/>
          </w:tcPr>
          <w:p w:rsidR="00E70BD6" w:rsidRPr="005B0796" w:rsidRDefault="00E70BD6" w:rsidP="00D86734">
            <w:pPr>
              <w:pStyle w:val="TableText"/>
              <w:jc w:val="right"/>
              <w:rPr>
                <w:lang w:eastAsia="en-AU"/>
              </w:rPr>
            </w:pPr>
            <w:r w:rsidRPr="005B0796">
              <w:rPr>
                <w:lang w:eastAsia="en-AU"/>
              </w:rPr>
              <w:t>6.6</w:t>
            </w:r>
          </w:p>
        </w:tc>
        <w:tc>
          <w:tcPr>
            <w:tcW w:w="878" w:type="dxa"/>
            <w:noWrap/>
            <w:hideMark/>
          </w:tcPr>
          <w:p w:rsidR="00E70BD6" w:rsidRPr="005B0796" w:rsidRDefault="00E70BD6" w:rsidP="00D86734">
            <w:pPr>
              <w:pStyle w:val="TableText"/>
              <w:jc w:val="right"/>
              <w:rPr>
                <w:lang w:eastAsia="en-AU"/>
              </w:rPr>
            </w:pPr>
            <w:r w:rsidRPr="005B0796">
              <w:rPr>
                <w:lang w:eastAsia="en-AU"/>
              </w:rPr>
              <w:t>2.2, 18.2</w:t>
            </w:r>
          </w:p>
        </w:tc>
      </w:tr>
      <w:tr w:rsidR="00E70BD6" w:rsidRPr="005B0796" w:rsidTr="00D86734">
        <w:tc>
          <w:tcPr>
            <w:tcW w:w="2050" w:type="dxa"/>
            <w:noWrap/>
            <w:hideMark/>
          </w:tcPr>
          <w:p w:rsidR="00E70BD6" w:rsidRPr="005B0796" w:rsidRDefault="00E70BD6" w:rsidP="00D86734">
            <w:pPr>
              <w:pStyle w:val="TableText"/>
              <w:rPr>
                <w:lang w:eastAsia="en-AU"/>
              </w:rPr>
            </w:pPr>
            <w:r w:rsidRPr="005B0796">
              <w:rPr>
                <w:lang w:eastAsia="en-AU"/>
              </w:rPr>
              <w:t>Alcohol dependence</w:t>
            </w:r>
          </w:p>
        </w:tc>
        <w:tc>
          <w:tcPr>
            <w:tcW w:w="877" w:type="dxa"/>
            <w:noWrap/>
            <w:hideMark/>
          </w:tcPr>
          <w:p w:rsidR="00E70BD6" w:rsidRPr="005B0796" w:rsidRDefault="00E70BD6" w:rsidP="00D86734">
            <w:pPr>
              <w:pStyle w:val="TableText"/>
              <w:jc w:val="right"/>
              <w:rPr>
                <w:lang w:eastAsia="en-AU"/>
              </w:rPr>
            </w:pPr>
            <w:r w:rsidRPr="005B0796">
              <w:rPr>
                <w:lang w:eastAsia="en-AU"/>
              </w:rPr>
              <w:t>2114</w:t>
            </w:r>
          </w:p>
        </w:tc>
        <w:tc>
          <w:tcPr>
            <w:tcW w:w="878" w:type="dxa"/>
            <w:noWrap/>
            <w:hideMark/>
          </w:tcPr>
          <w:p w:rsidR="00E70BD6" w:rsidRPr="005B0796" w:rsidRDefault="00E70BD6" w:rsidP="00D86734">
            <w:pPr>
              <w:pStyle w:val="TableText"/>
              <w:jc w:val="right"/>
              <w:rPr>
                <w:lang w:eastAsia="en-AU"/>
              </w:rPr>
            </w:pPr>
            <w:r w:rsidRPr="005B0796">
              <w:rPr>
                <w:lang w:eastAsia="en-AU"/>
              </w:rPr>
              <w:t>9.8</w:t>
            </w:r>
          </w:p>
        </w:tc>
        <w:tc>
          <w:tcPr>
            <w:tcW w:w="877" w:type="dxa"/>
            <w:noWrap/>
            <w:hideMark/>
          </w:tcPr>
          <w:p w:rsidR="00E70BD6" w:rsidRPr="005B0796" w:rsidRDefault="00E70BD6" w:rsidP="00D86734">
            <w:pPr>
              <w:pStyle w:val="TableText"/>
              <w:jc w:val="right"/>
              <w:rPr>
                <w:lang w:eastAsia="en-AU"/>
              </w:rPr>
            </w:pPr>
            <w:r w:rsidRPr="005B0796">
              <w:rPr>
                <w:lang w:eastAsia="en-AU"/>
              </w:rPr>
              <w:t>6.7, 13.9</w:t>
            </w:r>
          </w:p>
        </w:tc>
        <w:tc>
          <w:tcPr>
            <w:tcW w:w="878" w:type="dxa"/>
            <w:noWrap/>
            <w:hideMark/>
          </w:tcPr>
          <w:p w:rsidR="00E70BD6" w:rsidRPr="005B0796" w:rsidRDefault="00E70BD6" w:rsidP="00D86734">
            <w:pPr>
              <w:pStyle w:val="TableText"/>
              <w:jc w:val="right"/>
              <w:rPr>
                <w:lang w:eastAsia="en-AU"/>
              </w:rPr>
            </w:pPr>
            <w:r w:rsidRPr="005B0796">
              <w:rPr>
                <w:lang w:eastAsia="en-AU"/>
              </w:rPr>
              <w:t>157</w:t>
            </w:r>
          </w:p>
        </w:tc>
        <w:tc>
          <w:tcPr>
            <w:tcW w:w="877" w:type="dxa"/>
            <w:noWrap/>
            <w:hideMark/>
          </w:tcPr>
          <w:p w:rsidR="00E70BD6" w:rsidRPr="005B0796" w:rsidRDefault="00E70BD6" w:rsidP="00D86734">
            <w:pPr>
              <w:pStyle w:val="TableText"/>
              <w:jc w:val="right"/>
              <w:rPr>
                <w:lang w:eastAsia="en-AU"/>
              </w:rPr>
            </w:pPr>
            <w:r w:rsidRPr="005B0796">
              <w:rPr>
                <w:lang w:eastAsia="en-AU"/>
              </w:rPr>
              <w:t>4.8</w:t>
            </w:r>
          </w:p>
        </w:tc>
        <w:tc>
          <w:tcPr>
            <w:tcW w:w="878" w:type="dxa"/>
            <w:noWrap/>
            <w:hideMark/>
          </w:tcPr>
          <w:p w:rsidR="00E70BD6" w:rsidRPr="005B0796" w:rsidRDefault="00E70BD6" w:rsidP="00D86734">
            <w:pPr>
              <w:pStyle w:val="TableText"/>
              <w:jc w:val="right"/>
              <w:rPr>
                <w:lang w:eastAsia="en-AU"/>
              </w:rPr>
            </w:pPr>
            <w:r w:rsidRPr="005B0796">
              <w:rPr>
                <w:lang w:eastAsia="en-AU"/>
              </w:rPr>
              <w:t>1.8, 12.5</w:t>
            </w:r>
          </w:p>
        </w:tc>
      </w:tr>
      <w:tr w:rsidR="00E70BD6" w:rsidRPr="005B0796" w:rsidTr="00D86734">
        <w:trPr>
          <w:cnfStyle w:val="000000100000" w:firstRow="0" w:lastRow="0" w:firstColumn="0" w:lastColumn="0" w:oddVBand="0" w:evenVBand="0" w:oddHBand="1" w:evenHBand="0" w:firstRowFirstColumn="0" w:firstRowLastColumn="0" w:lastRowFirstColumn="0" w:lastRowLastColumn="0"/>
        </w:trPr>
        <w:tc>
          <w:tcPr>
            <w:tcW w:w="2050" w:type="dxa"/>
            <w:hideMark/>
          </w:tcPr>
          <w:p w:rsidR="00E70BD6" w:rsidRPr="005B0796" w:rsidRDefault="00E70BD6" w:rsidP="00D86734">
            <w:pPr>
              <w:pStyle w:val="TableText"/>
              <w:rPr>
                <w:lang w:eastAsia="en-AU"/>
              </w:rPr>
            </w:pPr>
            <w:r w:rsidRPr="005B0796">
              <w:rPr>
                <w:lang w:eastAsia="en-AU"/>
              </w:rPr>
              <w:t>Any alcohol disorder</w:t>
            </w:r>
          </w:p>
        </w:tc>
        <w:tc>
          <w:tcPr>
            <w:tcW w:w="877" w:type="dxa"/>
            <w:noWrap/>
            <w:hideMark/>
          </w:tcPr>
          <w:p w:rsidR="00E70BD6" w:rsidRPr="005B0796" w:rsidRDefault="00E70BD6" w:rsidP="00D86734">
            <w:pPr>
              <w:pStyle w:val="TableText"/>
              <w:jc w:val="right"/>
              <w:rPr>
                <w:lang w:eastAsia="en-AU"/>
              </w:rPr>
            </w:pPr>
            <w:r w:rsidRPr="005B0796">
              <w:rPr>
                <w:lang w:eastAsia="en-AU"/>
              </w:rPr>
              <w:t>2848</w:t>
            </w:r>
          </w:p>
        </w:tc>
        <w:tc>
          <w:tcPr>
            <w:tcW w:w="878" w:type="dxa"/>
            <w:noWrap/>
            <w:hideMark/>
          </w:tcPr>
          <w:p w:rsidR="00E70BD6" w:rsidRPr="005B0796" w:rsidRDefault="00E70BD6" w:rsidP="00D86734">
            <w:pPr>
              <w:pStyle w:val="TableText"/>
              <w:jc w:val="right"/>
              <w:rPr>
                <w:lang w:eastAsia="en-AU"/>
              </w:rPr>
            </w:pPr>
            <w:r w:rsidRPr="005B0796">
              <w:rPr>
                <w:lang w:eastAsia="en-AU"/>
              </w:rPr>
              <w:t>13.1</w:t>
            </w:r>
          </w:p>
        </w:tc>
        <w:tc>
          <w:tcPr>
            <w:tcW w:w="877" w:type="dxa"/>
            <w:noWrap/>
            <w:hideMark/>
          </w:tcPr>
          <w:p w:rsidR="00E70BD6" w:rsidRPr="005B0796" w:rsidRDefault="00E70BD6" w:rsidP="00D86734">
            <w:pPr>
              <w:pStyle w:val="TableText"/>
              <w:jc w:val="right"/>
              <w:rPr>
                <w:lang w:eastAsia="en-AU"/>
              </w:rPr>
            </w:pPr>
            <w:r w:rsidRPr="005B0796">
              <w:rPr>
                <w:lang w:eastAsia="en-AU"/>
              </w:rPr>
              <w:t>9.7, 17.5</w:t>
            </w:r>
          </w:p>
        </w:tc>
        <w:tc>
          <w:tcPr>
            <w:tcW w:w="878" w:type="dxa"/>
            <w:noWrap/>
            <w:hideMark/>
          </w:tcPr>
          <w:p w:rsidR="00E70BD6" w:rsidRPr="005B0796" w:rsidRDefault="00E70BD6" w:rsidP="00D86734">
            <w:pPr>
              <w:pStyle w:val="TableText"/>
              <w:jc w:val="right"/>
              <w:rPr>
                <w:lang w:eastAsia="en-AU"/>
              </w:rPr>
            </w:pPr>
            <w:r w:rsidRPr="005B0796">
              <w:rPr>
                <w:lang w:eastAsia="en-AU"/>
              </w:rPr>
              <w:t>371</w:t>
            </w:r>
          </w:p>
        </w:tc>
        <w:tc>
          <w:tcPr>
            <w:tcW w:w="877" w:type="dxa"/>
            <w:noWrap/>
            <w:hideMark/>
          </w:tcPr>
          <w:p w:rsidR="00E70BD6" w:rsidRPr="005B0796" w:rsidRDefault="00E70BD6" w:rsidP="00D86734">
            <w:pPr>
              <w:pStyle w:val="TableText"/>
              <w:jc w:val="right"/>
              <w:rPr>
                <w:lang w:eastAsia="en-AU"/>
              </w:rPr>
            </w:pPr>
            <w:r w:rsidRPr="005B0796">
              <w:rPr>
                <w:lang w:eastAsia="en-AU"/>
              </w:rPr>
              <w:t>11.4</w:t>
            </w:r>
          </w:p>
        </w:tc>
        <w:tc>
          <w:tcPr>
            <w:tcW w:w="878" w:type="dxa"/>
            <w:noWrap/>
            <w:hideMark/>
          </w:tcPr>
          <w:p w:rsidR="00E70BD6" w:rsidRPr="005B0796" w:rsidRDefault="00E70BD6" w:rsidP="00D86734">
            <w:pPr>
              <w:pStyle w:val="TableText"/>
              <w:jc w:val="right"/>
              <w:rPr>
                <w:lang w:eastAsia="en-AU"/>
              </w:rPr>
            </w:pPr>
            <w:r w:rsidRPr="005B0796">
              <w:rPr>
                <w:lang w:eastAsia="en-AU"/>
              </w:rPr>
              <w:t>5.3, 22.7</w:t>
            </w:r>
          </w:p>
        </w:tc>
      </w:tr>
    </w:tbl>
    <w:p w:rsidR="00E70BD6" w:rsidRPr="005B0796" w:rsidRDefault="003C56FB" w:rsidP="00D86734">
      <w:pPr>
        <w:pStyle w:val="TableNotes"/>
      </w:pPr>
      <w:r w:rsidRPr="005B0796">
        <w:t xml:space="preserve">Note: 95% CI: 95% </w:t>
      </w:r>
      <w:r w:rsidR="00564689" w:rsidRPr="005B0796">
        <w:t>confidence interval</w:t>
      </w:r>
    </w:p>
    <w:p w:rsidR="003C56FB" w:rsidRPr="005B0796" w:rsidRDefault="003C56FB" w:rsidP="003C56FB">
      <w:pPr>
        <w:pStyle w:val="FigureName"/>
      </w:pPr>
      <w:bookmarkStart w:id="631" w:name="_Ref484521474"/>
      <w:bookmarkStart w:id="632" w:name="_Toc482023837"/>
      <w:bookmarkStart w:id="633" w:name="_Toc487014372"/>
      <w:bookmarkStart w:id="634" w:name="_Toc51190054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24</w:t>
      </w:r>
      <w:r w:rsidR="00D30A3C">
        <w:rPr>
          <w:noProof/>
        </w:rPr>
        <w:fldChar w:fldCharType="end"/>
      </w:r>
      <w:bookmarkEnd w:id="631"/>
      <w:r w:rsidRPr="005B0796">
        <w:tab/>
        <w:t>Estimated prevalence of 12-month ICD-10 alcohol disorders in Transitioned ADF members, by alcohol disorder type and sex</w:t>
      </w:r>
      <w:bookmarkEnd w:id="632"/>
      <w:bookmarkEnd w:id="633"/>
      <w:bookmarkEnd w:id="634"/>
    </w:p>
    <w:tbl>
      <w:tblPr>
        <w:tblW w:w="5000" w:type="pct"/>
        <w:tblLayout w:type="fixed"/>
        <w:tblCellMar>
          <w:left w:w="115" w:type="dxa"/>
          <w:right w:w="115" w:type="dxa"/>
        </w:tblCellMar>
        <w:tblLook w:val="04A0" w:firstRow="1" w:lastRow="0" w:firstColumn="1" w:lastColumn="0" w:noHBand="0" w:noVBand="1"/>
      </w:tblPr>
      <w:tblGrid>
        <w:gridCol w:w="7329"/>
      </w:tblGrid>
      <w:tr w:rsidR="00E70BD6" w:rsidRPr="005B0796" w:rsidTr="00D86734">
        <w:trPr>
          <w:cantSplit/>
        </w:trPr>
        <w:tc>
          <w:tcPr>
            <w:tcW w:w="7315" w:type="dxa"/>
          </w:tcPr>
          <w:p w:rsidR="00E70BD6" w:rsidRPr="005B0796" w:rsidRDefault="00E70BD6" w:rsidP="00D86734">
            <w:pPr>
              <w:keepNext/>
            </w:pPr>
            <w:r w:rsidRPr="005B0796">
              <w:rPr>
                <w:noProof/>
                <w:lang w:eastAsia="en-AU"/>
              </w:rPr>
              <w:drawing>
                <wp:inline distT="0" distB="0" distL="0" distR="0" wp14:anchorId="74B5E452" wp14:editId="01051FDE">
                  <wp:extent cx="4572000" cy="2743200"/>
                  <wp:effectExtent l="0" t="0" r="0" b="0"/>
                  <wp:docPr id="50" name="Chart 50" descr="Figure 4.24 Estimated prevalence of 12-month ICD-10 alcohol disorders in Transitioned ADF members, by alcohol disorder type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bl>
    <w:p w:rsidR="00545711" w:rsidRPr="005B0796" w:rsidRDefault="00545711" w:rsidP="00545711">
      <w:pPr>
        <w:spacing w:after="0" w:line="240" w:lineRule="auto"/>
      </w:pPr>
    </w:p>
    <w:p w:rsidR="003129E9" w:rsidRPr="005B0796" w:rsidRDefault="003129E9" w:rsidP="003129E9">
      <w:pPr>
        <w:sectPr w:rsidR="003129E9" w:rsidRPr="005B0796" w:rsidSect="00BE5E98">
          <w:footerReference w:type="even" r:id="rId103"/>
          <w:footerReference w:type="default" r:id="rId104"/>
          <w:pgSz w:w="9979" w:h="14170" w:code="243"/>
          <w:pgMar w:top="1440" w:right="1152" w:bottom="1440" w:left="1728" w:header="576" w:footer="576" w:gutter="0"/>
          <w:cols w:space="708"/>
          <w:docGrid w:linePitch="360"/>
        </w:sectPr>
      </w:pPr>
    </w:p>
    <w:p w:rsidR="003129E9" w:rsidRPr="005B0796" w:rsidRDefault="003129E9" w:rsidP="003C56FB">
      <w:pPr>
        <w:pStyle w:val="TableName"/>
      </w:pPr>
      <w:bookmarkStart w:id="635" w:name="_Ref494280553"/>
      <w:bookmarkStart w:id="636" w:name="_Toc511900433"/>
      <w:bookmarkStart w:id="637" w:name="_Ref484520004"/>
      <w:bookmarkStart w:id="638" w:name="_Toc482023794"/>
      <w:bookmarkStart w:id="639" w:name="_Toc487014281"/>
      <w:bookmarkStart w:id="640" w:name="_Toc49299558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30</w:t>
      </w:r>
      <w:r w:rsidR="00D30A3C">
        <w:rPr>
          <w:noProof/>
        </w:rPr>
        <w:fldChar w:fldCharType="end"/>
      </w:r>
      <w:bookmarkEnd w:id="635"/>
      <w:r w:rsidR="003C56FB" w:rsidRPr="005B0796">
        <w:tab/>
      </w:r>
      <w:r w:rsidRPr="005B0796">
        <w:t>Estimated prevalence of 12-month ICD-10 alcohol disorders in Transitioned ADF members, by alcohol disorder type and</w:t>
      </w:r>
      <w:r w:rsidR="00D86734" w:rsidRPr="005B0796">
        <w:t> </w:t>
      </w:r>
      <w:r w:rsidRPr="005B0796">
        <w:t>age</w:t>
      </w:r>
      <w:bookmarkEnd w:id="636"/>
    </w:p>
    <w:tbl>
      <w:tblPr>
        <w:tblStyle w:val="TWRPTable"/>
        <w:tblW w:w="5000" w:type="pct"/>
        <w:tblLayout w:type="fixed"/>
        <w:tblLook w:val="04A0" w:firstRow="1" w:lastRow="0" w:firstColumn="1" w:lastColumn="0" w:noHBand="0" w:noVBand="1"/>
        <w:tblDescription w:val="Table 4.30 Estimated prevalence of 12-month ICD-10 alcohol disorders in Transitioned ADF members, by alcohol disorder type and age"/>
      </w:tblPr>
      <w:tblGrid>
        <w:gridCol w:w="1368"/>
        <w:gridCol w:w="810"/>
        <w:gridCol w:w="541"/>
        <w:gridCol w:w="676"/>
        <w:gridCol w:w="763"/>
        <w:gridCol w:w="450"/>
        <w:gridCol w:w="815"/>
        <w:gridCol w:w="805"/>
        <w:gridCol w:w="546"/>
        <w:gridCol w:w="676"/>
        <w:gridCol w:w="758"/>
        <w:gridCol w:w="594"/>
        <w:gridCol w:w="676"/>
        <w:gridCol w:w="800"/>
        <w:gridCol w:w="552"/>
        <w:gridCol w:w="676"/>
      </w:tblGrid>
      <w:tr w:rsidR="00F26E45" w:rsidRPr="005B0796" w:rsidTr="00F26E45">
        <w:trPr>
          <w:cnfStyle w:val="100000000000" w:firstRow="1" w:lastRow="0" w:firstColumn="0" w:lastColumn="0" w:oddVBand="0" w:evenVBand="0" w:oddHBand="0" w:evenHBand="0" w:firstRowFirstColumn="0" w:firstRowLastColumn="0" w:lastRowFirstColumn="0" w:lastRowLastColumn="0"/>
          <w:tblHeader/>
        </w:trPr>
        <w:tc>
          <w:tcPr>
            <w:tcW w:w="1368" w:type="dxa"/>
            <w:vMerge w:val="restart"/>
            <w:noWrap/>
            <w:hideMark/>
          </w:tcPr>
          <w:bookmarkEnd w:id="637"/>
          <w:bookmarkEnd w:id="638"/>
          <w:bookmarkEnd w:id="639"/>
          <w:bookmarkEnd w:id="640"/>
          <w:p w:rsidR="00F26E45" w:rsidRPr="005B0796" w:rsidRDefault="00F26E45" w:rsidP="00D86734">
            <w:pPr>
              <w:pStyle w:val="TableText"/>
              <w:rPr>
                <w:lang w:eastAsia="en-AU"/>
              </w:rPr>
            </w:pPr>
            <w:r w:rsidRPr="005B0796">
              <w:rPr>
                <w:lang w:eastAsia="en-AU"/>
              </w:rPr>
              <w:t>ICD-10 alcohol disorder</w:t>
            </w:r>
          </w:p>
        </w:tc>
        <w:tc>
          <w:tcPr>
            <w:tcW w:w="10138" w:type="dxa"/>
            <w:gridSpan w:val="15"/>
            <w:noWrap/>
          </w:tcPr>
          <w:p w:rsidR="00F26E45" w:rsidRPr="005B0796" w:rsidRDefault="00F26E45" w:rsidP="00D86734">
            <w:pPr>
              <w:pStyle w:val="TableText"/>
              <w:jc w:val="center"/>
              <w:rPr>
                <w:lang w:eastAsia="en-AU"/>
              </w:rPr>
            </w:pPr>
            <w:r w:rsidRPr="005B0796">
              <w:rPr>
                <w:lang w:eastAsia="en-AU"/>
              </w:rPr>
              <w:t>Age</w:t>
            </w:r>
          </w:p>
        </w:tc>
      </w:tr>
      <w:tr w:rsidR="00F26E45"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368" w:type="dxa"/>
            <w:vMerge/>
            <w:hideMark/>
          </w:tcPr>
          <w:p w:rsidR="00F26E45" w:rsidRPr="005B0796" w:rsidRDefault="00F26E45" w:rsidP="00D86734">
            <w:pPr>
              <w:pStyle w:val="TableText"/>
              <w:rPr>
                <w:lang w:eastAsia="en-AU"/>
              </w:rPr>
            </w:pPr>
          </w:p>
        </w:tc>
        <w:tc>
          <w:tcPr>
            <w:tcW w:w="2027" w:type="dxa"/>
            <w:gridSpan w:val="3"/>
            <w:noWrap/>
            <w:hideMark/>
          </w:tcPr>
          <w:p w:rsidR="00F26E45" w:rsidRPr="005B0796" w:rsidRDefault="00F26E45" w:rsidP="00D86734">
            <w:pPr>
              <w:pStyle w:val="TableText"/>
              <w:jc w:val="center"/>
              <w:rPr>
                <w:lang w:eastAsia="en-AU"/>
              </w:rPr>
            </w:pPr>
            <w:r w:rsidRPr="005B0796">
              <w:rPr>
                <w:lang w:eastAsia="en-AU"/>
              </w:rPr>
              <w:t>18–27 (n = 5195)</w:t>
            </w:r>
          </w:p>
        </w:tc>
        <w:tc>
          <w:tcPr>
            <w:tcW w:w="2028" w:type="dxa"/>
            <w:gridSpan w:val="3"/>
            <w:noWrap/>
            <w:hideMark/>
          </w:tcPr>
          <w:p w:rsidR="00F26E45" w:rsidRPr="005B0796" w:rsidRDefault="00F26E45" w:rsidP="00D86734">
            <w:pPr>
              <w:pStyle w:val="TableText"/>
              <w:jc w:val="center"/>
              <w:rPr>
                <w:lang w:eastAsia="en-AU"/>
              </w:rPr>
            </w:pPr>
            <w:r w:rsidRPr="005B0796">
              <w:rPr>
                <w:lang w:eastAsia="en-AU"/>
              </w:rPr>
              <w:t>28–37 (n = 8808)</w:t>
            </w:r>
          </w:p>
        </w:tc>
        <w:tc>
          <w:tcPr>
            <w:tcW w:w="2027" w:type="dxa"/>
            <w:gridSpan w:val="3"/>
            <w:noWrap/>
            <w:hideMark/>
          </w:tcPr>
          <w:p w:rsidR="00F26E45" w:rsidRPr="005B0796" w:rsidRDefault="00F26E45" w:rsidP="00D86734">
            <w:pPr>
              <w:pStyle w:val="TableText"/>
              <w:jc w:val="center"/>
              <w:rPr>
                <w:lang w:eastAsia="en-AU"/>
              </w:rPr>
            </w:pPr>
            <w:r w:rsidRPr="005B0796">
              <w:rPr>
                <w:lang w:eastAsia="en-AU"/>
              </w:rPr>
              <w:t>38–47 (n = 5215)</w:t>
            </w:r>
          </w:p>
        </w:tc>
        <w:tc>
          <w:tcPr>
            <w:tcW w:w="2028" w:type="dxa"/>
            <w:gridSpan w:val="3"/>
            <w:noWrap/>
            <w:hideMark/>
          </w:tcPr>
          <w:p w:rsidR="00F26E45" w:rsidRPr="005B0796" w:rsidRDefault="00F26E45" w:rsidP="00D86734">
            <w:pPr>
              <w:pStyle w:val="TableText"/>
              <w:jc w:val="center"/>
              <w:rPr>
                <w:lang w:eastAsia="en-AU"/>
              </w:rPr>
            </w:pPr>
            <w:r w:rsidRPr="005B0796">
              <w:rPr>
                <w:lang w:eastAsia="en-AU"/>
              </w:rPr>
              <w:t>48–57 (n = 3389)</w:t>
            </w:r>
          </w:p>
        </w:tc>
        <w:tc>
          <w:tcPr>
            <w:tcW w:w="2028" w:type="dxa"/>
            <w:gridSpan w:val="3"/>
            <w:noWrap/>
            <w:hideMark/>
          </w:tcPr>
          <w:p w:rsidR="00F26E45" w:rsidRPr="005B0796" w:rsidRDefault="00F26E45" w:rsidP="00D86734">
            <w:pPr>
              <w:pStyle w:val="TableText"/>
              <w:jc w:val="center"/>
              <w:rPr>
                <w:lang w:eastAsia="en-AU"/>
              </w:rPr>
            </w:pPr>
            <w:r w:rsidRPr="005B0796">
              <w:rPr>
                <w:lang w:eastAsia="en-AU"/>
              </w:rPr>
              <w:t>58+ (n = 1937)</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368" w:type="dxa"/>
            <w:vMerge/>
            <w:noWrap/>
            <w:hideMark/>
          </w:tcPr>
          <w:p w:rsidR="00F26E45" w:rsidRPr="005B0796" w:rsidRDefault="00F26E45" w:rsidP="00D86734">
            <w:pPr>
              <w:pStyle w:val="TableText"/>
              <w:rPr>
                <w:lang w:eastAsia="en-AU"/>
              </w:rPr>
            </w:pPr>
          </w:p>
        </w:tc>
        <w:tc>
          <w:tcPr>
            <w:tcW w:w="810" w:type="dxa"/>
            <w:noWrap/>
            <w:hideMark/>
          </w:tcPr>
          <w:p w:rsidR="00F26E45" w:rsidRPr="005B0796" w:rsidRDefault="00F26E45" w:rsidP="00D86734">
            <w:pPr>
              <w:pStyle w:val="TableText"/>
              <w:jc w:val="right"/>
              <w:rPr>
                <w:lang w:eastAsia="en-AU"/>
              </w:rPr>
            </w:pPr>
            <w:r w:rsidRPr="005B0796">
              <w:rPr>
                <w:lang w:eastAsia="en-AU"/>
              </w:rPr>
              <w:t>Weighted n</w:t>
            </w:r>
          </w:p>
        </w:tc>
        <w:tc>
          <w:tcPr>
            <w:tcW w:w="541" w:type="dxa"/>
            <w:hideMark/>
          </w:tcPr>
          <w:p w:rsidR="00F26E45" w:rsidRPr="005B0796" w:rsidRDefault="00F26E45" w:rsidP="00D86734">
            <w:pPr>
              <w:pStyle w:val="TableText"/>
              <w:jc w:val="right"/>
              <w:rPr>
                <w:lang w:eastAsia="en-AU"/>
              </w:rPr>
            </w:pPr>
            <w:r w:rsidRPr="005B0796">
              <w:rPr>
                <w:lang w:eastAsia="en-AU"/>
              </w:rPr>
              <w:t>%</w:t>
            </w:r>
          </w:p>
        </w:tc>
        <w:tc>
          <w:tcPr>
            <w:tcW w:w="676" w:type="dxa"/>
            <w:hideMark/>
          </w:tcPr>
          <w:p w:rsidR="00F26E45" w:rsidRPr="005B0796" w:rsidRDefault="00F26E45" w:rsidP="00D86734">
            <w:pPr>
              <w:pStyle w:val="TableText"/>
              <w:jc w:val="right"/>
              <w:rPr>
                <w:lang w:eastAsia="en-AU"/>
              </w:rPr>
            </w:pPr>
            <w:r w:rsidRPr="005B0796">
              <w:rPr>
                <w:lang w:eastAsia="en-AU"/>
              </w:rPr>
              <w:t>95% CI</w:t>
            </w:r>
          </w:p>
        </w:tc>
        <w:tc>
          <w:tcPr>
            <w:tcW w:w="763" w:type="dxa"/>
            <w:noWrap/>
            <w:hideMark/>
          </w:tcPr>
          <w:p w:rsidR="00F26E45" w:rsidRPr="005B0796" w:rsidRDefault="00F26E45" w:rsidP="00D86734">
            <w:pPr>
              <w:pStyle w:val="TableText"/>
              <w:jc w:val="right"/>
              <w:rPr>
                <w:lang w:eastAsia="en-AU"/>
              </w:rPr>
            </w:pPr>
            <w:r w:rsidRPr="005B0796">
              <w:rPr>
                <w:lang w:eastAsia="en-AU"/>
              </w:rPr>
              <w:t>Weighted n</w:t>
            </w:r>
          </w:p>
        </w:tc>
        <w:tc>
          <w:tcPr>
            <w:tcW w:w="450" w:type="dxa"/>
            <w:hideMark/>
          </w:tcPr>
          <w:p w:rsidR="00F26E45" w:rsidRPr="005B0796" w:rsidRDefault="00F26E45" w:rsidP="00D86734">
            <w:pPr>
              <w:pStyle w:val="TableText"/>
              <w:jc w:val="right"/>
              <w:rPr>
                <w:lang w:eastAsia="en-AU"/>
              </w:rPr>
            </w:pPr>
            <w:r w:rsidRPr="005B0796">
              <w:rPr>
                <w:lang w:eastAsia="en-AU"/>
              </w:rPr>
              <w:t>%</w:t>
            </w:r>
          </w:p>
        </w:tc>
        <w:tc>
          <w:tcPr>
            <w:tcW w:w="815" w:type="dxa"/>
            <w:hideMark/>
          </w:tcPr>
          <w:p w:rsidR="00F26E45" w:rsidRPr="005B0796" w:rsidRDefault="00F26E45" w:rsidP="00D86734">
            <w:pPr>
              <w:pStyle w:val="TableText"/>
              <w:jc w:val="right"/>
              <w:rPr>
                <w:lang w:eastAsia="en-AU"/>
              </w:rPr>
            </w:pPr>
            <w:r w:rsidRPr="005B0796">
              <w:rPr>
                <w:lang w:eastAsia="en-AU"/>
              </w:rPr>
              <w:t>95% CI</w:t>
            </w:r>
          </w:p>
        </w:tc>
        <w:tc>
          <w:tcPr>
            <w:tcW w:w="805" w:type="dxa"/>
            <w:noWrap/>
            <w:hideMark/>
          </w:tcPr>
          <w:p w:rsidR="00F26E45" w:rsidRPr="005B0796" w:rsidRDefault="00F26E45" w:rsidP="00D86734">
            <w:pPr>
              <w:pStyle w:val="TableText"/>
              <w:jc w:val="right"/>
              <w:rPr>
                <w:lang w:eastAsia="en-AU"/>
              </w:rPr>
            </w:pPr>
            <w:r w:rsidRPr="005B0796">
              <w:rPr>
                <w:lang w:eastAsia="en-AU"/>
              </w:rPr>
              <w:t>Weighted n</w:t>
            </w:r>
          </w:p>
        </w:tc>
        <w:tc>
          <w:tcPr>
            <w:tcW w:w="546" w:type="dxa"/>
            <w:hideMark/>
          </w:tcPr>
          <w:p w:rsidR="00F26E45" w:rsidRPr="005B0796" w:rsidRDefault="00F26E45" w:rsidP="00D86734">
            <w:pPr>
              <w:pStyle w:val="TableText"/>
              <w:jc w:val="right"/>
              <w:rPr>
                <w:lang w:eastAsia="en-AU"/>
              </w:rPr>
            </w:pPr>
            <w:r w:rsidRPr="005B0796">
              <w:rPr>
                <w:lang w:eastAsia="en-AU"/>
              </w:rPr>
              <w:t>%</w:t>
            </w:r>
          </w:p>
        </w:tc>
        <w:tc>
          <w:tcPr>
            <w:tcW w:w="676" w:type="dxa"/>
            <w:hideMark/>
          </w:tcPr>
          <w:p w:rsidR="00F26E45" w:rsidRPr="005B0796" w:rsidRDefault="00F26E45" w:rsidP="00D86734">
            <w:pPr>
              <w:pStyle w:val="TableText"/>
              <w:jc w:val="right"/>
              <w:rPr>
                <w:lang w:eastAsia="en-AU"/>
              </w:rPr>
            </w:pPr>
            <w:r w:rsidRPr="005B0796">
              <w:rPr>
                <w:lang w:eastAsia="en-AU"/>
              </w:rPr>
              <w:t>95% CI</w:t>
            </w:r>
          </w:p>
        </w:tc>
        <w:tc>
          <w:tcPr>
            <w:tcW w:w="758" w:type="dxa"/>
            <w:noWrap/>
            <w:hideMark/>
          </w:tcPr>
          <w:p w:rsidR="00F26E45" w:rsidRPr="005B0796" w:rsidRDefault="00F26E45" w:rsidP="00D86734">
            <w:pPr>
              <w:pStyle w:val="TableText"/>
              <w:jc w:val="right"/>
              <w:rPr>
                <w:lang w:eastAsia="en-AU"/>
              </w:rPr>
            </w:pPr>
            <w:r w:rsidRPr="005B0796">
              <w:rPr>
                <w:lang w:eastAsia="en-AU"/>
              </w:rPr>
              <w:t>Weighted n</w:t>
            </w:r>
          </w:p>
        </w:tc>
        <w:tc>
          <w:tcPr>
            <w:tcW w:w="594" w:type="dxa"/>
            <w:hideMark/>
          </w:tcPr>
          <w:p w:rsidR="00F26E45" w:rsidRPr="005B0796" w:rsidRDefault="00F26E45" w:rsidP="00D86734">
            <w:pPr>
              <w:pStyle w:val="TableText"/>
              <w:jc w:val="right"/>
              <w:rPr>
                <w:lang w:eastAsia="en-AU"/>
              </w:rPr>
            </w:pPr>
            <w:r w:rsidRPr="005B0796">
              <w:rPr>
                <w:lang w:eastAsia="en-AU"/>
              </w:rPr>
              <w:t>%</w:t>
            </w:r>
          </w:p>
        </w:tc>
        <w:tc>
          <w:tcPr>
            <w:tcW w:w="676" w:type="dxa"/>
            <w:hideMark/>
          </w:tcPr>
          <w:p w:rsidR="00F26E45" w:rsidRPr="005B0796" w:rsidRDefault="00F26E45" w:rsidP="00D86734">
            <w:pPr>
              <w:pStyle w:val="TableText"/>
              <w:jc w:val="right"/>
              <w:rPr>
                <w:lang w:eastAsia="en-AU"/>
              </w:rPr>
            </w:pPr>
            <w:r w:rsidRPr="005B0796">
              <w:rPr>
                <w:lang w:eastAsia="en-AU"/>
              </w:rPr>
              <w:t>95% CI</w:t>
            </w:r>
          </w:p>
        </w:tc>
        <w:tc>
          <w:tcPr>
            <w:tcW w:w="800" w:type="dxa"/>
            <w:noWrap/>
            <w:hideMark/>
          </w:tcPr>
          <w:p w:rsidR="00F26E45" w:rsidRPr="005B0796" w:rsidRDefault="00F26E45" w:rsidP="00D86734">
            <w:pPr>
              <w:pStyle w:val="TableText"/>
              <w:jc w:val="right"/>
              <w:rPr>
                <w:lang w:eastAsia="en-AU"/>
              </w:rPr>
            </w:pPr>
            <w:r w:rsidRPr="005B0796">
              <w:rPr>
                <w:lang w:eastAsia="en-AU"/>
              </w:rPr>
              <w:t>Weighted n</w:t>
            </w:r>
          </w:p>
        </w:tc>
        <w:tc>
          <w:tcPr>
            <w:tcW w:w="552" w:type="dxa"/>
            <w:hideMark/>
          </w:tcPr>
          <w:p w:rsidR="00F26E45" w:rsidRPr="005B0796" w:rsidRDefault="00F26E45" w:rsidP="00D86734">
            <w:pPr>
              <w:pStyle w:val="TableText"/>
              <w:jc w:val="right"/>
              <w:rPr>
                <w:lang w:eastAsia="en-AU"/>
              </w:rPr>
            </w:pPr>
            <w:r w:rsidRPr="005B0796">
              <w:rPr>
                <w:lang w:eastAsia="en-AU"/>
              </w:rPr>
              <w:t>%</w:t>
            </w:r>
          </w:p>
        </w:tc>
        <w:tc>
          <w:tcPr>
            <w:tcW w:w="676" w:type="dxa"/>
            <w:hideMark/>
          </w:tcPr>
          <w:p w:rsidR="00F26E45" w:rsidRPr="005B0796" w:rsidRDefault="00F26E45" w:rsidP="00D86734">
            <w:pPr>
              <w:pStyle w:val="TableText"/>
              <w:jc w:val="right"/>
              <w:rPr>
                <w:lang w:eastAsia="en-AU"/>
              </w:rPr>
            </w:pPr>
            <w:r w:rsidRPr="005B0796">
              <w:rPr>
                <w:lang w:eastAsia="en-AU"/>
              </w:rPr>
              <w:t>95% CI</w:t>
            </w:r>
          </w:p>
        </w:tc>
      </w:tr>
      <w:tr w:rsidR="00C37D89" w:rsidRPr="005B0796" w:rsidTr="00C37D89">
        <w:trPr>
          <w:cnfStyle w:val="000000100000" w:firstRow="0" w:lastRow="0" w:firstColumn="0" w:lastColumn="0" w:oddVBand="0" w:evenVBand="0" w:oddHBand="1" w:evenHBand="0" w:firstRowFirstColumn="0" w:firstRowLastColumn="0" w:lastRowFirstColumn="0" w:lastRowLastColumn="0"/>
        </w:trPr>
        <w:tc>
          <w:tcPr>
            <w:tcW w:w="1368" w:type="dxa"/>
            <w:noWrap/>
            <w:hideMark/>
          </w:tcPr>
          <w:p w:rsidR="003129E9" w:rsidRPr="005B0796" w:rsidRDefault="003129E9" w:rsidP="00D86734">
            <w:pPr>
              <w:pStyle w:val="TableText"/>
              <w:rPr>
                <w:lang w:eastAsia="en-AU"/>
              </w:rPr>
            </w:pPr>
            <w:r w:rsidRPr="005B0796">
              <w:rPr>
                <w:lang w:eastAsia="en-AU"/>
              </w:rPr>
              <w:t>Alcohol harmful use</w:t>
            </w:r>
          </w:p>
        </w:tc>
        <w:tc>
          <w:tcPr>
            <w:tcW w:w="810" w:type="dxa"/>
            <w:noWrap/>
            <w:hideMark/>
          </w:tcPr>
          <w:p w:rsidR="003129E9" w:rsidRPr="005B0796" w:rsidRDefault="003129E9" w:rsidP="00D86734">
            <w:pPr>
              <w:pStyle w:val="TableText"/>
              <w:jc w:val="right"/>
              <w:rPr>
                <w:lang w:eastAsia="en-AU"/>
              </w:rPr>
            </w:pPr>
            <w:r w:rsidRPr="005B0796">
              <w:rPr>
                <w:lang w:eastAsia="en-AU"/>
              </w:rPr>
              <w:t>80</w:t>
            </w:r>
          </w:p>
        </w:tc>
        <w:tc>
          <w:tcPr>
            <w:tcW w:w="541" w:type="dxa"/>
            <w:hideMark/>
          </w:tcPr>
          <w:p w:rsidR="003129E9" w:rsidRPr="005B0796" w:rsidRDefault="003129E9" w:rsidP="00D86734">
            <w:pPr>
              <w:pStyle w:val="TableText"/>
              <w:jc w:val="right"/>
              <w:rPr>
                <w:lang w:eastAsia="en-AU"/>
              </w:rPr>
            </w:pPr>
            <w:r w:rsidRPr="005B0796">
              <w:rPr>
                <w:lang w:eastAsia="en-GB"/>
              </w:rPr>
              <w:t>1.5</w:t>
            </w:r>
          </w:p>
        </w:tc>
        <w:tc>
          <w:tcPr>
            <w:tcW w:w="676" w:type="dxa"/>
            <w:hideMark/>
          </w:tcPr>
          <w:p w:rsidR="003129E9" w:rsidRPr="005B0796" w:rsidRDefault="003129E9" w:rsidP="00D86734">
            <w:pPr>
              <w:pStyle w:val="TableText"/>
              <w:jc w:val="right"/>
              <w:rPr>
                <w:lang w:eastAsia="en-GB"/>
              </w:rPr>
            </w:pPr>
            <w:r w:rsidRPr="005B0796">
              <w:rPr>
                <w:lang w:eastAsia="en-GB"/>
              </w:rPr>
              <w:t>0.3, 7.1</w:t>
            </w:r>
          </w:p>
        </w:tc>
        <w:tc>
          <w:tcPr>
            <w:tcW w:w="763" w:type="dxa"/>
            <w:noWrap/>
            <w:hideMark/>
          </w:tcPr>
          <w:p w:rsidR="003129E9" w:rsidRPr="005B0796" w:rsidRDefault="003129E9" w:rsidP="00D86734">
            <w:pPr>
              <w:pStyle w:val="TableText"/>
              <w:jc w:val="right"/>
              <w:rPr>
                <w:color w:val="000000" w:themeColor="text1"/>
                <w:lang w:eastAsia="en-AU"/>
              </w:rPr>
            </w:pPr>
            <w:r w:rsidRPr="005B0796">
              <w:rPr>
                <w:color w:val="000000" w:themeColor="text1"/>
                <w:lang w:eastAsia="en-AU"/>
              </w:rPr>
              <w:t>436</w:t>
            </w:r>
          </w:p>
        </w:tc>
        <w:tc>
          <w:tcPr>
            <w:tcW w:w="450" w:type="dxa"/>
            <w:hideMark/>
          </w:tcPr>
          <w:p w:rsidR="003129E9" w:rsidRPr="005B0796" w:rsidRDefault="003129E9" w:rsidP="00D86734">
            <w:pPr>
              <w:pStyle w:val="TableText"/>
              <w:jc w:val="right"/>
              <w:rPr>
                <w:color w:val="000000" w:themeColor="text1"/>
                <w:lang w:eastAsia="en-AU"/>
              </w:rPr>
            </w:pPr>
            <w:r w:rsidRPr="005B0796">
              <w:rPr>
                <w:color w:val="000000" w:themeColor="text1"/>
                <w:lang w:eastAsia="en-GB"/>
              </w:rPr>
              <w:t>5.0</w:t>
            </w:r>
          </w:p>
        </w:tc>
        <w:tc>
          <w:tcPr>
            <w:tcW w:w="815" w:type="dxa"/>
            <w:hideMark/>
          </w:tcPr>
          <w:p w:rsidR="003129E9" w:rsidRPr="005B0796" w:rsidRDefault="003129E9" w:rsidP="00D86734">
            <w:pPr>
              <w:pStyle w:val="TableText"/>
              <w:jc w:val="right"/>
              <w:rPr>
                <w:color w:val="000000" w:themeColor="text1"/>
                <w:lang w:eastAsia="en-GB"/>
              </w:rPr>
            </w:pPr>
            <w:r w:rsidRPr="005B0796">
              <w:rPr>
                <w:color w:val="000000" w:themeColor="text1"/>
                <w:lang w:eastAsia="en-GB"/>
              </w:rPr>
              <w:t>2.0, 12.0</w:t>
            </w:r>
          </w:p>
        </w:tc>
        <w:tc>
          <w:tcPr>
            <w:tcW w:w="805" w:type="dxa"/>
            <w:hideMark/>
          </w:tcPr>
          <w:p w:rsidR="003129E9" w:rsidRPr="005B0796" w:rsidRDefault="003129E9" w:rsidP="00D86734">
            <w:pPr>
              <w:pStyle w:val="TableText"/>
              <w:jc w:val="right"/>
              <w:rPr>
                <w:lang w:eastAsia="en-AU"/>
              </w:rPr>
            </w:pPr>
            <w:r w:rsidRPr="005B0796">
              <w:rPr>
                <w:lang w:eastAsia="en-AU"/>
              </w:rPr>
              <w:t>375</w:t>
            </w:r>
          </w:p>
        </w:tc>
        <w:tc>
          <w:tcPr>
            <w:tcW w:w="546" w:type="dxa"/>
            <w:hideMark/>
          </w:tcPr>
          <w:p w:rsidR="003129E9" w:rsidRPr="005B0796" w:rsidRDefault="003129E9" w:rsidP="00D86734">
            <w:pPr>
              <w:pStyle w:val="TableText"/>
              <w:jc w:val="right"/>
              <w:rPr>
                <w:lang w:eastAsia="en-AU"/>
              </w:rPr>
            </w:pPr>
            <w:r w:rsidRPr="005B0796">
              <w:rPr>
                <w:lang w:eastAsia="en-GB"/>
              </w:rPr>
              <w:t>7.2</w:t>
            </w:r>
          </w:p>
        </w:tc>
        <w:tc>
          <w:tcPr>
            <w:tcW w:w="676" w:type="dxa"/>
            <w:hideMark/>
          </w:tcPr>
          <w:p w:rsidR="003129E9" w:rsidRPr="005B0796" w:rsidRDefault="003129E9" w:rsidP="00D86734">
            <w:pPr>
              <w:pStyle w:val="TableText"/>
              <w:jc w:val="right"/>
              <w:rPr>
                <w:lang w:eastAsia="en-GB"/>
              </w:rPr>
            </w:pPr>
            <w:r w:rsidRPr="005B0796">
              <w:rPr>
                <w:lang w:eastAsia="en-GB"/>
              </w:rPr>
              <w:t>3.1, 15.7</w:t>
            </w:r>
          </w:p>
        </w:tc>
        <w:tc>
          <w:tcPr>
            <w:tcW w:w="758" w:type="dxa"/>
            <w:hideMark/>
          </w:tcPr>
          <w:p w:rsidR="003129E9" w:rsidRPr="005B0796" w:rsidRDefault="003129E9" w:rsidP="00D86734">
            <w:pPr>
              <w:pStyle w:val="TableText"/>
              <w:jc w:val="right"/>
              <w:rPr>
                <w:lang w:eastAsia="en-AU"/>
              </w:rPr>
            </w:pPr>
            <w:r w:rsidRPr="005B0796">
              <w:rPr>
                <w:lang w:eastAsia="en-AU"/>
              </w:rPr>
              <w:t>92</w:t>
            </w:r>
          </w:p>
        </w:tc>
        <w:tc>
          <w:tcPr>
            <w:tcW w:w="594" w:type="dxa"/>
            <w:hideMark/>
          </w:tcPr>
          <w:p w:rsidR="003129E9" w:rsidRPr="005B0796" w:rsidRDefault="003129E9" w:rsidP="00D86734">
            <w:pPr>
              <w:pStyle w:val="TableText"/>
              <w:jc w:val="right"/>
              <w:rPr>
                <w:lang w:eastAsia="en-AU"/>
              </w:rPr>
            </w:pPr>
            <w:r w:rsidRPr="005B0796">
              <w:rPr>
                <w:lang w:eastAsia="en-GB"/>
              </w:rPr>
              <w:t>2.7</w:t>
            </w:r>
          </w:p>
        </w:tc>
        <w:tc>
          <w:tcPr>
            <w:tcW w:w="676" w:type="dxa"/>
            <w:hideMark/>
          </w:tcPr>
          <w:p w:rsidR="003129E9" w:rsidRPr="005B0796" w:rsidRDefault="003129E9" w:rsidP="00D86734">
            <w:pPr>
              <w:pStyle w:val="TableText"/>
              <w:jc w:val="right"/>
              <w:rPr>
                <w:lang w:eastAsia="en-GB"/>
              </w:rPr>
            </w:pPr>
            <w:r w:rsidRPr="005B0796">
              <w:rPr>
                <w:lang w:eastAsia="en-GB"/>
              </w:rPr>
              <w:t>1.4, 5.3</w:t>
            </w:r>
          </w:p>
        </w:tc>
        <w:tc>
          <w:tcPr>
            <w:tcW w:w="800" w:type="dxa"/>
            <w:hideMark/>
          </w:tcPr>
          <w:p w:rsidR="003129E9" w:rsidRPr="005B0796" w:rsidRDefault="003129E9" w:rsidP="00D86734">
            <w:pPr>
              <w:pStyle w:val="TableText"/>
              <w:jc w:val="right"/>
              <w:rPr>
                <w:lang w:eastAsia="en-AU"/>
              </w:rPr>
            </w:pPr>
            <w:r w:rsidRPr="005B0796">
              <w:rPr>
                <w:lang w:eastAsia="en-AU"/>
              </w:rPr>
              <w:t>10</w:t>
            </w:r>
          </w:p>
        </w:tc>
        <w:tc>
          <w:tcPr>
            <w:tcW w:w="552" w:type="dxa"/>
            <w:hideMark/>
          </w:tcPr>
          <w:p w:rsidR="003129E9" w:rsidRPr="005B0796" w:rsidRDefault="003129E9" w:rsidP="00D86734">
            <w:pPr>
              <w:pStyle w:val="TableText"/>
              <w:jc w:val="right"/>
              <w:rPr>
                <w:lang w:eastAsia="en-AU"/>
              </w:rPr>
            </w:pPr>
            <w:r w:rsidRPr="005B0796">
              <w:rPr>
                <w:lang w:eastAsia="en-GB"/>
              </w:rPr>
              <w:t>0.5</w:t>
            </w:r>
          </w:p>
        </w:tc>
        <w:tc>
          <w:tcPr>
            <w:tcW w:w="676" w:type="dxa"/>
            <w:hideMark/>
          </w:tcPr>
          <w:p w:rsidR="003129E9" w:rsidRPr="005B0796" w:rsidRDefault="003129E9" w:rsidP="00D86734">
            <w:pPr>
              <w:pStyle w:val="TableText"/>
              <w:jc w:val="right"/>
              <w:rPr>
                <w:lang w:eastAsia="en-GB"/>
              </w:rPr>
            </w:pPr>
            <w:r w:rsidRPr="005B0796">
              <w:rPr>
                <w:lang w:eastAsia="en-GB"/>
              </w:rPr>
              <w:t>0.1, 3.3</w:t>
            </w:r>
          </w:p>
        </w:tc>
      </w:tr>
      <w:tr w:rsidR="00C37D89" w:rsidRPr="005B0796" w:rsidTr="00C37D89">
        <w:tc>
          <w:tcPr>
            <w:tcW w:w="1368" w:type="dxa"/>
            <w:noWrap/>
            <w:hideMark/>
          </w:tcPr>
          <w:p w:rsidR="003129E9" w:rsidRPr="005B0796" w:rsidRDefault="003129E9" w:rsidP="00D86734">
            <w:pPr>
              <w:pStyle w:val="TableText"/>
              <w:rPr>
                <w:lang w:eastAsia="en-AU"/>
              </w:rPr>
            </w:pPr>
            <w:r w:rsidRPr="005B0796">
              <w:rPr>
                <w:lang w:eastAsia="en-AU"/>
              </w:rPr>
              <w:t>Alcohol dependence</w:t>
            </w:r>
          </w:p>
        </w:tc>
        <w:tc>
          <w:tcPr>
            <w:tcW w:w="810" w:type="dxa"/>
            <w:noWrap/>
            <w:hideMark/>
          </w:tcPr>
          <w:p w:rsidR="003129E9" w:rsidRPr="005B0796" w:rsidRDefault="003129E9" w:rsidP="00D86734">
            <w:pPr>
              <w:pStyle w:val="TableText"/>
              <w:jc w:val="right"/>
              <w:rPr>
                <w:lang w:eastAsia="en-AU"/>
              </w:rPr>
            </w:pPr>
            <w:r w:rsidRPr="005B0796">
              <w:rPr>
                <w:lang w:eastAsia="en-AU"/>
              </w:rPr>
              <w:t>664</w:t>
            </w:r>
          </w:p>
        </w:tc>
        <w:tc>
          <w:tcPr>
            <w:tcW w:w="541" w:type="dxa"/>
            <w:hideMark/>
          </w:tcPr>
          <w:p w:rsidR="003129E9" w:rsidRPr="005B0796" w:rsidRDefault="003129E9" w:rsidP="00D86734">
            <w:pPr>
              <w:pStyle w:val="TableText"/>
              <w:jc w:val="right"/>
              <w:rPr>
                <w:lang w:eastAsia="en-AU"/>
              </w:rPr>
            </w:pPr>
            <w:r w:rsidRPr="005B0796">
              <w:rPr>
                <w:lang w:eastAsia="en-GB"/>
              </w:rPr>
              <w:t>12.8</w:t>
            </w:r>
          </w:p>
        </w:tc>
        <w:tc>
          <w:tcPr>
            <w:tcW w:w="676" w:type="dxa"/>
            <w:hideMark/>
          </w:tcPr>
          <w:p w:rsidR="003129E9" w:rsidRPr="005B0796" w:rsidRDefault="003129E9" w:rsidP="00D86734">
            <w:pPr>
              <w:pStyle w:val="TableText"/>
              <w:jc w:val="right"/>
              <w:rPr>
                <w:lang w:eastAsia="en-GB"/>
              </w:rPr>
            </w:pPr>
            <w:r w:rsidRPr="005B0796">
              <w:rPr>
                <w:lang w:eastAsia="en-GB"/>
              </w:rPr>
              <w:t>5.9, 25.4</w:t>
            </w:r>
          </w:p>
        </w:tc>
        <w:tc>
          <w:tcPr>
            <w:tcW w:w="763" w:type="dxa"/>
            <w:noWrap/>
            <w:hideMark/>
          </w:tcPr>
          <w:p w:rsidR="003129E9" w:rsidRPr="005B0796" w:rsidRDefault="003129E9" w:rsidP="00D86734">
            <w:pPr>
              <w:pStyle w:val="TableText"/>
              <w:jc w:val="right"/>
              <w:rPr>
                <w:color w:val="000000" w:themeColor="text1"/>
                <w:lang w:eastAsia="en-AU"/>
              </w:rPr>
            </w:pPr>
            <w:r w:rsidRPr="005B0796">
              <w:rPr>
                <w:color w:val="000000" w:themeColor="text1"/>
                <w:lang w:eastAsia="en-AU"/>
              </w:rPr>
              <w:t>1042</w:t>
            </w:r>
          </w:p>
        </w:tc>
        <w:tc>
          <w:tcPr>
            <w:tcW w:w="450" w:type="dxa"/>
            <w:hideMark/>
          </w:tcPr>
          <w:p w:rsidR="003129E9" w:rsidRPr="005B0796" w:rsidRDefault="003129E9" w:rsidP="00D86734">
            <w:pPr>
              <w:pStyle w:val="TableText"/>
              <w:jc w:val="right"/>
              <w:rPr>
                <w:color w:val="000000" w:themeColor="text1"/>
                <w:lang w:eastAsia="en-AU"/>
              </w:rPr>
            </w:pPr>
            <w:r w:rsidRPr="005B0796">
              <w:rPr>
                <w:color w:val="000000" w:themeColor="text1"/>
                <w:lang w:eastAsia="en-GB"/>
              </w:rPr>
              <w:t>11.8</w:t>
            </w:r>
          </w:p>
        </w:tc>
        <w:tc>
          <w:tcPr>
            <w:tcW w:w="815" w:type="dxa"/>
            <w:hideMark/>
          </w:tcPr>
          <w:p w:rsidR="003129E9" w:rsidRPr="005B0796" w:rsidRDefault="003129E9" w:rsidP="00D86734">
            <w:pPr>
              <w:pStyle w:val="TableText"/>
              <w:jc w:val="right"/>
              <w:rPr>
                <w:color w:val="000000" w:themeColor="text1"/>
                <w:lang w:eastAsia="en-GB"/>
              </w:rPr>
            </w:pPr>
            <w:r w:rsidRPr="005B0796">
              <w:rPr>
                <w:color w:val="000000" w:themeColor="text1"/>
                <w:lang w:eastAsia="en-GB"/>
              </w:rPr>
              <w:t>6.4, 20.9</w:t>
            </w:r>
          </w:p>
        </w:tc>
        <w:tc>
          <w:tcPr>
            <w:tcW w:w="805" w:type="dxa"/>
            <w:hideMark/>
          </w:tcPr>
          <w:p w:rsidR="003129E9" w:rsidRPr="005B0796" w:rsidRDefault="003129E9" w:rsidP="00D86734">
            <w:pPr>
              <w:pStyle w:val="TableText"/>
              <w:jc w:val="right"/>
              <w:rPr>
                <w:lang w:eastAsia="en-AU"/>
              </w:rPr>
            </w:pPr>
            <w:r w:rsidRPr="005B0796">
              <w:rPr>
                <w:lang w:eastAsia="en-AU"/>
              </w:rPr>
              <w:t>403</w:t>
            </w:r>
          </w:p>
        </w:tc>
        <w:tc>
          <w:tcPr>
            <w:tcW w:w="546" w:type="dxa"/>
            <w:hideMark/>
          </w:tcPr>
          <w:p w:rsidR="003129E9" w:rsidRPr="005B0796" w:rsidRDefault="003129E9" w:rsidP="00D86734">
            <w:pPr>
              <w:pStyle w:val="TableText"/>
              <w:jc w:val="right"/>
              <w:rPr>
                <w:lang w:eastAsia="en-AU"/>
              </w:rPr>
            </w:pPr>
            <w:r w:rsidRPr="005B0796">
              <w:rPr>
                <w:lang w:eastAsia="en-GB"/>
              </w:rPr>
              <w:t>7.7</w:t>
            </w:r>
          </w:p>
        </w:tc>
        <w:tc>
          <w:tcPr>
            <w:tcW w:w="676" w:type="dxa"/>
            <w:hideMark/>
          </w:tcPr>
          <w:p w:rsidR="003129E9" w:rsidRPr="005B0796" w:rsidRDefault="003129E9" w:rsidP="00D86734">
            <w:pPr>
              <w:pStyle w:val="TableText"/>
              <w:jc w:val="right"/>
              <w:rPr>
                <w:lang w:eastAsia="en-GB"/>
              </w:rPr>
            </w:pPr>
            <w:r w:rsidRPr="005B0796">
              <w:rPr>
                <w:lang w:eastAsia="en-GB"/>
              </w:rPr>
              <w:t>3.8, 15.1</w:t>
            </w:r>
          </w:p>
        </w:tc>
        <w:tc>
          <w:tcPr>
            <w:tcW w:w="758" w:type="dxa"/>
            <w:hideMark/>
          </w:tcPr>
          <w:p w:rsidR="003129E9" w:rsidRPr="005B0796" w:rsidRDefault="003129E9" w:rsidP="00D86734">
            <w:pPr>
              <w:pStyle w:val="TableText"/>
              <w:jc w:val="right"/>
              <w:rPr>
                <w:lang w:eastAsia="en-AU"/>
              </w:rPr>
            </w:pPr>
            <w:r w:rsidRPr="005B0796">
              <w:rPr>
                <w:lang w:eastAsia="en-AU"/>
              </w:rPr>
              <w:t>142</w:t>
            </w:r>
          </w:p>
        </w:tc>
        <w:tc>
          <w:tcPr>
            <w:tcW w:w="594" w:type="dxa"/>
            <w:hideMark/>
          </w:tcPr>
          <w:p w:rsidR="003129E9" w:rsidRPr="005B0796" w:rsidRDefault="003129E9" w:rsidP="00D86734">
            <w:pPr>
              <w:pStyle w:val="TableText"/>
              <w:jc w:val="right"/>
              <w:rPr>
                <w:lang w:eastAsia="en-AU"/>
              </w:rPr>
            </w:pPr>
            <w:r w:rsidRPr="005B0796">
              <w:rPr>
                <w:lang w:eastAsia="en-GB"/>
              </w:rPr>
              <w:t>4.2</w:t>
            </w:r>
          </w:p>
        </w:tc>
        <w:tc>
          <w:tcPr>
            <w:tcW w:w="676" w:type="dxa"/>
            <w:hideMark/>
          </w:tcPr>
          <w:p w:rsidR="003129E9" w:rsidRPr="005B0796" w:rsidRDefault="003129E9" w:rsidP="00D86734">
            <w:pPr>
              <w:pStyle w:val="TableText"/>
              <w:jc w:val="right"/>
              <w:rPr>
                <w:lang w:eastAsia="en-GB"/>
              </w:rPr>
            </w:pPr>
            <w:r w:rsidRPr="005B0796">
              <w:rPr>
                <w:lang w:eastAsia="en-GB"/>
              </w:rPr>
              <w:t>2.3, 7.4</w:t>
            </w:r>
          </w:p>
        </w:tc>
        <w:tc>
          <w:tcPr>
            <w:tcW w:w="800" w:type="dxa"/>
            <w:hideMark/>
          </w:tcPr>
          <w:p w:rsidR="003129E9" w:rsidRPr="005B0796" w:rsidRDefault="003129E9" w:rsidP="00D86734">
            <w:pPr>
              <w:pStyle w:val="TableText"/>
              <w:jc w:val="right"/>
              <w:rPr>
                <w:lang w:eastAsia="en-AU"/>
              </w:rPr>
            </w:pPr>
            <w:r w:rsidRPr="005B0796">
              <w:rPr>
                <w:lang w:eastAsia="en-AU"/>
              </w:rPr>
              <w:t>108</w:t>
            </w:r>
          </w:p>
        </w:tc>
        <w:tc>
          <w:tcPr>
            <w:tcW w:w="552" w:type="dxa"/>
            <w:hideMark/>
          </w:tcPr>
          <w:p w:rsidR="003129E9" w:rsidRPr="005B0796" w:rsidRDefault="003129E9" w:rsidP="00D86734">
            <w:pPr>
              <w:pStyle w:val="TableText"/>
              <w:jc w:val="right"/>
              <w:rPr>
                <w:lang w:eastAsia="en-AU"/>
              </w:rPr>
            </w:pPr>
            <w:r w:rsidRPr="005B0796">
              <w:rPr>
                <w:lang w:eastAsia="en-GB"/>
              </w:rPr>
              <w:t>5.6</w:t>
            </w:r>
          </w:p>
        </w:tc>
        <w:tc>
          <w:tcPr>
            <w:tcW w:w="676" w:type="dxa"/>
            <w:hideMark/>
          </w:tcPr>
          <w:p w:rsidR="003129E9" w:rsidRPr="005B0796" w:rsidRDefault="003129E9" w:rsidP="00D86734">
            <w:pPr>
              <w:pStyle w:val="TableText"/>
              <w:jc w:val="right"/>
              <w:rPr>
                <w:lang w:eastAsia="en-GB"/>
              </w:rPr>
            </w:pPr>
            <w:r w:rsidRPr="005B0796">
              <w:rPr>
                <w:lang w:eastAsia="en-GB"/>
              </w:rPr>
              <w:t>1.9, 15.7</w:t>
            </w:r>
          </w:p>
        </w:tc>
      </w:tr>
      <w:tr w:rsidR="00C37D89" w:rsidRPr="005B0796" w:rsidTr="00C37D89">
        <w:trPr>
          <w:cnfStyle w:val="000000100000" w:firstRow="0" w:lastRow="0" w:firstColumn="0" w:lastColumn="0" w:oddVBand="0" w:evenVBand="0" w:oddHBand="1" w:evenHBand="0" w:firstRowFirstColumn="0" w:firstRowLastColumn="0" w:lastRowFirstColumn="0" w:lastRowLastColumn="0"/>
        </w:trPr>
        <w:tc>
          <w:tcPr>
            <w:tcW w:w="1368" w:type="dxa"/>
            <w:hideMark/>
          </w:tcPr>
          <w:p w:rsidR="003129E9" w:rsidRPr="005B0796" w:rsidRDefault="003129E9" w:rsidP="00D86734">
            <w:pPr>
              <w:pStyle w:val="TableText"/>
              <w:rPr>
                <w:lang w:eastAsia="en-AU"/>
              </w:rPr>
            </w:pPr>
            <w:r w:rsidRPr="005B0796">
              <w:rPr>
                <w:lang w:eastAsia="en-AU"/>
              </w:rPr>
              <w:t>Any alcohol disorder</w:t>
            </w:r>
          </w:p>
        </w:tc>
        <w:tc>
          <w:tcPr>
            <w:tcW w:w="810" w:type="dxa"/>
            <w:noWrap/>
            <w:hideMark/>
          </w:tcPr>
          <w:p w:rsidR="003129E9" w:rsidRPr="005B0796" w:rsidRDefault="003129E9" w:rsidP="00D86734">
            <w:pPr>
              <w:pStyle w:val="TableText"/>
              <w:jc w:val="right"/>
              <w:rPr>
                <w:lang w:eastAsia="en-AU"/>
              </w:rPr>
            </w:pPr>
            <w:r w:rsidRPr="005B0796">
              <w:rPr>
                <w:lang w:eastAsia="en-AU"/>
              </w:rPr>
              <w:t>744</w:t>
            </w:r>
          </w:p>
        </w:tc>
        <w:tc>
          <w:tcPr>
            <w:tcW w:w="541" w:type="dxa"/>
            <w:hideMark/>
          </w:tcPr>
          <w:p w:rsidR="003129E9" w:rsidRPr="005B0796" w:rsidRDefault="003129E9" w:rsidP="00D86734">
            <w:pPr>
              <w:pStyle w:val="TableText"/>
              <w:jc w:val="right"/>
              <w:rPr>
                <w:lang w:eastAsia="en-AU"/>
              </w:rPr>
            </w:pPr>
            <w:r w:rsidRPr="005B0796">
              <w:rPr>
                <w:lang w:eastAsia="en-GB"/>
              </w:rPr>
              <w:t>14.3</w:t>
            </w:r>
          </w:p>
        </w:tc>
        <w:tc>
          <w:tcPr>
            <w:tcW w:w="676" w:type="dxa"/>
            <w:hideMark/>
          </w:tcPr>
          <w:p w:rsidR="003129E9" w:rsidRPr="005B0796" w:rsidRDefault="003129E9" w:rsidP="00D86734">
            <w:pPr>
              <w:pStyle w:val="TableText"/>
              <w:jc w:val="right"/>
              <w:rPr>
                <w:lang w:eastAsia="en-GB"/>
              </w:rPr>
            </w:pPr>
            <w:r w:rsidRPr="005B0796">
              <w:rPr>
                <w:lang w:eastAsia="en-GB"/>
              </w:rPr>
              <w:t>7.1, 26.9</w:t>
            </w:r>
          </w:p>
        </w:tc>
        <w:tc>
          <w:tcPr>
            <w:tcW w:w="763" w:type="dxa"/>
            <w:noWrap/>
            <w:hideMark/>
          </w:tcPr>
          <w:p w:rsidR="003129E9" w:rsidRPr="005B0796" w:rsidRDefault="003129E9" w:rsidP="00D86734">
            <w:pPr>
              <w:pStyle w:val="TableText"/>
              <w:jc w:val="right"/>
              <w:rPr>
                <w:color w:val="000000" w:themeColor="text1"/>
                <w:lang w:eastAsia="en-AU"/>
              </w:rPr>
            </w:pPr>
            <w:r w:rsidRPr="005B0796">
              <w:rPr>
                <w:color w:val="000000" w:themeColor="text1"/>
                <w:lang w:eastAsia="en-AU"/>
              </w:rPr>
              <w:t>1478</w:t>
            </w:r>
          </w:p>
        </w:tc>
        <w:tc>
          <w:tcPr>
            <w:tcW w:w="450" w:type="dxa"/>
            <w:hideMark/>
          </w:tcPr>
          <w:p w:rsidR="003129E9" w:rsidRPr="005B0796" w:rsidRDefault="003129E9" w:rsidP="00D86734">
            <w:pPr>
              <w:pStyle w:val="TableText"/>
              <w:jc w:val="right"/>
              <w:rPr>
                <w:color w:val="000000" w:themeColor="text1"/>
                <w:lang w:eastAsia="en-AU"/>
              </w:rPr>
            </w:pPr>
            <w:r w:rsidRPr="005B0796">
              <w:rPr>
                <w:color w:val="000000" w:themeColor="text1"/>
                <w:lang w:eastAsia="en-GB"/>
              </w:rPr>
              <w:t>16.8</w:t>
            </w:r>
          </w:p>
        </w:tc>
        <w:tc>
          <w:tcPr>
            <w:tcW w:w="815" w:type="dxa"/>
            <w:hideMark/>
          </w:tcPr>
          <w:p w:rsidR="003129E9" w:rsidRPr="005B0796" w:rsidRDefault="003129E9" w:rsidP="00D86734">
            <w:pPr>
              <w:pStyle w:val="TableText"/>
              <w:jc w:val="right"/>
              <w:rPr>
                <w:color w:val="000000" w:themeColor="text1"/>
                <w:lang w:eastAsia="en-GB"/>
              </w:rPr>
            </w:pPr>
            <w:r w:rsidRPr="005B0796">
              <w:rPr>
                <w:color w:val="000000" w:themeColor="text1"/>
                <w:lang w:eastAsia="en-GB"/>
              </w:rPr>
              <w:t>10.1, 26.5</w:t>
            </w:r>
          </w:p>
        </w:tc>
        <w:tc>
          <w:tcPr>
            <w:tcW w:w="805" w:type="dxa"/>
            <w:hideMark/>
          </w:tcPr>
          <w:p w:rsidR="003129E9" w:rsidRPr="005B0796" w:rsidRDefault="003129E9" w:rsidP="00D86734">
            <w:pPr>
              <w:pStyle w:val="TableText"/>
              <w:jc w:val="right"/>
              <w:rPr>
                <w:lang w:eastAsia="en-AU"/>
              </w:rPr>
            </w:pPr>
            <w:r w:rsidRPr="005B0796">
              <w:rPr>
                <w:lang w:eastAsia="en-AU"/>
              </w:rPr>
              <w:t>777</w:t>
            </w:r>
          </w:p>
        </w:tc>
        <w:tc>
          <w:tcPr>
            <w:tcW w:w="546" w:type="dxa"/>
            <w:hideMark/>
          </w:tcPr>
          <w:p w:rsidR="003129E9" w:rsidRPr="005B0796" w:rsidRDefault="003129E9" w:rsidP="00D86734">
            <w:pPr>
              <w:pStyle w:val="TableText"/>
              <w:jc w:val="right"/>
              <w:rPr>
                <w:lang w:eastAsia="en-AU"/>
              </w:rPr>
            </w:pPr>
            <w:r w:rsidRPr="005B0796">
              <w:rPr>
                <w:lang w:eastAsia="en-GB"/>
              </w:rPr>
              <w:t>14.9</w:t>
            </w:r>
          </w:p>
        </w:tc>
        <w:tc>
          <w:tcPr>
            <w:tcW w:w="676" w:type="dxa"/>
            <w:hideMark/>
          </w:tcPr>
          <w:p w:rsidR="003129E9" w:rsidRPr="005B0796" w:rsidRDefault="003129E9" w:rsidP="00D86734">
            <w:pPr>
              <w:pStyle w:val="TableText"/>
              <w:jc w:val="right"/>
              <w:rPr>
                <w:lang w:eastAsia="en-GB"/>
              </w:rPr>
            </w:pPr>
            <w:r w:rsidRPr="005B0796">
              <w:rPr>
                <w:lang w:eastAsia="en-GB"/>
              </w:rPr>
              <w:t>8.8, 24.1</w:t>
            </w:r>
          </w:p>
        </w:tc>
        <w:tc>
          <w:tcPr>
            <w:tcW w:w="758" w:type="dxa"/>
            <w:hideMark/>
          </w:tcPr>
          <w:p w:rsidR="003129E9" w:rsidRPr="005B0796" w:rsidRDefault="003129E9" w:rsidP="00D86734">
            <w:pPr>
              <w:pStyle w:val="TableText"/>
              <w:jc w:val="right"/>
              <w:rPr>
                <w:lang w:eastAsia="en-AU"/>
              </w:rPr>
            </w:pPr>
            <w:r w:rsidRPr="005B0796">
              <w:rPr>
                <w:lang w:eastAsia="en-AU"/>
              </w:rPr>
              <w:t>234</w:t>
            </w:r>
          </w:p>
        </w:tc>
        <w:tc>
          <w:tcPr>
            <w:tcW w:w="594" w:type="dxa"/>
            <w:hideMark/>
          </w:tcPr>
          <w:p w:rsidR="003129E9" w:rsidRPr="005B0796" w:rsidRDefault="003129E9" w:rsidP="00D86734">
            <w:pPr>
              <w:pStyle w:val="TableText"/>
              <w:jc w:val="right"/>
              <w:rPr>
                <w:lang w:eastAsia="en-AU"/>
              </w:rPr>
            </w:pPr>
            <w:r w:rsidRPr="005B0796">
              <w:rPr>
                <w:lang w:eastAsia="en-GB"/>
              </w:rPr>
              <w:t>6.9</w:t>
            </w:r>
          </w:p>
        </w:tc>
        <w:tc>
          <w:tcPr>
            <w:tcW w:w="676" w:type="dxa"/>
            <w:hideMark/>
          </w:tcPr>
          <w:p w:rsidR="003129E9" w:rsidRPr="005B0796" w:rsidRDefault="003129E9" w:rsidP="00D86734">
            <w:pPr>
              <w:pStyle w:val="TableText"/>
              <w:jc w:val="right"/>
              <w:rPr>
                <w:lang w:eastAsia="en-GB"/>
              </w:rPr>
            </w:pPr>
            <w:r w:rsidRPr="005B0796">
              <w:rPr>
                <w:lang w:eastAsia="en-GB"/>
              </w:rPr>
              <w:t>4.4, 10.6</w:t>
            </w:r>
          </w:p>
        </w:tc>
        <w:tc>
          <w:tcPr>
            <w:tcW w:w="800" w:type="dxa"/>
            <w:hideMark/>
          </w:tcPr>
          <w:p w:rsidR="003129E9" w:rsidRPr="005B0796" w:rsidRDefault="003129E9" w:rsidP="00D86734">
            <w:pPr>
              <w:pStyle w:val="TableText"/>
              <w:jc w:val="right"/>
              <w:rPr>
                <w:lang w:eastAsia="en-AU"/>
              </w:rPr>
            </w:pPr>
            <w:r w:rsidRPr="005B0796">
              <w:rPr>
                <w:lang w:eastAsia="en-AU"/>
              </w:rPr>
              <w:t>118</w:t>
            </w:r>
          </w:p>
        </w:tc>
        <w:tc>
          <w:tcPr>
            <w:tcW w:w="552" w:type="dxa"/>
            <w:hideMark/>
          </w:tcPr>
          <w:p w:rsidR="003129E9" w:rsidRPr="005B0796" w:rsidRDefault="003129E9" w:rsidP="00D86734">
            <w:pPr>
              <w:pStyle w:val="TableText"/>
              <w:jc w:val="right"/>
              <w:rPr>
                <w:lang w:eastAsia="en-AU"/>
              </w:rPr>
            </w:pPr>
            <w:r w:rsidRPr="005B0796">
              <w:rPr>
                <w:lang w:eastAsia="en-GB"/>
              </w:rPr>
              <w:t>6.1</w:t>
            </w:r>
          </w:p>
        </w:tc>
        <w:tc>
          <w:tcPr>
            <w:tcW w:w="676" w:type="dxa"/>
            <w:hideMark/>
          </w:tcPr>
          <w:p w:rsidR="003129E9" w:rsidRPr="005B0796" w:rsidRDefault="003129E9" w:rsidP="00D86734">
            <w:pPr>
              <w:pStyle w:val="TableText"/>
              <w:jc w:val="right"/>
              <w:rPr>
                <w:lang w:eastAsia="en-GB"/>
              </w:rPr>
            </w:pPr>
            <w:r w:rsidRPr="005B0796">
              <w:rPr>
                <w:lang w:eastAsia="en-GB"/>
              </w:rPr>
              <w:t>2.2, 15.8</w:t>
            </w:r>
          </w:p>
        </w:tc>
      </w:tr>
    </w:tbl>
    <w:p w:rsidR="003129E9" w:rsidRPr="005B0796" w:rsidRDefault="003C56FB" w:rsidP="003C56FB">
      <w:pPr>
        <w:pStyle w:val="TableNotes"/>
      </w:pPr>
      <w:r w:rsidRPr="005B0796">
        <w:t xml:space="preserve">Note: 95% CI: 95% </w:t>
      </w:r>
      <w:r w:rsidR="00564689" w:rsidRPr="005B0796">
        <w:t>confidence interval</w:t>
      </w:r>
    </w:p>
    <w:p w:rsidR="003129E9" w:rsidRPr="005B0796" w:rsidRDefault="003129E9" w:rsidP="003129E9"/>
    <w:p w:rsidR="003129E9" w:rsidRPr="005B0796" w:rsidRDefault="003129E9" w:rsidP="003129E9">
      <w:pPr>
        <w:sectPr w:rsidR="003129E9" w:rsidRPr="005B0796" w:rsidSect="00BE66A5">
          <w:headerReference w:type="even" r:id="rId105"/>
          <w:headerReference w:type="default" r:id="rId106"/>
          <w:footerReference w:type="even" r:id="rId107"/>
          <w:footerReference w:type="default" r:id="rId108"/>
          <w:pgSz w:w="14170" w:h="9979" w:orient="landscape" w:code="243"/>
          <w:pgMar w:top="1872" w:right="1440" w:bottom="1152" w:left="1440" w:header="576" w:footer="576" w:gutter="0"/>
          <w:cols w:space="708"/>
          <w:docGrid w:linePitch="360"/>
        </w:sectPr>
      </w:pPr>
    </w:p>
    <w:p w:rsidR="003C56FB" w:rsidRPr="005B0796" w:rsidRDefault="003C56FB" w:rsidP="003C56FB">
      <w:pPr>
        <w:pStyle w:val="FigureName"/>
      </w:pPr>
      <w:bookmarkStart w:id="641" w:name="_Ref484521485"/>
      <w:bookmarkStart w:id="642" w:name="_Toc487014373"/>
      <w:bookmarkStart w:id="643" w:name="_Toc51190054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25</w:t>
      </w:r>
      <w:r w:rsidR="00D30A3C">
        <w:rPr>
          <w:noProof/>
        </w:rPr>
        <w:fldChar w:fldCharType="end"/>
      </w:r>
      <w:bookmarkEnd w:id="641"/>
      <w:r w:rsidRPr="005B0796">
        <w:tab/>
        <w:t>Estimated prevalence of 12-month ICD-10 alcohol disorders in Transitioned ADF members</w:t>
      </w:r>
      <w:r w:rsidR="0078635A">
        <w:t>,</w:t>
      </w:r>
      <w:r w:rsidRPr="005B0796">
        <w:t xml:space="preserve"> by alcohol disorder type and age</w:t>
      </w:r>
      <w:bookmarkEnd w:id="642"/>
      <w:bookmarkEnd w:id="643"/>
    </w:p>
    <w:tbl>
      <w:tblPr>
        <w:tblW w:w="5000" w:type="pct"/>
        <w:tblLayout w:type="fixed"/>
        <w:tblCellMar>
          <w:left w:w="115" w:type="dxa"/>
          <w:right w:w="115" w:type="dxa"/>
        </w:tblCellMar>
        <w:tblLook w:val="04A0" w:firstRow="1" w:lastRow="0" w:firstColumn="1" w:lastColumn="0" w:noHBand="0" w:noVBand="1"/>
      </w:tblPr>
      <w:tblGrid>
        <w:gridCol w:w="7329"/>
      </w:tblGrid>
      <w:tr w:rsidR="003129E9" w:rsidRPr="005B0796" w:rsidTr="009720C7">
        <w:trPr>
          <w:cantSplit/>
        </w:trPr>
        <w:tc>
          <w:tcPr>
            <w:tcW w:w="7315" w:type="dxa"/>
          </w:tcPr>
          <w:p w:rsidR="003129E9" w:rsidRPr="005B0796" w:rsidRDefault="003129E9" w:rsidP="009720C7">
            <w:pPr>
              <w:keepNext/>
            </w:pPr>
            <w:r w:rsidRPr="005B0796">
              <w:rPr>
                <w:noProof/>
                <w:lang w:eastAsia="en-AU"/>
              </w:rPr>
              <w:drawing>
                <wp:inline distT="0" distB="0" distL="0" distR="0" wp14:anchorId="3CA447B6" wp14:editId="055FF693">
                  <wp:extent cx="4572000" cy="2743200"/>
                  <wp:effectExtent l="0" t="0" r="0" b="0"/>
                  <wp:docPr id="79" name="Chart 79" descr="Figure 4.25 Estimated prevalence of 12-month ICD-10 alcohol disorders in Transitioned ADF members by alcohol disorder type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rsidR="003129E9" w:rsidRPr="005B0796" w:rsidRDefault="003129E9" w:rsidP="009720C7">
      <w:pPr>
        <w:pStyle w:val="Heading3"/>
        <w:rPr>
          <w:rFonts w:eastAsia="Times New Roman" w:cs="Times New Roman"/>
        </w:rPr>
      </w:pPr>
      <w:bookmarkStart w:id="644" w:name="_Toc482021352"/>
      <w:bookmarkStart w:id="645" w:name="_Toc482024443"/>
      <w:bookmarkStart w:id="646" w:name="_Toc487011204"/>
      <w:bookmarkStart w:id="647" w:name="_Toc494449722"/>
      <w:bookmarkStart w:id="648" w:name="_Toc511900304"/>
      <w:r w:rsidRPr="005B0796">
        <w:t>Service factors</w:t>
      </w:r>
      <w:bookmarkEnd w:id="644"/>
      <w:bookmarkEnd w:id="645"/>
      <w:bookmarkEnd w:id="646"/>
      <w:bookmarkEnd w:id="647"/>
      <w:bookmarkEnd w:id="648"/>
    </w:p>
    <w:p w:rsidR="003129E9" w:rsidRPr="005B0796" w:rsidRDefault="003129E9" w:rsidP="009720C7">
      <w:pPr>
        <w:pStyle w:val="Heading4"/>
      </w:pPr>
      <w:bookmarkStart w:id="649" w:name="_Toc482021353"/>
      <w:r w:rsidRPr="005B0796">
        <w:t>Service</w:t>
      </w:r>
      <w:bookmarkEnd w:id="649"/>
    </w:p>
    <w:p w:rsidR="003129E9" w:rsidRPr="005B0796" w:rsidRDefault="009E72D3" w:rsidP="00DE0FC8">
      <w:r w:rsidRPr="005B0796">
        <w:t>Table 4.31</w:t>
      </w:r>
      <w:r w:rsidR="003129E9" w:rsidRPr="005B0796">
        <w:t xml:space="preserve"> and </w:t>
      </w:r>
      <w:r w:rsidRPr="005B0796">
        <w:t>Figure 4.26</w:t>
      </w:r>
      <w:r w:rsidR="003129E9" w:rsidRPr="005B0796">
        <w:t xml:space="preserve"> show the 12-month estimated prevalence of alcohol disorders across the Navy, Army and Air Force. When the individual Services were considered, the Navy and tended to have the highest estimated rates of alcohol disorders, followed by the Air Force. For example, 14.4% (95% CI 10.2, 20.1) of Transitioned Army and 13.4% (95% CI 7.5, 22.8) of Transitioned Navy met criteria for a 12-month ICD-10 alcohol disorder, in contrast with 6.8% (95% CI 3.0, 14.8) of Transitioned Air Force members. Compared to Transitioned Air Force members, Transitioned Army members were more than 14 times more likely (OR 14.7, 95% CI 2.0, 110.6) and Transitioned Navy just over 11 times more likely (OR 11.7, 95% CI 1.4, 101.8) to meet criteria for alcohol harmful use. However, these estimates should be treated with caution due to the extremely wide confidence intervals. There were no significant differences between the Services</w:t>
      </w:r>
      <w:r w:rsidR="003129E9" w:rsidRPr="005B0796" w:rsidDel="00B87E0E">
        <w:t xml:space="preserve"> </w:t>
      </w:r>
      <w:r w:rsidR="003129E9" w:rsidRPr="005B0796">
        <w:t xml:space="preserve">in the rates of ICD-10 alcohol dependence or </w:t>
      </w:r>
      <w:r w:rsidR="00462A0C" w:rsidRPr="005B0796">
        <w:t>‘</w:t>
      </w:r>
      <w:r w:rsidR="003129E9" w:rsidRPr="005B0796">
        <w:t>any alcohol disorder</w:t>
      </w:r>
      <w:r w:rsidR="00462A0C" w:rsidRPr="005B0796">
        <w:t>’</w:t>
      </w:r>
      <w:r w:rsidR="003129E9" w:rsidRPr="005B0796">
        <w:t>.</w:t>
      </w:r>
    </w:p>
    <w:p w:rsidR="003129E9" w:rsidRPr="005B0796" w:rsidRDefault="003C56FB" w:rsidP="003C56FB">
      <w:pPr>
        <w:pStyle w:val="TableName"/>
      </w:pPr>
      <w:bookmarkStart w:id="650" w:name="_Ref484520015"/>
      <w:bookmarkStart w:id="651" w:name="_Toc482023795"/>
      <w:bookmarkStart w:id="652" w:name="_Toc487014282"/>
      <w:bookmarkStart w:id="653" w:name="_Toc492995585"/>
      <w:bookmarkStart w:id="654" w:name="_Toc51190043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31</w:t>
      </w:r>
      <w:r w:rsidR="00D30A3C">
        <w:rPr>
          <w:noProof/>
        </w:rPr>
        <w:fldChar w:fldCharType="end"/>
      </w:r>
      <w:bookmarkEnd w:id="650"/>
      <w:bookmarkEnd w:id="651"/>
      <w:r w:rsidRPr="005B0796">
        <w:tab/>
        <w:t>Estimated prevalence of 12-month ICD-10 alcohol disorders in Transitioned ADF members, by alcohol disorder type (Navy, Army and Air Force)</w:t>
      </w:r>
      <w:bookmarkEnd w:id="652"/>
      <w:bookmarkEnd w:id="653"/>
      <w:bookmarkEnd w:id="654"/>
    </w:p>
    <w:tbl>
      <w:tblPr>
        <w:tblStyle w:val="TWRPTable"/>
        <w:tblW w:w="5000" w:type="pct"/>
        <w:tblLayout w:type="fixed"/>
        <w:tblLook w:val="04A0" w:firstRow="1" w:lastRow="0" w:firstColumn="1" w:lastColumn="0" w:noHBand="0" w:noVBand="1"/>
        <w:tblDescription w:val="Table 4.31 Estimated prevalence of 12-month ICD-10 alcohol disorders in Transitioned ADF members, by alcohol disorder type (Navy, Army and Air Force)"/>
      </w:tblPr>
      <w:tblGrid>
        <w:gridCol w:w="1098"/>
        <w:gridCol w:w="810"/>
        <w:gridCol w:w="571"/>
        <w:gridCol w:w="691"/>
        <w:gridCol w:w="808"/>
        <w:gridCol w:w="450"/>
        <w:gridCol w:w="814"/>
        <w:gridCol w:w="806"/>
        <w:gridCol w:w="576"/>
        <w:gridCol w:w="691"/>
      </w:tblGrid>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Borders>
              <w:top w:val="single" w:sz="4" w:space="0" w:color="000000"/>
            </w:tcBorders>
            <w:noWrap/>
            <w:hideMark/>
          </w:tcPr>
          <w:p w:rsidR="00C37D89" w:rsidRPr="005B0796" w:rsidRDefault="00C37D89" w:rsidP="00F75CF7">
            <w:pPr>
              <w:pStyle w:val="TableText"/>
              <w:rPr>
                <w:lang w:eastAsia="en-AU"/>
              </w:rPr>
            </w:pPr>
            <w:r w:rsidRPr="005B0796">
              <w:rPr>
                <w:lang w:eastAsia="en-AU"/>
              </w:rPr>
              <w:t>ICD-10 alcohol disorder</w:t>
            </w:r>
          </w:p>
        </w:tc>
        <w:tc>
          <w:tcPr>
            <w:tcW w:w="6217" w:type="dxa"/>
            <w:gridSpan w:val="9"/>
            <w:noWrap/>
            <w:hideMark/>
          </w:tcPr>
          <w:p w:rsidR="00C37D89" w:rsidRPr="005B0796" w:rsidRDefault="00C37D89" w:rsidP="00F75CF7">
            <w:pPr>
              <w:pStyle w:val="TableText"/>
              <w:jc w:val="center"/>
              <w:rPr>
                <w:lang w:eastAsia="en-AU"/>
              </w:rPr>
            </w:pPr>
            <w:r w:rsidRPr="005B0796">
              <w:rPr>
                <w:lang w:eastAsia="en-AU"/>
              </w:rPr>
              <w:t>Service at transition</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098" w:type="dxa"/>
            <w:vMerge/>
            <w:hideMark/>
          </w:tcPr>
          <w:p w:rsidR="00C37D89" w:rsidRPr="005B0796" w:rsidRDefault="00C37D89" w:rsidP="00F75CF7">
            <w:pPr>
              <w:pStyle w:val="TableText"/>
              <w:rPr>
                <w:lang w:eastAsia="en-AU"/>
              </w:rPr>
            </w:pPr>
          </w:p>
        </w:tc>
        <w:tc>
          <w:tcPr>
            <w:tcW w:w="2072" w:type="dxa"/>
            <w:gridSpan w:val="3"/>
            <w:noWrap/>
            <w:hideMark/>
          </w:tcPr>
          <w:p w:rsidR="00C37D89" w:rsidRPr="005B0796" w:rsidRDefault="00C37D89" w:rsidP="00F75CF7">
            <w:pPr>
              <w:pStyle w:val="TableText"/>
              <w:jc w:val="center"/>
              <w:rPr>
                <w:lang w:eastAsia="en-AU"/>
              </w:rPr>
            </w:pPr>
            <w:r w:rsidRPr="005B0796">
              <w:rPr>
                <w:lang w:eastAsia="en-AU"/>
              </w:rPr>
              <w:t>Navy (n = 5671)</w:t>
            </w:r>
          </w:p>
        </w:tc>
        <w:tc>
          <w:tcPr>
            <w:tcW w:w="2072" w:type="dxa"/>
            <w:gridSpan w:val="3"/>
            <w:noWrap/>
            <w:hideMark/>
          </w:tcPr>
          <w:p w:rsidR="00C37D89" w:rsidRPr="005B0796" w:rsidRDefault="00C37D89" w:rsidP="00F75CF7">
            <w:pPr>
              <w:pStyle w:val="TableText"/>
              <w:jc w:val="center"/>
              <w:rPr>
                <w:lang w:eastAsia="en-AU"/>
              </w:rPr>
            </w:pPr>
            <w:r w:rsidRPr="005B0796">
              <w:rPr>
                <w:lang w:eastAsia="en-AU"/>
              </w:rPr>
              <w:t>Army (n = 15,038)</w:t>
            </w:r>
          </w:p>
        </w:tc>
        <w:tc>
          <w:tcPr>
            <w:tcW w:w="2073" w:type="dxa"/>
            <w:gridSpan w:val="3"/>
            <w:noWrap/>
            <w:hideMark/>
          </w:tcPr>
          <w:p w:rsidR="00C37D89" w:rsidRPr="005B0796" w:rsidRDefault="00C37D89" w:rsidP="00F75CF7">
            <w:pPr>
              <w:pStyle w:val="TableText"/>
              <w:jc w:val="center"/>
              <w:rPr>
                <w:lang w:eastAsia="en-AU"/>
              </w:rPr>
            </w:pPr>
            <w:r w:rsidRPr="005B0796">
              <w:rPr>
                <w:lang w:eastAsia="en-AU"/>
              </w:rPr>
              <w:t>Air Force (n = 4223)</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098" w:type="dxa"/>
            <w:vMerge/>
            <w:noWrap/>
            <w:hideMark/>
          </w:tcPr>
          <w:p w:rsidR="00C37D89" w:rsidRPr="005B0796" w:rsidRDefault="00C37D89" w:rsidP="00F75CF7">
            <w:pPr>
              <w:pStyle w:val="TableText"/>
              <w:rPr>
                <w:lang w:eastAsia="en-AU"/>
              </w:rPr>
            </w:pPr>
          </w:p>
        </w:tc>
        <w:tc>
          <w:tcPr>
            <w:tcW w:w="810" w:type="dxa"/>
            <w:noWrap/>
            <w:hideMark/>
          </w:tcPr>
          <w:p w:rsidR="00C37D89" w:rsidRPr="005B0796" w:rsidRDefault="00C37D89" w:rsidP="00F75CF7">
            <w:pPr>
              <w:pStyle w:val="TableText"/>
              <w:jc w:val="right"/>
              <w:rPr>
                <w:lang w:eastAsia="en-AU"/>
              </w:rPr>
            </w:pPr>
            <w:r w:rsidRPr="005B0796">
              <w:rPr>
                <w:lang w:eastAsia="en-AU"/>
              </w:rPr>
              <w:t>Weighted n</w:t>
            </w:r>
          </w:p>
        </w:tc>
        <w:tc>
          <w:tcPr>
            <w:tcW w:w="571" w:type="dxa"/>
            <w:hideMark/>
          </w:tcPr>
          <w:p w:rsidR="00C37D89" w:rsidRPr="005B0796" w:rsidRDefault="00C37D89" w:rsidP="00F75CF7">
            <w:pPr>
              <w:pStyle w:val="TableText"/>
              <w:jc w:val="right"/>
              <w:rPr>
                <w:lang w:eastAsia="en-AU"/>
              </w:rPr>
            </w:pPr>
            <w:r w:rsidRPr="005B0796">
              <w:rPr>
                <w:lang w:eastAsia="en-AU"/>
              </w:rPr>
              <w:t>%</w:t>
            </w:r>
          </w:p>
        </w:tc>
        <w:tc>
          <w:tcPr>
            <w:tcW w:w="691" w:type="dxa"/>
            <w:hideMark/>
          </w:tcPr>
          <w:p w:rsidR="00C37D89" w:rsidRPr="005B0796" w:rsidRDefault="00C37D89" w:rsidP="00F75CF7">
            <w:pPr>
              <w:pStyle w:val="TableText"/>
              <w:jc w:val="right"/>
              <w:rPr>
                <w:lang w:eastAsia="en-AU"/>
              </w:rPr>
            </w:pPr>
            <w:r w:rsidRPr="005B0796">
              <w:rPr>
                <w:lang w:eastAsia="en-AU"/>
              </w:rPr>
              <w:t>95% CI</w:t>
            </w:r>
          </w:p>
        </w:tc>
        <w:tc>
          <w:tcPr>
            <w:tcW w:w="808" w:type="dxa"/>
            <w:noWrap/>
            <w:hideMark/>
          </w:tcPr>
          <w:p w:rsidR="00C37D89" w:rsidRPr="005B0796" w:rsidRDefault="00C37D89" w:rsidP="00F75CF7">
            <w:pPr>
              <w:pStyle w:val="TableText"/>
              <w:jc w:val="right"/>
              <w:rPr>
                <w:lang w:eastAsia="en-AU"/>
              </w:rPr>
            </w:pPr>
            <w:r w:rsidRPr="005B0796">
              <w:rPr>
                <w:lang w:eastAsia="en-AU"/>
              </w:rPr>
              <w:t>Weighted n</w:t>
            </w:r>
          </w:p>
        </w:tc>
        <w:tc>
          <w:tcPr>
            <w:tcW w:w="450" w:type="dxa"/>
            <w:hideMark/>
          </w:tcPr>
          <w:p w:rsidR="00C37D89" w:rsidRPr="005B0796" w:rsidRDefault="00C37D89" w:rsidP="00F75CF7">
            <w:pPr>
              <w:pStyle w:val="TableText"/>
              <w:jc w:val="right"/>
              <w:rPr>
                <w:lang w:eastAsia="en-AU"/>
              </w:rPr>
            </w:pPr>
            <w:r w:rsidRPr="005B0796">
              <w:rPr>
                <w:lang w:eastAsia="en-AU"/>
              </w:rPr>
              <w:t>%</w:t>
            </w:r>
          </w:p>
        </w:tc>
        <w:tc>
          <w:tcPr>
            <w:tcW w:w="814" w:type="dxa"/>
            <w:hideMark/>
          </w:tcPr>
          <w:p w:rsidR="00C37D89" w:rsidRPr="005B0796" w:rsidRDefault="00C37D89" w:rsidP="00F75CF7">
            <w:pPr>
              <w:pStyle w:val="TableText"/>
              <w:jc w:val="right"/>
              <w:rPr>
                <w:lang w:eastAsia="en-AU"/>
              </w:rPr>
            </w:pPr>
            <w:r w:rsidRPr="005B0796">
              <w:rPr>
                <w:lang w:eastAsia="en-AU"/>
              </w:rPr>
              <w:t>95% CI</w:t>
            </w:r>
          </w:p>
        </w:tc>
        <w:tc>
          <w:tcPr>
            <w:tcW w:w="806" w:type="dxa"/>
            <w:noWrap/>
            <w:hideMark/>
          </w:tcPr>
          <w:p w:rsidR="00C37D89" w:rsidRPr="005B0796" w:rsidRDefault="00C37D89" w:rsidP="00F75CF7">
            <w:pPr>
              <w:pStyle w:val="TableText"/>
              <w:jc w:val="right"/>
              <w:rPr>
                <w:lang w:eastAsia="en-AU"/>
              </w:rPr>
            </w:pPr>
            <w:r w:rsidRPr="005B0796">
              <w:rPr>
                <w:lang w:eastAsia="en-AU"/>
              </w:rPr>
              <w:t>Weighted n</w:t>
            </w:r>
          </w:p>
        </w:tc>
        <w:tc>
          <w:tcPr>
            <w:tcW w:w="576" w:type="dxa"/>
            <w:hideMark/>
          </w:tcPr>
          <w:p w:rsidR="00C37D89" w:rsidRPr="005B0796" w:rsidRDefault="00C37D89" w:rsidP="00F75CF7">
            <w:pPr>
              <w:pStyle w:val="TableText"/>
              <w:jc w:val="right"/>
              <w:rPr>
                <w:lang w:eastAsia="en-AU"/>
              </w:rPr>
            </w:pPr>
            <w:r w:rsidRPr="005B0796">
              <w:rPr>
                <w:lang w:eastAsia="en-AU"/>
              </w:rPr>
              <w:t>%</w:t>
            </w:r>
          </w:p>
        </w:tc>
        <w:tc>
          <w:tcPr>
            <w:tcW w:w="691" w:type="dxa"/>
            <w:hideMark/>
          </w:tcPr>
          <w:p w:rsidR="00C37D89" w:rsidRPr="005B0796" w:rsidRDefault="00C37D89" w:rsidP="00F75CF7">
            <w:pPr>
              <w:pStyle w:val="TableText"/>
              <w:jc w:val="right"/>
              <w:rPr>
                <w:lang w:eastAsia="en-AU"/>
              </w:rPr>
            </w:pPr>
            <w:r w:rsidRPr="005B0796">
              <w:rPr>
                <w:lang w:eastAsia="en-AU"/>
              </w:rPr>
              <w:t>95% CI</w:t>
            </w:r>
          </w:p>
        </w:tc>
      </w:tr>
      <w:tr w:rsidR="003129E9" w:rsidRPr="005B0796" w:rsidTr="00C37D89">
        <w:trPr>
          <w:cnfStyle w:val="000000100000" w:firstRow="0" w:lastRow="0" w:firstColumn="0" w:lastColumn="0" w:oddVBand="0" w:evenVBand="0" w:oddHBand="1" w:evenHBand="0" w:firstRowFirstColumn="0" w:firstRowLastColumn="0" w:lastRowFirstColumn="0" w:lastRowLastColumn="0"/>
        </w:trPr>
        <w:tc>
          <w:tcPr>
            <w:tcW w:w="1098" w:type="dxa"/>
            <w:noWrap/>
            <w:hideMark/>
          </w:tcPr>
          <w:p w:rsidR="003129E9" w:rsidRPr="005B0796" w:rsidRDefault="003129E9" w:rsidP="00F75CF7">
            <w:pPr>
              <w:pStyle w:val="TableText"/>
              <w:rPr>
                <w:lang w:eastAsia="en-AU"/>
              </w:rPr>
            </w:pPr>
            <w:r w:rsidRPr="005B0796">
              <w:rPr>
                <w:lang w:eastAsia="en-AU"/>
              </w:rPr>
              <w:t>Alcohol harmful use</w:t>
            </w:r>
            <w:r w:rsidRPr="005B0796">
              <w:rPr>
                <w:vertAlign w:val="superscript"/>
                <w:lang w:eastAsia="en-AU"/>
              </w:rPr>
              <w:t>a</w:t>
            </w:r>
          </w:p>
        </w:tc>
        <w:tc>
          <w:tcPr>
            <w:tcW w:w="810" w:type="dxa"/>
            <w:noWrap/>
            <w:hideMark/>
          </w:tcPr>
          <w:p w:rsidR="003129E9" w:rsidRPr="005B0796" w:rsidRDefault="003129E9" w:rsidP="00F75CF7">
            <w:pPr>
              <w:pStyle w:val="TableText"/>
              <w:jc w:val="right"/>
              <w:rPr>
                <w:lang w:eastAsia="en-AU"/>
              </w:rPr>
            </w:pPr>
            <w:r w:rsidRPr="005B0796">
              <w:rPr>
                <w:lang w:eastAsia="en-AU"/>
              </w:rPr>
              <w:t>243</w:t>
            </w:r>
          </w:p>
        </w:tc>
        <w:tc>
          <w:tcPr>
            <w:tcW w:w="571" w:type="dxa"/>
            <w:hideMark/>
          </w:tcPr>
          <w:p w:rsidR="003129E9" w:rsidRPr="005B0796" w:rsidRDefault="003129E9" w:rsidP="00F75CF7">
            <w:pPr>
              <w:pStyle w:val="TableText"/>
              <w:jc w:val="right"/>
              <w:rPr>
                <w:lang w:eastAsia="en-AU"/>
              </w:rPr>
            </w:pPr>
            <w:r w:rsidRPr="005B0796">
              <w:rPr>
                <w:lang w:eastAsia="en-AU"/>
              </w:rPr>
              <w:t>4.3</w:t>
            </w:r>
          </w:p>
        </w:tc>
        <w:tc>
          <w:tcPr>
            <w:tcW w:w="691" w:type="dxa"/>
            <w:hideMark/>
          </w:tcPr>
          <w:p w:rsidR="003129E9" w:rsidRPr="005B0796" w:rsidRDefault="003129E9" w:rsidP="00F75CF7">
            <w:pPr>
              <w:pStyle w:val="TableText"/>
              <w:jc w:val="right"/>
              <w:rPr>
                <w:lang w:eastAsia="en-AU"/>
              </w:rPr>
            </w:pPr>
            <w:r w:rsidRPr="005B0796">
              <w:rPr>
                <w:lang w:eastAsia="en-AU"/>
              </w:rPr>
              <w:t>1.4, 12.8</w:t>
            </w:r>
          </w:p>
        </w:tc>
        <w:tc>
          <w:tcPr>
            <w:tcW w:w="808" w:type="dxa"/>
            <w:noWrap/>
            <w:hideMark/>
          </w:tcPr>
          <w:p w:rsidR="003129E9" w:rsidRPr="005B0796" w:rsidRDefault="003129E9" w:rsidP="00F75CF7">
            <w:pPr>
              <w:pStyle w:val="TableText"/>
              <w:jc w:val="right"/>
              <w:rPr>
                <w:lang w:eastAsia="en-AU"/>
              </w:rPr>
            </w:pPr>
            <w:r w:rsidRPr="005B0796">
              <w:rPr>
                <w:lang w:eastAsia="en-AU"/>
              </w:rPr>
              <w:t>691</w:t>
            </w:r>
          </w:p>
        </w:tc>
        <w:tc>
          <w:tcPr>
            <w:tcW w:w="450" w:type="dxa"/>
            <w:hideMark/>
          </w:tcPr>
          <w:p w:rsidR="003129E9" w:rsidRPr="005B0796" w:rsidRDefault="003129E9" w:rsidP="00F75CF7">
            <w:pPr>
              <w:pStyle w:val="TableText"/>
              <w:jc w:val="right"/>
              <w:rPr>
                <w:lang w:eastAsia="en-AU"/>
              </w:rPr>
            </w:pPr>
            <w:r w:rsidRPr="005B0796">
              <w:rPr>
                <w:lang w:eastAsia="en-AU"/>
              </w:rPr>
              <w:t>4.6</w:t>
            </w:r>
          </w:p>
        </w:tc>
        <w:tc>
          <w:tcPr>
            <w:tcW w:w="814" w:type="dxa"/>
            <w:hideMark/>
          </w:tcPr>
          <w:p w:rsidR="003129E9" w:rsidRPr="005B0796" w:rsidRDefault="003129E9" w:rsidP="00F75CF7">
            <w:pPr>
              <w:pStyle w:val="TableText"/>
              <w:jc w:val="right"/>
              <w:rPr>
                <w:lang w:eastAsia="en-AU"/>
              </w:rPr>
            </w:pPr>
            <w:r w:rsidRPr="005B0796">
              <w:rPr>
                <w:lang w:eastAsia="en-AU"/>
              </w:rPr>
              <w:t>2.6, 8.0</w:t>
            </w:r>
          </w:p>
        </w:tc>
        <w:tc>
          <w:tcPr>
            <w:tcW w:w="806" w:type="dxa"/>
            <w:noWrap/>
            <w:hideMark/>
          </w:tcPr>
          <w:p w:rsidR="003129E9" w:rsidRPr="005B0796" w:rsidRDefault="003129E9" w:rsidP="00F75CF7">
            <w:pPr>
              <w:pStyle w:val="TableText"/>
              <w:jc w:val="right"/>
              <w:rPr>
                <w:lang w:eastAsia="en-AU"/>
              </w:rPr>
            </w:pPr>
            <w:r w:rsidRPr="005B0796">
              <w:rPr>
                <w:lang w:eastAsia="en-AU"/>
              </w:rPr>
              <w:t>13</w:t>
            </w:r>
          </w:p>
        </w:tc>
        <w:tc>
          <w:tcPr>
            <w:tcW w:w="576" w:type="dxa"/>
            <w:hideMark/>
          </w:tcPr>
          <w:p w:rsidR="003129E9" w:rsidRPr="005B0796" w:rsidRDefault="003129E9" w:rsidP="00F75CF7">
            <w:pPr>
              <w:pStyle w:val="TableText"/>
              <w:jc w:val="right"/>
              <w:rPr>
                <w:lang w:eastAsia="en-AU"/>
              </w:rPr>
            </w:pPr>
            <w:r w:rsidRPr="005B0796">
              <w:rPr>
                <w:lang w:eastAsia="en-AU"/>
              </w:rPr>
              <w:t>0.3</w:t>
            </w:r>
          </w:p>
        </w:tc>
        <w:tc>
          <w:tcPr>
            <w:tcW w:w="691" w:type="dxa"/>
            <w:hideMark/>
          </w:tcPr>
          <w:p w:rsidR="003129E9" w:rsidRPr="005B0796" w:rsidRDefault="003129E9" w:rsidP="00F75CF7">
            <w:pPr>
              <w:pStyle w:val="TableText"/>
              <w:jc w:val="right"/>
              <w:rPr>
                <w:lang w:eastAsia="en-AU"/>
              </w:rPr>
            </w:pPr>
            <w:r w:rsidRPr="005B0796">
              <w:rPr>
                <w:lang w:eastAsia="en-AU"/>
              </w:rPr>
              <w:t>0.0, 2.1</w:t>
            </w:r>
          </w:p>
        </w:tc>
      </w:tr>
      <w:tr w:rsidR="003129E9" w:rsidRPr="005B0796" w:rsidTr="00C37D89">
        <w:tc>
          <w:tcPr>
            <w:tcW w:w="1098" w:type="dxa"/>
            <w:noWrap/>
            <w:hideMark/>
          </w:tcPr>
          <w:p w:rsidR="003129E9" w:rsidRPr="005B0796" w:rsidRDefault="003129E9" w:rsidP="00F75CF7">
            <w:pPr>
              <w:pStyle w:val="TableText"/>
              <w:rPr>
                <w:lang w:eastAsia="en-AU"/>
              </w:rPr>
            </w:pPr>
            <w:r w:rsidRPr="005B0796">
              <w:rPr>
                <w:lang w:eastAsia="en-AU"/>
              </w:rPr>
              <w:t>Alcohol dependence</w:t>
            </w:r>
          </w:p>
        </w:tc>
        <w:tc>
          <w:tcPr>
            <w:tcW w:w="810" w:type="dxa"/>
            <w:noWrap/>
            <w:hideMark/>
          </w:tcPr>
          <w:p w:rsidR="003129E9" w:rsidRPr="005B0796" w:rsidRDefault="003129E9" w:rsidP="00F75CF7">
            <w:pPr>
              <w:pStyle w:val="TableText"/>
              <w:jc w:val="right"/>
              <w:rPr>
                <w:lang w:eastAsia="en-AU"/>
              </w:rPr>
            </w:pPr>
            <w:r w:rsidRPr="005B0796">
              <w:rPr>
                <w:lang w:eastAsia="en-AU"/>
              </w:rPr>
              <w:t>517</w:t>
            </w:r>
          </w:p>
        </w:tc>
        <w:tc>
          <w:tcPr>
            <w:tcW w:w="571" w:type="dxa"/>
            <w:hideMark/>
          </w:tcPr>
          <w:p w:rsidR="003129E9" w:rsidRPr="005B0796" w:rsidRDefault="003129E9" w:rsidP="00F75CF7">
            <w:pPr>
              <w:pStyle w:val="TableText"/>
              <w:jc w:val="right"/>
              <w:rPr>
                <w:lang w:eastAsia="en-AU"/>
              </w:rPr>
            </w:pPr>
            <w:r w:rsidRPr="005B0796">
              <w:rPr>
                <w:lang w:eastAsia="en-AU"/>
              </w:rPr>
              <w:t>9.1</w:t>
            </w:r>
          </w:p>
        </w:tc>
        <w:tc>
          <w:tcPr>
            <w:tcW w:w="691" w:type="dxa"/>
            <w:hideMark/>
          </w:tcPr>
          <w:p w:rsidR="003129E9" w:rsidRPr="005B0796" w:rsidRDefault="003129E9" w:rsidP="00F75CF7">
            <w:pPr>
              <w:pStyle w:val="TableText"/>
              <w:jc w:val="right"/>
              <w:rPr>
                <w:lang w:eastAsia="en-AU"/>
              </w:rPr>
            </w:pPr>
            <w:r w:rsidRPr="005B0796">
              <w:rPr>
                <w:lang w:eastAsia="en-AU"/>
              </w:rPr>
              <w:t>4.6, 17.1</w:t>
            </w:r>
          </w:p>
        </w:tc>
        <w:tc>
          <w:tcPr>
            <w:tcW w:w="808" w:type="dxa"/>
            <w:noWrap/>
            <w:hideMark/>
          </w:tcPr>
          <w:p w:rsidR="003129E9" w:rsidRPr="005B0796" w:rsidRDefault="003129E9" w:rsidP="00F75CF7">
            <w:pPr>
              <w:pStyle w:val="TableText"/>
              <w:jc w:val="right"/>
              <w:rPr>
                <w:lang w:eastAsia="en-AU"/>
              </w:rPr>
            </w:pPr>
            <w:r w:rsidRPr="005B0796">
              <w:rPr>
                <w:lang w:eastAsia="en-AU"/>
              </w:rPr>
              <w:t>1481</w:t>
            </w:r>
          </w:p>
        </w:tc>
        <w:tc>
          <w:tcPr>
            <w:tcW w:w="450" w:type="dxa"/>
            <w:hideMark/>
          </w:tcPr>
          <w:p w:rsidR="003129E9" w:rsidRPr="005B0796" w:rsidRDefault="003129E9" w:rsidP="00F75CF7">
            <w:pPr>
              <w:pStyle w:val="TableText"/>
              <w:jc w:val="right"/>
              <w:rPr>
                <w:lang w:eastAsia="en-AU"/>
              </w:rPr>
            </w:pPr>
            <w:r w:rsidRPr="005B0796">
              <w:rPr>
                <w:lang w:eastAsia="en-AU"/>
              </w:rPr>
              <w:t>9.9</w:t>
            </w:r>
          </w:p>
        </w:tc>
        <w:tc>
          <w:tcPr>
            <w:tcW w:w="814" w:type="dxa"/>
            <w:hideMark/>
          </w:tcPr>
          <w:p w:rsidR="003129E9" w:rsidRPr="005B0796" w:rsidRDefault="003129E9" w:rsidP="00F75CF7">
            <w:pPr>
              <w:pStyle w:val="TableText"/>
              <w:jc w:val="right"/>
              <w:rPr>
                <w:lang w:eastAsia="en-AU"/>
              </w:rPr>
            </w:pPr>
            <w:r w:rsidRPr="005B0796">
              <w:rPr>
                <w:lang w:eastAsia="en-AU"/>
              </w:rPr>
              <w:t>6.2, 15.2</w:t>
            </w:r>
          </w:p>
        </w:tc>
        <w:tc>
          <w:tcPr>
            <w:tcW w:w="806" w:type="dxa"/>
            <w:noWrap/>
            <w:hideMark/>
          </w:tcPr>
          <w:p w:rsidR="003129E9" w:rsidRPr="005B0796" w:rsidRDefault="003129E9" w:rsidP="00F75CF7">
            <w:pPr>
              <w:pStyle w:val="TableText"/>
              <w:jc w:val="right"/>
              <w:rPr>
                <w:lang w:eastAsia="en-AU"/>
              </w:rPr>
            </w:pPr>
            <w:r w:rsidRPr="005B0796">
              <w:rPr>
                <w:lang w:eastAsia="en-AU"/>
              </w:rPr>
              <w:t>273</w:t>
            </w:r>
          </w:p>
        </w:tc>
        <w:tc>
          <w:tcPr>
            <w:tcW w:w="576" w:type="dxa"/>
            <w:hideMark/>
          </w:tcPr>
          <w:p w:rsidR="003129E9" w:rsidRPr="005B0796" w:rsidRDefault="003129E9" w:rsidP="00F75CF7">
            <w:pPr>
              <w:pStyle w:val="TableText"/>
              <w:jc w:val="right"/>
              <w:rPr>
                <w:lang w:eastAsia="en-AU"/>
              </w:rPr>
            </w:pPr>
            <w:r w:rsidRPr="005B0796">
              <w:rPr>
                <w:lang w:eastAsia="en-AU"/>
              </w:rPr>
              <w:t>6.5</w:t>
            </w:r>
          </w:p>
        </w:tc>
        <w:tc>
          <w:tcPr>
            <w:tcW w:w="691" w:type="dxa"/>
            <w:hideMark/>
          </w:tcPr>
          <w:p w:rsidR="003129E9" w:rsidRPr="005B0796" w:rsidRDefault="003129E9" w:rsidP="00F75CF7">
            <w:pPr>
              <w:pStyle w:val="TableText"/>
              <w:jc w:val="right"/>
              <w:rPr>
                <w:lang w:eastAsia="en-AU"/>
              </w:rPr>
            </w:pPr>
            <w:r w:rsidRPr="005B0796">
              <w:rPr>
                <w:lang w:eastAsia="en-AU"/>
              </w:rPr>
              <w:t>2.7, 14.6</w:t>
            </w:r>
          </w:p>
        </w:tc>
      </w:tr>
      <w:tr w:rsidR="003129E9" w:rsidRPr="005B0796" w:rsidTr="00C37D89">
        <w:trPr>
          <w:cnfStyle w:val="000000100000" w:firstRow="0" w:lastRow="0" w:firstColumn="0" w:lastColumn="0" w:oddVBand="0" w:evenVBand="0" w:oddHBand="1" w:evenHBand="0" w:firstRowFirstColumn="0" w:firstRowLastColumn="0" w:lastRowFirstColumn="0" w:lastRowLastColumn="0"/>
        </w:trPr>
        <w:tc>
          <w:tcPr>
            <w:tcW w:w="1098" w:type="dxa"/>
            <w:hideMark/>
          </w:tcPr>
          <w:p w:rsidR="003129E9" w:rsidRPr="005B0796" w:rsidRDefault="003129E9" w:rsidP="00F75CF7">
            <w:pPr>
              <w:pStyle w:val="TableText"/>
              <w:rPr>
                <w:lang w:eastAsia="en-AU"/>
              </w:rPr>
            </w:pPr>
            <w:r w:rsidRPr="005B0796">
              <w:rPr>
                <w:lang w:eastAsia="en-AU"/>
              </w:rPr>
              <w:t>Any alcohol disorder</w:t>
            </w:r>
          </w:p>
        </w:tc>
        <w:tc>
          <w:tcPr>
            <w:tcW w:w="810" w:type="dxa"/>
            <w:noWrap/>
            <w:hideMark/>
          </w:tcPr>
          <w:p w:rsidR="003129E9" w:rsidRPr="005B0796" w:rsidRDefault="003129E9" w:rsidP="00F75CF7">
            <w:pPr>
              <w:pStyle w:val="TableText"/>
              <w:jc w:val="right"/>
              <w:rPr>
                <w:lang w:eastAsia="en-AU"/>
              </w:rPr>
            </w:pPr>
            <w:r w:rsidRPr="005B0796">
              <w:rPr>
                <w:lang w:eastAsia="en-AU"/>
              </w:rPr>
              <w:t>760</w:t>
            </w:r>
          </w:p>
        </w:tc>
        <w:tc>
          <w:tcPr>
            <w:tcW w:w="571" w:type="dxa"/>
            <w:hideMark/>
          </w:tcPr>
          <w:p w:rsidR="003129E9" w:rsidRPr="005B0796" w:rsidRDefault="003129E9" w:rsidP="00F75CF7">
            <w:pPr>
              <w:pStyle w:val="TableText"/>
              <w:jc w:val="right"/>
              <w:rPr>
                <w:lang w:eastAsia="en-AU"/>
              </w:rPr>
            </w:pPr>
            <w:r w:rsidRPr="005B0796">
              <w:rPr>
                <w:lang w:eastAsia="en-AU"/>
              </w:rPr>
              <w:t>13.4</w:t>
            </w:r>
          </w:p>
        </w:tc>
        <w:tc>
          <w:tcPr>
            <w:tcW w:w="691" w:type="dxa"/>
            <w:hideMark/>
          </w:tcPr>
          <w:p w:rsidR="003129E9" w:rsidRPr="005B0796" w:rsidRDefault="003129E9" w:rsidP="00F75CF7">
            <w:pPr>
              <w:pStyle w:val="TableText"/>
              <w:jc w:val="right"/>
              <w:rPr>
                <w:lang w:eastAsia="en-AU"/>
              </w:rPr>
            </w:pPr>
            <w:r w:rsidRPr="005B0796">
              <w:rPr>
                <w:lang w:eastAsia="en-AU"/>
              </w:rPr>
              <w:t>7.5, 22.8</w:t>
            </w:r>
          </w:p>
        </w:tc>
        <w:tc>
          <w:tcPr>
            <w:tcW w:w="808" w:type="dxa"/>
            <w:noWrap/>
            <w:hideMark/>
          </w:tcPr>
          <w:p w:rsidR="003129E9" w:rsidRPr="005B0796" w:rsidRDefault="003129E9" w:rsidP="00F75CF7">
            <w:pPr>
              <w:pStyle w:val="TableText"/>
              <w:jc w:val="right"/>
              <w:rPr>
                <w:lang w:eastAsia="en-AU"/>
              </w:rPr>
            </w:pPr>
            <w:r w:rsidRPr="005B0796">
              <w:rPr>
                <w:lang w:eastAsia="en-AU"/>
              </w:rPr>
              <w:t>2173</w:t>
            </w:r>
          </w:p>
        </w:tc>
        <w:tc>
          <w:tcPr>
            <w:tcW w:w="450" w:type="dxa"/>
            <w:hideMark/>
          </w:tcPr>
          <w:p w:rsidR="003129E9" w:rsidRPr="005B0796" w:rsidRDefault="003129E9" w:rsidP="00F75CF7">
            <w:pPr>
              <w:pStyle w:val="TableText"/>
              <w:jc w:val="right"/>
              <w:rPr>
                <w:lang w:eastAsia="en-AU"/>
              </w:rPr>
            </w:pPr>
            <w:r w:rsidRPr="005B0796">
              <w:rPr>
                <w:lang w:eastAsia="en-AU"/>
              </w:rPr>
              <w:t>14.4</w:t>
            </w:r>
          </w:p>
        </w:tc>
        <w:tc>
          <w:tcPr>
            <w:tcW w:w="814" w:type="dxa"/>
            <w:hideMark/>
          </w:tcPr>
          <w:p w:rsidR="003129E9" w:rsidRPr="005B0796" w:rsidRDefault="003129E9" w:rsidP="00F75CF7">
            <w:pPr>
              <w:pStyle w:val="TableText"/>
              <w:jc w:val="right"/>
              <w:rPr>
                <w:lang w:eastAsia="en-AU"/>
              </w:rPr>
            </w:pPr>
            <w:r w:rsidRPr="005B0796">
              <w:rPr>
                <w:lang w:eastAsia="en-AU"/>
              </w:rPr>
              <w:t>10.2, 20.1</w:t>
            </w:r>
          </w:p>
        </w:tc>
        <w:tc>
          <w:tcPr>
            <w:tcW w:w="806" w:type="dxa"/>
            <w:noWrap/>
            <w:hideMark/>
          </w:tcPr>
          <w:p w:rsidR="003129E9" w:rsidRPr="005B0796" w:rsidRDefault="003129E9" w:rsidP="00F75CF7">
            <w:pPr>
              <w:pStyle w:val="TableText"/>
              <w:jc w:val="right"/>
              <w:rPr>
                <w:lang w:eastAsia="en-AU"/>
              </w:rPr>
            </w:pPr>
            <w:r w:rsidRPr="005B0796">
              <w:rPr>
                <w:lang w:eastAsia="en-AU"/>
              </w:rPr>
              <w:t>286</w:t>
            </w:r>
          </w:p>
        </w:tc>
        <w:tc>
          <w:tcPr>
            <w:tcW w:w="576" w:type="dxa"/>
            <w:hideMark/>
          </w:tcPr>
          <w:p w:rsidR="003129E9" w:rsidRPr="005B0796" w:rsidRDefault="003129E9" w:rsidP="00F75CF7">
            <w:pPr>
              <w:pStyle w:val="TableText"/>
              <w:jc w:val="right"/>
              <w:rPr>
                <w:lang w:eastAsia="en-AU"/>
              </w:rPr>
            </w:pPr>
            <w:r w:rsidRPr="005B0796">
              <w:rPr>
                <w:lang w:eastAsia="en-AU"/>
              </w:rPr>
              <w:t>6.8</w:t>
            </w:r>
          </w:p>
        </w:tc>
        <w:tc>
          <w:tcPr>
            <w:tcW w:w="691" w:type="dxa"/>
            <w:hideMark/>
          </w:tcPr>
          <w:p w:rsidR="003129E9" w:rsidRPr="005B0796" w:rsidRDefault="003129E9" w:rsidP="00F75CF7">
            <w:pPr>
              <w:pStyle w:val="TableText"/>
              <w:jc w:val="right"/>
              <w:rPr>
                <w:lang w:eastAsia="en-AU"/>
              </w:rPr>
            </w:pPr>
            <w:r w:rsidRPr="005B0796">
              <w:rPr>
                <w:lang w:eastAsia="en-AU"/>
              </w:rPr>
              <w:t>3.0, 14.8</w:t>
            </w:r>
          </w:p>
        </w:tc>
      </w:tr>
    </w:tbl>
    <w:p w:rsidR="003C56FB" w:rsidRPr="005B0796" w:rsidRDefault="003C56FB" w:rsidP="003C56FB">
      <w:pPr>
        <w:pStyle w:val="TableNotes"/>
      </w:pPr>
      <w:bookmarkStart w:id="655" w:name="_Ref484521136"/>
      <w:bookmarkStart w:id="656" w:name="_Toc482023838"/>
      <w:bookmarkStart w:id="657" w:name="_Toc487014374"/>
      <w:r w:rsidRPr="005B0796">
        <w:rPr>
          <w:vertAlign w:val="superscript"/>
        </w:rPr>
        <w:t>a</w:t>
      </w:r>
      <w:r w:rsidRPr="005B0796">
        <w:t xml:space="preserve"> Army vs Air Force: OR 14.7, 95% CI 2.0, 110.6; Navy vs Air Force: OR 11.7, 95% CI 1.4, 101.8</w:t>
      </w:r>
    </w:p>
    <w:p w:rsidR="003C56FB" w:rsidRPr="005B0796" w:rsidRDefault="003C56FB" w:rsidP="003C56FB">
      <w:pPr>
        <w:pStyle w:val="TableNotes"/>
      </w:pPr>
      <w:r w:rsidRPr="005B0796">
        <w:t xml:space="preserve">Note: 95% CI: 95% </w:t>
      </w:r>
      <w:r w:rsidR="00564689" w:rsidRPr="005B0796">
        <w:t>confidence interval</w:t>
      </w:r>
    </w:p>
    <w:p w:rsidR="003C56FB" w:rsidRPr="005B0796" w:rsidRDefault="003C56FB" w:rsidP="003C56FB">
      <w:pPr>
        <w:pStyle w:val="FigureName"/>
      </w:pPr>
      <w:bookmarkStart w:id="658" w:name="_Ref494280610"/>
      <w:bookmarkStart w:id="659" w:name="_Toc51190054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26</w:t>
      </w:r>
      <w:r w:rsidR="00D30A3C">
        <w:rPr>
          <w:noProof/>
        </w:rPr>
        <w:fldChar w:fldCharType="end"/>
      </w:r>
      <w:bookmarkEnd w:id="655"/>
      <w:bookmarkEnd w:id="658"/>
      <w:r w:rsidRPr="005B0796">
        <w:tab/>
        <w:t>Estimated prevalence of 12-month ICD-10 alcohol disorders in Transitioned ADF members, by alcohol disorder type (Navy, Army and Air Force)</w:t>
      </w:r>
      <w:bookmarkEnd w:id="656"/>
      <w:bookmarkEnd w:id="657"/>
      <w:bookmarkEnd w:id="659"/>
    </w:p>
    <w:tbl>
      <w:tblPr>
        <w:tblW w:w="5000" w:type="pct"/>
        <w:tblLayout w:type="fixed"/>
        <w:tblLook w:val="04A0" w:firstRow="1" w:lastRow="0" w:firstColumn="1" w:lastColumn="0" w:noHBand="0" w:noVBand="1"/>
      </w:tblPr>
      <w:tblGrid>
        <w:gridCol w:w="7315"/>
      </w:tblGrid>
      <w:tr w:rsidR="003129E9" w:rsidRPr="005B0796" w:rsidTr="00CF748E">
        <w:trPr>
          <w:cantSplit/>
        </w:trPr>
        <w:tc>
          <w:tcPr>
            <w:tcW w:w="8190" w:type="dxa"/>
          </w:tcPr>
          <w:p w:rsidR="003129E9" w:rsidRPr="005B0796" w:rsidRDefault="00D6667F" w:rsidP="00CF748E">
            <w:pPr>
              <w:keepNext/>
            </w:pPr>
            <w:r w:rsidRPr="005B0796">
              <w:rPr>
                <w:noProof/>
                <w:lang w:eastAsia="en-AU"/>
              </w:rPr>
              <w:drawing>
                <wp:inline distT="0" distB="0" distL="0" distR="0" wp14:anchorId="4D832218" wp14:editId="3ABFD181">
                  <wp:extent cx="4572000" cy="2743200"/>
                  <wp:effectExtent l="0" t="0" r="0" b="0"/>
                  <wp:docPr id="80" name="Chart 80" descr="Figure 4.26 Estimated prevalence of 12-month ICD-10 alcohol disorders in Transitioned ADF members, by alcohol disorder type (Navy, Army and Air 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rsidR="003C56FB" w:rsidRPr="005B0796" w:rsidRDefault="003C56FB" w:rsidP="003C56FB">
      <w:pPr>
        <w:pStyle w:val="TableNotes"/>
      </w:pPr>
      <w:r w:rsidRPr="005B0796">
        <w:t>Alcohol Harmful Use: Army vs Air Force: OR 14.7, 95% CI 2.0, 110.6; Navy vs Air Force: OR 11.7, 95% CI 1.4, 101.8</w:t>
      </w:r>
    </w:p>
    <w:p w:rsidR="003129E9" w:rsidRPr="005B0796" w:rsidRDefault="003129E9" w:rsidP="00CF748E">
      <w:pPr>
        <w:pStyle w:val="Heading4"/>
      </w:pPr>
      <w:r w:rsidRPr="005B0796">
        <w:t>Rank</w:t>
      </w:r>
    </w:p>
    <w:p w:rsidR="003129E9" w:rsidRPr="005B0796" w:rsidRDefault="009E72D3" w:rsidP="00CF748E">
      <w:r w:rsidRPr="005B0796">
        <w:t>Table 4.32</w:t>
      </w:r>
      <w:r w:rsidR="003129E9" w:rsidRPr="005B0796">
        <w:t xml:space="preserve"> and </w:t>
      </w:r>
      <w:r w:rsidRPr="005B0796">
        <w:t>Figure 4.27</w:t>
      </w:r>
      <w:r w:rsidR="003129E9" w:rsidRPr="005B0796">
        <w:t xml:space="preserve"> shows the impacts of rank at time of transition. Other Ranks had overall higher estimated rates of 12-month ICD-10 alcohol disorder (18.3%, 95% CI 12.6, 25.9) than Commissioned (6.5%, 95% CI 4.3, 9.7) and Non-Commissioned Officers (7.3%, 95% CI 5.3, 9.8), with estimated rates of alcohol dependence in particular higher among Other Ranks. </w:t>
      </w:r>
    </w:p>
    <w:p w:rsidR="003129E9" w:rsidRPr="005B0796" w:rsidRDefault="003129E9" w:rsidP="00CF748E">
      <w:r w:rsidRPr="005B0796">
        <w:t xml:space="preserve">Other Ranks were approximately three times more likely than Officers (OR 3.2, 95% CI 1.3, 7.9) and Non-Commissioned Officers (OR 2.9, 95% CI 1.3, 6.2) to meet 12-month criteria for </w:t>
      </w:r>
      <w:r w:rsidR="00462A0C" w:rsidRPr="005B0796">
        <w:t>‘</w:t>
      </w:r>
      <w:r w:rsidRPr="005B0796">
        <w:t>any alcohol disorder</w:t>
      </w:r>
      <w:r w:rsidR="00462A0C" w:rsidRPr="005B0796">
        <w:t>’</w:t>
      </w:r>
      <w:r w:rsidRPr="005B0796">
        <w:t>. While there was little difference in estimated rates of harmful use of alcohol between ranks, Other Ranks were just over three times more likely than Officers (OR 3.2, 95% CI 1.1, 9.1) and nearly four times more likely than Non-Commissioned Officers (OR 3.7, 95% CI 1.5, 9.3) to meet criteria for 12-month alcohol dependence.</w:t>
      </w:r>
    </w:p>
    <w:p w:rsidR="003129E9" w:rsidRPr="005B0796" w:rsidRDefault="003129E9" w:rsidP="00932E64">
      <w:pPr>
        <w:pStyle w:val="TableName"/>
      </w:pPr>
      <w:bookmarkStart w:id="660" w:name="_Ref484520029"/>
      <w:bookmarkStart w:id="661" w:name="_Toc482023796"/>
      <w:bookmarkStart w:id="662" w:name="_Toc487014283"/>
      <w:bookmarkStart w:id="663" w:name="_Toc492995586"/>
      <w:bookmarkStart w:id="664" w:name="_Toc51190043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32</w:t>
      </w:r>
      <w:r w:rsidR="00D30A3C">
        <w:rPr>
          <w:noProof/>
        </w:rPr>
        <w:fldChar w:fldCharType="end"/>
      </w:r>
      <w:bookmarkEnd w:id="660"/>
      <w:r w:rsidR="00932E64" w:rsidRPr="005B0796">
        <w:tab/>
      </w:r>
      <w:bookmarkEnd w:id="661"/>
      <w:r w:rsidRPr="005B0796">
        <w:t xml:space="preserve">Estimated prevalence of 12-month ICD-10 alcohol disorders in Transitioned ADF members, by alcohol disorder type and ADF rank/rank at time of transition from service in Regular </w:t>
      </w:r>
      <w:bookmarkEnd w:id="662"/>
      <w:r w:rsidRPr="005B0796">
        <w:t>ADF</w:t>
      </w:r>
      <w:bookmarkEnd w:id="663"/>
      <w:bookmarkEnd w:id="664"/>
    </w:p>
    <w:tbl>
      <w:tblPr>
        <w:tblStyle w:val="TWRPTable"/>
        <w:tblW w:w="5000" w:type="pct"/>
        <w:tblLayout w:type="fixed"/>
        <w:tblLook w:val="04A0" w:firstRow="1" w:lastRow="0" w:firstColumn="1" w:lastColumn="0" w:noHBand="0" w:noVBand="1"/>
        <w:tblDescription w:val="Table 4.32 Estimated prevalence of 12-month ICD-10 alcohol disorders in Transitioned ADF members, by alcohol disorder type and ADF rank/rank at time of transition from service in Regular ADF"/>
      </w:tblPr>
      <w:tblGrid>
        <w:gridCol w:w="1008"/>
        <w:gridCol w:w="810"/>
        <w:gridCol w:w="591"/>
        <w:gridCol w:w="701"/>
        <w:gridCol w:w="778"/>
        <w:gridCol w:w="623"/>
        <w:gridCol w:w="701"/>
        <w:gridCol w:w="836"/>
        <w:gridCol w:w="450"/>
        <w:gridCol w:w="817"/>
      </w:tblGrid>
      <w:tr w:rsidR="00C37D89" w:rsidRPr="005B0796" w:rsidTr="00BB6C7A">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Borders>
              <w:top w:val="single" w:sz="4" w:space="0" w:color="000000"/>
            </w:tcBorders>
            <w:noWrap/>
            <w:hideMark/>
          </w:tcPr>
          <w:p w:rsidR="00C37D89" w:rsidRPr="005B0796" w:rsidRDefault="00C37D89" w:rsidP="00CF748E">
            <w:pPr>
              <w:pStyle w:val="TableText"/>
              <w:rPr>
                <w:lang w:eastAsia="en-AU"/>
              </w:rPr>
            </w:pPr>
            <w:r w:rsidRPr="005B0796">
              <w:rPr>
                <w:lang w:eastAsia="en-AU"/>
              </w:rPr>
              <w:t>ICD-10 alcohol disorder</w:t>
            </w:r>
          </w:p>
        </w:tc>
        <w:tc>
          <w:tcPr>
            <w:tcW w:w="6307" w:type="dxa"/>
            <w:gridSpan w:val="9"/>
            <w:noWrap/>
            <w:hideMark/>
          </w:tcPr>
          <w:p w:rsidR="00C37D89" w:rsidRPr="005B0796" w:rsidRDefault="00C37D89" w:rsidP="00CF748E">
            <w:pPr>
              <w:pStyle w:val="TableText"/>
              <w:jc w:val="center"/>
              <w:rPr>
                <w:lang w:eastAsia="en-AU"/>
              </w:rPr>
            </w:pPr>
            <w:r w:rsidRPr="005B0796">
              <w:rPr>
                <w:lang w:eastAsia="en-AU"/>
              </w:rPr>
              <w:t>Rank at transition</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008" w:type="dxa"/>
            <w:vMerge/>
            <w:hideMark/>
          </w:tcPr>
          <w:p w:rsidR="00C37D89" w:rsidRPr="005B0796" w:rsidRDefault="00C37D89" w:rsidP="00CF748E">
            <w:pPr>
              <w:pStyle w:val="TableText"/>
              <w:rPr>
                <w:lang w:eastAsia="en-AU"/>
              </w:rPr>
            </w:pPr>
          </w:p>
        </w:tc>
        <w:tc>
          <w:tcPr>
            <w:tcW w:w="2102" w:type="dxa"/>
            <w:gridSpan w:val="3"/>
            <w:noWrap/>
            <w:hideMark/>
          </w:tcPr>
          <w:p w:rsidR="00C37D89" w:rsidRPr="005B0796" w:rsidRDefault="00C37D89" w:rsidP="00CF748E">
            <w:pPr>
              <w:pStyle w:val="TableText"/>
              <w:jc w:val="center"/>
              <w:rPr>
                <w:lang w:eastAsia="en-AU"/>
              </w:rPr>
            </w:pPr>
            <w:r w:rsidRPr="005B0796">
              <w:rPr>
                <w:lang w:eastAsia="en-AU"/>
              </w:rPr>
              <w:t>OFFR (n = 4063)</w:t>
            </w:r>
          </w:p>
        </w:tc>
        <w:tc>
          <w:tcPr>
            <w:tcW w:w="2102" w:type="dxa"/>
            <w:gridSpan w:val="3"/>
            <w:noWrap/>
            <w:hideMark/>
          </w:tcPr>
          <w:p w:rsidR="00C37D89" w:rsidRPr="005B0796" w:rsidRDefault="00C37D89" w:rsidP="00CF748E">
            <w:pPr>
              <w:pStyle w:val="TableText"/>
              <w:jc w:val="center"/>
              <w:rPr>
                <w:lang w:eastAsia="en-AU"/>
              </w:rPr>
            </w:pPr>
            <w:r w:rsidRPr="005B0796">
              <w:rPr>
                <w:lang w:eastAsia="en-AU"/>
              </w:rPr>
              <w:t>NCO (n = 7866)</w:t>
            </w:r>
          </w:p>
        </w:tc>
        <w:tc>
          <w:tcPr>
            <w:tcW w:w="2103" w:type="dxa"/>
            <w:gridSpan w:val="3"/>
            <w:noWrap/>
            <w:hideMark/>
          </w:tcPr>
          <w:p w:rsidR="00C37D89" w:rsidRPr="005B0796" w:rsidRDefault="00C37D89" w:rsidP="00CF748E">
            <w:pPr>
              <w:pStyle w:val="TableText"/>
              <w:jc w:val="center"/>
              <w:rPr>
                <w:lang w:eastAsia="en-AU"/>
              </w:rPr>
            </w:pPr>
            <w:r w:rsidRPr="005B0796">
              <w:rPr>
                <w:lang w:eastAsia="en-AU"/>
              </w:rPr>
              <w:t>Other Ranks (n = 13,003)</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rHeight w:val="350"/>
          <w:tblHeader/>
        </w:trPr>
        <w:tc>
          <w:tcPr>
            <w:tcW w:w="1008" w:type="dxa"/>
            <w:vMerge/>
            <w:noWrap/>
            <w:hideMark/>
          </w:tcPr>
          <w:p w:rsidR="00C37D89" w:rsidRPr="005B0796" w:rsidRDefault="00C37D89" w:rsidP="00CF748E">
            <w:pPr>
              <w:pStyle w:val="TableText"/>
              <w:rPr>
                <w:lang w:eastAsia="en-AU"/>
              </w:rPr>
            </w:pPr>
          </w:p>
        </w:tc>
        <w:tc>
          <w:tcPr>
            <w:tcW w:w="810" w:type="dxa"/>
            <w:noWrap/>
            <w:hideMark/>
          </w:tcPr>
          <w:p w:rsidR="00C37D89" w:rsidRPr="005B0796" w:rsidRDefault="00C37D89" w:rsidP="00CF748E">
            <w:pPr>
              <w:pStyle w:val="TableText"/>
              <w:jc w:val="right"/>
              <w:rPr>
                <w:lang w:eastAsia="en-AU"/>
              </w:rPr>
            </w:pPr>
            <w:r w:rsidRPr="005B0796">
              <w:rPr>
                <w:lang w:eastAsia="en-AU"/>
              </w:rPr>
              <w:t>Weighted n</w:t>
            </w:r>
          </w:p>
        </w:tc>
        <w:tc>
          <w:tcPr>
            <w:tcW w:w="591" w:type="dxa"/>
            <w:hideMark/>
          </w:tcPr>
          <w:p w:rsidR="00C37D89" w:rsidRPr="005B0796" w:rsidRDefault="00C37D89" w:rsidP="00CF748E">
            <w:pPr>
              <w:pStyle w:val="TableText"/>
              <w:jc w:val="right"/>
              <w:rPr>
                <w:lang w:eastAsia="en-AU"/>
              </w:rPr>
            </w:pPr>
            <w:r w:rsidRPr="005B0796">
              <w:rPr>
                <w:lang w:eastAsia="en-AU"/>
              </w:rPr>
              <w:t>%</w:t>
            </w:r>
          </w:p>
        </w:tc>
        <w:tc>
          <w:tcPr>
            <w:tcW w:w="701" w:type="dxa"/>
            <w:hideMark/>
          </w:tcPr>
          <w:p w:rsidR="00C37D89" w:rsidRPr="005B0796" w:rsidRDefault="00C37D89" w:rsidP="00CF748E">
            <w:pPr>
              <w:pStyle w:val="TableText"/>
              <w:jc w:val="right"/>
              <w:rPr>
                <w:lang w:eastAsia="en-AU"/>
              </w:rPr>
            </w:pPr>
            <w:r w:rsidRPr="005B0796">
              <w:rPr>
                <w:lang w:eastAsia="en-AU"/>
              </w:rPr>
              <w:t>95% CI</w:t>
            </w:r>
          </w:p>
        </w:tc>
        <w:tc>
          <w:tcPr>
            <w:tcW w:w="778" w:type="dxa"/>
            <w:noWrap/>
            <w:hideMark/>
          </w:tcPr>
          <w:p w:rsidR="00C37D89" w:rsidRPr="005B0796" w:rsidRDefault="00C37D89" w:rsidP="00CF748E">
            <w:pPr>
              <w:pStyle w:val="TableText"/>
              <w:jc w:val="right"/>
              <w:rPr>
                <w:lang w:eastAsia="en-AU"/>
              </w:rPr>
            </w:pPr>
            <w:r w:rsidRPr="005B0796">
              <w:rPr>
                <w:lang w:eastAsia="en-AU"/>
              </w:rPr>
              <w:t>Weighted n</w:t>
            </w:r>
          </w:p>
        </w:tc>
        <w:tc>
          <w:tcPr>
            <w:tcW w:w="623" w:type="dxa"/>
            <w:hideMark/>
          </w:tcPr>
          <w:p w:rsidR="00C37D89" w:rsidRPr="005B0796" w:rsidRDefault="00C37D89" w:rsidP="00CF748E">
            <w:pPr>
              <w:pStyle w:val="TableText"/>
              <w:jc w:val="right"/>
              <w:rPr>
                <w:lang w:eastAsia="en-AU"/>
              </w:rPr>
            </w:pPr>
            <w:r w:rsidRPr="005B0796">
              <w:rPr>
                <w:lang w:eastAsia="en-AU"/>
              </w:rPr>
              <w:t>%</w:t>
            </w:r>
          </w:p>
        </w:tc>
        <w:tc>
          <w:tcPr>
            <w:tcW w:w="701" w:type="dxa"/>
            <w:hideMark/>
          </w:tcPr>
          <w:p w:rsidR="00C37D89" w:rsidRPr="005B0796" w:rsidRDefault="00C37D89" w:rsidP="00CF748E">
            <w:pPr>
              <w:pStyle w:val="TableText"/>
              <w:jc w:val="right"/>
              <w:rPr>
                <w:lang w:eastAsia="en-AU"/>
              </w:rPr>
            </w:pPr>
            <w:r w:rsidRPr="005B0796">
              <w:rPr>
                <w:lang w:eastAsia="en-AU"/>
              </w:rPr>
              <w:t>95% CI</w:t>
            </w:r>
          </w:p>
        </w:tc>
        <w:tc>
          <w:tcPr>
            <w:tcW w:w="836" w:type="dxa"/>
            <w:noWrap/>
            <w:hideMark/>
          </w:tcPr>
          <w:p w:rsidR="00C37D89" w:rsidRPr="005B0796" w:rsidRDefault="00C37D89" w:rsidP="00CF748E">
            <w:pPr>
              <w:pStyle w:val="TableText"/>
              <w:jc w:val="right"/>
              <w:rPr>
                <w:lang w:eastAsia="en-AU"/>
              </w:rPr>
            </w:pPr>
            <w:r w:rsidRPr="005B0796">
              <w:rPr>
                <w:lang w:eastAsia="en-AU"/>
              </w:rPr>
              <w:t>Weighted n</w:t>
            </w:r>
          </w:p>
        </w:tc>
        <w:tc>
          <w:tcPr>
            <w:tcW w:w="450" w:type="dxa"/>
            <w:hideMark/>
          </w:tcPr>
          <w:p w:rsidR="00C37D89" w:rsidRPr="005B0796" w:rsidRDefault="00C37D89" w:rsidP="00CF748E">
            <w:pPr>
              <w:pStyle w:val="TableText"/>
              <w:jc w:val="right"/>
              <w:rPr>
                <w:lang w:eastAsia="en-AU"/>
              </w:rPr>
            </w:pPr>
            <w:r w:rsidRPr="005B0796">
              <w:rPr>
                <w:lang w:eastAsia="en-AU"/>
              </w:rPr>
              <w:t>%</w:t>
            </w:r>
          </w:p>
        </w:tc>
        <w:tc>
          <w:tcPr>
            <w:tcW w:w="817" w:type="dxa"/>
            <w:hideMark/>
          </w:tcPr>
          <w:p w:rsidR="00C37D89" w:rsidRPr="005B0796" w:rsidRDefault="00C37D89" w:rsidP="00CF748E">
            <w:pPr>
              <w:pStyle w:val="TableText"/>
              <w:jc w:val="right"/>
              <w:rPr>
                <w:lang w:eastAsia="en-AU"/>
              </w:rPr>
            </w:pPr>
            <w:r w:rsidRPr="005B0796">
              <w:rPr>
                <w:lang w:eastAsia="en-AU"/>
              </w:rPr>
              <w:t>95% CI</w:t>
            </w:r>
          </w:p>
        </w:tc>
      </w:tr>
      <w:tr w:rsidR="003129E9" w:rsidRPr="005B0796" w:rsidTr="00C37D89">
        <w:trPr>
          <w:cnfStyle w:val="000000100000" w:firstRow="0" w:lastRow="0" w:firstColumn="0" w:lastColumn="0" w:oddVBand="0" w:evenVBand="0" w:oddHBand="1" w:evenHBand="0" w:firstRowFirstColumn="0" w:firstRowLastColumn="0" w:lastRowFirstColumn="0" w:lastRowLastColumn="0"/>
        </w:trPr>
        <w:tc>
          <w:tcPr>
            <w:tcW w:w="1008" w:type="dxa"/>
            <w:noWrap/>
            <w:hideMark/>
          </w:tcPr>
          <w:p w:rsidR="003129E9" w:rsidRPr="005B0796" w:rsidRDefault="003129E9" w:rsidP="00CF748E">
            <w:pPr>
              <w:pStyle w:val="TableText"/>
              <w:rPr>
                <w:lang w:eastAsia="en-AU"/>
              </w:rPr>
            </w:pPr>
            <w:r w:rsidRPr="005B0796">
              <w:rPr>
                <w:lang w:eastAsia="en-AU"/>
              </w:rPr>
              <w:t>Alcohol harmful use</w:t>
            </w:r>
          </w:p>
        </w:tc>
        <w:tc>
          <w:tcPr>
            <w:tcW w:w="810" w:type="dxa"/>
            <w:noWrap/>
            <w:hideMark/>
          </w:tcPr>
          <w:p w:rsidR="003129E9" w:rsidRPr="005B0796" w:rsidRDefault="003129E9" w:rsidP="00CF748E">
            <w:pPr>
              <w:pStyle w:val="TableText"/>
              <w:jc w:val="right"/>
              <w:rPr>
                <w:lang w:eastAsia="en-AU"/>
              </w:rPr>
            </w:pPr>
            <w:r w:rsidRPr="005B0796">
              <w:rPr>
                <w:lang w:eastAsia="en-AU"/>
              </w:rPr>
              <w:t>90</w:t>
            </w:r>
          </w:p>
        </w:tc>
        <w:tc>
          <w:tcPr>
            <w:tcW w:w="591" w:type="dxa"/>
            <w:hideMark/>
          </w:tcPr>
          <w:p w:rsidR="003129E9" w:rsidRPr="005B0796" w:rsidRDefault="003129E9" w:rsidP="00CF748E">
            <w:pPr>
              <w:pStyle w:val="TableText"/>
              <w:jc w:val="right"/>
              <w:rPr>
                <w:lang w:eastAsia="en-AU"/>
              </w:rPr>
            </w:pPr>
            <w:r w:rsidRPr="005B0796">
              <w:rPr>
                <w:lang w:eastAsia="en-AU"/>
              </w:rPr>
              <w:t>2.2</w:t>
            </w:r>
          </w:p>
        </w:tc>
        <w:tc>
          <w:tcPr>
            <w:tcW w:w="701" w:type="dxa"/>
            <w:hideMark/>
          </w:tcPr>
          <w:p w:rsidR="003129E9" w:rsidRPr="005B0796" w:rsidRDefault="003129E9" w:rsidP="00CF748E">
            <w:pPr>
              <w:pStyle w:val="TableText"/>
              <w:jc w:val="right"/>
              <w:rPr>
                <w:lang w:eastAsia="en-AU"/>
              </w:rPr>
            </w:pPr>
            <w:r w:rsidRPr="005B0796">
              <w:rPr>
                <w:lang w:eastAsia="en-AU"/>
              </w:rPr>
              <w:t>1.1, 4.6</w:t>
            </w:r>
          </w:p>
        </w:tc>
        <w:tc>
          <w:tcPr>
            <w:tcW w:w="778" w:type="dxa"/>
            <w:noWrap/>
            <w:hideMark/>
          </w:tcPr>
          <w:p w:rsidR="003129E9" w:rsidRPr="005B0796" w:rsidRDefault="003129E9" w:rsidP="00CF748E">
            <w:pPr>
              <w:pStyle w:val="TableText"/>
              <w:jc w:val="right"/>
              <w:rPr>
                <w:lang w:eastAsia="en-AU"/>
              </w:rPr>
            </w:pPr>
            <w:r w:rsidRPr="005B0796">
              <w:rPr>
                <w:lang w:eastAsia="en-AU"/>
              </w:rPr>
              <w:t>272</w:t>
            </w:r>
          </w:p>
        </w:tc>
        <w:tc>
          <w:tcPr>
            <w:tcW w:w="623" w:type="dxa"/>
            <w:hideMark/>
          </w:tcPr>
          <w:p w:rsidR="003129E9" w:rsidRPr="005B0796" w:rsidRDefault="003129E9" w:rsidP="00CF748E">
            <w:pPr>
              <w:pStyle w:val="TableText"/>
              <w:jc w:val="right"/>
              <w:rPr>
                <w:lang w:eastAsia="en-AU"/>
              </w:rPr>
            </w:pPr>
            <w:r w:rsidRPr="005B0796">
              <w:rPr>
                <w:lang w:eastAsia="en-AU"/>
              </w:rPr>
              <w:t>3.5</w:t>
            </w:r>
          </w:p>
        </w:tc>
        <w:tc>
          <w:tcPr>
            <w:tcW w:w="701" w:type="dxa"/>
            <w:hideMark/>
          </w:tcPr>
          <w:p w:rsidR="003129E9" w:rsidRPr="005B0796" w:rsidRDefault="003129E9" w:rsidP="00CF748E">
            <w:pPr>
              <w:pStyle w:val="TableText"/>
              <w:jc w:val="right"/>
              <w:rPr>
                <w:lang w:eastAsia="en-AU"/>
              </w:rPr>
            </w:pPr>
            <w:r w:rsidRPr="005B0796">
              <w:rPr>
                <w:lang w:eastAsia="en-AU"/>
              </w:rPr>
              <w:t>2.2, 5.3</w:t>
            </w:r>
          </w:p>
        </w:tc>
        <w:tc>
          <w:tcPr>
            <w:tcW w:w="836" w:type="dxa"/>
            <w:noWrap/>
            <w:hideMark/>
          </w:tcPr>
          <w:p w:rsidR="003129E9" w:rsidRPr="005B0796" w:rsidRDefault="003129E9" w:rsidP="00CF748E">
            <w:pPr>
              <w:pStyle w:val="TableText"/>
              <w:jc w:val="right"/>
              <w:rPr>
                <w:lang w:eastAsia="en-AU"/>
              </w:rPr>
            </w:pPr>
            <w:r w:rsidRPr="005B0796">
              <w:rPr>
                <w:lang w:eastAsia="en-AU"/>
              </w:rPr>
              <w:t>585</w:t>
            </w:r>
          </w:p>
        </w:tc>
        <w:tc>
          <w:tcPr>
            <w:tcW w:w="450" w:type="dxa"/>
            <w:hideMark/>
          </w:tcPr>
          <w:p w:rsidR="003129E9" w:rsidRPr="005B0796" w:rsidRDefault="003129E9" w:rsidP="00CF748E">
            <w:pPr>
              <w:pStyle w:val="TableText"/>
              <w:jc w:val="right"/>
              <w:rPr>
                <w:lang w:eastAsia="en-AU"/>
              </w:rPr>
            </w:pPr>
            <w:r w:rsidRPr="005B0796">
              <w:rPr>
                <w:lang w:eastAsia="en-AU"/>
              </w:rPr>
              <w:t>4.5</w:t>
            </w:r>
          </w:p>
        </w:tc>
        <w:tc>
          <w:tcPr>
            <w:tcW w:w="817" w:type="dxa"/>
            <w:hideMark/>
          </w:tcPr>
          <w:p w:rsidR="003129E9" w:rsidRPr="005B0796" w:rsidRDefault="003129E9" w:rsidP="00CF748E">
            <w:pPr>
              <w:pStyle w:val="TableText"/>
              <w:jc w:val="right"/>
              <w:rPr>
                <w:lang w:eastAsia="en-AU"/>
              </w:rPr>
            </w:pPr>
            <w:r w:rsidRPr="005B0796">
              <w:rPr>
                <w:lang w:eastAsia="en-AU"/>
              </w:rPr>
              <w:t>2.0, 9.7</w:t>
            </w:r>
          </w:p>
        </w:tc>
      </w:tr>
      <w:tr w:rsidR="003129E9" w:rsidRPr="005B0796" w:rsidTr="00C37D89">
        <w:tc>
          <w:tcPr>
            <w:tcW w:w="1008" w:type="dxa"/>
            <w:noWrap/>
            <w:hideMark/>
          </w:tcPr>
          <w:p w:rsidR="003129E9" w:rsidRPr="005B0796" w:rsidRDefault="003129E9" w:rsidP="00CF748E">
            <w:pPr>
              <w:pStyle w:val="TableText"/>
              <w:rPr>
                <w:lang w:eastAsia="en-AU"/>
              </w:rPr>
            </w:pPr>
            <w:r w:rsidRPr="005B0796">
              <w:rPr>
                <w:lang w:eastAsia="en-AU"/>
              </w:rPr>
              <w:t>Alcohol dependence</w:t>
            </w:r>
            <w:r w:rsidRPr="005B0796">
              <w:rPr>
                <w:vertAlign w:val="superscript"/>
                <w:lang w:eastAsia="en-AU"/>
              </w:rPr>
              <w:t>a</w:t>
            </w:r>
          </w:p>
        </w:tc>
        <w:tc>
          <w:tcPr>
            <w:tcW w:w="810" w:type="dxa"/>
            <w:noWrap/>
            <w:hideMark/>
          </w:tcPr>
          <w:p w:rsidR="003129E9" w:rsidRPr="005B0796" w:rsidRDefault="003129E9" w:rsidP="00CF748E">
            <w:pPr>
              <w:pStyle w:val="TableText"/>
              <w:jc w:val="right"/>
              <w:rPr>
                <w:lang w:eastAsia="en-AU"/>
              </w:rPr>
            </w:pPr>
            <w:r w:rsidRPr="005B0796">
              <w:rPr>
                <w:lang w:eastAsia="en-AU"/>
              </w:rPr>
              <w:t>173</w:t>
            </w:r>
          </w:p>
        </w:tc>
        <w:tc>
          <w:tcPr>
            <w:tcW w:w="591" w:type="dxa"/>
            <w:hideMark/>
          </w:tcPr>
          <w:p w:rsidR="003129E9" w:rsidRPr="005B0796" w:rsidRDefault="003129E9" w:rsidP="00CF748E">
            <w:pPr>
              <w:pStyle w:val="TableText"/>
              <w:jc w:val="right"/>
              <w:rPr>
                <w:lang w:eastAsia="en-AU"/>
              </w:rPr>
            </w:pPr>
            <w:r w:rsidRPr="005B0796">
              <w:rPr>
                <w:lang w:eastAsia="en-AU"/>
              </w:rPr>
              <w:t>4.2</w:t>
            </w:r>
          </w:p>
        </w:tc>
        <w:tc>
          <w:tcPr>
            <w:tcW w:w="701" w:type="dxa"/>
            <w:hideMark/>
          </w:tcPr>
          <w:p w:rsidR="003129E9" w:rsidRPr="005B0796" w:rsidRDefault="003129E9" w:rsidP="00CF748E">
            <w:pPr>
              <w:pStyle w:val="TableText"/>
              <w:jc w:val="right"/>
              <w:rPr>
                <w:lang w:eastAsia="en-AU"/>
              </w:rPr>
            </w:pPr>
            <w:r w:rsidRPr="005B0796">
              <w:rPr>
                <w:lang w:eastAsia="en-AU"/>
              </w:rPr>
              <w:t>2.5, 7.1</w:t>
            </w:r>
          </w:p>
        </w:tc>
        <w:tc>
          <w:tcPr>
            <w:tcW w:w="778" w:type="dxa"/>
            <w:noWrap/>
            <w:hideMark/>
          </w:tcPr>
          <w:p w:rsidR="003129E9" w:rsidRPr="005B0796" w:rsidRDefault="003129E9" w:rsidP="00CF748E">
            <w:pPr>
              <w:pStyle w:val="TableText"/>
              <w:jc w:val="right"/>
              <w:rPr>
                <w:lang w:eastAsia="en-AU"/>
              </w:rPr>
            </w:pPr>
            <w:r w:rsidRPr="005B0796">
              <w:rPr>
                <w:lang w:eastAsia="en-AU"/>
              </w:rPr>
              <w:t>299</w:t>
            </w:r>
          </w:p>
        </w:tc>
        <w:tc>
          <w:tcPr>
            <w:tcW w:w="623" w:type="dxa"/>
            <w:hideMark/>
          </w:tcPr>
          <w:p w:rsidR="003129E9" w:rsidRPr="005B0796" w:rsidRDefault="003129E9" w:rsidP="00CF748E">
            <w:pPr>
              <w:pStyle w:val="TableText"/>
              <w:jc w:val="right"/>
              <w:rPr>
                <w:lang w:eastAsia="en-AU"/>
              </w:rPr>
            </w:pPr>
            <w:r w:rsidRPr="005B0796">
              <w:rPr>
                <w:lang w:eastAsia="en-AU"/>
              </w:rPr>
              <w:t>3.8</w:t>
            </w:r>
          </w:p>
        </w:tc>
        <w:tc>
          <w:tcPr>
            <w:tcW w:w="701" w:type="dxa"/>
            <w:hideMark/>
          </w:tcPr>
          <w:p w:rsidR="003129E9" w:rsidRPr="005B0796" w:rsidRDefault="003129E9" w:rsidP="00CF748E">
            <w:pPr>
              <w:pStyle w:val="TableText"/>
              <w:jc w:val="right"/>
              <w:rPr>
                <w:lang w:eastAsia="en-AU"/>
              </w:rPr>
            </w:pPr>
            <w:r w:rsidRPr="005B0796">
              <w:rPr>
                <w:lang w:eastAsia="en-AU"/>
              </w:rPr>
              <w:t>2.4, 5.9</w:t>
            </w:r>
          </w:p>
        </w:tc>
        <w:tc>
          <w:tcPr>
            <w:tcW w:w="836" w:type="dxa"/>
            <w:noWrap/>
            <w:hideMark/>
          </w:tcPr>
          <w:p w:rsidR="003129E9" w:rsidRPr="005B0796" w:rsidRDefault="003129E9" w:rsidP="00CF748E">
            <w:pPr>
              <w:pStyle w:val="TableText"/>
              <w:jc w:val="right"/>
              <w:rPr>
                <w:lang w:eastAsia="en-AU"/>
              </w:rPr>
            </w:pPr>
            <w:r w:rsidRPr="005B0796">
              <w:rPr>
                <w:lang w:eastAsia="en-AU"/>
              </w:rPr>
              <w:t>1799</w:t>
            </w:r>
          </w:p>
        </w:tc>
        <w:tc>
          <w:tcPr>
            <w:tcW w:w="450" w:type="dxa"/>
            <w:hideMark/>
          </w:tcPr>
          <w:p w:rsidR="003129E9" w:rsidRPr="005B0796" w:rsidRDefault="003129E9" w:rsidP="00CF748E">
            <w:pPr>
              <w:pStyle w:val="TableText"/>
              <w:jc w:val="right"/>
              <w:rPr>
                <w:lang w:eastAsia="en-AU"/>
              </w:rPr>
            </w:pPr>
            <w:r w:rsidRPr="005B0796">
              <w:rPr>
                <w:lang w:eastAsia="en-AU"/>
              </w:rPr>
              <w:t>13.8</w:t>
            </w:r>
          </w:p>
        </w:tc>
        <w:tc>
          <w:tcPr>
            <w:tcW w:w="817" w:type="dxa"/>
            <w:hideMark/>
          </w:tcPr>
          <w:p w:rsidR="003129E9" w:rsidRPr="005B0796" w:rsidRDefault="003129E9" w:rsidP="00CF748E">
            <w:pPr>
              <w:pStyle w:val="TableText"/>
              <w:jc w:val="right"/>
              <w:rPr>
                <w:lang w:eastAsia="en-AU"/>
              </w:rPr>
            </w:pPr>
            <w:r w:rsidRPr="005B0796">
              <w:rPr>
                <w:lang w:eastAsia="en-AU"/>
              </w:rPr>
              <w:t>8.9, 20.8</w:t>
            </w:r>
          </w:p>
        </w:tc>
      </w:tr>
      <w:tr w:rsidR="003129E9" w:rsidRPr="005B0796" w:rsidTr="00C37D89">
        <w:trPr>
          <w:cnfStyle w:val="000000100000" w:firstRow="0" w:lastRow="0" w:firstColumn="0" w:lastColumn="0" w:oddVBand="0" w:evenVBand="0" w:oddHBand="1" w:evenHBand="0" w:firstRowFirstColumn="0" w:firstRowLastColumn="0" w:lastRowFirstColumn="0" w:lastRowLastColumn="0"/>
        </w:trPr>
        <w:tc>
          <w:tcPr>
            <w:tcW w:w="1008" w:type="dxa"/>
            <w:hideMark/>
          </w:tcPr>
          <w:p w:rsidR="003129E9" w:rsidRPr="005B0796" w:rsidRDefault="003129E9" w:rsidP="00CF748E">
            <w:pPr>
              <w:pStyle w:val="TableText"/>
              <w:rPr>
                <w:lang w:eastAsia="en-AU"/>
              </w:rPr>
            </w:pPr>
            <w:r w:rsidRPr="005B0796">
              <w:rPr>
                <w:lang w:eastAsia="en-AU"/>
              </w:rPr>
              <w:t>Any alcohol disorder</w:t>
            </w:r>
            <w:r w:rsidRPr="005B0796">
              <w:rPr>
                <w:vertAlign w:val="superscript"/>
                <w:lang w:eastAsia="en-AU"/>
              </w:rPr>
              <w:t>b</w:t>
            </w:r>
          </w:p>
        </w:tc>
        <w:tc>
          <w:tcPr>
            <w:tcW w:w="810" w:type="dxa"/>
            <w:noWrap/>
            <w:hideMark/>
          </w:tcPr>
          <w:p w:rsidR="003129E9" w:rsidRPr="005B0796" w:rsidRDefault="003129E9" w:rsidP="00CF748E">
            <w:pPr>
              <w:pStyle w:val="TableText"/>
              <w:jc w:val="right"/>
              <w:rPr>
                <w:lang w:eastAsia="en-AU"/>
              </w:rPr>
            </w:pPr>
            <w:r w:rsidRPr="005B0796">
              <w:rPr>
                <w:lang w:eastAsia="en-AU"/>
              </w:rPr>
              <w:t>263</w:t>
            </w:r>
          </w:p>
        </w:tc>
        <w:tc>
          <w:tcPr>
            <w:tcW w:w="591" w:type="dxa"/>
            <w:hideMark/>
          </w:tcPr>
          <w:p w:rsidR="003129E9" w:rsidRPr="005B0796" w:rsidRDefault="003129E9" w:rsidP="00CF748E">
            <w:pPr>
              <w:pStyle w:val="TableText"/>
              <w:jc w:val="right"/>
              <w:rPr>
                <w:lang w:eastAsia="en-AU"/>
              </w:rPr>
            </w:pPr>
            <w:r w:rsidRPr="005B0796">
              <w:rPr>
                <w:lang w:eastAsia="en-AU"/>
              </w:rPr>
              <w:t>6.5</w:t>
            </w:r>
          </w:p>
        </w:tc>
        <w:tc>
          <w:tcPr>
            <w:tcW w:w="701" w:type="dxa"/>
            <w:hideMark/>
          </w:tcPr>
          <w:p w:rsidR="003129E9" w:rsidRPr="005B0796" w:rsidRDefault="003129E9" w:rsidP="00CF748E">
            <w:pPr>
              <w:pStyle w:val="TableText"/>
              <w:jc w:val="right"/>
              <w:rPr>
                <w:lang w:eastAsia="en-AU"/>
              </w:rPr>
            </w:pPr>
            <w:r w:rsidRPr="005B0796">
              <w:rPr>
                <w:lang w:eastAsia="en-AU"/>
              </w:rPr>
              <w:t>4.3, 9.7</w:t>
            </w:r>
          </w:p>
        </w:tc>
        <w:tc>
          <w:tcPr>
            <w:tcW w:w="778" w:type="dxa"/>
            <w:noWrap/>
            <w:hideMark/>
          </w:tcPr>
          <w:p w:rsidR="003129E9" w:rsidRPr="005B0796" w:rsidRDefault="003129E9" w:rsidP="00CF748E">
            <w:pPr>
              <w:pStyle w:val="TableText"/>
              <w:jc w:val="right"/>
              <w:rPr>
                <w:lang w:eastAsia="en-AU"/>
              </w:rPr>
            </w:pPr>
            <w:r w:rsidRPr="005B0796">
              <w:rPr>
                <w:lang w:eastAsia="en-AU"/>
              </w:rPr>
              <w:t>571</w:t>
            </w:r>
          </w:p>
        </w:tc>
        <w:tc>
          <w:tcPr>
            <w:tcW w:w="623" w:type="dxa"/>
            <w:hideMark/>
          </w:tcPr>
          <w:p w:rsidR="003129E9" w:rsidRPr="005B0796" w:rsidRDefault="003129E9" w:rsidP="00CF748E">
            <w:pPr>
              <w:pStyle w:val="TableText"/>
              <w:jc w:val="right"/>
              <w:rPr>
                <w:lang w:eastAsia="en-AU"/>
              </w:rPr>
            </w:pPr>
            <w:r w:rsidRPr="005B0796">
              <w:rPr>
                <w:lang w:eastAsia="en-AU"/>
              </w:rPr>
              <w:t>7.3</w:t>
            </w:r>
          </w:p>
        </w:tc>
        <w:tc>
          <w:tcPr>
            <w:tcW w:w="701" w:type="dxa"/>
            <w:hideMark/>
          </w:tcPr>
          <w:p w:rsidR="003129E9" w:rsidRPr="005B0796" w:rsidRDefault="003129E9" w:rsidP="00CF748E">
            <w:pPr>
              <w:pStyle w:val="TableText"/>
              <w:jc w:val="right"/>
              <w:rPr>
                <w:lang w:eastAsia="en-AU"/>
              </w:rPr>
            </w:pPr>
            <w:r w:rsidRPr="005B0796">
              <w:rPr>
                <w:lang w:eastAsia="en-AU"/>
              </w:rPr>
              <w:t>5.3, 9.8</w:t>
            </w:r>
          </w:p>
        </w:tc>
        <w:tc>
          <w:tcPr>
            <w:tcW w:w="836" w:type="dxa"/>
            <w:noWrap/>
            <w:hideMark/>
          </w:tcPr>
          <w:p w:rsidR="003129E9" w:rsidRPr="005B0796" w:rsidRDefault="003129E9" w:rsidP="00CF748E">
            <w:pPr>
              <w:pStyle w:val="TableText"/>
              <w:jc w:val="right"/>
              <w:rPr>
                <w:lang w:eastAsia="en-AU"/>
              </w:rPr>
            </w:pPr>
            <w:r w:rsidRPr="005B0796">
              <w:rPr>
                <w:lang w:eastAsia="en-AU"/>
              </w:rPr>
              <w:t>2385</w:t>
            </w:r>
          </w:p>
        </w:tc>
        <w:tc>
          <w:tcPr>
            <w:tcW w:w="450" w:type="dxa"/>
            <w:hideMark/>
          </w:tcPr>
          <w:p w:rsidR="003129E9" w:rsidRPr="005B0796" w:rsidRDefault="003129E9" w:rsidP="00CF748E">
            <w:pPr>
              <w:pStyle w:val="TableText"/>
              <w:jc w:val="right"/>
              <w:rPr>
                <w:lang w:eastAsia="en-AU"/>
              </w:rPr>
            </w:pPr>
            <w:r w:rsidRPr="005B0796">
              <w:rPr>
                <w:lang w:eastAsia="en-AU"/>
              </w:rPr>
              <w:t>18.3</w:t>
            </w:r>
          </w:p>
        </w:tc>
        <w:tc>
          <w:tcPr>
            <w:tcW w:w="817" w:type="dxa"/>
            <w:hideMark/>
          </w:tcPr>
          <w:p w:rsidR="003129E9" w:rsidRPr="005B0796" w:rsidRDefault="003129E9" w:rsidP="00CF748E">
            <w:pPr>
              <w:pStyle w:val="TableText"/>
              <w:jc w:val="right"/>
              <w:rPr>
                <w:lang w:eastAsia="en-AU"/>
              </w:rPr>
            </w:pPr>
            <w:r w:rsidRPr="005B0796">
              <w:rPr>
                <w:lang w:eastAsia="en-AU"/>
              </w:rPr>
              <w:t>12.6, 25.9</w:t>
            </w:r>
          </w:p>
        </w:tc>
      </w:tr>
    </w:tbl>
    <w:p w:rsidR="00932E64" w:rsidRPr="005B0796" w:rsidRDefault="00932E64" w:rsidP="00932E64">
      <w:pPr>
        <w:pStyle w:val="TableNotes"/>
      </w:pPr>
      <w:bookmarkStart w:id="665" w:name="_Ref484521135"/>
      <w:bookmarkStart w:id="666" w:name="_Toc482023839"/>
      <w:bookmarkStart w:id="667" w:name="_Toc487014375"/>
      <w:r w:rsidRPr="005B0796">
        <w:rPr>
          <w:vertAlign w:val="superscript"/>
        </w:rPr>
        <w:t>a</w:t>
      </w:r>
      <w:r w:rsidRPr="005B0796">
        <w:t xml:space="preserve"> Other Ranks vs OFFRS: OR 3.2, 95% CI 1.1, 9.1; Other Ranks vs NCOs: OR 3.7, 95% CI 1.5, 9.3</w:t>
      </w:r>
    </w:p>
    <w:p w:rsidR="00932E64" w:rsidRPr="005B0796" w:rsidRDefault="00932E64" w:rsidP="00932E64">
      <w:pPr>
        <w:pStyle w:val="TableNotes"/>
      </w:pPr>
      <w:r w:rsidRPr="005B0796">
        <w:rPr>
          <w:vertAlign w:val="superscript"/>
        </w:rPr>
        <w:t>b</w:t>
      </w:r>
      <w:r w:rsidRPr="005B0796">
        <w:t xml:space="preserve"> Other Ranks vs OFFRS: OR 3.2, 95% CI 1.3, 7.9; Other Ranks vs NCOs: OR 2.9, 95% CI 1.3, 6.2</w:t>
      </w:r>
    </w:p>
    <w:p w:rsidR="00932E64" w:rsidRPr="005B0796" w:rsidRDefault="00932E64" w:rsidP="00932E64">
      <w:pPr>
        <w:pStyle w:val="TableNotes"/>
        <w:rPr>
          <w:rFonts w:cs="Calibri"/>
          <w:bCs/>
        </w:rPr>
      </w:pPr>
      <w:r w:rsidRPr="005B0796">
        <w:rPr>
          <w:rFonts w:cs="Calibri"/>
          <w:bCs/>
        </w:rPr>
        <w:t xml:space="preserve">Note: 95% CI: 95% </w:t>
      </w:r>
      <w:r w:rsidR="00564689" w:rsidRPr="005B0796">
        <w:rPr>
          <w:rFonts w:cs="Calibri"/>
          <w:bCs/>
        </w:rPr>
        <w:t>confidence interval</w:t>
      </w:r>
    </w:p>
    <w:p w:rsidR="00932E64" w:rsidRPr="005B0796" w:rsidRDefault="00932E64" w:rsidP="00700D82">
      <w:pPr>
        <w:pStyle w:val="FigureName"/>
      </w:pPr>
      <w:bookmarkStart w:id="668" w:name="_Ref494280776"/>
      <w:bookmarkStart w:id="669" w:name="_Toc51190054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27</w:t>
      </w:r>
      <w:r w:rsidR="00D30A3C">
        <w:rPr>
          <w:noProof/>
        </w:rPr>
        <w:fldChar w:fldCharType="end"/>
      </w:r>
      <w:bookmarkEnd w:id="665"/>
      <w:bookmarkEnd w:id="668"/>
      <w:r w:rsidRPr="005B0796">
        <w:tab/>
        <w:t>Estimated prevalence of 12-month ICD-10 alcohol disorders in Transitioned ADF members, by alcohol disorder type and ADF rank/rank at time of transition from service in Regular ADF</w:t>
      </w:r>
      <w:bookmarkEnd w:id="666"/>
      <w:bookmarkEnd w:id="667"/>
      <w:bookmarkEnd w:id="669"/>
    </w:p>
    <w:tbl>
      <w:tblPr>
        <w:tblW w:w="5000" w:type="pct"/>
        <w:tblLayout w:type="fixed"/>
        <w:tblCellMar>
          <w:left w:w="115" w:type="dxa"/>
          <w:right w:w="115" w:type="dxa"/>
        </w:tblCellMar>
        <w:tblLook w:val="04A0" w:firstRow="1" w:lastRow="0" w:firstColumn="1" w:lastColumn="0" w:noHBand="0" w:noVBand="1"/>
      </w:tblPr>
      <w:tblGrid>
        <w:gridCol w:w="7329"/>
      </w:tblGrid>
      <w:tr w:rsidR="003129E9" w:rsidRPr="005B0796" w:rsidTr="00960C38">
        <w:trPr>
          <w:cantSplit/>
        </w:trPr>
        <w:tc>
          <w:tcPr>
            <w:tcW w:w="7315" w:type="dxa"/>
          </w:tcPr>
          <w:p w:rsidR="003129E9" w:rsidRPr="005B0796" w:rsidRDefault="003129E9" w:rsidP="00960C38">
            <w:pPr>
              <w:keepNext/>
            </w:pPr>
            <w:r w:rsidRPr="005B0796">
              <w:rPr>
                <w:i/>
                <w:noProof/>
                <w:sz w:val="16"/>
                <w:szCs w:val="16"/>
                <w:lang w:eastAsia="en-AU"/>
              </w:rPr>
              <w:drawing>
                <wp:inline distT="0" distB="0" distL="0" distR="0" wp14:anchorId="6BD51315" wp14:editId="684A08EF">
                  <wp:extent cx="4572000" cy="2743200"/>
                  <wp:effectExtent l="0" t="0" r="0" b="0"/>
                  <wp:docPr id="81" name="Chart 81" descr="Figure 4.27 Estimated prevalence of 12-month ICD-10 alcohol disorders in Transitioned ADF members, by alcohol disorder type and ADF rank/rank at time of transition from service in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rsidR="00932E64" w:rsidRPr="005B0796" w:rsidRDefault="00932E64" w:rsidP="00932E64">
      <w:pPr>
        <w:pStyle w:val="TableNotes"/>
      </w:pPr>
      <w:r w:rsidRPr="005B0796">
        <w:t>Alcohol dependence: Other Ranks vs OFFRS: OR 3.2, 95% CI 1.1, 9.1; Other Ranks vs NCOs: OR 3.7, 95% CI 1.5, 9.3</w:t>
      </w:r>
    </w:p>
    <w:p w:rsidR="00932E64" w:rsidRPr="005B0796" w:rsidRDefault="00932E64" w:rsidP="00932E64">
      <w:pPr>
        <w:pStyle w:val="TableNotes"/>
      </w:pPr>
      <w:r w:rsidRPr="005B0796">
        <w:t>Any alcohol disorder: Other Ranks vs OFFRS: OR 3.2, 95% CI 1.3, 7.9; Other Ranks vs NCOs: OR 2.9, 95% CI 1.3, 6.2</w:t>
      </w:r>
    </w:p>
    <w:p w:rsidR="003129E9" w:rsidRPr="005B0796" w:rsidRDefault="003129E9" w:rsidP="007E47A1">
      <w:pPr>
        <w:pStyle w:val="Heading4"/>
      </w:pPr>
      <w:r w:rsidRPr="005B0796">
        <w:t>Deployment</w:t>
      </w:r>
    </w:p>
    <w:p w:rsidR="003129E9" w:rsidRPr="005B0796" w:rsidRDefault="009E72D3" w:rsidP="007E47A1">
      <w:r w:rsidRPr="005B0796">
        <w:t>Table 4.33</w:t>
      </w:r>
      <w:r w:rsidR="003129E9" w:rsidRPr="005B0796">
        <w:t xml:space="preserve"> and </w:t>
      </w:r>
      <w:r w:rsidRPr="005B0796">
        <w:t>Figure 4.28</w:t>
      </w:r>
      <w:r w:rsidR="003129E9" w:rsidRPr="005B0796">
        <w:t xml:space="preserve"> show that when the effects of deployment were examined, there was a pattern for alcohol harmful use to be highest in those who had ever </w:t>
      </w:r>
      <w:r w:rsidR="003129E9" w:rsidRPr="005B0796">
        <w:rPr>
          <w:color w:val="000000" w:themeColor="text1"/>
        </w:rPr>
        <w:t xml:space="preserve">deployed (13.6%, 95% CI 10.0, 18.2) </w:t>
      </w:r>
      <w:r w:rsidR="003129E9" w:rsidRPr="005B0796">
        <w:t>compared with those who had never deployed (10.8%, 95% CI 4.7, 22.6). Compared to those Transitioned ADF who had never deployed, those who had deployed were almost twice as likely to meet criteria for alcohol harmful use. Despite these trends</w:t>
      </w:r>
      <w:r w:rsidR="0078635A">
        <w:t>,</w:t>
      </w:r>
      <w:r w:rsidR="003129E9" w:rsidRPr="005B0796">
        <w:t xml:space="preserve"> however, there were no significant differences between those who had deployed and those who had never deployed in the prevalence of alcohol disorders. </w:t>
      </w:r>
    </w:p>
    <w:p w:rsidR="003129E9" w:rsidRPr="005B0796" w:rsidRDefault="003129E9" w:rsidP="00932E64">
      <w:pPr>
        <w:pStyle w:val="TableName"/>
      </w:pPr>
      <w:bookmarkStart w:id="670" w:name="_Ref484520039"/>
      <w:bookmarkStart w:id="671" w:name="_Toc482023797"/>
      <w:bookmarkStart w:id="672" w:name="_Toc487014284"/>
      <w:bookmarkStart w:id="673" w:name="_Toc492995587"/>
      <w:bookmarkStart w:id="674" w:name="_Toc51190043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33</w:t>
      </w:r>
      <w:r w:rsidR="00D30A3C">
        <w:rPr>
          <w:noProof/>
        </w:rPr>
        <w:fldChar w:fldCharType="end"/>
      </w:r>
      <w:bookmarkEnd w:id="670"/>
      <w:r w:rsidR="00932E64" w:rsidRPr="005B0796">
        <w:tab/>
      </w:r>
      <w:r w:rsidRPr="005B0796">
        <w:t>Estimated prevalence of 12-month ICD-10 alcohol disorders in Transitioned ADF</w:t>
      </w:r>
      <w:r w:rsidR="0078635A">
        <w:t>,</w:t>
      </w:r>
      <w:r w:rsidRPr="005B0796">
        <w:t xml:space="preserve"> by alcohol disorder type and deployment status</w:t>
      </w:r>
      <w:bookmarkEnd w:id="671"/>
      <w:bookmarkEnd w:id="672"/>
      <w:bookmarkEnd w:id="673"/>
      <w:bookmarkEnd w:id="674"/>
    </w:p>
    <w:tbl>
      <w:tblPr>
        <w:tblStyle w:val="TWRPTable"/>
        <w:tblW w:w="5000" w:type="pct"/>
        <w:tblLayout w:type="fixed"/>
        <w:tblLook w:val="04A0" w:firstRow="1" w:lastRow="0" w:firstColumn="1" w:lastColumn="0" w:noHBand="0" w:noVBand="1"/>
        <w:tblDescription w:val="Table 4.33 Estimated prevalence of 12-month ICD-10 alcohol disorders in Transitioned ADF by alcohol disorder type and deployment status"/>
      </w:tblPr>
      <w:tblGrid>
        <w:gridCol w:w="1818"/>
        <w:gridCol w:w="916"/>
        <w:gridCol w:w="916"/>
        <w:gridCol w:w="916"/>
        <w:gridCol w:w="916"/>
        <w:gridCol w:w="916"/>
        <w:gridCol w:w="917"/>
      </w:tblGrid>
      <w:tr w:rsidR="003129E9" w:rsidRPr="005B0796" w:rsidTr="007E47A1">
        <w:trPr>
          <w:cnfStyle w:val="100000000000" w:firstRow="1" w:lastRow="0" w:firstColumn="0" w:lastColumn="0" w:oddVBand="0" w:evenVBand="0" w:oddHBand="0" w:evenHBand="0" w:firstRowFirstColumn="0" w:firstRowLastColumn="0" w:lastRowFirstColumn="0" w:lastRowLastColumn="0"/>
          <w:tblHeader/>
        </w:trPr>
        <w:tc>
          <w:tcPr>
            <w:tcW w:w="1818" w:type="dxa"/>
            <w:tcBorders>
              <w:bottom w:val="nil"/>
            </w:tcBorders>
          </w:tcPr>
          <w:p w:rsidR="003129E9" w:rsidRPr="005B0796" w:rsidRDefault="003129E9" w:rsidP="007E47A1">
            <w:pPr>
              <w:pStyle w:val="TableText"/>
            </w:pPr>
          </w:p>
        </w:tc>
        <w:tc>
          <w:tcPr>
            <w:tcW w:w="5497" w:type="dxa"/>
            <w:gridSpan w:val="6"/>
            <w:hideMark/>
          </w:tcPr>
          <w:p w:rsidR="003129E9" w:rsidRPr="005B0796" w:rsidRDefault="003129E9" w:rsidP="007E47A1">
            <w:pPr>
              <w:pStyle w:val="TableText"/>
              <w:jc w:val="center"/>
              <w:rPr>
                <w:lang w:eastAsia="en-AU"/>
              </w:rPr>
            </w:pPr>
            <w:r w:rsidRPr="005B0796">
              <w:rPr>
                <w:lang w:eastAsia="en-AU"/>
              </w:rPr>
              <w:t>Deployment status</w:t>
            </w:r>
          </w:p>
        </w:tc>
      </w:tr>
      <w:tr w:rsidR="003129E9" w:rsidRPr="005B0796" w:rsidTr="007E47A1">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bottom w:val="nil"/>
            </w:tcBorders>
          </w:tcPr>
          <w:p w:rsidR="003129E9" w:rsidRPr="005B0796" w:rsidRDefault="003129E9" w:rsidP="007E47A1">
            <w:pPr>
              <w:pStyle w:val="TableText"/>
            </w:pPr>
          </w:p>
        </w:tc>
        <w:tc>
          <w:tcPr>
            <w:tcW w:w="2748" w:type="dxa"/>
            <w:gridSpan w:val="3"/>
            <w:hideMark/>
          </w:tcPr>
          <w:p w:rsidR="003129E9" w:rsidRPr="005B0796" w:rsidRDefault="003129E9" w:rsidP="007E47A1">
            <w:pPr>
              <w:pStyle w:val="TableText"/>
              <w:jc w:val="center"/>
              <w:rPr>
                <w:lang w:eastAsia="en-AU"/>
              </w:rPr>
            </w:pPr>
            <w:r w:rsidRPr="005B0796">
              <w:rPr>
                <w:lang w:eastAsia="en-AU"/>
              </w:rPr>
              <w:t>Ever deployed (n = 20,087)</w:t>
            </w:r>
          </w:p>
        </w:tc>
        <w:tc>
          <w:tcPr>
            <w:tcW w:w="2749" w:type="dxa"/>
            <w:gridSpan w:val="3"/>
            <w:hideMark/>
          </w:tcPr>
          <w:p w:rsidR="003129E9" w:rsidRPr="005B0796" w:rsidRDefault="003129E9" w:rsidP="007E47A1">
            <w:pPr>
              <w:pStyle w:val="TableText"/>
              <w:jc w:val="center"/>
              <w:rPr>
                <w:lang w:eastAsia="en-AU"/>
              </w:rPr>
            </w:pPr>
            <w:r w:rsidRPr="005B0796">
              <w:rPr>
                <w:lang w:eastAsia="en-AU"/>
              </w:rPr>
              <w:t>Never deployed (n = 4885)</w:t>
            </w:r>
          </w:p>
        </w:tc>
      </w:tr>
      <w:tr w:rsidR="003129E9" w:rsidRPr="005B0796" w:rsidTr="007E47A1">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tcPr>
          <w:p w:rsidR="003129E9" w:rsidRPr="005B0796" w:rsidRDefault="007E47A1" w:rsidP="007E47A1">
            <w:pPr>
              <w:pStyle w:val="TableText"/>
            </w:pPr>
            <w:r w:rsidRPr="005B0796">
              <w:t xml:space="preserve">ICD-10 </w:t>
            </w:r>
            <w:r w:rsidR="00C37D89" w:rsidRPr="005B0796">
              <w:t>alcohol disorder</w:t>
            </w:r>
          </w:p>
        </w:tc>
        <w:tc>
          <w:tcPr>
            <w:tcW w:w="916" w:type="dxa"/>
            <w:hideMark/>
          </w:tcPr>
          <w:p w:rsidR="003129E9" w:rsidRPr="005B0796" w:rsidRDefault="003129E9" w:rsidP="007E47A1">
            <w:pPr>
              <w:pStyle w:val="TableText"/>
              <w:jc w:val="right"/>
              <w:rPr>
                <w:i/>
              </w:rPr>
            </w:pPr>
            <w:r w:rsidRPr="005B0796">
              <w:rPr>
                <w:lang w:eastAsia="en-AU"/>
              </w:rPr>
              <w:t>Weighted n</w:t>
            </w:r>
          </w:p>
        </w:tc>
        <w:tc>
          <w:tcPr>
            <w:tcW w:w="916" w:type="dxa"/>
            <w:hideMark/>
          </w:tcPr>
          <w:p w:rsidR="003129E9" w:rsidRPr="005B0796" w:rsidRDefault="003129E9" w:rsidP="007E47A1">
            <w:pPr>
              <w:pStyle w:val="TableText"/>
              <w:jc w:val="right"/>
              <w:rPr>
                <w:i/>
              </w:rPr>
            </w:pPr>
            <w:r w:rsidRPr="005B0796">
              <w:rPr>
                <w:lang w:eastAsia="en-AU"/>
              </w:rPr>
              <w:t>%</w:t>
            </w:r>
          </w:p>
        </w:tc>
        <w:tc>
          <w:tcPr>
            <w:tcW w:w="916" w:type="dxa"/>
            <w:hideMark/>
          </w:tcPr>
          <w:p w:rsidR="003129E9" w:rsidRPr="005B0796" w:rsidRDefault="003129E9" w:rsidP="007E47A1">
            <w:pPr>
              <w:pStyle w:val="TableText"/>
              <w:jc w:val="right"/>
              <w:rPr>
                <w:i/>
              </w:rPr>
            </w:pPr>
            <w:r w:rsidRPr="005B0796">
              <w:rPr>
                <w:lang w:eastAsia="en-AU"/>
              </w:rPr>
              <w:t>95% CI</w:t>
            </w:r>
          </w:p>
        </w:tc>
        <w:tc>
          <w:tcPr>
            <w:tcW w:w="916" w:type="dxa"/>
            <w:hideMark/>
          </w:tcPr>
          <w:p w:rsidR="003129E9" w:rsidRPr="005B0796" w:rsidRDefault="003129E9" w:rsidP="007E47A1">
            <w:pPr>
              <w:pStyle w:val="TableText"/>
              <w:jc w:val="right"/>
              <w:rPr>
                <w:i/>
              </w:rPr>
            </w:pPr>
            <w:r w:rsidRPr="005B0796">
              <w:rPr>
                <w:lang w:eastAsia="en-AU"/>
              </w:rPr>
              <w:t>Weighted n</w:t>
            </w:r>
          </w:p>
        </w:tc>
        <w:tc>
          <w:tcPr>
            <w:tcW w:w="916" w:type="dxa"/>
            <w:hideMark/>
          </w:tcPr>
          <w:p w:rsidR="003129E9" w:rsidRPr="005B0796" w:rsidRDefault="003129E9" w:rsidP="007E47A1">
            <w:pPr>
              <w:pStyle w:val="TableText"/>
              <w:jc w:val="right"/>
              <w:rPr>
                <w:i/>
              </w:rPr>
            </w:pPr>
            <w:r w:rsidRPr="005B0796">
              <w:rPr>
                <w:lang w:eastAsia="en-AU"/>
              </w:rPr>
              <w:t>%</w:t>
            </w:r>
          </w:p>
        </w:tc>
        <w:tc>
          <w:tcPr>
            <w:tcW w:w="917" w:type="dxa"/>
            <w:hideMark/>
          </w:tcPr>
          <w:p w:rsidR="003129E9" w:rsidRPr="005B0796" w:rsidRDefault="003129E9" w:rsidP="007E47A1">
            <w:pPr>
              <w:pStyle w:val="TableText"/>
              <w:jc w:val="right"/>
              <w:rPr>
                <w:i/>
              </w:rPr>
            </w:pPr>
            <w:r w:rsidRPr="005B0796">
              <w:rPr>
                <w:lang w:eastAsia="en-AU"/>
              </w:rPr>
              <w:t>95% CI</w:t>
            </w:r>
          </w:p>
        </w:tc>
      </w:tr>
      <w:tr w:rsidR="003129E9" w:rsidRPr="005B0796" w:rsidTr="007E47A1">
        <w:trPr>
          <w:cnfStyle w:val="000000100000" w:firstRow="0" w:lastRow="0" w:firstColumn="0" w:lastColumn="0" w:oddVBand="0" w:evenVBand="0" w:oddHBand="1" w:evenHBand="0" w:firstRowFirstColumn="0" w:firstRowLastColumn="0" w:lastRowFirstColumn="0" w:lastRowLastColumn="0"/>
        </w:trPr>
        <w:tc>
          <w:tcPr>
            <w:tcW w:w="1818" w:type="dxa"/>
            <w:hideMark/>
          </w:tcPr>
          <w:p w:rsidR="003129E9" w:rsidRPr="005B0796" w:rsidRDefault="003129E9" w:rsidP="007E47A1">
            <w:pPr>
              <w:pStyle w:val="TableText"/>
              <w:rPr>
                <w:i/>
                <w:color w:val="000000" w:themeColor="text1"/>
              </w:rPr>
            </w:pPr>
            <w:r w:rsidRPr="005B0796">
              <w:rPr>
                <w:color w:val="000000" w:themeColor="text1"/>
              </w:rPr>
              <w:t>Alcohol harmful use</w:t>
            </w:r>
          </w:p>
        </w:tc>
        <w:tc>
          <w:tcPr>
            <w:tcW w:w="916" w:type="dxa"/>
            <w:hideMark/>
          </w:tcPr>
          <w:p w:rsidR="003129E9" w:rsidRPr="005B0796" w:rsidRDefault="003129E9" w:rsidP="007E47A1">
            <w:pPr>
              <w:pStyle w:val="TableText"/>
              <w:jc w:val="right"/>
              <w:rPr>
                <w:color w:val="000000" w:themeColor="text1"/>
              </w:rPr>
            </w:pPr>
            <w:r w:rsidRPr="005B0796">
              <w:rPr>
                <w:color w:val="000000" w:themeColor="text1"/>
              </w:rPr>
              <w:t>795</w:t>
            </w:r>
          </w:p>
        </w:tc>
        <w:tc>
          <w:tcPr>
            <w:tcW w:w="916" w:type="dxa"/>
            <w:hideMark/>
          </w:tcPr>
          <w:p w:rsidR="003129E9" w:rsidRPr="005B0796" w:rsidRDefault="003129E9" w:rsidP="007E47A1">
            <w:pPr>
              <w:pStyle w:val="TableText"/>
              <w:jc w:val="right"/>
              <w:rPr>
                <w:i/>
                <w:color w:val="000000" w:themeColor="text1"/>
              </w:rPr>
            </w:pPr>
            <w:r w:rsidRPr="005B0796">
              <w:rPr>
                <w:color w:val="000000" w:themeColor="text1"/>
                <w:lang w:eastAsia="en-GB"/>
              </w:rPr>
              <w:t>4.2</w:t>
            </w:r>
          </w:p>
        </w:tc>
        <w:tc>
          <w:tcPr>
            <w:tcW w:w="916" w:type="dxa"/>
            <w:hideMark/>
          </w:tcPr>
          <w:p w:rsidR="003129E9" w:rsidRPr="005B0796" w:rsidRDefault="003129E9" w:rsidP="007E47A1">
            <w:pPr>
              <w:pStyle w:val="TableText"/>
              <w:jc w:val="right"/>
              <w:rPr>
                <w:color w:val="000000" w:themeColor="text1"/>
                <w:lang w:eastAsia="en-GB"/>
              </w:rPr>
            </w:pPr>
            <w:r w:rsidRPr="005B0796">
              <w:rPr>
                <w:color w:val="000000" w:themeColor="text1"/>
                <w:lang w:eastAsia="en-GB"/>
              </w:rPr>
              <w:t>2.5, 7.1</w:t>
            </w:r>
          </w:p>
        </w:tc>
        <w:tc>
          <w:tcPr>
            <w:tcW w:w="916" w:type="dxa"/>
            <w:hideMark/>
          </w:tcPr>
          <w:p w:rsidR="003129E9" w:rsidRPr="005B0796" w:rsidRDefault="003129E9" w:rsidP="007E47A1">
            <w:pPr>
              <w:pStyle w:val="TableText"/>
              <w:jc w:val="right"/>
              <w:rPr>
                <w:color w:val="000000" w:themeColor="text1"/>
              </w:rPr>
            </w:pPr>
            <w:r w:rsidRPr="005B0796">
              <w:rPr>
                <w:color w:val="000000" w:themeColor="text1"/>
              </w:rPr>
              <w:t>127</w:t>
            </w:r>
          </w:p>
        </w:tc>
        <w:tc>
          <w:tcPr>
            <w:tcW w:w="916" w:type="dxa"/>
            <w:hideMark/>
          </w:tcPr>
          <w:p w:rsidR="003129E9" w:rsidRPr="005B0796" w:rsidRDefault="003129E9" w:rsidP="007E47A1">
            <w:pPr>
              <w:pStyle w:val="TableText"/>
              <w:jc w:val="right"/>
              <w:rPr>
                <w:i/>
              </w:rPr>
            </w:pPr>
            <w:r w:rsidRPr="005B0796">
              <w:rPr>
                <w:lang w:eastAsia="en-GB"/>
              </w:rPr>
              <w:t>2.3</w:t>
            </w:r>
          </w:p>
        </w:tc>
        <w:tc>
          <w:tcPr>
            <w:tcW w:w="917" w:type="dxa"/>
            <w:hideMark/>
          </w:tcPr>
          <w:p w:rsidR="003129E9" w:rsidRPr="005B0796" w:rsidRDefault="003129E9" w:rsidP="007E47A1">
            <w:pPr>
              <w:pStyle w:val="TableText"/>
              <w:jc w:val="right"/>
              <w:rPr>
                <w:lang w:eastAsia="en-GB"/>
              </w:rPr>
            </w:pPr>
            <w:r w:rsidRPr="005B0796">
              <w:rPr>
                <w:lang w:eastAsia="en-GB"/>
              </w:rPr>
              <w:t>0.3, 14.4</w:t>
            </w:r>
          </w:p>
        </w:tc>
      </w:tr>
      <w:tr w:rsidR="003129E9" w:rsidRPr="005B0796" w:rsidTr="007E47A1">
        <w:tc>
          <w:tcPr>
            <w:tcW w:w="1818" w:type="dxa"/>
            <w:hideMark/>
          </w:tcPr>
          <w:p w:rsidR="003129E9" w:rsidRPr="005B0796" w:rsidRDefault="003129E9" w:rsidP="007E47A1">
            <w:pPr>
              <w:pStyle w:val="TableText"/>
              <w:rPr>
                <w:i/>
                <w:color w:val="000000" w:themeColor="text1"/>
              </w:rPr>
            </w:pPr>
            <w:r w:rsidRPr="005B0796">
              <w:rPr>
                <w:color w:val="000000" w:themeColor="text1"/>
              </w:rPr>
              <w:t>Alcohol dependence</w:t>
            </w:r>
          </w:p>
        </w:tc>
        <w:tc>
          <w:tcPr>
            <w:tcW w:w="916" w:type="dxa"/>
            <w:hideMark/>
          </w:tcPr>
          <w:p w:rsidR="003129E9" w:rsidRPr="005B0796" w:rsidRDefault="003129E9" w:rsidP="007E47A1">
            <w:pPr>
              <w:pStyle w:val="TableText"/>
              <w:jc w:val="right"/>
              <w:rPr>
                <w:color w:val="000000" w:themeColor="text1"/>
              </w:rPr>
            </w:pPr>
            <w:r w:rsidRPr="005B0796">
              <w:rPr>
                <w:color w:val="000000" w:themeColor="text1"/>
              </w:rPr>
              <w:t>1765</w:t>
            </w:r>
          </w:p>
        </w:tc>
        <w:tc>
          <w:tcPr>
            <w:tcW w:w="916" w:type="dxa"/>
            <w:hideMark/>
          </w:tcPr>
          <w:p w:rsidR="003129E9" w:rsidRPr="005B0796" w:rsidRDefault="003129E9" w:rsidP="007E47A1">
            <w:pPr>
              <w:pStyle w:val="TableText"/>
              <w:jc w:val="right"/>
              <w:rPr>
                <w:i/>
                <w:color w:val="000000" w:themeColor="text1"/>
              </w:rPr>
            </w:pPr>
            <w:r w:rsidRPr="005B0796">
              <w:rPr>
                <w:color w:val="000000" w:themeColor="text1"/>
                <w:lang w:eastAsia="en-GB"/>
              </w:rPr>
              <w:t>9.4</w:t>
            </w:r>
          </w:p>
        </w:tc>
        <w:tc>
          <w:tcPr>
            <w:tcW w:w="916" w:type="dxa"/>
            <w:hideMark/>
          </w:tcPr>
          <w:p w:rsidR="003129E9" w:rsidRPr="005B0796" w:rsidRDefault="003129E9" w:rsidP="007E47A1">
            <w:pPr>
              <w:pStyle w:val="TableText"/>
              <w:jc w:val="right"/>
              <w:rPr>
                <w:color w:val="000000" w:themeColor="text1"/>
                <w:lang w:eastAsia="en-GB"/>
              </w:rPr>
            </w:pPr>
            <w:r w:rsidRPr="005B0796">
              <w:rPr>
                <w:color w:val="000000" w:themeColor="text1"/>
                <w:lang w:eastAsia="en-GB"/>
              </w:rPr>
              <w:t>6.3, 13.6</w:t>
            </w:r>
          </w:p>
        </w:tc>
        <w:tc>
          <w:tcPr>
            <w:tcW w:w="916" w:type="dxa"/>
            <w:hideMark/>
          </w:tcPr>
          <w:p w:rsidR="003129E9" w:rsidRPr="005B0796" w:rsidRDefault="003129E9" w:rsidP="007E47A1">
            <w:pPr>
              <w:pStyle w:val="TableText"/>
              <w:jc w:val="right"/>
              <w:rPr>
                <w:color w:val="000000" w:themeColor="text1"/>
              </w:rPr>
            </w:pPr>
            <w:r w:rsidRPr="005B0796">
              <w:rPr>
                <w:color w:val="000000" w:themeColor="text1"/>
              </w:rPr>
              <w:t>475</w:t>
            </w:r>
          </w:p>
        </w:tc>
        <w:tc>
          <w:tcPr>
            <w:tcW w:w="916" w:type="dxa"/>
            <w:hideMark/>
          </w:tcPr>
          <w:p w:rsidR="003129E9" w:rsidRPr="005B0796" w:rsidRDefault="003129E9" w:rsidP="007E47A1">
            <w:pPr>
              <w:pStyle w:val="TableText"/>
              <w:jc w:val="right"/>
              <w:rPr>
                <w:i/>
              </w:rPr>
            </w:pPr>
            <w:r w:rsidRPr="005B0796">
              <w:rPr>
                <w:lang w:eastAsia="en-GB"/>
              </w:rPr>
              <w:t>8.5</w:t>
            </w:r>
          </w:p>
        </w:tc>
        <w:tc>
          <w:tcPr>
            <w:tcW w:w="917" w:type="dxa"/>
            <w:hideMark/>
          </w:tcPr>
          <w:p w:rsidR="003129E9" w:rsidRPr="005B0796" w:rsidRDefault="003129E9" w:rsidP="007E47A1">
            <w:pPr>
              <w:pStyle w:val="TableText"/>
              <w:jc w:val="right"/>
              <w:rPr>
                <w:lang w:eastAsia="en-GB"/>
              </w:rPr>
            </w:pPr>
            <w:r w:rsidRPr="005B0796">
              <w:rPr>
                <w:lang w:eastAsia="en-GB"/>
              </w:rPr>
              <w:t>3.4, 19.5</w:t>
            </w:r>
          </w:p>
        </w:tc>
      </w:tr>
      <w:tr w:rsidR="003129E9" w:rsidRPr="005B0796" w:rsidTr="007E47A1">
        <w:trPr>
          <w:cnfStyle w:val="000000100000" w:firstRow="0" w:lastRow="0" w:firstColumn="0" w:lastColumn="0" w:oddVBand="0" w:evenVBand="0" w:oddHBand="1" w:evenHBand="0" w:firstRowFirstColumn="0" w:firstRowLastColumn="0" w:lastRowFirstColumn="0" w:lastRowLastColumn="0"/>
        </w:trPr>
        <w:tc>
          <w:tcPr>
            <w:tcW w:w="1818" w:type="dxa"/>
            <w:hideMark/>
          </w:tcPr>
          <w:p w:rsidR="003129E9" w:rsidRPr="005B0796" w:rsidRDefault="003129E9" w:rsidP="007E47A1">
            <w:pPr>
              <w:pStyle w:val="TableText"/>
              <w:rPr>
                <w:i/>
                <w:color w:val="000000" w:themeColor="text1"/>
              </w:rPr>
            </w:pPr>
            <w:r w:rsidRPr="005B0796">
              <w:rPr>
                <w:color w:val="000000" w:themeColor="text1"/>
              </w:rPr>
              <w:t>Any alcohol disorder</w:t>
            </w:r>
          </w:p>
        </w:tc>
        <w:tc>
          <w:tcPr>
            <w:tcW w:w="916" w:type="dxa"/>
            <w:hideMark/>
          </w:tcPr>
          <w:p w:rsidR="003129E9" w:rsidRPr="005B0796" w:rsidRDefault="003129E9" w:rsidP="007E47A1">
            <w:pPr>
              <w:pStyle w:val="TableText"/>
              <w:jc w:val="right"/>
              <w:rPr>
                <w:color w:val="000000" w:themeColor="text1"/>
              </w:rPr>
            </w:pPr>
            <w:r w:rsidRPr="005B0796">
              <w:rPr>
                <w:color w:val="000000" w:themeColor="text1"/>
              </w:rPr>
              <w:t>2560</w:t>
            </w:r>
          </w:p>
        </w:tc>
        <w:tc>
          <w:tcPr>
            <w:tcW w:w="916" w:type="dxa"/>
            <w:hideMark/>
          </w:tcPr>
          <w:p w:rsidR="003129E9" w:rsidRPr="005B0796" w:rsidRDefault="003129E9" w:rsidP="007E47A1">
            <w:pPr>
              <w:pStyle w:val="TableText"/>
              <w:jc w:val="right"/>
              <w:rPr>
                <w:i/>
                <w:color w:val="000000" w:themeColor="text1"/>
              </w:rPr>
            </w:pPr>
            <w:r w:rsidRPr="005B0796">
              <w:rPr>
                <w:color w:val="000000" w:themeColor="text1"/>
                <w:lang w:eastAsia="en-GB"/>
              </w:rPr>
              <w:t>13.6</w:t>
            </w:r>
          </w:p>
        </w:tc>
        <w:tc>
          <w:tcPr>
            <w:tcW w:w="916" w:type="dxa"/>
            <w:hideMark/>
          </w:tcPr>
          <w:p w:rsidR="003129E9" w:rsidRPr="005B0796" w:rsidRDefault="003129E9" w:rsidP="007E47A1">
            <w:pPr>
              <w:pStyle w:val="TableText"/>
              <w:jc w:val="right"/>
              <w:rPr>
                <w:color w:val="000000" w:themeColor="text1"/>
                <w:lang w:eastAsia="en-GB"/>
              </w:rPr>
            </w:pPr>
            <w:r w:rsidRPr="005B0796">
              <w:rPr>
                <w:color w:val="000000" w:themeColor="text1"/>
                <w:lang w:eastAsia="en-GB"/>
              </w:rPr>
              <w:t>10.0, 18.2</w:t>
            </w:r>
          </w:p>
        </w:tc>
        <w:tc>
          <w:tcPr>
            <w:tcW w:w="916" w:type="dxa"/>
            <w:hideMark/>
          </w:tcPr>
          <w:p w:rsidR="003129E9" w:rsidRPr="005B0796" w:rsidRDefault="003129E9" w:rsidP="007E47A1">
            <w:pPr>
              <w:pStyle w:val="TableText"/>
              <w:jc w:val="right"/>
              <w:rPr>
                <w:color w:val="000000" w:themeColor="text1"/>
              </w:rPr>
            </w:pPr>
            <w:r w:rsidRPr="005B0796">
              <w:rPr>
                <w:color w:val="000000" w:themeColor="text1"/>
              </w:rPr>
              <w:t>602</w:t>
            </w:r>
          </w:p>
        </w:tc>
        <w:tc>
          <w:tcPr>
            <w:tcW w:w="916" w:type="dxa"/>
            <w:hideMark/>
          </w:tcPr>
          <w:p w:rsidR="003129E9" w:rsidRPr="005B0796" w:rsidRDefault="003129E9" w:rsidP="007E47A1">
            <w:pPr>
              <w:pStyle w:val="TableText"/>
              <w:jc w:val="right"/>
              <w:rPr>
                <w:i/>
              </w:rPr>
            </w:pPr>
            <w:r w:rsidRPr="005B0796">
              <w:rPr>
                <w:lang w:eastAsia="en-GB"/>
              </w:rPr>
              <w:t>10.8</w:t>
            </w:r>
          </w:p>
        </w:tc>
        <w:tc>
          <w:tcPr>
            <w:tcW w:w="917" w:type="dxa"/>
            <w:hideMark/>
          </w:tcPr>
          <w:p w:rsidR="003129E9" w:rsidRPr="005B0796" w:rsidRDefault="003129E9" w:rsidP="007E47A1">
            <w:pPr>
              <w:pStyle w:val="TableText"/>
              <w:jc w:val="right"/>
              <w:rPr>
                <w:lang w:eastAsia="en-GB"/>
              </w:rPr>
            </w:pPr>
            <w:r w:rsidRPr="005B0796">
              <w:rPr>
                <w:lang w:eastAsia="en-GB"/>
              </w:rPr>
              <w:t>4.7, 22.6</w:t>
            </w:r>
          </w:p>
        </w:tc>
      </w:tr>
    </w:tbl>
    <w:p w:rsidR="00932E64" w:rsidRPr="005B0796" w:rsidRDefault="00932E64" w:rsidP="00932E64">
      <w:pPr>
        <w:pStyle w:val="TableNotes"/>
      </w:pPr>
      <w:bookmarkStart w:id="675" w:name="_Ref484521134"/>
      <w:bookmarkStart w:id="676" w:name="_Toc482023840"/>
      <w:bookmarkStart w:id="677" w:name="_Toc487014376"/>
      <w:r w:rsidRPr="005B0796">
        <w:t xml:space="preserve">Note: 95% CI: 95% </w:t>
      </w:r>
      <w:r w:rsidR="00564689" w:rsidRPr="005B0796">
        <w:t>confidence interval</w:t>
      </w:r>
    </w:p>
    <w:p w:rsidR="00932E64" w:rsidRPr="005B0796" w:rsidRDefault="00932E64" w:rsidP="00932E64">
      <w:pPr>
        <w:pStyle w:val="FigureName"/>
      </w:pPr>
      <w:bookmarkStart w:id="678" w:name="_Ref494280848"/>
      <w:bookmarkStart w:id="679" w:name="_Toc51190054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28</w:t>
      </w:r>
      <w:r w:rsidR="00D30A3C">
        <w:rPr>
          <w:noProof/>
        </w:rPr>
        <w:fldChar w:fldCharType="end"/>
      </w:r>
      <w:bookmarkEnd w:id="675"/>
      <w:bookmarkEnd w:id="678"/>
      <w:r w:rsidRPr="005B0796">
        <w:tab/>
        <w:t>Estimated prevalence of 12-month ICD-10 alcohol disorders in Transitioned ADF, by alcohol disorder type and deployment status</w:t>
      </w:r>
      <w:bookmarkEnd w:id="676"/>
      <w:bookmarkEnd w:id="677"/>
      <w:bookmarkEnd w:id="679"/>
    </w:p>
    <w:tbl>
      <w:tblPr>
        <w:tblW w:w="5000" w:type="pct"/>
        <w:tblLayout w:type="fixed"/>
        <w:tblCellMar>
          <w:left w:w="115" w:type="dxa"/>
          <w:right w:w="115" w:type="dxa"/>
        </w:tblCellMar>
        <w:tblLook w:val="04A0" w:firstRow="1" w:lastRow="0" w:firstColumn="1" w:lastColumn="0" w:noHBand="0" w:noVBand="1"/>
      </w:tblPr>
      <w:tblGrid>
        <w:gridCol w:w="7329"/>
      </w:tblGrid>
      <w:tr w:rsidR="003129E9" w:rsidRPr="005B0796" w:rsidTr="00F1299E">
        <w:trPr>
          <w:cantSplit/>
        </w:trPr>
        <w:tc>
          <w:tcPr>
            <w:tcW w:w="10028" w:type="dxa"/>
          </w:tcPr>
          <w:p w:rsidR="003129E9" w:rsidRPr="005B0796" w:rsidRDefault="003129E9" w:rsidP="00EF46AC">
            <w:r w:rsidRPr="005B0796">
              <w:rPr>
                <w:i/>
                <w:noProof/>
                <w:sz w:val="16"/>
                <w:szCs w:val="16"/>
                <w:lang w:eastAsia="en-AU"/>
              </w:rPr>
              <w:drawing>
                <wp:inline distT="0" distB="0" distL="0" distR="0" wp14:anchorId="7B459FD9" wp14:editId="39123EAB">
                  <wp:extent cx="4572000" cy="2743200"/>
                  <wp:effectExtent l="0" t="0" r="0" b="0"/>
                  <wp:docPr id="82" name="Chart 82" descr="Figure 4.28 Estimated prevalence of 12-month ICD-10 alcohol disorders in Transitioned ADF, by alcohol disorder type and deploy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rsidR="003129E9" w:rsidRPr="005B0796" w:rsidRDefault="003129E9" w:rsidP="00F1299E">
      <w:pPr>
        <w:pStyle w:val="Heading4"/>
      </w:pPr>
      <w:r w:rsidRPr="005B0796">
        <w:t>Years of service</w:t>
      </w:r>
    </w:p>
    <w:p w:rsidR="003129E9" w:rsidRPr="005B0796" w:rsidRDefault="003129E9" w:rsidP="00EF46AC">
      <w:pPr>
        <w:keepLines/>
      </w:pPr>
      <w:r w:rsidRPr="005B0796">
        <w:t xml:space="preserve">Overall the estimated prevalence of </w:t>
      </w:r>
      <w:r w:rsidR="00462A0C" w:rsidRPr="005B0796">
        <w:t>‘</w:t>
      </w:r>
      <w:r w:rsidRPr="005B0796">
        <w:t>any 12-month ICD-10 alcohol disorder</w:t>
      </w:r>
      <w:r w:rsidR="00462A0C" w:rsidRPr="005B0796">
        <w:t>’</w:t>
      </w:r>
      <w:r w:rsidRPr="005B0796">
        <w:t xml:space="preserve"> decreased with length of Regular service. As can be seen in </w:t>
      </w:r>
      <w:r w:rsidR="009E72D3" w:rsidRPr="005B0796">
        <w:t>Table 4.34</w:t>
      </w:r>
      <w:r w:rsidRPr="005B0796">
        <w:t xml:space="preserve"> and </w:t>
      </w:r>
      <w:r w:rsidR="009E72D3" w:rsidRPr="005B0796">
        <w:t>Figure 4.29</w:t>
      </w:r>
      <w:r w:rsidRPr="005B0796">
        <w:t xml:space="preserve">, estimated prevalence was highest among those with under </w:t>
      </w:r>
      <w:r w:rsidR="0078635A">
        <w:t>four</w:t>
      </w:r>
      <w:r w:rsidRPr="005B0796">
        <w:t xml:space="preserve"> years of service (24.8%, 95% CI 10.8, 47.2), with the lowest rates observed in Transitioned ADF members with 12 or more years of Regular service. Those with 12</w:t>
      </w:r>
      <w:r w:rsidR="0078635A">
        <w:t>–</w:t>
      </w:r>
      <w:r w:rsidRPr="005B0796">
        <w:t xml:space="preserve">15.9 years of service were significantly less likely to meet criteria for </w:t>
      </w:r>
      <w:r w:rsidR="00462A0C" w:rsidRPr="005B0796">
        <w:t>‘</w:t>
      </w:r>
      <w:r w:rsidRPr="005B0796">
        <w:t>any 12-month alcohol disorder</w:t>
      </w:r>
      <w:r w:rsidR="00462A0C" w:rsidRPr="005B0796">
        <w:t>’</w:t>
      </w:r>
      <w:r w:rsidRPr="005B0796">
        <w:t xml:space="preserve"> compared to those with under four years of service (OR 0.2, 95% CI 0.1, 0.9).</w:t>
      </w:r>
    </w:p>
    <w:p w:rsidR="003129E9" w:rsidRPr="005B0796" w:rsidRDefault="003129E9" w:rsidP="003129E9">
      <w:pPr>
        <w:spacing w:before="100" w:beforeAutospacing="1" w:after="100" w:afterAutospacing="1"/>
      </w:pPr>
      <w:r w:rsidRPr="005B0796">
        <w:t>Compared with those with under four years of Regular service, Transitioned ADF with 12</w:t>
      </w:r>
      <w:r w:rsidR="0078635A">
        <w:t>–</w:t>
      </w:r>
      <w:r w:rsidRPr="005B0796">
        <w:t xml:space="preserve">15.9 years of service were 90% less likely (OR 0.1, 95% CI 0.0, 0.6), and those with more than 20 years of service 80% less likely (OR 0.2, 95% CI 0.0, 0.8) to meet criteria for 12-month alcohol dependence. </w:t>
      </w:r>
    </w:p>
    <w:p w:rsidR="00377F82" w:rsidRPr="005B0796" w:rsidRDefault="00377F82" w:rsidP="00F1299E"/>
    <w:p w:rsidR="003129E9" w:rsidRPr="005B0796" w:rsidRDefault="003129E9" w:rsidP="00F1299E">
      <w:pPr>
        <w:sectPr w:rsidR="003129E9" w:rsidRPr="005B0796" w:rsidSect="00BE5E98">
          <w:footerReference w:type="even" r:id="rId113"/>
          <w:footerReference w:type="default" r:id="rId114"/>
          <w:pgSz w:w="9979" w:h="14170" w:code="243"/>
          <w:pgMar w:top="1440" w:right="1152" w:bottom="1440" w:left="1728" w:header="576" w:footer="576" w:gutter="0"/>
          <w:cols w:space="708"/>
          <w:docGrid w:linePitch="360"/>
        </w:sectPr>
      </w:pPr>
    </w:p>
    <w:p w:rsidR="003129E9" w:rsidRPr="005B0796" w:rsidRDefault="003129E9" w:rsidP="00932E64">
      <w:pPr>
        <w:pStyle w:val="TableName"/>
      </w:pPr>
      <w:bookmarkStart w:id="680" w:name="_Ref494280917"/>
      <w:bookmarkStart w:id="681" w:name="_Toc51190043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34</w:t>
      </w:r>
      <w:r w:rsidR="00D30A3C">
        <w:rPr>
          <w:noProof/>
        </w:rPr>
        <w:fldChar w:fldCharType="end"/>
      </w:r>
      <w:bookmarkEnd w:id="680"/>
      <w:r w:rsidR="00CD7866" w:rsidRPr="005B0796">
        <w:tab/>
      </w:r>
      <w:r w:rsidRPr="005B0796">
        <w:t>Estimated prevalence of 12-month ICD-10 alcohol disorders</w:t>
      </w:r>
      <w:r w:rsidR="0078635A">
        <w:t>,</w:t>
      </w:r>
      <w:r w:rsidRPr="005B0796">
        <w:t xml:space="preserve"> by years of servicer in the Regular ADF*</w:t>
      </w:r>
      <w:bookmarkEnd w:id="681"/>
    </w:p>
    <w:tbl>
      <w:tblPr>
        <w:tblStyle w:val="TWRPTable"/>
        <w:tblW w:w="5000" w:type="pct"/>
        <w:tblLayout w:type="fixed"/>
        <w:tblLook w:val="04A0" w:firstRow="1" w:lastRow="0" w:firstColumn="1" w:lastColumn="0" w:noHBand="0" w:noVBand="1"/>
        <w:tblDescription w:val="Table 4.34 Estimated prevalence of 12-month ICD-10 alcohol disorders by years of servicer in the Regular ADF*"/>
      </w:tblPr>
      <w:tblGrid>
        <w:gridCol w:w="1912"/>
        <w:gridCol w:w="1064"/>
        <w:gridCol w:w="1065"/>
        <w:gridCol w:w="1065"/>
        <w:gridCol w:w="1065"/>
        <w:gridCol w:w="1067"/>
        <w:gridCol w:w="1067"/>
        <w:gridCol w:w="1067"/>
        <w:gridCol w:w="1067"/>
        <w:gridCol w:w="1067"/>
      </w:tblGrid>
      <w:tr w:rsidR="00C37D89" w:rsidRPr="005B0796" w:rsidTr="00BB6C7A">
        <w:trPr>
          <w:cnfStyle w:val="100000000000" w:firstRow="1" w:lastRow="0" w:firstColumn="0" w:lastColumn="0" w:oddVBand="0" w:evenVBand="0" w:oddHBand="0" w:evenHBand="0" w:firstRowFirstColumn="0" w:firstRowLastColumn="0" w:lastRowFirstColumn="0" w:lastRowLastColumn="0"/>
          <w:tblHeader/>
        </w:trPr>
        <w:tc>
          <w:tcPr>
            <w:tcW w:w="1912" w:type="dxa"/>
            <w:vMerge w:val="restart"/>
          </w:tcPr>
          <w:p w:rsidR="00C37D89" w:rsidRPr="005B0796" w:rsidRDefault="00C37D89" w:rsidP="00F1299E">
            <w:pPr>
              <w:pStyle w:val="TableText"/>
            </w:pPr>
            <w:r w:rsidRPr="005B0796">
              <w:rPr>
                <w:lang w:eastAsia="en-AU"/>
              </w:rPr>
              <w:t>ICD-10 alcohol disorder</w:t>
            </w:r>
          </w:p>
        </w:tc>
        <w:tc>
          <w:tcPr>
            <w:tcW w:w="9594" w:type="dxa"/>
            <w:gridSpan w:val="9"/>
            <w:noWrap/>
          </w:tcPr>
          <w:p w:rsidR="00C37D89" w:rsidRPr="005B0796" w:rsidRDefault="00C37D89" w:rsidP="00F1299E">
            <w:pPr>
              <w:pStyle w:val="TableText"/>
              <w:jc w:val="center"/>
              <w:rPr>
                <w:lang w:eastAsia="en-AU"/>
              </w:rPr>
            </w:pPr>
            <w:r w:rsidRPr="005B0796">
              <w:rPr>
                <w:lang w:eastAsia="en-AU"/>
              </w:rPr>
              <w:t>Years of service in Regular ADF</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912" w:type="dxa"/>
            <w:vMerge/>
            <w:hideMark/>
          </w:tcPr>
          <w:p w:rsidR="00C37D89" w:rsidRPr="005B0796" w:rsidRDefault="00C37D89" w:rsidP="00F1299E">
            <w:pPr>
              <w:pStyle w:val="TableText"/>
            </w:pPr>
          </w:p>
        </w:tc>
        <w:tc>
          <w:tcPr>
            <w:tcW w:w="3194" w:type="dxa"/>
            <w:gridSpan w:val="3"/>
            <w:noWrap/>
            <w:hideMark/>
          </w:tcPr>
          <w:p w:rsidR="00C37D89" w:rsidRPr="005B0796" w:rsidRDefault="00C37D89" w:rsidP="00F1299E">
            <w:pPr>
              <w:pStyle w:val="TableText"/>
              <w:jc w:val="center"/>
              <w:rPr>
                <w:lang w:eastAsia="en-AU"/>
              </w:rPr>
            </w:pPr>
            <w:r w:rsidRPr="005B0796">
              <w:rPr>
                <w:lang w:eastAsia="en-AU"/>
              </w:rPr>
              <w:t>3 months – 3.9 years (n = 2413)</w:t>
            </w:r>
          </w:p>
        </w:tc>
        <w:tc>
          <w:tcPr>
            <w:tcW w:w="3199" w:type="dxa"/>
            <w:gridSpan w:val="3"/>
            <w:noWrap/>
            <w:hideMark/>
          </w:tcPr>
          <w:p w:rsidR="00C37D89" w:rsidRPr="005B0796" w:rsidRDefault="00C37D89" w:rsidP="00F1299E">
            <w:pPr>
              <w:pStyle w:val="TableText"/>
              <w:jc w:val="center"/>
              <w:rPr>
                <w:lang w:eastAsia="en-AU"/>
              </w:rPr>
            </w:pPr>
            <w:r w:rsidRPr="005B0796">
              <w:rPr>
                <w:lang w:eastAsia="en-AU"/>
              </w:rPr>
              <w:t xml:space="preserve">4–7.9 years </w:t>
            </w:r>
            <w:r w:rsidRPr="005B0796">
              <w:rPr>
                <w:lang w:eastAsia="en-AU"/>
              </w:rPr>
              <w:br/>
              <w:t>(n = 9015)</w:t>
            </w:r>
          </w:p>
        </w:tc>
        <w:tc>
          <w:tcPr>
            <w:tcW w:w="3201" w:type="dxa"/>
            <w:gridSpan w:val="3"/>
            <w:noWrap/>
            <w:hideMark/>
          </w:tcPr>
          <w:p w:rsidR="00C37D89" w:rsidRPr="005B0796" w:rsidRDefault="00C37D89" w:rsidP="00F1299E">
            <w:pPr>
              <w:pStyle w:val="TableText"/>
              <w:jc w:val="center"/>
              <w:rPr>
                <w:lang w:eastAsia="en-AU"/>
              </w:rPr>
            </w:pPr>
            <w:r w:rsidRPr="005B0796">
              <w:rPr>
                <w:lang w:eastAsia="en-AU"/>
              </w:rPr>
              <w:t>8–11.9 years</w:t>
            </w:r>
            <w:r w:rsidRPr="005B0796">
              <w:rPr>
                <w:lang w:eastAsia="en-AU"/>
              </w:rPr>
              <w:br/>
              <w:t>(n = 3295)</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912" w:type="dxa"/>
            <w:vMerge/>
            <w:noWrap/>
            <w:hideMark/>
          </w:tcPr>
          <w:p w:rsidR="00C37D89" w:rsidRPr="005B0796" w:rsidRDefault="00C37D89" w:rsidP="00F1299E">
            <w:pPr>
              <w:pStyle w:val="TableText"/>
              <w:rPr>
                <w:lang w:eastAsia="en-AU"/>
              </w:rPr>
            </w:pPr>
          </w:p>
        </w:tc>
        <w:tc>
          <w:tcPr>
            <w:tcW w:w="1064" w:type="dxa"/>
            <w:noWrap/>
            <w:hideMark/>
          </w:tcPr>
          <w:p w:rsidR="00C37D89" w:rsidRPr="005B0796" w:rsidRDefault="00C37D89" w:rsidP="00F1299E">
            <w:pPr>
              <w:pStyle w:val="TableText"/>
              <w:jc w:val="right"/>
              <w:rPr>
                <w:lang w:eastAsia="en-AU"/>
              </w:rPr>
            </w:pPr>
            <w:r w:rsidRPr="005B0796">
              <w:rPr>
                <w:lang w:eastAsia="en-AU"/>
              </w:rPr>
              <w:t>Weighted n</w:t>
            </w:r>
          </w:p>
        </w:tc>
        <w:tc>
          <w:tcPr>
            <w:tcW w:w="1065" w:type="dxa"/>
            <w:hideMark/>
          </w:tcPr>
          <w:p w:rsidR="00C37D89" w:rsidRPr="005B0796" w:rsidRDefault="00C37D89" w:rsidP="00F1299E">
            <w:pPr>
              <w:pStyle w:val="TableText"/>
              <w:jc w:val="right"/>
              <w:rPr>
                <w:lang w:eastAsia="en-AU"/>
              </w:rPr>
            </w:pPr>
            <w:r w:rsidRPr="005B0796">
              <w:rPr>
                <w:lang w:eastAsia="en-AU"/>
              </w:rPr>
              <w:t>%</w:t>
            </w:r>
          </w:p>
        </w:tc>
        <w:tc>
          <w:tcPr>
            <w:tcW w:w="1065" w:type="dxa"/>
            <w:hideMark/>
          </w:tcPr>
          <w:p w:rsidR="00C37D89" w:rsidRPr="005B0796" w:rsidRDefault="00C37D89" w:rsidP="00F1299E">
            <w:pPr>
              <w:pStyle w:val="TableText"/>
              <w:jc w:val="right"/>
              <w:rPr>
                <w:lang w:eastAsia="en-AU"/>
              </w:rPr>
            </w:pPr>
            <w:r w:rsidRPr="005B0796">
              <w:rPr>
                <w:lang w:eastAsia="en-AU"/>
              </w:rPr>
              <w:t>95% CI</w:t>
            </w:r>
          </w:p>
        </w:tc>
        <w:tc>
          <w:tcPr>
            <w:tcW w:w="1065" w:type="dxa"/>
            <w:noWrap/>
            <w:hideMark/>
          </w:tcPr>
          <w:p w:rsidR="00C37D89" w:rsidRPr="005B0796" w:rsidRDefault="00C37D89" w:rsidP="00F1299E">
            <w:pPr>
              <w:pStyle w:val="TableText"/>
              <w:jc w:val="right"/>
              <w:rPr>
                <w:lang w:eastAsia="en-AU"/>
              </w:rPr>
            </w:pPr>
            <w:r w:rsidRPr="005B0796">
              <w:rPr>
                <w:lang w:eastAsia="en-AU"/>
              </w:rPr>
              <w:t>Weighted n</w:t>
            </w:r>
          </w:p>
        </w:tc>
        <w:tc>
          <w:tcPr>
            <w:tcW w:w="1067" w:type="dxa"/>
            <w:hideMark/>
          </w:tcPr>
          <w:p w:rsidR="00C37D89" w:rsidRPr="005B0796" w:rsidRDefault="00C37D89" w:rsidP="00F1299E">
            <w:pPr>
              <w:pStyle w:val="TableText"/>
              <w:jc w:val="right"/>
              <w:rPr>
                <w:lang w:eastAsia="en-AU"/>
              </w:rPr>
            </w:pPr>
            <w:r w:rsidRPr="005B0796">
              <w:rPr>
                <w:lang w:eastAsia="en-AU"/>
              </w:rPr>
              <w:t>%</w:t>
            </w:r>
          </w:p>
        </w:tc>
        <w:tc>
          <w:tcPr>
            <w:tcW w:w="1067" w:type="dxa"/>
            <w:hideMark/>
          </w:tcPr>
          <w:p w:rsidR="00C37D89" w:rsidRPr="005B0796" w:rsidRDefault="00C37D89" w:rsidP="00F1299E">
            <w:pPr>
              <w:pStyle w:val="TableText"/>
              <w:jc w:val="right"/>
              <w:rPr>
                <w:lang w:eastAsia="en-AU"/>
              </w:rPr>
            </w:pPr>
            <w:r w:rsidRPr="005B0796">
              <w:rPr>
                <w:lang w:eastAsia="en-AU"/>
              </w:rPr>
              <w:t>95% CI</w:t>
            </w:r>
          </w:p>
        </w:tc>
        <w:tc>
          <w:tcPr>
            <w:tcW w:w="1067" w:type="dxa"/>
            <w:noWrap/>
            <w:hideMark/>
          </w:tcPr>
          <w:p w:rsidR="00C37D89" w:rsidRPr="005B0796" w:rsidRDefault="00C37D89" w:rsidP="00F1299E">
            <w:pPr>
              <w:pStyle w:val="TableText"/>
              <w:jc w:val="right"/>
              <w:rPr>
                <w:lang w:eastAsia="en-AU"/>
              </w:rPr>
            </w:pPr>
            <w:r w:rsidRPr="005B0796">
              <w:rPr>
                <w:lang w:eastAsia="en-AU"/>
              </w:rPr>
              <w:t>Weighted n</w:t>
            </w:r>
          </w:p>
        </w:tc>
        <w:tc>
          <w:tcPr>
            <w:tcW w:w="1067" w:type="dxa"/>
            <w:hideMark/>
          </w:tcPr>
          <w:p w:rsidR="00C37D89" w:rsidRPr="005B0796" w:rsidRDefault="00C37D89" w:rsidP="00F1299E">
            <w:pPr>
              <w:pStyle w:val="TableText"/>
              <w:jc w:val="right"/>
              <w:rPr>
                <w:lang w:eastAsia="en-AU"/>
              </w:rPr>
            </w:pPr>
            <w:r w:rsidRPr="005B0796">
              <w:rPr>
                <w:lang w:eastAsia="en-AU"/>
              </w:rPr>
              <w:t>%</w:t>
            </w:r>
          </w:p>
        </w:tc>
        <w:tc>
          <w:tcPr>
            <w:tcW w:w="1067" w:type="dxa"/>
            <w:hideMark/>
          </w:tcPr>
          <w:p w:rsidR="00C37D89" w:rsidRPr="005B0796" w:rsidRDefault="00C37D89" w:rsidP="00F1299E">
            <w:pPr>
              <w:pStyle w:val="TableText"/>
              <w:jc w:val="right"/>
              <w:rPr>
                <w:lang w:eastAsia="en-AU"/>
              </w:rPr>
            </w:pPr>
            <w:r w:rsidRPr="005B0796">
              <w:rPr>
                <w:lang w:eastAsia="en-AU"/>
              </w:rPr>
              <w:t>95% CI</w:t>
            </w:r>
          </w:p>
        </w:tc>
      </w:tr>
      <w:tr w:rsidR="00C37D89" w:rsidRPr="005B0796" w:rsidTr="00C37D89">
        <w:trPr>
          <w:cnfStyle w:val="000000100000" w:firstRow="0" w:lastRow="0" w:firstColumn="0" w:lastColumn="0" w:oddVBand="0" w:evenVBand="0" w:oddHBand="1" w:evenHBand="0" w:firstRowFirstColumn="0" w:firstRowLastColumn="0" w:lastRowFirstColumn="0" w:lastRowLastColumn="0"/>
        </w:trPr>
        <w:tc>
          <w:tcPr>
            <w:tcW w:w="1912" w:type="dxa"/>
            <w:noWrap/>
            <w:hideMark/>
          </w:tcPr>
          <w:p w:rsidR="00C37D89" w:rsidRPr="005B0796" w:rsidRDefault="00C37D89" w:rsidP="00F1299E">
            <w:pPr>
              <w:pStyle w:val="TableText"/>
              <w:rPr>
                <w:lang w:eastAsia="en-AU"/>
              </w:rPr>
            </w:pPr>
            <w:r w:rsidRPr="005B0796">
              <w:rPr>
                <w:lang w:eastAsia="en-AU"/>
              </w:rPr>
              <w:t>Alcohol harmful use</w:t>
            </w:r>
          </w:p>
        </w:tc>
        <w:tc>
          <w:tcPr>
            <w:tcW w:w="1064" w:type="dxa"/>
            <w:noWrap/>
            <w:hideMark/>
          </w:tcPr>
          <w:p w:rsidR="00C37D89" w:rsidRPr="005B0796" w:rsidRDefault="00C37D89" w:rsidP="00F1299E">
            <w:pPr>
              <w:pStyle w:val="TableText"/>
              <w:jc w:val="right"/>
              <w:rPr>
                <w:lang w:eastAsia="en-AU"/>
              </w:rPr>
            </w:pPr>
            <w:r w:rsidRPr="005B0796">
              <w:rPr>
                <w:lang w:eastAsia="en-AU"/>
              </w:rPr>
              <w:t>241</w:t>
            </w:r>
          </w:p>
        </w:tc>
        <w:tc>
          <w:tcPr>
            <w:tcW w:w="1065" w:type="dxa"/>
            <w:hideMark/>
          </w:tcPr>
          <w:p w:rsidR="00C37D89" w:rsidRPr="005B0796" w:rsidRDefault="00C37D89" w:rsidP="00F1299E">
            <w:pPr>
              <w:pStyle w:val="TableText"/>
              <w:jc w:val="right"/>
              <w:rPr>
                <w:lang w:eastAsia="en-AU"/>
              </w:rPr>
            </w:pPr>
            <w:r w:rsidRPr="005B0796">
              <w:rPr>
                <w:lang w:eastAsia="en-AU"/>
              </w:rPr>
              <w:t>10.0</w:t>
            </w:r>
          </w:p>
        </w:tc>
        <w:tc>
          <w:tcPr>
            <w:tcW w:w="1065" w:type="dxa"/>
            <w:hideMark/>
          </w:tcPr>
          <w:p w:rsidR="00C37D89" w:rsidRPr="005B0796" w:rsidRDefault="00C37D89" w:rsidP="00F1299E">
            <w:pPr>
              <w:pStyle w:val="TableText"/>
              <w:jc w:val="right"/>
              <w:rPr>
                <w:lang w:eastAsia="en-AU"/>
              </w:rPr>
            </w:pPr>
            <w:r w:rsidRPr="005B0796">
              <w:rPr>
                <w:lang w:eastAsia="en-AU"/>
              </w:rPr>
              <w:t>2.8, 29.9</w:t>
            </w:r>
          </w:p>
        </w:tc>
        <w:tc>
          <w:tcPr>
            <w:tcW w:w="1065" w:type="dxa"/>
            <w:hideMark/>
          </w:tcPr>
          <w:p w:rsidR="00C37D89" w:rsidRPr="005B0796" w:rsidRDefault="00C37D89" w:rsidP="00F1299E">
            <w:pPr>
              <w:pStyle w:val="TableText"/>
              <w:jc w:val="right"/>
              <w:rPr>
                <w:lang w:eastAsia="en-AU"/>
              </w:rPr>
            </w:pPr>
            <w:r w:rsidRPr="005B0796">
              <w:rPr>
                <w:lang w:eastAsia="en-AU"/>
              </w:rPr>
              <w:t>270</w:t>
            </w:r>
          </w:p>
        </w:tc>
        <w:tc>
          <w:tcPr>
            <w:tcW w:w="1067" w:type="dxa"/>
            <w:hideMark/>
          </w:tcPr>
          <w:p w:rsidR="00C37D89" w:rsidRPr="005B0796" w:rsidRDefault="00C37D89" w:rsidP="00F1299E">
            <w:pPr>
              <w:pStyle w:val="TableText"/>
              <w:jc w:val="right"/>
              <w:rPr>
                <w:lang w:eastAsia="en-AU"/>
              </w:rPr>
            </w:pPr>
            <w:r w:rsidRPr="005B0796">
              <w:rPr>
                <w:lang w:eastAsia="en-AU"/>
              </w:rPr>
              <w:t>3.0</w:t>
            </w:r>
          </w:p>
        </w:tc>
        <w:tc>
          <w:tcPr>
            <w:tcW w:w="1067" w:type="dxa"/>
            <w:hideMark/>
          </w:tcPr>
          <w:p w:rsidR="00C37D89" w:rsidRPr="005B0796" w:rsidRDefault="00C37D89" w:rsidP="00F1299E">
            <w:pPr>
              <w:pStyle w:val="TableText"/>
              <w:jc w:val="right"/>
              <w:rPr>
                <w:lang w:eastAsia="en-AU"/>
              </w:rPr>
            </w:pPr>
            <w:r w:rsidRPr="005B0796">
              <w:rPr>
                <w:lang w:eastAsia="en-AU"/>
              </w:rPr>
              <w:t>1.0, 8.6</w:t>
            </w:r>
          </w:p>
        </w:tc>
        <w:tc>
          <w:tcPr>
            <w:tcW w:w="1067" w:type="dxa"/>
            <w:hideMark/>
          </w:tcPr>
          <w:p w:rsidR="00C37D89" w:rsidRPr="005B0796" w:rsidRDefault="00C37D89" w:rsidP="00F1299E">
            <w:pPr>
              <w:pStyle w:val="TableText"/>
              <w:jc w:val="right"/>
              <w:rPr>
                <w:lang w:eastAsia="en-AU"/>
              </w:rPr>
            </w:pPr>
            <w:r w:rsidRPr="005B0796">
              <w:rPr>
                <w:lang w:eastAsia="en-AU"/>
              </w:rPr>
              <w:t>171</w:t>
            </w:r>
          </w:p>
        </w:tc>
        <w:tc>
          <w:tcPr>
            <w:tcW w:w="1067" w:type="dxa"/>
            <w:hideMark/>
          </w:tcPr>
          <w:p w:rsidR="00C37D89" w:rsidRPr="005B0796" w:rsidRDefault="00C37D89" w:rsidP="00F1299E">
            <w:pPr>
              <w:pStyle w:val="TableText"/>
              <w:jc w:val="right"/>
              <w:rPr>
                <w:lang w:eastAsia="en-AU"/>
              </w:rPr>
            </w:pPr>
            <w:r w:rsidRPr="005B0796">
              <w:rPr>
                <w:lang w:eastAsia="en-AU"/>
              </w:rPr>
              <w:t>5.2</w:t>
            </w:r>
          </w:p>
        </w:tc>
        <w:tc>
          <w:tcPr>
            <w:tcW w:w="1067" w:type="dxa"/>
            <w:hideMark/>
          </w:tcPr>
          <w:p w:rsidR="00C37D89" w:rsidRPr="005B0796" w:rsidRDefault="00C37D89" w:rsidP="00F1299E">
            <w:pPr>
              <w:pStyle w:val="TableText"/>
              <w:jc w:val="right"/>
              <w:rPr>
                <w:lang w:eastAsia="en-AU"/>
              </w:rPr>
            </w:pPr>
            <w:r w:rsidRPr="005B0796">
              <w:rPr>
                <w:lang w:eastAsia="en-AU"/>
              </w:rPr>
              <w:t>1.3, 19.3</w:t>
            </w:r>
          </w:p>
        </w:tc>
      </w:tr>
      <w:tr w:rsidR="00C37D89" w:rsidRPr="005B0796" w:rsidTr="00C37D89">
        <w:tc>
          <w:tcPr>
            <w:tcW w:w="1912" w:type="dxa"/>
            <w:noWrap/>
            <w:hideMark/>
          </w:tcPr>
          <w:p w:rsidR="00C37D89" w:rsidRPr="005B0796" w:rsidRDefault="00C37D89" w:rsidP="00F1299E">
            <w:pPr>
              <w:pStyle w:val="TableText"/>
              <w:rPr>
                <w:lang w:eastAsia="en-AU"/>
              </w:rPr>
            </w:pPr>
            <w:r w:rsidRPr="005B0796">
              <w:rPr>
                <w:lang w:eastAsia="en-AU"/>
              </w:rPr>
              <w:t>Alcohol dependence</w:t>
            </w:r>
            <w:r w:rsidRPr="005B0796">
              <w:rPr>
                <w:vertAlign w:val="superscript"/>
                <w:lang w:eastAsia="en-AU"/>
              </w:rPr>
              <w:t>a</w:t>
            </w:r>
          </w:p>
        </w:tc>
        <w:tc>
          <w:tcPr>
            <w:tcW w:w="1064" w:type="dxa"/>
            <w:noWrap/>
            <w:hideMark/>
          </w:tcPr>
          <w:p w:rsidR="00C37D89" w:rsidRPr="005B0796" w:rsidRDefault="00C37D89" w:rsidP="00F1299E">
            <w:pPr>
              <w:pStyle w:val="TableText"/>
              <w:jc w:val="right"/>
              <w:rPr>
                <w:lang w:eastAsia="en-AU"/>
              </w:rPr>
            </w:pPr>
            <w:r w:rsidRPr="005B0796">
              <w:rPr>
                <w:lang w:eastAsia="en-AU"/>
              </w:rPr>
              <w:t>357</w:t>
            </w:r>
          </w:p>
        </w:tc>
        <w:tc>
          <w:tcPr>
            <w:tcW w:w="1065" w:type="dxa"/>
            <w:hideMark/>
          </w:tcPr>
          <w:p w:rsidR="00C37D89" w:rsidRPr="005B0796" w:rsidRDefault="00C37D89" w:rsidP="00F1299E">
            <w:pPr>
              <w:pStyle w:val="TableText"/>
              <w:jc w:val="right"/>
              <w:rPr>
                <w:lang w:eastAsia="en-AU"/>
              </w:rPr>
            </w:pPr>
            <w:r w:rsidRPr="005B0796">
              <w:rPr>
                <w:lang w:eastAsia="en-AU"/>
              </w:rPr>
              <w:t>14.8</w:t>
            </w:r>
          </w:p>
        </w:tc>
        <w:tc>
          <w:tcPr>
            <w:tcW w:w="1065" w:type="dxa"/>
            <w:hideMark/>
          </w:tcPr>
          <w:p w:rsidR="00C37D89" w:rsidRPr="005B0796" w:rsidRDefault="00C37D89" w:rsidP="00F1299E">
            <w:pPr>
              <w:pStyle w:val="TableText"/>
              <w:jc w:val="right"/>
              <w:rPr>
                <w:lang w:eastAsia="en-AU"/>
              </w:rPr>
            </w:pPr>
            <w:r w:rsidRPr="005B0796">
              <w:rPr>
                <w:lang w:eastAsia="en-AU"/>
              </w:rPr>
              <w:t>4.8, 37.4</w:t>
            </w:r>
          </w:p>
        </w:tc>
        <w:tc>
          <w:tcPr>
            <w:tcW w:w="1065" w:type="dxa"/>
            <w:hideMark/>
          </w:tcPr>
          <w:p w:rsidR="00C37D89" w:rsidRPr="005B0796" w:rsidRDefault="00C37D89" w:rsidP="00F1299E">
            <w:pPr>
              <w:pStyle w:val="TableText"/>
              <w:jc w:val="right"/>
              <w:rPr>
                <w:lang w:eastAsia="en-AU"/>
              </w:rPr>
            </w:pPr>
            <w:r w:rsidRPr="005B0796">
              <w:rPr>
                <w:lang w:eastAsia="en-AU"/>
              </w:rPr>
              <w:t>1451</w:t>
            </w:r>
          </w:p>
        </w:tc>
        <w:tc>
          <w:tcPr>
            <w:tcW w:w="1067" w:type="dxa"/>
            <w:hideMark/>
          </w:tcPr>
          <w:p w:rsidR="00C37D89" w:rsidRPr="005B0796" w:rsidRDefault="00C37D89" w:rsidP="00F1299E">
            <w:pPr>
              <w:pStyle w:val="TableText"/>
              <w:jc w:val="right"/>
              <w:rPr>
                <w:lang w:eastAsia="en-AU"/>
              </w:rPr>
            </w:pPr>
            <w:r w:rsidRPr="005B0796">
              <w:rPr>
                <w:lang w:eastAsia="en-AU"/>
              </w:rPr>
              <w:t>16.1</w:t>
            </w:r>
          </w:p>
        </w:tc>
        <w:tc>
          <w:tcPr>
            <w:tcW w:w="1067" w:type="dxa"/>
            <w:hideMark/>
          </w:tcPr>
          <w:p w:rsidR="00C37D89" w:rsidRPr="005B0796" w:rsidRDefault="00C37D89" w:rsidP="00F1299E">
            <w:pPr>
              <w:pStyle w:val="TableText"/>
              <w:jc w:val="right"/>
              <w:rPr>
                <w:lang w:eastAsia="en-AU"/>
              </w:rPr>
            </w:pPr>
            <w:r w:rsidRPr="005B0796">
              <w:rPr>
                <w:lang w:eastAsia="en-AU"/>
              </w:rPr>
              <w:t>10.1, 24.9</w:t>
            </w:r>
          </w:p>
        </w:tc>
        <w:tc>
          <w:tcPr>
            <w:tcW w:w="1067" w:type="dxa"/>
            <w:hideMark/>
          </w:tcPr>
          <w:p w:rsidR="00C37D89" w:rsidRPr="005B0796" w:rsidRDefault="00C37D89" w:rsidP="00F1299E">
            <w:pPr>
              <w:pStyle w:val="TableText"/>
              <w:jc w:val="right"/>
              <w:rPr>
                <w:lang w:eastAsia="en-AU"/>
              </w:rPr>
            </w:pPr>
            <w:r w:rsidRPr="005B0796">
              <w:rPr>
                <w:lang w:eastAsia="en-AU"/>
              </w:rPr>
              <w:t>191</w:t>
            </w:r>
          </w:p>
        </w:tc>
        <w:tc>
          <w:tcPr>
            <w:tcW w:w="1067" w:type="dxa"/>
            <w:hideMark/>
          </w:tcPr>
          <w:p w:rsidR="00C37D89" w:rsidRPr="005B0796" w:rsidRDefault="00C37D89" w:rsidP="00F1299E">
            <w:pPr>
              <w:pStyle w:val="TableText"/>
              <w:jc w:val="right"/>
              <w:rPr>
                <w:lang w:eastAsia="en-AU"/>
              </w:rPr>
            </w:pPr>
            <w:r w:rsidRPr="005B0796">
              <w:rPr>
                <w:lang w:eastAsia="en-AU"/>
              </w:rPr>
              <w:t>5.8</w:t>
            </w:r>
          </w:p>
        </w:tc>
        <w:tc>
          <w:tcPr>
            <w:tcW w:w="1067" w:type="dxa"/>
            <w:hideMark/>
          </w:tcPr>
          <w:p w:rsidR="00C37D89" w:rsidRPr="005B0796" w:rsidRDefault="00C37D89" w:rsidP="00F1299E">
            <w:pPr>
              <w:pStyle w:val="TableText"/>
              <w:jc w:val="right"/>
              <w:rPr>
                <w:lang w:eastAsia="en-AU"/>
              </w:rPr>
            </w:pPr>
            <w:r w:rsidRPr="005B0796">
              <w:rPr>
                <w:lang w:eastAsia="en-AU"/>
              </w:rPr>
              <w:t>1.8, 17.0</w:t>
            </w:r>
          </w:p>
        </w:tc>
      </w:tr>
      <w:tr w:rsidR="00C37D89" w:rsidRPr="005B0796" w:rsidTr="00C37D89">
        <w:trPr>
          <w:cnfStyle w:val="000000100000" w:firstRow="0" w:lastRow="0" w:firstColumn="0" w:lastColumn="0" w:oddVBand="0" w:evenVBand="0" w:oddHBand="1" w:evenHBand="0" w:firstRowFirstColumn="0" w:firstRowLastColumn="0" w:lastRowFirstColumn="0" w:lastRowLastColumn="0"/>
        </w:trPr>
        <w:tc>
          <w:tcPr>
            <w:tcW w:w="1912" w:type="dxa"/>
            <w:hideMark/>
          </w:tcPr>
          <w:p w:rsidR="00C37D89" w:rsidRPr="005B0796" w:rsidRDefault="00C37D89" w:rsidP="00F1299E">
            <w:pPr>
              <w:pStyle w:val="TableText"/>
              <w:rPr>
                <w:lang w:eastAsia="en-AU"/>
              </w:rPr>
            </w:pPr>
            <w:r w:rsidRPr="005B0796">
              <w:rPr>
                <w:lang w:eastAsia="en-AU"/>
              </w:rPr>
              <w:t>Any alcohol disorder</w:t>
            </w:r>
            <w:r w:rsidRPr="005B0796">
              <w:rPr>
                <w:vertAlign w:val="superscript"/>
                <w:lang w:eastAsia="en-AU"/>
              </w:rPr>
              <w:t>b</w:t>
            </w:r>
          </w:p>
        </w:tc>
        <w:tc>
          <w:tcPr>
            <w:tcW w:w="1064" w:type="dxa"/>
            <w:noWrap/>
            <w:hideMark/>
          </w:tcPr>
          <w:p w:rsidR="00C37D89" w:rsidRPr="005B0796" w:rsidRDefault="00C37D89" w:rsidP="00F1299E">
            <w:pPr>
              <w:pStyle w:val="TableText"/>
              <w:jc w:val="right"/>
              <w:rPr>
                <w:lang w:eastAsia="en-AU"/>
              </w:rPr>
            </w:pPr>
            <w:r w:rsidRPr="005B0796">
              <w:rPr>
                <w:lang w:eastAsia="en-AU"/>
              </w:rPr>
              <w:t>598</w:t>
            </w:r>
          </w:p>
        </w:tc>
        <w:tc>
          <w:tcPr>
            <w:tcW w:w="1065" w:type="dxa"/>
            <w:hideMark/>
          </w:tcPr>
          <w:p w:rsidR="00C37D89" w:rsidRPr="005B0796" w:rsidRDefault="00C37D89" w:rsidP="00F1299E">
            <w:pPr>
              <w:pStyle w:val="TableText"/>
              <w:jc w:val="right"/>
              <w:rPr>
                <w:lang w:eastAsia="en-AU"/>
              </w:rPr>
            </w:pPr>
            <w:r w:rsidRPr="005B0796">
              <w:rPr>
                <w:lang w:eastAsia="en-AU"/>
              </w:rPr>
              <w:t>24.8</w:t>
            </w:r>
          </w:p>
        </w:tc>
        <w:tc>
          <w:tcPr>
            <w:tcW w:w="1065" w:type="dxa"/>
            <w:hideMark/>
          </w:tcPr>
          <w:p w:rsidR="00C37D89" w:rsidRPr="005B0796" w:rsidRDefault="00C37D89" w:rsidP="00F1299E">
            <w:pPr>
              <w:pStyle w:val="TableText"/>
              <w:jc w:val="right"/>
              <w:rPr>
                <w:lang w:eastAsia="en-AU"/>
              </w:rPr>
            </w:pPr>
            <w:r w:rsidRPr="005B0796">
              <w:rPr>
                <w:lang w:eastAsia="en-AU"/>
              </w:rPr>
              <w:t>10.8, 47.2</w:t>
            </w:r>
          </w:p>
        </w:tc>
        <w:tc>
          <w:tcPr>
            <w:tcW w:w="1065" w:type="dxa"/>
            <w:hideMark/>
          </w:tcPr>
          <w:p w:rsidR="00C37D89" w:rsidRPr="005B0796" w:rsidRDefault="00C37D89" w:rsidP="00F1299E">
            <w:pPr>
              <w:pStyle w:val="TableText"/>
              <w:jc w:val="right"/>
              <w:rPr>
                <w:lang w:eastAsia="en-AU"/>
              </w:rPr>
            </w:pPr>
            <w:r w:rsidRPr="005B0796">
              <w:rPr>
                <w:lang w:eastAsia="en-AU"/>
              </w:rPr>
              <w:t>1722</w:t>
            </w:r>
          </w:p>
        </w:tc>
        <w:tc>
          <w:tcPr>
            <w:tcW w:w="1067" w:type="dxa"/>
            <w:hideMark/>
          </w:tcPr>
          <w:p w:rsidR="00C37D89" w:rsidRPr="005B0796" w:rsidRDefault="00C37D89" w:rsidP="00F1299E">
            <w:pPr>
              <w:pStyle w:val="TableText"/>
              <w:jc w:val="right"/>
              <w:rPr>
                <w:lang w:eastAsia="en-AU"/>
              </w:rPr>
            </w:pPr>
            <w:r w:rsidRPr="005B0796">
              <w:rPr>
                <w:lang w:eastAsia="en-AU"/>
              </w:rPr>
              <w:t>19.1</w:t>
            </w:r>
          </w:p>
        </w:tc>
        <w:tc>
          <w:tcPr>
            <w:tcW w:w="1067" w:type="dxa"/>
            <w:hideMark/>
          </w:tcPr>
          <w:p w:rsidR="00C37D89" w:rsidRPr="005B0796" w:rsidRDefault="00C37D89" w:rsidP="00F1299E">
            <w:pPr>
              <w:pStyle w:val="TableText"/>
              <w:jc w:val="right"/>
              <w:rPr>
                <w:lang w:eastAsia="en-AU"/>
              </w:rPr>
            </w:pPr>
            <w:r w:rsidRPr="005B0796">
              <w:rPr>
                <w:lang w:eastAsia="en-AU"/>
              </w:rPr>
              <w:t>12.5, 28.2</w:t>
            </w:r>
          </w:p>
        </w:tc>
        <w:tc>
          <w:tcPr>
            <w:tcW w:w="1067" w:type="dxa"/>
            <w:hideMark/>
          </w:tcPr>
          <w:p w:rsidR="00C37D89" w:rsidRPr="005B0796" w:rsidRDefault="00C37D89" w:rsidP="00F1299E">
            <w:pPr>
              <w:pStyle w:val="TableText"/>
              <w:jc w:val="right"/>
              <w:rPr>
                <w:lang w:eastAsia="en-AU"/>
              </w:rPr>
            </w:pPr>
            <w:r w:rsidRPr="005B0796">
              <w:rPr>
                <w:lang w:eastAsia="en-AU"/>
              </w:rPr>
              <w:t>366</w:t>
            </w:r>
          </w:p>
        </w:tc>
        <w:tc>
          <w:tcPr>
            <w:tcW w:w="1067" w:type="dxa"/>
            <w:hideMark/>
          </w:tcPr>
          <w:p w:rsidR="00C37D89" w:rsidRPr="005B0796" w:rsidRDefault="00C37D89" w:rsidP="00F1299E">
            <w:pPr>
              <w:pStyle w:val="TableText"/>
              <w:jc w:val="right"/>
              <w:rPr>
                <w:lang w:eastAsia="en-AU"/>
              </w:rPr>
            </w:pPr>
            <w:r w:rsidRPr="005B0796">
              <w:rPr>
                <w:lang w:eastAsia="en-AU"/>
              </w:rPr>
              <w:t>11.1</w:t>
            </w:r>
          </w:p>
        </w:tc>
        <w:tc>
          <w:tcPr>
            <w:tcW w:w="1067" w:type="dxa"/>
            <w:hideMark/>
          </w:tcPr>
          <w:p w:rsidR="00C37D89" w:rsidRPr="005B0796" w:rsidRDefault="00C37D89" w:rsidP="00F1299E">
            <w:pPr>
              <w:pStyle w:val="TableText"/>
              <w:jc w:val="right"/>
              <w:rPr>
                <w:lang w:eastAsia="en-AU"/>
              </w:rPr>
            </w:pPr>
            <w:r w:rsidRPr="005B0796">
              <w:rPr>
                <w:lang w:eastAsia="en-AU"/>
              </w:rPr>
              <w:t>4.5, 24.6</w:t>
            </w:r>
          </w:p>
        </w:tc>
      </w:tr>
    </w:tbl>
    <w:p w:rsidR="00C37D89" w:rsidRPr="005B0796" w:rsidRDefault="00C37D89" w:rsidP="00C37D89">
      <w:pPr>
        <w:pStyle w:val="TableText"/>
      </w:pPr>
    </w:p>
    <w:tbl>
      <w:tblPr>
        <w:tblStyle w:val="TWRPTable"/>
        <w:tblW w:w="5000" w:type="pct"/>
        <w:tblLayout w:type="fixed"/>
        <w:tblLook w:val="04A0" w:firstRow="1" w:lastRow="0" w:firstColumn="1" w:lastColumn="0" w:noHBand="0" w:noVBand="1"/>
        <w:tblDescription w:val="Table 4.34 (cont) Estimated prevalence of 12-month ICD-10 alcohol disorders by years of servicer in the Regular ADF*"/>
      </w:tblPr>
      <w:tblGrid>
        <w:gridCol w:w="1874"/>
        <w:gridCol w:w="1045"/>
        <w:gridCol w:w="1044"/>
        <w:gridCol w:w="1044"/>
        <w:gridCol w:w="1044"/>
        <w:gridCol w:w="1044"/>
        <w:gridCol w:w="1044"/>
        <w:gridCol w:w="1044"/>
        <w:gridCol w:w="1044"/>
        <w:gridCol w:w="1279"/>
      </w:tblGrid>
      <w:tr w:rsidR="00C37D89" w:rsidRPr="005B0796" w:rsidTr="00BB6C7A">
        <w:trPr>
          <w:cnfStyle w:val="100000000000" w:firstRow="1" w:lastRow="0" w:firstColumn="0" w:lastColumn="0" w:oddVBand="0" w:evenVBand="0" w:oddHBand="0" w:evenHBand="0" w:firstRowFirstColumn="0" w:firstRowLastColumn="0" w:lastRowFirstColumn="0" w:lastRowLastColumn="0"/>
          <w:tblHeader/>
        </w:trPr>
        <w:tc>
          <w:tcPr>
            <w:tcW w:w="1874" w:type="dxa"/>
            <w:vMerge w:val="restart"/>
          </w:tcPr>
          <w:p w:rsidR="00C37D89" w:rsidRPr="005B0796" w:rsidRDefault="00C37D89" w:rsidP="00BB6C7A">
            <w:pPr>
              <w:pStyle w:val="TableText"/>
            </w:pPr>
            <w:r w:rsidRPr="005B0796">
              <w:rPr>
                <w:lang w:eastAsia="en-AU"/>
              </w:rPr>
              <w:t>ICD-10 alcohol disorder</w:t>
            </w:r>
          </w:p>
        </w:tc>
        <w:tc>
          <w:tcPr>
            <w:tcW w:w="9632" w:type="dxa"/>
            <w:gridSpan w:val="9"/>
            <w:noWrap/>
          </w:tcPr>
          <w:p w:rsidR="00C37D89" w:rsidRPr="005B0796" w:rsidRDefault="00C37D89" w:rsidP="00BB6C7A">
            <w:pPr>
              <w:pStyle w:val="TableText"/>
              <w:jc w:val="center"/>
              <w:rPr>
                <w:lang w:eastAsia="en-AU"/>
              </w:rPr>
            </w:pPr>
            <w:r w:rsidRPr="005B0796">
              <w:rPr>
                <w:lang w:eastAsia="en-AU"/>
              </w:rPr>
              <w:t>Years of service in Regular ADF</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874" w:type="dxa"/>
            <w:vMerge/>
            <w:hideMark/>
          </w:tcPr>
          <w:p w:rsidR="00C37D89" w:rsidRPr="005B0796" w:rsidRDefault="00C37D89" w:rsidP="00BB6C7A">
            <w:pPr>
              <w:pStyle w:val="TableText"/>
            </w:pPr>
          </w:p>
        </w:tc>
        <w:tc>
          <w:tcPr>
            <w:tcW w:w="3133" w:type="dxa"/>
            <w:gridSpan w:val="3"/>
            <w:noWrap/>
            <w:hideMark/>
          </w:tcPr>
          <w:p w:rsidR="00C37D89" w:rsidRPr="005B0796" w:rsidRDefault="00C37D89" w:rsidP="00BB6C7A">
            <w:pPr>
              <w:pStyle w:val="TableText"/>
              <w:jc w:val="center"/>
              <w:rPr>
                <w:lang w:eastAsia="en-AU"/>
              </w:rPr>
            </w:pPr>
            <w:r w:rsidRPr="005B0796">
              <w:rPr>
                <w:lang w:eastAsia="en-AU"/>
              </w:rPr>
              <w:t>12–15.9 years</w:t>
            </w:r>
            <w:r w:rsidRPr="005B0796">
              <w:rPr>
                <w:lang w:eastAsia="en-AU"/>
              </w:rPr>
              <w:br/>
              <w:t>(n = 2086)</w:t>
            </w:r>
          </w:p>
        </w:tc>
        <w:tc>
          <w:tcPr>
            <w:tcW w:w="3132" w:type="dxa"/>
            <w:gridSpan w:val="3"/>
            <w:noWrap/>
            <w:hideMark/>
          </w:tcPr>
          <w:p w:rsidR="00C37D89" w:rsidRPr="005B0796" w:rsidRDefault="00C37D89" w:rsidP="00BB6C7A">
            <w:pPr>
              <w:pStyle w:val="TableText"/>
              <w:jc w:val="center"/>
              <w:rPr>
                <w:lang w:eastAsia="en-AU"/>
              </w:rPr>
            </w:pPr>
            <w:r w:rsidRPr="005B0796">
              <w:rPr>
                <w:lang w:eastAsia="en-AU"/>
              </w:rPr>
              <w:t xml:space="preserve">16–19.9 years </w:t>
            </w:r>
            <w:r w:rsidRPr="005B0796">
              <w:rPr>
                <w:lang w:eastAsia="en-AU"/>
              </w:rPr>
              <w:br/>
              <w:t>(n = 967)</w:t>
            </w:r>
          </w:p>
        </w:tc>
        <w:tc>
          <w:tcPr>
            <w:tcW w:w="3367" w:type="dxa"/>
            <w:gridSpan w:val="3"/>
            <w:noWrap/>
            <w:hideMark/>
          </w:tcPr>
          <w:p w:rsidR="00C37D89" w:rsidRPr="005B0796" w:rsidRDefault="00C37D89" w:rsidP="00BB6C7A">
            <w:pPr>
              <w:pStyle w:val="TableText"/>
              <w:jc w:val="center"/>
              <w:rPr>
                <w:lang w:eastAsia="en-AU"/>
              </w:rPr>
            </w:pPr>
            <w:r w:rsidRPr="005B0796">
              <w:rPr>
                <w:lang w:eastAsia="en-AU"/>
              </w:rPr>
              <w:t xml:space="preserve">&gt; 20 years </w:t>
            </w:r>
            <w:r w:rsidRPr="005B0796">
              <w:rPr>
                <w:lang w:eastAsia="en-AU"/>
              </w:rPr>
              <w:br/>
              <w:t>(n = 5772)</w:t>
            </w:r>
          </w:p>
        </w:tc>
      </w:tr>
      <w:tr w:rsidR="00C37D89" w:rsidRPr="005B0796" w:rsidTr="00C37D89">
        <w:trPr>
          <w:cnfStyle w:val="100000000000" w:firstRow="1" w:lastRow="0" w:firstColumn="0" w:lastColumn="0" w:oddVBand="0" w:evenVBand="0" w:oddHBand="0" w:evenHBand="0" w:firstRowFirstColumn="0" w:firstRowLastColumn="0" w:lastRowFirstColumn="0" w:lastRowLastColumn="0"/>
          <w:tblHeader/>
        </w:trPr>
        <w:tc>
          <w:tcPr>
            <w:tcW w:w="1874" w:type="dxa"/>
            <w:vMerge/>
            <w:noWrap/>
            <w:hideMark/>
          </w:tcPr>
          <w:p w:rsidR="00C37D89" w:rsidRPr="005B0796" w:rsidRDefault="00C37D89" w:rsidP="00BB6C7A">
            <w:pPr>
              <w:pStyle w:val="TableText"/>
              <w:rPr>
                <w:lang w:eastAsia="en-AU"/>
              </w:rPr>
            </w:pPr>
          </w:p>
        </w:tc>
        <w:tc>
          <w:tcPr>
            <w:tcW w:w="1045" w:type="dxa"/>
            <w:noWrap/>
            <w:hideMark/>
          </w:tcPr>
          <w:p w:rsidR="00C37D89" w:rsidRPr="005B0796" w:rsidRDefault="00C37D89" w:rsidP="00BB6C7A">
            <w:pPr>
              <w:pStyle w:val="TableText"/>
              <w:jc w:val="right"/>
              <w:rPr>
                <w:lang w:eastAsia="en-AU"/>
              </w:rPr>
            </w:pPr>
            <w:r w:rsidRPr="005B0796">
              <w:rPr>
                <w:lang w:eastAsia="en-AU"/>
              </w:rPr>
              <w:t>Weighted n</w:t>
            </w:r>
          </w:p>
        </w:tc>
        <w:tc>
          <w:tcPr>
            <w:tcW w:w="1044" w:type="dxa"/>
            <w:hideMark/>
          </w:tcPr>
          <w:p w:rsidR="00C37D89" w:rsidRPr="005B0796" w:rsidRDefault="00C37D89" w:rsidP="00BB6C7A">
            <w:pPr>
              <w:pStyle w:val="TableText"/>
              <w:jc w:val="right"/>
              <w:rPr>
                <w:lang w:eastAsia="en-AU"/>
              </w:rPr>
            </w:pPr>
            <w:r w:rsidRPr="005B0796">
              <w:rPr>
                <w:lang w:eastAsia="en-AU"/>
              </w:rPr>
              <w:t>%</w:t>
            </w:r>
          </w:p>
        </w:tc>
        <w:tc>
          <w:tcPr>
            <w:tcW w:w="1044" w:type="dxa"/>
            <w:hideMark/>
          </w:tcPr>
          <w:p w:rsidR="00C37D89" w:rsidRPr="005B0796" w:rsidRDefault="00C37D89" w:rsidP="00BB6C7A">
            <w:pPr>
              <w:pStyle w:val="TableText"/>
              <w:jc w:val="right"/>
              <w:rPr>
                <w:lang w:eastAsia="en-AU"/>
              </w:rPr>
            </w:pPr>
            <w:r w:rsidRPr="005B0796">
              <w:rPr>
                <w:lang w:eastAsia="en-AU"/>
              </w:rPr>
              <w:t>95% CI</w:t>
            </w:r>
          </w:p>
        </w:tc>
        <w:tc>
          <w:tcPr>
            <w:tcW w:w="1044" w:type="dxa"/>
            <w:noWrap/>
            <w:hideMark/>
          </w:tcPr>
          <w:p w:rsidR="00C37D89" w:rsidRPr="005B0796" w:rsidRDefault="00C37D89" w:rsidP="00BB6C7A">
            <w:pPr>
              <w:pStyle w:val="TableText"/>
              <w:jc w:val="right"/>
              <w:rPr>
                <w:lang w:eastAsia="en-AU"/>
              </w:rPr>
            </w:pPr>
            <w:r w:rsidRPr="005B0796">
              <w:rPr>
                <w:lang w:eastAsia="en-AU"/>
              </w:rPr>
              <w:t>Weighted n</w:t>
            </w:r>
          </w:p>
        </w:tc>
        <w:tc>
          <w:tcPr>
            <w:tcW w:w="1044" w:type="dxa"/>
            <w:hideMark/>
          </w:tcPr>
          <w:p w:rsidR="00C37D89" w:rsidRPr="005B0796" w:rsidRDefault="00C37D89" w:rsidP="00BB6C7A">
            <w:pPr>
              <w:pStyle w:val="TableText"/>
              <w:jc w:val="right"/>
              <w:rPr>
                <w:lang w:eastAsia="en-AU"/>
              </w:rPr>
            </w:pPr>
            <w:r w:rsidRPr="005B0796">
              <w:rPr>
                <w:lang w:eastAsia="en-AU"/>
              </w:rPr>
              <w:t>%</w:t>
            </w:r>
          </w:p>
        </w:tc>
        <w:tc>
          <w:tcPr>
            <w:tcW w:w="1044" w:type="dxa"/>
            <w:hideMark/>
          </w:tcPr>
          <w:p w:rsidR="00C37D89" w:rsidRPr="005B0796" w:rsidRDefault="00C37D89" w:rsidP="00BB6C7A">
            <w:pPr>
              <w:pStyle w:val="TableText"/>
              <w:jc w:val="right"/>
              <w:rPr>
                <w:lang w:eastAsia="en-AU"/>
              </w:rPr>
            </w:pPr>
            <w:r w:rsidRPr="005B0796">
              <w:rPr>
                <w:lang w:eastAsia="en-AU"/>
              </w:rPr>
              <w:t>95% CI</w:t>
            </w:r>
          </w:p>
        </w:tc>
        <w:tc>
          <w:tcPr>
            <w:tcW w:w="1044" w:type="dxa"/>
            <w:noWrap/>
            <w:hideMark/>
          </w:tcPr>
          <w:p w:rsidR="00C37D89" w:rsidRPr="005B0796" w:rsidRDefault="00C37D89" w:rsidP="00BB6C7A">
            <w:pPr>
              <w:pStyle w:val="TableText"/>
              <w:jc w:val="right"/>
              <w:rPr>
                <w:lang w:eastAsia="en-AU"/>
              </w:rPr>
            </w:pPr>
            <w:r w:rsidRPr="005B0796">
              <w:rPr>
                <w:lang w:eastAsia="en-AU"/>
              </w:rPr>
              <w:t>Weighted n</w:t>
            </w:r>
          </w:p>
        </w:tc>
        <w:tc>
          <w:tcPr>
            <w:tcW w:w="1044" w:type="dxa"/>
            <w:hideMark/>
          </w:tcPr>
          <w:p w:rsidR="00C37D89" w:rsidRPr="005B0796" w:rsidRDefault="00C37D89" w:rsidP="00BB6C7A">
            <w:pPr>
              <w:pStyle w:val="TableText"/>
              <w:jc w:val="right"/>
              <w:rPr>
                <w:lang w:eastAsia="en-AU"/>
              </w:rPr>
            </w:pPr>
            <w:r w:rsidRPr="005B0796">
              <w:rPr>
                <w:lang w:eastAsia="en-AU"/>
              </w:rPr>
              <w:t>%</w:t>
            </w:r>
          </w:p>
        </w:tc>
        <w:tc>
          <w:tcPr>
            <w:tcW w:w="1279" w:type="dxa"/>
            <w:hideMark/>
          </w:tcPr>
          <w:p w:rsidR="00C37D89" w:rsidRPr="005B0796" w:rsidRDefault="00C37D89" w:rsidP="00BB6C7A">
            <w:pPr>
              <w:pStyle w:val="TableText"/>
              <w:jc w:val="right"/>
              <w:rPr>
                <w:lang w:eastAsia="en-AU"/>
              </w:rPr>
            </w:pPr>
            <w:r w:rsidRPr="005B0796">
              <w:rPr>
                <w:lang w:eastAsia="en-AU"/>
              </w:rPr>
              <w:t>95% CI</w:t>
            </w:r>
          </w:p>
        </w:tc>
      </w:tr>
      <w:tr w:rsidR="00C37D89" w:rsidRPr="005B0796" w:rsidTr="00C37D89">
        <w:trPr>
          <w:cnfStyle w:val="000000100000" w:firstRow="0" w:lastRow="0" w:firstColumn="0" w:lastColumn="0" w:oddVBand="0" w:evenVBand="0" w:oddHBand="1" w:evenHBand="0" w:firstRowFirstColumn="0" w:firstRowLastColumn="0" w:lastRowFirstColumn="0" w:lastRowLastColumn="0"/>
        </w:trPr>
        <w:tc>
          <w:tcPr>
            <w:tcW w:w="1874" w:type="dxa"/>
            <w:noWrap/>
            <w:hideMark/>
          </w:tcPr>
          <w:p w:rsidR="00C37D89" w:rsidRPr="005B0796" w:rsidRDefault="00C37D89" w:rsidP="00BB6C7A">
            <w:pPr>
              <w:pStyle w:val="TableText"/>
              <w:rPr>
                <w:lang w:eastAsia="en-AU"/>
              </w:rPr>
            </w:pPr>
            <w:r w:rsidRPr="005B0796">
              <w:rPr>
                <w:lang w:eastAsia="en-AU"/>
              </w:rPr>
              <w:t>Alcohol harmful use</w:t>
            </w:r>
          </w:p>
        </w:tc>
        <w:tc>
          <w:tcPr>
            <w:tcW w:w="1045" w:type="dxa"/>
            <w:hideMark/>
          </w:tcPr>
          <w:p w:rsidR="00C37D89" w:rsidRPr="005B0796" w:rsidRDefault="00C37D89" w:rsidP="00BB6C7A">
            <w:pPr>
              <w:pStyle w:val="TableText"/>
              <w:jc w:val="right"/>
              <w:rPr>
                <w:lang w:eastAsia="en-AU"/>
              </w:rPr>
            </w:pPr>
            <w:r w:rsidRPr="005B0796">
              <w:rPr>
                <w:lang w:eastAsia="en-AU"/>
              </w:rPr>
              <w:t>77</w:t>
            </w:r>
          </w:p>
        </w:tc>
        <w:tc>
          <w:tcPr>
            <w:tcW w:w="1044" w:type="dxa"/>
            <w:hideMark/>
          </w:tcPr>
          <w:p w:rsidR="00C37D89" w:rsidRPr="005B0796" w:rsidRDefault="00C37D89" w:rsidP="00BB6C7A">
            <w:pPr>
              <w:pStyle w:val="TableText"/>
              <w:jc w:val="right"/>
              <w:rPr>
                <w:lang w:eastAsia="en-AU"/>
              </w:rPr>
            </w:pPr>
            <w:r w:rsidRPr="005B0796">
              <w:rPr>
                <w:lang w:eastAsia="en-AU"/>
              </w:rPr>
              <w:t>3.7</w:t>
            </w:r>
          </w:p>
        </w:tc>
        <w:tc>
          <w:tcPr>
            <w:tcW w:w="1044" w:type="dxa"/>
            <w:hideMark/>
          </w:tcPr>
          <w:p w:rsidR="00C37D89" w:rsidRPr="005B0796" w:rsidRDefault="00C37D89" w:rsidP="00BB6C7A">
            <w:pPr>
              <w:pStyle w:val="TableText"/>
              <w:jc w:val="right"/>
              <w:rPr>
                <w:lang w:eastAsia="en-AU"/>
              </w:rPr>
            </w:pPr>
            <w:r w:rsidRPr="005B0796">
              <w:rPr>
                <w:lang w:eastAsia="en-AU"/>
              </w:rPr>
              <w:t>1.5, 8.8</w:t>
            </w:r>
          </w:p>
        </w:tc>
        <w:tc>
          <w:tcPr>
            <w:tcW w:w="1044" w:type="dxa"/>
            <w:hideMark/>
          </w:tcPr>
          <w:p w:rsidR="00C37D89" w:rsidRPr="005B0796" w:rsidRDefault="00C37D89" w:rsidP="00BB6C7A">
            <w:pPr>
              <w:pStyle w:val="TableText"/>
              <w:jc w:val="right"/>
              <w:rPr>
                <w:lang w:eastAsia="en-AU"/>
              </w:rPr>
            </w:pPr>
            <w:r w:rsidRPr="005B0796">
              <w:rPr>
                <w:lang w:eastAsia="en-AU"/>
              </w:rPr>
              <w:t>40</w:t>
            </w:r>
          </w:p>
        </w:tc>
        <w:tc>
          <w:tcPr>
            <w:tcW w:w="1044" w:type="dxa"/>
            <w:hideMark/>
          </w:tcPr>
          <w:p w:rsidR="00C37D89" w:rsidRPr="005B0796" w:rsidRDefault="00C37D89" w:rsidP="00BB6C7A">
            <w:pPr>
              <w:pStyle w:val="TableText"/>
              <w:jc w:val="right"/>
              <w:rPr>
                <w:lang w:eastAsia="en-AU"/>
              </w:rPr>
            </w:pPr>
            <w:r w:rsidRPr="005B0796">
              <w:rPr>
                <w:lang w:eastAsia="en-AU"/>
              </w:rPr>
              <w:t>4.1</w:t>
            </w:r>
          </w:p>
        </w:tc>
        <w:tc>
          <w:tcPr>
            <w:tcW w:w="1044" w:type="dxa"/>
            <w:hideMark/>
          </w:tcPr>
          <w:p w:rsidR="00C37D89" w:rsidRPr="005B0796" w:rsidRDefault="00C37D89" w:rsidP="00BB6C7A">
            <w:pPr>
              <w:pStyle w:val="TableText"/>
              <w:jc w:val="right"/>
              <w:rPr>
                <w:lang w:eastAsia="en-AU"/>
              </w:rPr>
            </w:pPr>
            <w:r w:rsidRPr="005B0796">
              <w:rPr>
                <w:lang w:eastAsia="en-AU"/>
              </w:rPr>
              <w:t>1.3, 11.7</w:t>
            </w:r>
          </w:p>
        </w:tc>
        <w:tc>
          <w:tcPr>
            <w:tcW w:w="1044" w:type="dxa"/>
            <w:noWrap/>
            <w:hideMark/>
          </w:tcPr>
          <w:p w:rsidR="00C37D89" w:rsidRPr="005B0796" w:rsidRDefault="00C37D89" w:rsidP="00BB6C7A">
            <w:pPr>
              <w:pStyle w:val="TableText"/>
              <w:jc w:val="right"/>
              <w:rPr>
                <w:lang w:eastAsia="en-AU"/>
              </w:rPr>
            </w:pPr>
            <w:r w:rsidRPr="005B0796">
              <w:rPr>
                <w:lang w:eastAsia="en-AU"/>
              </w:rPr>
              <w:t>185</w:t>
            </w:r>
          </w:p>
        </w:tc>
        <w:tc>
          <w:tcPr>
            <w:tcW w:w="1044" w:type="dxa"/>
            <w:hideMark/>
          </w:tcPr>
          <w:p w:rsidR="00C37D89" w:rsidRPr="005B0796" w:rsidRDefault="00C37D89" w:rsidP="00BB6C7A">
            <w:pPr>
              <w:pStyle w:val="TableText"/>
              <w:jc w:val="right"/>
              <w:rPr>
                <w:lang w:eastAsia="en-AU"/>
              </w:rPr>
            </w:pPr>
            <w:r w:rsidRPr="005B0796">
              <w:rPr>
                <w:lang w:eastAsia="en-AU"/>
              </w:rPr>
              <w:t>3.2</w:t>
            </w:r>
          </w:p>
        </w:tc>
        <w:tc>
          <w:tcPr>
            <w:tcW w:w="1279" w:type="dxa"/>
            <w:hideMark/>
          </w:tcPr>
          <w:p w:rsidR="00C37D89" w:rsidRPr="005B0796" w:rsidRDefault="00C37D89" w:rsidP="00BB6C7A">
            <w:pPr>
              <w:pStyle w:val="TableText"/>
              <w:jc w:val="right"/>
              <w:rPr>
                <w:lang w:eastAsia="en-AU"/>
              </w:rPr>
            </w:pPr>
            <w:r w:rsidRPr="005B0796">
              <w:rPr>
                <w:lang w:eastAsia="en-AU"/>
              </w:rPr>
              <w:t>1.4, 7.4</w:t>
            </w:r>
          </w:p>
        </w:tc>
      </w:tr>
      <w:tr w:rsidR="00C37D89" w:rsidRPr="005B0796" w:rsidTr="00C37D89">
        <w:tc>
          <w:tcPr>
            <w:tcW w:w="1874" w:type="dxa"/>
            <w:noWrap/>
            <w:hideMark/>
          </w:tcPr>
          <w:p w:rsidR="00C37D89" w:rsidRPr="005B0796" w:rsidRDefault="00C37D89" w:rsidP="00BB6C7A">
            <w:pPr>
              <w:pStyle w:val="TableText"/>
              <w:rPr>
                <w:lang w:eastAsia="en-AU"/>
              </w:rPr>
            </w:pPr>
            <w:r w:rsidRPr="005B0796">
              <w:rPr>
                <w:lang w:eastAsia="en-AU"/>
              </w:rPr>
              <w:t>Alcohol dependence</w:t>
            </w:r>
            <w:r w:rsidRPr="005B0796">
              <w:rPr>
                <w:vertAlign w:val="superscript"/>
                <w:lang w:eastAsia="en-AU"/>
              </w:rPr>
              <w:t>a</w:t>
            </w:r>
          </w:p>
        </w:tc>
        <w:tc>
          <w:tcPr>
            <w:tcW w:w="1045" w:type="dxa"/>
            <w:hideMark/>
          </w:tcPr>
          <w:p w:rsidR="00C37D89" w:rsidRPr="005B0796" w:rsidRDefault="00C37D89" w:rsidP="00BB6C7A">
            <w:pPr>
              <w:pStyle w:val="TableText"/>
              <w:jc w:val="right"/>
              <w:rPr>
                <w:lang w:eastAsia="en-AU"/>
              </w:rPr>
            </w:pPr>
            <w:r w:rsidRPr="005B0796">
              <w:rPr>
                <w:lang w:eastAsia="en-AU"/>
              </w:rPr>
              <w:t>33</w:t>
            </w:r>
          </w:p>
        </w:tc>
        <w:tc>
          <w:tcPr>
            <w:tcW w:w="1044" w:type="dxa"/>
            <w:hideMark/>
          </w:tcPr>
          <w:p w:rsidR="00C37D89" w:rsidRPr="005B0796" w:rsidRDefault="00C37D89" w:rsidP="00BB6C7A">
            <w:pPr>
              <w:pStyle w:val="TableText"/>
              <w:jc w:val="right"/>
              <w:rPr>
                <w:lang w:eastAsia="en-AU"/>
              </w:rPr>
            </w:pPr>
            <w:r w:rsidRPr="005B0796">
              <w:rPr>
                <w:lang w:eastAsia="en-AU"/>
              </w:rPr>
              <w:t>1.6</w:t>
            </w:r>
          </w:p>
        </w:tc>
        <w:tc>
          <w:tcPr>
            <w:tcW w:w="1044" w:type="dxa"/>
            <w:hideMark/>
          </w:tcPr>
          <w:p w:rsidR="00C37D89" w:rsidRPr="005B0796" w:rsidRDefault="00C37D89" w:rsidP="00BB6C7A">
            <w:pPr>
              <w:pStyle w:val="TableText"/>
              <w:jc w:val="right"/>
              <w:rPr>
                <w:lang w:eastAsia="en-AU"/>
              </w:rPr>
            </w:pPr>
            <w:r w:rsidRPr="005B0796">
              <w:rPr>
                <w:lang w:eastAsia="en-AU"/>
              </w:rPr>
              <w:t>0.4, 6.0</w:t>
            </w:r>
          </w:p>
        </w:tc>
        <w:tc>
          <w:tcPr>
            <w:tcW w:w="1044" w:type="dxa"/>
            <w:hideMark/>
          </w:tcPr>
          <w:p w:rsidR="00C37D89" w:rsidRPr="005B0796" w:rsidRDefault="00C37D89" w:rsidP="00BB6C7A">
            <w:pPr>
              <w:pStyle w:val="TableText"/>
              <w:jc w:val="right"/>
              <w:rPr>
                <w:lang w:eastAsia="en-AU"/>
              </w:rPr>
            </w:pPr>
            <w:r w:rsidRPr="005B0796">
              <w:rPr>
                <w:lang w:eastAsia="en-AU"/>
              </w:rPr>
              <w:t>38</w:t>
            </w:r>
          </w:p>
        </w:tc>
        <w:tc>
          <w:tcPr>
            <w:tcW w:w="1044" w:type="dxa"/>
            <w:hideMark/>
          </w:tcPr>
          <w:p w:rsidR="00C37D89" w:rsidRPr="005B0796" w:rsidRDefault="00C37D89" w:rsidP="00BB6C7A">
            <w:pPr>
              <w:pStyle w:val="TableText"/>
              <w:jc w:val="right"/>
              <w:rPr>
                <w:lang w:eastAsia="en-AU"/>
              </w:rPr>
            </w:pPr>
            <w:r w:rsidRPr="005B0796">
              <w:rPr>
                <w:lang w:eastAsia="en-AU"/>
              </w:rPr>
              <w:t>3.9</w:t>
            </w:r>
          </w:p>
        </w:tc>
        <w:tc>
          <w:tcPr>
            <w:tcW w:w="1044" w:type="dxa"/>
            <w:hideMark/>
          </w:tcPr>
          <w:p w:rsidR="00C37D89" w:rsidRPr="005B0796" w:rsidRDefault="00C37D89" w:rsidP="00BB6C7A">
            <w:pPr>
              <w:pStyle w:val="TableText"/>
              <w:jc w:val="right"/>
              <w:rPr>
                <w:lang w:eastAsia="en-AU"/>
              </w:rPr>
            </w:pPr>
            <w:r w:rsidRPr="005B0796">
              <w:rPr>
                <w:lang w:eastAsia="en-AU"/>
              </w:rPr>
              <w:t>1.3, 11.3</w:t>
            </w:r>
          </w:p>
        </w:tc>
        <w:tc>
          <w:tcPr>
            <w:tcW w:w="1044" w:type="dxa"/>
            <w:noWrap/>
            <w:hideMark/>
          </w:tcPr>
          <w:p w:rsidR="00C37D89" w:rsidRPr="005B0796" w:rsidRDefault="00C37D89" w:rsidP="00BB6C7A">
            <w:pPr>
              <w:pStyle w:val="TableText"/>
              <w:jc w:val="right"/>
              <w:rPr>
                <w:lang w:eastAsia="en-AU"/>
              </w:rPr>
            </w:pPr>
            <w:r w:rsidRPr="005B0796">
              <w:rPr>
                <w:lang w:eastAsia="en-AU"/>
              </w:rPr>
              <w:t>179</w:t>
            </w:r>
          </w:p>
        </w:tc>
        <w:tc>
          <w:tcPr>
            <w:tcW w:w="1044" w:type="dxa"/>
            <w:hideMark/>
          </w:tcPr>
          <w:p w:rsidR="00C37D89" w:rsidRPr="005B0796" w:rsidRDefault="00C37D89" w:rsidP="00BB6C7A">
            <w:pPr>
              <w:pStyle w:val="TableText"/>
              <w:jc w:val="right"/>
              <w:rPr>
                <w:lang w:eastAsia="en-AU"/>
              </w:rPr>
            </w:pPr>
            <w:r w:rsidRPr="005B0796">
              <w:rPr>
                <w:lang w:eastAsia="en-AU"/>
              </w:rPr>
              <w:t>3.1</w:t>
            </w:r>
          </w:p>
        </w:tc>
        <w:tc>
          <w:tcPr>
            <w:tcW w:w="1279" w:type="dxa"/>
            <w:hideMark/>
          </w:tcPr>
          <w:p w:rsidR="00C37D89" w:rsidRPr="005B0796" w:rsidRDefault="00C37D89" w:rsidP="00BB6C7A">
            <w:pPr>
              <w:pStyle w:val="TableText"/>
              <w:jc w:val="right"/>
              <w:rPr>
                <w:lang w:eastAsia="en-AU"/>
              </w:rPr>
            </w:pPr>
            <w:r w:rsidRPr="005B0796">
              <w:rPr>
                <w:lang w:eastAsia="en-AU"/>
              </w:rPr>
              <w:t>1.9, 5.0</w:t>
            </w:r>
          </w:p>
        </w:tc>
      </w:tr>
      <w:tr w:rsidR="00C37D89" w:rsidRPr="005B0796" w:rsidTr="00C37D89">
        <w:trPr>
          <w:cnfStyle w:val="000000100000" w:firstRow="0" w:lastRow="0" w:firstColumn="0" w:lastColumn="0" w:oddVBand="0" w:evenVBand="0" w:oddHBand="1" w:evenHBand="0" w:firstRowFirstColumn="0" w:firstRowLastColumn="0" w:lastRowFirstColumn="0" w:lastRowLastColumn="0"/>
        </w:trPr>
        <w:tc>
          <w:tcPr>
            <w:tcW w:w="1874" w:type="dxa"/>
            <w:hideMark/>
          </w:tcPr>
          <w:p w:rsidR="00C37D89" w:rsidRPr="005B0796" w:rsidRDefault="00C37D89" w:rsidP="00BB6C7A">
            <w:pPr>
              <w:pStyle w:val="TableText"/>
              <w:rPr>
                <w:lang w:eastAsia="en-AU"/>
              </w:rPr>
            </w:pPr>
            <w:r w:rsidRPr="005B0796">
              <w:rPr>
                <w:lang w:eastAsia="en-AU"/>
              </w:rPr>
              <w:t>Any alcohol disorder</w:t>
            </w:r>
            <w:r w:rsidRPr="005B0796">
              <w:rPr>
                <w:vertAlign w:val="superscript"/>
                <w:lang w:eastAsia="en-AU"/>
              </w:rPr>
              <w:t>b</w:t>
            </w:r>
          </w:p>
        </w:tc>
        <w:tc>
          <w:tcPr>
            <w:tcW w:w="1045" w:type="dxa"/>
            <w:hideMark/>
          </w:tcPr>
          <w:p w:rsidR="00C37D89" w:rsidRPr="005B0796" w:rsidRDefault="00C37D89" w:rsidP="00BB6C7A">
            <w:pPr>
              <w:pStyle w:val="TableText"/>
              <w:jc w:val="right"/>
              <w:rPr>
                <w:lang w:eastAsia="en-AU"/>
              </w:rPr>
            </w:pPr>
            <w:r w:rsidRPr="005B0796">
              <w:rPr>
                <w:lang w:eastAsia="en-AU"/>
              </w:rPr>
              <w:t>111</w:t>
            </w:r>
          </w:p>
        </w:tc>
        <w:tc>
          <w:tcPr>
            <w:tcW w:w="1044" w:type="dxa"/>
            <w:hideMark/>
          </w:tcPr>
          <w:p w:rsidR="00C37D89" w:rsidRPr="005B0796" w:rsidRDefault="00C37D89" w:rsidP="00BB6C7A">
            <w:pPr>
              <w:pStyle w:val="TableText"/>
              <w:jc w:val="right"/>
              <w:rPr>
                <w:lang w:eastAsia="en-AU"/>
              </w:rPr>
            </w:pPr>
            <w:r w:rsidRPr="005B0796">
              <w:rPr>
                <w:lang w:eastAsia="en-AU"/>
              </w:rPr>
              <w:t>5.3</w:t>
            </w:r>
          </w:p>
        </w:tc>
        <w:tc>
          <w:tcPr>
            <w:tcW w:w="1044" w:type="dxa"/>
            <w:hideMark/>
          </w:tcPr>
          <w:p w:rsidR="00C37D89" w:rsidRPr="005B0796" w:rsidRDefault="00C37D89" w:rsidP="00BB6C7A">
            <w:pPr>
              <w:pStyle w:val="TableText"/>
              <w:jc w:val="right"/>
              <w:rPr>
                <w:lang w:eastAsia="en-AU"/>
              </w:rPr>
            </w:pPr>
            <w:r w:rsidRPr="005B0796">
              <w:rPr>
                <w:lang w:eastAsia="en-AU"/>
              </w:rPr>
              <w:t>2.5, 10.9</w:t>
            </w:r>
          </w:p>
        </w:tc>
        <w:tc>
          <w:tcPr>
            <w:tcW w:w="1044" w:type="dxa"/>
            <w:hideMark/>
          </w:tcPr>
          <w:p w:rsidR="00C37D89" w:rsidRPr="005B0796" w:rsidRDefault="00C37D89" w:rsidP="00BB6C7A">
            <w:pPr>
              <w:pStyle w:val="TableText"/>
              <w:jc w:val="right"/>
              <w:rPr>
                <w:lang w:eastAsia="en-AU"/>
              </w:rPr>
            </w:pPr>
            <w:r w:rsidRPr="005B0796">
              <w:rPr>
                <w:lang w:eastAsia="en-AU"/>
              </w:rPr>
              <w:t>77</w:t>
            </w:r>
          </w:p>
        </w:tc>
        <w:tc>
          <w:tcPr>
            <w:tcW w:w="1044" w:type="dxa"/>
            <w:hideMark/>
          </w:tcPr>
          <w:p w:rsidR="00C37D89" w:rsidRPr="005B0796" w:rsidRDefault="00C37D89" w:rsidP="00BB6C7A">
            <w:pPr>
              <w:pStyle w:val="TableText"/>
              <w:jc w:val="right"/>
              <w:rPr>
                <w:lang w:eastAsia="en-AU"/>
              </w:rPr>
            </w:pPr>
            <w:r w:rsidRPr="005B0796">
              <w:rPr>
                <w:lang w:eastAsia="en-AU"/>
              </w:rPr>
              <w:t>8.0</w:t>
            </w:r>
          </w:p>
        </w:tc>
        <w:tc>
          <w:tcPr>
            <w:tcW w:w="1044" w:type="dxa"/>
            <w:hideMark/>
          </w:tcPr>
          <w:p w:rsidR="00C37D89" w:rsidRPr="005B0796" w:rsidRDefault="00C37D89" w:rsidP="00BB6C7A">
            <w:pPr>
              <w:pStyle w:val="TableText"/>
              <w:jc w:val="right"/>
              <w:rPr>
                <w:lang w:eastAsia="en-AU"/>
              </w:rPr>
            </w:pPr>
            <w:r w:rsidRPr="005B0796">
              <w:rPr>
                <w:lang w:eastAsia="en-AU"/>
              </w:rPr>
              <w:t>3.7, 16.6</w:t>
            </w:r>
          </w:p>
        </w:tc>
        <w:tc>
          <w:tcPr>
            <w:tcW w:w="1044" w:type="dxa"/>
            <w:noWrap/>
            <w:hideMark/>
          </w:tcPr>
          <w:p w:rsidR="00C37D89" w:rsidRPr="005B0796" w:rsidRDefault="00C37D89" w:rsidP="00BB6C7A">
            <w:pPr>
              <w:pStyle w:val="TableText"/>
              <w:jc w:val="right"/>
              <w:rPr>
                <w:lang w:eastAsia="en-AU"/>
              </w:rPr>
            </w:pPr>
            <w:r w:rsidRPr="005B0796">
              <w:rPr>
                <w:lang w:eastAsia="en-AU"/>
              </w:rPr>
              <w:t>369</w:t>
            </w:r>
          </w:p>
        </w:tc>
        <w:tc>
          <w:tcPr>
            <w:tcW w:w="1044" w:type="dxa"/>
            <w:hideMark/>
          </w:tcPr>
          <w:p w:rsidR="00C37D89" w:rsidRPr="005B0796" w:rsidRDefault="00C37D89" w:rsidP="00BB6C7A">
            <w:pPr>
              <w:pStyle w:val="TableText"/>
              <w:jc w:val="right"/>
              <w:rPr>
                <w:lang w:eastAsia="en-AU"/>
              </w:rPr>
            </w:pPr>
            <w:r w:rsidRPr="005B0796">
              <w:rPr>
                <w:lang w:eastAsia="en-AU"/>
              </w:rPr>
              <w:t>6.4</w:t>
            </w:r>
          </w:p>
        </w:tc>
        <w:tc>
          <w:tcPr>
            <w:tcW w:w="1279" w:type="dxa"/>
            <w:hideMark/>
          </w:tcPr>
          <w:p w:rsidR="00C37D89" w:rsidRPr="005B0796" w:rsidRDefault="00C37D89" w:rsidP="00BB6C7A">
            <w:pPr>
              <w:pStyle w:val="TableText"/>
              <w:jc w:val="right"/>
              <w:rPr>
                <w:lang w:eastAsia="en-AU"/>
              </w:rPr>
            </w:pPr>
            <w:r w:rsidRPr="005B0796">
              <w:rPr>
                <w:lang w:eastAsia="en-AU"/>
              </w:rPr>
              <w:t>3.9, 10.2</w:t>
            </w:r>
          </w:p>
        </w:tc>
      </w:tr>
    </w:tbl>
    <w:p w:rsidR="00CD7866" w:rsidRPr="005B0796" w:rsidRDefault="00CD7866" w:rsidP="00CD7866">
      <w:pPr>
        <w:pStyle w:val="TableNotes"/>
      </w:pPr>
      <w:r w:rsidRPr="005B0796">
        <w:t xml:space="preserve">* an estimated 521 Transitioned ADF recorded less </w:t>
      </w:r>
      <w:r w:rsidRPr="005B0796">
        <w:rPr>
          <w:i/>
        </w:rPr>
        <w:t xml:space="preserve">than 3 months of </w:t>
      </w:r>
      <w:r w:rsidRPr="005B0796">
        <w:t>service. Due t</w:t>
      </w:r>
      <w:r w:rsidR="0078635A">
        <w:t>o the small numbers in this sub</w:t>
      </w:r>
      <w:r w:rsidRPr="005B0796">
        <w:t>population, prevalence estimates cannot be calculated for this group</w:t>
      </w:r>
    </w:p>
    <w:p w:rsidR="00CD7866" w:rsidRPr="005B0796" w:rsidRDefault="00CD7866" w:rsidP="00CD7866">
      <w:pPr>
        <w:pStyle w:val="TableNotes"/>
      </w:pPr>
      <w:r w:rsidRPr="005B0796">
        <w:rPr>
          <w:vertAlign w:val="superscript"/>
        </w:rPr>
        <w:t>a</w:t>
      </w:r>
      <w:r w:rsidRPr="005B0796">
        <w:t xml:space="preserve"> 12–15.9 years vs &lt; 4 years: OR 0.1, 95% CI 0.0, 0.6; 20+ years vs &lt; 4 years: OR 0.2, 95% CI 0.0, 0.8</w:t>
      </w:r>
    </w:p>
    <w:p w:rsidR="00CD7866" w:rsidRPr="005B0796" w:rsidRDefault="00CD7866" w:rsidP="00CD7866">
      <w:pPr>
        <w:pStyle w:val="TableNotes"/>
      </w:pPr>
      <w:r w:rsidRPr="005B0796">
        <w:rPr>
          <w:vertAlign w:val="superscript"/>
        </w:rPr>
        <w:t>b</w:t>
      </w:r>
      <w:r w:rsidRPr="005B0796">
        <w:t xml:space="preserve"> 12–15.9 years vs &lt; 4 years: OR 0.2, 95% CI 0.1, 0.9</w:t>
      </w:r>
    </w:p>
    <w:p w:rsidR="00CD7866" w:rsidRPr="005B0796" w:rsidRDefault="00CD7866" w:rsidP="00CD7866">
      <w:pPr>
        <w:pStyle w:val="TableNotes"/>
        <w:rPr>
          <w:rFonts w:cs="Calibri"/>
          <w:bCs/>
        </w:rPr>
      </w:pPr>
      <w:r w:rsidRPr="005B0796">
        <w:rPr>
          <w:rFonts w:cs="Calibri"/>
          <w:bCs/>
        </w:rPr>
        <w:t xml:space="preserve">Note: 95% CI: 95% </w:t>
      </w:r>
      <w:r w:rsidR="00564689" w:rsidRPr="005B0796">
        <w:rPr>
          <w:rFonts w:cs="Calibri"/>
          <w:bCs/>
        </w:rPr>
        <w:t>confidence interval</w:t>
      </w:r>
    </w:p>
    <w:p w:rsidR="003129E9" w:rsidRPr="005B0796" w:rsidRDefault="003129E9" w:rsidP="003129E9">
      <w:pPr>
        <w:sectPr w:rsidR="003129E9" w:rsidRPr="005B0796" w:rsidSect="00BE66A5">
          <w:headerReference w:type="even" r:id="rId115"/>
          <w:headerReference w:type="default" r:id="rId116"/>
          <w:footerReference w:type="even" r:id="rId117"/>
          <w:footerReference w:type="default" r:id="rId118"/>
          <w:pgSz w:w="14170" w:h="9979" w:orient="landscape" w:code="243"/>
          <w:pgMar w:top="1872" w:right="1440" w:bottom="1152" w:left="1440" w:header="576" w:footer="576" w:gutter="0"/>
          <w:cols w:space="708"/>
          <w:docGrid w:linePitch="360"/>
        </w:sectPr>
      </w:pPr>
    </w:p>
    <w:p w:rsidR="00CD7866" w:rsidRPr="005B0796" w:rsidRDefault="00CD7866" w:rsidP="00CD7866">
      <w:pPr>
        <w:pStyle w:val="FigureName"/>
      </w:pPr>
      <w:bookmarkStart w:id="682" w:name="_Ref486417400"/>
      <w:bookmarkStart w:id="683" w:name="_Toc487014377"/>
      <w:bookmarkStart w:id="684" w:name="_Toc51190054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29</w:t>
      </w:r>
      <w:r w:rsidR="00D30A3C">
        <w:rPr>
          <w:noProof/>
        </w:rPr>
        <w:fldChar w:fldCharType="end"/>
      </w:r>
      <w:bookmarkEnd w:id="682"/>
      <w:r w:rsidRPr="005B0796">
        <w:tab/>
        <w:t xml:space="preserve">Estimated prevalence of 12-month ICD-10 alcohol disorders in Transitioned ADF members, by alcohol disorder type and years of service in Regular </w:t>
      </w:r>
      <w:bookmarkEnd w:id="683"/>
      <w:r w:rsidRPr="005B0796">
        <w:t>ADF</w:t>
      </w:r>
      <w:bookmarkEnd w:id="684"/>
    </w:p>
    <w:tbl>
      <w:tblPr>
        <w:tblW w:w="5000" w:type="pct"/>
        <w:tblLayout w:type="fixed"/>
        <w:tblCellMar>
          <w:left w:w="115" w:type="dxa"/>
          <w:right w:w="115" w:type="dxa"/>
        </w:tblCellMar>
        <w:tblLook w:val="04A0" w:firstRow="1" w:lastRow="0" w:firstColumn="1" w:lastColumn="0" w:noHBand="0" w:noVBand="1"/>
      </w:tblPr>
      <w:tblGrid>
        <w:gridCol w:w="7329"/>
      </w:tblGrid>
      <w:tr w:rsidR="00930A1E" w:rsidRPr="005B0796" w:rsidTr="008F1A13">
        <w:trPr>
          <w:cantSplit/>
        </w:trPr>
        <w:tc>
          <w:tcPr>
            <w:tcW w:w="9771" w:type="dxa"/>
          </w:tcPr>
          <w:p w:rsidR="00930A1E" w:rsidRPr="005B0796" w:rsidRDefault="00930A1E" w:rsidP="008F1A13">
            <w:pPr>
              <w:keepNext/>
            </w:pPr>
            <w:r w:rsidRPr="005B0796">
              <w:rPr>
                <w:i/>
                <w:noProof/>
                <w:lang w:eastAsia="en-AU"/>
              </w:rPr>
              <w:drawing>
                <wp:inline distT="0" distB="0" distL="0" distR="0" wp14:anchorId="0BFB031C" wp14:editId="37B30C9C">
                  <wp:extent cx="4572000" cy="2743200"/>
                  <wp:effectExtent l="0" t="0" r="0" b="0"/>
                  <wp:docPr id="83" name="Chart 83" descr="Figure 4.29 Estimated prevalence of 12-month ICD-10 alcohol disorders in Transitioned ADF members, by alcohol disorder type and years of service in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rsidR="00CD7866" w:rsidRPr="005B0796" w:rsidRDefault="00CD7866" w:rsidP="00CD7866">
      <w:pPr>
        <w:pStyle w:val="TableNotes"/>
      </w:pPr>
      <w:r w:rsidRPr="005B0796">
        <w:t xml:space="preserve">Alcohol dependence: </w:t>
      </w:r>
      <w:bookmarkStart w:id="685" w:name="_Ref484520788"/>
      <w:bookmarkStart w:id="686" w:name="_Toc482023841"/>
      <w:r w:rsidRPr="005B0796">
        <w:t>12–15.9 years vs &lt; 4 years: OR 0.1, 95% CI 0.0, 0.6; 20+ years vs &lt; 4 years: OR 0.2, 95% CI 0.0, 0.8</w:t>
      </w:r>
    </w:p>
    <w:p w:rsidR="00CD7866" w:rsidRPr="005B0796" w:rsidRDefault="00CD7866" w:rsidP="00CD7866">
      <w:pPr>
        <w:pStyle w:val="TableNotes"/>
      </w:pPr>
      <w:r w:rsidRPr="005B0796">
        <w:t>Any alcohol disorder: 12–15.9 years vs &lt; 4 years: OR 0.2, 95% CI 0.1, 0.9</w:t>
      </w:r>
      <w:bookmarkEnd w:id="685"/>
      <w:bookmarkEnd w:id="686"/>
    </w:p>
    <w:p w:rsidR="00930A1E" w:rsidRPr="005B0796" w:rsidRDefault="00930A1E" w:rsidP="008F1A13">
      <w:pPr>
        <w:pStyle w:val="Heading3"/>
        <w:rPr>
          <w:rFonts w:eastAsia="Times New Roman"/>
        </w:rPr>
      </w:pPr>
      <w:bookmarkStart w:id="687" w:name="_Toc482021354"/>
      <w:bookmarkStart w:id="688" w:name="_Toc482024444"/>
      <w:bookmarkStart w:id="689" w:name="_Toc487011205"/>
      <w:bookmarkStart w:id="690" w:name="_Toc494449723"/>
      <w:bookmarkStart w:id="691" w:name="_Toc511900305"/>
      <w:r w:rsidRPr="005B0796">
        <w:t>Transition factors</w:t>
      </w:r>
      <w:bookmarkEnd w:id="687"/>
      <w:bookmarkEnd w:id="688"/>
      <w:bookmarkEnd w:id="689"/>
      <w:bookmarkEnd w:id="690"/>
      <w:bookmarkEnd w:id="691"/>
    </w:p>
    <w:p w:rsidR="00930A1E" w:rsidRPr="005B0796" w:rsidRDefault="00930A1E" w:rsidP="008F1A13">
      <w:pPr>
        <w:pStyle w:val="Heading4"/>
      </w:pPr>
      <w:r w:rsidRPr="005B0796">
        <w:t>Years since transition</w:t>
      </w:r>
    </w:p>
    <w:p w:rsidR="00930A1E" w:rsidRPr="005B0796" w:rsidRDefault="009E72D3" w:rsidP="008F1A13">
      <w:r w:rsidRPr="005B0796">
        <w:t>Table 4.35</w:t>
      </w:r>
      <w:r w:rsidR="00930A1E" w:rsidRPr="005B0796">
        <w:t xml:space="preserve"> and </w:t>
      </w:r>
      <w:r w:rsidRPr="005B0796">
        <w:t>Figure 4.30</w:t>
      </w:r>
      <w:r w:rsidR="00930A1E" w:rsidRPr="005B0796">
        <w:t xml:space="preserve"> shows the estimated pattern of 12-month alcohol disorder, by years since transition from the Regular ADF. For </w:t>
      </w:r>
      <w:r w:rsidR="00462A0C" w:rsidRPr="005B0796">
        <w:t>‘</w:t>
      </w:r>
      <w:r w:rsidR="00930A1E" w:rsidRPr="005B0796">
        <w:t>any alcohol disorder</w:t>
      </w:r>
      <w:r w:rsidR="00462A0C" w:rsidRPr="005B0796">
        <w:t>’</w:t>
      </w:r>
      <w:r w:rsidR="00930A1E" w:rsidRPr="005B0796">
        <w:t>, the highest estimated prevalence was at one year post-transition (18.0%, 95% CI 10.2, 29.7). Those at one</w:t>
      </w:r>
      <w:r w:rsidR="002B2CFD">
        <w:t xml:space="preserve"> </w:t>
      </w:r>
      <w:r w:rsidR="00930A1E" w:rsidRPr="005B0796">
        <w:t>year post-transition were 4.5 times more lik</w:t>
      </w:r>
      <w:r w:rsidR="002B2CFD">
        <w:t xml:space="preserve">ely than those at less than one </w:t>
      </w:r>
      <w:r w:rsidR="00930A1E" w:rsidRPr="005B0796">
        <w:t>year post-transition to meet criteria for 12-month alcohol dependence (OR 4.5, 95% CI 1.1,</w:t>
      </w:r>
      <w:r w:rsidR="00462A0C" w:rsidRPr="005B0796">
        <w:t xml:space="preserve"> </w:t>
      </w:r>
      <w:r w:rsidR="00930A1E" w:rsidRPr="005B0796">
        <w:t xml:space="preserve">17.5). </w:t>
      </w:r>
    </w:p>
    <w:p w:rsidR="003129E9" w:rsidRPr="005B0796" w:rsidRDefault="003129E9" w:rsidP="00D123CA"/>
    <w:p w:rsidR="00930A1E" w:rsidRPr="005B0796" w:rsidRDefault="00930A1E" w:rsidP="00930A1E">
      <w:pPr>
        <w:sectPr w:rsidR="00930A1E" w:rsidRPr="005B0796" w:rsidSect="00BE5E98">
          <w:footerReference w:type="default" r:id="rId120"/>
          <w:pgSz w:w="9979" w:h="14170" w:code="243"/>
          <w:pgMar w:top="1440" w:right="1152" w:bottom="1440" w:left="1728" w:header="576" w:footer="576" w:gutter="0"/>
          <w:cols w:space="708"/>
          <w:docGrid w:linePitch="360"/>
        </w:sectPr>
      </w:pPr>
    </w:p>
    <w:p w:rsidR="00930A1E" w:rsidRPr="005B0796" w:rsidRDefault="00930A1E" w:rsidP="00CD7866">
      <w:pPr>
        <w:pStyle w:val="TableName"/>
      </w:pPr>
      <w:bookmarkStart w:id="692" w:name="_Ref494280998"/>
      <w:bookmarkStart w:id="693" w:name="_Toc51190043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35</w:t>
      </w:r>
      <w:r w:rsidR="00D30A3C">
        <w:rPr>
          <w:noProof/>
        </w:rPr>
        <w:fldChar w:fldCharType="end"/>
      </w:r>
      <w:bookmarkEnd w:id="692"/>
      <w:r w:rsidR="00CD7866" w:rsidRPr="005B0796">
        <w:tab/>
      </w:r>
      <w:r w:rsidRPr="005B0796">
        <w:t>Estimated prevalence of 12-month ICD-10 alcohol disorders in Transitioned ADF members, by alcohol disorder type and years since transition</w:t>
      </w:r>
      <w:bookmarkEnd w:id="693"/>
    </w:p>
    <w:tbl>
      <w:tblPr>
        <w:tblStyle w:val="TWRPTable"/>
        <w:tblW w:w="5000" w:type="pct"/>
        <w:tblLayout w:type="fixed"/>
        <w:tblLook w:val="04A0" w:firstRow="1" w:lastRow="0" w:firstColumn="1" w:lastColumn="0" w:noHBand="0" w:noVBand="1"/>
        <w:tblDescription w:val="Table 4.35 Estimated prevalence of 12-month ICD-10 alcohol disorders in Transitioned ADF members, by alcohol disorder type and years since transition"/>
      </w:tblPr>
      <w:tblGrid>
        <w:gridCol w:w="2401"/>
        <w:gridCol w:w="1011"/>
        <w:gridCol w:w="1012"/>
        <w:gridCol w:w="1012"/>
        <w:gridCol w:w="1012"/>
        <w:gridCol w:w="1010"/>
        <w:gridCol w:w="1012"/>
        <w:gridCol w:w="1012"/>
        <w:gridCol w:w="1012"/>
        <w:gridCol w:w="1012"/>
      </w:tblGrid>
      <w:tr w:rsidR="00046B29"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401" w:type="dxa"/>
            <w:vMerge w:val="restart"/>
          </w:tcPr>
          <w:p w:rsidR="00046B29" w:rsidRPr="005B0796" w:rsidRDefault="00046B29" w:rsidP="008F1A13">
            <w:pPr>
              <w:pStyle w:val="TableText"/>
            </w:pPr>
            <w:r w:rsidRPr="005B0796">
              <w:t>ICD-10 alcohol disorder</w:t>
            </w:r>
          </w:p>
        </w:tc>
        <w:tc>
          <w:tcPr>
            <w:tcW w:w="9105" w:type="dxa"/>
            <w:gridSpan w:val="9"/>
            <w:noWrap/>
          </w:tcPr>
          <w:p w:rsidR="00046B29" w:rsidRPr="005B0796" w:rsidRDefault="00046B29" w:rsidP="008F1A13">
            <w:pPr>
              <w:pStyle w:val="TableText"/>
              <w:jc w:val="center"/>
            </w:pPr>
            <w:r w:rsidRPr="005B0796">
              <w:t xml:space="preserve">Years </w:t>
            </w:r>
            <w:r w:rsidR="00BB6C7A" w:rsidRPr="005B0796">
              <w:t>since transition</w:t>
            </w:r>
          </w:p>
        </w:tc>
      </w:tr>
      <w:tr w:rsidR="00046B29" w:rsidRPr="005B0796" w:rsidTr="00046B29">
        <w:trPr>
          <w:cnfStyle w:val="100000000000" w:firstRow="1" w:lastRow="0" w:firstColumn="0" w:lastColumn="0" w:oddVBand="0" w:evenVBand="0" w:oddHBand="0" w:evenHBand="0" w:firstRowFirstColumn="0" w:firstRowLastColumn="0" w:lastRowFirstColumn="0" w:lastRowLastColumn="0"/>
          <w:tblHeader/>
        </w:trPr>
        <w:tc>
          <w:tcPr>
            <w:tcW w:w="2401" w:type="dxa"/>
            <w:vMerge/>
            <w:hideMark/>
          </w:tcPr>
          <w:p w:rsidR="00046B29" w:rsidRPr="005B0796" w:rsidRDefault="00046B29" w:rsidP="008F1A13">
            <w:pPr>
              <w:pStyle w:val="TableText"/>
            </w:pPr>
          </w:p>
        </w:tc>
        <w:tc>
          <w:tcPr>
            <w:tcW w:w="3035" w:type="dxa"/>
            <w:gridSpan w:val="3"/>
            <w:noWrap/>
            <w:hideMark/>
          </w:tcPr>
          <w:p w:rsidR="00046B29" w:rsidRPr="005B0796" w:rsidRDefault="00046B29" w:rsidP="008F1A13">
            <w:pPr>
              <w:pStyle w:val="TableText"/>
              <w:jc w:val="center"/>
            </w:pPr>
            <w:r w:rsidRPr="005B0796">
              <w:t>0 (n = 1945)</w:t>
            </w:r>
          </w:p>
        </w:tc>
        <w:tc>
          <w:tcPr>
            <w:tcW w:w="3034" w:type="dxa"/>
            <w:gridSpan w:val="3"/>
            <w:noWrap/>
            <w:hideMark/>
          </w:tcPr>
          <w:p w:rsidR="00046B29" w:rsidRPr="005B0796" w:rsidRDefault="00046B29" w:rsidP="008F1A13">
            <w:pPr>
              <w:pStyle w:val="TableText"/>
              <w:jc w:val="center"/>
            </w:pPr>
            <w:r w:rsidRPr="005B0796">
              <w:t>1 (n = 4874)</w:t>
            </w:r>
          </w:p>
        </w:tc>
        <w:tc>
          <w:tcPr>
            <w:tcW w:w="3036" w:type="dxa"/>
            <w:gridSpan w:val="3"/>
            <w:noWrap/>
            <w:hideMark/>
          </w:tcPr>
          <w:p w:rsidR="00046B29" w:rsidRPr="005B0796" w:rsidRDefault="00046B29" w:rsidP="008F1A13">
            <w:pPr>
              <w:pStyle w:val="TableText"/>
              <w:jc w:val="center"/>
            </w:pPr>
            <w:r w:rsidRPr="005B0796">
              <w:t>2 (n = 4944)</w:t>
            </w:r>
          </w:p>
        </w:tc>
      </w:tr>
      <w:tr w:rsidR="00046B29" w:rsidRPr="005B0796" w:rsidTr="00046B29">
        <w:trPr>
          <w:cnfStyle w:val="100000000000" w:firstRow="1" w:lastRow="0" w:firstColumn="0" w:lastColumn="0" w:oddVBand="0" w:evenVBand="0" w:oddHBand="0" w:evenHBand="0" w:firstRowFirstColumn="0" w:firstRowLastColumn="0" w:lastRowFirstColumn="0" w:lastRowLastColumn="0"/>
          <w:tblHeader/>
        </w:trPr>
        <w:tc>
          <w:tcPr>
            <w:tcW w:w="2401" w:type="dxa"/>
            <w:vMerge/>
            <w:noWrap/>
            <w:hideMark/>
          </w:tcPr>
          <w:p w:rsidR="00046B29" w:rsidRPr="005B0796" w:rsidRDefault="00046B29" w:rsidP="008F1A13">
            <w:pPr>
              <w:pStyle w:val="TableText"/>
            </w:pPr>
          </w:p>
        </w:tc>
        <w:tc>
          <w:tcPr>
            <w:tcW w:w="1011" w:type="dxa"/>
            <w:noWrap/>
            <w:hideMark/>
          </w:tcPr>
          <w:p w:rsidR="00046B29" w:rsidRPr="005B0796" w:rsidRDefault="00046B29" w:rsidP="008F1A13">
            <w:pPr>
              <w:pStyle w:val="TableText"/>
              <w:jc w:val="right"/>
            </w:pPr>
            <w:r w:rsidRPr="005B0796">
              <w:t>Weighted n</w:t>
            </w:r>
          </w:p>
        </w:tc>
        <w:tc>
          <w:tcPr>
            <w:tcW w:w="1012" w:type="dxa"/>
            <w:hideMark/>
          </w:tcPr>
          <w:p w:rsidR="00046B29" w:rsidRPr="005B0796" w:rsidRDefault="00046B29" w:rsidP="008F1A13">
            <w:pPr>
              <w:pStyle w:val="TableText"/>
              <w:jc w:val="right"/>
            </w:pPr>
            <w:r w:rsidRPr="005B0796">
              <w:t>%</w:t>
            </w:r>
          </w:p>
        </w:tc>
        <w:tc>
          <w:tcPr>
            <w:tcW w:w="1012" w:type="dxa"/>
            <w:hideMark/>
          </w:tcPr>
          <w:p w:rsidR="00046B29" w:rsidRPr="005B0796" w:rsidRDefault="00046B29" w:rsidP="008F1A13">
            <w:pPr>
              <w:pStyle w:val="TableText"/>
              <w:jc w:val="right"/>
            </w:pPr>
            <w:r w:rsidRPr="005B0796">
              <w:t>95% CI</w:t>
            </w:r>
          </w:p>
        </w:tc>
        <w:tc>
          <w:tcPr>
            <w:tcW w:w="1012" w:type="dxa"/>
            <w:noWrap/>
            <w:hideMark/>
          </w:tcPr>
          <w:p w:rsidR="00046B29" w:rsidRPr="005B0796" w:rsidRDefault="00046B29" w:rsidP="008F1A13">
            <w:pPr>
              <w:pStyle w:val="TableText"/>
              <w:jc w:val="right"/>
            </w:pPr>
            <w:r w:rsidRPr="005B0796">
              <w:t>Weighted n</w:t>
            </w:r>
          </w:p>
        </w:tc>
        <w:tc>
          <w:tcPr>
            <w:tcW w:w="1010" w:type="dxa"/>
            <w:hideMark/>
          </w:tcPr>
          <w:p w:rsidR="00046B29" w:rsidRPr="005B0796" w:rsidRDefault="00046B29" w:rsidP="008F1A13">
            <w:pPr>
              <w:pStyle w:val="TableText"/>
              <w:jc w:val="right"/>
            </w:pPr>
            <w:r w:rsidRPr="005B0796">
              <w:t>%</w:t>
            </w:r>
          </w:p>
        </w:tc>
        <w:tc>
          <w:tcPr>
            <w:tcW w:w="1012" w:type="dxa"/>
            <w:hideMark/>
          </w:tcPr>
          <w:p w:rsidR="00046B29" w:rsidRPr="005B0796" w:rsidRDefault="00046B29" w:rsidP="008F1A13">
            <w:pPr>
              <w:pStyle w:val="TableText"/>
              <w:jc w:val="right"/>
            </w:pPr>
            <w:r w:rsidRPr="005B0796">
              <w:t>95% CI</w:t>
            </w:r>
          </w:p>
        </w:tc>
        <w:tc>
          <w:tcPr>
            <w:tcW w:w="1012" w:type="dxa"/>
            <w:noWrap/>
            <w:hideMark/>
          </w:tcPr>
          <w:p w:rsidR="00046B29" w:rsidRPr="005B0796" w:rsidRDefault="00046B29" w:rsidP="008F1A13">
            <w:pPr>
              <w:pStyle w:val="TableText"/>
              <w:jc w:val="right"/>
            </w:pPr>
            <w:r w:rsidRPr="005B0796">
              <w:t>Weighted n</w:t>
            </w:r>
          </w:p>
        </w:tc>
        <w:tc>
          <w:tcPr>
            <w:tcW w:w="1012" w:type="dxa"/>
            <w:hideMark/>
          </w:tcPr>
          <w:p w:rsidR="00046B29" w:rsidRPr="005B0796" w:rsidRDefault="00046B29" w:rsidP="008F1A13">
            <w:pPr>
              <w:pStyle w:val="TableText"/>
              <w:jc w:val="right"/>
            </w:pPr>
            <w:r w:rsidRPr="005B0796">
              <w:t>%</w:t>
            </w:r>
          </w:p>
        </w:tc>
        <w:tc>
          <w:tcPr>
            <w:tcW w:w="1012" w:type="dxa"/>
            <w:hideMark/>
          </w:tcPr>
          <w:p w:rsidR="00046B29" w:rsidRPr="005B0796" w:rsidRDefault="00046B29" w:rsidP="008F1A13">
            <w:pPr>
              <w:pStyle w:val="TableText"/>
              <w:jc w:val="right"/>
            </w:pPr>
            <w:r w:rsidRPr="005B0796">
              <w:t>95% CI</w:t>
            </w:r>
          </w:p>
        </w:tc>
      </w:tr>
      <w:tr w:rsidR="00046B29" w:rsidRPr="005B0796" w:rsidTr="00046B29">
        <w:trPr>
          <w:cnfStyle w:val="000000100000" w:firstRow="0" w:lastRow="0" w:firstColumn="0" w:lastColumn="0" w:oddVBand="0" w:evenVBand="0" w:oddHBand="1" w:evenHBand="0" w:firstRowFirstColumn="0" w:firstRowLastColumn="0" w:lastRowFirstColumn="0" w:lastRowLastColumn="0"/>
        </w:trPr>
        <w:tc>
          <w:tcPr>
            <w:tcW w:w="2401" w:type="dxa"/>
            <w:noWrap/>
          </w:tcPr>
          <w:p w:rsidR="00046B29" w:rsidRPr="005B0796" w:rsidRDefault="00046B29" w:rsidP="008F1A13">
            <w:pPr>
              <w:pStyle w:val="TableText"/>
              <w:rPr>
                <w:lang w:eastAsia="en-AU"/>
              </w:rPr>
            </w:pPr>
            <w:r w:rsidRPr="005B0796">
              <w:rPr>
                <w:lang w:eastAsia="en-AU"/>
              </w:rPr>
              <w:t>Alcohol harmful use</w:t>
            </w:r>
          </w:p>
        </w:tc>
        <w:tc>
          <w:tcPr>
            <w:tcW w:w="1011" w:type="dxa"/>
            <w:noWrap/>
          </w:tcPr>
          <w:p w:rsidR="00046B29" w:rsidRPr="005B0796" w:rsidRDefault="00046B29" w:rsidP="008F1A13">
            <w:pPr>
              <w:pStyle w:val="TableText"/>
              <w:jc w:val="right"/>
              <w:rPr>
                <w:lang w:eastAsia="en-AU"/>
              </w:rPr>
            </w:pPr>
            <w:r w:rsidRPr="005B0796">
              <w:rPr>
                <w:lang w:eastAsia="en-AU"/>
              </w:rPr>
              <w:t>144</w:t>
            </w:r>
          </w:p>
        </w:tc>
        <w:tc>
          <w:tcPr>
            <w:tcW w:w="1012" w:type="dxa"/>
          </w:tcPr>
          <w:p w:rsidR="00046B29" w:rsidRPr="005B0796" w:rsidRDefault="00046B29" w:rsidP="008F1A13">
            <w:pPr>
              <w:pStyle w:val="TableText"/>
              <w:jc w:val="right"/>
              <w:rPr>
                <w:lang w:eastAsia="en-AU"/>
              </w:rPr>
            </w:pPr>
            <w:r w:rsidRPr="005B0796">
              <w:rPr>
                <w:lang w:eastAsia="en-AU"/>
              </w:rPr>
              <w:t>7.4</w:t>
            </w:r>
          </w:p>
        </w:tc>
        <w:tc>
          <w:tcPr>
            <w:tcW w:w="1012" w:type="dxa"/>
          </w:tcPr>
          <w:p w:rsidR="00046B29" w:rsidRPr="005B0796" w:rsidRDefault="00046B29" w:rsidP="008F1A13">
            <w:pPr>
              <w:pStyle w:val="TableText"/>
              <w:jc w:val="right"/>
              <w:rPr>
                <w:lang w:eastAsia="en-AU"/>
              </w:rPr>
            </w:pPr>
            <w:r w:rsidRPr="005B0796">
              <w:rPr>
                <w:lang w:eastAsia="en-AU"/>
              </w:rPr>
              <w:t>1.6, 28.1</w:t>
            </w:r>
          </w:p>
        </w:tc>
        <w:tc>
          <w:tcPr>
            <w:tcW w:w="1012" w:type="dxa"/>
            <w:noWrap/>
          </w:tcPr>
          <w:p w:rsidR="00046B29" w:rsidRPr="005B0796" w:rsidRDefault="00046B29" w:rsidP="008F1A13">
            <w:pPr>
              <w:pStyle w:val="TableText"/>
              <w:jc w:val="right"/>
              <w:rPr>
                <w:lang w:eastAsia="en-AU"/>
              </w:rPr>
            </w:pPr>
            <w:r w:rsidRPr="005B0796">
              <w:rPr>
                <w:lang w:eastAsia="en-AU"/>
              </w:rPr>
              <w:t>49</w:t>
            </w:r>
          </w:p>
        </w:tc>
        <w:tc>
          <w:tcPr>
            <w:tcW w:w="1010" w:type="dxa"/>
          </w:tcPr>
          <w:p w:rsidR="00046B29" w:rsidRPr="005B0796" w:rsidRDefault="00046B29" w:rsidP="008F1A13">
            <w:pPr>
              <w:pStyle w:val="TableText"/>
              <w:jc w:val="right"/>
              <w:rPr>
                <w:lang w:eastAsia="en-AU"/>
              </w:rPr>
            </w:pPr>
            <w:r w:rsidRPr="005B0796">
              <w:rPr>
                <w:lang w:eastAsia="en-AU"/>
              </w:rPr>
              <w:t>1.0</w:t>
            </w:r>
          </w:p>
        </w:tc>
        <w:tc>
          <w:tcPr>
            <w:tcW w:w="1012" w:type="dxa"/>
          </w:tcPr>
          <w:p w:rsidR="00046B29" w:rsidRPr="005B0796" w:rsidRDefault="00046B29" w:rsidP="008F1A13">
            <w:pPr>
              <w:pStyle w:val="TableText"/>
              <w:jc w:val="right"/>
              <w:rPr>
                <w:lang w:eastAsia="en-AU"/>
              </w:rPr>
            </w:pPr>
            <w:r w:rsidRPr="005B0796">
              <w:rPr>
                <w:lang w:eastAsia="en-AU"/>
              </w:rPr>
              <w:t>0.3, 3.0</w:t>
            </w:r>
          </w:p>
        </w:tc>
        <w:tc>
          <w:tcPr>
            <w:tcW w:w="1012" w:type="dxa"/>
          </w:tcPr>
          <w:p w:rsidR="00046B29" w:rsidRPr="005B0796" w:rsidRDefault="00046B29" w:rsidP="008F1A13">
            <w:pPr>
              <w:pStyle w:val="TableText"/>
              <w:jc w:val="right"/>
              <w:rPr>
                <w:lang w:eastAsia="en-AU"/>
              </w:rPr>
            </w:pPr>
            <w:r w:rsidRPr="005B0796">
              <w:rPr>
                <w:lang w:eastAsia="en-AU"/>
              </w:rPr>
              <w:t>84</w:t>
            </w:r>
          </w:p>
        </w:tc>
        <w:tc>
          <w:tcPr>
            <w:tcW w:w="1012" w:type="dxa"/>
          </w:tcPr>
          <w:p w:rsidR="00046B29" w:rsidRPr="005B0796" w:rsidRDefault="00046B29" w:rsidP="008F1A13">
            <w:pPr>
              <w:pStyle w:val="TableText"/>
              <w:jc w:val="right"/>
              <w:rPr>
                <w:lang w:eastAsia="en-AU"/>
              </w:rPr>
            </w:pPr>
            <w:r w:rsidRPr="005B0796">
              <w:rPr>
                <w:lang w:eastAsia="en-AU"/>
              </w:rPr>
              <w:t>1.7</w:t>
            </w:r>
          </w:p>
        </w:tc>
        <w:tc>
          <w:tcPr>
            <w:tcW w:w="1012" w:type="dxa"/>
          </w:tcPr>
          <w:p w:rsidR="00046B29" w:rsidRPr="005B0796" w:rsidRDefault="00046B29" w:rsidP="008F1A13">
            <w:pPr>
              <w:pStyle w:val="TableText"/>
              <w:jc w:val="right"/>
              <w:rPr>
                <w:lang w:eastAsia="en-AU"/>
              </w:rPr>
            </w:pPr>
            <w:r w:rsidRPr="005B0796">
              <w:rPr>
                <w:lang w:eastAsia="en-AU"/>
              </w:rPr>
              <w:t>0.5, 6.0</w:t>
            </w:r>
          </w:p>
        </w:tc>
      </w:tr>
      <w:tr w:rsidR="00046B29" w:rsidRPr="005B0796" w:rsidTr="00046B29">
        <w:tc>
          <w:tcPr>
            <w:tcW w:w="2401" w:type="dxa"/>
            <w:noWrap/>
          </w:tcPr>
          <w:p w:rsidR="00046B29" w:rsidRPr="005B0796" w:rsidRDefault="00046B29" w:rsidP="00CB47B9">
            <w:pPr>
              <w:pStyle w:val="TableText"/>
              <w:rPr>
                <w:lang w:eastAsia="en-AU"/>
              </w:rPr>
            </w:pPr>
            <w:r w:rsidRPr="005B0796">
              <w:rPr>
                <w:lang w:eastAsia="en-AU"/>
              </w:rPr>
              <w:t>Alcohol dependence</w:t>
            </w:r>
            <w:r w:rsidRPr="005B0796">
              <w:rPr>
                <w:vertAlign w:val="superscript"/>
                <w:lang w:eastAsia="en-AU"/>
              </w:rPr>
              <w:t>a</w:t>
            </w:r>
          </w:p>
        </w:tc>
        <w:tc>
          <w:tcPr>
            <w:tcW w:w="1011" w:type="dxa"/>
            <w:noWrap/>
          </w:tcPr>
          <w:p w:rsidR="00046B29" w:rsidRPr="005B0796" w:rsidRDefault="00046B29" w:rsidP="008F1A13">
            <w:pPr>
              <w:pStyle w:val="TableText"/>
              <w:jc w:val="right"/>
              <w:rPr>
                <w:lang w:eastAsia="en-AU"/>
              </w:rPr>
            </w:pPr>
            <w:r w:rsidRPr="005B0796">
              <w:rPr>
                <w:lang w:eastAsia="en-AU"/>
              </w:rPr>
              <w:t>74</w:t>
            </w:r>
          </w:p>
        </w:tc>
        <w:tc>
          <w:tcPr>
            <w:tcW w:w="1012" w:type="dxa"/>
          </w:tcPr>
          <w:p w:rsidR="00046B29" w:rsidRPr="005B0796" w:rsidRDefault="00046B29" w:rsidP="008F1A13">
            <w:pPr>
              <w:pStyle w:val="TableText"/>
              <w:jc w:val="right"/>
              <w:rPr>
                <w:lang w:eastAsia="en-AU"/>
              </w:rPr>
            </w:pPr>
            <w:r w:rsidRPr="005B0796">
              <w:rPr>
                <w:lang w:eastAsia="en-AU"/>
              </w:rPr>
              <w:t>3.8</w:t>
            </w:r>
          </w:p>
        </w:tc>
        <w:tc>
          <w:tcPr>
            <w:tcW w:w="1012" w:type="dxa"/>
          </w:tcPr>
          <w:p w:rsidR="00046B29" w:rsidRPr="005B0796" w:rsidRDefault="00046B29" w:rsidP="008F1A13">
            <w:pPr>
              <w:pStyle w:val="TableText"/>
              <w:jc w:val="right"/>
              <w:rPr>
                <w:lang w:eastAsia="en-AU"/>
              </w:rPr>
            </w:pPr>
            <w:r w:rsidRPr="005B0796">
              <w:rPr>
                <w:lang w:eastAsia="en-AU"/>
              </w:rPr>
              <w:t>1.4, 10.0</w:t>
            </w:r>
          </w:p>
        </w:tc>
        <w:tc>
          <w:tcPr>
            <w:tcW w:w="1012" w:type="dxa"/>
            <w:noWrap/>
          </w:tcPr>
          <w:p w:rsidR="00046B29" w:rsidRPr="005B0796" w:rsidRDefault="00046B29" w:rsidP="008F1A13">
            <w:pPr>
              <w:pStyle w:val="TableText"/>
              <w:jc w:val="right"/>
              <w:rPr>
                <w:lang w:eastAsia="en-AU"/>
              </w:rPr>
            </w:pPr>
            <w:r w:rsidRPr="005B0796">
              <w:rPr>
                <w:lang w:eastAsia="en-AU"/>
              </w:rPr>
              <w:t>829</w:t>
            </w:r>
          </w:p>
        </w:tc>
        <w:tc>
          <w:tcPr>
            <w:tcW w:w="1010" w:type="dxa"/>
          </w:tcPr>
          <w:p w:rsidR="00046B29" w:rsidRPr="005B0796" w:rsidRDefault="00046B29" w:rsidP="008F1A13">
            <w:pPr>
              <w:pStyle w:val="TableText"/>
              <w:jc w:val="right"/>
              <w:rPr>
                <w:lang w:eastAsia="en-AU"/>
              </w:rPr>
            </w:pPr>
            <w:r w:rsidRPr="005B0796">
              <w:rPr>
                <w:lang w:eastAsia="en-AU"/>
              </w:rPr>
              <w:t>17.0</w:t>
            </w:r>
          </w:p>
        </w:tc>
        <w:tc>
          <w:tcPr>
            <w:tcW w:w="1012" w:type="dxa"/>
          </w:tcPr>
          <w:p w:rsidR="00046B29" w:rsidRPr="005B0796" w:rsidRDefault="00046B29" w:rsidP="008F1A13">
            <w:pPr>
              <w:pStyle w:val="TableText"/>
              <w:jc w:val="right"/>
              <w:rPr>
                <w:lang w:eastAsia="en-AU"/>
              </w:rPr>
            </w:pPr>
            <w:r w:rsidRPr="005B0796">
              <w:rPr>
                <w:lang w:eastAsia="en-AU"/>
              </w:rPr>
              <w:t>9.4, 28.9</w:t>
            </w:r>
          </w:p>
        </w:tc>
        <w:tc>
          <w:tcPr>
            <w:tcW w:w="1012" w:type="dxa"/>
          </w:tcPr>
          <w:p w:rsidR="00046B29" w:rsidRPr="005B0796" w:rsidRDefault="00046B29" w:rsidP="008F1A13">
            <w:pPr>
              <w:pStyle w:val="TableText"/>
              <w:jc w:val="right"/>
              <w:rPr>
                <w:lang w:eastAsia="en-AU"/>
              </w:rPr>
            </w:pPr>
            <w:r w:rsidRPr="005B0796">
              <w:rPr>
                <w:lang w:eastAsia="en-AU"/>
              </w:rPr>
              <w:t>351</w:t>
            </w:r>
          </w:p>
        </w:tc>
        <w:tc>
          <w:tcPr>
            <w:tcW w:w="1012" w:type="dxa"/>
          </w:tcPr>
          <w:p w:rsidR="00046B29" w:rsidRPr="005B0796" w:rsidRDefault="00046B29" w:rsidP="008F1A13">
            <w:pPr>
              <w:pStyle w:val="TableText"/>
              <w:jc w:val="right"/>
              <w:rPr>
                <w:lang w:eastAsia="en-AU"/>
              </w:rPr>
            </w:pPr>
            <w:r w:rsidRPr="005B0796">
              <w:rPr>
                <w:lang w:eastAsia="en-AU"/>
              </w:rPr>
              <w:t>7.1</w:t>
            </w:r>
          </w:p>
        </w:tc>
        <w:tc>
          <w:tcPr>
            <w:tcW w:w="1012" w:type="dxa"/>
          </w:tcPr>
          <w:p w:rsidR="00046B29" w:rsidRPr="005B0796" w:rsidRDefault="00046B29" w:rsidP="008F1A13">
            <w:pPr>
              <w:pStyle w:val="TableText"/>
              <w:jc w:val="right"/>
              <w:rPr>
                <w:lang w:eastAsia="en-AU"/>
              </w:rPr>
            </w:pPr>
            <w:r w:rsidRPr="005B0796">
              <w:rPr>
                <w:lang w:eastAsia="en-AU"/>
              </w:rPr>
              <w:t>3.0, 15.6</w:t>
            </w:r>
          </w:p>
        </w:tc>
      </w:tr>
      <w:tr w:rsidR="00046B29" w:rsidRPr="005B0796" w:rsidTr="00046B29">
        <w:trPr>
          <w:cnfStyle w:val="000000100000" w:firstRow="0" w:lastRow="0" w:firstColumn="0" w:lastColumn="0" w:oddVBand="0" w:evenVBand="0" w:oddHBand="1" w:evenHBand="0" w:firstRowFirstColumn="0" w:firstRowLastColumn="0" w:lastRowFirstColumn="0" w:lastRowLastColumn="0"/>
        </w:trPr>
        <w:tc>
          <w:tcPr>
            <w:tcW w:w="2401" w:type="dxa"/>
            <w:noWrap/>
          </w:tcPr>
          <w:p w:rsidR="00046B29" w:rsidRPr="005B0796" w:rsidRDefault="00046B29" w:rsidP="008F1A13">
            <w:pPr>
              <w:pStyle w:val="TableText"/>
              <w:rPr>
                <w:lang w:eastAsia="en-AU"/>
              </w:rPr>
            </w:pPr>
            <w:r w:rsidRPr="005B0796">
              <w:rPr>
                <w:lang w:eastAsia="en-AU"/>
              </w:rPr>
              <w:t>Any alcohol disorder</w:t>
            </w:r>
          </w:p>
        </w:tc>
        <w:tc>
          <w:tcPr>
            <w:tcW w:w="1011" w:type="dxa"/>
            <w:noWrap/>
          </w:tcPr>
          <w:p w:rsidR="00046B29" w:rsidRPr="005B0796" w:rsidRDefault="00046B29" w:rsidP="008F1A13">
            <w:pPr>
              <w:pStyle w:val="TableText"/>
              <w:jc w:val="right"/>
              <w:rPr>
                <w:lang w:eastAsia="en-AU"/>
              </w:rPr>
            </w:pPr>
            <w:r w:rsidRPr="005B0796">
              <w:rPr>
                <w:lang w:eastAsia="en-AU"/>
              </w:rPr>
              <w:t>216</w:t>
            </w:r>
          </w:p>
        </w:tc>
        <w:tc>
          <w:tcPr>
            <w:tcW w:w="1012" w:type="dxa"/>
          </w:tcPr>
          <w:p w:rsidR="00046B29" w:rsidRPr="005B0796" w:rsidRDefault="00046B29" w:rsidP="008F1A13">
            <w:pPr>
              <w:pStyle w:val="TableText"/>
              <w:jc w:val="right"/>
              <w:rPr>
                <w:lang w:eastAsia="en-AU"/>
              </w:rPr>
            </w:pPr>
            <w:r w:rsidRPr="005B0796">
              <w:rPr>
                <w:lang w:eastAsia="en-AU"/>
              </w:rPr>
              <w:t>11.1</w:t>
            </w:r>
          </w:p>
        </w:tc>
        <w:tc>
          <w:tcPr>
            <w:tcW w:w="1012" w:type="dxa"/>
          </w:tcPr>
          <w:p w:rsidR="00046B29" w:rsidRPr="005B0796" w:rsidRDefault="00046B29" w:rsidP="008F1A13">
            <w:pPr>
              <w:pStyle w:val="TableText"/>
              <w:jc w:val="right"/>
              <w:rPr>
                <w:lang w:eastAsia="en-AU"/>
              </w:rPr>
            </w:pPr>
            <w:r w:rsidRPr="005B0796">
              <w:rPr>
                <w:lang w:eastAsia="en-AU"/>
              </w:rPr>
              <w:t>3.9, 28.0</w:t>
            </w:r>
          </w:p>
        </w:tc>
        <w:tc>
          <w:tcPr>
            <w:tcW w:w="1012" w:type="dxa"/>
            <w:noWrap/>
          </w:tcPr>
          <w:p w:rsidR="00046B29" w:rsidRPr="005B0796" w:rsidRDefault="00046B29" w:rsidP="008F1A13">
            <w:pPr>
              <w:pStyle w:val="TableText"/>
              <w:jc w:val="right"/>
              <w:rPr>
                <w:lang w:eastAsia="en-AU"/>
              </w:rPr>
            </w:pPr>
            <w:r w:rsidRPr="005B0796">
              <w:rPr>
                <w:lang w:eastAsia="en-AU"/>
              </w:rPr>
              <w:t>877</w:t>
            </w:r>
          </w:p>
        </w:tc>
        <w:tc>
          <w:tcPr>
            <w:tcW w:w="1010" w:type="dxa"/>
          </w:tcPr>
          <w:p w:rsidR="00046B29" w:rsidRPr="005B0796" w:rsidRDefault="00046B29" w:rsidP="008F1A13">
            <w:pPr>
              <w:pStyle w:val="TableText"/>
              <w:jc w:val="right"/>
              <w:rPr>
                <w:lang w:eastAsia="en-AU"/>
              </w:rPr>
            </w:pPr>
            <w:r w:rsidRPr="005B0796">
              <w:rPr>
                <w:lang w:eastAsia="en-AU"/>
              </w:rPr>
              <w:t>18.0</w:t>
            </w:r>
          </w:p>
        </w:tc>
        <w:tc>
          <w:tcPr>
            <w:tcW w:w="1012" w:type="dxa"/>
          </w:tcPr>
          <w:p w:rsidR="00046B29" w:rsidRPr="005B0796" w:rsidRDefault="00046B29" w:rsidP="008F1A13">
            <w:pPr>
              <w:pStyle w:val="TableText"/>
              <w:jc w:val="right"/>
              <w:rPr>
                <w:lang w:eastAsia="en-AU"/>
              </w:rPr>
            </w:pPr>
            <w:r w:rsidRPr="005B0796">
              <w:rPr>
                <w:lang w:eastAsia="en-AU"/>
              </w:rPr>
              <w:t>10.2, 29.7</w:t>
            </w:r>
          </w:p>
        </w:tc>
        <w:tc>
          <w:tcPr>
            <w:tcW w:w="1012" w:type="dxa"/>
          </w:tcPr>
          <w:p w:rsidR="00046B29" w:rsidRPr="005B0796" w:rsidRDefault="00046B29" w:rsidP="008F1A13">
            <w:pPr>
              <w:pStyle w:val="TableText"/>
              <w:jc w:val="right"/>
              <w:rPr>
                <w:lang w:eastAsia="en-AU"/>
              </w:rPr>
            </w:pPr>
            <w:r w:rsidRPr="005B0796">
              <w:rPr>
                <w:lang w:eastAsia="en-AU"/>
              </w:rPr>
              <w:t>435</w:t>
            </w:r>
          </w:p>
        </w:tc>
        <w:tc>
          <w:tcPr>
            <w:tcW w:w="1012" w:type="dxa"/>
          </w:tcPr>
          <w:p w:rsidR="00046B29" w:rsidRPr="005B0796" w:rsidRDefault="00046B29" w:rsidP="008F1A13">
            <w:pPr>
              <w:pStyle w:val="TableText"/>
              <w:jc w:val="right"/>
              <w:rPr>
                <w:lang w:eastAsia="en-AU"/>
              </w:rPr>
            </w:pPr>
            <w:r w:rsidRPr="005B0796">
              <w:rPr>
                <w:lang w:eastAsia="en-AU"/>
              </w:rPr>
              <w:t>8.8</w:t>
            </w:r>
          </w:p>
        </w:tc>
        <w:tc>
          <w:tcPr>
            <w:tcW w:w="1012" w:type="dxa"/>
          </w:tcPr>
          <w:p w:rsidR="00046B29" w:rsidRPr="005B0796" w:rsidRDefault="00046B29" w:rsidP="008F1A13">
            <w:pPr>
              <w:pStyle w:val="TableText"/>
              <w:jc w:val="right"/>
              <w:rPr>
                <w:lang w:eastAsia="en-AU"/>
              </w:rPr>
            </w:pPr>
            <w:r w:rsidRPr="005B0796">
              <w:rPr>
                <w:lang w:eastAsia="en-AU"/>
              </w:rPr>
              <w:t>4.2, 17.3</w:t>
            </w:r>
          </w:p>
        </w:tc>
      </w:tr>
    </w:tbl>
    <w:p w:rsidR="00046B29" w:rsidRPr="005B0796" w:rsidRDefault="00046B29" w:rsidP="00046B29">
      <w:pPr>
        <w:pStyle w:val="TableText"/>
      </w:pPr>
    </w:p>
    <w:tbl>
      <w:tblPr>
        <w:tblStyle w:val="TWRPTable"/>
        <w:tblW w:w="5000" w:type="pct"/>
        <w:tblLayout w:type="fixed"/>
        <w:tblLook w:val="04A0" w:firstRow="1" w:lastRow="0" w:firstColumn="1" w:lastColumn="0" w:noHBand="0" w:noVBand="1"/>
        <w:tblDescription w:val="Table 4.35 (cont) Estimated prevalence of 12-month ICD-10 alcohol disorders in Transitioned ADF members, by alcohol disorder type and years since transition"/>
      </w:tblPr>
      <w:tblGrid>
        <w:gridCol w:w="2401"/>
        <w:gridCol w:w="1011"/>
        <w:gridCol w:w="1012"/>
        <w:gridCol w:w="1012"/>
        <w:gridCol w:w="1012"/>
        <w:gridCol w:w="1010"/>
        <w:gridCol w:w="1012"/>
        <w:gridCol w:w="1012"/>
        <w:gridCol w:w="1012"/>
        <w:gridCol w:w="1012"/>
      </w:tblGrid>
      <w:tr w:rsidR="00046B29"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401" w:type="dxa"/>
            <w:vMerge w:val="restart"/>
          </w:tcPr>
          <w:p w:rsidR="00046B29" w:rsidRPr="005B0796" w:rsidRDefault="00046B29" w:rsidP="00BB6C7A">
            <w:pPr>
              <w:pStyle w:val="TableText"/>
            </w:pPr>
            <w:r w:rsidRPr="005B0796">
              <w:t>ICD-10 alcohol disorder</w:t>
            </w:r>
          </w:p>
        </w:tc>
        <w:tc>
          <w:tcPr>
            <w:tcW w:w="9105" w:type="dxa"/>
            <w:gridSpan w:val="9"/>
            <w:noWrap/>
          </w:tcPr>
          <w:p w:rsidR="00046B29" w:rsidRPr="005B0796" w:rsidRDefault="00046B29" w:rsidP="00BB6C7A">
            <w:pPr>
              <w:pStyle w:val="TableText"/>
              <w:jc w:val="center"/>
            </w:pPr>
            <w:r w:rsidRPr="005B0796">
              <w:t xml:space="preserve">Years </w:t>
            </w:r>
            <w:r w:rsidR="00BB6C7A" w:rsidRPr="005B0796">
              <w:t>since transition</w:t>
            </w:r>
          </w:p>
        </w:tc>
      </w:tr>
      <w:tr w:rsidR="00046B29" w:rsidRPr="005B0796" w:rsidTr="00046B29">
        <w:trPr>
          <w:cnfStyle w:val="100000000000" w:firstRow="1" w:lastRow="0" w:firstColumn="0" w:lastColumn="0" w:oddVBand="0" w:evenVBand="0" w:oddHBand="0" w:evenHBand="0" w:firstRowFirstColumn="0" w:firstRowLastColumn="0" w:lastRowFirstColumn="0" w:lastRowLastColumn="0"/>
          <w:tblHeader/>
        </w:trPr>
        <w:tc>
          <w:tcPr>
            <w:tcW w:w="2401" w:type="dxa"/>
            <w:vMerge/>
            <w:hideMark/>
          </w:tcPr>
          <w:p w:rsidR="00046B29" w:rsidRPr="005B0796" w:rsidRDefault="00046B29" w:rsidP="00BB6C7A">
            <w:pPr>
              <w:pStyle w:val="TableText"/>
            </w:pPr>
          </w:p>
        </w:tc>
        <w:tc>
          <w:tcPr>
            <w:tcW w:w="3035" w:type="dxa"/>
            <w:gridSpan w:val="3"/>
            <w:noWrap/>
            <w:hideMark/>
          </w:tcPr>
          <w:p w:rsidR="00046B29" w:rsidRPr="005B0796" w:rsidRDefault="00046B29" w:rsidP="00BB6C7A">
            <w:pPr>
              <w:pStyle w:val="TableText"/>
              <w:jc w:val="center"/>
            </w:pPr>
            <w:r w:rsidRPr="005B0796">
              <w:t>3 (n = 5233)</w:t>
            </w:r>
          </w:p>
        </w:tc>
        <w:tc>
          <w:tcPr>
            <w:tcW w:w="3034" w:type="dxa"/>
            <w:gridSpan w:val="3"/>
            <w:noWrap/>
            <w:hideMark/>
          </w:tcPr>
          <w:p w:rsidR="00046B29" w:rsidRPr="005B0796" w:rsidRDefault="00046B29" w:rsidP="00BB6C7A">
            <w:pPr>
              <w:pStyle w:val="TableText"/>
              <w:jc w:val="center"/>
            </w:pPr>
            <w:r w:rsidRPr="005B0796">
              <w:t>4 (n = 3582)</w:t>
            </w:r>
          </w:p>
        </w:tc>
        <w:tc>
          <w:tcPr>
            <w:tcW w:w="3036" w:type="dxa"/>
            <w:gridSpan w:val="3"/>
            <w:noWrap/>
            <w:hideMark/>
          </w:tcPr>
          <w:p w:rsidR="00046B29" w:rsidRPr="005B0796" w:rsidRDefault="00046B29" w:rsidP="00BB6C7A">
            <w:pPr>
              <w:pStyle w:val="TableText"/>
              <w:jc w:val="center"/>
            </w:pPr>
            <w:r w:rsidRPr="005B0796">
              <w:t>5 (n = 2785)</w:t>
            </w:r>
          </w:p>
        </w:tc>
      </w:tr>
      <w:tr w:rsidR="00046B29" w:rsidRPr="005B0796" w:rsidTr="00046B29">
        <w:trPr>
          <w:cnfStyle w:val="100000000000" w:firstRow="1" w:lastRow="0" w:firstColumn="0" w:lastColumn="0" w:oddVBand="0" w:evenVBand="0" w:oddHBand="0" w:evenHBand="0" w:firstRowFirstColumn="0" w:firstRowLastColumn="0" w:lastRowFirstColumn="0" w:lastRowLastColumn="0"/>
          <w:tblHeader/>
        </w:trPr>
        <w:tc>
          <w:tcPr>
            <w:tcW w:w="2401" w:type="dxa"/>
            <w:vMerge/>
            <w:noWrap/>
            <w:hideMark/>
          </w:tcPr>
          <w:p w:rsidR="00046B29" w:rsidRPr="005B0796" w:rsidRDefault="00046B29" w:rsidP="00BB6C7A">
            <w:pPr>
              <w:pStyle w:val="TableText"/>
            </w:pPr>
          </w:p>
        </w:tc>
        <w:tc>
          <w:tcPr>
            <w:tcW w:w="1011" w:type="dxa"/>
            <w:noWrap/>
            <w:hideMark/>
          </w:tcPr>
          <w:p w:rsidR="00046B29" w:rsidRPr="005B0796" w:rsidRDefault="00046B29" w:rsidP="00BB6C7A">
            <w:pPr>
              <w:pStyle w:val="TableText"/>
              <w:jc w:val="right"/>
            </w:pPr>
            <w:r w:rsidRPr="005B0796">
              <w:t>Weighted n</w:t>
            </w:r>
          </w:p>
        </w:tc>
        <w:tc>
          <w:tcPr>
            <w:tcW w:w="1012" w:type="dxa"/>
            <w:hideMark/>
          </w:tcPr>
          <w:p w:rsidR="00046B29" w:rsidRPr="005B0796" w:rsidRDefault="00046B29" w:rsidP="00BB6C7A">
            <w:pPr>
              <w:pStyle w:val="TableText"/>
              <w:jc w:val="right"/>
            </w:pPr>
            <w:r w:rsidRPr="005B0796">
              <w:t>%</w:t>
            </w:r>
          </w:p>
        </w:tc>
        <w:tc>
          <w:tcPr>
            <w:tcW w:w="1012" w:type="dxa"/>
            <w:hideMark/>
          </w:tcPr>
          <w:p w:rsidR="00046B29" w:rsidRPr="005B0796" w:rsidRDefault="00046B29" w:rsidP="00BB6C7A">
            <w:pPr>
              <w:pStyle w:val="TableText"/>
              <w:jc w:val="right"/>
            </w:pPr>
            <w:r w:rsidRPr="005B0796">
              <w:t>95% CI</w:t>
            </w:r>
          </w:p>
        </w:tc>
        <w:tc>
          <w:tcPr>
            <w:tcW w:w="1012" w:type="dxa"/>
            <w:noWrap/>
            <w:hideMark/>
          </w:tcPr>
          <w:p w:rsidR="00046B29" w:rsidRPr="005B0796" w:rsidRDefault="00046B29" w:rsidP="00BB6C7A">
            <w:pPr>
              <w:pStyle w:val="TableText"/>
              <w:jc w:val="right"/>
            </w:pPr>
            <w:r w:rsidRPr="005B0796">
              <w:t>Weighted n</w:t>
            </w:r>
          </w:p>
        </w:tc>
        <w:tc>
          <w:tcPr>
            <w:tcW w:w="1010" w:type="dxa"/>
            <w:hideMark/>
          </w:tcPr>
          <w:p w:rsidR="00046B29" w:rsidRPr="005B0796" w:rsidRDefault="00046B29" w:rsidP="00BB6C7A">
            <w:pPr>
              <w:pStyle w:val="TableText"/>
              <w:jc w:val="right"/>
            </w:pPr>
            <w:r w:rsidRPr="005B0796">
              <w:t>%</w:t>
            </w:r>
          </w:p>
        </w:tc>
        <w:tc>
          <w:tcPr>
            <w:tcW w:w="1012" w:type="dxa"/>
            <w:hideMark/>
          </w:tcPr>
          <w:p w:rsidR="00046B29" w:rsidRPr="005B0796" w:rsidRDefault="00046B29" w:rsidP="00BB6C7A">
            <w:pPr>
              <w:pStyle w:val="TableText"/>
              <w:jc w:val="right"/>
            </w:pPr>
            <w:r w:rsidRPr="005B0796">
              <w:t>95% CI</w:t>
            </w:r>
          </w:p>
        </w:tc>
        <w:tc>
          <w:tcPr>
            <w:tcW w:w="1012" w:type="dxa"/>
            <w:noWrap/>
            <w:hideMark/>
          </w:tcPr>
          <w:p w:rsidR="00046B29" w:rsidRPr="005B0796" w:rsidRDefault="00046B29" w:rsidP="00BB6C7A">
            <w:pPr>
              <w:pStyle w:val="TableText"/>
              <w:jc w:val="right"/>
            </w:pPr>
            <w:r w:rsidRPr="005B0796">
              <w:t>Weighted n</w:t>
            </w:r>
          </w:p>
        </w:tc>
        <w:tc>
          <w:tcPr>
            <w:tcW w:w="1012" w:type="dxa"/>
            <w:hideMark/>
          </w:tcPr>
          <w:p w:rsidR="00046B29" w:rsidRPr="005B0796" w:rsidRDefault="00046B29" w:rsidP="00BB6C7A">
            <w:pPr>
              <w:pStyle w:val="TableText"/>
              <w:jc w:val="right"/>
            </w:pPr>
            <w:r w:rsidRPr="005B0796">
              <w:t>%</w:t>
            </w:r>
          </w:p>
        </w:tc>
        <w:tc>
          <w:tcPr>
            <w:tcW w:w="1012" w:type="dxa"/>
            <w:hideMark/>
          </w:tcPr>
          <w:p w:rsidR="00046B29" w:rsidRPr="005B0796" w:rsidRDefault="00046B29" w:rsidP="00BB6C7A">
            <w:pPr>
              <w:pStyle w:val="TableText"/>
              <w:jc w:val="right"/>
            </w:pPr>
            <w:r w:rsidRPr="005B0796">
              <w:t>95% CI</w:t>
            </w:r>
          </w:p>
        </w:tc>
      </w:tr>
      <w:tr w:rsidR="00046B29" w:rsidRPr="005B0796" w:rsidTr="00046B29">
        <w:trPr>
          <w:cnfStyle w:val="000000100000" w:firstRow="0" w:lastRow="0" w:firstColumn="0" w:lastColumn="0" w:oddVBand="0" w:evenVBand="0" w:oddHBand="1" w:evenHBand="0" w:firstRowFirstColumn="0" w:firstRowLastColumn="0" w:lastRowFirstColumn="0" w:lastRowLastColumn="0"/>
        </w:trPr>
        <w:tc>
          <w:tcPr>
            <w:tcW w:w="2401" w:type="dxa"/>
            <w:noWrap/>
          </w:tcPr>
          <w:p w:rsidR="00046B29" w:rsidRPr="005B0796" w:rsidRDefault="00046B29" w:rsidP="00BB6C7A">
            <w:pPr>
              <w:pStyle w:val="TableText"/>
              <w:rPr>
                <w:lang w:eastAsia="en-AU"/>
              </w:rPr>
            </w:pPr>
            <w:r w:rsidRPr="005B0796">
              <w:rPr>
                <w:lang w:eastAsia="en-AU"/>
              </w:rPr>
              <w:t>Alcohol harmful use</w:t>
            </w:r>
          </w:p>
        </w:tc>
        <w:tc>
          <w:tcPr>
            <w:tcW w:w="1011" w:type="dxa"/>
          </w:tcPr>
          <w:p w:rsidR="00046B29" w:rsidRPr="005B0796" w:rsidRDefault="00046B29" w:rsidP="00BB6C7A">
            <w:pPr>
              <w:pStyle w:val="TableText"/>
              <w:jc w:val="right"/>
              <w:rPr>
                <w:lang w:eastAsia="en-AU"/>
              </w:rPr>
            </w:pPr>
            <w:r w:rsidRPr="005B0796">
              <w:rPr>
                <w:lang w:eastAsia="en-AU"/>
              </w:rPr>
              <w:t>314</w:t>
            </w:r>
          </w:p>
        </w:tc>
        <w:tc>
          <w:tcPr>
            <w:tcW w:w="1012" w:type="dxa"/>
          </w:tcPr>
          <w:p w:rsidR="00046B29" w:rsidRPr="005B0796" w:rsidRDefault="00046B29" w:rsidP="00BB6C7A">
            <w:pPr>
              <w:pStyle w:val="TableText"/>
              <w:jc w:val="right"/>
              <w:rPr>
                <w:lang w:eastAsia="en-AU"/>
              </w:rPr>
            </w:pPr>
            <w:r w:rsidRPr="005B0796">
              <w:rPr>
                <w:lang w:eastAsia="en-AU"/>
              </w:rPr>
              <w:t>6.0</w:t>
            </w:r>
          </w:p>
        </w:tc>
        <w:tc>
          <w:tcPr>
            <w:tcW w:w="1012" w:type="dxa"/>
          </w:tcPr>
          <w:p w:rsidR="00046B29" w:rsidRPr="005B0796" w:rsidRDefault="00046B29" w:rsidP="00BB6C7A">
            <w:pPr>
              <w:pStyle w:val="TableText"/>
              <w:jc w:val="right"/>
              <w:rPr>
                <w:lang w:eastAsia="en-AU"/>
              </w:rPr>
            </w:pPr>
            <w:r w:rsidRPr="005B0796">
              <w:rPr>
                <w:lang w:eastAsia="en-AU"/>
              </w:rPr>
              <w:t>2.6, 13.4</w:t>
            </w:r>
          </w:p>
        </w:tc>
        <w:tc>
          <w:tcPr>
            <w:tcW w:w="1012" w:type="dxa"/>
          </w:tcPr>
          <w:p w:rsidR="00046B29" w:rsidRPr="005B0796" w:rsidRDefault="00046B29" w:rsidP="00BB6C7A">
            <w:pPr>
              <w:pStyle w:val="TableText"/>
              <w:jc w:val="right"/>
              <w:rPr>
                <w:lang w:eastAsia="en-AU"/>
              </w:rPr>
            </w:pPr>
            <w:r w:rsidRPr="005B0796">
              <w:rPr>
                <w:lang w:eastAsia="en-AU"/>
              </w:rPr>
              <w:t>236</w:t>
            </w:r>
          </w:p>
        </w:tc>
        <w:tc>
          <w:tcPr>
            <w:tcW w:w="1010" w:type="dxa"/>
          </w:tcPr>
          <w:p w:rsidR="00046B29" w:rsidRPr="005B0796" w:rsidRDefault="00046B29" w:rsidP="00BB6C7A">
            <w:pPr>
              <w:pStyle w:val="TableText"/>
              <w:jc w:val="right"/>
              <w:rPr>
                <w:lang w:eastAsia="en-AU"/>
              </w:rPr>
            </w:pPr>
            <w:r w:rsidRPr="005B0796">
              <w:rPr>
                <w:lang w:eastAsia="en-AU"/>
              </w:rPr>
              <w:t>6.6</w:t>
            </w:r>
          </w:p>
        </w:tc>
        <w:tc>
          <w:tcPr>
            <w:tcW w:w="1012" w:type="dxa"/>
          </w:tcPr>
          <w:p w:rsidR="00046B29" w:rsidRPr="005B0796" w:rsidRDefault="00046B29" w:rsidP="00BB6C7A">
            <w:pPr>
              <w:pStyle w:val="TableText"/>
              <w:jc w:val="right"/>
              <w:rPr>
                <w:lang w:eastAsia="en-AU"/>
              </w:rPr>
            </w:pPr>
            <w:r w:rsidRPr="005B0796">
              <w:rPr>
                <w:lang w:eastAsia="en-AU"/>
              </w:rPr>
              <w:t>2.0, 20.1</w:t>
            </w:r>
          </w:p>
        </w:tc>
        <w:tc>
          <w:tcPr>
            <w:tcW w:w="1012" w:type="dxa"/>
          </w:tcPr>
          <w:p w:rsidR="00046B29" w:rsidRPr="005B0796" w:rsidRDefault="00046B29" w:rsidP="00BB6C7A">
            <w:pPr>
              <w:pStyle w:val="TableText"/>
              <w:jc w:val="right"/>
              <w:rPr>
                <w:lang w:eastAsia="en-AU"/>
              </w:rPr>
            </w:pPr>
            <w:r w:rsidRPr="005B0796">
              <w:rPr>
                <w:lang w:eastAsia="en-AU"/>
              </w:rPr>
              <w:t>61</w:t>
            </w:r>
          </w:p>
        </w:tc>
        <w:tc>
          <w:tcPr>
            <w:tcW w:w="1012" w:type="dxa"/>
          </w:tcPr>
          <w:p w:rsidR="00046B29" w:rsidRPr="005B0796" w:rsidRDefault="00046B29" w:rsidP="00BB6C7A">
            <w:pPr>
              <w:pStyle w:val="TableText"/>
              <w:jc w:val="right"/>
              <w:rPr>
                <w:lang w:eastAsia="en-AU"/>
              </w:rPr>
            </w:pPr>
            <w:r w:rsidRPr="005B0796">
              <w:rPr>
                <w:lang w:eastAsia="en-AU"/>
              </w:rPr>
              <w:t>2.2</w:t>
            </w:r>
          </w:p>
        </w:tc>
        <w:tc>
          <w:tcPr>
            <w:tcW w:w="1012" w:type="dxa"/>
          </w:tcPr>
          <w:p w:rsidR="00046B29" w:rsidRPr="005B0796" w:rsidRDefault="00046B29" w:rsidP="00BB6C7A">
            <w:pPr>
              <w:pStyle w:val="TableText"/>
              <w:jc w:val="right"/>
              <w:rPr>
                <w:lang w:eastAsia="en-AU"/>
              </w:rPr>
            </w:pPr>
            <w:r w:rsidRPr="005B0796">
              <w:rPr>
                <w:lang w:eastAsia="en-AU"/>
              </w:rPr>
              <w:t>0.9, 5.2</w:t>
            </w:r>
          </w:p>
        </w:tc>
      </w:tr>
      <w:tr w:rsidR="00046B29" w:rsidRPr="005B0796" w:rsidTr="00046B29">
        <w:tc>
          <w:tcPr>
            <w:tcW w:w="2401" w:type="dxa"/>
            <w:noWrap/>
          </w:tcPr>
          <w:p w:rsidR="00046B29" w:rsidRPr="005B0796" w:rsidRDefault="00046B29" w:rsidP="00BB6C7A">
            <w:pPr>
              <w:pStyle w:val="TableText"/>
              <w:rPr>
                <w:lang w:eastAsia="en-AU"/>
              </w:rPr>
            </w:pPr>
            <w:r w:rsidRPr="005B0796">
              <w:rPr>
                <w:lang w:eastAsia="en-AU"/>
              </w:rPr>
              <w:t>Alcohol dependence</w:t>
            </w:r>
            <w:r w:rsidRPr="005B0796">
              <w:rPr>
                <w:vertAlign w:val="superscript"/>
                <w:lang w:eastAsia="en-AU"/>
              </w:rPr>
              <w:t>a</w:t>
            </w:r>
          </w:p>
        </w:tc>
        <w:tc>
          <w:tcPr>
            <w:tcW w:w="1011" w:type="dxa"/>
          </w:tcPr>
          <w:p w:rsidR="00046B29" w:rsidRPr="005B0796" w:rsidRDefault="00046B29" w:rsidP="00BB6C7A">
            <w:pPr>
              <w:pStyle w:val="TableText"/>
              <w:jc w:val="right"/>
              <w:rPr>
                <w:lang w:eastAsia="en-AU"/>
              </w:rPr>
            </w:pPr>
            <w:r w:rsidRPr="005B0796">
              <w:rPr>
                <w:lang w:eastAsia="en-AU"/>
              </w:rPr>
              <w:t>450</w:t>
            </w:r>
          </w:p>
        </w:tc>
        <w:tc>
          <w:tcPr>
            <w:tcW w:w="1012" w:type="dxa"/>
          </w:tcPr>
          <w:p w:rsidR="00046B29" w:rsidRPr="005B0796" w:rsidRDefault="00046B29" w:rsidP="00BB6C7A">
            <w:pPr>
              <w:pStyle w:val="TableText"/>
              <w:jc w:val="right"/>
              <w:rPr>
                <w:lang w:eastAsia="en-AU"/>
              </w:rPr>
            </w:pPr>
            <w:r w:rsidRPr="005B0796">
              <w:rPr>
                <w:lang w:eastAsia="en-AU"/>
              </w:rPr>
              <w:t>8.6</w:t>
            </w:r>
          </w:p>
        </w:tc>
        <w:tc>
          <w:tcPr>
            <w:tcW w:w="1012" w:type="dxa"/>
          </w:tcPr>
          <w:p w:rsidR="00046B29" w:rsidRPr="005B0796" w:rsidRDefault="00046B29" w:rsidP="00BB6C7A">
            <w:pPr>
              <w:pStyle w:val="TableText"/>
              <w:jc w:val="right"/>
              <w:rPr>
                <w:lang w:eastAsia="en-AU"/>
              </w:rPr>
            </w:pPr>
            <w:r w:rsidRPr="005B0796">
              <w:rPr>
                <w:lang w:eastAsia="en-AU"/>
              </w:rPr>
              <w:t>4.0, 17.6</w:t>
            </w:r>
          </w:p>
        </w:tc>
        <w:tc>
          <w:tcPr>
            <w:tcW w:w="1012" w:type="dxa"/>
          </w:tcPr>
          <w:p w:rsidR="00046B29" w:rsidRPr="005B0796" w:rsidRDefault="00046B29" w:rsidP="00BB6C7A">
            <w:pPr>
              <w:pStyle w:val="TableText"/>
              <w:jc w:val="right"/>
              <w:rPr>
                <w:lang w:eastAsia="en-AU"/>
              </w:rPr>
            </w:pPr>
            <w:r w:rsidRPr="005B0796">
              <w:rPr>
                <w:lang w:eastAsia="en-AU"/>
              </w:rPr>
              <w:t>297</w:t>
            </w:r>
          </w:p>
        </w:tc>
        <w:tc>
          <w:tcPr>
            <w:tcW w:w="1010" w:type="dxa"/>
          </w:tcPr>
          <w:p w:rsidR="00046B29" w:rsidRPr="005B0796" w:rsidRDefault="00046B29" w:rsidP="00BB6C7A">
            <w:pPr>
              <w:pStyle w:val="TableText"/>
              <w:jc w:val="right"/>
              <w:rPr>
                <w:lang w:eastAsia="en-AU"/>
              </w:rPr>
            </w:pPr>
            <w:r w:rsidRPr="005B0796">
              <w:rPr>
                <w:lang w:eastAsia="en-AU"/>
              </w:rPr>
              <w:t>8.3</w:t>
            </w:r>
          </w:p>
        </w:tc>
        <w:tc>
          <w:tcPr>
            <w:tcW w:w="1012" w:type="dxa"/>
          </w:tcPr>
          <w:p w:rsidR="00046B29" w:rsidRPr="005B0796" w:rsidRDefault="00046B29" w:rsidP="00BB6C7A">
            <w:pPr>
              <w:pStyle w:val="TableText"/>
              <w:jc w:val="right"/>
              <w:rPr>
                <w:lang w:eastAsia="en-AU"/>
              </w:rPr>
            </w:pPr>
            <w:r w:rsidRPr="005B0796">
              <w:rPr>
                <w:lang w:eastAsia="en-AU"/>
              </w:rPr>
              <w:t>3.3, 19.5</w:t>
            </w:r>
          </w:p>
        </w:tc>
        <w:tc>
          <w:tcPr>
            <w:tcW w:w="1012" w:type="dxa"/>
          </w:tcPr>
          <w:p w:rsidR="00046B29" w:rsidRPr="005B0796" w:rsidRDefault="00046B29" w:rsidP="00BB6C7A">
            <w:pPr>
              <w:pStyle w:val="TableText"/>
              <w:jc w:val="right"/>
              <w:rPr>
                <w:lang w:eastAsia="en-AU"/>
              </w:rPr>
            </w:pPr>
            <w:r w:rsidRPr="005B0796">
              <w:rPr>
                <w:lang w:eastAsia="en-AU"/>
              </w:rPr>
              <w:t>128</w:t>
            </w:r>
          </w:p>
        </w:tc>
        <w:tc>
          <w:tcPr>
            <w:tcW w:w="1012" w:type="dxa"/>
          </w:tcPr>
          <w:p w:rsidR="00046B29" w:rsidRPr="005B0796" w:rsidRDefault="00046B29" w:rsidP="00BB6C7A">
            <w:pPr>
              <w:pStyle w:val="TableText"/>
              <w:jc w:val="right"/>
              <w:rPr>
                <w:lang w:eastAsia="en-AU"/>
              </w:rPr>
            </w:pPr>
            <w:r w:rsidRPr="005B0796">
              <w:rPr>
                <w:lang w:eastAsia="en-AU"/>
              </w:rPr>
              <w:t>4.6</w:t>
            </w:r>
          </w:p>
        </w:tc>
        <w:tc>
          <w:tcPr>
            <w:tcW w:w="1012" w:type="dxa"/>
          </w:tcPr>
          <w:p w:rsidR="00046B29" w:rsidRPr="005B0796" w:rsidRDefault="00046B29" w:rsidP="00BB6C7A">
            <w:pPr>
              <w:pStyle w:val="TableText"/>
              <w:jc w:val="right"/>
              <w:rPr>
                <w:lang w:eastAsia="en-AU"/>
              </w:rPr>
            </w:pPr>
            <w:r w:rsidRPr="005B0796">
              <w:rPr>
                <w:lang w:eastAsia="en-AU"/>
              </w:rPr>
              <w:t>1.0, 19.2</w:t>
            </w:r>
          </w:p>
        </w:tc>
      </w:tr>
      <w:tr w:rsidR="00046B29" w:rsidRPr="005B0796" w:rsidTr="00046B29">
        <w:trPr>
          <w:cnfStyle w:val="000000100000" w:firstRow="0" w:lastRow="0" w:firstColumn="0" w:lastColumn="0" w:oddVBand="0" w:evenVBand="0" w:oddHBand="1" w:evenHBand="0" w:firstRowFirstColumn="0" w:firstRowLastColumn="0" w:lastRowFirstColumn="0" w:lastRowLastColumn="0"/>
        </w:trPr>
        <w:tc>
          <w:tcPr>
            <w:tcW w:w="2401" w:type="dxa"/>
            <w:noWrap/>
          </w:tcPr>
          <w:p w:rsidR="00046B29" w:rsidRPr="005B0796" w:rsidRDefault="00046B29" w:rsidP="00BB6C7A">
            <w:pPr>
              <w:pStyle w:val="TableText"/>
              <w:rPr>
                <w:lang w:eastAsia="en-AU"/>
              </w:rPr>
            </w:pPr>
            <w:r w:rsidRPr="005B0796">
              <w:rPr>
                <w:lang w:eastAsia="en-AU"/>
              </w:rPr>
              <w:t>Any alcohol disorder</w:t>
            </w:r>
          </w:p>
        </w:tc>
        <w:tc>
          <w:tcPr>
            <w:tcW w:w="1011" w:type="dxa"/>
          </w:tcPr>
          <w:p w:rsidR="00046B29" w:rsidRPr="005B0796" w:rsidRDefault="00046B29" w:rsidP="00BB6C7A">
            <w:pPr>
              <w:pStyle w:val="TableText"/>
              <w:jc w:val="right"/>
              <w:rPr>
                <w:lang w:eastAsia="en-AU"/>
              </w:rPr>
            </w:pPr>
            <w:r w:rsidRPr="005B0796">
              <w:rPr>
                <w:lang w:eastAsia="en-AU"/>
              </w:rPr>
              <w:t>764</w:t>
            </w:r>
          </w:p>
        </w:tc>
        <w:tc>
          <w:tcPr>
            <w:tcW w:w="1012" w:type="dxa"/>
          </w:tcPr>
          <w:p w:rsidR="00046B29" w:rsidRPr="005B0796" w:rsidRDefault="00046B29" w:rsidP="00BB6C7A">
            <w:pPr>
              <w:pStyle w:val="TableText"/>
              <w:jc w:val="right"/>
              <w:rPr>
                <w:lang w:eastAsia="en-AU"/>
              </w:rPr>
            </w:pPr>
            <w:r w:rsidRPr="005B0796">
              <w:rPr>
                <w:lang w:eastAsia="en-AU"/>
              </w:rPr>
              <w:t>14.6</w:t>
            </w:r>
          </w:p>
        </w:tc>
        <w:tc>
          <w:tcPr>
            <w:tcW w:w="1012" w:type="dxa"/>
          </w:tcPr>
          <w:p w:rsidR="00046B29" w:rsidRPr="005B0796" w:rsidRDefault="00046B29" w:rsidP="00BB6C7A">
            <w:pPr>
              <w:pStyle w:val="TableText"/>
              <w:jc w:val="right"/>
              <w:rPr>
                <w:lang w:eastAsia="en-AU"/>
              </w:rPr>
            </w:pPr>
            <w:r w:rsidRPr="005B0796">
              <w:rPr>
                <w:lang w:eastAsia="en-AU"/>
              </w:rPr>
              <w:t>8.4, 24.1</w:t>
            </w:r>
          </w:p>
        </w:tc>
        <w:tc>
          <w:tcPr>
            <w:tcW w:w="1012" w:type="dxa"/>
          </w:tcPr>
          <w:p w:rsidR="00046B29" w:rsidRPr="005B0796" w:rsidRDefault="00046B29" w:rsidP="00BB6C7A">
            <w:pPr>
              <w:pStyle w:val="TableText"/>
              <w:jc w:val="right"/>
              <w:rPr>
                <w:lang w:eastAsia="en-AU"/>
              </w:rPr>
            </w:pPr>
            <w:r w:rsidRPr="005B0796">
              <w:rPr>
                <w:lang w:eastAsia="en-AU"/>
              </w:rPr>
              <w:t>534</w:t>
            </w:r>
          </w:p>
        </w:tc>
        <w:tc>
          <w:tcPr>
            <w:tcW w:w="1010" w:type="dxa"/>
          </w:tcPr>
          <w:p w:rsidR="00046B29" w:rsidRPr="005B0796" w:rsidRDefault="00046B29" w:rsidP="00BB6C7A">
            <w:pPr>
              <w:pStyle w:val="TableText"/>
              <w:jc w:val="right"/>
              <w:rPr>
                <w:lang w:eastAsia="en-AU"/>
              </w:rPr>
            </w:pPr>
            <w:r w:rsidRPr="005B0796">
              <w:rPr>
                <w:lang w:eastAsia="en-AU"/>
              </w:rPr>
              <w:t>14.9</w:t>
            </w:r>
          </w:p>
        </w:tc>
        <w:tc>
          <w:tcPr>
            <w:tcW w:w="1012" w:type="dxa"/>
          </w:tcPr>
          <w:p w:rsidR="00046B29" w:rsidRPr="005B0796" w:rsidRDefault="00046B29" w:rsidP="00BB6C7A">
            <w:pPr>
              <w:pStyle w:val="TableText"/>
              <w:jc w:val="right"/>
              <w:rPr>
                <w:lang w:eastAsia="en-AU"/>
              </w:rPr>
            </w:pPr>
            <w:r w:rsidRPr="005B0796">
              <w:rPr>
                <w:lang w:eastAsia="en-AU"/>
              </w:rPr>
              <w:t>7.3, 28.2</w:t>
            </w:r>
          </w:p>
        </w:tc>
        <w:tc>
          <w:tcPr>
            <w:tcW w:w="1012" w:type="dxa"/>
          </w:tcPr>
          <w:p w:rsidR="00046B29" w:rsidRPr="005B0796" w:rsidRDefault="00046B29" w:rsidP="00BB6C7A">
            <w:pPr>
              <w:pStyle w:val="TableText"/>
              <w:jc w:val="right"/>
              <w:rPr>
                <w:lang w:eastAsia="en-AU"/>
              </w:rPr>
            </w:pPr>
            <w:r w:rsidRPr="005B0796">
              <w:rPr>
                <w:lang w:eastAsia="en-AU"/>
              </w:rPr>
              <w:t>189</w:t>
            </w:r>
          </w:p>
        </w:tc>
        <w:tc>
          <w:tcPr>
            <w:tcW w:w="1012" w:type="dxa"/>
          </w:tcPr>
          <w:p w:rsidR="00046B29" w:rsidRPr="005B0796" w:rsidRDefault="00046B29" w:rsidP="00BB6C7A">
            <w:pPr>
              <w:pStyle w:val="TableText"/>
              <w:jc w:val="right"/>
              <w:rPr>
                <w:lang w:eastAsia="en-AU"/>
              </w:rPr>
            </w:pPr>
            <w:r w:rsidRPr="005B0796">
              <w:rPr>
                <w:lang w:eastAsia="en-AU"/>
              </w:rPr>
              <w:t>6.8</w:t>
            </w:r>
          </w:p>
        </w:tc>
        <w:tc>
          <w:tcPr>
            <w:tcW w:w="1012" w:type="dxa"/>
          </w:tcPr>
          <w:p w:rsidR="00046B29" w:rsidRPr="005B0796" w:rsidRDefault="00046B29" w:rsidP="00BB6C7A">
            <w:pPr>
              <w:pStyle w:val="TableText"/>
              <w:jc w:val="right"/>
              <w:rPr>
                <w:lang w:eastAsia="en-AU"/>
              </w:rPr>
            </w:pPr>
            <w:r w:rsidRPr="005B0796">
              <w:rPr>
                <w:lang w:eastAsia="en-AU"/>
              </w:rPr>
              <w:t>2.3, 18.5</w:t>
            </w:r>
          </w:p>
        </w:tc>
      </w:tr>
    </w:tbl>
    <w:p w:rsidR="00CD7866" w:rsidRPr="005B0796" w:rsidRDefault="00CD7866" w:rsidP="00CD7866">
      <w:pPr>
        <w:pStyle w:val="TableNotes"/>
      </w:pPr>
      <w:r w:rsidRPr="005B0796">
        <w:rPr>
          <w:vertAlign w:val="superscript"/>
        </w:rPr>
        <w:t>a</w:t>
      </w:r>
      <w:r w:rsidRPr="005B0796">
        <w:t xml:space="preserve"> 1 year vs &lt; 1 year: OR 4.5, 95% CI 1.1, 17.5</w:t>
      </w:r>
    </w:p>
    <w:p w:rsidR="00CD7866" w:rsidRPr="005B0796" w:rsidRDefault="00CD7866" w:rsidP="00CD7866">
      <w:pPr>
        <w:pStyle w:val="TableNotes"/>
      </w:pPr>
      <w:r w:rsidRPr="005B0796">
        <w:t xml:space="preserve">Note: 95% CI: 95% </w:t>
      </w:r>
      <w:r w:rsidR="00564689" w:rsidRPr="005B0796">
        <w:t>confidence interval</w:t>
      </w:r>
    </w:p>
    <w:p w:rsidR="00930A1E" w:rsidRPr="005B0796" w:rsidRDefault="00930A1E" w:rsidP="00930A1E"/>
    <w:p w:rsidR="00930A1E" w:rsidRPr="005B0796" w:rsidRDefault="00930A1E" w:rsidP="00930A1E">
      <w:pPr>
        <w:sectPr w:rsidR="00930A1E" w:rsidRPr="005B0796" w:rsidSect="00BE66A5">
          <w:headerReference w:type="even" r:id="rId121"/>
          <w:headerReference w:type="default" r:id="rId122"/>
          <w:footerReference w:type="even" r:id="rId123"/>
          <w:footerReference w:type="default" r:id="rId124"/>
          <w:pgSz w:w="14170" w:h="9979" w:orient="landscape" w:code="243"/>
          <w:pgMar w:top="1872" w:right="1440" w:bottom="1152" w:left="1440" w:header="576" w:footer="576" w:gutter="0"/>
          <w:cols w:space="708"/>
          <w:docGrid w:linePitch="360"/>
        </w:sectPr>
      </w:pPr>
    </w:p>
    <w:p w:rsidR="00CD7866" w:rsidRPr="005B0796" w:rsidRDefault="00CD7866" w:rsidP="00700D82">
      <w:pPr>
        <w:pStyle w:val="FigureName"/>
      </w:pPr>
      <w:bookmarkStart w:id="694" w:name="_Ref484521133"/>
      <w:bookmarkStart w:id="695" w:name="_Toc487014378"/>
      <w:bookmarkStart w:id="696" w:name="_Toc51190054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30</w:t>
      </w:r>
      <w:r w:rsidR="00D30A3C">
        <w:rPr>
          <w:noProof/>
        </w:rPr>
        <w:fldChar w:fldCharType="end"/>
      </w:r>
      <w:bookmarkEnd w:id="694"/>
      <w:r w:rsidRPr="005B0796">
        <w:tab/>
        <w:t>Estimated prevalence of 12-month ICD-10 alcohol disorders in Transitioned ADF members, by alcohol disorder type and years since transition</w:t>
      </w:r>
      <w:bookmarkEnd w:id="695"/>
      <w:bookmarkEnd w:id="696"/>
    </w:p>
    <w:tbl>
      <w:tblPr>
        <w:tblW w:w="5000" w:type="pct"/>
        <w:tblLayout w:type="fixed"/>
        <w:tblCellMar>
          <w:left w:w="115" w:type="dxa"/>
          <w:right w:w="115" w:type="dxa"/>
        </w:tblCellMar>
        <w:tblLook w:val="04A0" w:firstRow="1" w:lastRow="0" w:firstColumn="1" w:lastColumn="0" w:noHBand="0" w:noVBand="1"/>
      </w:tblPr>
      <w:tblGrid>
        <w:gridCol w:w="7329"/>
      </w:tblGrid>
      <w:tr w:rsidR="00930A1E" w:rsidRPr="005B0796" w:rsidTr="00CB47B9">
        <w:trPr>
          <w:cantSplit/>
        </w:trPr>
        <w:tc>
          <w:tcPr>
            <w:tcW w:w="7315" w:type="dxa"/>
          </w:tcPr>
          <w:p w:rsidR="00930A1E" w:rsidRPr="005B0796" w:rsidRDefault="00930A1E" w:rsidP="00CB47B9">
            <w:pPr>
              <w:keepNext/>
            </w:pPr>
            <w:r w:rsidRPr="005B0796">
              <w:rPr>
                <w:i/>
                <w:noProof/>
                <w:lang w:eastAsia="en-AU"/>
              </w:rPr>
              <w:drawing>
                <wp:inline distT="0" distB="0" distL="0" distR="0" wp14:anchorId="6AF7826E" wp14:editId="345393EC">
                  <wp:extent cx="4572000" cy="2743200"/>
                  <wp:effectExtent l="0" t="0" r="0" b="0"/>
                  <wp:docPr id="84" name="Chart 84" descr="Figure 4.30 Estimated prevalence of 12-month ICD-10 alcohol disorders in Transitioned ADF members, by alcohol disorder type and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bl>
    <w:p w:rsidR="00CD7866" w:rsidRPr="005B0796" w:rsidRDefault="00CD7866" w:rsidP="00CD7866">
      <w:pPr>
        <w:pStyle w:val="TableNotes"/>
      </w:pPr>
      <w:r w:rsidRPr="005B0796">
        <w:t>Alcohol Dependence: 1 year vs &lt; 1 year: OR 4.5, 95% CI 1.1, 17.5</w:t>
      </w:r>
    </w:p>
    <w:p w:rsidR="00930A1E" w:rsidRPr="005B0796" w:rsidRDefault="00930A1E" w:rsidP="00CB47B9">
      <w:pPr>
        <w:pStyle w:val="Heading4"/>
      </w:pPr>
      <w:r w:rsidRPr="005B0796">
        <w:t>Reason for discharge</w:t>
      </w:r>
    </w:p>
    <w:p w:rsidR="00930A1E" w:rsidRPr="005B0796" w:rsidRDefault="009E72D3" w:rsidP="00CB47B9">
      <w:r w:rsidRPr="005B0796">
        <w:t>Table 4.36</w:t>
      </w:r>
      <w:r w:rsidR="00930A1E" w:rsidRPr="005B0796">
        <w:t xml:space="preserve"> and </w:t>
      </w:r>
      <w:r w:rsidRPr="005B0796">
        <w:t>Figure 4.31</w:t>
      </w:r>
      <w:r w:rsidR="00930A1E" w:rsidRPr="005B0796">
        <w:t xml:space="preserve"> show the estimated prevalence of 12-month alcohol disorders for those with a medical </w:t>
      </w:r>
      <w:r w:rsidR="002B2CFD">
        <w:t xml:space="preserve">discharge </w:t>
      </w:r>
      <w:r w:rsidR="00930A1E" w:rsidRPr="005B0796">
        <w:t xml:space="preserve">compared to other types of discharge. The estimated prevalence of any 12-month alcohol disorder was higher among Transitioned ADF with a medical discharge (20.3%, 95% CI 13.0, 30.2) compared to those with another type of discharge (10.4%, 95% CI 7.1, 15.0), (OR 1.8, 95% CI 0.9, 3.8). While estimated rates of alcohol harmful use were similar between the two groups, </w:t>
      </w:r>
      <w:r w:rsidR="002B2CFD">
        <w:t xml:space="preserve">the </w:t>
      </w:r>
      <w:r w:rsidR="00930A1E" w:rsidRPr="005B0796">
        <w:t>estimated 12-month prevalence of alcohol dependence was also significantly higher among those with a medical discharge (16.6%, 95% CI 10.0, 26.4) compared to others (6.5%, 95% CI 3.9, 10.6), (OR 2.6, 95% CI 1.1, 6.4).</w:t>
      </w:r>
    </w:p>
    <w:p w:rsidR="00930A1E" w:rsidRPr="005B0796" w:rsidRDefault="00930A1E" w:rsidP="00CD7866">
      <w:pPr>
        <w:pStyle w:val="TableName"/>
      </w:pPr>
      <w:bookmarkStart w:id="697" w:name="_Ref484520062"/>
      <w:bookmarkStart w:id="698" w:name="_Toc482023800"/>
      <w:bookmarkStart w:id="699" w:name="_Toc487014287"/>
      <w:bookmarkStart w:id="700" w:name="_Toc492995590"/>
      <w:bookmarkStart w:id="701" w:name="_Toc51190043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36</w:t>
      </w:r>
      <w:r w:rsidR="00D30A3C">
        <w:rPr>
          <w:noProof/>
        </w:rPr>
        <w:fldChar w:fldCharType="end"/>
      </w:r>
      <w:bookmarkEnd w:id="697"/>
      <w:r w:rsidR="00CD7866" w:rsidRPr="005B0796">
        <w:tab/>
      </w:r>
      <w:bookmarkEnd w:id="698"/>
      <w:r w:rsidRPr="005B0796">
        <w:t>Estimated prevalence of 12-month ICD-10 alcohol disorders in Transitioned ADF members, by alcohol disorder type and reason for discharge</w:t>
      </w:r>
      <w:bookmarkEnd w:id="699"/>
      <w:bookmarkEnd w:id="700"/>
      <w:bookmarkEnd w:id="701"/>
    </w:p>
    <w:tbl>
      <w:tblPr>
        <w:tblStyle w:val="TWRPTable"/>
        <w:tblW w:w="5000" w:type="pct"/>
        <w:tblLayout w:type="fixed"/>
        <w:tblLook w:val="04A0" w:firstRow="1" w:lastRow="0" w:firstColumn="1" w:lastColumn="0" w:noHBand="0" w:noVBand="1"/>
        <w:tblDescription w:val="Table 4.36 Estimated prevalence of 12-month ICD-10 alcohol disorders in Transitioned ADF members, by alcohol disorder type and reason for discharge"/>
      </w:tblPr>
      <w:tblGrid>
        <w:gridCol w:w="1908"/>
        <w:gridCol w:w="901"/>
        <w:gridCol w:w="901"/>
        <w:gridCol w:w="901"/>
        <w:gridCol w:w="901"/>
        <w:gridCol w:w="901"/>
        <w:gridCol w:w="902"/>
      </w:tblGrid>
      <w:tr w:rsidR="00930A1E" w:rsidRPr="005B0796" w:rsidTr="00CB47B9">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tcBorders>
              <w:top w:val="single" w:sz="4" w:space="0" w:color="000000"/>
              <w:bottom w:val="nil"/>
            </w:tcBorders>
            <w:noWrap/>
            <w:hideMark/>
          </w:tcPr>
          <w:p w:rsidR="00930A1E" w:rsidRPr="005B0796" w:rsidRDefault="00930A1E" w:rsidP="00CB47B9">
            <w:pPr>
              <w:pStyle w:val="TableText"/>
              <w:rPr>
                <w:b w:val="0"/>
                <w:lang w:eastAsia="en-AU"/>
              </w:rPr>
            </w:pPr>
          </w:p>
        </w:tc>
        <w:tc>
          <w:tcPr>
            <w:tcW w:w="5407" w:type="dxa"/>
            <w:gridSpan w:val="6"/>
            <w:noWrap/>
            <w:hideMark/>
          </w:tcPr>
          <w:p w:rsidR="00930A1E" w:rsidRPr="005B0796" w:rsidRDefault="00930A1E" w:rsidP="00CB47B9">
            <w:pPr>
              <w:pStyle w:val="TableText"/>
              <w:jc w:val="center"/>
              <w:rPr>
                <w:b w:val="0"/>
                <w:lang w:eastAsia="en-AU"/>
              </w:rPr>
            </w:pPr>
            <w:r w:rsidRPr="005B0796">
              <w:rPr>
                <w:lang w:eastAsia="en-AU"/>
              </w:rPr>
              <w:t>Reason for discharge</w:t>
            </w:r>
          </w:p>
        </w:tc>
      </w:tr>
      <w:tr w:rsidR="00930A1E" w:rsidRPr="005B0796" w:rsidTr="00CB47B9">
        <w:trPr>
          <w:cnfStyle w:val="100000000000" w:firstRow="1" w:lastRow="0" w:firstColumn="0" w:lastColumn="0" w:oddVBand="0" w:evenVBand="0" w:oddHBand="0" w:evenHBand="0" w:firstRowFirstColumn="0" w:firstRowLastColumn="0" w:lastRowFirstColumn="0" w:lastRowLastColumn="0"/>
          <w:tblHeader/>
        </w:trPr>
        <w:tc>
          <w:tcPr>
            <w:tcW w:w="1908" w:type="dxa"/>
            <w:vMerge/>
            <w:tcBorders>
              <w:top w:val="nil"/>
              <w:bottom w:val="nil"/>
            </w:tcBorders>
            <w:hideMark/>
          </w:tcPr>
          <w:p w:rsidR="00930A1E" w:rsidRPr="005B0796" w:rsidRDefault="00930A1E" w:rsidP="00CB47B9">
            <w:pPr>
              <w:pStyle w:val="TableText"/>
              <w:rPr>
                <w:b w:val="0"/>
                <w:lang w:eastAsia="en-AU"/>
              </w:rPr>
            </w:pPr>
          </w:p>
        </w:tc>
        <w:tc>
          <w:tcPr>
            <w:tcW w:w="2703" w:type="dxa"/>
            <w:gridSpan w:val="3"/>
            <w:noWrap/>
            <w:hideMark/>
          </w:tcPr>
          <w:p w:rsidR="00930A1E" w:rsidRPr="005B0796" w:rsidRDefault="00930A1E" w:rsidP="00CB47B9">
            <w:pPr>
              <w:pStyle w:val="TableText"/>
              <w:jc w:val="center"/>
              <w:rPr>
                <w:b w:val="0"/>
                <w:lang w:eastAsia="en-AU"/>
              </w:rPr>
            </w:pPr>
            <w:r w:rsidRPr="005B0796">
              <w:rPr>
                <w:lang w:eastAsia="en-AU"/>
              </w:rPr>
              <w:t>Medical (n = 5082)</w:t>
            </w:r>
          </w:p>
        </w:tc>
        <w:tc>
          <w:tcPr>
            <w:tcW w:w="2704" w:type="dxa"/>
            <w:gridSpan w:val="3"/>
            <w:noWrap/>
            <w:hideMark/>
          </w:tcPr>
          <w:p w:rsidR="00930A1E" w:rsidRPr="005B0796" w:rsidRDefault="00930A1E" w:rsidP="00CB47B9">
            <w:pPr>
              <w:pStyle w:val="TableText"/>
              <w:jc w:val="center"/>
              <w:rPr>
                <w:b w:val="0"/>
                <w:lang w:eastAsia="en-AU"/>
              </w:rPr>
            </w:pPr>
            <w:r w:rsidRPr="005B0796">
              <w:rPr>
                <w:lang w:eastAsia="en-AU"/>
              </w:rPr>
              <w:t>Other (n = 19,154)</w:t>
            </w:r>
          </w:p>
        </w:tc>
      </w:tr>
      <w:tr w:rsidR="00930A1E" w:rsidRPr="005B0796" w:rsidTr="00CB47B9">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noWrap/>
            <w:hideMark/>
          </w:tcPr>
          <w:p w:rsidR="00930A1E" w:rsidRPr="005B0796" w:rsidRDefault="00CB47B9" w:rsidP="00CB47B9">
            <w:pPr>
              <w:pStyle w:val="TableText"/>
              <w:rPr>
                <w:b w:val="0"/>
                <w:lang w:eastAsia="en-AU"/>
              </w:rPr>
            </w:pPr>
            <w:r w:rsidRPr="005B0796">
              <w:rPr>
                <w:lang w:eastAsia="en-AU"/>
              </w:rPr>
              <w:t xml:space="preserve">ICD-10 </w:t>
            </w:r>
            <w:r w:rsidR="00C37D89" w:rsidRPr="005B0796">
              <w:rPr>
                <w:lang w:eastAsia="en-AU"/>
              </w:rPr>
              <w:t>alcohol disorder</w:t>
            </w:r>
          </w:p>
        </w:tc>
        <w:tc>
          <w:tcPr>
            <w:tcW w:w="901" w:type="dxa"/>
            <w:noWrap/>
            <w:hideMark/>
          </w:tcPr>
          <w:p w:rsidR="00930A1E" w:rsidRPr="005B0796" w:rsidRDefault="00930A1E" w:rsidP="00CB47B9">
            <w:pPr>
              <w:pStyle w:val="TableText"/>
              <w:jc w:val="right"/>
              <w:rPr>
                <w:b w:val="0"/>
                <w:lang w:eastAsia="en-AU"/>
              </w:rPr>
            </w:pPr>
            <w:r w:rsidRPr="005B0796">
              <w:rPr>
                <w:lang w:eastAsia="en-AU"/>
              </w:rPr>
              <w:t>Weighted n</w:t>
            </w:r>
          </w:p>
        </w:tc>
        <w:tc>
          <w:tcPr>
            <w:tcW w:w="901" w:type="dxa"/>
            <w:hideMark/>
          </w:tcPr>
          <w:p w:rsidR="00930A1E" w:rsidRPr="005B0796" w:rsidRDefault="00930A1E" w:rsidP="00CB47B9">
            <w:pPr>
              <w:pStyle w:val="TableText"/>
              <w:jc w:val="right"/>
              <w:rPr>
                <w:b w:val="0"/>
                <w:lang w:eastAsia="en-AU"/>
              </w:rPr>
            </w:pPr>
            <w:r w:rsidRPr="005B0796">
              <w:rPr>
                <w:lang w:eastAsia="en-AU"/>
              </w:rPr>
              <w:t>%</w:t>
            </w:r>
          </w:p>
        </w:tc>
        <w:tc>
          <w:tcPr>
            <w:tcW w:w="901" w:type="dxa"/>
            <w:hideMark/>
          </w:tcPr>
          <w:p w:rsidR="00930A1E" w:rsidRPr="005B0796" w:rsidRDefault="00930A1E" w:rsidP="00CB47B9">
            <w:pPr>
              <w:pStyle w:val="TableText"/>
              <w:jc w:val="right"/>
              <w:rPr>
                <w:b w:val="0"/>
                <w:lang w:eastAsia="en-AU"/>
              </w:rPr>
            </w:pPr>
            <w:r w:rsidRPr="005B0796">
              <w:rPr>
                <w:lang w:eastAsia="en-AU"/>
              </w:rPr>
              <w:t>95% CI</w:t>
            </w:r>
          </w:p>
        </w:tc>
        <w:tc>
          <w:tcPr>
            <w:tcW w:w="901" w:type="dxa"/>
            <w:noWrap/>
            <w:hideMark/>
          </w:tcPr>
          <w:p w:rsidR="00930A1E" w:rsidRPr="005B0796" w:rsidRDefault="00930A1E" w:rsidP="00CB47B9">
            <w:pPr>
              <w:pStyle w:val="TableText"/>
              <w:jc w:val="right"/>
              <w:rPr>
                <w:b w:val="0"/>
                <w:lang w:eastAsia="en-AU"/>
              </w:rPr>
            </w:pPr>
            <w:r w:rsidRPr="005B0796">
              <w:rPr>
                <w:lang w:eastAsia="en-AU"/>
              </w:rPr>
              <w:t>Weighted n</w:t>
            </w:r>
          </w:p>
        </w:tc>
        <w:tc>
          <w:tcPr>
            <w:tcW w:w="901" w:type="dxa"/>
            <w:hideMark/>
          </w:tcPr>
          <w:p w:rsidR="00930A1E" w:rsidRPr="005B0796" w:rsidRDefault="00930A1E" w:rsidP="00CB47B9">
            <w:pPr>
              <w:pStyle w:val="TableText"/>
              <w:jc w:val="right"/>
              <w:rPr>
                <w:b w:val="0"/>
                <w:lang w:eastAsia="en-AU"/>
              </w:rPr>
            </w:pPr>
            <w:r w:rsidRPr="005B0796">
              <w:rPr>
                <w:lang w:eastAsia="en-AU"/>
              </w:rPr>
              <w:t>%</w:t>
            </w:r>
          </w:p>
        </w:tc>
        <w:tc>
          <w:tcPr>
            <w:tcW w:w="902" w:type="dxa"/>
            <w:hideMark/>
          </w:tcPr>
          <w:p w:rsidR="00930A1E" w:rsidRPr="005B0796" w:rsidRDefault="00930A1E" w:rsidP="00CB47B9">
            <w:pPr>
              <w:pStyle w:val="TableText"/>
              <w:jc w:val="right"/>
              <w:rPr>
                <w:b w:val="0"/>
                <w:lang w:eastAsia="en-AU"/>
              </w:rPr>
            </w:pPr>
            <w:r w:rsidRPr="005B0796">
              <w:rPr>
                <w:lang w:eastAsia="en-AU"/>
              </w:rPr>
              <w:t>95% CI</w:t>
            </w:r>
          </w:p>
        </w:tc>
      </w:tr>
      <w:tr w:rsidR="00CB47B9" w:rsidRPr="005B0796" w:rsidTr="00CB47B9">
        <w:trPr>
          <w:cnfStyle w:val="000000100000" w:firstRow="0" w:lastRow="0" w:firstColumn="0" w:lastColumn="0" w:oddVBand="0" w:evenVBand="0" w:oddHBand="1" w:evenHBand="0" w:firstRowFirstColumn="0" w:firstRowLastColumn="0" w:lastRowFirstColumn="0" w:lastRowLastColumn="0"/>
        </w:trPr>
        <w:tc>
          <w:tcPr>
            <w:tcW w:w="1908" w:type="dxa"/>
            <w:noWrap/>
            <w:hideMark/>
          </w:tcPr>
          <w:p w:rsidR="00930A1E" w:rsidRPr="005B0796" w:rsidRDefault="00930A1E" w:rsidP="00CB47B9">
            <w:pPr>
              <w:pStyle w:val="TableText"/>
              <w:rPr>
                <w:color w:val="000000" w:themeColor="text1"/>
                <w:lang w:eastAsia="en-AU"/>
              </w:rPr>
            </w:pPr>
            <w:r w:rsidRPr="005B0796">
              <w:rPr>
                <w:color w:val="000000" w:themeColor="text1"/>
                <w:lang w:eastAsia="en-AU"/>
              </w:rPr>
              <w:t>Alcohol harmful use</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186</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3.7</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1.3, 9.7</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756</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4.0</w:t>
            </w:r>
          </w:p>
        </w:tc>
        <w:tc>
          <w:tcPr>
            <w:tcW w:w="902"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2.2, 7.1</w:t>
            </w:r>
          </w:p>
        </w:tc>
      </w:tr>
      <w:tr w:rsidR="00930A1E" w:rsidRPr="005B0796" w:rsidTr="00CB47B9">
        <w:tc>
          <w:tcPr>
            <w:tcW w:w="1908" w:type="dxa"/>
            <w:noWrap/>
            <w:hideMark/>
          </w:tcPr>
          <w:p w:rsidR="00930A1E" w:rsidRPr="005B0796" w:rsidRDefault="00930A1E" w:rsidP="00CB47B9">
            <w:pPr>
              <w:pStyle w:val="TableText"/>
              <w:rPr>
                <w:color w:val="000000" w:themeColor="text1"/>
                <w:lang w:eastAsia="en-AU"/>
              </w:rPr>
            </w:pPr>
            <w:r w:rsidRPr="005B0796">
              <w:rPr>
                <w:color w:val="000000" w:themeColor="text1"/>
                <w:lang w:eastAsia="en-AU"/>
              </w:rPr>
              <w:t>Alcohol dependence</w:t>
            </w:r>
            <w:r w:rsidRPr="005B0796">
              <w:rPr>
                <w:color w:val="000000" w:themeColor="text1"/>
                <w:vertAlign w:val="superscript"/>
                <w:lang w:eastAsia="en-AU"/>
              </w:rPr>
              <w:t>a</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844</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16.6</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10.0, 26.4</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1241</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6.5</w:t>
            </w:r>
          </w:p>
        </w:tc>
        <w:tc>
          <w:tcPr>
            <w:tcW w:w="902"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3.9, 10.6</w:t>
            </w:r>
          </w:p>
        </w:tc>
      </w:tr>
      <w:tr w:rsidR="00CB47B9" w:rsidRPr="005B0796" w:rsidTr="00CB47B9">
        <w:trPr>
          <w:cnfStyle w:val="000000100000" w:firstRow="0" w:lastRow="0" w:firstColumn="0" w:lastColumn="0" w:oddVBand="0" w:evenVBand="0" w:oddHBand="1" w:evenHBand="0" w:firstRowFirstColumn="0" w:firstRowLastColumn="0" w:lastRowFirstColumn="0" w:lastRowLastColumn="0"/>
        </w:trPr>
        <w:tc>
          <w:tcPr>
            <w:tcW w:w="1908" w:type="dxa"/>
            <w:hideMark/>
          </w:tcPr>
          <w:p w:rsidR="00930A1E" w:rsidRPr="005B0796" w:rsidRDefault="00930A1E" w:rsidP="00CB47B9">
            <w:pPr>
              <w:pStyle w:val="TableText"/>
              <w:rPr>
                <w:color w:val="000000" w:themeColor="text1"/>
                <w:lang w:eastAsia="en-AU"/>
              </w:rPr>
            </w:pPr>
            <w:r w:rsidRPr="005B0796">
              <w:rPr>
                <w:color w:val="000000" w:themeColor="text1"/>
                <w:lang w:eastAsia="en-AU"/>
              </w:rPr>
              <w:t>Any alcohol disorder</w:t>
            </w:r>
            <w:r w:rsidRPr="005B0796">
              <w:rPr>
                <w:color w:val="000000" w:themeColor="text1"/>
                <w:vertAlign w:val="superscript"/>
                <w:lang w:eastAsia="en-AU"/>
              </w:rPr>
              <w:t>b</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1030</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20.3</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13.0, 30.2</w:t>
            </w:r>
          </w:p>
        </w:tc>
        <w:tc>
          <w:tcPr>
            <w:tcW w:w="901" w:type="dxa"/>
            <w:noWrap/>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1997</w:t>
            </w:r>
          </w:p>
        </w:tc>
        <w:tc>
          <w:tcPr>
            <w:tcW w:w="901"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10.4</w:t>
            </w:r>
          </w:p>
        </w:tc>
        <w:tc>
          <w:tcPr>
            <w:tcW w:w="902" w:type="dxa"/>
            <w:hideMark/>
          </w:tcPr>
          <w:p w:rsidR="00930A1E" w:rsidRPr="005B0796" w:rsidRDefault="00930A1E" w:rsidP="00CB47B9">
            <w:pPr>
              <w:pStyle w:val="TableText"/>
              <w:jc w:val="right"/>
              <w:rPr>
                <w:color w:val="000000" w:themeColor="text1"/>
                <w:lang w:eastAsia="en-AU"/>
              </w:rPr>
            </w:pPr>
            <w:r w:rsidRPr="005B0796">
              <w:rPr>
                <w:color w:val="000000" w:themeColor="text1"/>
                <w:lang w:eastAsia="en-AU"/>
              </w:rPr>
              <w:t>7.1, 15.0</w:t>
            </w:r>
          </w:p>
        </w:tc>
      </w:tr>
    </w:tbl>
    <w:p w:rsidR="00EF46AC" w:rsidRPr="005B0796" w:rsidRDefault="00CD7866" w:rsidP="00CD7866">
      <w:pPr>
        <w:pStyle w:val="TableNotes"/>
      </w:pPr>
      <w:bookmarkStart w:id="702" w:name="_Ref484521132"/>
      <w:bookmarkStart w:id="703" w:name="_Toc487014379"/>
      <w:r w:rsidRPr="005B0796">
        <w:rPr>
          <w:vertAlign w:val="superscript"/>
        </w:rPr>
        <w:t>a</w:t>
      </w:r>
      <w:r w:rsidRPr="005B0796">
        <w:t xml:space="preserve"> medical vs other: OR 2.6, 95% CI 1.1, 6.4</w:t>
      </w:r>
    </w:p>
    <w:p w:rsidR="00EF46AC" w:rsidRPr="005B0796" w:rsidRDefault="00CD7866" w:rsidP="00CD7866">
      <w:pPr>
        <w:pStyle w:val="TableNotes"/>
      </w:pPr>
      <w:r w:rsidRPr="005B0796">
        <w:rPr>
          <w:vertAlign w:val="superscript"/>
        </w:rPr>
        <w:t>b</w:t>
      </w:r>
      <w:r w:rsidRPr="005B0796">
        <w:t xml:space="preserve"> medical vs other: OR 1.8, 95% CI 0.9, 3.8</w:t>
      </w:r>
    </w:p>
    <w:p w:rsidR="00CD7866" w:rsidRPr="005B0796" w:rsidRDefault="00CD7866" w:rsidP="00CD7866">
      <w:pPr>
        <w:pStyle w:val="TableNotes"/>
        <w:rPr>
          <w:rFonts w:cs="Calibri"/>
          <w:bCs/>
        </w:rPr>
      </w:pPr>
      <w:r w:rsidRPr="005B0796">
        <w:rPr>
          <w:rFonts w:cs="Calibri"/>
          <w:bCs/>
        </w:rPr>
        <w:t xml:space="preserve">Note: 95% CI: 95% </w:t>
      </w:r>
      <w:r w:rsidR="00564689" w:rsidRPr="005B0796">
        <w:rPr>
          <w:rFonts w:cs="Calibri"/>
          <w:bCs/>
        </w:rPr>
        <w:t>confidence interval</w:t>
      </w:r>
    </w:p>
    <w:p w:rsidR="00930A1E" w:rsidRPr="005B0796" w:rsidRDefault="00CD7866" w:rsidP="00CD7866">
      <w:pPr>
        <w:pStyle w:val="FigureName"/>
      </w:pPr>
      <w:bookmarkStart w:id="704" w:name="_Ref494281053"/>
      <w:bookmarkStart w:id="705" w:name="_Toc51190054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31</w:t>
      </w:r>
      <w:r w:rsidR="00D30A3C">
        <w:rPr>
          <w:noProof/>
        </w:rPr>
        <w:fldChar w:fldCharType="end"/>
      </w:r>
      <w:bookmarkEnd w:id="702"/>
      <w:bookmarkEnd w:id="704"/>
      <w:r w:rsidRPr="005B0796">
        <w:tab/>
        <w:t>Estimated prevalence of 12-month ICD-10 alcohol disorders in Transitioned ADF members, by alcohol disorder type and reason for discharge</w:t>
      </w:r>
      <w:bookmarkEnd w:id="703"/>
      <w:bookmarkEnd w:id="705"/>
    </w:p>
    <w:tbl>
      <w:tblPr>
        <w:tblW w:w="5000" w:type="pct"/>
        <w:tblLayout w:type="fixed"/>
        <w:tblCellMar>
          <w:left w:w="115" w:type="dxa"/>
          <w:right w:w="115" w:type="dxa"/>
        </w:tblCellMar>
        <w:tblLook w:val="04A0" w:firstRow="1" w:lastRow="0" w:firstColumn="1" w:lastColumn="0" w:noHBand="0" w:noVBand="1"/>
      </w:tblPr>
      <w:tblGrid>
        <w:gridCol w:w="7329"/>
      </w:tblGrid>
      <w:tr w:rsidR="00930A1E" w:rsidRPr="005B0796" w:rsidTr="00CB47B9">
        <w:trPr>
          <w:cantSplit/>
        </w:trPr>
        <w:tc>
          <w:tcPr>
            <w:tcW w:w="7315" w:type="dxa"/>
          </w:tcPr>
          <w:p w:rsidR="00930A1E" w:rsidRPr="005B0796" w:rsidRDefault="00930A1E" w:rsidP="00CB47B9">
            <w:pPr>
              <w:keepNext/>
            </w:pPr>
            <w:r w:rsidRPr="005B0796">
              <w:rPr>
                <w:i/>
                <w:noProof/>
                <w:sz w:val="16"/>
                <w:szCs w:val="16"/>
                <w:lang w:eastAsia="en-AU"/>
              </w:rPr>
              <w:drawing>
                <wp:inline distT="0" distB="0" distL="0" distR="0" wp14:anchorId="055E9609" wp14:editId="18AE8DD2">
                  <wp:extent cx="4572000" cy="2743200"/>
                  <wp:effectExtent l="0" t="0" r="0" b="0"/>
                  <wp:docPr id="85" name="Chart 85" descr="Figure 4.31 Estimated prevalence of 12-month ICD-10 alcohol disorders in Transitioned ADF members, by alcohol disorder type and reason for disch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rsidR="00CD7866" w:rsidRPr="005B0796" w:rsidRDefault="00CD7866" w:rsidP="00CD7866">
      <w:pPr>
        <w:pStyle w:val="TableNotes"/>
        <w:rPr>
          <w:color w:val="000000" w:themeColor="text1"/>
        </w:rPr>
      </w:pPr>
      <w:r w:rsidRPr="005B0796">
        <w:t>Alcohol dependence: Medical versus O</w:t>
      </w:r>
      <w:r w:rsidRPr="005B0796">
        <w:rPr>
          <w:color w:val="000000" w:themeColor="text1"/>
        </w:rPr>
        <w:t>ther: OR 2.6, 95% CI 1.1, 6.4</w:t>
      </w:r>
    </w:p>
    <w:p w:rsidR="00CD7866" w:rsidRPr="005B0796" w:rsidRDefault="00CD7866" w:rsidP="00CD7866">
      <w:pPr>
        <w:pStyle w:val="TableNotes"/>
      </w:pPr>
      <w:r w:rsidRPr="005B0796">
        <w:t>Any alcohol disorder: Medical vs other: OR 1.8, 95% CI 0.9, 3.8</w:t>
      </w:r>
    </w:p>
    <w:p w:rsidR="00930A1E" w:rsidRPr="005B0796" w:rsidRDefault="00930A1E" w:rsidP="00CB47B9">
      <w:pPr>
        <w:pStyle w:val="Heading4"/>
      </w:pPr>
      <w:r w:rsidRPr="005B0796">
        <w:t>DVA status</w:t>
      </w:r>
    </w:p>
    <w:p w:rsidR="00930A1E" w:rsidRPr="005B0796" w:rsidRDefault="009E72D3" w:rsidP="00CB47B9">
      <w:r w:rsidRPr="005B0796">
        <w:t>Table 4.37</w:t>
      </w:r>
      <w:r w:rsidR="00930A1E" w:rsidRPr="005B0796">
        <w:t xml:space="preserve"> and </w:t>
      </w:r>
      <w:r w:rsidRPr="005B0796">
        <w:t>Figure 4.32</w:t>
      </w:r>
      <w:r w:rsidR="00930A1E" w:rsidRPr="005B0796">
        <w:t xml:space="preserve"> show the estimated prevalence of any 12-month alcohol disorder varied according to whether or not the Transitioned ADF were DVA clients. Those who were DVA clients were 2.5 times more likely to meet 12-month ICD-10 criteria for </w:t>
      </w:r>
      <w:r w:rsidR="00462A0C" w:rsidRPr="005B0796">
        <w:t>‘</w:t>
      </w:r>
      <w:r w:rsidR="00930A1E" w:rsidRPr="005B0796">
        <w:t>any alcohol disorder</w:t>
      </w:r>
      <w:r w:rsidR="00462A0C" w:rsidRPr="005B0796">
        <w:t>’</w:t>
      </w:r>
      <w:r w:rsidR="00930A1E" w:rsidRPr="005B0796">
        <w:t xml:space="preserve"> (OR 2.6, 95% CI 1.2, 5.5). While estimated rates of alcohol harmful use were similar across groups, DVA clients were significantly more likely to meet criteria for alcohol dependence compared to non-clients (11.1%, 95% CI 7.9, 17.2), (OR 3.3, 95% CI 1.3, 8.2).</w:t>
      </w:r>
    </w:p>
    <w:p w:rsidR="00930A1E" w:rsidRPr="005B0796" w:rsidRDefault="00930A1E" w:rsidP="00CD7866">
      <w:pPr>
        <w:pStyle w:val="TableName"/>
      </w:pPr>
      <w:bookmarkStart w:id="706" w:name="_Ref484520072"/>
      <w:bookmarkStart w:id="707" w:name="_Toc482023801"/>
      <w:bookmarkStart w:id="708" w:name="_Toc487014288"/>
      <w:bookmarkStart w:id="709" w:name="_Toc492995591"/>
      <w:bookmarkStart w:id="710" w:name="_Toc51190044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37</w:t>
      </w:r>
      <w:r w:rsidR="00D30A3C">
        <w:rPr>
          <w:noProof/>
        </w:rPr>
        <w:fldChar w:fldCharType="end"/>
      </w:r>
      <w:bookmarkEnd w:id="706"/>
      <w:bookmarkEnd w:id="707"/>
      <w:r w:rsidR="00CD7866" w:rsidRPr="005B0796">
        <w:tab/>
      </w:r>
      <w:r w:rsidRPr="005B0796">
        <w:t>Estimated prevalence of 12-month ICD-10 alcohol disorders in Transitioned ADF members, by alcohol disorder type and DVA status</w:t>
      </w:r>
      <w:bookmarkEnd w:id="708"/>
      <w:bookmarkEnd w:id="709"/>
      <w:bookmarkEnd w:id="710"/>
    </w:p>
    <w:tbl>
      <w:tblPr>
        <w:tblStyle w:val="TWRPTable"/>
        <w:tblW w:w="5000" w:type="pct"/>
        <w:tblLayout w:type="fixed"/>
        <w:tblLook w:val="04A0" w:firstRow="1" w:lastRow="0" w:firstColumn="1" w:lastColumn="0" w:noHBand="0" w:noVBand="1"/>
        <w:tblDescription w:val="Table 4.37 Estimated prevalence of 12-month ICD-10 alcohol disorders in Transitioned ADF members, by alcohol disorder type and DVA status"/>
      </w:tblPr>
      <w:tblGrid>
        <w:gridCol w:w="1908"/>
        <w:gridCol w:w="901"/>
        <w:gridCol w:w="901"/>
        <w:gridCol w:w="901"/>
        <w:gridCol w:w="901"/>
        <w:gridCol w:w="901"/>
        <w:gridCol w:w="902"/>
      </w:tblGrid>
      <w:tr w:rsidR="00930A1E" w:rsidRPr="005B0796" w:rsidTr="00CB47B9">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tcBorders>
              <w:top w:val="single" w:sz="4" w:space="0" w:color="000000"/>
              <w:bottom w:val="nil"/>
            </w:tcBorders>
            <w:noWrap/>
            <w:hideMark/>
          </w:tcPr>
          <w:p w:rsidR="00930A1E" w:rsidRPr="005B0796" w:rsidRDefault="00930A1E" w:rsidP="00CB47B9">
            <w:pPr>
              <w:pStyle w:val="TableText"/>
              <w:rPr>
                <w:b w:val="0"/>
                <w:lang w:eastAsia="en-AU"/>
              </w:rPr>
            </w:pPr>
          </w:p>
        </w:tc>
        <w:tc>
          <w:tcPr>
            <w:tcW w:w="5407" w:type="dxa"/>
            <w:gridSpan w:val="6"/>
            <w:noWrap/>
            <w:hideMark/>
          </w:tcPr>
          <w:p w:rsidR="00930A1E" w:rsidRPr="005B0796" w:rsidRDefault="00930A1E" w:rsidP="00CB47B9">
            <w:pPr>
              <w:pStyle w:val="TableText"/>
              <w:jc w:val="center"/>
              <w:rPr>
                <w:b w:val="0"/>
                <w:lang w:eastAsia="en-AU"/>
              </w:rPr>
            </w:pPr>
            <w:r w:rsidRPr="005B0796">
              <w:rPr>
                <w:lang w:eastAsia="en-AU"/>
              </w:rPr>
              <w:t>DVA client</w:t>
            </w:r>
          </w:p>
        </w:tc>
      </w:tr>
      <w:tr w:rsidR="00930A1E" w:rsidRPr="005B0796" w:rsidTr="00CB47B9">
        <w:trPr>
          <w:cnfStyle w:val="100000000000" w:firstRow="1" w:lastRow="0" w:firstColumn="0" w:lastColumn="0" w:oddVBand="0" w:evenVBand="0" w:oddHBand="0" w:evenHBand="0" w:firstRowFirstColumn="0" w:firstRowLastColumn="0" w:lastRowFirstColumn="0" w:lastRowLastColumn="0"/>
          <w:tblHeader/>
        </w:trPr>
        <w:tc>
          <w:tcPr>
            <w:tcW w:w="1908" w:type="dxa"/>
            <w:vMerge/>
            <w:tcBorders>
              <w:top w:val="nil"/>
              <w:bottom w:val="nil"/>
            </w:tcBorders>
            <w:hideMark/>
          </w:tcPr>
          <w:p w:rsidR="00930A1E" w:rsidRPr="005B0796" w:rsidRDefault="00930A1E" w:rsidP="00CB47B9">
            <w:pPr>
              <w:pStyle w:val="TableText"/>
              <w:rPr>
                <w:b w:val="0"/>
                <w:lang w:eastAsia="en-AU"/>
              </w:rPr>
            </w:pPr>
          </w:p>
        </w:tc>
        <w:tc>
          <w:tcPr>
            <w:tcW w:w="2703" w:type="dxa"/>
            <w:gridSpan w:val="3"/>
            <w:noWrap/>
            <w:hideMark/>
          </w:tcPr>
          <w:p w:rsidR="00930A1E" w:rsidRPr="005B0796" w:rsidRDefault="00930A1E" w:rsidP="00CB47B9">
            <w:pPr>
              <w:pStyle w:val="TableText"/>
              <w:jc w:val="center"/>
              <w:rPr>
                <w:b w:val="0"/>
                <w:lang w:eastAsia="en-AU"/>
              </w:rPr>
            </w:pPr>
            <w:r w:rsidRPr="005B0796">
              <w:rPr>
                <w:lang w:eastAsia="en-AU"/>
              </w:rPr>
              <w:t>No (n = 15,605)</w:t>
            </w:r>
          </w:p>
        </w:tc>
        <w:tc>
          <w:tcPr>
            <w:tcW w:w="2704" w:type="dxa"/>
            <w:gridSpan w:val="3"/>
            <w:noWrap/>
            <w:hideMark/>
          </w:tcPr>
          <w:p w:rsidR="00930A1E" w:rsidRPr="005B0796" w:rsidRDefault="00930A1E" w:rsidP="00CB47B9">
            <w:pPr>
              <w:pStyle w:val="TableText"/>
              <w:jc w:val="center"/>
              <w:rPr>
                <w:b w:val="0"/>
                <w:lang w:eastAsia="en-AU"/>
              </w:rPr>
            </w:pPr>
            <w:r w:rsidRPr="005B0796">
              <w:rPr>
                <w:lang w:eastAsia="en-AU"/>
              </w:rPr>
              <w:t>Yes (n = 8774)</w:t>
            </w:r>
          </w:p>
        </w:tc>
      </w:tr>
      <w:tr w:rsidR="00930A1E" w:rsidRPr="005B0796" w:rsidTr="00CB47B9">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noWrap/>
            <w:hideMark/>
          </w:tcPr>
          <w:p w:rsidR="00930A1E" w:rsidRPr="005B0796" w:rsidRDefault="00CB47B9" w:rsidP="00CB47B9">
            <w:pPr>
              <w:pStyle w:val="TableText"/>
              <w:rPr>
                <w:b w:val="0"/>
                <w:lang w:eastAsia="en-AU"/>
              </w:rPr>
            </w:pPr>
            <w:r w:rsidRPr="005B0796">
              <w:rPr>
                <w:lang w:eastAsia="en-AU"/>
              </w:rPr>
              <w:t xml:space="preserve">ICD-10 </w:t>
            </w:r>
            <w:r w:rsidR="00C37D89" w:rsidRPr="005B0796">
              <w:rPr>
                <w:lang w:eastAsia="en-AU"/>
              </w:rPr>
              <w:t>alcohol disorder</w:t>
            </w:r>
          </w:p>
        </w:tc>
        <w:tc>
          <w:tcPr>
            <w:tcW w:w="901" w:type="dxa"/>
            <w:noWrap/>
            <w:hideMark/>
          </w:tcPr>
          <w:p w:rsidR="00930A1E" w:rsidRPr="005B0796" w:rsidRDefault="00930A1E" w:rsidP="00CB47B9">
            <w:pPr>
              <w:pStyle w:val="TableText"/>
              <w:jc w:val="right"/>
              <w:rPr>
                <w:b w:val="0"/>
                <w:lang w:eastAsia="en-AU"/>
              </w:rPr>
            </w:pPr>
            <w:r w:rsidRPr="005B0796">
              <w:rPr>
                <w:lang w:eastAsia="en-AU"/>
              </w:rPr>
              <w:t>Weighted n</w:t>
            </w:r>
          </w:p>
        </w:tc>
        <w:tc>
          <w:tcPr>
            <w:tcW w:w="901" w:type="dxa"/>
            <w:hideMark/>
          </w:tcPr>
          <w:p w:rsidR="00930A1E" w:rsidRPr="005B0796" w:rsidRDefault="00930A1E" w:rsidP="00CB47B9">
            <w:pPr>
              <w:pStyle w:val="TableText"/>
              <w:jc w:val="right"/>
              <w:rPr>
                <w:b w:val="0"/>
                <w:lang w:eastAsia="en-AU"/>
              </w:rPr>
            </w:pPr>
            <w:r w:rsidRPr="005B0796">
              <w:rPr>
                <w:lang w:eastAsia="en-AU"/>
              </w:rPr>
              <w:t>%</w:t>
            </w:r>
          </w:p>
        </w:tc>
        <w:tc>
          <w:tcPr>
            <w:tcW w:w="901" w:type="dxa"/>
            <w:hideMark/>
          </w:tcPr>
          <w:p w:rsidR="00930A1E" w:rsidRPr="005B0796" w:rsidRDefault="00930A1E" w:rsidP="00CB47B9">
            <w:pPr>
              <w:pStyle w:val="TableText"/>
              <w:jc w:val="right"/>
              <w:rPr>
                <w:b w:val="0"/>
                <w:lang w:eastAsia="en-AU"/>
              </w:rPr>
            </w:pPr>
            <w:r w:rsidRPr="005B0796">
              <w:rPr>
                <w:lang w:eastAsia="en-AU"/>
              </w:rPr>
              <w:t>95% CI</w:t>
            </w:r>
          </w:p>
        </w:tc>
        <w:tc>
          <w:tcPr>
            <w:tcW w:w="901" w:type="dxa"/>
            <w:noWrap/>
            <w:hideMark/>
          </w:tcPr>
          <w:p w:rsidR="00930A1E" w:rsidRPr="005B0796" w:rsidRDefault="00930A1E" w:rsidP="00CB47B9">
            <w:pPr>
              <w:pStyle w:val="TableText"/>
              <w:jc w:val="right"/>
              <w:rPr>
                <w:b w:val="0"/>
                <w:lang w:eastAsia="en-AU"/>
              </w:rPr>
            </w:pPr>
            <w:r w:rsidRPr="005B0796">
              <w:rPr>
                <w:lang w:eastAsia="en-AU"/>
              </w:rPr>
              <w:t>Weighted n</w:t>
            </w:r>
          </w:p>
        </w:tc>
        <w:tc>
          <w:tcPr>
            <w:tcW w:w="901" w:type="dxa"/>
            <w:hideMark/>
          </w:tcPr>
          <w:p w:rsidR="00930A1E" w:rsidRPr="005B0796" w:rsidRDefault="00930A1E" w:rsidP="00CB47B9">
            <w:pPr>
              <w:pStyle w:val="TableText"/>
              <w:jc w:val="right"/>
              <w:rPr>
                <w:b w:val="0"/>
                <w:lang w:eastAsia="en-AU"/>
              </w:rPr>
            </w:pPr>
            <w:r w:rsidRPr="005B0796">
              <w:rPr>
                <w:lang w:eastAsia="en-AU"/>
              </w:rPr>
              <w:t>%</w:t>
            </w:r>
          </w:p>
        </w:tc>
        <w:tc>
          <w:tcPr>
            <w:tcW w:w="902" w:type="dxa"/>
            <w:hideMark/>
          </w:tcPr>
          <w:p w:rsidR="00930A1E" w:rsidRPr="005B0796" w:rsidRDefault="00930A1E" w:rsidP="00CB47B9">
            <w:pPr>
              <w:pStyle w:val="TableText"/>
              <w:jc w:val="right"/>
              <w:rPr>
                <w:b w:val="0"/>
                <w:lang w:eastAsia="en-AU"/>
              </w:rPr>
            </w:pPr>
            <w:r w:rsidRPr="005B0796">
              <w:rPr>
                <w:lang w:eastAsia="en-AU"/>
              </w:rPr>
              <w:t>95% CI</w:t>
            </w:r>
          </w:p>
        </w:tc>
      </w:tr>
      <w:tr w:rsidR="00CB47B9" w:rsidRPr="005B0796" w:rsidTr="00CB47B9">
        <w:trPr>
          <w:cnfStyle w:val="000000100000" w:firstRow="0" w:lastRow="0" w:firstColumn="0" w:lastColumn="0" w:oddVBand="0" w:evenVBand="0" w:oddHBand="1" w:evenHBand="0" w:firstRowFirstColumn="0" w:firstRowLastColumn="0" w:lastRowFirstColumn="0" w:lastRowLastColumn="0"/>
        </w:trPr>
        <w:tc>
          <w:tcPr>
            <w:tcW w:w="1908" w:type="dxa"/>
            <w:noWrap/>
            <w:hideMark/>
          </w:tcPr>
          <w:p w:rsidR="00930A1E" w:rsidRPr="005B0796" w:rsidRDefault="00930A1E" w:rsidP="00CB47B9">
            <w:pPr>
              <w:pStyle w:val="TableText"/>
              <w:rPr>
                <w:lang w:eastAsia="en-AU"/>
              </w:rPr>
            </w:pPr>
            <w:r w:rsidRPr="005B0796">
              <w:rPr>
                <w:lang w:eastAsia="en-AU"/>
              </w:rPr>
              <w:t>Alcohol harmful use</w:t>
            </w:r>
          </w:p>
        </w:tc>
        <w:tc>
          <w:tcPr>
            <w:tcW w:w="901" w:type="dxa"/>
            <w:noWrap/>
            <w:hideMark/>
          </w:tcPr>
          <w:p w:rsidR="00930A1E" w:rsidRPr="005B0796" w:rsidRDefault="00930A1E" w:rsidP="00CB47B9">
            <w:pPr>
              <w:pStyle w:val="TableText"/>
              <w:jc w:val="right"/>
              <w:rPr>
                <w:lang w:eastAsia="en-AU"/>
              </w:rPr>
            </w:pPr>
            <w:r w:rsidRPr="005B0796">
              <w:rPr>
                <w:lang w:eastAsia="en-AU"/>
              </w:rPr>
              <w:t>499</w:t>
            </w:r>
          </w:p>
        </w:tc>
        <w:tc>
          <w:tcPr>
            <w:tcW w:w="901" w:type="dxa"/>
            <w:hideMark/>
          </w:tcPr>
          <w:p w:rsidR="00930A1E" w:rsidRPr="005B0796" w:rsidRDefault="00930A1E" w:rsidP="00CB47B9">
            <w:pPr>
              <w:pStyle w:val="TableText"/>
              <w:jc w:val="right"/>
              <w:rPr>
                <w:lang w:eastAsia="en-AU"/>
              </w:rPr>
            </w:pPr>
            <w:r w:rsidRPr="005B0796">
              <w:rPr>
                <w:lang w:eastAsia="en-AU"/>
              </w:rPr>
              <w:t>3.2</w:t>
            </w:r>
          </w:p>
        </w:tc>
        <w:tc>
          <w:tcPr>
            <w:tcW w:w="901" w:type="dxa"/>
            <w:hideMark/>
          </w:tcPr>
          <w:p w:rsidR="00930A1E" w:rsidRPr="005B0796" w:rsidRDefault="00930A1E" w:rsidP="00CB47B9">
            <w:pPr>
              <w:pStyle w:val="TableText"/>
              <w:jc w:val="right"/>
              <w:rPr>
                <w:lang w:eastAsia="en-AU"/>
              </w:rPr>
            </w:pPr>
            <w:r w:rsidRPr="005B0796">
              <w:rPr>
                <w:lang w:eastAsia="en-AU"/>
              </w:rPr>
              <w:t>1.2, 8.1</w:t>
            </w:r>
          </w:p>
        </w:tc>
        <w:tc>
          <w:tcPr>
            <w:tcW w:w="901" w:type="dxa"/>
            <w:noWrap/>
            <w:hideMark/>
          </w:tcPr>
          <w:p w:rsidR="00930A1E" w:rsidRPr="005B0796" w:rsidRDefault="00930A1E" w:rsidP="00CB47B9">
            <w:pPr>
              <w:pStyle w:val="TableText"/>
              <w:jc w:val="right"/>
              <w:rPr>
                <w:lang w:eastAsia="en-AU"/>
              </w:rPr>
            </w:pPr>
            <w:r w:rsidRPr="005B0796">
              <w:rPr>
                <w:lang w:eastAsia="en-AU"/>
              </w:rPr>
              <w:t>360</w:t>
            </w:r>
          </w:p>
        </w:tc>
        <w:tc>
          <w:tcPr>
            <w:tcW w:w="901" w:type="dxa"/>
            <w:hideMark/>
          </w:tcPr>
          <w:p w:rsidR="00930A1E" w:rsidRPr="005B0796" w:rsidRDefault="00930A1E" w:rsidP="00CB47B9">
            <w:pPr>
              <w:pStyle w:val="TableText"/>
              <w:jc w:val="right"/>
              <w:rPr>
                <w:lang w:eastAsia="en-AU"/>
              </w:rPr>
            </w:pPr>
            <w:r w:rsidRPr="005B0796">
              <w:rPr>
                <w:lang w:eastAsia="en-AU"/>
              </w:rPr>
              <w:t>4.1</w:t>
            </w:r>
          </w:p>
        </w:tc>
        <w:tc>
          <w:tcPr>
            <w:tcW w:w="902" w:type="dxa"/>
            <w:hideMark/>
          </w:tcPr>
          <w:p w:rsidR="00930A1E" w:rsidRPr="005B0796" w:rsidRDefault="00930A1E" w:rsidP="00CB47B9">
            <w:pPr>
              <w:pStyle w:val="TableText"/>
              <w:jc w:val="right"/>
              <w:rPr>
                <w:lang w:eastAsia="en-AU"/>
              </w:rPr>
            </w:pPr>
            <w:r w:rsidRPr="005B0796">
              <w:rPr>
                <w:lang w:eastAsia="en-AU"/>
              </w:rPr>
              <w:t>2.2, 7.6</w:t>
            </w:r>
          </w:p>
        </w:tc>
      </w:tr>
      <w:tr w:rsidR="00930A1E" w:rsidRPr="005B0796" w:rsidTr="00CB47B9">
        <w:tc>
          <w:tcPr>
            <w:tcW w:w="1908" w:type="dxa"/>
            <w:noWrap/>
            <w:hideMark/>
          </w:tcPr>
          <w:p w:rsidR="00930A1E" w:rsidRPr="005B0796" w:rsidRDefault="00930A1E" w:rsidP="00CB47B9">
            <w:pPr>
              <w:pStyle w:val="TableText"/>
              <w:rPr>
                <w:lang w:eastAsia="en-AU"/>
              </w:rPr>
            </w:pPr>
            <w:r w:rsidRPr="005B0796">
              <w:rPr>
                <w:lang w:eastAsia="en-AU"/>
              </w:rPr>
              <w:t>Alcohol dependence</w:t>
            </w:r>
            <w:r w:rsidRPr="005B0796">
              <w:rPr>
                <w:vertAlign w:val="superscript"/>
                <w:lang w:eastAsia="en-AU"/>
              </w:rPr>
              <w:t>a</w:t>
            </w:r>
          </w:p>
        </w:tc>
        <w:tc>
          <w:tcPr>
            <w:tcW w:w="901" w:type="dxa"/>
            <w:noWrap/>
            <w:hideMark/>
          </w:tcPr>
          <w:p w:rsidR="00930A1E" w:rsidRPr="005B0796" w:rsidRDefault="00930A1E" w:rsidP="00CB47B9">
            <w:pPr>
              <w:pStyle w:val="TableText"/>
              <w:jc w:val="right"/>
              <w:rPr>
                <w:lang w:eastAsia="en-AU"/>
              </w:rPr>
            </w:pPr>
            <w:r w:rsidRPr="005B0796">
              <w:rPr>
                <w:lang w:eastAsia="en-AU"/>
              </w:rPr>
              <w:t>749</w:t>
            </w:r>
          </w:p>
        </w:tc>
        <w:tc>
          <w:tcPr>
            <w:tcW w:w="901" w:type="dxa"/>
            <w:hideMark/>
          </w:tcPr>
          <w:p w:rsidR="00930A1E" w:rsidRPr="005B0796" w:rsidRDefault="00930A1E" w:rsidP="00CB47B9">
            <w:pPr>
              <w:pStyle w:val="TableText"/>
              <w:jc w:val="right"/>
              <w:rPr>
                <w:lang w:eastAsia="en-AU"/>
              </w:rPr>
            </w:pPr>
            <w:r w:rsidRPr="005B0796">
              <w:rPr>
                <w:lang w:eastAsia="en-AU"/>
              </w:rPr>
              <w:t>4.8</w:t>
            </w:r>
          </w:p>
        </w:tc>
        <w:tc>
          <w:tcPr>
            <w:tcW w:w="901" w:type="dxa"/>
            <w:hideMark/>
          </w:tcPr>
          <w:p w:rsidR="00930A1E" w:rsidRPr="005B0796" w:rsidRDefault="00930A1E" w:rsidP="00CB47B9">
            <w:pPr>
              <w:pStyle w:val="TableText"/>
              <w:jc w:val="right"/>
              <w:rPr>
                <w:lang w:eastAsia="en-AU"/>
              </w:rPr>
            </w:pPr>
            <w:r w:rsidRPr="005B0796">
              <w:rPr>
                <w:lang w:eastAsia="en-AU"/>
              </w:rPr>
              <w:t>2.3, 9.7</w:t>
            </w:r>
          </w:p>
        </w:tc>
        <w:tc>
          <w:tcPr>
            <w:tcW w:w="901" w:type="dxa"/>
            <w:noWrap/>
            <w:hideMark/>
          </w:tcPr>
          <w:p w:rsidR="00930A1E" w:rsidRPr="005B0796" w:rsidRDefault="00930A1E" w:rsidP="00CB47B9">
            <w:pPr>
              <w:pStyle w:val="TableText"/>
              <w:jc w:val="right"/>
              <w:rPr>
                <w:lang w:eastAsia="en-AU"/>
              </w:rPr>
            </w:pPr>
            <w:r w:rsidRPr="005B0796">
              <w:rPr>
                <w:lang w:eastAsia="en-AU"/>
              </w:rPr>
              <w:t>1035</w:t>
            </w:r>
          </w:p>
        </w:tc>
        <w:tc>
          <w:tcPr>
            <w:tcW w:w="901" w:type="dxa"/>
            <w:hideMark/>
          </w:tcPr>
          <w:p w:rsidR="00930A1E" w:rsidRPr="005B0796" w:rsidRDefault="00930A1E" w:rsidP="00CB47B9">
            <w:pPr>
              <w:pStyle w:val="TableText"/>
              <w:jc w:val="right"/>
              <w:rPr>
                <w:lang w:eastAsia="en-AU"/>
              </w:rPr>
            </w:pPr>
            <w:r w:rsidRPr="005B0796">
              <w:rPr>
                <w:lang w:eastAsia="en-AU"/>
              </w:rPr>
              <w:t>11.1</w:t>
            </w:r>
          </w:p>
        </w:tc>
        <w:tc>
          <w:tcPr>
            <w:tcW w:w="902" w:type="dxa"/>
            <w:hideMark/>
          </w:tcPr>
          <w:p w:rsidR="00930A1E" w:rsidRPr="005B0796" w:rsidRDefault="00930A1E" w:rsidP="00CB47B9">
            <w:pPr>
              <w:pStyle w:val="TableText"/>
              <w:jc w:val="right"/>
              <w:rPr>
                <w:lang w:eastAsia="en-AU"/>
              </w:rPr>
            </w:pPr>
            <w:r w:rsidRPr="005B0796">
              <w:rPr>
                <w:lang w:eastAsia="en-AU"/>
              </w:rPr>
              <w:t>7.9, 17.2</w:t>
            </w:r>
          </w:p>
        </w:tc>
      </w:tr>
      <w:tr w:rsidR="00CB47B9" w:rsidRPr="005B0796" w:rsidTr="00CB47B9">
        <w:trPr>
          <w:cnfStyle w:val="000000100000" w:firstRow="0" w:lastRow="0" w:firstColumn="0" w:lastColumn="0" w:oddVBand="0" w:evenVBand="0" w:oddHBand="1" w:evenHBand="0" w:firstRowFirstColumn="0" w:firstRowLastColumn="0" w:lastRowFirstColumn="0" w:lastRowLastColumn="0"/>
        </w:trPr>
        <w:tc>
          <w:tcPr>
            <w:tcW w:w="1908" w:type="dxa"/>
            <w:hideMark/>
          </w:tcPr>
          <w:p w:rsidR="00930A1E" w:rsidRPr="005B0796" w:rsidRDefault="00930A1E" w:rsidP="00CB47B9">
            <w:pPr>
              <w:pStyle w:val="TableText"/>
              <w:rPr>
                <w:lang w:eastAsia="en-AU"/>
              </w:rPr>
            </w:pPr>
            <w:r w:rsidRPr="005B0796">
              <w:rPr>
                <w:lang w:eastAsia="en-AU"/>
              </w:rPr>
              <w:t>Any alcohol disorder</w:t>
            </w:r>
            <w:r w:rsidRPr="005B0796">
              <w:rPr>
                <w:vertAlign w:val="superscript"/>
                <w:lang w:eastAsia="en-AU"/>
              </w:rPr>
              <w:t>b</w:t>
            </w:r>
          </w:p>
        </w:tc>
        <w:tc>
          <w:tcPr>
            <w:tcW w:w="901" w:type="dxa"/>
            <w:noWrap/>
            <w:hideMark/>
          </w:tcPr>
          <w:p w:rsidR="00930A1E" w:rsidRPr="005B0796" w:rsidRDefault="00930A1E" w:rsidP="00CB47B9">
            <w:pPr>
              <w:pStyle w:val="TableText"/>
              <w:jc w:val="right"/>
              <w:rPr>
                <w:lang w:eastAsia="en-AU"/>
              </w:rPr>
            </w:pPr>
            <w:r w:rsidRPr="005B0796">
              <w:rPr>
                <w:lang w:eastAsia="en-AU"/>
              </w:rPr>
              <w:t>1248</w:t>
            </w:r>
          </w:p>
        </w:tc>
        <w:tc>
          <w:tcPr>
            <w:tcW w:w="901" w:type="dxa"/>
            <w:hideMark/>
          </w:tcPr>
          <w:p w:rsidR="00930A1E" w:rsidRPr="005B0796" w:rsidRDefault="00930A1E" w:rsidP="00CB47B9">
            <w:pPr>
              <w:pStyle w:val="TableText"/>
              <w:jc w:val="right"/>
              <w:rPr>
                <w:lang w:eastAsia="en-AU"/>
              </w:rPr>
            </w:pPr>
            <w:r w:rsidRPr="005B0796">
              <w:rPr>
                <w:lang w:eastAsia="en-AU"/>
              </w:rPr>
              <w:t>8.0</w:t>
            </w:r>
          </w:p>
        </w:tc>
        <w:tc>
          <w:tcPr>
            <w:tcW w:w="901" w:type="dxa"/>
            <w:hideMark/>
          </w:tcPr>
          <w:p w:rsidR="00930A1E" w:rsidRPr="005B0796" w:rsidRDefault="00930A1E" w:rsidP="00CB47B9">
            <w:pPr>
              <w:pStyle w:val="TableText"/>
              <w:jc w:val="right"/>
              <w:rPr>
                <w:lang w:eastAsia="en-AU"/>
              </w:rPr>
            </w:pPr>
            <w:r w:rsidRPr="005B0796">
              <w:rPr>
                <w:lang w:eastAsia="en-AU"/>
              </w:rPr>
              <w:t>4.5, 13.9</w:t>
            </w:r>
          </w:p>
        </w:tc>
        <w:tc>
          <w:tcPr>
            <w:tcW w:w="901" w:type="dxa"/>
            <w:noWrap/>
            <w:hideMark/>
          </w:tcPr>
          <w:p w:rsidR="00930A1E" w:rsidRPr="005B0796" w:rsidRDefault="00930A1E" w:rsidP="00CB47B9">
            <w:pPr>
              <w:pStyle w:val="TableText"/>
              <w:jc w:val="right"/>
              <w:rPr>
                <w:lang w:eastAsia="en-AU"/>
              </w:rPr>
            </w:pPr>
            <w:r w:rsidRPr="005B0796">
              <w:rPr>
                <w:lang w:eastAsia="en-AU"/>
              </w:rPr>
              <w:t>1395</w:t>
            </w:r>
          </w:p>
        </w:tc>
        <w:tc>
          <w:tcPr>
            <w:tcW w:w="901" w:type="dxa"/>
            <w:hideMark/>
          </w:tcPr>
          <w:p w:rsidR="00930A1E" w:rsidRPr="005B0796" w:rsidRDefault="00930A1E" w:rsidP="00CB47B9">
            <w:pPr>
              <w:pStyle w:val="TableText"/>
              <w:jc w:val="right"/>
              <w:rPr>
                <w:lang w:eastAsia="en-AU"/>
              </w:rPr>
            </w:pPr>
            <w:r w:rsidRPr="005B0796">
              <w:rPr>
                <w:lang w:eastAsia="en-AU"/>
              </w:rPr>
              <w:t>15.9</w:t>
            </w:r>
          </w:p>
        </w:tc>
        <w:tc>
          <w:tcPr>
            <w:tcW w:w="902" w:type="dxa"/>
            <w:hideMark/>
          </w:tcPr>
          <w:p w:rsidR="00930A1E" w:rsidRPr="005B0796" w:rsidRDefault="00930A1E" w:rsidP="00CB47B9">
            <w:pPr>
              <w:pStyle w:val="TableText"/>
              <w:jc w:val="right"/>
              <w:rPr>
                <w:lang w:eastAsia="en-AU"/>
              </w:rPr>
            </w:pPr>
            <w:r w:rsidRPr="005B0796">
              <w:rPr>
                <w:lang w:eastAsia="en-AU"/>
              </w:rPr>
              <w:t>11.5, 21.6</w:t>
            </w:r>
          </w:p>
        </w:tc>
      </w:tr>
    </w:tbl>
    <w:p w:rsidR="00CD7866" w:rsidRPr="005B0796" w:rsidRDefault="00CD7866" w:rsidP="00CD7866">
      <w:pPr>
        <w:pStyle w:val="TableNotes"/>
      </w:pPr>
      <w:r w:rsidRPr="005B0796">
        <w:rPr>
          <w:vertAlign w:val="superscript"/>
        </w:rPr>
        <w:t>a</w:t>
      </w:r>
      <w:r w:rsidRPr="005B0796">
        <w:t xml:space="preserve"> DVA client vs Not (OR 3.3, 95% CI 1.3, 8.2.)</w:t>
      </w:r>
    </w:p>
    <w:p w:rsidR="00CD7866" w:rsidRPr="005B0796" w:rsidRDefault="00CD7866" w:rsidP="00CD7866">
      <w:pPr>
        <w:pStyle w:val="TableNotes"/>
      </w:pPr>
      <w:r w:rsidRPr="005B0796">
        <w:rPr>
          <w:vertAlign w:val="superscript"/>
        </w:rPr>
        <w:t>b</w:t>
      </w:r>
      <w:r w:rsidRPr="005B0796">
        <w:t xml:space="preserve"> DVA client vs Not (OR 2.6, 95% CI 1.2, 5.5)</w:t>
      </w:r>
    </w:p>
    <w:p w:rsidR="00CD7866" w:rsidRPr="005B0796" w:rsidRDefault="00CD7866" w:rsidP="00CD7866">
      <w:pPr>
        <w:pStyle w:val="TableNotes"/>
        <w:rPr>
          <w:rFonts w:cs="Calibri"/>
          <w:bCs/>
        </w:rPr>
      </w:pPr>
      <w:r w:rsidRPr="005B0796">
        <w:rPr>
          <w:rFonts w:cs="Calibri"/>
          <w:bCs/>
        </w:rPr>
        <w:t xml:space="preserve">Note: 95% CI: 95% </w:t>
      </w:r>
      <w:r w:rsidR="00564689" w:rsidRPr="005B0796">
        <w:rPr>
          <w:rFonts w:cs="Calibri"/>
          <w:bCs/>
        </w:rPr>
        <w:t>confidence interval</w:t>
      </w:r>
    </w:p>
    <w:p w:rsidR="00CD7866" w:rsidRPr="005B0796" w:rsidRDefault="00CD7866" w:rsidP="00CD7866">
      <w:pPr>
        <w:pStyle w:val="FigureName"/>
      </w:pPr>
      <w:bookmarkStart w:id="711" w:name="_Ref484520614"/>
      <w:bookmarkStart w:id="712" w:name="_Toc482023842"/>
      <w:bookmarkStart w:id="713" w:name="_Toc487014380"/>
      <w:bookmarkStart w:id="714" w:name="_Toc51190054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32</w:t>
      </w:r>
      <w:r w:rsidR="00D30A3C">
        <w:rPr>
          <w:noProof/>
        </w:rPr>
        <w:fldChar w:fldCharType="end"/>
      </w:r>
      <w:bookmarkEnd w:id="711"/>
      <w:r w:rsidRPr="005B0796">
        <w:tab/>
        <w:t>Estimated prevalence of 12-month ICD-10 alcohol disorders in Transitioned ADF members, by alcohol disorder type and DVA status</w:t>
      </w:r>
      <w:bookmarkEnd w:id="712"/>
      <w:bookmarkEnd w:id="713"/>
      <w:bookmarkEnd w:id="714"/>
    </w:p>
    <w:tbl>
      <w:tblPr>
        <w:tblW w:w="5000" w:type="pct"/>
        <w:tblLayout w:type="fixed"/>
        <w:tblCellMar>
          <w:left w:w="115" w:type="dxa"/>
          <w:right w:w="115" w:type="dxa"/>
        </w:tblCellMar>
        <w:tblLook w:val="04A0" w:firstRow="1" w:lastRow="0" w:firstColumn="1" w:lastColumn="0" w:noHBand="0" w:noVBand="1"/>
      </w:tblPr>
      <w:tblGrid>
        <w:gridCol w:w="7329"/>
      </w:tblGrid>
      <w:tr w:rsidR="00930A1E" w:rsidRPr="005B0796" w:rsidTr="00CB47B9">
        <w:trPr>
          <w:cantSplit/>
        </w:trPr>
        <w:tc>
          <w:tcPr>
            <w:tcW w:w="8886" w:type="dxa"/>
          </w:tcPr>
          <w:p w:rsidR="00930A1E" w:rsidRPr="005B0796" w:rsidRDefault="00930A1E" w:rsidP="00CB47B9">
            <w:pPr>
              <w:keepNext/>
            </w:pPr>
            <w:r w:rsidRPr="005B0796">
              <w:rPr>
                <w:i/>
                <w:noProof/>
                <w:lang w:eastAsia="en-AU"/>
              </w:rPr>
              <w:drawing>
                <wp:inline distT="0" distB="0" distL="0" distR="0" wp14:anchorId="7B836DC1" wp14:editId="7C16755A">
                  <wp:extent cx="4572000" cy="2743200"/>
                  <wp:effectExtent l="0" t="0" r="0" b="0"/>
                  <wp:docPr id="86" name="Chart 86" descr="Figure 4.32 Estimated prevalence of 12-month ICD-10 alcohol disorders in Transitioned ADF members, by alcohol disorder type and DVA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bl>
    <w:p w:rsidR="00CD7866" w:rsidRPr="005B0796" w:rsidRDefault="00CD7866" w:rsidP="00CD7866">
      <w:pPr>
        <w:pStyle w:val="TableNotes"/>
      </w:pPr>
      <w:r w:rsidRPr="005B0796">
        <w:t>Alcohol dependence: DVA client vs Not (OR 3.3, 95% CI 1.3, 8.2.)</w:t>
      </w:r>
    </w:p>
    <w:p w:rsidR="00CD7866" w:rsidRPr="005B0796" w:rsidRDefault="00CD7866" w:rsidP="00CD7866">
      <w:pPr>
        <w:pStyle w:val="TableNotes"/>
      </w:pPr>
      <w:r w:rsidRPr="005B0796">
        <w:t>Any alcohol disorder: DVA client vs Not (OR 2.6, 95% CI 1.2, 5.5)</w:t>
      </w:r>
    </w:p>
    <w:p w:rsidR="008F7AA7" w:rsidRPr="005B0796" w:rsidRDefault="008F7AA7" w:rsidP="00CD7866">
      <w:pPr>
        <w:pStyle w:val="Heading2"/>
      </w:pPr>
      <w:bookmarkStart w:id="715" w:name="_Toc482021355"/>
      <w:bookmarkStart w:id="716" w:name="_Toc482024445"/>
      <w:bookmarkStart w:id="717" w:name="_Toc487011206"/>
      <w:bookmarkStart w:id="718" w:name="_Toc494449724"/>
      <w:bookmarkStart w:id="719" w:name="_Toc511900306"/>
      <w:r w:rsidRPr="005B0796">
        <w:t>Estimated prevalence of comorbid mental health conditions in the Transitioned ADF</w:t>
      </w:r>
      <w:bookmarkEnd w:id="715"/>
      <w:bookmarkEnd w:id="716"/>
      <w:bookmarkEnd w:id="717"/>
      <w:bookmarkEnd w:id="718"/>
      <w:bookmarkEnd w:id="719"/>
    </w:p>
    <w:p w:rsidR="00CD7866" w:rsidRPr="005B0796" w:rsidRDefault="00CD7866" w:rsidP="001828B4">
      <w:pPr>
        <w:pStyle w:val="ShadedBullet"/>
        <w:keepNext/>
      </w:pPr>
      <w:r w:rsidRPr="005B0796">
        <w:t>54.2% of the Transitioned ADF had no 12-month ICD-10 disorder.</w:t>
      </w:r>
    </w:p>
    <w:p w:rsidR="00CD7866" w:rsidRPr="005B0796" w:rsidRDefault="00CD7866" w:rsidP="001828B4">
      <w:pPr>
        <w:pStyle w:val="ShadedBullet"/>
        <w:keepNext/>
      </w:pPr>
      <w:r w:rsidRPr="005B0796">
        <w:t>Of the 45.8% of the Transitioned ADF with a disorder in the last 12 months</w:t>
      </w:r>
      <w:r w:rsidR="002B2CFD">
        <w:t>,</w:t>
      </w:r>
      <w:r w:rsidRPr="005B0796">
        <w:t xml:space="preserve"> more than half (55%) had at least one comorbid disorder.</w:t>
      </w:r>
    </w:p>
    <w:p w:rsidR="00CD7866" w:rsidRPr="005B0796" w:rsidRDefault="00CD7866" w:rsidP="00CD7866">
      <w:pPr>
        <w:pStyle w:val="ShadedBullet"/>
      </w:pPr>
      <w:r w:rsidRPr="005B0796">
        <w:t xml:space="preserve">15.2% of the Transitioned ADF met criteria for </w:t>
      </w:r>
      <w:r w:rsidR="002B2CFD">
        <w:t>two</w:t>
      </w:r>
      <w:r w:rsidRPr="005B0796">
        <w:t xml:space="preserve"> mental disorder classes. </w:t>
      </w:r>
    </w:p>
    <w:p w:rsidR="00CD7866" w:rsidRPr="005B0796" w:rsidRDefault="00CD7866" w:rsidP="00CD7866">
      <w:pPr>
        <w:pStyle w:val="ShadedBullet"/>
      </w:pPr>
      <w:r w:rsidRPr="005B0796">
        <w:t xml:space="preserve">10.1% of the Transitioned ADF met criteria for </w:t>
      </w:r>
      <w:r w:rsidR="002B2CFD">
        <w:t>three</w:t>
      </w:r>
      <w:r w:rsidRPr="005B0796">
        <w:t xml:space="preserve"> or more mental disorder classes.</w:t>
      </w:r>
    </w:p>
    <w:p w:rsidR="00CD7866" w:rsidRPr="005B0796" w:rsidRDefault="00CD7866" w:rsidP="00CD7866">
      <w:pPr>
        <w:pStyle w:val="ShadedBullet"/>
      </w:pPr>
      <w:r w:rsidRPr="005B0796">
        <w:t>Anxiety and affective disorders were the most common comorbid disorders.</w:t>
      </w:r>
    </w:p>
    <w:p w:rsidR="00CD7866" w:rsidRPr="005B0796" w:rsidRDefault="00CD7866" w:rsidP="00CD7866">
      <w:pPr>
        <w:pStyle w:val="ShadedBullet"/>
      </w:pPr>
      <w:r w:rsidRPr="005B0796">
        <w:t>More than 80% of those Transitioned ADF with PTSD had another comorbid disorder.</w:t>
      </w:r>
    </w:p>
    <w:p w:rsidR="00CD7866" w:rsidRPr="005B0796" w:rsidRDefault="00CD7866" w:rsidP="00CD7866">
      <w:pPr>
        <w:pStyle w:val="ShadedBullet"/>
      </w:pPr>
      <w:r w:rsidRPr="005B0796">
        <w:t>More than 95% of those Transitioned ADF with an alcohol disorder had another comorbid disorder.</w:t>
      </w:r>
    </w:p>
    <w:p w:rsidR="00CD7866" w:rsidRPr="005B0796" w:rsidRDefault="00CD7866" w:rsidP="00CD7866">
      <w:pPr>
        <w:pStyle w:val="ShadedBoxText"/>
      </w:pPr>
      <w:r w:rsidRPr="005B0796">
        <w:rPr>
          <w:b/>
        </w:rPr>
        <w:t>Glossary:</w:t>
      </w:r>
      <w:r w:rsidRPr="002B2CFD">
        <w:t xml:space="preserve"> r</w:t>
      </w:r>
      <w:r w:rsidRPr="005B0796">
        <w:t>efer to the Glossary of terms for definitions of key terms in this section.</w:t>
      </w:r>
    </w:p>
    <w:p w:rsidR="008F7AA7" w:rsidRPr="005B0796" w:rsidRDefault="008F7AA7" w:rsidP="002B2CFD">
      <w:pPr>
        <w:keepNext/>
        <w:keepLines/>
      </w:pPr>
      <w:r w:rsidRPr="005B0796">
        <w:t xml:space="preserve">The following section examines mental health comorbidity in the Transitioned ADF. First it examines comorbidity between alcohol, affective and other anxiety disorders, and PTSD for the entire cohort. It then examines the transitioned subgroups of Ex-Serving, Inactive Reservists and Active Reservists. </w:t>
      </w:r>
    </w:p>
    <w:p w:rsidR="008F7AA7" w:rsidRPr="005B0796" w:rsidRDefault="008F7AA7" w:rsidP="00CB47B9">
      <w:r w:rsidRPr="005B0796">
        <w:t xml:space="preserve">Comorbidity was defined by grouping the three disorder classes </w:t>
      </w:r>
      <w:r w:rsidR="00462A0C" w:rsidRPr="005B0796">
        <w:t>‘</w:t>
      </w:r>
      <w:r w:rsidRPr="005B0796">
        <w:t>any ICD-10 alcohol disorder</w:t>
      </w:r>
      <w:r w:rsidR="00462A0C" w:rsidRPr="005B0796">
        <w:t>’</w:t>
      </w:r>
      <w:r w:rsidRPr="005B0796">
        <w:t xml:space="preserve">, </w:t>
      </w:r>
      <w:r w:rsidR="00462A0C" w:rsidRPr="005B0796">
        <w:t>‘</w:t>
      </w:r>
      <w:r w:rsidRPr="005B0796">
        <w:t>any ICD-10 affective disorder</w:t>
      </w:r>
      <w:r w:rsidR="00462A0C" w:rsidRPr="005B0796">
        <w:t>’</w:t>
      </w:r>
      <w:r w:rsidRPr="005B0796">
        <w:t xml:space="preserve"> and </w:t>
      </w:r>
      <w:r w:rsidR="00462A0C" w:rsidRPr="005B0796">
        <w:t>‘</w:t>
      </w:r>
      <w:r w:rsidRPr="005B0796">
        <w:t>ICD-10 anxiety disorders (excluding PTSD)</w:t>
      </w:r>
      <w:r w:rsidR="00462A0C" w:rsidRPr="005B0796">
        <w:t>’</w:t>
      </w:r>
      <w:r w:rsidRPr="005B0796">
        <w:t>, and PTSD, according to their co-occurrence. In addition to breaking down the individual patterns of co-occurrence, five categories were defined to represent those with no mental disorder and those with one, two, three or four mental disorder classes.</w:t>
      </w:r>
    </w:p>
    <w:p w:rsidR="008F7AA7" w:rsidRPr="005B0796" w:rsidRDefault="008F7AA7" w:rsidP="00CB47B9">
      <w:pPr>
        <w:pStyle w:val="Heading3"/>
      </w:pPr>
      <w:bookmarkStart w:id="720" w:name="_Toc494449725"/>
      <w:bookmarkStart w:id="721" w:name="_Toc511900307"/>
      <w:r w:rsidRPr="005B0796">
        <w:t>Transitioned ADF population</w:t>
      </w:r>
      <w:bookmarkEnd w:id="720"/>
      <w:bookmarkEnd w:id="721"/>
    </w:p>
    <w:p w:rsidR="008F7AA7" w:rsidRPr="005B0796" w:rsidRDefault="009E72D3" w:rsidP="00CB47B9">
      <w:r w:rsidRPr="005B0796">
        <w:t>Table 4.38</w:t>
      </w:r>
      <w:r w:rsidR="008F7AA7" w:rsidRPr="005B0796">
        <w:t xml:space="preserve"> shows the estimated rates of mental disorder comorbidity for the entire Transitioned ADF. In total, just over half (54.2%, 95% CI 49.5, 58.9) of the Transitioned ADF did not have a 12-month ICD-10 mental disorder. Of the 45.8% with a mental disorder, more than half (55.0%) had at least one comorbid disorder. Approximately 15% of the Transitioned ADF met criteria for two mental disorder classes (33% of those with a mental disorder), while a further 10.1% (22% of those with a mental disorder) met criteria for three or more mental disorder classes. The most common comorbidity was between anxiety (excluding PTSD) and affective disorders (5.7%, 95% CI 3.8, 8.6) (12.2% of those with a mental disorder). An important observation is that only 19.8% (weighted n = 873) of those with PTSD (weighted n = 4408) did not have a comorbid disorder. Similarly, only 1601 (6.5% of participants) met criteria for an affective disorder diagnosis alone.</w:t>
      </w:r>
    </w:p>
    <w:p w:rsidR="008F7AA7" w:rsidRPr="005B0796" w:rsidRDefault="008F7AA7" w:rsidP="00CB47B9">
      <w:r w:rsidRPr="005B0796">
        <w:t xml:space="preserve">Finally, only 501 of the 3219 individuals (15.6%) with an alcohol-related disorder had this problem alone, with alcohol disorder most commonly associated with a diagnosis of both an anxiety and an affective disorder. </w:t>
      </w:r>
    </w:p>
    <w:p w:rsidR="008F7AA7" w:rsidRPr="005B0796" w:rsidRDefault="008F7AA7" w:rsidP="00CD7866">
      <w:pPr>
        <w:pStyle w:val="TableName"/>
      </w:pPr>
      <w:bookmarkStart w:id="722" w:name="_Ref484520082"/>
      <w:bookmarkStart w:id="723" w:name="_Toc482023802"/>
      <w:bookmarkStart w:id="724" w:name="_Toc487014289"/>
      <w:bookmarkStart w:id="725" w:name="_Toc492995592"/>
      <w:bookmarkStart w:id="726" w:name="_Toc51190044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38</w:t>
      </w:r>
      <w:r w:rsidR="00D30A3C">
        <w:rPr>
          <w:noProof/>
        </w:rPr>
        <w:fldChar w:fldCharType="end"/>
      </w:r>
      <w:bookmarkEnd w:id="722"/>
      <w:r w:rsidR="00CD7866" w:rsidRPr="005B0796">
        <w:tab/>
      </w:r>
      <w:r w:rsidRPr="005B0796">
        <w:t>Estimated prevalence n (%) of single and comorbid affective, anxiety (excluding PTSD), PTSD and alcohol disorder in the Transitioned ADF in the last 12 months, using ICD-10 criteria</w:t>
      </w:r>
      <w:bookmarkEnd w:id="723"/>
      <w:bookmarkEnd w:id="724"/>
      <w:bookmarkEnd w:id="725"/>
      <w:bookmarkEnd w:id="726"/>
    </w:p>
    <w:tbl>
      <w:tblPr>
        <w:tblStyle w:val="TWRPTable"/>
        <w:tblW w:w="5000" w:type="pct"/>
        <w:tblLayout w:type="fixed"/>
        <w:tblLook w:val="04A0" w:firstRow="1" w:lastRow="0" w:firstColumn="1" w:lastColumn="0" w:noHBand="0" w:noVBand="1"/>
        <w:tblDescription w:val="Table 4.38 Estimated prevalence n (%) of single and comorbid affective, anxiety (excluding PTSD), PTSD and alcohol disorder in the Transitioned ADF in the last 12 months, using ICD-10 criteria"/>
      </w:tblPr>
      <w:tblGrid>
        <w:gridCol w:w="4338"/>
        <w:gridCol w:w="986"/>
        <w:gridCol w:w="986"/>
        <w:gridCol w:w="986"/>
        <w:gridCol w:w="19"/>
      </w:tblGrid>
      <w:tr w:rsidR="008F7AA7" w:rsidRPr="005B0796" w:rsidTr="00CB47B9">
        <w:trPr>
          <w:cnfStyle w:val="100000000000" w:firstRow="1" w:lastRow="0" w:firstColumn="0" w:lastColumn="0" w:oddVBand="0" w:evenVBand="0" w:oddHBand="0" w:evenHBand="0" w:firstRowFirstColumn="0" w:firstRowLastColumn="0" w:lastRowFirstColumn="0" w:lastRowLastColumn="0"/>
          <w:tblHeader/>
        </w:trPr>
        <w:tc>
          <w:tcPr>
            <w:tcW w:w="4338" w:type="dxa"/>
            <w:tcBorders>
              <w:top w:val="single" w:sz="4" w:space="0" w:color="000000"/>
              <w:bottom w:val="nil"/>
            </w:tcBorders>
            <w:noWrap/>
            <w:hideMark/>
          </w:tcPr>
          <w:p w:rsidR="008F7AA7" w:rsidRPr="005B0796" w:rsidRDefault="008F7AA7" w:rsidP="00CB47B9">
            <w:pPr>
              <w:pStyle w:val="TableText"/>
            </w:pPr>
          </w:p>
        </w:tc>
        <w:tc>
          <w:tcPr>
            <w:tcW w:w="2977" w:type="dxa"/>
            <w:gridSpan w:val="4"/>
            <w:noWrap/>
          </w:tcPr>
          <w:p w:rsidR="008F7AA7" w:rsidRPr="005B0796" w:rsidRDefault="008F7AA7" w:rsidP="00CB47B9">
            <w:pPr>
              <w:pStyle w:val="TableText"/>
              <w:jc w:val="center"/>
            </w:pPr>
            <w:r w:rsidRPr="005B0796">
              <w:t>Total (n = 24,932)</w:t>
            </w:r>
          </w:p>
        </w:tc>
      </w:tr>
      <w:tr w:rsidR="008F7AA7" w:rsidRPr="005B0796" w:rsidTr="00CB47B9">
        <w:trPr>
          <w:gridAfter w:val="1"/>
          <w:cnfStyle w:val="100000000000" w:firstRow="1" w:lastRow="0" w:firstColumn="0" w:lastColumn="0" w:oddVBand="0" w:evenVBand="0" w:oddHBand="0" w:evenHBand="0" w:firstRowFirstColumn="0" w:firstRowLastColumn="0" w:lastRowFirstColumn="0" w:lastRowLastColumn="0"/>
          <w:wAfter w:w="19" w:type="dxa"/>
          <w:tblHeader/>
        </w:trPr>
        <w:tc>
          <w:tcPr>
            <w:tcW w:w="4338" w:type="dxa"/>
            <w:tcBorders>
              <w:top w:val="nil"/>
            </w:tcBorders>
            <w:noWrap/>
          </w:tcPr>
          <w:p w:rsidR="008F7AA7" w:rsidRPr="005B0796" w:rsidRDefault="00CB47B9" w:rsidP="00CB47B9">
            <w:pPr>
              <w:pStyle w:val="TableText"/>
            </w:pPr>
            <w:r w:rsidRPr="005B0796">
              <w:t>ICD-10 mental disorder group</w:t>
            </w:r>
          </w:p>
        </w:tc>
        <w:tc>
          <w:tcPr>
            <w:tcW w:w="986" w:type="dxa"/>
            <w:noWrap/>
            <w:hideMark/>
          </w:tcPr>
          <w:p w:rsidR="008F7AA7" w:rsidRPr="005B0796" w:rsidRDefault="008F7AA7" w:rsidP="00CB47B9">
            <w:pPr>
              <w:pStyle w:val="TableText"/>
              <w:jc w:val="right"/>
            </w:pPr>
            <w:r w:rsidRPr="005B0796">
              <w:rPr>
                <w:rFonts w:eastAsia="Times New Roman"/>
                <w:lang w:eastAsia="en-AU"/>
              </w:rPr>
              <w:t>Weighted n</w:t>
            </w:r>
          </w:p>
        </w:tc>
        <w:tc>
          <w:tcPr>
            <w:tcW w:w="986" w:type="dxa"/>
            <w:hideMark/>
          </w:tcPr>
          <w:p w:rsidR="008F7AA7" w:rsidRPr="005B0796" w:rsidRDefault="008F7AA7" w:rsidP="00CB47B9">
            <w:pPr>
              <w:pStyle w:val="TableText"/>
              <w:jc w:val="right"/>
            </w:pPr>
            <w:r w:rsidRPr="005B0796">
              <w:t>%</w:t>
            </w:r>
          </w:p>
        </w:tc>
        <w:tc>
          <w:tcPr>
            <w:tcW w:w="986" w:type="dxa"/>
            <w:hideMark/>
          </w:tcPr>
          <w:p w:rsidR="008F7AA7" w:rsidRPr="005B0796" w:rsidRDefault="008F7AA7" w:rsidP="00CB47B9">
            <w:pPr>
              <w:pStyle w:val="TableText"/>
              <w:jc w:val="right"/>
            </w:pPr>
            <w:r w:rsidRPr="005B0796">
              <w:t>95% CI</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No mental disorder</w:t>
            </w:r>
          </w:p>
        </w:tc>
        <w:tc>
          <w:tcPr>
            <w:tcW w:w="986" w:type="dxa"/>
            <w:noWrap/>
            <w:hideMark/>
          </w:tcPr>
          <w:p w:rsidR="008F7AA7" w:rsidRPr="005B0796" w:rsidRDefault="008F7AA7" w:rsidP="00CB47B9">
            <w:pPr>
              <w:pStyle w:val="TableText"/>
              <w:jc w:val="right"/>
            </w:pPr>
            <w:r w:rsidRPr="005B0796">
              <w:t>13,374</w:t>
            </w:r>
          </w:p>
        </w:tc>
        <w:tc>
          <w:tcPr>
            <w:tcW w:w="986" w:type="dxa"/>
            <w:hideMark/>
          </w:tcPr>
          <w:p w:rsidR="008F7AA7" w:rsidRPr="005B0796" w:rsidRDefault="008F7AA7" w:rsidP="00CB47B9">
            <w:pPr>
              <w:pStyle w:val="TableText"/>
              <w:jc w:val="right"/>
            </w:pPr>
            <w:r w:rsidRPr="005B0796">
              <w:t>54.2</w:t>
            </w:r>
          </w:p>
        </w:tc>
        <w:tc>
          <w:tcPr>
            <w:tcW w:w="986" w:type="dxa"/>
            <w:hideMark/>
          </w:tcPr>
          <w:p w:rsidR="008F7AA7" w:rsidRPr="005B0796" w:rsidRDefault="008F7AA7" w:rsidP="00CB47B9">
            <w:pPr>
              <w:pStyle w:val="TableText"/>
              <w:jc w:val="right"/>
            </w:pPr>
            <w:r w:rsidRPr="005B0796">
              <w:t>49.5, 58.9</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Any alcohol disorder only</w:t>
            </w:r>
          </w:p>
        </w:tc>
        <w:tc>
          <w:tcPr>
            <w:tcW w:w="986" w:type="dxa"/>
            <w:noWrap/>
            <w:hideMark/>
          </w:tcPr>
          <w:p w:rsidR="008F7AA7" w:rsidRPr="005B0796" w:rsidRDefault="008F7AA7" w:rsidP="00CB47B9">
            <w:pPr>
              <w:pStyle w:val="TableText"/>
              <w:jc w:val="right"/>
            </w:pPr>
            <w:r w:rsidRPr="005B0796">
              <w:t>501</w:t>
            </w:r>
          </w:p>
        </w:tc>
        <w:tc>
          <w:tcPr>
            <w:tcW w:w="986" w:type="dxa"/>
            <w:hideMark/>
          </w:tcPr>
          <w:p w:rsidR="008F7AA7" w:rsidRPr="005B0796" w:rsidRDefault="008F7AA7" w:rsidP="00CB47B9">
            <w:pPr>
              <w:pStyle w:val="TableText"/>
              <w:jc w:val="right"/>
            </w:pPr>
            <w:r w:rsidRPr="005B0796">
              <w:t>2.0</w:t>
            </w:r>
          </w:p>
        </w:tc>
        <w:tc>
          <w:tcPr>
            <w:tcW w:w="986" w:type="dxa"/>
            <w:hideMark/>
          </w:tcPr>
          <w:p w:rsidR="008F7AA7" w:rsidRPr="005B0796" w:rsidRDefault="008F7AA7" w:rsidP="00CB47B9">
            <w:pPr>
              <w:pStyle w:val="TableText"/>
              <w:jc w:val="right"/>
            </w:pPr>
            <w:r w:rsidRPr="005B0796">
              <w:t>1.0, 3.9</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Any anxiety disorder only (excl. PTSD)</w:t>
            </w:r>
          </w:p>
        </w:tc>
        <w:tc>
          <w:tcPr>
            <w:tcW w:w="986" w:type="dxa"/>
            <w:noWrap/>
            <w:hideMark/>
          </w:tcPr>
          <w:p w:rsidR="008F7AA7" w:rsidRPr="005B0796" w:rsidRDefault="008F7AA7" w:rsidP="00CB47B9">
            <w:pPr>
              <w:pStyle w:val="TableText"/>
              <w:jc w:val="right"/>
            </w:pPr>
            <w:r w:rsidRPr="005B0796">
              <w:t>2084</w:t>
            </w:r>
          </w:p>
        </w:tc>
        <w:tc>
          <w:tcPr>
            <w:tcW w:w="986" w:type="dxa"/>
            <w:hideMark/>
          </w:tcPr>
          <w:p w:rsidR="008F7AA7" w:rsidRPr="005B0796" w:rsidRDefault="008F7AA7" w:rsidP="00CB47B9">
            <w:pPr>
              <w:pStyle w:val="TableText"/>
              <w:jc w:val="right"/>
            </w:pPr>
            <w:r w:rsidRPr="005B0796">
              <w:t>8.4</w:t>
            </w:r>
          </w:p>
        </w:tc>
        <w:tc>
          <w:tcPr>
            <w:tcW w:w="986" w:type="dxa"/>
            <w:hideMark/>
          </w:tcPr>
          <w:p w:rsidR="008F7AA7" w:rsidRPr="005B0796" w:rsidRDefault="008F7AA7" w:rsidP="00CB47B9">
            <w:pPr>
              <w:pStyle w:val="TableText"/>
              <w:jc w:val="right"/>
            </w:pPr>
            <w:r w:rsidRPr="005B0796">
              <w:t>6.5, 10.9</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PTSD only</w:t>
            </w:r>
          </w:p>
        </w:tc>
        <w:tc>
          <w:tcPr>
            <w:tcW w:w="986" w:type="dxa"/>
            <w:noWrap/>
            <w:hideMark/>
          </w:tcPr>
          <w:p w:rsidR="008F7AA7" w:rsidRPr="005B0796" w:rsidRDefault="008F7AA7" w:rsidP="00CB47B9">
            <w:pPr>
              <w:pStyle w:val="TableText"/>
              <w:jc w:val="right"/>
            </w:pPr>
            <w:r w:rsidRPr="005B0796">
              <w:t>873</w:t>
            </w:r>
          </w:p>
        </w:tc>
        <w:tc>
          <w:tcPr>
            <w:tcW w:w="986" w:type="dxa"/>
            <w:hideMark/>
          </w:tcPr>
          <w:p w:rsidR="008F7AA7" w:rsidRPr="005B0796" w:rsidRDefault="008F7AA7" w:rsidP="00CB47B9">
            <w:pPr>
              <w:pStyle w:val="TableText"/>
              <w:jc w:val="right"/>
            </w:pPr>
            <w:r w:rsidRPr="005B0796">
              <w:t>3.5</w:t>
            </w:r>
          </w:p>
        </w:tc>
        <w:tc>
          <w:tcPr>
            <w:tcW w:w="986" w:type="dxa"/>
            <w:hideMark/>
          </w:tcPr>
          <w:p w:rsidR="008F7AA7" w:rsidRPr="005B0796" w:rsidRDefault="008F7AA7" w:rsidP="00CB47B9">
            <w:pPr>
              <w:pStyle w:val="TableText"/>
              <w:jc w:val="right"/>
            </w:pPr>
            <w:r w:rsidRPr="005B0796">
              <w:t>2.3, 5.4</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Any affective disorder only</w:t>
            </w:r>
          </w:p>
        </w:tc>
        <w:tc>
          <w:tcPr>
            <w:tcW w:w="986" w:type="dxa"/>
            <w:noWrap/>
            <w:hideMark/>
          </w:tcPr>
          <w:p w:rsidR="008F7AA7" w:rsidRPr="005B0796" w:rsidRDefault="008F7AA7" w:rsidP="00CB47B9">
            <w:pPr>
              <w:pStyle w:val="TableText"/>
              <w:jc w:val="right"/>
            </w:pPr>
            <w:r w:rsidRPr="005B0796">
              <w:t>1601</w:t>
            </w:r>
          </w:p>
        </w:tc>
        <w:tc>
          <w:tcPr>
            <w:tcW w:w="986" w:type="dxa"/>
            <w:hideMark/>
          </w:tcPr>
          <w:p w:rsidR="008F7AA7" w:rsidRPr="005B0796" w:rsidRDefault="008F7AA7" w:rsidP="00CB47B9">
            <w:pPr>
              <w:pStyle w:val="TableText"/>
              <w:jc w:val="right"/>
            </w:pPr>
            <w:r w:rsidRPr="005B0796">
              <w:t>6.5</w:t>
            </w:r>
          </w:p>
        </w:tc>
        <w:tc>
          <w:tcPr>
            <w:tcW w:w="986" w:type="dxa"/>
            <w:hideMark/>
          </w:tcPr>
          <w:p w:rsidR="008F7AA7" w:rsidRPr="005B0796" w:rsidRDefault="008F7AA7" w:rsidP="00CB47B9">
            <w:pPr>
              <w:pStyle w:val="TableText"/>
              <w:jc w:val="right"/>
            </w:pPr>
            <w:r w:rsidRPr="005B0796">
              <w:t>4.4, 9.4</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One mental disorder class</w:t>
            </w:r>
          </w:p>
        </w:tc>
        <w:tc>
          <w:tcPr>
            <w:tcW w:w="986" w:type="dxa"/>
            <w:noWrap/>
            <w:hideMark/>
          </w:tcPr>
          <w:p w:rsidR="008F7AA7" w:rsidRPr="005B0796" w:rsidRDefault="008F7AA7" w:rsidP="00CB47B9">
            <w:pPr>
              <w:pStyle w:val="TableText"/>
              <w:jc w:val="right"/>
            </w:pPr>
            <w:r w:rsidRPr="005B0796">
              <w:t>5059</w:t>
            </w:r>
          </w:p>
        </w:tc>
        <w:tc>
          <w:tcPr>
            <w:tcW w:w="986" w:type="dxa"/>
            <w:hideMark/>
          </w:tcPr>
          <w:p w:rsidR="008F7AA7" w:rsidRPr="005B0796" w:rsidRDefault="008F7AA7" w:rsidP="00CB47B9">
            <w:pPr>
              <w:pStyle w:val="TableText"/>
              <w:jc w:val="right"/>
            </w:pPr>
            <w:r w:rsidRPr="005B0796">
              <w:t>20.4</w:t>
            </w:r>
          </w:p>
        </w:tc>
        <w:tc>
          <w:tcPr>
            <w:tcW w:w="986" w:type="dxa"/>
            <w:hideMark/>
          </w:tcPr>
          <w:p w:rsidR="008F7AA7" w:rsidRPr="005B0796" w:rsidRDefault="008F7AA7" w:rsidP="00CB47B9">
            <w:pPr>
              <w:pStyle w:val="TableText"/>
              <w:jc w:val="right"/>
            </w:pPr>
            <w:r w:rsidRPr="005B0796">
              <w:t>17.1, 24.3</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Any anxiety disorder (excl. PTSD) and any alcohol disorder</w:t>
            </w:r>
          </w:p>
        </w:tc>
        <w:tc>
          <w:tcPr>
            <w:tcW w:w="986" w:type="dxa"/>
            <w:noWrap/>
            <w:hideMark/>
          </w:tcPr>
          <w:p w:rsidR="008F7AA7" w:rsidRPr="005B0796" w:rsidRDefault="008F7AA7" w:rsidP="00CB47B9">
            <w:pPr>
              <w:pStyle w:val="TableText"/>
              <w:jc w:val="right"/>
            </w:pPr>
            <w:r w:rsidRPr="005B0796">
              <w:t>596</w:t>
            </w:r>
          </w:p>
        </w:tc>
        <w:tc>
          <w:tcPr>
            <w:tcW w:w="986" w:type="dxa"/>
            <w:hideMark/>
          </w:tcPr>
          <w:p w:rsidR="008F7AA7" w:rsidRPr="005B0796" w:rsidRDefault="008F7AA7" w:rsidP="00CB47B9">
            <w:pPr>
              <w:pStyle w:val="TableText"/>
              <w:jc w:val="right"/>
            </w:pPr>
            <w:r w:rsidRPr="005B0796">
              <w:t>2.4</w:t>
            </w:r>
          </w:p>
        </w:tc>
        <w:tc>
          <w:tcPr>
            <w:tcW w:w="986" w:type="dxa"/>
            <w:hideMark/>
          </w:tcPr>
          <w:p w:rsidR="008F7AA7" w:rsidRPr="005B0796" w:rsidRDefault="008F7AA7" w:rsidP="00CB47B9">
            <w:pPr>
              <w:pStyle w:val="TableText"/>
              <w:jc w:val="right"/>
            </w:pPr>
            <w:r w:rsidRPr="005B0796">
              <w:t>1.2, 4.8</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Any affective disorder and any alcohol disorder</w:t>
            </w:r>
          </w:p>
        </w:tc>
        <w:tc>
          <w:tcPr>
            <w:tcW w:w="986" w:type="dxa"/>
            <w:noWrap/>
            <w:hideMark/>
          </w:tcPr>
          <w:p w:rsidR="008F7AA7" w:rsidRPr="005B0796" w:rsidRDefault="008F7AA7" w:rsidP="00CB47B9">
            <w:pPr>
              <w:pStyle w:val="TableText"/>
              <w:jc w:val="right"/>
            </w:pPr>
            <w:r w:rsidRPr="005B0796">
              <w:t>224</w:t>
            </w:r>
          </w:p>
        </w:tc>
        <w:tc>
          <w:tcPr>
            <w:tcW w:w="986" w:type="dxa"/>
            <w:hideMark/>
          </w:tcPr>
          <w:p w:rsidR="008F7AA7" w:rsidRPr="005B0796" w:rsidRDefault="008F7AA7" w:rsidP="00CB47B9">
            <w:pPr>
              <w:pStyle w:val="TableText"/>
              <w:jc w:val="right"/>
            </w:pPr>
            <w:r w:rsidRPr="005B0796">
              <w:t>0.9</w:t>
            </w:r>
          </w:p>
        </w:tc>
        <w:tc>
          <w:tcPr>
            <w:tcW w:w="986" w:type="dxa"/>
            <w:hideMark/>
          </w:tcPr>
          <w:p w:rsidR="008F7AA7" w:rsidRPr="005B0796" w:rsidRDefault="008F7AA7" w:rsidP="00CB47B9">
            <w:pPr>
              <w:pStyle w:val="TableText"/>
              <w:jc w:val="right"/>
            </w:pPr>
            <w:r w:rsidRPr="005B0796">
              <w:t>0.3, 2.7</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PTSD and any alcohol disorder</w:t>
            </w:r>
          </w:p>
        </w:tc>
        <w:tc>
          <w:tcPr>
            <w:tcW w:w="986" w:type="dxa"/>
            <w:noWrap/>
            <w:hideMark/>
          </w:tcPr>
          <w:p w:rsidR="008F7AA7" w:rsidRPr="005B0796" w:rsidRDefault="008F7AA7" w:rsidP="00CB47B9">
            <w:pPr>
              <w:pStyle w:val="TableText"/>
              <w:jc w:val="right"/>
            </w:pPr>
            <w:r w:rsidRPr="005B0796">
              <w:t>317</w:t>
            </w:r>
          </w:p>
        </w:tc>
        <w:tc>
          <w:tcPr>
            <w:tcW w:w="986" w:type="dxa"/>
            <w:hideMark/>
          </w:tcPr>
          <w:p w:rsidR="008F7AA7" w:rsidRPr="005B0796" w:rsidRDefault="008F7AA7" w:rsidP="00CB47B9">
            <w:pPr>
              <w:pStyle w:val="TableText"/>
              <w:jc w:val="right"/>
            </w:pPr>
            <w:r w:rsidRPr="005B0796">
              <w:t>1.3</w:t>
            </w:r>
          </w:p>
        </w:tc>
        <w:tc>
          <w:tcPr>
            <w:tcW w:w="986" w:type="dxa"/>
            <w:hideMark/>
          </w:tcPr>
          <w:p w:rsidR="008F7AA7" w:rsidRPr="005B0796" w:rsidRDefault="008F7AA7" w:rsidP="00CB47B9">
            <w:pPr>
              <w:pStyle w:val="TableText"/>
              <w:jc w:val="right"/>
            </w:pPr>
            <w:r w:rsidRPr="005B0796">
              <w:t>0.5, 3.4</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Any anxiety disorder (excl. PTSD) and any affective disorder</w:t>
            </w:r>
          </w:p>
        </w:tc>
        <w:tc>
          <w:tcPr>
            <w:tcW w:w="986" w:type="dxa"/>
            <w:noWrap/>
            <w:hideMark/>
          </w:tcPr>
          <w:p w:rsidR="008F7AA7" w:rsidRPr="005B0796" w:rsidRDefault="008F7AA7" w:rsidP="00CB47B9">
            <w:pPr>
              <w:pStyle w:val="TableText"/>
              <w:jc w:val="right"/>
            </w:pPr>
            <w:r w:rsidRPr="005B0796">
              <w:t>1412</w:t>
            </w:r>
          </w:p>
        </w:tc>
        <w:tc>
          <w:tcPr>
            <w:tcW w:w="986" w:type="dxa"/>
            <w:hideMark/>
          </w:tcPr>
          <w:p w:rsidR="008F7AA7" w:rsidRPr="005B0796" w:rsidRDefault="008F7AA7" w:rsidP="00CB47B9">
            <w:pPr>
              <w:pStyle w:val="TableText"/>
              <w:jc w:val="right"/>
            </w:pPr>
            <w:r w:rsidRPr="005B0796">
              <w:t>5.7</w:t>
            </w:r>
          </w:p>
        </w:tc>
        <w:tc>
          <w:tcPr>
            <w:tcW w:w="986" w:type="dxa"/>
            <w:hideMark/>
          </w:tcPr>
          <w:p w:rsidR="008F7AA7" w:rsidRPr="005B0796" w:rsidRDefault="008F7AA7" w:rsidP="00CB47B9">
            <w:pPr>
              <w:pStyle w:val="TableText"/>
              <w:jc w:val="right"/>
            </w:pPr>
            <w:r w:rsidRPr="005B0796">
              <w:t>3.8, 8.6</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Any anxiety disorder (excl. PTSD) and PTSD</w:t>
            </w:r>
          </w:p>
        </w:tc>
        <w:tc>
          <w:tcPr>
            <w:tcW w:w="986" w:type="dxa"/>
            <w:noWrap/>
            <w:hideMark/>
          </w:tcPr>
          <w:p w:rsidR="008F7AA7" w:rsidRPr="005B0796" w:rsidRDefault="008F7AA7" w:rsidP="00CB47B9">
            <w:pPr>
              <w:pStyle w:val="TableText"/>
              <w:jc w:val="right"/>
            </w:pPr>
            <w:r w:rsidRPr="005B0796">
              <w:t>814</w:t>
            </w:r>
          </w:p>
        </w:tc>
        <w:tc>
          <w:tcPr>
            <w:tcW w:w="986" w:type="dxa"/>
            <w:hideMark/>
          </w:tcPr>
          <w:p w:rsidR="008F7AA7" w:rsidRPr="005B0796" w:rsidRDefault="008F7AA7" w:rsidP="00CB47B9">
            <w:pPr>
              <w:pStyle w:val="TableText"/>
              <w:jc w:val="right"/>
            </w:pPr>
            <w:r w:rsidRPr="005B0796">
              <w:t>3.3</w:t>
            </w:r>
          </w:p>
        </w:tc>
        <w:tc>
          <w:tcPr>
            <w:tcW w:w="986" w:type="dxa"/>
            <w:hideMark/>
          </w:tcPr>
          <w:p w:rsidR="008F7AA7" w:rsidRPr="005B0796" w:rsidRDefault="008F7AA7" w:rsidP="00CB47B9">
            <w:pPr>
              <w:pStyle w:val="TableText"/>
              <w:jc w:val="right"/>
            </w:pPr>
            <w:r w:rsidRPr="005B0796">
              <w:t>2.1, 5.1</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Any affective disorder and PTSD</w:t>
            </w:r>
          </w:p>
        </w:tc>
        <w:tc>
          <w:tcPr>
            <w:tcW w:w="986" w:type="dxa"/>
            <w:noWrap/>
            <w:hideMark/>
          </w:tcPr>
          <w:p w:rsidR="008F7AA7" w:rsidRPr="005B0796" w:rsidRDefault="008F7AA7" w:rsidP="00CB47B9">
            <w:pPr>
              <w:pStyle w:val="TableText"/>
              <w:jc w:val="right"/>
            </w:pPr>
            <w:r w:rsidRPr="005B0796">
              <w:t>381</w:t>
            </w:r>
          </w:p>
        </w:tc>
        <w:tc>
          <w:tcPr>
            <w:tcW w:w="986" w:type="dxa"/>
            <w:hideMark/>
          </w:tcPr>
          <w:p w:rsidR="008F7AA7" w:rsidRPr="005B0796" w:rsidRDefault="008F7AA7" w:rsidP="00CB47B9">
            <w:pPr>
              <w:pStyle w:val="TableText"/>
              <w:jc w:val="right"/>
            </w:pPr>
            <w:r w:rsidRPr="005B0796">
              <w:t>1.5</w:t>
            </w:r>
          </w:p>
        </w:tc>
        <w:tc>
          <w:tcPr>
            <w:tcW w:w="986" w:type="dxa"/>
            <w:hideMark/>
          </w:tcPr>
          <w:p w:rsidR="008F7AA7" w:rsidRPr="005B0796" w:rsidRDefault="008F7AA7" w:rsidP="00CB47B9">
            <w:pPr>
              <w:pStyle w:val="TableText"/>
              <w:jc w:val="right"/>
            </w:pPr>
            <w:r w:rsidRPr="005B0796">
              <w:t>0.7, 3.3</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Two mental disorder classes</w:t>
            </w:r>
          </w:p>
        </w:tc>
        <w:tc>
          <w:tcPr>
            <w:tcW w:w="986" w:type="dxa"/>
            <w:noWrap/>
            <w:hideMark/>
          </w:tcPr>
          <w:p w:rsidR="008F7AA7" w:rsidRPr="005B0796" w:rsidRDefault="008F7AA7" w:rsidP="00CB47B9">
            <w:pPr>
              <w:pStyle w:val="TableText"/>
              <w:jc w:val="right"/>
            </w:pPr>
            <w:r w:rsidRPr="005B0796">
              <w:t>3744</w:t>
            </w:r>
          </w:p>
        </w:tc>
        <w:tc>
          <w:tcPr>
            <w:tcW w:w="986" w:type="dxa"/>
            <w:hideMark/>
          </w:tcPr>
          <w:p w:rsidR="008F7AA7" w:rsidRPr="005B0796" w:rsidRDefault="008F7AA7" w:rsidP="00CB47B9">
            <w:pPr>
              <w:pStyle w:val="TableText"/>
              <w:jc w:val="right"/>
            </w:pPr>
            <w:r w:rsidRPr="005B0796">
              <w:t>15.1</w:t>
            </w:r>
          </w:p>
        </w:tc>
        <w:tc>
          <w:tcPr>
            <w:tcW w:w="986" w:type="dxa"/>
            <w:hideMark/>
          </w:tcPr>
          <w:p w:rsidR="008F7AA7" w:rsidRPr="005B0796" w:rsidRDefault="008F7AA7" w:rsidP="00CB47B9">
            <w:pPr>
              <w:pStyle w:val="TableText"/>
              <w:jc w:val="right"/>
            </w:pPr>
            <w:r w:rsidRPr="005B0796">
              <w:t>12.0, 19.1</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 xml:space="preserve">Any anxiety disorder (excl. PTSD) and any alcohol disorder and PTSD </w:t>
            </w:r>
          </w:p>
        </w:tc>
        <w:tc>
          <w:tcPr>
            <w:tcW w:w="986" w:type="dxa"/>
            <w:noWrap/>
            <w:hideMark/>
          </w:tcPr>
          <w:p w:rsidR="008F7AA7" w:rsidRPr="005B0796" w:rsidRDefault="008F7AA7" w:rsidP="00CB47B9">
            <w:pPr>
              <w:pStyle w:val="TableText"/>
              <w:jc w:val="right"/>
            </w:pPr>
            <w:r w:rsidRPr="005B0796">
              <w:t>356</w:t>
            </w:r>
          </w:p>
        </w:tc>
        <w:tc>
          <w:tcPr>
            <w:tcW w:w="986" w:type="dxa"/>
            <w:hideMark/>
          </w:tcPr>
          <w:p w:rsidR="008F7AA7" w:rsidRPr="005B0796" w:rsidRDefault="008F7AA7" w:rsidP="00CB47B9">
            <w:pPr>
              <w:pStyle w:val="TableText"/>
              <w:jc w:val="right"/>
            </w:pPr>
            <w:r w:rsidRPr="005B0796">
              <w:t>1.4</w:t>
            </w:r>
          </w:p>
        </w:tc>
        <w:tc>
          <w:tcPr>
            <w:tcW w:w="986" w:type="dxa"/>
            <w:hideMark/>
          </w:tcPr>
          <w:p w:rsidR="008F7AA7" w:rsidRPr="005B0796" w:rsidRDefault="008F7AA7" w:rsidP="00CB47B9">
            <w:pPr>
              <w:pStyle w:val="TableText"/>
              <w:jc w:val="right"/>
            </w:pPr>
            <w:r w:rsidRPr="005B0796">
              <w:t>0.6, 3.7</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Any anxiety disorder (excl. PTSD) and any alcohol disorder and any affective disorder</w:t>
            </w:r>
          </w:p>
        </w:tc>
        <w:tc>
          <w:tcPr>
            <w:tcW w:w="986" w:type="dxa"/>
            <w:noWrap/>
            <w:hideMark/>
          </w:tcPr>
          <w:p w:rsidR="008F7AA7" w:rsidRPr="005B0796" w:rsidRDefault="008F7AA7" w:rsidP="00CB47B9">
            <w:pPr>
              <w:pStyle w:val="TableText"/>
              <w:jc w:val="right"/>
            </w:pPr>
            <w:r w:rsidRPr="005B0796">
              <w:t>731</w:t>
            </w:r>
          </w:p>
        </w:tc>
        <w:tc>
          <w:tcPr>
            <w:tcW w:w="986" w:type="dxa"/>
            <w:hideMark/>
          </w:tcPr>
          <w:p w:rsidR="008F7AA7" w:rsidRPr="005B0796" w:rsidRDefault="008F7AA7" w:rsidP="00CB47B9">
            <w:pPr>
              <w:pStyle w:val="TableText"/>
              <w:jc w:val="right"/>
            </w:pPr>
            <w:r w:rsidRPr="005B0796">
              <w:t>3.0</w:t>
            </w:r>
          </w:p>
        </w:tc>
        <w:tc>
          <w:tcPr>
            <w:tcW w:w="986" w:type="dxa"/>
            <w:hideMark/>
          </w:tcPr>
          <w:p w:rsidR="008F7AA7" w:rsidRPr="005B0796" w:rsidRDefault="008F7AA7" w:rsidP="00CB47B9">
            <w:pPr>
              <w:pStyle w:val="TableText"/>
              <w:jc w:val="right"/>
            </w:pPr>
            <w:r w:rsidRPr="005B0796">
              <w:t>1.5, 5.7</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Any alcohol disorder and PTSD and any affective disorder</w:t>
            </w:r>
          </w:p>
        </w:tc>
        <w:tc>
          <w:tcPr>
            <w:tcW w:w="986" w:type="dxa"/>
            <w:noWrap/>
            <w:hideMark/>
          </w:tcPr>
          <w:p w:rsidR="008F7AA7" w:rsidRPr="005B0796" w:rsidRDefault="008F7AA7" w:rsidP="00CB47B9">
            <w:pPr>
              <w:pStyle w:val="TableText"/>
              <w:jc w:val="right"/>
            </w:pPr>
            <w:r w:rsidRPr="005B0796">
              <w:t>26</w:t>
            </w:r>
          </w:p>
        </w:tc>
        <w:tc>
          <w:tcPr>
            <w:tcW w:w="986" w:type="dxa"/>
            <w:hideMark/>
          </w:tcPr>
          <w:p w:rsidR="008F7AA7" w:rsidRPr="005B0796" w:rsidRDefault="008F7AA7" w:rsidP="00CB47B9">
            <w:pPr>
              <w:pStyle w:val="TableText"/>
              <w:jc w:val="right"/>
            </w:pPr>
            <w:r w:rsidRPr="005B0796">
              <w:t>0.1</w:t>
            </w:r>
          </w:p>
        </w:tc>
        <w:tc>
          <w:tcPr>
            <w:tcW w:w="986" w:type="dxa"/>
            <w:hideMark/>
          </w:tcPr>
          <w:p w:rsidR="008F7AA7" w:rsidRPr="005B0796" w:rsidRDefault="008F7AA7" w:rsidP="00CB47B9">
            <w:pPr>
              <w:pStyle w:val="TableText"/>
              <w:jc w:val="right"/>
            </w:pPr>
            <w:r w:rsidRPr="005B0796">
              <w:t>0.0, 0.4</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Any anxiety disorder (excl. PTSD) and PTSD and any affective disorder</w:t>
            </w:r>
          </w:p>
        </w:tc>
        <w:tc>
          <w:tcPr>
            <w:tcW w:w="986" w:type="dxa"/>
            <w:noWrap/>
            <w:hideMark/>
          </w:tcPr>
          <w:p w:rsidR="008F7AA7" w:rsidRPr="005B0796" w:rsidRDefault="008F7AA7" w:rsidP="00CB47B9">
            <w:pPr>
              <w:pStyle w:val="TableText"/>
              <w:jc w:val="right"/>
            </w:pPr>
            <w:r w:rsidRPr="005B0796">
              <w:t>912</w:t>
            </w:r>
          </w:p>
        </w:tc>
        <w:tc>
          <w:tcPr>
            <w:tcW w:w="986" w:type="dxa"/>
            <w:hideMark/>
          </w:tcPr>
          <w:p w:rsidR="008F7AA7" w:rsidRPr="005B0796" w:rsidRDefault="008F7AA7" w:rsidP="00CB47B9">
            <w:pPr>
              <w:pStyle w:val="TableText"/>
              <w:jc w:val="right"/>
            </w:pPr>
            <w:r w:rsidRPr="005B0796">
              <w:t>3.7</w:t>
            </w:r>
          </w:p>
        </w:tc>
        <w:tc>
          <w:tcPr>
            <w:tcW w:w="986" w:type="dxa"/>
            <w:hideMark/>
          </w:tcPr>
          <w:p w:rsidR="008F7AA7" w:rsidRPr="005B0796" w:rsidRDefault="008F7AA7" w:rsidP="00CB47B9">
            <w:pPr>
              <w:pStyle w:val="TableText"/>
              <w:jc w:val="right"/>
            </w:pPr>
            <w:r w:rsidRPr="005B0796">
              <w:t>2.3, 5.9</w:t>
            </w:r>
          </w:p>
        </w:tc>
      </w:tr>
      <w:tr w:rsidR="008F7AA7" w:rsidRPr="005B0796" w:rsidTr="00CB47B9">
        <w:trPr>
          <w:gridAfter w:val="1"/>
          <w:wAfter w:w="19" w:type="dxa"/>
        </w:trPr>
        <w:tc>
          <w:tcPr>
            <w:tcW w:w="4338" w:type="dxa"/>
            <w:hideMark/>
          </w:tcPr>
          <w:p w:rsidR="008F7AA7" w:rsidRPr="005B0796" w:rsidRDefault="008F7AA7" w:rsidP="00CB47B9">
            <w:pPr>
              <w:pStyle w:val="TableText"/>
            </w:pPr>
            <w:r w:rsidRPr="005B0796">
              <w:t>Three mental disorder classes</w:t>
            </w:r>
          </w:p>
        </w:tc>
        <w:tc>
          <w:tcPr>
            <w:tcW w:w="986" w:type="dxa"/>
            <w:noWrap/>
            <w:hideMark/>
          </w:tcPr>
          <w:p w:rsidR="008F7AA7" w:rsidRPr="005B0796" w:rsidRDefault="008F7AA7" w:rsidP="00CB47B9">
            <w:pPr>
              <w:pStyle w:val="TableText"/>
              <w:jc w:val="right"/>
            </w:pPr>
            <w:r w:rsidRPr="005B0796">
              <w:t>2025</w:t>
            </w:r>
          </w:p>
        </w:tc>
        <w:tc>
          <w:tcPr>
            <w:tcW w:w="986" w:type="dxa"/>
            <w:hideMark/>
          </w:tcPr>
          <w:p w:rsidR="008F7AA7" w:rsidRPr="005B0796" w:rsidRDefault="008F7AA7" w:rsidP="00CB47B9">
            <w:pPr>
              <w:pStyle w:val="TableText"/>
              <w:jc w:val="right"/>
            </w:pPr>
            <w:r w:rsidRPr="005B0796">
              <w:t>8.2</w:t>
            </w:r>
          </w:p>
        </w:tc>
        <w:tc>
          <w:tcPr>
            <w:tcW w:w="986" w:type="dxa"/>
            <w:hideMark/>
          </w:tcPr>
          <w:p w:rsidR="008F7AA7" w:rsidRPr="005B0796" w:rsidRDefault="008F7AA7" w:rsidP="00CB47B9">
            <w:pPr>
              <w:pStyle w:val="TableText"/>
              <w:jc w:val="right"/>
            </w:pPr>
            <w:r w:rsidRPr="005B0796">
              <w:t>5.7, 11.6</w:t>
            </w:r>
          </w:p>
        </w:tc>
      </w:tr>
      <w:tr w:rsidR="008F7AA7" w:rsidRPr="005B0796" w:rsidTr="00CB47B9">
        <w:trPr>
          <w:gridAfter w:val="1"/>
          <w:cnfStyle w:val="000000100000" w:firstRow="0" w:lastRow="0" w:firstColumn="0" w:lastColumn="0" w:oddVBand="0" w:evenVBand="0" w:oddHBand="1" w:evenHBand="0" w:firstRowFirstColumn="0" w:firstRowLastColumn="0" w:lastRowFirstColumn="0" w:lastRowLastColumn="0"/>
          <w:wAfter w:w="19" w:type="dxa"/>
        </w:trPr>
        <w:tc>
          <w:tcPr>
            <w:tcW w:w="4338" w:type="dxa"/>
            <w:hideMark/>
          </w:tcPr>
          <w:p w:rsidR="008F7AA7" w:rsidRPr="005B0796" w:rsidRDefault="008F7AA7" w:rsidP="00CB47B9">
            <w:pPr>
              <w:pStyle w:val="TableText"/>
            </w:pPr>
            <w:r w:rsidRPr="005B0796">
              <w:t>Four mental disorder classes</w:t>
            </w:r>
          </w:p>
        </w:tc>
        <w:tc>
          <w:tcPr>
            <w:tcW w:w="986" w:type="dxa"/>
            <w:noWrap/>
            <w:hideMark/>
          </w:tcPr>
          <w:p w:rsidR="008F7AA7" w:rsidRPr="005B0796" w:rsidRDefault="008F7AA7" w:rsidP="00CB47B9">
            <w:pPr>
              <w:pStyle w:val="TableText"/>
              <w:jc w:val="right"/>
            </w:pPr>
            <w:r w:rsidRPr="005B0796">
              <w:t>468</w:t>
            </w:r>
          </w:p>
        </w:tc>
        <w:tc>
          <w:tcPr>
            <w:tcW w:w="986" w:type="dxa"/>
            <w:hideMark/>
          </w:tcPr>
          <w:p w:rsidR="008F7AA7" w:rsidRPr="005B0796" w:rsidRDefault="008F7AA7" w:rsidP="00CB47B9">
            <w:pPr>
              <w:pStyle w:val="TableText"/>
              <w:jc w:val="right"/>
            </w:pPr>
            <w:r w:rsidRPr="005B0796">
              <w:t>1.9</w:t>
            </w:r>
          </w:p>
        </w:tc>
        <w:tc>
          <w:tcPr>
            <w:tcW w:w="986" w:type="dxa"/>
            <w:hideMark/>
          </w:tcPr>
          <w:p w:rsidR="008F7AA7" w:rsidRPr="005B0796" w:rsidRDefault="008F7AA7" w:rsidP="00CB47B9">
            <w:pPr>
              <w:pStyle w:val="TableText"/>
              <w:jc w:val="right"/>
            </w:pPr>
            <w:r w:rsidRPr="005B0796">
              <w:t>0.9, 4.0</w:t>
            </w:r>
          </w:p>
        </w:tc>
      </w:tr>
    </w:tbl>
    <w:p w:rsidR="00CD7866" w:rsidRPr="005B0796" w:rsidRDefault="00CD7866" w:rsidP="00CD7866">
      <w:pPr>
        <w:pStyle w:val="TableNotes"/>
      </w:pPr>
      <w:r w:rsidRPr="005B0796">
        <w:t xml:space="preserve">Note: 95% CI: 95% </w:t>
      </w:r>
      <w:r w:rsidR="00564689" w:rsidRPr="005B0796">
        <w:t>confidence interval</w:t>
      </w:r>
    </w:p>
    <w:p w:rsidR="008F7AA7" w:rsidRPr="005B0796" w:rsidRDefault="008F7AA7" w:rsidP="00CB47B9">
      <w:pPr>
        <w:pStyle w:val="Heading3"/>
      </w:pPr>
      <w:bookmarkStart w:id="727" w:name="_Toc494449726"/>
      <w:bookmarkStart w:id="728" w:name="_Toc511900308"/>
      <w:r w:rsidRPr="005B0796">
        <w:t>Transition status</w:t>
      </w:r>
      <w:bookmarkEnd w:id="727"/>
      <w:bookmarkEnd w:id="728"/>
    </w:p>
    <w:p w:rsidR="008F7AA7" w:rsidRPr="005B0796" w:rsidRDefault="009E72D3" w:rsidP="00CB47B9">
      <w:r w:rsidRPr="005B0796">
        <w:t>Table 4.39</w:t>
      </w:r>
      <w:r w:rsidR="008F7AA7" w:rsidRPr="005B0796">
        <w:t xml:space="preserve"> shows the estimated prevalence of comorbidity for the subgroups of the Transitioned ADF. Estimated rates of mental disorder and comorbidity are highest among the Ex-Serving, with 55.9% having at least one mental disorder (compared to 38.3% of Inactive Reservists and 35.8% of Active Reservists). While the percentage of those classified as having </w:t>
      </w:r>
      <w:r w:rsidR="00462A0C" w:rsidRPr="005B0796">
        <w:t>‘</w:t>
      </w:r>
      <w:r w:rsidR="008F7AA7" w:rsidRPr="005B0796">
        <w:t>one mental disorder class</w:t>
      </w:r>
      <w:r w:rsidR="00462A0C" w:rsidRPr="005B0796">
        <w:t>’</w:t>
      </w:r>
      <w:r w:rsidR="008F7AA7" w:rsidRPr="005B0796">
        <w:t xml:space="preserve"> was similar across the three groups (20.4%, 22.3% and 18.6% in the Ex-Serving, Inactive Reservists and Active Reservists respectively), the Ex-Serving had higher rates of </w:t>
      </w:r>
      <w:r w:rsidR="00462A0C" w:rsidRPr="005B0796">
        <w:t>‘</w:t>
      </w:r>
      <w:r w:rsidR="008F7AA7" w:rsidRPr="005B0796">
        <w:t>two mental disorder classes</w:t>
      </w:r>
      <w:r w:rsidR="00462A0C" w:rsidRPr="005B0796">
        <w:t>’</w:t>
      </w:r>
      <w:r w:rsidR="008F7AA7" w:rsidRPr="005B0796">
        <w:t xml:space="preserve">, </w:t>
      </w:r>
      <w:r w:rsidR="00462A0C" w:rsidRPr="005B0796">
        <w:t>‘</w:t>
      </w:r>
      <w:r w:rsidR="008F7AA7" w:rsidRPr="005B0796">
        <w:t>three mental disorder classes</w:t>
      </w:r>
      <w:r w:rsidR="00462A0C" w:rsidRPr="005B0796">
        <w:t>’</w:t>
      </w:r>
      <w:r w:rsidR="008F7AA7" w:rsidRPr="005B0796">
        <w:t xml:space="preserve"> and </w:t>
      </w:r>
      <w:r w:rsidR="00462A0C" w:rsidRPr="005B0796">
        <w:t>‘</w:t>
      </w:r>
      <w:r w:rsidR="008F7AA7" w:rsidRPr="005B0796">
        <w:t>four mental disorder classes</w:t>
      </w:r>
      <w:r w:rsidR="00462A0C" w:rsidRPr="005B0796">
        <w:t>’</w:t>
      </w:r>
      <w:r w:rsidR="008F7AA7" w:rsidRPr="005B0796">
        <w:t>. Of the Ex</w:t>
      </w:r>
      <w:r w:rsidR="008F7AA7" w:rsidRPr="005B0796">
        <w:noBreakHyphen/>
        <w:t>Serving group who met criteria for a mental disorder (n = 4049), 63.4% had more than one mental disorder compared to 41.9% of Inactive Reservists and 48% of Active Reservists. The difference in these estimated rates increased with the more disorder classes identified. For example, among the Ex-Serving, the estimated rates for those classified with two or three mental disorder classes were approximately twice that as o</w:t>
      </w:r>
      <w:r w:rsidR="002B2CFD">
        <w:t>f</w:t>
      </w:r>
      <w:r w:rsidR="008F7AA7" w:rsidRPr="005B0796">
        <w:t xml:space="preserve"> those in the Inactive and Active Reserves, whereas the estimated rate among the Ex-Serving with four mental disorder classes was more than five-fold those in the Inactive and Active Reserves.</w:t>
      </w:r>
    </w:p>
    <w:p w:rsidR="00383C5C" w:rsidRPr="005B0796" w:rsidRDefault="00383C5C" w:rsidP="00383C5C">
      <w:pPr>
        <w:sectPr w:rsidR="00383C5C" w:rsidRPr="005B0796" w:rsidSect="00BE5E98">
          <w:footerReference w:type="even" r:id="rId128"/>
          <w:footerReference w:type="default" r:id="rId129"/>
          <w:pgSz w:w="9979" w:h="14170" w:code="243"/>
          <w:pgMar w:top="1440" w:right="1152" w:bottom="1440" w:left="1728" w:header="576" w:footer="576" w:gutter="0"/>
          <w:cols w:space="708"/>
          <w:docGrid w:linePitch="360"/>
        </w:sectPr>
      </w:pPr>
      <w:bookmarkStart w:id="729" w:name="_Ref484520088"/>
      <w:bookmarkStart w:id="730" w:name="_Toc482023803"/>
      <w:bookmarkStart w:id="731" w:name="_Toc487014290"/>
      <w:bookmarkStart w:id="732" w:name="_Toc492995593"/>
    </w:p>
    <w:p w:rsidR="008F7AA7" w:rsidRPr="005B0796" w:rsidRDefault="008F7AA7" w:rsidP="00CD7866">
      <w:pPr>
        <w:pStyle w:val="TableName"/>
      </w:pPr>
      <w:bookmarkStart w:id="733" w:name="_Ref494281209"/>
      <w:bookmarkStart w:id="734" w:name="_Toc51190044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39</w:t>
      </w:r>
      <w:r w:rsidR="00D30A3C">
        <w:rPr>
          <w:noProof/>
        </w:rPr>
        <w:fldChar w:fldCharType="end"/>
      </w:r>
      <w:bookmarkEnd w:id="729"/>
      <w:bookmarkEnd w:id="733"/>
      <w:r w:rsidR="00CD7866" w:rsidRPr="005B0796">
        <w:tab/>
      </w:r>
      <w:r w:rsidRPr="005B0796">
        <w:t>Estimated prevalence of comorbidity for the subgroups of the Transitioned ADF</w:t>
      </w:r>
      <w:bookmarkEnd w:id="730"/>
      <w:bookmarkEnd w:id="731"/>
      <w:bookmarkEnd w:id="732"/>
      <w:bookmarkEnd w:id="734"/>
    </w:p>
    <w:tbl>
      <w:tblPr>
        <w:tblStyle w:val="TWRPTable"/>
        <w:tblW w:w="5000" w:type="pct"/>
        <w:tblLayout w:type="fixed"/>
        <w:tblLook w:val="04A0" w:firstRow="1" w:lastRow="0" w:firstColumn="1" w:lastColumn="0" w:noHBand="0" w:noVBand="1"/>
        <w:tblDescription w:val="Table 4.39 Estimated prevalence of comorbidity for the subgroups of the Transitioned ADF"/>
      </w:tblPr>
      <w:tblGrid>
        <w:gridCol w:w="3798"/>
        <w:gridCol w:w="856"/>
        <w:gridCol w:w="856"/>
        <w:gridCol w:w="857"/>
        <w:gridCol w:w="856"/>
        <w:gridCol w:w="857"/>
        <w:gridCol w:w="856"/>
        <w:gridCol w:w="857"/>
        <w:gridCol w:w="856"/>
        <w:gridCol w:w="857"/>
      </w:tblGrid>
      <w:tr w:rsidR="008F7AA7" w:rsidRPr="005B0796" w:rsidTr="001828B4">
        <w:trPr>
          <w:cnfStyle w:val="100000000000" w:firstRow="1" w:lastRow="0" w:firstColumn="0" w:lastColumn="0" w:oddVBand="0" w:evenVBand="0" w:oddHBand="0" w:evenHBand="0" w:firstRowFirstColumn="0" w:firstRowLastColumn="0" w:lastRowFirstColumn="0" w:lastRowLastColumn="0"/>
          <w:tblHeader/>
        </w:trPr>
        <w:tc>
          <w:tcPr>
            <w:tcW w:w="3798" w:type="dxa"/>
            <w:tcBorders>
              <w:top w:val="single" w:sz="4" w:space="0" w:color="000000"/>
              <w:bottom w:val="nil"/>
            </w:tcBorders>
            <w:noWrap/>
          </w:tcPr>
          <w:p w:rsidR="008F7AA7" w:rsidRPr="005B0796" w:rsidRDefault="008F7AA7" w:rsidP="00CB47B9">
            <w:pPr>
              <w:pStyle w:val="TableText"/>
            </w:pPr>
          </w:p>
        </w:tc>
        <w:tc>
          <w:tcPr>
            <w:tcW w:w="2569" w:type="dxa"/>
            <w:gridSpan w:val="3"/>
            <w:noWrap/>
            <w:hideMark/>
          </w:tcPr>
          <w:p w:rsidR="008F7AA7" w:rsidRPr="005B0796" w:rsidRDefault="008F7AA7" w:rsidP="00CB47B9">
            <w:pPr>
              <w:pStyle w:val="TableText"/>
              <w:jc w:val="center"/>
              <w:rPr>
                <w:b w:val="0"/>
              </w:rPr>
            </w:pPr>
            <w:r w:rsidRPr="005B0796">
              <w:rPr>
                <w:rFonts w:eastAsia="Times New Roman"/>
                <w:lang w:eastAsia="en-AU"/>
              </w:rPr>
              <w:t xml:space="preserve">Ex-Serving </w:t>
            </w:r>
            <w:r w:rsidRPr="005B0796">
              <w:rPr>
                <w:rFonts w:eastAsia="Times New Roman"/>
                <w:lang w:eastAsia="en-AU"/>
              </w:rPr>
              <w:br/>
              <w:t>(n = 11,440)</w:t>
            </w:r>
          </w:p>
        </w:tc>
        <w:tc>
          <w:tcPr>
            <w:tcW w:w="2569" w:type="dxa"/>
            <w:gridSpan w:val="3"/>
            <w:noWrap/>
            <w:hideMark/>
          </w:tcPr>
          <w:p w:rsidR="008F7AA7" w:rsidRPr="005B0796" w:rsidRDefault="008F7AA7" w:rsidP="00CB47B9">
            <w:pPr>
              <w:pStyle w:val="TableText"/>
              <w:jc w:val="center"/>
              <w:rPr>
                <w:b w:val="0"/>
              </w:rPr>
            </w:pPr>
            <w:r w:rsidRPr="005B0796">
              <w:rPr>
                <w:rFonts w:eastAsia="Times New Roman"/>
                <w:lang w:eastAsia="en-AU"/>
              </w:rPr>
              <w:t xml:space="preserve">Inactive Reservists </w:t>
            </w:r>
            <w:r w:rsidRPr="005B0796">
              <w:rPr>
                <w:rFonts w:eastAsia="Times New Roman"/>
                <w:lang w:eastAsia="en-AU"/>
              </w:rPr>
              <w:br/>
              <w:t>(n = 6447)</w:t>
            </w:r>
          </w:p>
        </w:tc>
        <w:tc>
          <w:tcPr>
            <w:tcW w:w="2570" w:type="dxa"/>
            <w:gridSpan w:val="3"/>
            <w:noWrap/>
            <w:hideMark/>
          </w:tcPr>
          <w:p w:rsidR="008F7AA7" w:rsidRPr="005B0796" w:rsidRDefault="008F7AA7" w:rsidP="00CB47B9">
            <w:pPr>
              <w:pStyle w:val="TableText"/>
              <w:jc w:val="center"/>
              <w:rPr>
                <w:rFonts w:eastAsia="Times New Roman"/>
                <w:b w:val="0"/>
                <w:lang w:eastAsia="en-AU"/>
              </w:rPr>
            </w:pPr>
            <w:r w:rsidRPr="005B0796">
              <w:rPr>
                <w:rFonts w:eastAsia="Times New Roman"/>
                <w:lang w:eastAsia="en-AU"/>
              </w:rPr>
              <w:t xml:space="preserve">Active Reservists </w:t>
            </w:r>
            <w:r w:rsidRPr="005B0796">
              <w:rPr>
                <w:rFonts w:eastAsia="Times New Roman"/>
                <w:lang w:eastAsia="en-AU"/>
              </w:rPr>
              <w:br/>
              <w:t>(n = 6968)</w:t>
            </w:r>
          </w:p>
        </w:tc>
      </w:tr>
      <w:tr w:rsidR="008F7AA7" w:rsidRPr="005B0796" w:rsidTr="001828B4">
        <w:trPr>
          <w:cnfStyle w:val="100000000000" w:firstRow="1" w:lastRow="0" w:firstColumn="0" w:lastColumn="0" w:oddVBand="0" w:evenVBand="0" w:oddHBand="0" w:evenHBand="0" w:firstRowFirstColumn="0" w:firstRowLastColumn="0" w:lastRowFirstColumn="0" w:lastRowLastColumn="0"/>
          <w:tblHeader/>
        </w:trPr>
        <w:tc>
          <w:tcPr>
            <w:tcW w:w="3798" w:type="dxa"/>
            <w:tcBorders>
              <w:top w:val="nil"/>
            </w:tcBorders>
            <w:noWrap/>
          </w:tcPr>
          <w:p w:rsidR="008F7AA7" w:rsidRPr="005B0796" w:rsidRDefault="00CB47B9" w:rsidP="00CB47B9">
            <w:pPr>
              <w:pStyle w:val="TableText"/>
            </w:pPr>
            <w:r w:rsidRPr="005B0796">
              <w:t>ICD-10 mental disorder group</w:t>
            </w:r>
          </w:p>
        </w:tc>
        <w:tc>
          <w:tcPr>
            <w:tcW w:w="856" w:type="dxa"/>
            <w:noWrap/>
            <w:hideMark/>
          </w:tcPr>
          <w:p w:rsidR="008F7AA7" w:rsidRPr="005B0796" w:rsidRDefault="008F7AA7" w:rsidP="00CB47B9">
            <w:pPr>
              <w:pStyle w:val="TableText"/>
              <w:jc w:val="right"/>
              <w:rPr>
                <w:b w:val="0"/>
              </w:rPr>
            </w:pPr>
            <w:r w:rsidRPr="005B0796">
              <w:rPr>
                <w:rFonts w:eastAsia="Times New Roman"/>
                <w:lang w:eastAsia="en-AU"/>
              </w:rPr>
              <w:t>Weighted n</w:t>
            </w:r>
          </w:p>
        </w:tc>
        <w:tc>
          <w:tcPr>
            <w:tcW w:w="856" w:type="dxa"/>
            <w:hideMark/>
          </w:tcPr>
          <w:p w:rsidR="008F7AA7" w:rsidRPr="005B0796" w:rsidRDefault="008F7AA7" w:rsidP="00CB47B9">
            <w:pPr>
              <w:pStyle w:val="TableText"/>
              <w:jc w:val="right"/>
              <w:rPr>
                <w:b w:val="0"/>
              </w:rPr>
            </w:pPr>
            <w:r w:rsidRPr="005B0796">
              <w:t>%</w:t>
            </w:r>
          </w:p>
        </w:tc>
        <w:tc>
          <w:tcPr>
            <w:tcW w:w="857" w:type="dxa"/>
            <w:hideMark/>
          </w:tcPr>
          <w:p w:rsidR="008F7AA7" w:rsidRPr="005B0796" w:rsidRDefault="008F7AA7" w:rsidP="00CB47B9">
            <w:pPr>
              <w:pStyle w:val="TableText"/>
              <w:jc w:val="right"/>
              <w:rPr>
                <w:b w:val="0"/>
              </w:rPr>
            </w:pPr>
            <w:r w:rsidRPr="005B0796">
              <w:t>95% CI</w:t>
            </w:r>
          </w:p>
        </w:tc>
        <w:tc>
          <w:tcPr>
            <w:tcW w:w="856" w:type="dxa"/>
            <w:noWrap/>
            <w:hideMark/>
          </w:tcPr>
          <w:p w:rsidR="008F7AA7" w:rsidRPr="005B0796" w:rsidRDefault="008F7AA7" w:rsidP="00CB47B9">
            <w:pPr>
              <w:pStyle w:val="TableText"/>
              <w:jc w:val="right"/>
              <w:rPr>
                <w:b w:val="0"/>
              </w:rPr>
            </w:pPr>
            <w:r w:rsidRPr="005B0796">
              <w:rPr>
                <w:rFonts w:eastAsia="Times New Roman"/>
                <w:lang w:eastAsia="en-AU"/>
              </w:rPr>
              <w:t>Weighted n</w:t>
            </w:r>
          </w:p>
        </w:tc>
        <w:tc>
          <w:tcPr>
            <w:tcW w:w="857" w:type="dxa"/>
            <w:hideMark/>
          </w:tcPr>
          <w:p w:rsidR="008F7AA7" w:rsidRPr="005B0796" w:rsidRDefault="008F7AA7" w:rsidP="00CB47B9">
            <w:pPr>
              <w:pStyle w:val="TableText"/>
              <w:jc w:val="right"/>
              <w:rPr>
                <w:b w:val="0"/>
              </w:rPr>
            </w:pPr>
            <w:r w:rsidRPr="005B0796">
              <w:t>%</w:t>
            </w:r>
          </w:p>
        </w:tc>
        <w:tc>
          <w:tcPr>
            <w:tcW w:w="856" w:type="dxa"/>
            <w:hideMark/>
          </w:tcPr>
          <w:p w:rsidR="008F7AA7" w:rsidRPr="005B0796" w:rsidRDefault="008F7AA7" w:rsidP="00CB47B9">
            <w:pPr>
              <w:pStyle w:val="TableText"/>
              <w:jc w:val="right"/>
              <w:rPr>
                <w:b w:val="0"/>
              </w:rPr>
            </w:pPr>
            <w:r w:rsidRPr="005B0796">
              <w:t>95% CI</w:t>
            </w:r>
          </w:p>
        </w:tc>
        <w:tc>
          <w:tcPr>
            <w:tcW w:w="857" w:type="dxa"/>
            <w:noWrap/>
            <w:hideMark/>
          </w:tcPr>
          <w:p w:rsidR="008F7AA7" w:rsidRPr="005B0796" w:rsidRDefault="008F7AA7" w:rsidP="00CB47B9">
            <w:pPr>
              <w:pStyle w:val="TableText"/>
              <w:jc w:val="right"/>
              <w:rPr>
                <w:b w:val="0"/>
              </w:rPr>
            </w:pPr>
            <w:r w:rsidRPr="005B0796">
              <w:rPr>
                <w:rFonts w:eastAsia="Times New Roman"/>
                <w:lang w:eastAsia="en-AU"/>
              </w:rPr>
              <w:t>Weighted n</w:t>
            </w:r>
          </w:p>
        </w:tc>
        <w:tc>
          <w:tcPr>
            <w:tcW w:w="856" w:type="dxa"/>
            <w:hideMark/>
          </w:tcPr>
          <w:p w:rsidR="008F7AA7" w:rsidRPr="005B0796" w:rsidRDefault="008F7AA7" w:rsidP="00CB47B9">
            <w:pPr>
              <w:pStyle w:val="TableText"/>
              <w:jc w:val="right"/>
              <w:rPr>
                <w:b w:val="0"/>
              </w:rPr>
            </w:pPr>
            <w:r w:rsidRPr="005B0796">
              <w:t>%</w:t>
            </w:r>
          </w:p>
        </w:tc>
        <w:tc>
          <w:tcPr>
            <w:tcW w:w="857" w:type="dxa"/>
            <w:hideMark/>
          </w:tcPr>
          <w:p w:rsidR="008F7AA7" w:rsidRPr="005B0796" w:rsidRDefault="008F7AA7" w:rsidP="00CB47B9">
            <w:pPr>
              <w:pStyle w:val="TableText"/>
              <w:jc w:val="right"/>
              <w:rPr>
                <w:b w:val="0"/>
              </w:rPr>
            </w:pPr>
            <w:r w:rsidRPr="005B0796">
              <w:t>95% CI</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No mental disorder</w:t>
            </w:r>
          </w:p>
        </w:tc>
        <w:tc>
          <w:tcPr>
            <w:tcW w:w="856" w:type="dxa"/>
            <w:noWrap/>
            <w:hideMark/>
          </w:tcPr>
          <w:p w:rsidR="008F7AA7" w:rsidRPr="005B0796" w:rsidRDefault="008F7AA7" w:rsidP="00CB47B9">
            <w:pPr>
              <w:pStyle w:val="TableText"/>
              <w:jc w:val="right"/>
            </w:pPr>
            <w:r w:rsidRPr="005B0796">
              <w:t>5045</w:t>
            </w:r>
          </w:p>
        </w:tc>
        <w:tc>
          <w:tcPr>
            <w:tcW w:w="856" w:type="dxa"/>
            <w:hideMark/>
          </w:tcPr>
          <w:p w:rsidR="008F7AA7" w:rsidRPr="005B0796" w:rsidRDefault="008F7AA7" w:rsidP="00CB47B9">
            <w:pPr>
              <w:pStyle w:val="TableText"/>
              <w:jc w:val="right"/>
            </w:pPr>
            <w:r w:rsidRPr="005B0796">
              <w:t>44.1</w:t>
            </w:r>
          </w:p>
        </w:tc>
        <w:tc>
          <w:tcPr>
            <w:tcW w:w="857" w:type="dxa"/>
            <w:hideMark/>
          </w:tcPr>
          <w:p w:rsidR="008F7AA7" w:rsidRPr="005B0796" w:rsidRDefault="008F7AA7" w:rsidP="00CB47B9">
            <w:pPr>
              <w:pStyle w:val="TableText"/>
              <w:jc w:val="right"/>
            </w:pPr>
            <w:r w:rsidRPr="005B0796">
              <w:t>36.7, 51.9</w:t>
            </w:r>
          </w:p>
        </w:tc>
        <w:tc>
          <w:tcPr>
            <w:tcW w:w="856" w:type="dxa"/>
            <w:noWrap/>
            <w:hideMark/>
          </w:tcPr>
          <w:p w:rsidR="008F7AA7" w:rsidRPr="005B0796" w:rsidRDefault="008F7AA7" w:rsidP="00CB47B9">
            <w:pPr>
              <w:pStyle w:val="TableText"/>
              <w:jc w:val="right"/>
              <w:rPr>
                <w:i/>
              </w:rPr>
            </w:pPr>
            <w:r w:rsidRPr="005B0796">
              <w:t>3977</w:t>
            </w:r>
          </w:p>
        </w:tc>
        <w:tc>
          <w:tcPr>
            <w:tcW w:w="857" w:type="dxa"/>
            <w:hideMark/>
          </w:tcPr>
          <w:p w:rsidR="008F7AA7" w:rsidRPr="005B0796" w:rsidRDefault="008F7AA7" w:rsidP="00CB47B9">
            <w:pPr>
              <w:pStyle w:val="TableText"/>
              <w:jc w:val="right"/>
            </w:pPr>
            <w:r w:rsidRPr="005B0796">
              <w:t>61.7</w:t>
            </w:r>
          </w:p>
        </w:tc>
        <w:tc>
          <w:tcPr>
            <w:tcW w:w="856" w:type="dxa"/>
            <w:hideMark/>
          </w:tcPr>
          <w:p w:rsidR="008F7AA7" w:rsidRPr="005B0796" w:rsidRDefault="008F7AA7" w:rsidP="00CB47B9">
            <w:pPr>
              <w:pStyle w:val="TableText"/>
              <w:jc w:val="right"/>
            </w:pPr>
            <w:r w:rsidRPr="005B0796">
              <w:t>52.7, 69.9</w:t>
            </w:r>
          </w:p>
        </w:tc>
        <w:tc>
          <w:tcPr>
            <w:tcW w:w="857" w:type="dxa"/>
            <w:noWrap/>
            <w:hideMark/>
          </w:tcPr>
          <w:p w:rsidR="008F7AA7" w:rsidRPr="005B0796" w:rsidRDefault="008F7AA7" w:rsidP="00CB47B9">
            <w:pPr>
              <w:pStyle w:val="TableText"/>
              <w:jc w:val="right"/>
              <w:rPr>
                <w:i/>
              </w:rPr>
            </w:pPr>
            <w:r w:rsidRPr="005B0796">
              <w:t>4474</w:t>
            </w:r>
          </w:p>
        </w:tc>
        <w:tc>
          <w:tcPr>
            <w:tcW w:w="856" w:type="dxa"/>
            <w:hideMark/>
          </w:tcPr>
          <w:p w:rsidR="008F7AA7" w:rsidRPr="005B0796" w:rsidRDefault="008F7AA7" w:rsidP="00CB47B9">
            <w:pPr>
              <w:pStyle w:val="TableText"/>
              <w:jc w:val="right"/>
            </w:pPr>
            <w:r w:rsidRPr="005B0796">
              <w:t>64.2</w:t>
            </w:r>
          </w:p>
        </w:tc>
        <w:tc>
          <w:tcPr>
            <w:tcW w:w="857" w:type="dxa"/>
            <w:hideMark/>
          </w:tcPr>
          <w:p w:rsidR="008F7AA7" w:rsidRPr="005B0796" w:rsidRDefault="008F7AA7" w:rsidP="00CB47B9">
            <w:pPr>
              <w:pStyle w:val="TableText"/>
              <w:jc w:val="right"/>
            </w:pPr>
            <w:r w:rsidRPr="005B0796">
              <w:t>56.4, 71.4</w:t>
            </w:r>
          </w:p>
        </w:tc>
      </w:tr>
      <w:tr w:rsidR="008F7AA7" w:rsidRPr="005B0796" w:rsidTr="001828B4">
        <w:tc>
          <w:tcPr>
            <w:tcW w:w="3798" w:type="dxa"/>
            <w:hideMark/>
          </w:tcPr>
          <w:p w:rsidR="008F7AA7" w:rsidRPr="005B0796" w:rsidRDefault="008F7AA7" w:rsidP="00CB47B9">
            <w:pPr>
              <w:pStyle w:val="TableText"/>
            </w:pPr>
            <w:r w:rsidRPr="005B0796">
              <w:t>Any alcohol disorder only</w:t>
            </w:r>
          </w:p>
        </w:tc>
        <w:tc>
          <w:tcPr>
            <w:tcW w:w="856" w:type="dxa"/>
            <w:noWrap/>
            <w:hideMark/>
          </w:tcPr>
          <w:p w:rsidR="008F7AA7" w:rsidRPr="005B0796" w:rsidRDefault="008F7AA7" w:rsidP="00CB47B9">
            <w:pPr>
              <w:pStyle w:val="TableText"/>
              <w:jc w:val="right"/>
            </w:pPr>
            <w:r w:rsidRPr="005B0796">
              <w:t>297</w:t>
            </w:r>
          </w:p>
        </w:tc>
        <w:tc>
          <w:tcPr>
            <w:tcW w:w="856" w:type="dxa"/>
            <w:hideMark/>
          </w:tcPr>
          <w:p w:rsidR="008F7AA7" w:rsidRPr="005B0796" w:rsidRDefault="008F7AA7" w:rsidP="00CB47B9">
            <w:pPr>
              <w:pStyle w:val="TableText"/>
              <w:jc w:val="right"/>
            </w:pPr>
            <w:r w:rsidRPr="005B0796">
              <w:t>2.6</w:t>
            </w:r>
          </w:p>
        </w:tc>
        <w:tc>
          <w:tcPr>
            <w:tcW w:w="857" w:type="dxa"/>
            <w:hideMark/>
          </w:tcPr>
          <w:p w:rsidR="008F7AA7" w:rsidRPr="005B0796" w:rsidRDefault="008F7AA7" w:rsidP="00CB47B9">
            <w:pPr>
              <w:pStyle w:val="TableText"/>
              <w:jc w:val="right"/>
            </w:pPr>
            <w:r w:rsidRPr="005B0796">
              <w:t>1.0, 6.3</w:t>
            </w:r>
          </w:p>
        </w:tc>
        <w:tc>
          <w:tcPr>
            <w:tcW w:w="856" w:type="dxa"/>
            <w:noWrap/>
            <w:hideMark/>
          </w:tcPr>
          <w:p w:rsidR="008F7AA7" w:rsidRPr="005B0796" w:rsidRDefault="008F7AA7" w:rsidP="00CB47B9">
            <w:pPr>
              <w:pStyle w:val="TableText"/>
              <w:jc w:val="right"/>
              <w:rPr>
                <w:i/>
              </w:rPr>
            </w:pPr>
            <w:r w:rsidRPr="005B0796">
              <w:t>168</w:t>
            </w:r>
          </w:p>
        </w:tc>
        <w:tc>
          <w:tcPr>
            <w:tcW w:w="857" w:type="dxa"/>
            <w:hideMark/>
          </w:tcPr>
          <w:p w:rsidR="008F7AA7" w:rsidRPr="005B0796" w:rsidRDefault="008F7AA7" w:rsidP="00CB47B9">
            <w:pPr>
              <w:pStyle w:val="TableText"/>
              <w:jc w:val="right"/>
            </w:pPr>
            <w:r w:rsidRPr="005B0796">
              <w:t>2.6</w:t>
            </w:r>
          </w:p>
        </w:tc>
        <w:tc>
          <w:tcPr>
            <w:tcW w:w="856" w:type="dxa"/>
            <w:hideMark/>
          </w:tcPr>
          <w:p w:rsidR="008F7AA7" w:rsidRPr="005B0796" w:rsidRDefault="008F7AA7" w:rsidP="00CB47B9">
            <w:pPr>
              <w:pStyle w:val="TableText"/>
              <w:jc w:val="right"/>
            </w:pPr>
            <w:r w:rsidRPr="005B0796">
              <w:t>0.9, 7.5</w:t>
            </w:r>
          </w:p>
        </w:tc>
        <w:tc>
          <w:tcPr>
            <w:tcW w:w="857" w:type="dxa"/>
            <w:noWrap/>
            <w:hideMark/>
          </w:tcPr>
          <w:p w:rsidR="008F7AA7" w:rsidRPr="005B0796" w:rsidRDefault="008F7AA7" w:rsidP="00CB47B9">
            <w:pPr>
              <w:pStyle w:val="TableText"/>
              <w:jc w:val="right"/>
              <w:rPr>
                <w:i/>
              </w:rPr>
            </w:pPr>
            <w:r w:rsidRPr="005B0796">
              <w:t>35</w:t>
            </w:r>
          </w:p>
        </w:tc>
        <w:tc>
          <w:tcPr>
            <w:tcW w:w="856" w:type="dxa"/>
            <w:hideMark/>
          </w:tcPr>
          <w:p w:rsidR="008F7AA7" w:rsidRPr="005B0796" w:rsidRDefault="008F7AA7" w:rsidP="00CB47B9">
            <w:pPr>
              <w:pStyle w:val="TableText"/>
              <w:jc w:val="right"/>
            </w:pPr>
            <w:r w:rsidRPr="005B0796">
              <w:t>0.5</w:t>
            </w:r>
          </w:p>
        </w:tc>
        <w:tc>
          <w:tcPr>
            <w:tcW w:w="857" w:type="dxa"/>
            <w:hideMark/>
          </w:tcPr>
          <w:p w:rsidR="008F7AA7" w:rsidRPr="005B0796" w:rsidRDefault="008F7AA7" w:rsidP="00CB47B9">
            <w:pPr>
              <w:pStyle w:val="TableText"/>
              <w:jc w:val="right"/>
            </w:pPr>
            <w:r w:rsidRPr="005B0796">
              <w:t>0.1, 1.8</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Any anxiety disorder only (excl. PTSD</w:t>
            </w:r>
          </w:p>
        </w:tc>
        <w:tc>
          <w:tcPr>
            <w:tcW w:w="856" w:type="dxa"/>
            <w:noWrap/>
            <w:hideMark/>
          </w:tcPr>
          <w:p w:rsidR="008F7AA7" w:rsidRPr="005B0796" w:rsidRDefault="008F7AA7" w:rsidP="00CB47B9">
            <w:pPr>
              <w:pStyle w:val="TableText"/>
              <w:jc w:val="right"/>
            </w:pPr>
            <w:r w:rsidRPr="005B0796">
              <w:t>858</w:t>
            </w:r>
          </w:p>
        </w:tc>
        <w:tc>
          <w:tcPr>
            <w:tcW w:w="856" w:type="dxa"/>
            <w:hideMark/>
          </w:tcPr>
          <w:p w:rsidR="008F7AA7" w:rsidRPr="005B0796" w:rsidRDefault="008F7AA7" w:rsidP="00CB47B9">
            <w:pPr>
              <w:pStyle w:val="TableText"/>
              <w:jc w:val="right"/>
            </w:pPr>
            <w:r w:rsidRPr="005B0796">
              <w:t>7.5</w:t>
            </w:r>
          </w:p>
        </w:tc>
        <w:tc>
          <w:tcPr>
            <w:tcW w:w="857" w:type="dxa"/>
            <w:hideMark/>
          </w:tcPr>
          <w:p w:rsidR="008F7AA7" w:rsidRPr="005B0796" w:rsidRDefault="008F7AA7" w:rsidP="00CB47B9">
            <w:pPr>
              <w:pStyle w:val="TableText"/>
              <w:jc w:val="right"/>
            </w:pPr>
            <w:r w:rsidRPr="005B0796">
              <w:t>4.9, 11.2</w:t>
            </w:r>
          </w:p>
        </w:tc>
        <w:tc>
          <w:tcPr>
            <w:tcW w:w="856" w:type="dxa"/>
            <w:noWrap/>
            <w:hideMark/>
          </w:tcPr>
          <w:p w:rsidR="008F7AA7" w:rsidRPr="005B0796" w:rsidRDefault="008F7AA7" w:rsidP="00CB47B9">
            <w:pPr>
              <w:pStyle w:val="TableText"/>
              <w:jc w:val="right"/>
              <w:rPr>
                <w:i/>
              </w:rPr>
            </w:pPr>
            <w:r w:rsidRPr="005B0796">
              <w:t>451</w:t>
            </w:r>
          </w:p>
        </w:tc>
        <w:tc>
          <w:tcPr>
            <w:tcW w:w="857" w:type="dxa"/>
            <w:hideMark/>
          </w:tcPr>
          <w:p w:rsidR="008F7AA7" w:rsidRPr="005B0796" w:rsidRDefault="008F7AA7" w:rsidP="00CB47B9">
            <w:pPr>
              <w:pStyle w:val="TableText"/>
              <w:jc w:val="right"/>
            </w:pPr>
            <w:r w:rsidRPr="005B0796">
              <w:t>7.0</w:t>
            </w:r>
          </w:p>
        </w:tc>
        <w:tc>
          <w:tcPr>
            <w:tcW w:w="856" w:type="dxa"/>
            <w:hideMark/>
          </w:tcPr>
          <w:p w:rsidR="008F7AA7" w:rsidRPr="005B0796" w:rsidRDefault="008F7AA7" w:rsidP="00CB47B9">
            <w:pPr>
              <w:pStyle w:val="TableText"/>
              <w:jc w:val="right"/>
            </w:pPr>
            <w:r w:rsidRPr="005B0796">
              <w:t>3.9, 12.3</w:t>
            </w:r>
          </w:p>
        </w:tc>
        <w:tc>
          <w:tcPr>
            <w:tcW w:w="857" w:type="dxa"/>
            <w:noWrap/>
            <w:hideMark/>
          </w:tcPr>
          <w:p w:rsidR="008F7AA7" w:rsidRPr="005B0796" w:rsidRDefault="008F7AA7" w:rsidP="00CB47B9">
            <w:pPr>
              <w:pStyle w:val="TableText"/>
              <w:jc w:val="right"/>
              <w:rPr>
                <w:i/>
              </w:rPr>
            </w:pPr>
            <w:r w:rsidRPr="005B0796">
              <w:t>808</w:t>
            </w:r>
          </w:p>
        </w:tc>
        <w:tc>
          <w:tcPr>
            <w:tcW w:w="856" w:type="dxa"/>
            <w:hideMark/>
          </w:tcPr>
          <w:p w:rsidR="008F7AA7" w:rsidRPr="005B0796" w:rsidRDefault="008F7AA7" w:rsidP="00CB47B9">
            <w:pPr>
              <w:pStyle w:val="TableText"/>
              <w:jc w:val="right"/>
            </w:pPr>
            <w:r w:rsidRPr="005B0796">
              <w:t>11.6</w:t>
            </w:r>
          </w:p>
        </w:tc>
        <w:tc>
          <w:tcPr>
            <w:tcW w:w="857" w:type="dxa"/>
            <w:hideMark/>
          </w:tcPr>
          <w:p w:rsidR="008F7AA7" w:rsidRPr="005B0796" w:rsidRDefault="008F7AA7" w:rsidP="00CB47B9">
            <w:pPr>
              <w:pStyle w:val="TableText"/>
              <w:jc w:val="right"/>
            </w:pPr>
            <w:r w:rsidRPr="005B0796">
              <w:t>7.6, 17.2</w:t>
            </w:r>
          </w:p>
        </w:tc>
      </w:tr>
      <w:tr w:rsidR="008F7AA7" w:rsidRPr="005B0796" w:rsidTr="001828B4">
        <w:tc>
          <w:tcPr>
            <w:tcW w:w="3798" w:type="dxa"/>
            <w:hideMark/>
          </w:tcPr>
          <w:p w:rsidR="008F7AA7" w:rsidRPr="005B0796" w:rsidRDefault="008F7AA7" w:rsidP="00CB47B9">
            <w:pPr>
              <w:pStyle w:val="TableText"/>
            </w:pPr>
            <w:r w:rsidRPr="005B0796">
              <w:t>PTSD only</w:t>
            </w:r>
          </w:p>
        </w:tc>
        <w:tc>
          <w:tcPr>
            <w:tcW w:w="856" w:type="dxa"/>
            <w:noWrap/>
            <w:hideMark/>
          </w:tcPr>
          <w:p w:rsidR="008F7AA7" w:rsidRPr="005B0796" w:rsidRDefault="008F7AA7" w:rsidP="00CB47B9">
            <w:pPr>
              <w:pStyle w:val="TableText"/>
              <w:jc w:val="right"/>
            </w:pPr>
            <w:r w:rsidRPr="005B0796">
              <w:t>378</w:t>
            </w:r>
          </w:p>
        </w:tc>
        <w:tc>
          <w:tcPr>
            <w:tcW w:w="856" w:type="dxa"/>
            <w:hideMark/>
          </w:tcPr>
          <w:p w:rsidR="008F7AA7" w:rsidRPr="005B0796" w:rsidRDefault="008F7AA7" w:rsidP="00CB47B9">
            <w:pPr>
              <w:pStyle w:val="TableText"/>
              <w:jc w:val="right"/>
            </w:pPr>
            <w:r w:rsidRPr="005B0796">
              <w:t>3.3</w:t>
            </w:r>
          </w:p>
        </w:tc>
        <w:tc>
          <w:tcPr>
            <w:tcW w:w="857" w:type="dxa"/>
            <w:hideMark/>
          </w:tcPr>
          <w:p w:rsidR="008F7AA7" w:rsidRPr="005B0796" w:rsidRDefault="008F7AA7" w:rsidP="00CB47B9">
            <w:pPr>
              <w:pStyle w:val="TableText"/>
              <w:jc w:val="right"/>
            </w:pPr>
            <w:r w:rsidRPr="005B0796">
              <w:t>1.6, 6.7</w:t>
            </w:r>
          </w:p>
        </w:tc>
        <w:tc>
          <w:tcPr>
            <w:tcW w:w="856" w:type="dxa"/>
            <w:noWrap/>
            <w:hideMark/>
          </w:tcPr>
          <w:p w:rsidR="008F7AA7" w:rsidRPr="005B0796" w:rsidRDefault="008F7AA7" w:rsidP="00CB47B9">
            <w:pPr>
              <w:pStyle w:val="TableText"/>
              <w:jc w:val="right"/>
              <w:rPr>
                <w:i/>
              </w:rPr>
            </w:pPr>
            <w:r w:rsidRPr="005B0796">
              <w:t>264</w:t>
            </w:r>
          </w:p>
        </w:tc>
        <w:tc>
          <w:tcPr>
            <w:tcW w:w="857" w:type="dxa"/>
            <w:hideMark/>
          </w:tcPr>
          <w:p w:rsidR="008F7AA7" w:rsidRPr="005B0796" w:rsidRDefault="008F7AA7" w:rsidP="00CB47B9">
            <w:pPr>
              <w:pStyle w:val="TableText"/>
              <w:jc w:val="right"/>
            </w:pPr>
            <w:r w:rsidRPr="005B0796">
              <w:t>4.1</w:t>
            </w:r>
          </w:p>
        </w:tc>
        <w:tc>
          <w:tcPr>
            <w:tcW w:w="856" w:type="dxa"/>
            <w:hideMark/>
          </w:tcPr>
          <w:p w:rsidR="008F7AA7" w:rsidRPr="005B0796" w:rsidRDefault="008F7AA7" w:rsidP="00CB47B9">
            <w:pPr>
              <w:pStyle w:val="TableText"/>
              <w:jc w:val="right"/>
            </w:pPr>
            <w:r w:rsidRPr="005B0796">
              <w:t>1.8, 9.1</w:t>
            </w:r>
          </w:p>
        </w:tc>
        <w:tc>
          <w:tcPr>
            <w:tcW w:w="857" w:type="dxa"/>
            <w:noWrap/>
            <w:hideMark/>
          </w:tcPr>
          <w:p w:rsidR="008F7AA7" w:rsidRPr="005B0796" w:rsidRDefault="008F7AA7" w:rsidP="00CB47B9">
            <w:pPr>
              <w:pStyle w:val="TableText"/>
              <w:jc w:val="right"/>
              <w:rPr>
                <w:i/>
              </w:rPr>
            </w:pPr>
            <w:r w:rsidRPr="005B0796">
              <w:t>230</w:t>
            </w:r>
          </w:p>
        </w:tc>
        <w:tc>
          <w:tcPr>
            <w:tcW w:w="856" w:type="dxa"/>
            <w:hideMark/>
          </w:tcPr>
          <w:p w:rsidR="008F7AA7" w:rsidRPr="005B0796" w:rsidRDefault="008F7AA7" w:rsidP="00CB47B9">
            <w:pPr>
              <w:pStyle w:val="TableText"/>
              <w:jc w:val="right"/>
            </w:pPr>
            <w:r w:rsidRPr="005B0796">
              <w:t>3.3</w:t>
            </w:r>
          </w:p>
        </w:tc>
        <w:tc>
          <w:tcPr>
            <w:tcW w:w="857" w:type="dxa"/>
            <w:hideMark/>
          </w:tcPr>
          <w:p w:rsidR="008F7AA7" w:rsidRPr="005B0796" w:rsidRDefault="008F7AA7" w:rsidP="00CB47B9">
            <w:pPr>
              <w:pStyle w:val="TableText"/>
              <w:jc w:val="right"/>
            </w:pPr>
            <w:r w:rsidRPr="005B0796">
              <w:t>2.0, 5.5</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Any affective disorder only</w:t>
            </w:r>
          </w:p>
        </w:tc>
        <w:tc>
          <w:tcPr>
            <w:tcW w:w="856" w:type="dxa"/>
            <w:noWrap/>
            <w:hideMark/>
          </w:tcPr>
          <w:p w:rsidR="008F7AA7" w:rsidRPr="005B0796" w:rsidRDefault="008F7AA7" w:rsidP="00CB47B9">
            <w:pPr>
              <w:pStyle w:val="TableText"/>
              <w:jc w:val="right"/>
            </w:pPr>
            <w:r w:rsidRPr="005B0796">
              <w:t>812</w:t>
            </w:r>
          </w:p>
        </w:tc>
        <w:tc>
          <w:tcPr>
            <w:tcW w:w="856" w:type="dxa"/>
            <w:hideMark/>
          </w:tcPr>
          <w:p w:rsidR="008F7AA7" w:rsidRPr="005B0796" w:rsidRDefault="008F7AA7" w:rsidP="00CB47B9">
            <w:pPr>
              <w:pStyle w:val="TableText"/>
              <w:jc w:val="right"/>
            </w:pPr>
            <w:r w:rsidRPr="005B0796">
              <w:t>7.1</w:t>
            </w:r>
          </w:p>
        </w:tc>
        <w:tc>
          <w:tcPr>
            <w:tcW w:w="857" w:type="dxa"/>
            <w:hideMark/>
          </w:tcPr>
          <w:p w:rsidR="008F7AA7" w:rsidRPr="005B0796" w:rsidRDefault="008F7AA7" w:rsidP="00CB47B9">
            <w:pPr>
              <w:pStyle w:val="TableText"/>
              <w:jc w:val="right"/>
            </w:pPr>
            <w:r w:rsidRPr="005B0796">
              <w:t>3.9, 12.5</w:t>
            </w:r>
          </w:p>
        </w:tc>
        <w:tc>
          <w:tcPr>
            <w:tcW w:w="856" w:type="dxa"/>
            <w:noWrap/>
            <w:hideMark/>
          </w:tcPr>
          <w:p w:rsidR="008F7AA7" w:rsidRPr="005B0796" w:rsidRDefault="008F7AA7" w:rsidP="00CB47B9">
            <w:pPr>
              <w:pStyle w:val="TableText"/>
              <w:jc w:val="right"/>
              <w:rPr>
                <w:i/>
              </w:rPr>
            </w:pPr>
            <w:r w:rsidRPr="005B0796">
              <w:t>554</w:t>
            </w:r>
          </w:p>
        </w:tc>
        <w:tc>
          <w:tcPr>
            <w:tcW w:w="857" w:type="dxa"/>
            <w:hideMark/>
          </w:tcPr>
          <w:p w:rsidR="008F7AA7" w:rsidRPr="005B0796" w:rsidRDefault="008F7AA7" w:rsidP="00CB47B9">
            <w:pPr>
              <w:pStyle w:val="TableText"/>
              <w:jc w:val="right"/>
            </w:pPr>
            <w:r w:rsidRPr="005B0796">
              <w:t>8.6</w:t>
            </w:r>
          </w:p>
        </w:tc>
        <w:tc>
          <w:tcPr>
            <w:tcW w:w="856" w:type="dxa"/>
            <w:hideMark/>
          </w:tcPr>
          <w:p w:rsidR="008F7AA7" w:rsidRPr="005B0796" w:rsidRDefault="008F7AA7" w:rsidP="00CB47B9">
            <w:pPr>
              <w:pStyle w:val="TableText"/>
              <w:jc w:val="right"/>
            </w:pPr>
            <w:r w:rsidRPr="005B0796">
              <w:t>4.7, 15.1</w:t>
            </w:r>
          </w:p>
        </w:tc>
        <w:tc>
          <w:tcPr>
            <w:tcW w:w="857" w:type="dxa"/>
            <w:noWrap/>
            <w:hideMark/>
          </w:tcPr>
          <w:p w:rsidR="008F7AA7" w:rsidRPr="005B0796" w:rsidRDefault="008F7AA7" w:rsidP="00CB47B9">
            <w:pPr>
              <w:pStyle w:val="TableText"/>
              <w:jc w:val="right"/>
              <w:rPr>
                <w:i/>
              </w:rPr>
            </w:pPr>
            <w:r w:rsidRPr="005B0796">
              <w:t>223</w:t>
            </w:r>
          </w:p>
        </w:tc>
        <w:tc>
          <w:tcPr>
            <w:tcW w:w="856" w:type="dxa"/>
            <w:hideMark/>
          </w:tcPr>
          <w:p w:rsidR="008F7AA7" w:rsidRPr="005B0796" w:rsidRDefault="008F7AA7" w:rsidP="00CB47B9">
            <w:pPr>
              <w:pStyle w:val="TableText"/>
              <w:jc w:val="right"/>
            </w:pPr>
            <w:r w:rsidRPr="005B0796">
              <w:t>3.2</w:t>
            </w:r>
          </w:p>
        </w:tc>
        <w:tc>
          <w:tcPr>
            <w:tcW w:w="857" w:type="dxa"/>
            <w:hideMark/>
          </w:tcPr>
          <w:p w:rsidR="008F7AA7" w:rsidRPr="005B0796" w:rsidRDefault="008F7AA7" w:rsidP="00CB47B9">
            <w:pPr>
              <w:pStyle w:val="TableText"/>
              <w:jc w:val="right"/>
            </w:pPr>
            <w:r w:rsidRPr="005B0796">
              <w:t>1.8, 5.5</w:t>
            </w:r>
          </w:p>
        </w:tc>
      </w:tr>
      <w:tr w:rsidR="00CB47B9" w:rsidRPr="005B0796" w:rsidTr="001828B4">
        <w:tc>
          <w:tcPr>
            <w:tcW w:w="3798" w:type="dxa"/>
            <w:hideMark/>
          </w:tcPr>
          <w:p w:rsidR="008F7AA7" w:rsidRPr="005B0796" w:rsidRDefault="008F7AA7" w:rsidP="00CB47B9">
            <w:pPr>
              <w:pStyle w:val="TableText"/>
            </w:pPr>
            <w:r w:rsidRPr="005B0796">
              <w:t>One mental disorder class</w:t>
            </w:r>
          </w:p>
        </w:tc>
        <w:tc>
          <w:tcPr>
            <w:tcW w:w="856" w:type="dxa"/>
            <w:noWrap/>
            <w:hideMark/>
          </w:tcPr>
          <w:p w:rsidR="008F7AA7" w:rsidRPr="005B0796" w:rsidRDefault="008F7AA7" w:rsidP="00CB47B9">
            <w:pPr>
              <w:pStyle w:val="TableText"/>
              <w:jc w:val="right"/>
            </w:pPr>
            <w:r w:rsidRPr="005B0796">
              <w:t>2334</w:t>
            </w:r>
          </w:p>
        </w:tc>
        <w:tc>
          <w:tcPr>
            <w:tcW w:w="856" w:type="dxa"/>
            <w:hideMark/>
          </w:tcPr>
          <w:p w:rsidR="008F7AA7" w:rsidRPr="005B0796" w:rsidRDefault="008F7AA7" w:rsidP="00CB47B9">
            <w:pPr>
              <w:pStyle w:val="TableText"/>
              <w:jc w:val="right"/>
            </w:pPr>
            <w:r w:rsidRPr="005B0796">
              <w:t>20.4</w:t>
            </w:r>
          </w:p>
        </w:tc>
        <w:tc>
          <w:tcPr>
            <w:tcW w:w="857" w:type="dxa"/>
            <w:hideMark/>
          </w:tcPr>
          <w:p w:rsidR="008F7AA7" w:rsidRPr="005B0796" w:rsidRDefault="008F7AA7" w:rsidP="00CB47B9">
            <w:pPr>
              <w:pStyle w:val="TableText"/>
              <w:jc w:val="right"/>
            </w:pPr>
            <w:r w:rsidRPr="005B0796">
              <w:t>15.2, 26.8</w:t>
            </w:r>
          </w:p>
        </w:tc>
        <w:tc>
          <w:tcPr>
            <w:tcW w:w="856" w:type="dxa"/>
            <w:noWrap/>
            <w:hideMark/>
          </w:tcPr>
          <w:p w:rsidR="008F7AA7" w:rsidRPr="005B0796" w:rsidRDefault="008F7AA7" w:rsidP="00CB47B9">
            <w:pPr>
              <w:pStyle w:val="TableText"/>
              <w:jc w:val="right"/>
              <w:rPr>
                <w:i/>
              </w:rPr>
            </w:pPr>
            <w:r w:rsidRPr="005B0796">
              <w:t>1437</w:t>
            </w:r>
          </w:p>
        </w:tc>
        <w:tc>
          <w:tcPr>
            <w:tcW w:w="857" w:type="dxa"/>
            <w:hideMark/>
          </w:tcPr>
          <w:p w:rsidR="008F7AA7" w:rsidRPr="005B0796" w:rsidRDefault="008F7AA7" w:rsidP="00CB47B9">
            <w:pPr>
              <w:pStyle w:val="TableText"/>
              <w:jc w:val="right"/>
            </w:pPr>
            <w:r w:rsidRPr="005B0796">
              <w:t>22.3</w:t>
            </w:r>
          </w:p>
        </w:tc>
        <w:tc>
          <w:tcPr>
            <w:tcW w:w="856" w:type="dxa"/>
            <w:hideMark/>
          </w:tcPr>
          <w:p w:rsidR="008F7AA7" w:rsidRPr="005B0796" w:rsidRDefault="008F7AA7" w:rsidP="00CB47B9">
            <w:pPr>
              <w:pStyle w:val="TableText"/>
              <w:jc w:val="right"/>
            </w:pPr>
            <w:r w:rsidRPr="005B0796">
              <w:t>15.9, 30.3</w:t>
            </w:r>
          </w:p>
        </w:tc>
        <w:tc>
          <w:tcPr>
            <w:tcW w:w="857" w:type="dxa"/>
            <w:noWrap/>
            <w:hideMark/>
          </w:tcPr>
          <w:p w:rsidR="008F7AA7" w:rsidRPr="005B0796" w:rsidRDefault="008F7AA7" w:rsidP="00CB47B9">
            <w:pPr>
              <w:pStyle w:val="TableText"/>
              <w:jc w:val="right"/>
              <w:rPr>
                <w:i/>
              </w:rPr>
            </w:pPr>
            <w:r w:rsidRPr="005B0796">
              <w:t>1296</w:t>
            </w:r>
          </w:p>
        </w:tc>
        <w:tc>
          <w:tcPr>
            <w:tcW w:w="856" w:type="dxa"/>
            <w:hideMark/>
          </w:tcPr>
          <w:p w:rsidR="008F7AA7" w:rsidRPr="005B0796" w:rsidRDefault="008F7AA7" w:rsidP="00CB47B9">
            <w:pPr>
              <w:pStyle w:val="TableText"/>
              <w:jc w:val="right"/>
            </w:pPr>
            <w:r w:rsidRPr="005B0796">
              <w:t>18.6</w:t>
            </w:r>
          </w:p>
        </w:tc>
        <w:tc>
          <w:tcPr>
            <w:tcW w:w="857" w:type="dxa"/>
            <w:hideMark/>
          </w:tcPr>
          <w:p w:rsidR="008F7AA7" w:rsidRPr="005B0796" w:rsidRDefault="008F7AA7" w:rsidP="00CB47B9">
            <w:pPr>
              <w:pStyle w:val="TableText"/>
              <w:jc w:val="right"/>
            </w:pPr>
            <w:r w:rsidRPr="005B0796">
              <w:t>13.9, 24.4</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Any anxiety disorder (excl. PTSD) and any alcohol disorder</w:t>
            </w:r>
          </w:p>
        </w:tc>
        <w:tc>
          <w:tcPr>
            <w:tcW w:w="856" w:type="dxa"/>
            <w:noWrap/>
            <w:hideMark/>
          </w:tcPr>
          <w:p w:rsidR="008F7AA7" w:rsidRPr="005B0796" w:rsidRDefault="008F7AA7" w:rsidP="00CB47B9">
            <w:pPr>
              <w:pStyle w:val="TableText"/>
              <w:jc w:val="right"/>
            </w:pPr>
            <w:r w:rsidRPr="005B0796">
              <w:t>332</w:t>
            </w:r>
          </w:p>
        </w:tc>
        <w:tc>
          <w:tcPr>
            <w:tcW w:w="856" w:type="dxa"/>
            <w:hideMark/>
          </w:tcPr>
          <w:p w:rsidR="008F7AA7" w:rsidRPr="005B0796" w:rsidRDefault="008F7AA7" w:rsidP="00CB47B9">
            <w:pPr>
              <w:pStyle w:val="TableText"/>
              <w:jc w:val="right"/>
            </w:pPr>
            <w:r w:rsidRPr="005B0796">
              <w:t>2.9</w:t>
            </w:r>
          </w:p>
        </w:tc>
        <w:tc>
          <w:tcPr>
            <w:tcW w:w="857" w:type="dxa"/>
            <w:hideMark/>
          </w:tcPr>
          <w:p w:rsidR="008F7AA7" w:rsidRPr="005B0796" w:rsidRDefault="008F7AA7" w:rsidP="00CB47B9">
            <w:pPr>
              <w:pStyle w:val="TableText"/>
              <w:jc w:val="right"/>
            </w:pPr>
            <w:r w:rsidRPr="005B0796">
              <w:t>1.3, 6.5</w:t>
            </w:r>
          </w:p>
        </w:tc>
        <w:tc>
          <w:tcPr>
            <w:tcW w:w="856" w:type="dxa"/>
            <w:noWrap/>
            <w:hideMark/>
          </w:tcPr>
          <w:p w:rsidR="008F7AA7" w:rsidRPr="005B0796" w:rsidRDefault="008F7AA7" w:rsidP="00CB47B9">
            <w:pPr>
              <w:pStyle w:val="TableText"/>
              <w:jc w:val="right"/>
              <w:rPr>
                <w:i/>
              </w:rPr>
            </w:pPr>
            <w:r w:rsidRPr="005B0796">
              <w:t>129</w:t>
            </w:r>
          </w:p>
        </w:tc>
        <w:tc>
          <w:tcPr>
            <w:tcW w:w="857" w:type="dxa"/>
            <w:hideMark/>
          </w:tcPr>
          <w:p w:rsidR="008F7AA7" w:rsidRPr="005B0796" w:rsidRDefault="008F7AA7" w:rsidP="00CB47B9">
            <w:pPr>
              <w:pStyle w:val="TableText"/>
              <w:jc w:val="right"/>
            </w:pPr>
            <w:r w:rsidRPr="005B0796">
              <w:t>2.0</w:t>
            </w:r>
          </w:p>
        </w:tc>
        <w:tc>
          <w:tcPr>
            <w:tcW w:w="856" w:type="dxa"/>
            <w:hideMark/>
          </w:tcPr>
          <w:p w:rsidR="008F7AA7" w:rsidRPr="005B0796" w:rsidRDefault="008F7AA7" w:rsidP="00CB47B9">
            <w:pPr>
              <w:pStyle w:val="TableText"/>
              <w:jc w:val="right"/>
            </w:pPr>
            <w:r w:rsidRPr="005B0796">
              <w:t>0.4, 9.1</w:t>
            </w:r>
          </w:p>
        </w:tc>
        <w:tc>
          <w:tcPr>
            <w:tcW w:w="857" w:type="dxa"/>
            <w:noWrap/>
            <w:hideMark/>
          </w:tcPr>
          <w:p w:rsidR="008F7AA7" w:rsidRPr="005B0796" w:rsidRDefault="008F7AA7" w:rsidP="00CB47B9">
            <w:pPr>
              <w:pStyle w:val="TableText"/>
              <w:jc w:val="right"/>
              <w:rPr>
                <w:i/>
              </w:rPr>
            </w:pPr>
            <w:r w:rsidRPr="005B0796">
              <w:t>139</w:t>
            </w:r>
          </w:p>
        </w:tc>
        <w:tc>
          <w:tcPr>
            <w:tcW w:w="856" w:type="dxa"/>
            <w:hideMark/>
          </w:tcPr>
          <w:p w:rsidR="008F7AA7" w:rsidRPr="005B0796" w:rsidRDefault="008F7AA7" w:rsidP="00CB47B9">
            <w:pPr>
              <w:pStyle w:val="TableText"/>
              <w:jc w:val="right"/>
            </w:pPr>
            <w:r w:rsidRPr="005B0796">
              <w:t xml:space="preserve">2.0 </w:t>
            </w:r>
          </w:p>
        </w:tc>
        <w:tc>
          <w:tcPr>
            <w:tcW w:w="857" w:type="dxa"/>
            <w:hideMark/>
          </w:tcPr>
          <w:p w:rsidR="008F7AA7" w:rsidRPr="005B0796" w:rsidRDefault="008F7AA7" w:rsidP="00CB47B9">
            <w:pPr>
              <w:pStyle w:val="TableText"/>
              <w:jc w:val="right"/>
            </w:pPr>
            <w:r w:rsidRPr="005B0796">
              <w:t>0.4, 10.2</w:t>
            </w:r>
          </w:p>
        </w:tc>
      </w:tr>
      <w:tr w:rsidR="00CB47B9" w:rsidRPr="005B0796" w:rsidTr="001828B4">
        <w:tc>
          <w:tcPr>
            <w:tcW w:w="3798" w:type="dxa"/>
            <w:hideMark/>
          </w:tcPr>
          <w:p w:rsidR="008F7AA7" w:rsidRPr="005B0796" w:rsidRDefault="008F7AA7" w:rsidP="00CB47B9">
            <w:pPr>
              <w:pStyle w:val="TableText"/>
            </w:pPr>
            <w:r w:rsidRPr="005B0796">
              <w:t>Any affective disorder and any alcohol disorder</w:t>
            </w:r>
          </w:p>
        </w:tc>
        <w:tc>
          <w:tcPr>
            <w:tcW w:w="856" w:type="dxa"/>
            <w:noWrap/>
            <w:hideMark/>
          </w:tcPr>
          <w:p w:rsidR="008F7AA7" w:rsidRPr="005B0796" w:rsidRDefault="008F7AA7" w:rsidP="00CB47B9">
            <w:pPr>
              <w:pStyle w:val="TableText"/>
              <w:jc w:val="right"/>
            </w:pPr>
            <w:r w:rsidRPr="005B0796">
              <w:t>183</w:t>
            </w:r>
          </w:p>
        </w:tc>
        <w:tc>
          <w:tcPr>
            <w:tcW w:w="856" w:type="dxa"/>
            <w:hideMark/>
          </w:tcPr>
          <w:p w:rsidR="008F7AA7" w:rsidRPr="005B0796" w:rsidRDefault="008F7AA7" w:rsidP="00CB47B9">
            <w:pPr>
              <w:pStyle w:val="TableText"/>
              <w:jc w:val="right"/>
            </w:pPr>
            <w:r w:rsidRPr="005B0796">
              <w:t>1.6</w:t>
            </w:r>
          </w:p>
        </w:tc>
        <w:tc>
          <w:tcPr>
            <w:tcW w:w="857" w:type="dxa"/>
            <w:hideMark/>
          </w:tcPr>
          <w:p w:rsidR="008F7AA7" w:rsidRPr="005B0796" w:rsidRDefault="008F7AA7" w:rsidP="00CB47B9">
            <w:pPr>
              <w:pStyle w:val="TableText"/>
              <w:jc w:val="right"/>
            </w:pPr>
            <w:r w:rsidRPr="005B0796">
              <w:t>0.4, 5.8</w:t>
            </w:r>
          </w:p>
        </w:tc>
        <w:tc>
          <w:tcPr>
            <w:tcW w:w="856" w:type="dxa"/>
            <w:noWrap/>
            <w:hideMark/>
          </w:tcPr>
          <w:p w:rsidR="008F7AA7" w:rsidRPr="005B0796" w:rsidRDefault="008F7AA7" w:rsidP="00CB47B9">
            <w:pPr>
              <w:pStyle w:val="TableText"/>
              <w:jc w:val="right"/>
              <w:rPr>
                <w:i/>
              </w:rPr>
            </w:pPr>
            <w:r w:rsidRPr="005B0796">
              <w:t>26</w:t>
            </w:r>
          </w:p>
        </w:tc>
        <w:tc>
          <w:tcPr>
            <w:tcW w:w="857" w:type="dxa"/>
            <w:hideMark/>
          </w:tcPr>
          <w:p w:rsidR="008F7AA7" w:rsidRPr="005B0796" w:rsidRDefault="008F7AA7" w:rsidP="00CB47B9">
            <w:pPr>
              <w:pStyle w:val="TableText"/>
              <w:jc w:val="right"/>
            </w:pPr>
            <w:r w:rsidRPr="005B0796">
              <w:t>0.4</w:t>
            </w:r>
          </w:p>
        </w:tc>
        <w:tc>
          <w:tcPr>
            <w:tcW w:w="856" w:type="dxa"/>
            <w:hideMark/>
          </w:tcPr>
          <w:p w:rsidR="008F7AA7" w:rsidRPr="005B0796" w:rsidRDefault="008F7AA7" w:rsidP="00CB47B9">
            <w:pPr>
              <w:pStyle w:val="TableText"/>
              <w:jc w:val="right"/>
            </w:pPr>
            <w:r w:rsidRPr="005B0796">
              <w:t>0.1, 1.5</w:t>
            </w:r>
          </w:p>
        </w:tc>
        <w:tc>
          <w:tcPr>
            <w:tcW w:w="857" w:type="dxa"/>
            <w:noWrap/>
            <w:hideMark/>
          </w:tcPr>
          <w:p w:rsidR="008F7AA7" w:rsidRPr="005B0796" w:rsidRDefault="008F7AA7" w:rsidP="00CB47B9">
            <w:pPr>
              <w:pStyle w:val="TableText"/>
              <w:jc w:val="right"/>
              <w:rPr>
                <w:i/>
              </w:rPr>
            </w:pPr>
            <w:r w:rsidRPr="005B0796">
              <w:t>14</w:t>
            </w:r>
          </w:p>
        </w:tc>
        <w:tc>
          <w:tcPr>
            <w:tcW w:w="856" w:type="dxa"/>
            <w:hideMark/>
          </w:tcPr>
          <w:p w:rsidR="008F7AA7" w:rsidRPr="005B0796" w:rsidRDefault="008F7AA7" w:rsidP="00CB47B9">
            <w:pPr>
              <w:pStyle w:val="TableText"/>
              <w:jc w:val="right"/>
            </w:pPr>
            <w:r w:rsidRPr="005B0796">
              <w:t>0.2</w:t>
            </w:r>
          </w:p>
        </w:tc>
        <w:tc>
          <w:tcPr>
            <w:tcW w:w="857" w:type="dxa"/>
            <w:hideMark/>
          </w:tcPr>
          <w:p w:rsidR="008F7AA7" w:rsidRPr="005B0796" w:rsidRDefault="008F7AA7" w:rsidP="00CB47B9">
            <w:pPr>
              <w:pStyle w:val="TableText"/>
              <w:jc w:val="right"/>
            </w:pPr>
            <w:r w:rsidRPr="005B0796">
              <w:t>0.0, 1.5</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PTSD and any alcohol disorder</w:t>
            </w:r>
          </w:p>
        </w:tc>
        <w:tc>
          <w:tcPr>
            <w:tcW w:w="856" w:type="dxa"/>
            <w:noWrap/>
            <w:hideMark/>
          </w:tcPr>
          <w:p w:rsidR="008F7AA7" w:rsidRPr="005B0796" w:rsidRDefault="008F7AA7" w:rsidP="00CB47B9">
            <w:pPr>
              <w:pStyle w:val="TableText"/>
              <w:jc w:val="right"/>
            </w:pPr>
            <w:r w:rsidRPr="005B0796">
              <w:t>126</w:t>
            </w:r>
          </w:p>
        </w:tc>
        <w:tc>
          <w:tcPr>
            <w:tcW w:w="856" w:type="dxa"/>
            <w:hideMark/>
          </w:tcPr>
          <w:p w:rsidR="008F7AA7" w:rsidRPr="005B0796" w:rsidRDefault="008F7AA7" w:rsidP="00CB47B9">
            <w:pPr>
              <w:pStyle w:val="TableText"/>
              <w:jc w:val="right"/>
            </w:pPr>
            <w:r w:rsidRPr="005B0796">
              <w:t>1.1</w:t>
            </w:r>
          </w:p>
        </w:tc>
        <w:tc>
          <w:tcPr>
            <w:tcW w:w="857" w:type="dxa"/>
            <w:hideMark/>
          </w:tcPr>
          <w:p w:rsidR="008F7AA7" w:rsidRPr="005B0796" w:rsidRDefault="008F7AA7" w:rsidP="00CB47B9">
            <w:pPr>
              <w:pStyle w:val="TableText"/>
              <w:jc w:val="right"/>
            </w:pPr>
            <w:r w:rsidRPr="005B0796">
              <w:t>0.2, 6.1</w:t>
            </w:r>
          </w:p>
        </w:tc>
        <w:tc>
          <w:tcPr>
            <w:tcW w:w="856" w:type="dxa"/>
            <w:noWrap/>
            <w:hideMark/>
          </w:tcPr>
          <w:p w:rsidR="008F7AA7" w:rsidRPr="005B0796" w:rsidRDefault="008F7AA7" w:rsidP="00CB47B9">
            <w:pPr>
              <w:pStyle w:val="TableText"/>
              <w:jc w:val="right"/>
              <w:rPr>
                <w:i/>
              </w:rPr>
            </w:pPr>
            <w:r w:rsidRPr="005B0796">
              <w:t>64</w:t>
            </w:r>
          </w:p>
        </w:tc>
        <w:tc>
          <w:tcPr>
            <w:tcW w:w="857" w:type="dxa"/>
            <w:hideMark/>
          </w:tcPr>
          <w:p w:rsidR="008F7AA7" w:rsidRPr="005B0796" w:rsidRDefault="008F7AA7" w:rsidP="00CB47B9">
            <w:pPr>
              <w:pStyle w:val="TableText"/>
              <w:jc w:val="right"/>
            </w:pPr>
            <w:r w:rsidRPr="005B0796">
              <w:t>1.0</w:t>
            </w:r>
          </w:p>
        </w:tc>
        <w:tc>
          <w:tcPr>
            <w:tcW w:w="856" w:type="dxa"/>
            <w:hideMark/>
          </w:tcPr>
          <w:p w:rsidR="008F7AA7" w:rsidRPr="005B0796" w:rsidRDefault="008F7AA7" w:rsidP="00CB47B9">
            <w:pPr>
              <w:pStyle w:val="TableText"/>
              <w:jc w:val="right"/>
            </w:pPr>
            <w:r w:rsidRPr="005B0796">
              <w:t>0.4, 2.3</w:t>
            </w:r>
          </w:p>
        </w:tc>
        <w:tc>
          <w:tcPr>
            <w:tcW w:w="857" w:type="dxa"/>
            <w:noWrap/>
            <w:hideMark/>
          </w:tcPr>
          <w:p w:rsidR="008F7AA7" w:rsidRPr="005B0796" w:rsidRDefault="008F7AA7" w:rsidP="00CB47B9">
            <w:pPr>
              <w:pStyle w:val="TableText"/>
              <w:jc w:val="right"/>
              <w:rPr>
                <w:i/>
              </w:rPr>
            </w:pPr>
            <w:r w:rsidRPr="005B0796">
              <w:t>139</w:t>
            </w:r>
          </w:p>
        </w:tc>
        <w:tc>
          <w:tcPr>
            <w:tcW w:w="856" w:type="dxa"/>
            <w:hideMark/>
          </w:tcPr>
          <w:p w:rsidR="008F7AA7" w:rsidRPr="005B0796" w:rsidRDefault="008F7AA7" w:rsidP="00CB47B9">
            <w:pPr>
              <w:pStyle w:val="TableText"/>
              <w:jc w:val="right"/>
            </w:pPr>
            <w:r w:rsidRPr="005B0796">
              <w:t>2.0</w:t>
            </w:r>
          </w:p>
        </w:tc>
        <w:tc>
          <w:tcPr>
            <w:tcW w:w="857" w:type="dxa"/>
            <w:hideMark/>
          </w:tcPr>
          <w:p w:rsidR="008F7AA7" w:rsidRPr="005B0796" w:rsidRDefault="008F7AA7" w:rsidP="00CB47B9">
            <w:pPr>
              <w:pStyle w:val="TableText"/>
              <w:jc w:val="right"/>
            </w:pPr>
            <w:r w:rsidRPr="005B0796">
              <w:t>0.4, 10.2</w:t>
            </w:r>
          </w:p>
        </w:tc>
      </w:tr>
      <w:tr w:rsidR="00CB47B9" w:rsidRPr="005B0796" w:rsidTr="001828B4">
        <w:tc>
          <w:tcPr>
            <w:tcW w:w="3798" w:type="dxa"/>
            <w:hideMark/>
          </w:tcPr>
          <w:p w:rsidR="008F7AA7" w:rsidRPr="005B0796" w:rsidRDefault="008F7AA7" w:rsidP="00CB47B9">
            <w:pPr>
              <w:pStyle w:val="TableText"/>
            </w:pPr>
            <w:r w:rsidRPr="005B0796">
              <w:t>Any anxiety disorder (excl. PTSD) and any affective disorder</w:t>
            </w:r>
          </w:p>
        </w:tc>
        <w:tc>
          <w:tcPr>
            <w:tcW w:w="856" w:type="dxa"/>
            <w:noWrap/>
            <w:hideMark/>
          </w:tcPr>
          <w:p w:rsidR="008F7AA7" w:rsidRPr="005B0796" w:rsidRDefault="008F7AA7" w:rsidP="00CB47B9">
            <w:pPr>
              <w:pStyle w:val="TableText"/>
              <w:jc w:val="right"/>
            </w:pPr>
            <w:r w:rsidRPr="005B0796">
              <w:t>972</w:t>
            </w:r>
          </w:p>
        </w:tc>
        <w:tc>
          <w:tcPr>
            <w:tcW w:w="856" w:type="dxa"/>
            <w:hideMark/>
          </w:tcPr>
          <w:p w:rsidR="008F7AA7" w:rsidRPr="005B0796" w:rsidRDefault="008F7AA7" w:rsidP="00CB47B9">
            <w:pPr>
              <w:pStyle w:val="TableText"/>
              <w:jc w:val="right"/>
            </w:pPr>
            <w:r w:rsidRPr="005B0796">
              <w:t>8.5</w:t>
            </w:r>
          </w:p>
        </w:tc>
        <w:tc>
          <w:tcPr>
            <w:tcW w:w="857" w:type="dxa"/>
            <w:hideMark/>
          </w:tcPr>
          <w:p w:rsidR="008F7AA7" w:rsidRPr="005B0796" w:rsidRDefault="008F7AA7" w:rsidP="00CB47B9">
            <w:pPr>
              <w:pStyle w:val="TableText"/>
              <w:jc w:val="right"/>
            </w:pPr>
            <w:r w:rsidRPr="005B0796">
              <w:t>5.1, 13.7</w:t>
            </w:r>
          </w:p>
        </w:tc>
        <w:tc>
          <w:tcPr>
            <w:tcW w:w="856" w:type="dxa"/>
            <w:noWrap/>
            <w:hideMark/>
          </w:tcPr>
          <w:p w:rsidR="008F7AA7" w:rsidRPr="005B0796" w:rsidRDefault="008F7AA7" w:rsidP="00CB47B9">
            <w:pPr>
              <w:pStyle w:val="TableText"/>
              <w:jc w:val="right"/>
              <w:rPr>
                <w:i/>
              </w:rPr>
            </w:pPr>
            <w:r w:rsidRPr="005B0796">
              <w:t>251</w:t>
            </w:r>
          </w:p>
        </w:tc>
        <w:tc>
          <w:tcPr>
            <w:tcW w:w="857" w:type="dxa"/>
            <w:hideMark/>
          </w:tcPr>
          <w:p w:rsidR="008F7AA7" w:rsidRPr="005B0796" w:rsidRDefault="008F7AA7" w:rsidP="00CB47B9">
            <w:pPr>
              <w:pStyle w:val="TableText"/>
              <w:jc w:val="right"/>
            </w:pPr>
            <w:r w:rsidRPr="005B0796">
              <w:t>3.9</w:t>
            </w:r>
          </w:p>
        </w:tc>
        <w:tc>
          <w:tcPr>
            <w:tcW w:w="856" w:type="dxa"/>
            <w:hideMark/>
          </w:tcPr>
          <w:p w:rsidR="008F7AA7" w:rsidRPr="005B0796" w:rsidRDefault="008F7AA7" w:rsidP="00CB47B9">
            <w:pPr>
              <w:pStyle w:val="TableText"/>
              <w:jc w:val="right"/>
            </w:pPr>
            <w:r w:rsidRPr="005B0796">
              <w:t>1.5, 10.0</w:t>
            </w:r>
          </w:p>
        </w:tc>
        <w:tc>
          <w:tcPr>
            <w:tcW w:w="857" w:type="dxa"/>
            <w:noWrap/>
            <w:hideMark/>
          </w:tcPr>
          <w:p w:rsidR="008F7AA7" w:rsidRPr="005B0796" w:rsidRDefault="008F7AA7" w:rsidP="00CB47B9">
            <w:pPr>
              <w:pStyle w:val="TableText"/>
              <w:jc w:val="right"/>
              <w:rPr>
                <w:i/>
              </w:rPr>
            </w:pPr>
            <w:r w:rsidRPr="005B0796">
              <w:t>195</w:t>
            </w:r>
          </w:p>
        </w:tc>
        <w:tc>
          <w:tcPr>
            <w:tcW w:w="856" w:type="dxa"/>
            <w:hideMark/>
          </w:tcPr>
          <w:p w:rsidR="008F7AA7" w:rsidRPr="005B0796" w:rsidRDefault="008F7AA7" w:rsidP="00CB47B9">
            <w:pPr>
              <w:pStyle w:val="TableText"/>
              <w:jc w:val="right"/>
            </w:pPr>
            <w:r w:rsidRPr="005B0796">
              <w:t>2.8</w:t>
            </w:r>
          </w:p>
        </w:tc>
        <w:tc>
          <w:tcPr>
            <w:tcW w:w="857" w:type="dxa"/>
            <w:hideMark/>
          </w:tcPr>
          <w:p w:rsidR="008F7AA7" w:rsidRPr="005B0796" w:rsidRDefault="008F7AA7" w:rsidP="00CB47B9">
            <w:pPr>
              <w:pStyle w:val="TableText"/>
              <w:jc w:val="right"/>
            </w:pPr>
            <w:r w:rsidRPr="005B0796">
              <w:t>0.9, 8.1</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Any anxiety disorder (excl. PTSD) and PTSD</w:t>
            </w:r>
          </w:p>
        </w:tc>
        <w:tc>
          <w:tcPr>
            <w:tcW w:w="856" w:type="dxa"/>
            <w:noWrap/>
            <w:hideMark/>
          </w:tcPr>
          <w:p w:rsidR="008F7AA7" w:rsidRPr="005B0796" w:rsidRDefault="008F7AA7" w:rsidP="00CB47B9">
            <w:pPr>
              <w:pStyle w:val="TableText"/>
              <w:jc w:val="right"/>
            </w:pPr>
            <w:r w:rsidRPr="005B0796">
              <w:t>366</w:t>
            </w:r>
          </w:p>
        </w:tc>
        <w:tc>
          <w:tcPr>
            <w:tcW w:w="856" w:type="dxa"/>
            <w:hideMark/>
          </w:tcPr>
          <w:p w:rsidR="008F7AA7" w:rsidRPr="005B0796" w:rsidRDefault="008F7AA7" w:rsidP="00CB47B9">
            <w:pPr>
              <w:pStyle w:val="TableText"/>
              <w:jc w:val="right"/>
            </w:pPr>
            <w:r w:rsidRPr="005B0796">
              <w:t>3.2</w:t>
            </w:r>
          </w:p>
        </w:tc>
        <w:tc>
          <w:tcPr>
            <w:tcW w:w="857" w:type="dxa"/>
            <w:hideMark/>
          </w:tcPr>
          <w:p w:rsidR="008F7AA7" w:rsidRPr="005B0796" w:rsidRDefault="008F7AA7" w:rsidP="00CB47B9">
            <w:pPr>
              <w:pStyle w:val="TableText"/>
              <w:jc w:val="right"/>
            </w:pPr>
            <w:r w:rsidRPr="005B0796">
              <w:t>1.6, 6.3</w:t>
            </w:r>
          </w:p>
        </w:tc>
        <w:tc>
          <w:tcPr>
            <w:tcW w:w="856" w:type="dxa"/>
            <w:noWrap/>
            <w:hideMark/>
          </w:tcPr>
          <w:p w:rsidR="008F7AA7" w:rsidRPr="005B0796" w:rsidRDefault="008F7AA7" w:rsidP="00CB47B9">
            <w:pPr>
              <w:pStyle w:val="TableText"/>
              <w:jc w:val="right"/>
              <w:rPr>
                <w:i/>
              </w:rPr>
            </w:pPr>
            <w:r w:rsidRPr="005B0796">
              <w:t>187</w:t>
            </w:r>
          </w:p>
        </w:tc>
        <w:tc>
          <w:tcPr>
            <w:tcW w:w="857" w:type="dxa"/>
            <w:hideMark/>
          </w:tcPr>
          <w:p w:rsidR="008F7AA7" w:rsidRPr="005B0796" w:rsidRDefault="008F7AA7" w:rsidP="00CB47B9">
            <w:pPr>
              <w:pStyle w:val="TableText"/>
              <w:jc w:val="right"/>
            </w:pPr>
            <w:r w:rsidRPr="005B0796">
              <w:t>2.9</w:t>
            </w:r>
          </w:p>
        </w:tc>
        <w:tc>
          <w:tcPr>
            <w:tcW w:w="856" w:type="dxa"/>
            <w:hideMark/>
          </w:tcPr>
          <w:p w:rsidR="008F7AA7" w:rsidRPr="005B0796" w:rsidRDefault="008F7AA7" w:rsidP="00CB47B9">
            <w:pPr>
              <w:pStyle w:val="TableText"/>
              <w:jc w:val="right"/>
            </w:pPr>
            <w:r w:rsidRPr="005B0796">
              <w:t>1.7, 5.0</w:t>
            </w:r>
          </w:p>
        </w:tc>
        <w:tc>
          <w:tcPr>
            <w:tcW w:w="857" w:type="dxa"/>
            <w:noWrap/>
            <w:hideMark/>
          </w:tcPr>
          <w:p w:rsidR="008F7AA7" w:rsidRPr="005B0796" w:rsidRDefault="008F7AA7" w:rsidP="00CB47B9">
            <w:pPr>
              <w:pStyle w:val="TableText"/>
              <w:jc w:val="right"/>
              <w:rPr>
                <w:i/>
              </w:rPr>
            </w:pPr>
            <w:r w:rsidRPr="005B0796">
              <w:t>272</w:t>
            </w:r>
          </w:p>
        </w:tc>
        <w:tc>
          <w:tcPr>
            <w:tcW w:w="856" w:type="dxa"/>
            <w:hideMark/>
          </w:tcPr>
          <w:p w:rsidR="008F7AA7" w:rsidRPr="005B0796" w:rsidRDefault="008F7AA7" w:rsidP="00CB47B9">
            <w:pPr>
              <w:pStyle w:val="TableText"/>
              <w:jc w:val="right"/>
            </w:pPr>
            <w:r w:rsidRPr="005B0796">
              <w:t>3.9</w:t>
            </w:r>
          </w:p>
        </w:tc>
        <w:tc>
          <w:tcPr>
            <w:tcW w:w="857" w:type="dxa"/>
            <w:hideMark/>
          </w:tcPr>
          <w:p w:rsidR="008F7AA7" w:rsidRPr="005B0796" w:rsidRDefault="008F7AA7" w:rsidP="00CB47B9">
            <w:pPr>
              <w:pStyle w:val="TableText"/>
              <w:jc w:val="right"/>
            </w:pPr>
            <w:r w:rsidRPr="005B0796">
              <w:t>1.5, 9.5</w:t>
            </w:r>
          </w:p>
        </w:tc>
      </w:tr>
      <w:tr w:rsidR="00CB47B9" w:rsidRPr="005B0796" w:rsidTr="001828B4">
        <w:tc>
          <w:tcPr>
            <w:tcW w:w="3798" w:type="dxa"/>
            <w:hideMark/>
          </w:tcPr>
          <w:p w:rsidR="008F7AA7" w:rsidRPr="005B0796" w:rsidRDefault="008F7AA7" w:rsidP="00CB47B9">
            <w:pPr>
              <w:pStyle w:val="TableText"/>
            </w:pPr>
            <w:r w:rsidRPr="005B0796">
              <w:t>Any affective disorder and PTSD</w:t>
            </w:r>
          </w:p>
        </w:tc>
        <w:tc>
          <w:tcPr>
            <w:tcW w:w="856" w:type="dxa"/>
            <w:noWrap/>
            <w:hideMark/>
          </w:tcPr>
          <w:p w:rsidR="008F7AA7" w:rsidRPr="005B0796" w:rsidRDefault="008F7AA7" w:rsidP="00CB47B9">
            <w:pPr>
              <w:pStyle w:val="TableText"/>
              <w:jc w:val="right"/>
            </w:pPr>
            <w:r w:rsidRPr="005B0796">
              <w:t>217</w:t>
            </w:r>
          </w:p>
        </w:tc>
        <w:tc>
          <w:tcPr>
            <w:tcW w:w="856" w:type="dxa"/>
            <w:hideMark/>
          </w:tcPr>
          <w:p w:rsidR="008F7AA7" w:rsidRPr="005B0796" w:rsidRDefault="008F7AA7" w:rsidP="00CB47B9">
            <w:pPr>
              <w:pStyle w:val="TableText"/>
              <w:jc w:val="right"/>
            </w:pPr>
            <w:r w:rsidRPr="005B0796">
              <w:t>1.9</w:t>
            </w:r>
          </w:p>
        </w:tc>
        <w:tc>
          <w:tcPr>
            <w:tcW w:w="857" w:type="dxa"/>
            <w:hideMark/>
          </w:tcPr>
          <w:p w:rsidR="008F7AA7" w:rsidRPr="005B0796" w:rsidRDefault="008F7AA7" w:rsidP="00CB47B9">
            <w:pPr>
              <w:pStyle w:val="TableText"/>
              <w:jc w:val="right"/>
            </w:pPr>
            <w:r w:rsidRPr="005B0796">
              <w:t>0.8, 4.6</w:t>
            </w:r>
          </w:p>
        </w:tc>
        <w:tc>
          <w:tcPr>
            <w:tcW w:w="856" w:type="dxa"/>
            <w:noWrap/>
            <w:hideMark/>
          </w:tcPr>
          <w:p w:rsidR="008F7AA7" w:rsidRPr="005B0796" w:rsidRDefault="008F7AA7" w:rsidP="00CB47B9">
            <w:pPr>
              <w:pStyle w:val="TableText"/>
              <w:jc w:val="right"/>
              <w:rPr>
                <w:i/>
              </w:rPr>
            </w:pPr>
            <w:r w:rsidRPr="005B0796">
              <w:t>13</w:t>
            </w:r>
          </w:p>
        </w:tc>
        <w:tc>
          <w:tcPr>
            <w:tcW w:w="857" w:type="dxa"/>
            <w:hideMark/>
          </w:tcPr>
          <w:p w:rsidR="008F7AA7" w:rsidRPr="005B0796" w:rsidRDefault="008F7AA7" w:rsidP="00CB47B9">
            <w:pPr>
              <w:pStyle w:val="TableText"/>
              <w:jc w:val="right"/>
            </w:pPr>
            <w:r w:rsidRPr="005B0796">
              <w:t>0.2</w:t>
            </w:r>
          </w:p>
        </w:tc>
        <w:tc>
          <w:tcPr>
            <w:tcW w:w="856" w:type="dxa"/>
            <w:hideMark/>
          </w:tcPr>
          <w:p w:rsidR="008F7AA7" w:rsidRPr="005B0796" w:rsidRDefault="008F7AA7" w:rsidP="00CB47B9">
            <w:pPr>
              <w:pStyle w:val="TableText"/>
              <w:jc w:val="right"/>
            </w:pPr>
            <w:r w:rsidRPr="005B0796">
              <w:t>0.0, 1.2</w:t>
            </w:r>
          </w:p>
        </w:tc>
        <w:tc>
          <w:tcPr>
            <w:tcW w:w="857" w:type="dxa"/>
            <w:noWrap/>
            <w:hideMark/>
          </w:tcPr>
          <w:p w:rsidR="008F7AA7" w:rsidRPr="005B0796" w:rsidRDefault="008F7AA7" w:rsidP="00CB47B9">
            <w:pPr>
              <w:pStyle w:val="TableText"/>
              <w:jc w:val="right"/>
              <w:rPr>
                <w:i/>
              </w:rPr>
            </w:pPr>
            <w:r w:rsidRPr="005B0796">
              <w:t>160</w:t>
            </w:r>
          </w:p>
        </w:tc>
        <w:tc>
          <w:tcPr>
            <w:tcW w:w="856" w:type="dxa"/>
            <w:hideMark/>
          </w:tcPr>
          <w:p w:rsidR="008F7AA7" w:rsidRPr="005B0796" w:rsidRDefault="008F7AA7" w:rsidP="00CB47B9">
            <w:pPr>
              <w:pStyle w:val="TableText"/>
              <w:jc w:val="right"/>
            </w:pPr>
            <w:r w:rsidRPr="005B0796">
              <w:t>2.3</w:t>
            </w:r>
          </w:p>
        </w:tc>
        <w:tc>
          <w:tcPr>
            <w:tcW w:w="857" w:type="dxa"/>
            <w:hideMark/>
          </w:tcPr>
          <w:p w:rsidR="008F7AA7" w:rsidRPr="005B0796" w:rsidRDefault="008F7AA7" w:rsidP="00CB47B9">
            <w:pPr>
              <w:pStyle w:val="TableText"/>
              <w:jc w:val="right"/>
            </w:pPr>
            <w:r w:rsidRPr="005B0796">
              <w:t>0.5, 9.6</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Two mental disorder classes</w:t>
            </w:r>
          </w:p>
        </w:tc>
        <w:tc>
          <w:tcPr>
            <w:tcW w:w="856" w:type="dxa"/>
            <w:noWrap/>
            <w:hideMark/>
          </w:tcPr>
          <w:p w:rsidR="008F7AA7" w:rsidRPr="005B0796" w:rsidRDefault="008F7AA7" w:rsidP="00CB47B9">
            <w:pPr>
              <w:pStyle w:val="TableText"/>
              <w:jc w:val="right"/>
            </w:pPr>
            <w:r w:rsidRPr="005B0796">
              <w:t>2196</w:t>
            </w:r>
          </w:p>
        </w:tc>
        <w:tc>
          <w:tcPr>
            <w:tcW w:w="856" w:type="dxa"/>
            <w:hideMark/>
          </w:tcPr>
          <w:p w:rsidR="008F7AA7" w:rsidRPr="005B0796" w:rsidRDefault="008F7AA7" w:rsidP="00CB47B9">
            <w:pPr>
              <w:pStyle w:val="TableText"/>
              <w:jc w:val="right"/>
            </w:pPr>
            <w:r w:rsidRPr="005B0796">
              <w:t>19.2</w:t>
            </w:r>
          </w:p>
        </w:tc>
        <w:tc>
          <w:tcPr>
            <w:tcW w:w="857" w:type="dxa"/>
            <w:hideMark/>
          </w:tcPr>
          <w:p w:rsidR="008F7AA7" w:rsidRPr="005B0796" w:rsidRDefault="008F7AA7" w:rsidP="00CB47B9">
            <w:pPr>
              <w:pStyle w:val="TableText"/>
              <w:jc w:val="right"/>
            </w:pPr>
            <w:r w:rsidRPr="005B0796">
              <w:t>14.1, 25.7</w:t>
            </w:r>
          </w:p>
        </w:tc>
        <w:tc>
          <w:tcPr>
            <w:tcW w:w="856" w:type="dxa"/>
            <w:noWrap/>
            <w:hideMark/>
          </w:tcPr>
          <w:p w:rsidR="008F7AA7" w:rsidRPr="005B0796" w:rsidRDefault="008F7AA7" w:rsidP="00CB47B9">
            <w:pPr>
              <w:pStyle w:val="TableText"/>
              <w:jc w:val="right"/>
              <w:rPr>
                <w:i/>
              </w:rPr>
            </w:pPr>
            <w:r w:rsidRPr="005B0796">
              <w:t>670</w:t>
            </w:r>
          </w:p>
        </w:tc>
        <w:tc>
          <w:tcPr>
            <w:tcW w:w="857" w:type="dxa"/>
            <w:hideMark/>
          </w:tcPr>
          <w:p w:rsidR="008F7AA7" w:rsidRPr="005B0796" w:rsidRDefault="008F7AA7" w:rsidP="00CB47B9">
            <w:pPr>
              <w:pStyle w:val="TableText"/>
              <w:jc w:val="right"/>
            </w:pPr>
            <w:r w:rsidRPr="005B0796">
              <w:t>10.4</w:t>
            </w:r>
          </w:p>
        </w:tc>
        <w:tc>
          <w:tcPr>
            <w:tcW w:w="856" w:type="dxa"/>
            <w:hideMark/>
          </w:tcPr>
          <w:p w:rsidR="008F7AA7" w:rsidRPr="005B0796" w:rsidRDefault="008F7AA7" w:rsidP="00CB47B9">
            <w:pPr>
              <w:pStyle w:val="TableText"/>
              <w:jc w:val="right"/>
            </w:pPr>
            <w:r w:rsidRPr="005B0796">
              <w:t>6.3, 16.7</w:t>
            </w:r>
          </w:p>
        </w:tc>
        <w:tc>
          <w:tcPr>
            <w:tcW w:w="857" w:type="dxa"/>
            <w:noWrap/>
            <w:hideMark/>
          </w:tcPr>
          <w:p w:rsidR="008F7AA7" w:rsidRPr="005B0796" w:rsidRDefault="008F7AA7" w:rsidP="00CB47B9">
            <w:pPr>
              <w:pStyle w:val="TableText"/>
              <w:jc w:val="right"/>
              <w:rPr>
                <w:i/>
              </w:rPr>
            </w:pPr>
            <w:r w:rsidRPr="005B0796">
              <w:t>920</w:t>
            </w:r>
          </w:p>
        </w:tc>
        <w:tc>
          <w:tcPr>
            <w:tcW w:w="856" w:type="dxa"/>
            <w:hideMark/>
          </w:tcPr>
          <w:p w:rsidR="008F7AA7" w:rsidRPr="005B0796" w:rsidRDefault="008F7AA7" w:rsidP="00CB47B9">
            <w:pPr>
              <w:pStyle w:val="TableText"/>
              <w:jc w:val="right"/>
            </w:pPr>
            <w:r w:rsidRPr="005B0796">
              <w:t>13.2</w:t>
            </w:r>
          </w:p>
        </w:tc>
        <w:tc>
          <w:tcPr>
            <w:tcW w:w="857" w:type="dxa"/>
            <w:hideMark/>
          </w:tcPr>
          <w:p w:rsidR="008F7AA7" w:rsidRPr="005B0796" w:rsidRDefault="008F7AA7" w:rsidP="00CB47B9">
            <w:pPr>
              <w:pStyle w:val="TableText"/>
              <w:jc w:val="right"/>
            </w:pPr>
            <w:r w:rsidRPr="005B0796">
              <w:t>7.8, 21.5</w:t>
            </w:r>
          </w:p>
        </w:tc>
      </w:tr>
      <w:tr w:rsidR="008F7AA7" w:rsidRPr="005B0796" w:rsidTr="001828B4">
        <w:tc>
          <w:tcPr>
            <w:tcW w:w="3798" w:type="dxa"/>
            <w:hideMark/>
          </w:tcPr>
          <w:p w:rsidR="008F7AA7" w:rsidRPr="005B0796" w:rsidRDefault="008F7AA7" w:rsidP="00CB47B9">
            <w:pPr>
              <w:pStyle w:val="TableText"/>
            </w:pPr>
            <w:r w:rsidRPr="005B0796">
              <w:t xml:space="preserve">Any anxiety disorder (excl. PTSD) and any alcohol disorder and PTSD </w:t>
            </w:r>
          </w:p>
        </w:tc>
        <w:tc>
          <w:tcPr>
            <w:tcW w:w="856" w:type="dxa"/>
            <w:noWrap/>
            <w:hideMark/>
          </w:tcPr>
          <w:p w:rsidR="008F7AA7" w:rsidRPr="005B0796" w:rsidRDefault="008F7AA7" w:rsidP="00CB47B9">
            <w:pPr>
              <w:pStyle w:val="TableText"/>
              <w:jc w:val="right"/>
            </w:pPr>
            <w:r w:rsidRPr="005B0796">
              <w:t>275</w:t>
            </w:r>
          </w:p>
        </w:tc>
        <w:tc>
          <w:tcPr>
            <w:tcW w:w="856" w:type="dxa"/>
            <w:hideMark/>
          </w:tcPr>
          <w:p w:rsidR="008F7AA7" w:rsidRPr="005B0796" w:rsidRDefault="008F7AA7" w:rsidP="00CB47B9">
            <w:pPr>
              <w:pStyle w:val="TableText"/>
              <w:jc w:val="right"/>
            </w:pPr>
            <w:r w:rsidRPr="005B0796">
              <w:t>2.4</w:t>
            </w:r>
          </w:p>
        </w:tc>
        <w:tc>
          <w:tcPr>
            <w:tcW w:w="857" w:type="dxa"/>
            <w:hideMark/>
          </w:tcPr>
          <w:p w:rsidR="008F7AA7" w:rsidRPr="005B0796" w:rsidRDefault="008F7AA7" w:rsidP="00CB47B9">
            <w:pPr>
              <w:pStyle w:val="TableText"/>
              <w:jc w:val="right"/>
            </w:pPr>
            <w:r w:rsidRPr="005B0796">
              <w:t>0.8, 7.2</w:t>
            </w:r>
          </w:p>
        </w:tc>
        <w:tc>
          <w:tcPr>
            <w:tcW w:w="856" w:type="dxa"/>
            <w:noWrap/>
            <w:hideMark/>
          </w:tcPr>
          <w:p w:rsidR="008F7AA7" w:rsidRPr="005B0796" w:rsidRDefault="008F7AA7" w:rsidP="00CB47B9">
            <w:pPr>
              <w:pStyle w:val="TableText"/>
              <w:jc w:val="right"/>
              <w:rPr>
                <w:i/>
              </w:rPr>
            </w:pPr>
            <w:r w:rsidRPr="005B0796">
              <w:t>71</w:t>
            </w:r>
          </w:p>
        </w:tc>
        <w:tc>
          <w:tcPr>
            <w:tcW w:w="857" w:type="dxa"/>
            <w:hideMark/>
          </w:tcPr>
          <w:p w:rsidR="008F7AA7" w:rsidRPr="005B0796" w:rsidRDefault="008F7AA7" w:rsidP="00CB47B9">
            <w:pPr>
              <w:pStyle w:val="TableText"/>
              <w:jc w:val="right"/>
            </w:pPr>
            <w:r w:rsidRPr="005B0796">
              <w:t>1.1</w:t>
            </w:r>
          </w:p>
        </w:tc>
        <w:tc>
          <w:tcPr>
            <w:tcW w:w="856" w:type="dxa"/>
            <w:hideMark/>
          </w:tcPr>
          <w:p w:rsidR="008F7AA7" w:rsidRPr="005B0796" w:rsidRDefault="008F7AA7" w:rsidP="00CB47B9">
            <w:pPr>
              <w:pStyle w:val="TableText"/>
              <w:jc w:val="right"/>
            </w:pPr>
            <w:r w:rsidRPr="005B0796">
              <w:t>0.2, 6.7</w:t>
            </w:r>
          </w:p>
        </w:tc>
        <w:tc>
          <w:tcPr>
            <w:tcW w:w="857" w:type="dxa"/>
            <w:noWrap/>
            <w:hideMark/>
          </w:tcPr>
          <w:p w:rsidR="008F7AA7" w:rsidRPr="005B0796" w:rsidRDefault="008F7AA7" w:rsidP="00CB47B9">
            <w:pPr>
              <w:pStyle w:val="TableText"/>
              <w:jc w:val="right"/>
              <w:rPr>
                <w:i/>
              </w:rPr>
            </w:pPr>
            <w:r w:rsidRPr="005B0796">
              <w:t>0</w:t>
            </w:r>
          </w:p>
        </w:tc>
        <w:tc>
          <w:tcPr>
            <w:tcW w:w="856" w:type="dxa"/>
            <w:hideMark/>
          </w:tcPr>
          <w:p w:rsidR="008F7AA7" w:rsidRPr="005B0796" w:rsidRDefault="008F7AA7" w:rsidP="00CB47B9">
            <w:pPr>
              <w:pStyle w:val="TableText"/>
              <w:jc w:val="right"/>
            </w:pPr>
            <w:r w:rsidRPr="005B0796">
              <w:t>0.0</w:t>
            </w:r>
          </w:p>
        </w:tc>
        <w:tc>
          <w:tcPr>
            <w:tcW w:w="857" w:type="dxa"/>
            <w:hideMark/>
          </w:tcPr>
          <w:p w:rsidR="008F7AA7" w:rsidRPr="005B0796" w:rsidRDefault="008F7AA7" w:rsidP="00CB47B9">
            <w:pPr>
              <w:pStyle w:val="TableText"/>
              <w:jc w:val="right"/>
            </w:pPr>
            <w:r w:rsidRPr="005B0796">
              <w:t>0.0</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Any anxiety disorder (excl. PTSD) and any alcohol disorder and any affective disorder</w:t>
            </w:r>
          </w:p>
        </w:tc>
        <w:tc>
          <w:tcPr>
            <w:tcW w:w="856" w:type="dxa"/>
            <w:noWrap/>
            <w:hideMark/>
          </w:tcPr>
          <w:p w:rsidR="008F7AA7" w:rsidRPr="005B0796" w:rsidRDefault="008F7AA7" w:rsidP="00CB47B9">
            <w:pPr>
              <w:pStyle w:val="TableText"/>
              <w:jc w:val="right"/>
            </w:pPr>
            <w:r w:rsidRPr="005B0796">
              <w:t>515</w:t>
            </w:r>
          </w:p>
        </w:tc>
        <w:tc>
          <w:tcPr>
            <w:tcW w:w="856" w:type="dxa"/>
            <w:hideMark/>
          </w:tcPr>
          <w:p w:rsidR="008F7AA7" w:rsidRPr="005B0796" w:rsidRDefault="008F7AA7" w:rsidP="00CB47B9">
            <w:pPr>
              <w:pStyle w:val="TableText"/>
              <w:jc w:val="right"/>
            </w:pPr>
            <w:r w:rsidRPr="005B0796">
              <w:t>4.5</w:t>
            </w:r>
          </w:p>
        </w:tc>
        <w:tc>
          <w:tcPr>
            <w:tcW w:w="857" w:type="dxa"/>
            <w:hideMark/>
          </w:tcPr>
          <w:p w:rsidR="008F7AA7" w:rsidRPr="005B0796" w:rsidRDefault="008F7AA7" w:rsidP="00CB47B9">
            <w:pPr>
              <w:pStyle w:val="TableText"/>
              <w:jc w:val="right"/>
            </w:pPr>
            <w:r w:rsidRPr="005B0796">
              <w:t>2.0, 9.8</w:t>
            </w:r>
          </w:p>
        </w:tc>
        <w:tc>
          <w:tcPr>
            <w:tcW w:w="856" w:type="dxa"/>
            <w:noWrap/>
            <w:hideMark/>
          </w:tcPr>
          <w:p w:rsidR="008F7AA7" w:rsidRPr="005B0796" w:rsidRDefault="008F7AA7" w:rsidP="00CB47B9">
            <w:pPr>
              <w:pStyle w:val="TableText"/>
              <w:jc w:val="right"/>
              <w:rPr>
                <w:i/>
              </w:rPr>
            </w:pPr>
            <w:r w:rsidRPr="005B0796">
              <w:t>90</w:t>
            </w:r>
          </w:p>
        </w:tc>
        <w:tc>
          <w:tcPr>
            <w:tcW w:w="857" w:type="dxa"/>
            <w:hideMark/>
          </w:tcPr>
          <w:p w:rsidR="008F7AA7" w:rsidRPr="005B0796" w:rsidRDefault="008F7AA7" w:rsidP="00CB47B9">
            <w:pPr>
              <w:pStyle w:val="TableText"/>
              <w:jc w:val="right"/>
            </w:pPr>
            <w:r w:rsidRPr="005B0796">
              <w:t>1.4</w:t>
            </w:r>
          </w:p>
        </w:tc>
        <w:tc>
          <w:tcPr>
            <w:tcW w:w="856" w:type="dxa"/>
            <w:hideMark/>
          </w:tcPr>
          <w:p w:rsidR="008F7AA7" w:rsidRPr="005B0796" w:rsidRDefault="008F7AA7" w:rsidP="00CB47B9">
            <w:pPr>
              <w:pStyle w:val="TableText"/>
              <w:jc w:val="right"/>
            </w:pPr>
            <w:r w:rsidRPr="005B0796">
              <w:t>0.2, 8.8</w:t>
            </w:r>
          </w:p>
        </w:tc>
        <w:tc>
          <w:tcPr>
            <w:tcW w:w="857" w:type="dxa"/>
            <w:noWrap/>
            <w:hideMark/>
          </w:tcPr>
          <w:p w:rsidR="008F7AA7" w:rsidRPr="005B0796" w:rsidRDefault="008F7AA7" w:rsidP="00CB47B9">
            <w:pPr>
              <w:pStyle w:val="TableText"/>
              <w:jc w:val="right"/>
              <w:rPr>
                <w:i/>
              </w:rPr>
            </w:pPr>
            <w:r w:rsidRPr="005B0796">
              <w:t>139</w:t>
            </w:r>
          </w:p>
        </w:tc>
        <w:tc>
          <w:tcPr>
            <w:tcW w:w="856" w:type="dxa"/>
            <w:hideMark/>
          </w:tcPr>
          <w:p w:rsidR="008F7AA7" w:rsidRPr="005B0796" w:rsidRDefault="008F7AA7" w:rsidP="00CB47B9">
            <w:pPr>
              <w:pStyle w:val="TableText"/>
              <w:jc w:val="right"/>
            </w:pPr>
            <w:r w:rsidRPr="005B0796">
              <w:t>2.0</w:t>
            </w:r>
          </w:p>
        </w:tc>
        <w:tc>
          <w:tcPr>
            <w:tcW w:w="857" w:type="dxa"/>
            <w:hideMark/>
          </w:tcPr>
          <w:p w:rsidR="008F7AA7" w:rsidRPr="005B0796" w:rsidRDefault="008F7AA7" w:rsidP="00CB47B9">
            <w:pPr>
              <w:pStyle w:val="TableText"/>
              <w:jc w:val="right"/>
            </w:pPr>
            <w:r w:rsidRPr="005B0796">
              <w:t>0.4, 8.8</w:t>
            </w:r>
          </w:p>
        </w:tc>
      </w:tr>
      <w:tr w:rsidR="008F7AA7" w:rsidRPr="005B0796" w:rsidTr="001828B4">
        <w:tc>
          <w:tcPr>
            <w:tcW w:w="3798" w:type="dxa"/>
            <w:hideMark/>
          </w:tcPr>
          <w:p w:rsidR="008F7AA7" w:rsidRPr="005B0796" w:rsidRDefault="008F7AA7" w:rsidP="00CB47B9">
            <w:pPr>
              <w:pStyle w:val="TableText"/>
            </w:pPr>
            <w:r w:rsidRPr="005B0796">
              <w:t>Any alcohol disorder and PTSD and any affective disorder</w:t>
            </w:r>
          </w:p>
        </w:tc>
        <w:tc>
          <w:tcPr>
            <w:tcW w:w="856" w:type="dxa"/>
            <w:noWrap/>
            <w:hideMark/>
          </w:tcPr>
          <w:p w:rsidR="008F7AA7" w:rsidRPr="005B0796" w:rsidRDefault="008F7AA7" w:rsidP="00CB47B9">
            <w:pPr>
              <w:pStyle w:val="TableText"/>
              <w:jc w:val="right"/>
            </w:pPr>
            <w:r w:rsidRPr="005B0796">
              <w:t>11</w:t>
            </w:r>
          </w:p>
        </w:tc>
        <w:tc>
          <w:tcPr>
            <w:tcW w:w="856" w:type="dxa"/>
            <w:hideMark/>
          </w:tcPr>
          <w:p w:rsidR="008F7AA7" w:rsidRPr="005B0796" w:rsidRDefault="008F7AA7" w:rsidP="00CB47B9">
            <w:pPr>
              <w:pStyle w:val="TableText"/>
              <w:jc w:val="right"/>
            </w:pPr>
            <w:r w:rsidRPr="005B0796">
              <w:t>0.1</w:t>
            </w:r>
          </w:p>
        </w:tc>
        <w:tc>
          <w:tcPr>
            <w:tcW w:w="857" w:type="dxa"/>
            <w:hideMark/>
          </w:tcPr>
          <w:p w:rsidR="008F7AA7" w:rsidRPr="005B0796" w:rsidRDefault="008F7AA7" w:rsidP="00CB47B9">
            <w:pPr>
              <w:pStyle w:val="TableText"/>
              <w:jc w:val="right"/>
            </w:pPr>
            <w:r w:rsidRPr="005B0796">
              <w:t>0.0, 0.8</w:t>
            </w:r>
          </w:p>
        </w:tc>
        <w:tc>
          <w:tcPr>
            <w:tcW w:w="856" w:type="dxa"/>
            <w:noWrap/>
            <w:hideMark/>
          </w:tcPr>
          <w:p w:rsidR="008F7AA7" w:rsidRPr="005B0796" w:rsidRDefault="008F7AA7" w:rsidP="00CB47B9">
            <w:pPr>
              <w:pStyle w:val="TableText"/>
              <w:jc w:val="right"/>
              <w:rPr>
                <w:i/>
              </w:rPr>
            </w:pPr>
            <w:r w:rsidRPr="005B0796">
              <w:t>13</w:t>
            </w:r>
          </w:p>
        </w:tc>
        <w:tc>
          <w:tcPr>
            <w:tcW w:w="857" w:type="dxa"/>
            <w:hideMark/>
          </w:tcPr>
          <w:p w:rsidR="008F7AA7" w:rsidRPr="005B0796" w:rsidRDefault="008F7AA7" w:rsidP="00CB47B9">
            <w:pPr>
              <w:pStyle w:val="TableText"/>
              <w:jc w:val="right"/>
            </w:pPr>
            <w:r w:rsidRPr="005B0796">
              <w:t>0.2</w:t>
            </w:r>
          </w:p>
        </w:tc>
        <w:tc>
          <w:tcPr>
            <w:tcW w:w="856" w:type="dxa"/>
            <w:hideMark/>
          </w:tcPr>
          <w:p w:rsidR="008F7AA7" w:rsidRPr="005B0796" w:rsidRDefault="008F7AA7" w:rsidP="00CB47B9">
            <w:pPr>
              <w:pStyle w:val="TableText"/>
              <w:jc w:val="right"/>
            </w:pPr>
            <w:r w:rsidRPr="005B0796">
              <w:t>0.0, 1.3</w:t>
            </w:r>
          </w:p>
        </w:tc>
        <w:tc>
          <w:tcPr>
            <w:tcW w:w="857" w:type="dxa"/>
            <w:noWrap/>
            <w:hideMark/>
          </w:tcPr>
          <w:p w:rsidR="008F7AA7" w:rsidRPr="005B0796" w:rsidRDefault="008F7AA7" w:rsidP="00CB47B9">
            <w:pPr>
              <w:pStyle w:val="TableText"/>
              <w:jc w:val="right"/>
              <w:rPr>
                <w:i/>
              </w:rPr>
            </w:pPr>
            <w:r w:rsidRPr="005B0796">
              <w:t>0</w:t>
            </w:r>
          </w:p>
        </w:tc>
        <w:tc>
          <w:tcPr>
            <w:tcW w:w="856" w:type="dxa"/>
            <w:hideMark/>
          </w:tcPr>
          <w:p w:rsidR="008F7AA7" w:rsidRPr="005B0796" w:rsidRDefault="008F7AA7" w:rsidP="00CB47B9">
            <w:pPr>
              <w:pStyle w:val="TableText"/>
              <w:jc w:val="right"/>
            </w:pPr>
            <w:r w:rsidRPr="005B0796">
              <w:t>0.0</w:t>
            </w:r>
          </w:p>
        </w:tc>
        <w:tc>
          <w:tcPr>
            <w:tcW w:w="857" w:type="dxa"/>
            <w:hideMark/>
          </w:tcPr>
          <w:p w:rsidR="008F7AA7" w:rsidRPr="005B0796" w:rsidRDefault="008F7AA7" w:rsidP="00CB47B9">
            <w:pPr>
              <w:pStyle w:val="TableText"/>
              <w:jc w:val="right"/>
            </w:pPr>
            <w:r w:rsidRPr="005B0796">
              <w:t>0.0</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Any anxiety disorder (excl. PTSD) and PTSD and any affective disorder</w:t>
            </w:r>
          </w:p>
        </w:tc>
        <w:tc>
          <w:tcPr>
            <w:tcW w:w="856" w:type="dxa"/>
            <w:noWrap/>
            <w:hideMark/>
          </w:tcPr>
          <w:p w:rsidR="008F7AA7" w:rsidRPr="005B0796" w:rsidRDefault="008F7AA7" w:rsidP="00CB47B9">
            <w:pPr>
              <w:pStyle w:val="TableText"/>
              <w:jc w:val="right"/>
            </w:pPr>
            <w:r w:rsidRPr="005B0796">
              <w:t>641</w:t>
            </w:r>
          </w:p>
        </w:tc>
        <w:tc>
          <w:tcPr>
            <w:tcW w:w="856" w:type="dxa"/>
            <w:hideMark/>
          </w:tcPr>
          <w:p w:rsidR="008F7AA7" w:rsidRPr="005B0796" w:rsidRDefault="008F7AA7" w:rsidP="00CB47B9">
            <w:pPr>
              <w:pStyle w:val="TableText"/>
              <w:jc w:val="right"/>
            </w:pPr>
            <w:r w:rsidRPr="005B0796">
              <w:t>5.6</w:t>
            </w:r>
          </w:p>
        </w:tc>
        <w:tc>
          <w:tcPr>
            <w:tcW w:w="857" w:type="dxa"/>
            <w:hideMark/>
          </w:tcPr>
          <w:p w:rsidR="008F7AA7" w:rsidRPr="005B0796" w:rsidRDefault="008F7AA7" w:rsidP="00CB47B9">
            <w:pPr>
              <w:pStyle w:val="TableText"/>
              <w:jc w:val="right"/>
            </w:pPr>
            <w:r w:rsidRPr="005B0796">
              <w:t>3.2, 9.8</w:t>
            </w:r>
          </w:p>
        </w:tc>
        <w:tc>
          <w:tcPr>
            <w:tcW w:w="856" w:type="dxa"/>
            <w:noWrap/>
            <w:hideMark/>
          </w:tcPr>
          <w:p w:rsidR="008F7AA7" w:rsidRPr="005B0796" w:rsidRDefault="008F7AA7" w:rsidP="00CB47B9">
            <w:pPr>
              <w:pStyle w:val="TableText"/>
              <w:jc w:val="right"/>
              <w:rPr>
                <w:i/>
              </w:rPr>
            </w:pPr>
            <w:r w:rsidRPr="005B0796">
              <w:t>168</w:t>
            </w:r>
          </w:p>
        </w:tc>
        <w:tc>
          <w:tcPr>
            <w:tcW w:w="857" w:type="dxa"/>
            <w:hideMark/>
          </w:tcPr>
          <w:p w:rsidR="008F7AA7" w:rsidRPr="005B0796" w:rsidRDefault="008F7AA7" w:rsidP="00CB47B9">
            <w:pPr>
              <w:pStyle w:val="TableText"/>
              <w:jc w:val="right"/>
            </w:pPr>
            <w:r w:rsidRPr="005B0796">
              <w:t>2.6</w:t>
            </w:r>
          </w:p>
        </w:tc>
        <w:tc>
          <w:tcPr>
            <w:tcW w:w="856" w:type="dxa"/>
            <w:hideMark/>
          </w:tcPr>
          <w:p w:rsidR="008F7AA7" w:rsidRPr="005B0796" w:rsidRDefault="008F7AA7" w:rsidP="00CB47B9">
            <w:pPr>
              <w:pStyle w:val="TableText"/>
              <w:jc w:val="right"/>
            </w:pPr>
            <w:r w:rsidRPr="005B0796">
              <w:t>0.7, 8.6</w:t>
            </w:r>
          </w:p>
        </w:tc>
        <w:tc>
          <w:tcPr>
            <w:tcW w:w="857" w:type="dxa"/>
            <w:noWrap/>
            <w:hideMark/>
          </w:tcPr>
          <w:p w:rsidR="008F7AA7" w:rsidRPr="005B0796" w:rsidRDefault="008F7AA7" w:rsidP="00CB47B9">
            <w:pPr>
              <w:pStyle w:val="TableText"/>
              <w:jc w:val="right"/>
              <w:rPr>
                <w:i/>
              </w:rPr>
            </w:pPr>
            <w:r w:rsidRPr="005B0796">
              <w:t>98</w:t>
            </w:r>
          </w:p>
        </w:tc>
        <w:tc>
          <w:tcPr>
            <w:tcW w:w="856" w:type="dxa"/>
            <w:hideMark/>
          </w:tcPr>
          <w:p w:rsidR="008F7AA7" w:rsidRPr="005B0796" w:rsidRDefault="008F7AA7" w:rsidP="00CB47B9">
            <w:pPr>
              <w:pStyle w:val="TableText"/>
              <w:jc w:val="right"/>
            </w:pPr>
            <w:r w:rsidRPr="005B0796">
              <w:t>1.4</w:t>
            </w:r>
          </w:p>
        </w:tc>
        <w:tc>
          <w:tcPr>
            <w:tcW w:w="857" w:type="dxa"/>
            <w:hideMark/>
          </w:tcPr>
          <w:p w:rsidR="008F7AA7" w:rsidRPr="005B0796" w:rsidRDefault="008F7AA7" w:rsidP="00CB47B9">
            <w:pPr>
              <w:pStyle w:val="TableText"/>
              <w:jc w:val="right"/>
            </w:pPr>
            <w:r w:rsidRPr="005B0796">
              <w:t>0.6, 3.3</w:t>
            </w:r>
          </w:p>
        </w:tc>
      </w:tr>
      <w:tr w:rsidR="00CB47B9" w:rsidRPr="005B0796" w:rsidTr="001828B4">
        <w:tc>
          <w:tcPr>
            <w:tcW w:w="3798" w:type="dxa"/>
            <w:hideMark/>
          </w:tcPr>
          <w:p w:rsidR="008F7AA7" w:rsidRPr="005B0796" w:rsidRDefault="008F7AA7" w:rsidP="00CB47B9">
            <w:pPr>
              <w:pStyle w:val="TableText"/>
            </w:pPr>
            <w:r w:rsidRPr="005B0796">
              <w:t>Three mental disorder classes</w:t>
            </w:r>
          </w:p>
        </w:tc>
        <w:tc>
          <w:tcPr>
            <w:tcW w:w="856" w:type="dxa"/>
            <w:noWrap/>
            <w:hideMark/>
          </w:tcPr>
          <w:p w:rsidR="008F7AA7" w:rsidRPr="005B0796" w:rsidRDefault="008F7AA7" w:rsidP="00CB47B9">
            <w:pPr>
              <w:pStyle w:val="TableText"/>
              <w:jc w:val="right"/>
            </w:pPr>
            <w:r w:rsidRPr="005B0796">
              <w:t>1453</w:t>
            </w:r>
          </w:p>
        </w:tc>
        <w:tc>
          <w:tcPr>
            <w:tcW w:w="856" w:type="dxa"/>
            <w:hideMark/>
          </w:tcPr>
          <w:p w:rsidR="008F7AA7" w:rsidRPr="005B0796" w:rsidRDefault="008F7AA7" w:rsidP="00CB47B9">
            <w:pPr>
              <w:pStyle w:val="TableText"/>
              <w:jc w:val="right"/>
            </w:pPr>
            <w:r w:rsidRPr="005B0796">
              <w:t>12.7</w:t>
            </w:r>
          </w:p>
        </w:tc>
        <w:tc>
          <w:tcPr>
            <w:tcW w:w="857" w:type="dxa"/>
            <w:hideMark/>
          </w:tcPr>
          <w:p w:rsidR="008F7AA7" w:rsidRPr="005B0796" w:rsidRDefault="008F7AA7" w:rsidP="00CB47B9">
            <w:pPr>
              <w:pStyle w:val="TableText"/>
              <w:jc w:val="right"/>
            </w:pPr>
            <w:r w:rsidRPr="005B0796">
              <w:t>8.3, 18.9</w:t>
            </w:r>
          </w:p>
        </w:tc>
        <w:tc>
          <w:tcPr>
            <w:tcW w:w="856" w:type="dxa"/>
            <w:noWrap/>
            <w:hideMark/>
          </w:tcPr>
          <w:p w:rsidR="008F7AA7" w:rsidRPr="005B0796" w:rsidRDefault="008F7AA7" w:rsidP="00CB47B9">
            <w:pPr>
              <w:pStyle w:val="TableText"/>
              <w:jc w:val="right"/>
              <w:rPr>
                <w:i/>
              </w:rPr>
            </w:pPr>
            <w:r w:rsidRPr="005B0796">
              <w:t>342</w:t>
            </w:r>
          </w:p>
        </w:tc>
        <w:tc>
          <w:tcPr>
            <w:tcW w:w="857" w:type="dxa"/>
            <w:hideMark/>
          </w:tcPr>
          <w:p w:rsidR="008F7AA7" w:rsidRPr="005B0796" w:rsidRDefault="008F7AA7" w:rsidP="00CB47B9">
            <w:pPr>
              <w:pStyle w:val="TableText"/>
              <w:jc w:val="right"/>
            </w:pPr>
            <w:r w:rsidRPr="005B0796">
              <w:t>5.3</w:t>
            </w:r>
          </w:p>
        </w:tc>
        <w:tc>
          <w:tcPr>
            <w:tcW w:w="856" w:type="dxa"/>
            <w:hideMark/>
          </w:tcPr>
          <w:p w:rsidR="008F7AA7" w:rsidRPr="005B0796" w:rsidRDefault="008F7AA7" w:rsidP="00CB47B9">
            <w:pPr>
              <w:pStyle w:val="TableText"/>
              <w:jc w:val="right"/>
            </w:pPr>
            <w:r w:rsidRPr="005B0796">
              <w:t>2.2, 12.2</w:t>
            </w:r>
          </w:p>
        </w:tc>
        <w:tc>
          <w:tcPr>
            <w:tcW w:w="857" w:type="dxa"/>
            <w:noWrap/>
            <w:hideMark/>
          </w:tcPr>
          <w:p w:rsidR="008F7AA7" w:rsidRPr="005B0796" w:rsidRDefault="008F7AA7" w:rsidP="00CB47B9">
            <w:pPr>
              <w:pStyle w:val="TableText"/>
              <w:jc w:val="right"/>
              <w:rPr>
                <w:i/>
              </w:rPr>
            </w:pPr>
            <w:r w:rsidRPr="005B0796">
              <w:t>237</w:t>
            </w:r>
          </w:p>
        </w:tc>
        <w:tc>
          <w:tcPr>
            <w:tcW w:w="856" w:type="dxa"/>
            <w:hideMark/>
          </w:tcPr>
          <w:p w:rsidR="008F7AA7" w:rsidRPr="005B0796" w:rsidRDefault="008F7AA7" w:rsidP="00CB47B9">
            <w:pPr>
              <w:pStyle w:val="TableText"/>
              <w:jc w:val="right"/>
            </w:pPr>
            <w:r w:rsidRPr="005B0796">
              <w:t>3.4</w:t>
            </w:r>
          </w:p>
        </w:tc>
        <w:tc>
          <w:tcPr>
            <w:tcW w:w="857" w:type="dxa"/>
            <w:hideMark/>
          </w:tcPr>
          <w:p w:rsidR="008F7AA7" w:rsidRPr="005B0796" w:rsidRDefault="008F7AA7" w:rsidP="00CB47B9">
            <w:pPr>
              <w:pStyle w:val="TableText"/>
              <w:jc w:val="right"/>
            </w:pPr>
            <w:r w:rsidRPr="005B0796">
              <w:t>1.3, 8.6</w:t>
            </w:r>
          </w:p>
        </w:tc>
      </w:tr>
      <w:tr w:rsidR="008F7AA7" w:rsidRPr="005B0796" w:rsidTr="001828B4">
        <w:trPr>
          <w:cnfStyle w:val="000000100000" w:firstRow="0" w:lastRow="0" w:firstColumn="0" w:lastColumn="0" w:oddVBand="0" w:evenVBand="0" w:oddHBand="1" w:evenHBand="0" w:firstRowFirstColumn="0" w:firstRowLastColumn="0" w:lastRowFirstColumn="0" w:lastRowLastColumn="0"/>
        </w:trPr>
        <w:tc>
          <w:tcPr>
            <w:tcW w:w="3798" w:type="dxa"/>
            <w:hideMark/>
          </w:tcPr>
          <w:p w:rsidR="008F7AA7" w:rsidRPr="005B0796" w:rsidRDefault="008F7AA7" w:rsidP="00CB47B9">
            <w:pPr>
              <w:pStyle w:val="TableText"/>
            </w:pPr>
            <w:r w:rsidRPr="005B0796">
              <w:t>Four mental disorder classes</w:t>
            </w:r>
          </w:p>
        </w:tc>
        <w:tc>
          <w:tcPr>
            <w:tcW w:w="856" w:type="dxa"/>
            <w:noWrap/>
            <w:hideMark/>
          </w:tcPr>
          <w:p w:rsidR="008F7AA7" w:rsidRPr="005B0796" w:rsidRDefault="008F7AA7" w:rsidP="00CB47B9">
            <w:pPr>
              <w:pStyle w:val="TableText"/>
              <w:jc w:val="right"/>
            </w:pPr>
            <w:r w:rsidRPr="005B0796">
              <w:t>400</w:t>
            </w:r>
          </w:p>
        </w:tc>
        <w:tc>
          <w:tcPr>
            <w:tcW w:w="856" w:type="dxa"/>
            <w:hideMark/>
          </w:tcPr>
          <w:p w:rsidR="008F7AA7" w:rsidRPr="005B0796" w:rsidRDefault="008F7AA7" w:rsidP="00CB47B9">
            <w:pPr>
              <w:pStyle w:val="TableText"/>
              <w:jc w:val="right"/>
            </w:pPr>
            <w:r w:rsidRPr="005B0796">
              <w:t>3.5</w:t>
            </w:r>
          </w:p>
        </w:tc>
        <w:tc>
          <w:tcPr>
            <w:tcW w:w="857" w:type="dxa"/>
            <w:hideMark/>
          </w:tcPr>
          <w:p w:rsidR="008F7AA7" w:rsidRPr="005B0796" w:rsidRDefault="008F7AA7" w:rsidP="00CB47B9">
            <w:pPr>
              <w:pStyle w:val="TableText"/>
              <w:jc w:val="right"/>
            </w:pPr>
            <w:r w:rsidRPr="005B0796">
              <w:t>1.5, 8.1</w:t>
            </w:r>
          </w:p>
        </w:tc>
        <w:tc>
          <w:tcPr>
            <w:tcW w:w="856" w:type="dxa"/>
            <w:noWrap/>
            <w:hideMark/>
          </w:tcPr>
          <w:p w:rsidR="008F7AA7" w:rsidRPr="005B0796" w:rsidRDefault="008F7AA7" w:rsidP="00CB47B9">
            <w:pPr>
              <w:pStyle w:val="TableText"/>
              <w:jc w:val="right"/>
              <w:rPr>
                <w:i/>
              </w:rPr>
            </w:pPr>
            <w:r w:rsidRPr="005B0796">
              <w:t>26</w:t>
            </w:r>
          </w:p>
        </w:tc>
        <w:tc>
          <w:tcPr>
            <w:tcW w:w="857" w:type="dxa"/>
            <w:hideMark/>
          </w:tcPr>
          <w:p w:rsidR="008F7AA7" w:rsidRPr="005B0796" w:rsidRDefault="008F7AA7" w:rsidP="00CB47B9">
            <w:pPr>
              <w:pStyle w:val="TableText"/>
              <w:jc w:val="right"/>
            </w:pPr>
            <w:r w:rsidRPr="005B0796">
              <w:t>0.4</w:t>
            </w:r>
          </w:p>
        </w:tc>
        <w:tc>
          <w:tcPr>
            <w:tcW w:w="856" w:type="dxa"/>
            <w:hideMark/>
          </w:tcPr>
          <w:p w:rsidR="008F7AA7" w:rsidRPr="005B0796" w:rsidRDefault="008F7AA7" w:rsidP="00CB47B9">
            <w:pPr>
              <w:pStyle w:val="TableText"/>
              <w:jc w:val="right"/>
            </w:pPr>
            <w:r w:rsidRPr="005B0796">
              <w:t>0.1, 2.5</w:t>
            </w:r>
          </w:p>
        </w:tc>
        <w:tc>
          <w:tcPr>
            <w:tcW w:w="857" w:type="dxa"/>
            <w:noWrap/>
            <w:hideMark/>
          </w:tcPr>
          <w:p w:rsidR="008F7AA7" w:rsidRPr="005B0796" w:rsidRDefault="008F7AA7" w:rsidP="00CB47B9">
            <w:pPr>
              <w:pStyle w:val="TableText"/>
              <w:jc w:val="right"/>
              <w:rPr>
                <w:i/>
              </w:rPr>
            </w:pPr>
            <w:r w:rsidRPr="005B0796">
              <w:t>42</w:t>
            </w:r>
          </w:p>
        </w:tc>
        <w:tc>
          <w:tcPr>
            <w:tcW w:w="856" w:type="dxa"/>
            <w:hideMark/>
          </w:tcPr>
          <w:p w:rsidR="008F7AA7" w:rsidRPr="005B0796" w:rsidRDefault="008F7AA7" w:rsidP="00CB47B9">
            <w:pPr>
              <w:pStyle w:val="TableText"/>
              <w:jc w:val="right"/>
            </w:pPr>
            <w:r w:rsidRPr="005B0796">
              <w:t>0.6</w:t>
            </w:r>
          </w:p>
        </w:tc>
        <w:tc>
          <w:tcPr>
            <w:tcW w:w="857" w:type="dxa"/>
            <w:hideMark/>
          </w:tcPr>
          <w:p w:rsidR="008F7AA7" w:rsidRPr="005B0796" w:rsidRDefault="008F7AA7" w:rsidP="00CB47B9">
            <w:pPr>
              <w:pStyle w:val="TableText"/>
              <w:jc w:val="right"/>
            </w:pPr>
            <w:r w:rsidRPr="005B0796">
              <w:t>0.2, 1.9</w:t>
            </w:r>
          </w:p>
        </w:tc>
      </w:tr>
    </w:tbl>
    <w:p w:rsidR="008F7AA7" w:rsidRPr="005B0796" w:rsidRDefault="00CD7866" w:rsidP="00CD7866">
      <w:pPr>
        <w:pStyle w:val="TableNotes"/>
      </w:pPr>
      <w:r w:rsidRPr="005B0796">
        <w:t xml:space="preserve">Note: 95% CI: 95% </w:t>
      </w:r>
      <w:r w:rsidR="00564689" w:rsidRPr="005B0796">
        <w:t>confidence interval</w:t>
      </w:r>
    </w:p>
    <w:p w:rsidR="00383C5C" w:rsidRPr="005B0796" w:rsidRDefault="00383C5C" w:rsidP="008F7AA7">
      <w:pPr>
        <w:spacing w:before="100" w:beforeAutospacing="1" w:after="100" w:afterAutospacing="1"/>
        <w:sectPr w:rsidR="00383C5C" w:rsidRPr="005B0796" w:rsidSect="00383C5C">
          <w:footerReference w:type="even" r:id="rId130"/>
          <w:footerReference w:type="default" r:id="rId131"/>
          <w:pgSz w:w="14170" w:h="9979" w:orient="landscape" w:code="243"/>
          <w:pgMar w:top="1872" w:right="1440" w:bottom="1152" w:left="1440" w:header="576" w:footer="576" w:gutter="0"/>
          <w:cols w:space="708"/>
          <w:docGrid w:linePitch="360"/>
        </w:sectPr>
      </w:pPr>
    </w:p>
    <w:p w:rsidR="008F7AA7" w:rsidRPr="005B0796" w:rsidRDefault="008F7AA7" w:rsidP="00CD7866">
      <w:pPr>
        <w:pStyle w:val="Heading2"/>
      </w:pPr>
      <w:bookmarkStart w:id="735" w:name="_Toc482021357"/>
      <w:bookmarkStart w:id="736" w:name="_Toc482024447"/>
      <w:bookmarkStart w:id="737" w:name="_Toc487011207"/>
      <w:bookmarkStart w:id="738" w:name="_Toc494449727"/>
      <w:bookmarkStart w:id="739" w:name="_Toc511900309"/>
      <w:r w:rsidRPr="005B0796">
        <w:t>Estimated prevalence of suicidality in Transitioned ADF</w:t>
      </w:r>
      <w:bookmarkEnd w:id="735"/>
      <w:bookmarkEnd w:id="736"/>
      <w:bookmarkEnd w:id="737"/>
      <w:bookmarkEnd w:id="738"/>
      <w:bookmarkEnd w:id="739"/>
    </w:p>
    <w:p w:rsidR="00CD7866" w:rsidRPr="005B0796" w:rsidRDefault="00CD7866" w:rsidP="00CD7866">
      <w:pPr>
        <w:pStyle w:val="ShadedBullet"/>
      </w:pPr>
      <w:r w:rsidRPr="005B0796">
        <w:t>Just over 20% of Transitioned ADF reported some sort of suicidal ideation or behaviour in the last 12 months.</w:t>
      </w:r>
    </w:p>
    <w:p w:rsidR="00CD7866" w:rsidRPr="005B0796" w:rsidRDefault="00CD7866" w:rsidP="00CD7866">
      <w:pPr>
        <w:pStyle w:val="ShadedBullet"/>
      </w:pPr>
      <w:r w:rsidRPr="005B0796">
        <w:t>In terms of suicidal ideation, 28.9% of Transitioned ADF reported that they felt that their life was not worth living in the last 12 months and 21.2% reported that they felt so low that they thought about taking their own life in the last 12 months.</w:t>
      </w:r>
    </w:p>
    <w:p w:rsidR="00CD7866" w:rsidRPr="005B0796" w:rsidRDefault="00CD7866" w:rsidP="00CD7866">
      <w:pPr>
        <w:pStyle w:val="ShadedBullet"/>
      </w:pPr>
      <w:r w:rsidRPr="005B0796">
        <w:t>7.9% of Transitioned ADF had made a suicide plan in the last 12 months.</w:t>
      </w:r>
    </w:p>
    <w:p w:rsidR="00CD7866" w:rsidRPr="005B0796" w:rsidRDefault="00CD7866" w:rsidP="00CD7866">
      <w:pPr>
        <w:pStyle w:val="ShadedBullet"/>
      </w:pPr>
      <w:r w:rsidRPr="005B0796">
        <w:t>2.0% of Transitioned ADF reported having attempted suicide in the last 12 months.</w:t>
      </w:r>
    </w:p>
    <w:p w:rsidR="00CD7866" w:rsidRPr="005B0796" w:rsidRDefault="00CD7866" w:rsidP="00CD7866">
      <w:pPr>
        <w:pStyle w:val="ShadedBullet"/>
      </w:pPr>
      <w:r w:rsidRPr="005B0796">
        <w:t>Suicidality was most commonly observed in Transitioned ADF who were Ex</w:t>
      </w:r>
      <w:r w:rsidRPr="005B0796">
        <w:noBreakHyphen/>
        <w:t>Serving, Army, Non-Commissioned Officers and lower in rank, those who had been medically discharged, and DVA clients.</w:t>
      </w:r>
    </w:p>
    <w:p w:rsidR="00CD7866" w:rsidRPr="005B0796" w:rsidRDefault="00CD7866" w:rsidP="00CD7866">
      <w:pPr>
        <w:pStyle w:val="ShadedBoxText"/>
      </w:pPr>
      <w:r w:rsidRPr="005B0796">
        <w:rPr>
          <w:b/>
        </w:rPr>
        <w:t>Glossary:</w:t>
      </w:r>
      <w:r w:rsidRPr="002B2CFD">
        <w:t xml:space="preserve"> r</w:t>
      </w:r>
      <w:r w:rsidRPr="005B0796">
        <w:t>efer to the Glossary of terms for definitions of key terms in this section.</w:t>
      </w:r>
    </w:p>
    <w:p w:rsidR="008F7AA7" w:rsidRPr="005B0796" w:rsidRDefault="008F7AA7" w:rsidP="00383C5C">
      <w:r w:rsidRPr="005B0796">
        <w:t xml:space="preserve">The study examined 12-month self-reported suicidal ideation and behaviour in the Transitioned ADF, using four questions: </w:t>
      </w:r>
    </w:p>
    <w:p w:rsidR="008F7AA7" w:rsidRPr="005B0796" w:rsidRDefault="008F7AA7" w:rsidP="00383C5C">
      <w:pPr>
        <w:pStyle w:val="Quote"/>
      </w:pPr>
      <w:r w:rsidRPr="005B0796">
        <w:rPr>
          <w:i/>
        </w:rPr>
        <w:t>Suicidal ideation Q1</w:t>
      </w:r>
      <w:r w:rsidRPr="005B0796">
        <w:t>: In the last 12 months, have you ever felt that your life was not worth living?</w:t>
      </w:r>
    </w:p>
    <w:p w:rsidR="008F7AA7" w:rsidRPr="005B0796" w:rsidRDefault="008F7AA7" w:rsidP="00383C5C">
      <w:pPr>
        <w:pStyle w:val="Quote"/>
      </w:pPr>
      <w:r w:rsidRPr="005B0796">
        <w:rPr>
          <w:i/>
        </w:rPr>
        <w:t>Suicidal ideation Q2</w:t>
      </w:r>
      <w:r w:rsidRPr="005B0796">
        <w:t>: In the last 12 months, have you ever felt so low that you thought about committing suicide?</w:t>
      </w:r>
    </w:p>
    <w:p w:rsidR="008F7AA7" w:rsidRPr="005B0796" w:rsidRDefault="008F7AA7" w:rsidP="00383C5C">
      <w:pPr>
        <w:pStyle w:val="Quote"/>
      </w:pPr>
      <w:r w:rsidRPr="005B0796">
        <w:rPr>
          <w:i/>
        </w:rPr>
        <w:t>Suicide plan</w:t>
      </w:r>
      <w:r w:rsidRPr="005B0796">
        <w:t>: In the last 12 months, have you made a suicide plan?</w:t>
      </w:r>
    </w:p>
    <w:p w:rsidR="008F7AA7" w:rsidRPr="005B0796" w:rsidRDefault="008F7AA7" w:rsidP="00383C5C">
      <w:pPr>
        <w:pStyle w:val="Quote"/>
      </w:pPr>
      <w:r w:rsidRPr="005B0796">
        <w:rPr>
          <w:i/>
        </w:rPr>
        <w:t>Suicide attempt</w:t>
      </w:r>
      <w:r w:rsidRPr="005B0796">
        <w:t>: In the last 12 months, have you attempted suicide?</w:t>
      </w:r>
    </w:p>
    <w:p w:rsidR="008F7AA7" w:rsidRPr="005B0796" w:rsidRDefault="008F7AA7" w:rsidP="00383C5C">
      <w:r w:rsidRPr="005B0796">
        <w:t xml:space="preserve">The responses to these questions were limited to </w:t>
      </w:r>
      <w:r w:rsidR="00462A0C" w:rsidRPr="005B0796">
        <w:t>‘</w:t>
      </w:r>
      <w:r w:rsidRPr="005B0796">
        <w:t>yes</w:t>
      </w:r>
      <w:r w:rsidR="00462A0C" w:rsidRPr="005B0796">
        <w:t>’</w:t>
      </w:r>
      <w:r w:rsidRPr="005B0796">
        <w:t xml:space="preserve"> or </w:t>
      </w:r>
      <w:r w:rsidR="00462A0C" w:rsidRPr="005B0796">
        <w:t>‘</w:t>
      </w:r>
      <w:r w:rsidRPr="005B0796">
        <w:t>no</w:t>
      </w:r>
      <w:r w:rsidR="00462A0C" w:rsidRPr="005B0796">
        <w:t>’</w:t>
      </w:r>
      <w:r w:rsidRPr="005B0796">
        <w:t>.</w:t>
      </w:r>
    </w:p>
    <w:p w:rsidR="008F7AA7" w:rsidRPr="005B0796" w:rsidRDefault="008F7AA7" w:rsidP="00383C5C">
      <w:r w:rsidRPr="005B0796">
        <w:t>The following section presents the estimated prevalence of self-reported 12-month suicidality among ADF members who transitioned from the Regular ADF between 2010 and 2014. It describes the associated demographic (sex, age)</w:t>
      </w:r>
      <w:r w:rsidR="002B2CFD">
        <w:t>,</w:t>
      </w:r>
      <w:r w:rsidRPr="005B0796">
        <w:t xml:space="preserve"> transition (transition status, years since transition, type of discharge) and Service (Service, </w:t>
      </w:r>
      <w:bookmarkStart w:id="740" w:name="_Hlk490127249"/>
      <w:r w:rsidRPr="005B0796">
        <w:t>rank, years of service, deployment status</w:t>
      </w:r>
      <w:bookmarkEnd w:id="740"/>
      <w:r w:rsidRPr="005B0796">
        <w:t xml:space="preserve">) predictors. The association between suicidality and DVA status is also outlined. </w:t>
      </w:r>
    </w:p>
    <w:p w:rsidR="008F7AA7" w:rsidRPr="005B0796" w:rsidRDefault="008F7AA7" w:rsidP="00383C5C">
      <w:pPr>
        <w:pStyle w:val="Heading3"/>
      </w:pPr>
      <w:bookmarkStart w:id="741" w:name="_Toc482021358"/>
      <w:bookmarkStart w:id="742" w:name="_Toc482024448"/>
      <w:bookmarkStart w:id="743" w:name="_Toc487011208"/>
      <w:bookmarkStart w:id="744" w:name="_Toc494449728"/>
      <w:bookmarkStart w:id="745" w:name="_Toc511900310"/>
      <w:r w:rsidRPr="005B0796">
        <w:t>Suicidality</w:t>
      </w:r>
      <w:bookmarkEnd w:id="741"/>
      <w:bookmarkEnd w:id="742"/>
      <w:bookmarkEnd w:id="743"/>
      <w:bookmarkEnd w:id="744"/>
      <w:bookmarkEnd w:id="745"/>
    </w:p>
    <w:p w:rsidR="008F7AA7" w:rsidRPr="005B0796" w:rsidRDefault="008F7AA7" w:rsidP="00383C5C">
      <w:pPr>
        <w:pStyle w:val="Heading4"/>
      </w:pPr>
      <w:r w:rsidRPr="005B0796">
        <w:t>Transitioned ADF</w:t>
      </w:r>
    </w:p>
    <w:p w:rsidR="008F7AA7" w:rsidRPr="005B0796" w:rsidRDefault="009E72D3" w:rsidP="00383C5C">
      <w:r w:rsidRPr="005B0796">
        <w:t>Table 4.40</w:t>
      </w:r>
      <w:r w:rsidR="008F7AA7" w:rsidRPr="005B0796">
        <w:t xml:space="preserve"> summarises the estimated prevalence of 12-month suicidal ideation, plans and attempts, and any suicidality. In the Transiti</w:t>
      </w:r>
      <w:r w:rsidR="002B2CFD">
        <w:t>oned ADF, 28.9% (an estimated 7</w:t>
      </w:r>
      <w:r w:rsidR="008F7AA7" w:rsidRPr="005B0796">
        <w:t>208 members) reported that they had felt that their life was not worth living in the last 12</w:t>
      </w:r>
      <w:r w:rsidR="002B2CFD">
        <w:t> </w:t>
      </w:r>
      <w:r w:rsidR="008F7AA7" w:rsidRPr="005B0796">
        <w:t xml:space="preserve">months, 21.2% reported feeling so low they thought about committing suicide, 7.9% reported making a suicide plan and 2.0% (representing 505 members) reported making a suicide attempt in the last 12 months. </w:t>
      </w:r>
    </w:p>
    <w:p w:rsidR="00CD7866" w:rsidRPr="005B0796" w:rsidRDefault="00CD7866" w:rsidP="00CD7866">
      <w:pPr>
        <w:pStyle w:val="TableName"/>
      </w:pPr>
      <w:bookmarkStart w:id="746" w:name="_Ref484520102"/>
      <w:bookmarkStart w:id="747" w:name="_Toc482023804"/>
      <w:bookmarkStart w:id="748" w:name="_Toc487014291"/>
      <w:bookmarkStart w:id="749" w:name="_Toc492995594"/>
      <w:bookmarkStart w:id="750" w:name="_Toc51190044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40</w:t>
      </w:r>
      <w:r w:rsidR="00D30A3C">
        <w:rPr>
          <w:noProof/>
        </w:rPr>
        <w:fldChar w:fldCharType="end"/>
      </w:r>
      <w:bookmarkEnd w:id="746"/>
      <w:r w:rsidRPr="005B0796">
        <w:tab/>
        <w:t xml:space="preserve">Self-reported suicidal ideation, </w:t>
      </w:r>
      <w:r w:rsidR="002B2CFD">
        <w:t xml:space="preserve">and suicide </w:t>
      </w:r>
      <w:r w:rsidRPr="005B0796">
        <w:t>plans and attempts in the Transitioned ADF</w:t>
      </w:r>
      <w:bookmarkEnd w:id="747"/>
      <w:bookmarkEnd w:id="748"/>
      <w:bookmarkEnd w:id="749"/>
      <w:bookmarkEnd w:id="750"/>
    </w:p>
    <w:tbl>
      <w:tblPr>
        <w:tblStyle w:val="TWRPTable"/>
        <w:tblW w:w="5000" w:type="pct"/>
        <w:tblLayout w:type="fixed"/>
        <w:tblLook w:val="04A0" w:firstRow="1" w:lastRow="0" w:firstColumn="1" w:lastColumn="0" w:noHBand="0" w:noVBand="1"/>
        <w:tblDescription w:val="Table 4.40 Self-reported suicidal ideation, plans and attempts in the Transitioned ADF"/>
      </w:tblPr>
      <w:tblGrid>
        <w:gridCol w:w="2965"/>
        <w:gridCol w:w="1450"/>
        <w:gridCol w:w="1450"/>
        <w:gridCol w:w="1450"/>
      </w:tblGrid>
      <w:tr w:rsidR="008F7AA7" w:rsidRPr="005B0796" w:rsidTr="00EF46AC">
        <w:trPr>
          <w:cnfStyle w:val="100000000000" w:firstRow="1" w:lastRow="0" w:firstColumn="0" w:lastColumn="0" w:oddVBand="0" w:evenVBand="0" w:oddHBand="0" w:evenHBand="0" w:firstRowFirstColumn="0" w:firstRowLastColumn="0" w:lastRowFirstColumn="0" w:lastRowLastColumn="0"/>
          <w:tblHeader/>
        </w:trPr>
        <w:tc>
          <w:tcPr>
            <w:tcW w:w="7315" w:type="dxa"/>
            <w:gridSpan w:val="4"/>
            <w:tcBorders>
              <w:top w:val="single" w:sz="4" w:space="0" w:color="000000"/>
              <w:bottom w:val="nil"/>
            </w:tcBorders>
            <w:noWrap/>
            <w:hideMark/>
          </w:tcPr>
          <w:p w:rsidR="008F7AA7" w:rsidRPr="005B0796" w:rsidRDefault="008F7AA7" w:rsidP="00383C5C">
            <w:pPr>
              <w:pStyle w:val="TableText"/>
              <w:jc w:val="center"/>
            </w:pPr>
            <w:r w:rsidRPr="005B0796">
              <w:t>Suicide</w:t>
            </w:r>
          </w:p>
        </w:tc>
      </w:tr>
      <w:tr w:rsidR="008F7AA7" w:rsidRPr="005B0796" w:rsidTr="00EF46AC">
        <w:trPr>
          <w:cnfStyle w:val="100000000000" w:firstRow="1" w:lastRow="0" w:firstColumn="0" w:lastColumn="0" w:oddVBand="0" w:evenVBand="0" w:oddHBand="0" w:evenHBand="0" w:firstRowFirstColumn="0" w:firstRowLastColumn="0" w:lastRowFirstColumn="0" w:lastRowLastColumn="0"/>
          <w:tblHeader/>
        </w:trPr>
        <w:tc>
          <w:tcPr>
            <w:tcW w:w="7315" w:type="dxa"/>
            <w:gridSpan w:val="4"/>
            <w:tcBorders>
              <w:top w:val="nil"/>
            </w:tcBorders>
            <w:noWrap/>
            <w:hideMark/>
          </w:tcPr>
          <w:p w:rsidR="008F7AA7" w:rsidRPr="005B0796" w:rsidRDefault="008F7AA7" w:rsidP="00383C5C">
            <w:pPr>
              <w:pStyle w:val="TableText"/>
              <w:jc w:val="center"/>
              <w:rPr>
                <w:b w:val="0"/>
              </w:rPr>
            </w:pPr>
            <w:r w:rsidRPr="005B0796">
              <w:rPr>
                <w:b w:val="0"/>
              </w:rPr>
              <w:t xml:space="preserve">n (%) represents those answering </w:t>
            </w:r>
            <w:r w:rsidR="00462A0C" w:rsidRPr="005B0796">
              <w:rPr>
                <w:b w:val="0"/>
              </w:rPr>
              <w:t>‘</w:t>
            </w:r>
            <w:r w:rsidRPr="005B0796">
              <w:rPr>
                <w:b w:val="0"/>
              </w:rPr>
              <w:t>yes</w:t>
            </w:r>
            <w:r w:rsidR="00462A0C" w:rsidRPr="005B0796">
              <w:rPr>
                <w:b w:val="0"/>
              </w:rPr>
              <w:t>’</w:t>
            </w:r>
            <w:r w:rsidRPr="005B0796">
              <w:rPr>
                <w:b w:val="0"/>
              </w:rPr>
              <w:t xml:space="preserve"> to these items</w:t>
            </w:r>
          </w:p>
        </w:tc>
      </w:tr>
      <w:tr w:rsidR="008F7AA7" w:rsidRPr="005B0796" w:rsidTr="00EF46AC">
        <w:trPr>
          <w:cnfStyle w:val="100000000000" w:firstRow="1" w:lastRow="0" w:firstColumn="0" w:lastColumn="0" w:oddVBand="0" w:evenVBand="0" w:oddHBand="0" w:evenHBand="0" w:firstRowFirstColumn="0" w:firstRowLastColumn="0" w:lastRowFirstColumn="0" w:lastRowLastColumn="0"/>
          <w:tblHeader/>
        </w:trPr>
        <w:tc>
          <w:tcPr>
            <w:tcW w:w="2965" w:type="dxa"/>
            <w:tcBorders>
              <w:top w:val="nil"/>
              <w:bottom w:val="nil"/>
            </w:tcBorders>
            <w:hideMark/>
          </w:tcPr>
          <w:p w:rsidR="008F7AA7" w:rsidRPr="005B0796" w:rsidRDefault="008F7AA7" w:rsidP="00383C5C">
            <w:pPr>
              <w:pStyle w:val="TableText"/>
            </w:pPr>
          </w:p>
        </w:tc>
        <w:tc>
          <w:tcPr>
            <w:tcW w:w="4350" w:type="dxa"/>
            <w:gridSpan w:val="3"/>
            <w:hideMark/>
          </w:tcPr>
          <w:p w:rsidR="008F7AA7" w:rsidRPr="005B0796" w:rsidRDefault="008F7AA7" w:rsidP="00383C5C">
            <w:pPr>
              <w:pStyle w:val="TableText"/>
              <w:jc w:val="center"/>
            </w:pPr>
            <w:r w:rsidRPr="005B0796">
              <w:t>Transitioned ADF 2015 (n = 24,935)</w:t>
            </w:r>
          </w:p>
        </w:tc>
      </w:tr>
      <w:tr w:rsidR="008F7AA7" w:rsidRPr="005B0796" w:rsidTr="00EF46AC">
        <w:trPr>
          <w:cnfStyle w:val="100000000000" w:firstRow="1" w:lastRow="0" w:firstColumn="0" w:lastColumn="0" w:oddVBand="0" w:evenVBand="0" w:oddHBand="0" w:evenHBand="0" w:firstRowFirstColumn="0" w:firstRowLastColumn="0" w:lastRowFirstColumn="0" w:lastRowLastColumn="0"/>
          <w:tblHeader/>
        </w:trPr>
        <w:tc>
          <w:tcPr>
            <w:tcW w:w="2965" w:type="dxa"/>
            <w:tcBorders>
              <w:top w:val="nil"/>
            </w:tcBorders>
            <w:hideMark/>
          </w:tcPr>
          <w:p w:rsidR="008F7AA7" w:rsidRPr="005B0796" w:rsidRDefault="008F7AA7" w:rsidP="00383C5C">
            <w:pPr>
              <w:pStyle w:val="TableText"/>
            </w:pPr>
          </w:p>
        </w:tc>
        <w:tc>
          <w:tcPr>
            <w:tcW w:w="1450" w:type="dxa"/>
            <w:hideMark/>
          </w:tcPr>
          <w:p w:rsidR="008F7AA7" w:rsidRPr="005B0796" w:rsidRDefault="008F7AA7" w:rsidP="00383C5C">
            <w:pPr>
              <w:pStyle w:val="TableText"/>
              <w:jc w:val="right"/>
            </w:pPr>
            <w:r w:rsidRPr="005B0796">
              <w:t>Weighted n</w:t>
            </w:r>
          </w:p>
        </w:tc>
        <w:tc>
          <w:tcPr>
            <w:tcW w:w="1450" w:type="dxa"/>
            <w:hideMark/>
          </w:tcPr>
          <w:p w:rsidR="008F7AA7" w:rsidRPr="005B0796" w:rsidRDefault="008F7AA7" w:rsidP="00383C5C">
            <w:pPr>
              <w:pStyle w:val="TableText"/>
              <w:jc w:val="right"/>
            </w:pPr>
            <w:r w:rsidRPr="005B0796">
              <w:t>%</w:t>
            </w:r>
          </w:p>
        </w:tc>
        <w:tc>
          <w:tcPr>
            <w:tcW w:w="1450" w:type="dxa"/>
            <w:hideMark/>
          </w:tcPr>
          <w:p w:rsidR="008F7AA7" w:rsidRPr="005B0796" w:rsidRDefault="008F7AA7" w:rsidP="00383C5C">
            <w:pPr>
              <w:pStyle w:val="TableText"/>
              <w:jc w:val="right"/>
            </w:pPr>
            <w:r w:rsidRPr="005B0796">
              <w:t>95% CI</w:t>
            </w:r>
          </w:p>
        </w:tc>
      </w:tr>
      <w:tr w:rsidR="008F7AA7" w:rsidRPr="005B0796" w:rsidTr="00EF46AC">
        <w:trPr>
          <w:cnfStyle w:val="000000100000" w:firstRow="0" w:lastRow="0" w:firstColumn="0" w:lastColumn="0" w:oddVBand="0" w:evenVBand="0" w:oddHBand="1" w:evenHBand="0" w:firstRowFirstColumn="0" w:firstRowLastColumn="0" w:lastRowFirstColumn="0" w:lastRowLastColumn="0"/>
        </w:trPr>
        <w:tc>
          <w:tcPr>
            <w:tcW w:w="2965" w:type="dxa"/>
            <w:hideMark/>
          </w:tcPr>
          <w:p w:rsidR="008F7AA7" w:rsidRPr="005B0796" w:rsidRDefault="008F7AA7" w:rsidP="00383C5C">
            <w:pPr>
              <w:pStyle w:val="TableText"/>
              <w:rPr>
                <w:lang w:eastAsia="en-AU"/>
              </w:rPr>
            </w:pPr>
            <w:r w:rsidRPr="005B0796">
              <w:rPr>
                <w:lang w:eastAsia="en-AU"/>
              </w:rPr>
              <w:t>Felt life not worth Living</w:t>
            </w:r>
          </w:p>
        </w:tc>
        <w:tc>
          <w:tcPr>
            <w:tcW w:w="1450" w:type="dxa"/>
            <w:noWrap/>
            <w:hideMark/>
          </w:tcPr>
          <w:p w:rsidR="008F7AA7" w:rsidRPr="005B0796" w:rsidRDefault="008F7AA7" w:rsidP="00383C5C">
            <w:pPr>
              <w:pStyle w:val="TableText"/>
              <w:jc w:val="right"/>
              <w:rPr>
                <w:lang w:eastAsia="en-AU"/>
              </w:rPr>
            </w:pPr>
            <w:r w:rsidRPr="005B0796">
              <w:rPr>
                <w:lang w:eastAsia="en-AU"/>
              </w:rPr>
              <w:t>7208</w:t>
            </w:r>
          </w:p>
        </w:tc>
        <w:tc>
          <w:tcPr>
            <w:tcW w:w="1450" w:type="dxa"/>
            <w:noWrap/>
            <w:hideMark/>
          </w:tcPr>
          <w:p w:rsidR="008F7AA7" w:rsidRPr="005B0796" w:rsidRDefault="008F7AA7" w:rsidP="00383C5C">
            <w:pPr>
              <w:pStyle w:val="TableText"/>
              <w:jc w:val="right"/>
              <w:rPr>
                <w:lang w:eastAsia="en-AU"/>
              </w:rPr>
            </w:pPr>
            <w:r w:rsidRPr="005B0796">
              <w:rPr>
                <w:lang w:eastAsia="en-AU"/>
              </w:rPr>
              <w:t>28.9</w:t>
            </w:r>
          </w:p>
        </w:tc>
        <w:tc>
          <w:tcPr>
            <w:tcW w:w="1450" w:type="dxa"/>
            <w:hideMark/>
          </w:tcPr>
          <w:p w:rsidR="008F7AA7" w:rsidRPr="005B0796" w:rsidRDefault="008F7AA7" w:rsidP="00383C5C">
            <w:pPr>
              <w:pStyle w:val="TableText"/>
              <w:jc w:val="right"/>
              <w:rPr>
                <w:lang w:eastAsia="en-AU"/>
              </w:rPr>
            </w:pPr>
            <w:r w:rsidRPr="005B0796">
              <w:rPr>
                <w:lang w:eastAsia="en-AU"/>
              </w:rPr>
              <w:t>(27.3, 30.6)</w:t>
            </w:r>
          </w:p>
        </w:tc>
      </w:tr>
      <w:tr w:rsidR="008F7AA7" w:rsidRPr="005B0796" w:rsidTr="00EF46AC">
        <w:tc>
          <w:tcPr>
            <w:tcW w:w="2965" w:type="dxa"/>
            <w:hideMark/>
          </w:tcPr>
          <w:p w:rsidR="008F7AA7" w:rsidRPr="005B0796" w:rsidRDefault="008F7AA7" w:rsidP="00383C5C">
            <w:pPr>
              <w:pStyle w:val="TableText"/>
              <w:rPr>
                <w:lang w:eastAsia="en-AU"/>
              </w:rPr>
            </w:pPr>
            <w:r w:rsidRPr="005B0796">
              <w:rPr>
                <w:lang w:eastAsia="en-AU"/>
              </w:rPr>
              <w:t>Felt so low thought about committing suicide</w:t>
            </w:r>
          </w:p>
        </w:tc>
        <w:tc>
          <w:tcPr>
            <w:tcW w:w="1450" w:type="dxa"/>
            <w:noWrap/>
            <w:hideMark/>
          </w:tcPr>
          <w:p w:rsidR="008F7AA7" w:rsidRPr="005B0796" w:rsidRDefault="008F7AA7" w:rsidP="00383C5C">
            <w:pPr>
              <w:pStyle w:val="TableText"/>
              <w:jc w:val="right"/>
              <w:rPr>
                <w:lang w:eastAsia="en-AU"/>
              </w:rPr>
            </w:pPr>
            <w:r w:rsidRPr="005B0796">
              <w:rPr>
                <w:lang w:eastAsia="en-AU"/>
              </w:rPr>
              <w:t>5294</w:t>
            </w:r>
          </w:p>
        </w:tc>
        <w:tc>
          <w:tcPr>
            <w:tcW w:w="1450" w:type="dxa"/>
            <w:noWrap/>
            <w:hideMark/>
          </w:tcPr>
          <w:p w:rsidR="008F7AA7" w:rsidRPr="005B0796" w:rsidRDefault="008F7AA7" w:rsidP="00383C5C">
            <w:pPr>
              <w:pStyle w:val="TableText"/>
              <w:jc w:val="right"/>
              <w:rPr>
                <w:lang w:eastAsia="en-AU"/>
              </w:rPr>
            </w:pPr>
            <w:r w:rsidRPr="005B0796">
              <w:rPr>
                <w:lang w:eastAsia="en-AU"/>
              </w:rPr>
              <w:t>21.2</w:t>
            </w:r>
          </w:p>
        </w:tc>
        <w:tc>
          <w:tcPr>
            <w:tcW w:w="1450" w:type="dxa"/>
            <w:hideMark/>
          </w:tcPr>
          <w:p w:rsidR="008F7AA7" w:rsidRPr="005B0796" w:rsidRDefault="008F7AA7" w:rsidP="00383C5C">
            <w:pPr>
              <w:pStyle w:val="TableText"/>
              <w:jc w:val="right"/>
              <w:rPr>
                <w:lang w:eastAsia="en-AU"/>
              </w:rPr>
            </w:pPr>
            <w:r w:rsidRPr="005B0796">
              <w:rPr>
                <w:lang w:eastAsia="en-AU"/>
              </w:rPr>
              <w:t>(19.8, 22.8)</w:t>
            </w:r>
          </w:p>
        </w:tc>
      </w:tr>
      <w:tr w:rsidR="008F7AA7" w:rsidRPr="005B0796" w:rsidTr="00EF46AC">
        <w:trPr>
          <w:cnfStyle w:val="000000100000" w:firstRow="0" w:lastRow="0" w:firstColumn="0" w:lastColumn="0" w:oddVBand="0" w:evenVBand="0" w:oddHBand="1" w:evenHBand="0" w:firstRowFirstColumn="0" w:firstRowLastColumn="0" w:lastRowFirstColumn="0" w:lastRowLastColumn="0"/>
        </w:trPr>
        <w:tc>
          <w:tcPr>
            <w:tcW w:w="2965" w:type="dxa"/>
            <w:hideMark/>
          </w:tcPr>
          <w:p w:rsidR="008F7AA7" w:rsidRPr="005B0796" w:rsidRDefault="008F7AA7" w:rsidP="00383C5C">
            <w:pPr>
              <w:pStyle w:val="TableText"/>
              <w:rPr>
                <w:lang w:eastAsia="en-AU"/>
              </w:rPr>
            </w:pPr>
            <w:r w:rsidRPr="005B0796">
              <w:rPr>
                <w:lang w:eastAsia="en-AU"/>
              </w:rPr>
              <w:t>Made a suicide plan</w:t>
            </w:r>
          </w:p>
        </w:tc>
        <w:tc>
          <w:tcPr>
            <w:tcW w:w="1450" w:type="dxa"/>
            <w:noWrap/>
            <w:hideMark/>
          </w:tcPr>
          <w:p w:rsidR="008F7AA7" w:rsidRPr="005B0796" w:rsidRDefault="008F7AA7" w:rsidP="00383C5C">
            <w:pPr>
              <w:pStyle w:val="TableText"/>
              <w:jc w:val="right"/>
              <w:rPr>
                <w:lang w:eastAsia="en-AU"/>
              </w:rPr>
            </w:pPr>
            <w:r w:rsidRPr="005B0796">
              <w:rPr>
                <w:lang w:eastAsia="en-AU"/>
              </w:rPr>
              <w:t>1965</w:t>
            </w:r>
          </w:p>
        </w:tc>
        <w:tc>
          <w:tcPr>
            <w:tcW w:w="1450" w:type="dxa"/>
            <w:noWrap/>
            <w:hideMark/>
          </w:tcPr>
          <w:p w:rsidR="008F7AA7" w:rsidRPr="005B0796" w:rsidRDefault="008F7AA7" w:rsidP="00383C5C">
            <w:pPr>
              <w:pStyle w:val="TableText"/>
              <w:jc w:val="right"/>
              <w:rPr>
                <w:lang w:eastAsia="en-AU"/>
              </w:rPr>
            </w:pPr>
            <w:r w:rsidRPr="005B0796">
              <w:rPr>
                <w:lang w:eastAsia="en-AU"/>
              </w:rPr>
              <w:t>7.9</w:t>
            </w:r>
          </w:p>
        </w:tc>
        <w:tc>
          <w:tcPr>
            <w:tcW w:w="1450" w:type="dxa"/>
            <w:hideMark/>
          </w:tcPr>
          <w:p w:rsidR="008F7AA7" w:rsidRPr="005B0796" w:rsidRDefault="008F7AA7" w:rsidP="00383C5C">
            <w:pPr>
              <w:pStyle w:val="TableText"/>
              <w:jc w:val="right"/>
              <w:rPr>
                <w:lang w:eastAsia="en-AU"/>
              </w:rPr>
            </w:pPr>
            <w:r w:rsidRPr="005B0796">
              <w:rPr>
                <w:lang w:eastAsia="en-AU"/>
              </w:rPr>
              <w:t>(7.0, 8.9)</w:t>
            </w:r>
          </w:p>
        </w:tc>
      </w:tr>
      <w:tr w:rsidR="008F7AA7" w:rsidRPr="005B0796" w:rsidTr="00EF46AC">
        <w:tc>
          <w:tcPr>
            <w:tcW w:w="2965" w:type="dxa"/>
            <w:hideMark/>
          </w:tcPr>
          <w:p w:rsidR="008F7AA7" w:rsidRPr="005B0796" w:rsidRDefault="008F7AA7" w:rsidP="00383C5C">
            <w:pPr>
              <w:pStyle w:val="TableText"/>
              <w:rPr>
                <w:lang w:eastAsia="en-AU"/>
              </w:rPr>
            </w:pPr>
            <w:r w:rsidRPr="005B0796">
              <w:rPr>
                <w:lang w:eastAsia="en-AU"/>
              </w:rPr>
              <w:t>Attempted suicide</w:t>
            </w:r>
          </w:p>
        </w:tc>
        <w:tc>
          <w:tcPr>
            <w:tcW w:w="1450" w:type="dxa"/>
            <w:noWrap/>
            <w:hideMark/>
          </w:tcPr>
          <w:p w:rsidR="008F7AA7" w:rsidRPr="005B0796" w:rsidRDefault="008F7AA7" w:rsidP="00383C5C">
            <w:pPr>
              <w:pStyle w:val="TableText"/>
              <w:jc w:val="right"/>
              <w:rPr>
                <w:lang w:eastAsia="en-AU"/>
              </w:rPr>
            </w:pPr>
            <w:r w:rsidRPr="005B0796">
              <w:rPr>
                <w:lang w:eastAsia="en-AU"/>
              </w:rPr>
              <w:t>505</w:t>
            </w:r>
          </w:p>
        </w:tc>
        <w:tc>
          <w:tcPr>
            <w:tcW w:w="1450" w:type="dxa"/>
            <w:noWrap/>
            <w:hideMark/>
          </w:tcPr>
          <w:p w:rsidR="008F7AA7" w:rsidRPr="005B0796" w:rsidRDefault="008F7AA7" w:rsidP="00383C5C">
            <w:pPr>
              <w:pStyle w:val="TableText"/>
              <w:jc w:val="right"/>
              <w:rPr>
                <w:lang w:eastAsia="en-AU"/>
              </w:rPr>
            </w:pPr>
            <w:r w:rsidRPr="005B0796">
              <w:rPr>
                <w:lang w:eastAsia="en-AU"/>
              </w:rPr>
              <w:t>2.0</w:t>
            </w:r>
          </w:p>
        </w:tc>
        <w:tc>
          <w:tcPr>
            <w:tcW w:w="1450" w:type="dxa"/>
            <w:hideMark/>
          </w:tcPr>
          <w:p w:rsidR="008F7AA7" w:rsidRPr="005B0796" w:rsidRDefault="008F7AA7" w:rsidP="00383C5C">
            <w:pPr>
              <w:pStyle w:val="TableText"/>
              <w:jc w:val="right"/>
              <w:rPr>
                <w:lang w:eastAsia="en-AU"/>
              </w:rPr>
            </w:pPr>
            <w:r w:rsidRPr="005B0796">
              <w:rPr>
                <w:lang w:eastAsia="en-AU"/>
              </w:rPr>
              <w:t>(1.6, 2.6)</w:t>
            </w:r>
          </w:p>
        </w:tc>
      </w:tr>
      <w:tr w:rsidR="008F7AA7" w:rsidRPr="005B0796" w:rsidTr="00EF46AC">
        <w:trPr>
          <w:cnfStyle w:val="000000100000" w:firstRow="0" w:lastRow="0" w:firstColumn="0" w:lastColumn="0" w:oddVBand="0" w:evenVBand="0" w:oddHBand="1" w:evenHBand="0" w:firstRowFirstColumn="0" w:firstRowLastColumn="0" w:lastRowFirstColumn="0" w:lastRowLastColumn="0"/>
        </w:trPr>
        <w:tc>
          <w:tcPr>
            <w:tcW w:w="2965" w:type="dxa"/>
            <w:hideMark/>
          </w:tcPr>
          <w:p w:rsidR="008F7AA7" w:rsidRPr="005B0796" w:rsidRDefault="008F7AA7" w:rsidP="00383C5C">
            <w:pPr>
              <w:pStyle w:val="TableText"/>
              <w:rPr>
                <w:lang w:eastAsia="en-AU"/>
              </w:rPr>
            </w:pPr>
            <w:r w:rsidRPr="005B0796">
              <w:rPr>
                <w:lang w:eastAsia="en-AU"/>
              </w:rPr>
              <w:t>Any suicidality*</w:t>
            </w:r>
          </w:p>
        </w:tc>
        <w:tc>
          <w:tcPr>
            <w:tcW w:w="1450" w:type="dxa"/>
            <w:hideMark/>
          </w:tcPr>
          <w:p w:rsidR="008F7AA7" w:rsidRPr="005B0796" w:rsidRDefault="008F7AA7" w:rsidP="00383C5C">
            <w:pPr>
              <w:pStyle w:val="TableText"/>
              <w:jc w:val="right"/>
              <w:rPr>
                <w:lang w:eastAsia="en-AU"/>
              </w:rPr>
            </w:pPr>
            <w:r w:rsidRPr="005B0796">
              <w:rPr>
                <w:lang w:eastAsia="en-AU"/>
              </w:rPr>
              <w:t>5342</w:t>
            </w:r>
          </w:p>
        </w:tc>
        <w:tc>
          <w:tcPr>
            <w:tcW w:w="1450" w:type="dxa"/>
            <w:hideMark/>
          </w:tcPr>
          <w:p w:rsidR="008F7AA7" w:rsidRPr="005B0796" w:rsidRDefault="008F7AA7" w:rsidP="00383C5C">
            <w:pPr>
              <w:pStyle w:val="TableText"/>
              <w:jc w:val="right"/>
              <w:rPr>
                <w:lang w:eastAsia="en-AU"/>
              </w:rPr>
            </w:pPr>
            <w:r w:rsidRPr="005B0796">
              <w:rPr>
                <w:lang w:eastAsia="en-AU"/>
              </w:rPr>
              <w:t>21.7</w:t>
            </w:r>
          </w:p>
        </w:tc>
        <w:tc>
          <w:tcPr>
            <w:tcW w:w="1450" w:type="dxa"/>
            <w:hideMark/>
          </w:tcPr>
          <w:p w:rsidR="008F7AA7" w:rsidRPr="005B0796" w:rsidRDefault="008F7AA7" w:rsidP="00383C5C">
            <w:pPr>
              <w:pStyle w:val="TableText"/>
              <w:jc w:val="right"/>
              <w:rPr>
                <w:lang w:eastAsia="en-AU"/>
              </w:rPr>
            </w:pPr>
            <w:r w:rsidRPr="005B0796">
              <w:rPr>
                <w:lang w:eastAsia="en-AU"/>
              </w:rPr>
              <w:t>20.2, 23.3</w:t>
            </w:r>
          </w:p>
        </w:tc>
      </w:tr>
    </w:tbl>
    <w:p w:rsidR="00CD7866" w:rsidRPr="005B0796" w:rsidRDefault="00CD7866" w:rsidP="00CD7866">
      <w:pPr>
        <w:pStyle w:val="TableNotes"/>
      </w:pPr>
      <w:r w:rsidRPr="005B0796">
        <w:t xml:space="preserve">* Calculated as yes to either </w:t>
      </w:r>
      <w:r w:rsidR="002B2CFD">
        <w:t>‘</w:t>
      </w:r>
      <w:r w:rsidR="00F773A8" w:rsidRPr="005B0796">
        <w:t xml:space="preserve">felt </w:t>
      </w:r>
      <w:r w:rsidRPr="005B0796">
        <w:t>so low thought about committing suicide</w:t>
      </w:r>
      <w:r w:rsidR="002B2CFD">
        <w:t>’</w:t>
      </w:r>
      <w:r w:rsidRPr="005B0796">
        <w:t xml:space="preserve">, </w:t>
      </w:r>
      <w:r w:rsidR="002B2CFD">
        <w:t>‘</w:t>
      </w:r>
      <w:r w:rsidR="00F773A8" w:rsidRPr="005B0796">
        <w:t xml:space="preserve">made </w:t>
      </w:r>
      <w:r w:rsidRPr="005B0796">
        <w:t>a suicide plan</w:t>
      </w:r>
      <w:r w:rsidR="002B2CFD">
        <w:t>’</w:t>
      </w:r>
      <w:r w:rsidRPr="005B0796">
        <w:t xml:space="preserve">, or </w:t>
      </w:r>
      <w:r w:rsidR="002B2CFD">
        <w:t>‘</w:t>
      </w:r>
      <w:r w:rsidR="00F773A8" w:rsidRPr="005B0796">
        <w:t xml:space="preserve">attempted </w:t>
      </w:r>
      <w:r w:rsidRPr="005B0796">
        <w:t>suicide</w:t>
      </w:r>
      <w:r w:rsidR="002B2CFD">
        <w:t>’</w:t>
      </w:r>
    </w:p>
    <w:p w:rsidR="00CD7866" w:rsidRPr="005B0796" w:rsidRDefault="00CD7866" w:rsidP="00CD7866">
      <w:pPr>
        <w:pStyle w:val="TableNotes"/>
        <w:rPr>
          <w:rFonts w:cs="Calibri"/>
          <w:bCs/>
        </w:rPr>
      </w:pPr>
      <w:r w:rsidRPr="005B0796">
        <w:rPr>
          <w:rFonts w:cs="Calibri"/>
          <w:bCs/>
        </w:rPr>
        <w:t>Note</w:t>
      </w:r>
      <w:r w:rsidR="008C2520" w:rsidRPr="005B0796">
        <w:rPr>
          <w:rFonts w:cs="Calibri"/>
          <w:bCs/>
        </w:rPr>
        <w:t>s</w:t>
      </w:r>
      <w:r w:rsidRPr="005B0796">
        <w:rPr>
          <w:rFonts w:cs="Calibri"/>
          <w:bCs/>
        </w:rPr>
        <w:t>:</w:t>
      </w:r>
      <w:r w:rsidR="008C2520" w:rsidRPr="005B0796">
        <w:rPr>
          <w:rFonts w:cs="Calibri"/>
          <w:bCs/>
        </w:rPr>
        <w:br/>
      </w:r>
      <w:r w:rsidRPr="005B0796">
        <w:rPr>
          <w:rFonts w:cs="Calibri"/>
          <w:bCs/>
        </w:rPr>
        <w:t xml:space="preserve">95%CI: 95% </w:t>
      </w:r>
      <w:r w:rsidR="00564689" w:rsidRPr="005B0796">
        <w:rPr>
          <w:rFonts w:cs="Calibri"/>
          <w:bCs/>
        </w:rPr>
        <w:t>confidence interval</w:t>
      </w:r>
    </w:p>
    <w:p w:rsidR="00CD7866" w:rsidRPr="005B0796" w:rsidRDefault="00CD7866" w:rsidP="00CD7866">
      <w:pPr>
        <w:pStyle w:val="TableNotes"/>
      </w:pPr>
      <w:r w:rsidRPr="005B0796">
        <w:t>This terminology reflects the standardised survey item used in this study</w:t>
      </w:r>
      <w:r w:rsidR="002B2CFD">
        <w:t xml:space="preserve"> –</w:t>
      </w:r>
      <w:r w:rsidRPr="005B0796">
        <w:t xml:space="preserve"> however</w:t>
      </w:r>
      <w:r w:rsidR="002B2CFD">
        <w:t>,</w:t>
      </w:r>
      <w:r w:rsidRPr="005B0796">
        <w:t xml:space="preserve"> it should be noted that this is no longer considered an appropriate description, and the term </w:t>
      </w:r>
      <w:r w:rsidR="00462A0C" w:rsidRPr="005B0796">
        <w:t>‘</w:t>
      </w:r>
      <w:r w:rsidR="002B2CFD">
        <w:t xml:space="preserve">thought about </w:t>
      </w:r>
      <w:r w:rsidRPr="005B0796">
        <w:t>committing suicide</w:t>
      </w:r>
      <w:r w:rsidR="00462A0C" w:rsidRPr="005B0796">
        <w:t>’</w:t>
      </w:r>
      <w:r w:rsidRPr="005B0796">
        <w:t xml:space="preserve"> should be replaced with </w:t>
      </w:r>
      <w:r w:rsidR="00462A0C" w:rsidRPr="005B0796">
        <w:t>‘</w:t>
      </w:r>
      <w:r w:rsidRPr="005B0796">
        <w:t>thought about taking their own life</w:t>
      </w:r>
      <w:r w:rsidR="00462A0C" w:rsidRPr="005B0796">
        <w:t>’</w:t>
      </w:r>
    </w:p>
    <w:p w:rsidR="008F7AA7" w:rsidRPr="005B0796" w:rsidRDefault="008F7AA7" w:rsidP="00383C5C">
      <w:pPr>
        <w:pStyle w:val="Heading4"/>
      </w:pPr>
      <w:r w:rsidRPr="005B0796">
        <w:t>Transition status</w:t>
      </w:r>
    </w:p>
    <w:p w:rsidR="008F7AA7" w:rsidRPr="005B0796" w:rsidRDefault="009E72D3" w:rsidP="00383C5C">
      <w:r w:rsidRPr="005B0796">
        <w:t>Table 4.41</w:t>
      </w:r>
      <w:r w:rsidR="008F7AA7" w:rsidRPr="005B0796">
        <w:t xml:space="preserve"> and</w:t>
      </w:r>
      <w:r w:rsidR="004128D4" w:rsidRPr="005B0796">
        <w:t xml:space="preserve"> </w:t>
      </w:r>
      <w:r w:rsidRPr="005B0796">
        <w:t>Figure 4.33</w:t>
      </w:r>
      <w:r w:rsidR="008F7AA7" w:rsidRPr="005B0796">
        <w:t xml:space="preserve"> show that </w:t>
      </w:r>
      <w:r w:rsidR="00462A0C" w:rsidRPr="005B0796">
        <w:t>‘</w:t>
      </w:r>
      <w:r w:rsidR="008F7AA7" w:rsidRPr="005B0796">
        <w:t>any suicidality</w:t>
      </w:r>
      <w:r w:rsidR="00462A0C" w:rsidRPr="005B0796">
        <w:t>’</w:t>
      </w:r>
      <w:r w:rsidR="008F7AA7" w:rsidRPr="005B0796">
        <w:t xml:space="preserve"> was significantly higher among Ex-Serving Transitioned ADF compared with Inactive (OR 2.4, 95% CI 1.9, 3.0) and Active Reservists (OR 3.2, 95% CI 2.4, 4.2). Estimated rates of plans and attempts, in particular, were at least three times higher among the Ex-Serving ADF compared with Inactive Reservists (plans OR 3.1, 95% CI 2.1, 4.5; attempts OR 3.3, 95% CI 1.4, 7.8), and at least </w:t>
      </w:r>
      <w:r w:rsidR="002B2CFD">
        <w:t>five</w:t>
      </w:r>
      <w:r w:rsidR="008F7AA7" w:rsidRPr="005B0796">
        <w:t xml:space="preserve"> times higher compared to Active Reservists (plans OR 5.8, 95% CI 3.7, 9.1; attempts OR 31.4, 95% CI 9.3, 106.0). However, caution should be used when interpreting the difference in suicide attempts between Transitioned ADF and Active Reservists due to extremely large confidence intervals. </w:t>
      </w:r>
    </w:p>
    <w:p w:rsidR="00383C5C" w:rsidRPr="005B0796" w:rsidRDefault="00383C5C" w:rsidP="00383C5C">
      <w:pPr>
        <w:sectPr w:rsidR="00383C5C" w:rsidRPr="005B0796" w:rsidSect="00383C5C">
          <w:footerReference w:type="even" r:id="rId132"/>
          <w:footerReference w:type="default" r:id="rId133"/>
          <w:pgSz w:w="9979" w:h="14170" w:code="243"/>
          <w:pgMar w:top="1440" w:right="1152" w:bottom="1440" w:left="1728" w:header="576" w:footer="576" w:gutter="0"/>
          <w:cols w:space="708"/>
          <w:docGrid w:linePitch="360"/>
        </w:sectPr>
      </w:pPr>
      <w:bookmarkStart w:id="751" w:name="_Ref484520113"/>
      <w:bookmarkStart w:id="752" w:name="_Toc482023805"/>
      <w:bookmarkStart w:id="753" w:name="_Toc487014292"/>
      <w:bookmarkStart w:id="754" w:name="_Toc492995595"/>
    </w:p>
    <w:p w:rsidR="008F7AA7" w:rsidRPr="005B0796" w:rsidRDefault="00CD7866" w:rsidP="00CD7866">
      <w:pPr>
        <w:pStyle w:val="TableName"/>
      </w:pPr>
      <w:bookmarkStart w:id="755" w:name="_Ref494281278"/>
      <w:bookmarkStart w:id="756" w:name="_Toc51190044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41</w:t>
      </w:r>
      <w:r w:rsidR="00D30A3C">
        <w:rPr>
          <w:noProof/>
        </w:rPr>
        <w:fldChar w:fldCharType="end"/>
      </w:r>
      <w:bookmarkEnd w:id="751"/>
      <w:bookmarkEnd w:id="755"/>
      <w:r w:rsidRPr="005B0796">
        <w:tab/>
        <w:t>Estimated prevalence of suicidality in Transitioned ADF members</w:t>
      </w:r>
      <w:r w:rsidR="002B2CFD">
        <w:t>,</w:t>
      </w:r>
      <w:r w:rsidRPr="005B0796">
        <w:t xml:space="preserve"> by transition status (Ex-Serving, Inactive Reservists, and Active Reservists)</w:t>
      </w:r>
      <w:bookmarkEnd w:id="752"/>
      <w:bookmarkEnd w:id="753"/>
      <w:bookmarkEnd w:id="754"/>
      <w:bookmarkEnd w:id="756"/>
    </w:p>
    <w:tbl>
      <w:tblPr>
        <w:tblStyle w:val="TWRPTable"/>
        <w:tblW w:w="5000" w:type="pct"/>
        <w:tblLayout w:type="fixed"/>
        <w:tblLook w:val="04A0" w:firstRow="1" w:lastRow="0" w:firstColumn="1" w:lastColumn="0" w:noHBand="0" w:noVBand="1"/>
        <w:tblDescription w:val="Table 4.41 Estimated prevalence of suicidality in Transitioned ADF members by transition status (Ex-Serving, Inactive Reservists, and Active Reservists)"/>
      </w:tblPr>
      <w:tblGrid>
        <w:gridCol w:w="2896"/>
        <w:gridCol w:w="955"/>
        <w:gridCol w:w="957"/>
        <w:gridCol w:w="957"/>
        <w:gridCol w:w="955"/>
        <w:gridCol w:w="957"/>
        <w:gridCol w:w="957"/>
        <w:gridCol w:w="955"/>
        <w:gridCol w:w="957"/>
        <w:gridCol w:w="960"/>
      </w:tblGrid>
      <w:tr w:rsidR="00383C5C" w:rsidRPr="005B0796" w:rsidTr="00C77924">
        <w:trPr>
          <w:cnfStyle w:val="100000000000" w:firstRow="1" w:lastRow="0" w:firstColumn="0" w:lastColumn="0" w:oddVBand="0" w:evenVBand="0" w:oddHBand="0" w:evenHBand="0" w:firstRowFirstColumn="0" w:firstRowLastColumn="0" w:lastRowFirstColumn="0" w:lastRowLastColumn="0"/>
          <w:cantSplit/>
          <w:tblHeader/>
        </w:trPr>
        <w:tc>
          <w:tcPr>
            <w:tcW w:w="1258" w:type="pct"/>
            <w:vMerge w:val="restart"/>
            <w:tcBorders>
              <w:top w:val="single" w:sz="4" w:space="0" w:color="000000"/>
              <w:bottom w:val="nil"/>
            </w:tcBorders>
            <w:noWrap/>
            <w:hideMark/>
          </w:tcPr>
          <w:p w:rsidR="008F7AA7" w:rsidRPr="005B0796" w:rsidRDefault="008F7AA7" w:rsidP="00383C5C">
            <w:pPr>
              <w:pStyle w:val="TableText"/>
            </w:pPr>
          </w:p>
        </w:tc>
        <w:tc>
          <w:tcPr>
            <w:tcW w:w="3742" w:type="pct"/>
            <w:gridSpan w:val="9"/>
            <w:noWrap/>
            <w:hideMark/>
          </w:tcPr>
          <w:p w:rsidR="008F7AA7" w:rsidRPr="005B0796" w:rsidRDefault="008F7AA7" w:rsidP="00383C5C">
            <w:pPr>
              <w:pStyle w:val="TableText"/>
              <w:jc w:val="center"/>
            </w:pPr>
            <w:r w:rsidRPr="005B0796">
              <w:t>Transition status</w:t>
            </w:r>
          </w:p>
        </w:tc>
      </w:tr>
      <w:tr w:rsidR="00383C5C" w:rsidRPr="005B0796" w:rsidTr="00C77924">
        <w:trPr>
          <w:cnfStyle w:val="100000000000" w:firstRow="1" w:lastRow="0" w:firstColumn="0" w:lastColumn="0" w:oddVBand="0" w:evenVBand="0" w:oddHBand="0" w:evenHBand="0" w:firstRowFirstColumn="0" w:firstRowLastColumn="0" w:lastRowFirstColumn="0" w:lastRowLastColumn="0"/>
          <w:cantSplit/>
          <w:tblHeader/>
        </w:trPr>
        <w:tc>
          <w:tcPr>
            <w:tcW w:w="1258" w:type="pct"/>
            <w:vMerge/>
            <w:tcBorders>
              <w:top w:val="nil"/>
              <w:bottom w:val="nil"/>
            </w:tcBorders>
            <w:hideMark/>
          </w:tcPr>
          <w:p w:rsidR="008F7AA7" w:rsidRPr="005B0796" w:rsidRDefault="008F7AA7" w:rsidP="00383C5C">
            <w:pPr>
              <w:pStyle w:val="TableText"/>
            </w:pPr>
          </w:p>
        </w:tc>
        <w:tc>
          <w:tcPr>
            <w:tcW w:w="1247" w:type="pct"/>
            <w:gridSpan w:val="3"/>
            <w:noWrap/>
            <w:hideMark/>
          </w:tcPr>
          <w:p w:rsidR="008F7AA7" w:rsidRPr="005B0796" w:rsidRDefault="008F7AA7" w:rsidP="00383C5C">
            <w:pPr>
              <w:pStyle w:val="TableText"/>
              <w:jc w:val="center"/>
            </w:pPr>
            <w:r w:rsidRPr="005B0796">
              <w:t>Ex-Serving (n = 11,440)</w:t>
            </w:r>
          </w:p>
        </w:tc>
        <w:tc>
          <w:tcPr>
            <w:tcW w:w="1247" w:type="pct"/>
            <w:gridSpan w:val="3"/>
            <w:noWrap/>
            <w:hideMark/>
          </w:tcPr>
          <w:p w:rsidR="008F7AA7" w:rsidRPr="005B0796" w:rsidRDefault="008F7AA7" w:rsidP="00383C5C">
            <w:pPr>
              <w:pStyle w:val="TableText"/>
              <w:jc w:val="center"/>
            </w:pPr>
            <w:r w:rsidRPr="005B0796">
              <w:t>Inactive Reservists (n = 6447)</w:t>
            </w:r>
          </w:p>
        </w:tc>
        <w:tc>
          <w:tcPr>
            <w:tcW w:w="1247" w:type="pct"/>
            <w:gridSpan w:val="3"/>
            <w:noWrap/>
            <w:hideMark/>
          </w:tcPr>
          <w:p w:rsidR="008F7AA7" w:rsidRPr="005B0796" w:rsidRDefault="008F7AA7" w:rsidP="00383C5C">
            <w:pPr>
              <w:pStyle w:val="TableText"/>
              <w:jc w:val="center"/>
            </w:pPr>
            <w:r w:rsidRPr="005B0796">
              <w:t>Active Reservists (n = 6968)</w:t>
            </w:r>
          </w:p>
        </w:tc>
      </w:tr>
      <w:tr w:rsidR="00383C5C" w:rsidRPr="005B0796" w:rsidTr="00C77924">
        <w:trPr>
          <w:cnfStyle w:val="100000000000" w:firstRow="1" w:lastRow="0" w:firstColumn="0" w:lastColumn="0" w:oddVBand="0" w:evenVBand="0" w:oddHBand="0" w:evenHBand="0" w:firstRowFirstColumn="0" w:firstRowLastColumn="0" w:lastRowFirstColumn="0" w:lastRowLastColumn="0"/>
          <w:cantSplit/>
          <w:tblHeader/>
        </w:trPr>
        <w:tc>
          <w:tcPr>
            <w:tcW w:w="1258" w:type="pct"/>
            <w:tcBorders>
              <w:top w:val="nil"/>
            </w:tcBorders>
            <w:noWrap/>
            <w:hideMark/>
          </w:tcPr>
          <w:p w:rsidR="008F7AA7" w:rsidRPr="005B0796" w:rsidRDefault="00383C5C" w:rsidP="00383C5C">
            <w:pPr>
              <w:pStyle w:val="TableText"/>
            </w:pPr>
            <w:r w:rsidRPr="005B0796">
              <w:t>Suicidality</w:t>
            </w:r>
          </w:p>
        </w:tc>
        <w:tc>
          <w:tcPr>
            <w:tcW w:w="415" w:type="pct"/>
            <w:noWrap/>
            <w:hideMark/>
          </w:tcPr>
          <w:p w:rsidR="008F7AA7" w:rsidRPr="005B0796" w:rsidRDefault="008F7AA7" w:rsidP="00383C5C">
            <w:pPr>
              <w:pStyle w:val="TableText"/>
              <w:jc w:val="right"/>
            </w:pPr>
            <w:r w:rsidRPr="005B0796">
              <w:t>Weighted n</w:t>
            </w:r>
          </w:p>
        </w:tc>
        <w:tc>
          <w:tcPr>
            <w:tcW w:w="416" w:type="pct"/>
            <w:hideMark/>
          </w:tcPr>
          <w:p w:rsidR="008F7AA7" w:rsidRPr="005B0796" w:rsidRDefault="008F7AA7" w:rsidP="00383C5C">
            <w:pPr>
              <w:pStyle w:val="TableText"/>
              <w:jc w:val="right"/>
            </w:pPr>
            <w:r w:rsidRPr="005B0796">
              <w:t>%</w:t>
            </w:r>
          </w:p>
        </w:tc>
        <w:tc>
          <w:tcPr>
            <w:tcW w:w="416" w:type="pct"/>
            <w:hideMark/>
          </w:tcPr>
          <w:p w:rsidR="008F7AA7" w:rsidRPr="005B0796" w:rsidRDefault="008F7AA7" w:rsidP="00383C5C">
            <w:pPr>
              <w:pStyle w:val="TableText"/>
              <w:jc w:val="right"/>
            </w:pPr>
            <w:r w:rsidRPr="005B0796">
              <w:t>95% CI</w:t>
            </w:r>
          </w:p>
        </w:tc>
        <w:tc>
          <w:tcPr>
            <w:tcW w:w="415" w:type="pct"/>
            <w:noWrap/>
            <w:hideMark/>
          </w:tcPr>
          <w:p w:rsidR="008F7AA7" w:rsidRPr="005B0796" w:rsidRDefault="008F7AA7" w:rsidP="00383C5C">
            <w:pPr>
              <w:pStyle w:val="TableText"/>
              <w:jc w:val="right"/>
            </w:pPr>
            <w:r w:rsidRPr="005B0796">
              <w:t>Weighted n</w:t>
            </w:r>
          </w:p>
        </w:tc>
        <w:tc>
          <w:tcPr>
            <w:tcW w:w="416" w:type="pct"/>
            <w:hideMark/>
          </w:tcPr>
          <w:p w:rsidR="008F7AA7" w:rsidRPr="005B0796" w:rsidRDefault="008F7AA7" w:rsidP="00383C5C">
            <w:pPr>
              <w:pStyle w:val="TableText"/>
              <w:jc w:val="right"/>
            </w:pPr>
            <w:r w:rsidRPr="005B0796">
              <w:t>%</w:t>
            </w:r>
          </w:p>
        </w:tc>
        <w:tc>
          <w:tcPr>
            <w:tcW w:w="416" w:type="pct"/>
            <w:hideMark/>
          </w:tcPr>
          <w:p w:rsidR="008F7AA7" w:rsidRPr="005B0796" w:rsidRDefault="008F7AA7" w:rsidP="00383C5C">
            <w:pPr>
              <w:pStyle w:val="TableText"/>
              <w:jc w:val="right"/>
            </w:pPr>
            <w:r w:rsidRPr="005B0796">
              <w:t>95% CI</w:t>
            </w:r>
          </w:p>
        </w:tc>
        <w:tc>
          <w:tcPr>
            <w:tcW w:w="415" w:type="pct"/>
            <w:hideMark/>
          </w:tcPr>
          <w:p w:rsidR="008F7AA7" w:rsidRPr="005B0796" w:rsidRDefault="008F7AA7" w:rsidP="00383C5C">
            <w:pPr>
              <w:pStyle w:val="TableText"/>
              <w:jc w:val="right"/>
            </w:pPr>
            <w:r w:rsidRPr="005B0796">
              <w:t>Weighted n</w:t>
            </w:r>
          </w:p>
        </w:tc>
        <w:tc>
          <w:tcPr>
            <w:tcW w:w="416" w:type="pct"/>
            <w:hideMark/>
          </w:tcPr>
          <w:p w:rsidR="008F7AA7" w:rsidRPr="005B0796" w:rsidRDefault="008F7AA7" w:rsidP="00383C5C">
            <w:pPr>
              <w:pStyle w:val="TableText"/>
              <w:jc w:val="right"/>
            </w:pPr>
            <w:r w:rsidRPr="005B0796">
              <w:t>%</w:t>
            </w:r>
          </w:p>
        </w:tc>
        <w:tc>
          <w:tcPr>
            <w:tcW w:w="416" w:type="pct"/>
            <w:hideMark/>
          </w:tcPr>
          <w:p w:rsidR="008F7AA7" w:rsidRPr="005B0796" w:rsidRDefault="008F7AA7" w:rsidP="00383C5C">
            <w:pPr>
              <w:pStyle w:val="TableText"/>
              <w:jc w:val="right"/>
            </w:pPr>
            <w:r w:rsidRPr="005B0796">
              <w:t xml:space="preserve"> 95% CI</w:t>
            </w:r>
          </w:p>
        </w:tc>
      </w:tr>
      <w:tr w:rsidR="00383C5C" w:rsidRPr="005B0796" w:rsidTr="00C77924">
        <w:trPr>
          <w:cnfStyle w:val="000000100000" w:firstRow="0" w:lastRow="0" w:firstColumn="0" w:lastColumn="0" w:oddVBand="0" w:evenVBand="0" w:oddHBand="1" w:evenHBand="0" w:firstRowFirstColumn="0" w:firstRowLastColumn="0" w:lastRowFirstColumn="0" w:lastRowLastColumn="0"/>
          <w:cantSplit/>
        </w:trPr>
        <w:tc>
          <w:tcPr>
            <w:tcW w:w="1258" w:type="pct"/>
            <w:hideMark/>
          </w:tcPr>
          <w:p w:rsidR="008F7AA7" w:rsidRPr="005B0796" w:rsidRDefault="008F7AA7" w:rsidP="00383C5C">
            <w:pPr>
              <w:pStyle w:val="TableText"/>
              <w:rPr>
                <w:lang w:eastAsia="en-AU"/>
              </w:rPr>
            </w:pPr>
            <w:r w:rsidRPr="005B0796">
              <w:t>Felt life not worth living</w:t>
            </w:r>
          </w:p>
        </w:tc>
        <w:tc>
          <w:tcPr>
            <w:tcW w:w="415" w:type="pct"/>
            <w:noWrap/>
            <w:hideMark/>
          </w:tcPr>
          <w:p w:rsidR="008F7AA7" w:rsidRPr="005B0796" w:rsidRDefault="008F7AA7" w:rsidP="00383C5C">
            <w:pPr>
              <w:pStyle w:val="TableText"/>
              <w:jc w:val="right"/>
              <w:rPr>
                <w:lang w:eastAsia="en-AU"/>
              </w:rPr>
            </w:pPr>
            <w:r w:rsidRPr="005B0796">
              <w:t>4606</w:t>
            </w:r>
          </w:p>
        </w:tc>
        <w:tc>
          <w:tcPr>
            <w:tcW w:w="416" w:type="pct"/>
            <w:noWrap/>
            <w:hideMark/>
          </w:tcPr>
          <w:p w:rsidR="008F7AA7" w:rsidRPr="005B0796" w:rsidRDefault="008F7AA7" w:rsidP="00383C5C">
            <w:pPr>
              <w:pStyle w:val="TableText"/>
              <w:jc w:val="right"/>
              <w:rPr>
                <w:lang w:eastAsia="en-AU"/>
              </w:rPr>
            </w:pPr>
            <w:r w:rsidRPr="005B0796">
              <w:t>40.3</w:t>
            </w:r>
          </w:p>
        </w:tc>
        <w:tc>
          <w:tcPr>
            <w:tcW w:w="416" w:type="pct"/>
            <w:noWrap/>
            <w:hideMark/>
          </w:tcPr>
          <w:p w:rsidR="008F7AA7" w:rsidRPr="005B0796" w:rsidRDefault="008F7AA7" w:rsidP="00383C5C">
            <w:pPr>
              <w:pStyle w:val="TableText"/>
              <w:jc w:val="right"/>
              <w:rPr>
                <w:lang w:eastAsia="en-AU"/>
              </w:rPr>
            </w:pPr>
            <w:r w:rsidRPr="005B0796">
              <w:t>(37.5, 43.1)</w:t>
            </w:r>
          </w:p>
        </w:tc>
        <w:tc>
          <w:tcPr>
            <w:tcW w:w="415" w:type="pct"/>
            <w:noWrap/>
            <w:hideMark/>
          </w:tcPr>
          <w:p w:rsidR="008F7AA7" w:rsidRPr="005B0796" w:rsidRDefault="008F7AA7" w:rsidP="00383C5C">
            <w:pPr>
              <w:pStyle w:val="TableText"/>
              <w:jc w:val="right"/>
              <w:rPr>
                <w:lang w:eastAsia="en-AU"/>
              </w:rPr>
            </w:pPr>
            <w:r w:rsidRPr="005B0796">
              <w:t>1399</w:t>
            </w:r>
          </w:p>
        </w:tc>
        <w:tc>
          <w:tcPr>
            <w:tcW w:w="416" w:type="pct"/>
            <w:noWrap/>
            <w:hideMark/>
          </w:tcPr>
          <w:p w:rsidR="008F7AA7" w:rsidRPr="005B0796" w:rsidRDefault="008F7AA7" w:rsidP="00383C5C">
            <w:pPr>
              <w:pStyle w:val="TableText"/>
              <w:jc w:val="right"/>
              <w:rPr>
                <w:lang w:eastAsia="en-AU"/>
              </w:rPr>
            </w:pPr>
            <w:r w:rsidRPr="005B0796">
              <w:t>21.7</w:t>
            </w:r>
          </w:p>
        </w:tc>
        <w:tc>
          <w:tcPr>
            <w:tcW w:w="416" w:type="pct"/>
            <w:noWrap/>
            <w:hideMark/>
          </w:tcPr>
          <w:p w:rsidR="008F7AA7" w:rsidRPr="005B0796" w:rsidRDefault="008F7AA7" w:rsidP="00383C5C">
            <w:pPr>
              <w:pStyle w:val="TableText"/>
              <w:jc w:val="right"/>
              <w:rPr>
                <w:lang w:eastAsia="en-AU"/>
              </w:rPr>
            </w:pPr>
            <w:r w:rsidRPr="005B0796">
              <w:t>(18.9, 24.8)</w:t>
            </w:r>
          </w:p>
        </w:tc>
        <w:tc>
          <w:tcPr>
            <w:tcW w:w="415" w:type="pct"/>
            <w:noWrap/>
            <w:hideMark/>
          </w:tcPr>
          <w:p w:rsidR="008F7AA7" w:rsidRPr="005B0796" w:rsidRDefault="008F7AA7" w:rsidP="00383C5C">
            <w:pPr>
              <w:pStyle w:val="TableText"/>
              <w:jc w:val="right"/>
              <w:rPr>
                <w:lang w:eastAsia="en-AU"/>
              </w:rPr>
            </w:pPr>
            <w:r w:rsidRPr="005B0796">
              <w:t>1242</w:t>
            </w:r>
          </w:p>
        </w:tc>
        <w:tc>
          <w:tcPr>
            <w:tcW w:w="416" w:type="pct"/>
            <w:noWrap/>
            <w:hideMark/>
          </w:tcPr>
          <w:p w:rsidR="008F7AA7" w:rsidRPr="005B0796" w:rsidRDefault="008F7AA7" w:rsidP="00383C5C">
            <w:pPr>
              <w:pStyle w:val="TableText"/>
              <w:jc w:val="right"/>
              <w:rPr>
                <w:lang w:eastAsia="en-AU"/>
              </w:rPr>
            </w:pPr>
            <w:r w:rsidRPr="005B0796">
              <w:t>17.8</w:t>
            </w:r>
          </w:p>
        </w:tc>
        <w:tc>
          <w:tcPr>
            <w:tcW w:w="416" w:type="pct"/>
            <w:noWrap/>
            <w:hideMark/>
          </w:tcPr>
          <w:p w:rsidR="008F7AA7" w:rsidRPr="005B0796" w:rsidRDefault="008F7AA7" w:rsidP="00383C5C">
            <w:pPr>
              <w:pStyle w:val="TableText"/>
              <w:jc w:val="right"/>
              <w:rPr>
                <w:lang w:eastAsia="en-AU"/>
              </w:rPr>
            </w:pPr>
            <w:r w:rsidRPr="005B0796">
              <w:t>(15.5, 20.4)</w:t>
            </w:r>
          </w:p>
        </w:tc>
      </w:tr>
      <w:tr w:rsidR="00383C5C" w:rsidRPr="005B0796" w:rsidTr="00C77924">
        <w:trPr>
          <w:cantSplit/>
        </w:trPr>
        <w:tc>
          <w:tcPr>
            <w:tcW w:w="1258" w:type="pct"/>
            <w:hideMark/>
          </w:tcPr>
          <w:p w:rsidR="008F7AA7" w:rsidRPr="005B0796" w:rsidRDefault="008F7AA7" w:rsidP="00383C5C">
            <w:pPr>
              <w:pStyle w:val="TableText"/>
              <w:rPr>
                <w:lang w:eastAsia="en-AU"/>
              </w:rPr>
            </w:pPr>
            <w:r w:rsidRPr="005B0796">
              <w:t>Felt so low thought about committing suicide</w:t>
            </w:r>
          </w:p>
        </w:tc>
        <w:tc>
          <w:tcPr>
            <w:tcW w:w="415" w:type="pct"/>
            <w:noWrap/>
            <w:hideMark/>
          </w:tcPr>
          <w:p w:rsidR="008F7AA7" w:rsidRPr="005B0796" w:rsidRDefault="008F7AA7" w:rsidP="00383C5C">
            <w:pPr>
              <w:pStyle w:val="TableText"/>
              <w:jc w:val="right"/>
              <w:rPr>
                <w:lang w:eastAsia="en-AU"/>
              </w:rPr>
            </w:pPr>
            <w:r w:rsidRPr="005B0796">
              <w:t>3506</w:t>
            </w:r>
          </w:p>
        </w:tc>
        <w:tc>
          <w:tcPr>
            <w:tcW w:w="416" w:type="pct"/>
            <w:noWrap/>
            <w:hideMark/>
          </w:tcPr>
          <w:p w:rsidR="008F7AA7" w:rsidRPr="005B0796" w:rsidRDefault="008F7AA7" w:rsidP="00383C5C">
            <w:pPr>
              <w:pStyle w:val="TableText"/>
              <w:jc w:val="right"/>
              <w:rPr>
                <w:lang w:eastAsia="en-AU"/>
              </w:rPr>
            </w:pPr>
            <w:r w:rsidRPr="005B0796">
              <w:t>30.7</w:t>
            </w:r>
          </w:p>
        </w:tc>
        <w:tc>
          <w:tcPr>
            <w:tcW w:w="416" w:type="pct"/>
            <w:noWrap/>
            <w:hideMark/>
          </w:tcPr>
          <w:p w:rsidR="008F7AA7" w:rsidRPr="005B0796" w:rsidRDefault="008F7AA7" w:rsidP="00383C5C">
            <w:pPr>
              <w:pStyle w:val="TableText"/>
              <w:jc w:val="right"/>
              <w:rPr>
                <w:lang w:eastAsia="en-AU"/>
              </w:rPr>
            </w:pPr>
            <w:r w:rsidRPr="005B0796">
              <w:t>(28.1, 33.4)</w:t>
            </w:r>
          </w:p>
        </w:tc>
        <w:tc>
          <w:tcPr>
            <w:tcW w:w="415" w:type="pct"/>
            <w:noWrap/>
            <w:hideMark/>
          </w:tcPr>
          <w:p w:rsidR="008F7AA7" w:rsidRPr="005B0796" w:rsidRDefault="008F7AA7" w:rsidP="00383C5C">
            <w:pPr>
              <w:pStyle w:val="TableText"/>
              <w:jc w:val="right"/>
              <w:rPr>
                <w:lang w:eastAsia="en-AU"/>
              </w:rPr>
            </w:pPr>
            <w:r w:rsidRPr="005B0796">
              <w:t>982</w:t>
            </w:r>
          </w:p>
        </w:tc>
        <w:tc>
          <w:tcPr>
            <w:tcW w:w="416" w:type="pct"/>
            <w:noWrap/>
            <w:hideMark/>
          </w:tcPr>
          <w:p w:rsidR="008F7AA7" w:rsidRPr="005B0796" w:rsidRDefault="008F7AA7" w:rsidP="00383C5C">
            <w:pPr>
              <w:pStyle w:val="TableText"/>
              <w:jc w:val="right"/>
              <w:rPr>
                <w:lang w:eastAsia="en-AU"/>
              </w:rPr>
            </w:pPr>
            <w:r w:rsidRPr="005B0796">
              <w:t>15.2</w:t>
            </w:r>
          </w:p>
        </w:tc>
        <w:tc>
          <w:tcPr>
            <w:tcW w:w="416" w:type="pct"/>
            <w:noWrap/>
            <w:hideMark/>
          </w:tcPr>
          <w:p w:rsidR="008F7AA7" w:rsidRPr="005B0796" w:rsidRDefault="008F7AA7" w:rsidP="00383C5C">
            <w:pPr>
              <w:pStyle w:val="TableText"/>
              <w:jc w:val="right"/>
              <w:rPr>
                <w:lang w:eastAsia="en-AU"/>
              </w:rPr>
            </w:pPr>
            <w:r w:rsidRPr="005B0796">
              <w:t>(12.9, 18.0)</w:t>
            </w:r>
          </w:p>
        </w:tc>
        <w:tc>
          <w:tcPr>
            <w:tcW w:w="415" w:type="pct"/>
            <w:noWrap/>
            <w:hideMark/>
          </w:tcPr>
          <w:p w:rsidR="008F7AA7" w:rsidRPr="005B0796" w:rsidRDefault="008F7AA7" w:rsidP="00383C5C">
            <w:pPr>
              <w:pStyle w:val="TableText"/>
              <w:jc w:val="right"/>
              <w:rPr>
                <w:lang w:eastAsia="en-AU"/>
              </w:rPr>
            </w:pPr>
            <w:r w:rsidRPr="005B0796">
              <w:t>856</w:t>
            </w:r>
          </w:p>
        </w:tc>
        <w:tc>
          <w:tcPr>
            <w:tcW w:w="416" w:type="pct"/>
            <w:noWrap/>
            <w:hideMark/>
          </w:tcPr>
          <w:p w:rsidR="008F7AA7" w:rsidRPr="005B0796" w:rsidRDefault="008F7AA7" w:rsidP="00383C5C">
            <w:pPr>
              <w:pStyle w:val="TableText"/>
              <w:jc w:val="right"/>
              <w:rPr>
                <w:lang w:eastAsia="en-AU"/>
              </w:rPr>
            </w:pPr>
            <w:r w:rsidRPr="005B0796">
              <w:t>12.3</w:t>
            </w:r>
          </w:p>
        </w:tc>
        <w:tc>
          <w:tcPr>
            <w:tcW w:w="416" w:type="pct"/>
            <w:noWrap/>
            <w:hideMark/>
          </w:tcPr>
          <w:p w:rsidR="008F7AA7" w:rsidRPr="005B0796" w:rsidRDefault="008F7AA7" w:rsidP="00383C5C">
            <w:pPr>
              <w:pStyle w:val="TableText"/>
              <w:jc w:val="right"/>
              <w:rPr>
                <w:lang w:eastAsia="en-AU"/>
              </w:rPr>
            </w:pPr>
            <w:r w:rsidRPr="005B0796">
              <w:t>(10.2, 14.7)</w:t>
            </w:r>
          </w:p>
        </w:tc>
      </w:tr>
      <w:tr w:rsidR="00383C5C" w:rsidRPr="005B0796" w:rsidTr="00C77924">
        <w:trPr>
          <w:cnfStyle w:val="000000100000" w:firstRow="0" w:lastRow="0" w:firstColumn="0" w:lastColumn="0" w:oddVBand="0" w:evenVBand="0" w:oddHBand="1" w:evenHBand="0" w:firstRowFirstColumn="0" w:firstRowLastColumn="0" w:lastRowFirstColumn="0" w:lastRowLastColumn="0"/>
          <w:cantSplit/>
        </w:trPr>
        <w:tc>
          <w:tcPr>
            <w:tcW w:w="1258" w:type="pct"/>
            <w:hideMark/>
          </w:tcPr>
          <w:p w:rsidR="008F7AA7" w:rsidRPr="005B0796" w:rsidRDefault="008F7AA7" w:rsidP="00383C5C">
            <w:pPr>
              <w:pStyle w:val="TableText"/>
              <w:rPr>
                <w:lang w:eastAsia="en-AU"/>
              </w:rPr>
            </w:pPr>
            <w:r w:rsidRPr="005B0796">
              <w:t>Made a suicide plan</w:t>
            </w:r>
            <w:r w:rsidRPr="005B0796">
              <w:rPr>
                <w:vertAlign w:val="superscript"/>
              </w:rPr>
              <w:t>a</w:t>
            </w:r>
          </w:p>
        </w:tc>
        <w:tc>
          <w:tcPr>
            <w:tcW w:w="415" w:type="pct"/>
            <w:noWrap/>
            <w:hideMark/>
          </w:tcPr>
          <w:p w:rsidR="008F7AA7" w:rsidRPr="005B0796" w:rsidRDefault="008F7AA7" w:rsidP="00383C5C">
            <w:pPr>
              <w:pStyle w:val="TableText"/>
              <w:jc w:val="right"/>
              <w:rPr>
                <w:lang w:eastAsia="en-AU"/>
              </w:rPr>
            </w:pPr>
            <w:r w:rsidRPr="005B0796">
              <w:t>1496</w:t>
            </w:r>
          </w:p>
        </w:tc>
        <w:tc>
          <w:tcPr>
            <w:tcW w:w="416" w:type="pct"/>
            <w:noWrap/>
            <w:hideMark/>
          </w:tcPr>
          <w:p w:rsidR="008F7AA7" w:rsidRPr="005B0796" w:rsidRDefault="008F7AA7" w:rsidP="00383C5C">
            <w:pPr>
              <w:pStyle w:val="TableText"/>
              <w:jc w:val="right"/>
              <w:rPr>
                <w:lang w:eastAsia="en-AU"/>
              </w:rPr>
            </w:pPr>
            <w:r w:rsidRPr="005B0796">
              <w:t>13.1</w:t>
            </w:r>
          </w:p>
        </w:tc>
        <w:tc>
          <w:tcPr>
            <w:tcW w:w="416" w:type="pct"/>
            <w:noWrap/>
            <w:hideMark/>
          </w:tcPr>
          <w:p w:rsidR="008F7AA7" w:rsidRPr="005B0796" w:rsidRDefault="008F7AA7" w:rsidP="00383C5C">
            <w:pPr>
              <w:pStyle w:val="TableText"/>
              <w:jc w:val="right"/>
              <w:rPr>
                <w:lang w:eastAsia="en-AU"/>
              </w:rPr>
            </w:pPr>
            <w:r w:rsidRPr="005B0796">
              <w:t>(11.4, 15.0)</w:t>
            </w:r>
          </w:p>
        </w:tc>
        <w:tc>
          <w:tcPr>
            <w:tcW w:w="415" w:type="pct"/>
            <w:noWrap/>
            <w:hideMark/>
          </w:tcPr>
          <w:p w:rsidR="008F7AA7" w:rsidRPr="005B0796" w:rsidRDefault="008F7AA7" w:rsidP="00383C5C">
            <w:pPr>
              <w:pStyle w:val="TableText"/>
              <w:jc w:val="right"/>
              <w:rPr>
                <w:lang w:eastAsia="en-AU"/>
              </w:rPr>
            </w:pPr>
            <w:r w:rsidRPr="005B0796">
              <w:t>302</w:t>
            </w:r>
          </w:p>
        </w:tc>
        <w:tc>
          <w:tcPr>
            <w:tcW w:w="416" w:type="pct"/>
            <w:noWrap/>
            <w:hideMark/>
          </w:tcPr>
          <w:p w:rsidR="008F7AA7" w:rsidRPr="005B0796" w:rsidRDefault="008F7AA7" w:rsidP="00383C5C">
            <w:pPr>
              <w:pStyle w:val="TableText"/>
              <w:jc w:val="right"/>
              <w:rPr>
                <w:lang w:eastAsia="en-AU"/>
              </w:rPr>
            </w:pPr>
            <w:r w:rsidRPr="005B0796">
              <w:t>4.7</w:t>
            </w:r>
          </w:p>
        </w:tc>
        <w:tc>
          <w:tcPr>
            <w:tcW w:w="416" w:type="pct"/>
            <w:noWrap/>
            <w:hideMark/>
          </w:tcPr>
          <w:p w:rsidR="008F7AA7" w:rsidRPr="005B0796" w:rsidRDefault="008F7AA7" w:rsidP="00383C5C">
            <w:pPr>
              <w:pStyle w:val="TableText"/>
              <w:jc w:val="right"/>
              <w:rPr>
                <w:lang w:eastAsia="en-AU"/>
              </w:rPr>
            </w:pPr>
            <w:r w:rsidRPr="005B0796">
              <w:t>(3.4, 6.4)</w:t>
            </w:r>
          </w:p>
        </w:tc>
        <w:tc>
          <w:tcPr>
            <w:tcW w:w="415" w:type="pct"/>
            <w:noWrap/>
            <w:hideMark/>
          </w:tcPr>
          <w:p w:rsidR="008F7AA7" w:rsidRPr="005B0796" w:rsidRDefault="008F7AA7" w:rsidP="00383C5C">
            <w:pPr>
              <w:pStyle w:val="TableText"/>
              <w:jc w:val="right"/>
              <w:rPr>
                <w:lang w:eastAsia="en-AU"/>
              </w:rPr>
            </w:pPr>
            <w:r w:rsidRPr="005B0796">
              <w:t>187</w:t>
            </w:r>
          </w:p>
        </w:tc>
        <w:tc>
          <w:tcPr>
            <w:tcW w:w="416" w:type="pct"/>
            <w:noWrap/>
            <w:hideMark/>
          </w:tcPr>
          <w:p w:rsidR="008F7AA7" w:rsidRPr="005B0796" w:rsidRDefault="008F7AA7" w:rsidP="00383C5C">
            <w:pPr>
              <w:pStyle w:val="TableText"/>
              <w:jc w:val="right"/>
              <w:rPr>
                <w:lang w:eastAsia="en-AU"/>
              </w:rPr>
            </w:pPr>
            <w:r w:rsidRPr="005B0796">
              <w:t>2.7</w:t>
            </w:r>
          </w:p>
        </w:tc>
        <w:tc>
          <w:tcPr>
            <w:tcW w:w="416" w:type="pct"/>
            <w:noWrap/>
            <w:hideMark/>
          </w:tcPr>
          <w:p w:rsidR="008F7AA7" w:rsidRPr="005B0796" w:rsidRDefault="008F7AA7" w:rsidP="00383C5C">
            <w:pPr>
              <w:pStyle w:val="TableText"/>
              <w:jc w:val="right"/>
              <w:rPr>
                <w:lang w:eastAsia="en-AU"/>
              </w:rPr>
            </w:pPr>
            <w:r w:rsidRPr="005B0796">
              <w:t>(1.8, 3.9)</w:t>
            </w:r>
          </w:p>
        </w:tc>
      </w:tr>
      <w:tr w:rsidR="00383C5C" w:rsidRPr="005B0796" w:rsidTr="00C77924">
        <w:trPr>
          <w:cantSplit/>
        </w:trPr>
        <w:tc>
          <w:tcPr>
            <w:tcW w:w="1258" w:type="pct"/>
            <w:noWrap/>
            <w:hideMark/>
          </w:tcPr>
          <w:p w:rsidR="008F7AA7" w:rsidRPr="005B0796" w:rsidRDefault="008F7AA7" w:rsidP="00383C5C">
            <w:pPr>
              <w:pStyle w:val="TableText"/>
              <w:rPr>
                <w:lang w:eastAsia="en-AU"/>
              </w:rPr>
            </w:pPr>
            <w:r w:rsidRPr="005B0796">
              <w:t>Attempted suicide</w:t>
            </w:r>
            <w:r w:rsidRPr="005B0796">
              <w:rPr>
                <w:vertAlign w:val="superscript"/>
              </w:rPr>
              <w:t>b</w:t>
            </w:r>
          </w:p>
        </w:tc>
        <w:tc>
          <w:tcPr>
            <w:tcW w:w="415" w:type="pct"/>
            <w:noWrap/>
            <w:hideMark/>
          </w:tcPr>
          <w:p w:rsidR="008F7AA7" w:rsidRPr="005B0796" w:rsidRDefault="008F7AA7" w:rsidP="00383C5C">
            <w:pPr>
              <w:pStyle w:val="TableText"/>
              <w:jc w:val="right"/>
              <w:rPr>
                <w:lang w:eastAsia="en-AU"/>
              </w:rPr>
            </w:pPr>
            <w:r w:rsidRPr="005B0796">
              <w:t>435</w:t>
            </w:r>
          </w:p>
        </w:tc>
        <w:tc>
          <w:tcPr>
            <w:tcW w:w="416" w:type="pct"/>
            <w:noWrap/>
            <w:hideMark/>
          </w:tcPr>
          <w:p w:rsidR="008F7AA7" w:rsidRPr="005B0796" w:rsidRDefault="008F7AA7" w:rsidP="00383C5C">
            <w:pPr>
              <w:pStyle w:val="TableText"/>
              <w:jc w:val="right"/>
              <w:rPr>
                <w:lang w:eastAsia="en-AU"/>
              </w:rPr>
            </w:pPr>
            <w:r w:rsidRPr="005B0796">
              <w:t>3.8</w:t>
            </w:r>
          </w:p>
        </w:tc>
        <w:tc>
          <w:tcPr>
            <w:tcW w:w="416" w:type="pct"/>
            <w:noWrap/>
            <w:hideMark/>
          </w:tcPr>
          <w:p w:rsidR="008F7AA7" w:rsidRPr="005B0796" w:rsidRDefault="008F7AA7" w:rsidP="00383C5C">
            <w:pPr>
              <w:pStyle w:val="TableText"/>
              <w:jc w:val="right"/>
              <w:rPr>
                <w:lang w:eastAsia="en-AU"/>
              </w:rPr>
            </w:pPr>
            <w:r w:rsidRPr="005B0796">
              <w:t>(2.9, 5.0)</w:t>
            </w:r>
          </w:p>
        </w:tc>
        <w:tc>
          <w:tcPr>
            <w:tcW w:w="415" w:type="pct"/>
            <w:noWrap/>
            <w:hideMark/>
          </w:tcPr>
          <w:p w:rsidR="008F7AA7" w:rsidRPr="005B0796" w:rsidRDefault="008F7AA7" w:rsidP="00383C5C">
            <w:pPr>
              <w:pStyle w:val="TableText"/>
              <w:jc w:val="right"/>
              <w:rPr>
                <w:lang w:eastAsia="en-AU"/>
              </w:rPr>
            </w:pPr>
            <w:r w:rsidRPr="005B0796">
              <w:t>68</w:t>
            </w:r>
          </w:p>
        </w:tc>
        <w:tc>
          <w:tcPr>
            <w:tcW w:w="416" w:type="pct"/>
            <w:noWrap/>
            <w:hideMark/>
          </w:tcPr>
          <w:p w:rsidR="008F7AA7" w:rsidRPr="005B0796" w:rsidRDefault="008F7AA7" w:rsidP="00383C5C">
            <w:pPr>
              <w:pStyle w:val="TableText"/>
              <w:jc w:val="right"/>
              <w:rPr>
                <w:lang w:eastAsia="en-AU"/>
              </w:rPr>
            </w:pPr>
            <w:r w:rsidRPr="005B0796">
              <w:t>1.1</w:t>
            </w:r>
          </w:p>
        </w:tc>
        <w:tc>
          <w:tcPr>
            <w:tcW w:w="416" w:type="pct"/>
            <w:noWrap/>
            <w:hideMark/>
          </w:tcPr>
          <w:p w:rsidR="008F7AA7" w:rsidRPr="005B0796" w:rsidRDefault="008F7AA7" w:rsidP="00383C5C">
            <w:pPr>
              <w:pStyle w:val="TableText"/>
              <w:jc w:val="right"/>
              <w:rPr>
                <w:lang w:eastAsia="en-AU"/>
              </w:rPr>
            </w:pPr>
            <w:r w:rsidRPr="005B0796">
              <w:t>(0.5, 2.3)</w:t>
            </w:r>
          </w:p>
        </w:tc>
        <w:tc>
          <w:tcPr>
            <w:tcW w:w="415" w:type="pct"/>
            <w:noWrap/>
            <w:hideMark/>
          </w:tcPr>
          <w:p w:rsidR="008F7AA7" w:rsidRPr="005B0796" w:rsidRDefault="008F7AA7" w:rsidP="00383C5C">
            <w:pPr>
              <w:pStyle w:val="TableText"/>
              <w:jc w:val="right"/>
              <w:rPr>
                <w:lang w:eastAsia="en-AU"/>
              </w:rPr>
            </w:pPr>
            <w:r w:rsidRPr="005B0796">
              <w:t>8</w:t>
            </w:r>
          </w:p>
        </w:tc>
        <w:tc>
          <w:tcPr>
            <w:tcW w:w="416" w:type="pct"/>
            <w:noWrap/>
            <w:hideMark/>
          </w:tcPr>
          <w:p w:rsidR="008F7AA7" w:rsidRPr="005B0796" w:rsidRDefault="008F7AA7" w:rsidP="00383C5C">
            <w:pPr>
              <w:pStyle w:val="TableText"/>
              <w:jc w:val="right"/>
              <w:rPr>
                <w:lang w:eastAsia="en-AU"/>
              </w:rPr>
            </w:pPr>
            <w:r w:rsidRPr="005B0796">
              <w:t>0.1</w:t>
            </w:r>
          </w:p>
        </w:tc>
        <w:tc>
          <w:tcPr>
            <w:tcW w:w="416" w:type="pct"/>
            <w:noWrap/>
            <w:hideMark/>
          </w:tcPr>
          <w:p w:rsidR="008F7AA7" w:rsidRPr="005B0796" w:rsidRDefault="008F7AA7" w:rsidP="00383C5C">
            <w:pPr>
              <w:pStyle w:val="TableText"/>
              <w:jc w:val="right"/>
              <w:rPr>
                <w:lang w:eastAsia="en-AU"/>
              </w:rPr>
            </w:pPr>
            <w:r w:rsidRPr="005B0796">
              <w:t>(0.0, 0.4)</w:t>
            </w:r>
          </w:p>
        </w:tc>
      </w:tr>
      <w:tr w:rsidR="00383C5C" w:rsidRPr="005B0796" w:rsidTr="00C77924">
        <w:trPr>
          <w:cnfStyle w:val="000000100000" w:firstRow="0" w:lastRow="0" w:firstColumn="0" w:lastColumn="0" w:oddVBand="0" w:evenVBand="0" w:oddHBand="1" w:evenHBand="0" w:firstRowFirstColumn="0" w:firstRowLastColumn="0" w:lastRowFirstColumn="0" w:lastRowLastColumn="0"/>
          <w:cantSplit/>
        </w:trPr>
        <w:tc>
          <w:tcPr>
            <w:tcW w:w="1258" w:type="pct"/>
            <w:noWrap/>
            <w:hideMark/>
          </w:tcPr>
          <w:p w:rsidR="008F7AA7" w:rsidRPr="005B0796" w:rsidRDefault="008F7AA7" w:rsidP="00383C5C">
            <w:pPr>
              <w:pStyle w:val="TableText"/>
              <w:rPr>
                <w:lang w:eastAsia="en-AU"/>
              </w:rPr>
            </w:pPr>
            <w:r w:rsidRPr="005B0796">
              <w:t>Any suicidality</w:t>
            </w:r>
            <w:r w:rsidRPr="005B0796">
              <w:rPr>
                <w:vertAlign w:val="superscript"/>
              </w:rPr>
              <w:t>c</w:t>
            </w:r>
          </w:p>
        </w:tc>
        <w:tc>
          <w:tcPr>
            <w:tcW w:w="415" w:type="pct"/>
            <w:noWrap/>
            <w:hideMark/>
          </w:tcPr>
          <w:p w:rsidR="008F7AA7" w:rsidRPr="005B0796" w:rsidRDefault="008F7AA7" w:rsidP="00383C5C">
            <w:pPr>
              <w:pStyle w:val="TableText"/>
              <w:jc w:val="right"/>
              <w:rPr>
                <w:lang w:eastAsia="en-AU"/>
              </w:rPr>
            </w:pPr>
            <w:r w:rsidRPr="005B0796">
              <w:t>3598</w:t>
            </w:r>
          </w:p>
        </w:tc>
        <w:tc>
          <w:tcPr>
            <w:tcW w:w="416" w:type="pct"/>
            <w:noWrap/>
            <w:hideMark/>
          </w:tcPr>
          <w:p w:rsidR="008F7AA7" w:rsidRPr="005B0796" w:rsidRDefault="008F7AA7" w:rsidP="00383C5C">
            <w:pPr>
              <w:pStyle w:val="TableText"/>
              <w:jc w:val="right"/>
              <w:rPr>
                <w:lang w:eastAsia="en-AU"/>
              </w:rPr>
            </w:pPr>
            <w:r w:rsidRPr="005B0796">
              <w:t>31.5</w:t>
            </w:r>
          </w:p>
        </w:tc>
        <w:tc>
          <w:tcPr>
            <w:tcW w:w="416" w:type="pct"/>
            <w:noWrap/>
            <w:hideMark/>
          </w:tcPr>
          <w:p w:rsidR="008F7AA7" w:rsidRPr="005B0796" w:rsidRDefault="008F7AA7" w:rsidP="00383C5C">
            <w:pPr>
              <w:pStyle w:val="TableText"/>
              <w:jc w:val="right"/>
              <w:rPr>
                <w:lang w:eastAsia="en-AU"/>
              </w:rPr>
            </w:pPr>
            <w:r w:rsidRPr="005B0796">
              <w:t>28.8, 34.2</w:t>
            </w:r>
          </w:p>
        </w:tc>
        <w:tc>
          <w:tcPr>
            <w:tcW w:w="415" w:type="pct"/>
            <w:noWrap/>
            <w:hideMark/>
          </w:tcPr>
          <w:p w:rsidR="008F7AA7" w:rsidRPr="005B0796" w:rsidRDefault="008F7AA7" w:rsidP="00383C5C">
            <w:pPr>
              <w:pStyle w:val="TableText"/>
              <w:jc w:val="right"/>
              <w:rPr>
                <w:lang w:eastAsia="en-AU"/>
              </w:rPr>
            </w:pPr>
            <w:r w:rsidRPr="005B0796">
              <w:t>1010</w:t>
            </w:r>
          </w:p>
        </w:tc>
        <w:tc>
          <w:tcPr>
            <w:tcW w:w="416" w:type="pct"/>
            <w:noWrap/>
            <w:hideMark/>
          </w:tcPr>
          <w:p w:rsidR="008F7AA7" w:rsidRPr="005B0796" w:rsidRDefault="008F7AA7" w:rsidP="00383C5C">
            <w:pPr>
              <w:pStyle w:val="TableText"/>
              <w:jc w:val="right"/>
              <w:rPr>
                <w:lang w:eastAsia="en-AU"/>
              </w:rPr>
            </w:pPr>
            <w:r w:rsidRPr="005B0796">
              <w:t>15.7</w:t>
            </w:r>
          </w:p>
        </w:tc>
        <w:tc>
          <w:tcPr>
            <w:tcW w:w="416" w:type="pct"/>
            <w:noWrap/>
            <w:hideMark/>
          </w:tcPr>
          <w:p w:rsidR="008F7AA7" w:rsidRPr="005B0796" w:rsidRDefault="008F7AA7" w:rsidP="00383C5C">
            <w:pPr>
              <w:pStyle w:val="TableText"/>
              <w:jc w:val="right"/>
              <w:rPr>
                <w:lang w:eastAsia="en-AU"/>
              </w:rPr>
            </w:pPr>
            <w:r w:rsidRPr="005B0796">
              <w:t>13.3, 18.4</w:t>
            </w:r>
          </w:p>
        </w:tc>
        <w:tc>
          <w:tcPr>
            <w:tcW w:w="415" w:type="pct"/>
            <w:noWrap/>
            <w:hideMark/>
          </w:tcPr>
          <w:p w:rsidR="008F7AA7" w:rsidRPr="005B0796" w:rsidRDefault="008F7AA7" w:rsidP="00383C5C">
            <w:pPr>
              <w:pStyle w:val="TableText"/>
              <w:jc w:val="right"/>
              <w:rPr>
                <w:lang w:eastAsia="en-AU"/>
              </w:rPr>
            </w:pPr>
            <w:r w:rsidRPr="005B0796">
              <w:t>866</w:t>
            </w:r>
          </w:p>
        </w:tc>
        <w:tc>
          <w:tcPr>
            <w:tcW w:w="416" w:type="pct"/>
            <w:noWrap/>
            <w:hideMark/>
          </w:tcPr>
          <w:p w:rsidR="008F7AA7" w:rsidRPr="005B0796" w:rsidRDefault="008F7AA7" w:rsidP="00383C5C">
            <w:pPr>
              <w:pStyle w:val="TableText"/>
              <w:jc w:val="right"/>
              <w:rPr>
                <w:lang w:eastAsia="en-AU"/>
              </w:rPr>
            </w:pPr>
            <w:r w:rsidRPr="005B0796">
              <w:t>12.4</w:t>
            </w:r>
          </w:p>
        </w:tc>
        <w:tc>
          <w:tcPr>
            <w:tcW w:w="416" w:type="pct"/>
            <w:noWrap/>
            <w:hideMark/>
          </w:tcPr>
          <w:p w:rsidR="008F7AA7" w:rsidRPr="005B0796" w:rsidRDefault="008F7AA7" w:rsidP="00383C5C">
            <w:pPr>
              <w:pStyle w:val="TableText"/>
              <w:jc w:val="right"/>
              <w:rPr>
                <w:lang w:eastAsia="en-AU"/>
              </w:rPr>
            </w:pPr>
            <w:r w:rsidRPr="005B0796">
              <w:t>10.3, 14.9</w:t>
            </w:r>
          </w:p>
        </w:tc>
      </w:tr>
    </w:tbl>
    <w:p w:rsidR="00CD7866" w:rsidRPr="005B0796" w:rsidRDefault="00CD7866" w:rsidP="00CD7866">
      <w:pPr>
        <w:pStyle w:val="TableNotes"/>
      </w:pPr>
      <w:bookmarkStart w:id="757" w:name="_Ref484520500"/>
      <w:bookmarkStart w:id="758" w:name="_Toc482023843"/>
      <w:bookmarkStart w:id="759" w:name="_Toc487014381"/>
      <w:r w:rsidRPr="005B0796">
        <w:rPr>
          <w:vertAlign w:val="superscript"/>
        </w:rPr>
        <w:t>a</w:t>
      </w:r>
      <w:r w:rsidRPr="005B0796">
        <w:t xml:space="preserve"> Ex-Serving vs Inactive: OR 3.1, 95% CI 2.1, 4.5; Ex-Serving vs Active: OR 5.8, 95% CI 3.7, 9.1)</w:t>
      </w:r>
    </w:p>
    <w:p w:rsidR="00CD7866" w:rsidRPr="005B0796" w:rsidRDefault="00CD7866" w:rsidP="00CD7866">
      <w:pPr>
        <w:pStyle w:val="TableNotes"/>
      </w:pPr>
      <w:r w:rsidRPr="005B0796">
        <w:rPr>
          <w:vertAlign w:val="superscript"/>
        </w:rPr>
        <w:t>b</w:t>
      </w:r>
      <w:r w:rsidRPr="005B0796">
        <w:t xml:space="preserve"> Ex-Serving vs Inactive: OR 3.3, 95% CI 1.4, 7.8; Ex-Serving vs Active: OR 31.4, 95% CI 9.3, 106.0)</w:t>
      </w:r>
    </w:p>
    <w:p w:rsidR="00CD7866" w:rsidRPr="005B0796" w:rsidRDefault="00CD7866" w:rsidP="00CD7866">
      <w:pPr>
        <w:pStyle w:val="TableNotes"/>
      </w:pPr>
      <w:r w:rsidRPr="005B0796">
        <w:rPr>
          <w:vertAlign w:val="superscript"/>
        </w:rPr>
        <w:t>c</w:t>
      </w:r>
      <w:r w:rsidRPr="005B0796">
        <w:t xml:space="preserve"> Ex-Serving vs Inactive: OR 2.4, 95% CI 1.9, 3.0; Ex-Serving vs Active: OR 3.2 95% CI 2.4, 4.2)</w:t>
      </w:r>
    </w:p>
    <w:p w:rsidR="00CD7866" w:rsidRPr="005B0796" w:rsidRDefault="00CD7866" w:rsidP="00CD7866">
      <w:pPr>
        <w:pStyle w:val="TableNotes"/>
        <w:rPr>
          <w:rFonts w:cs="@헤드라인A"/>
        </w:rPr>
      </w:pPr>
      <w:r w:rsidRPr="005B0796">
        <w:t xml:space="preserve">* </w:t>
      </w:r>
      <w:r w:rsidRPr="005B0796">
        <w:rPr>
          <w:rFonts w:cs="@헤드라인A"/>
        </w:rPr>
        <w:t xml:space="preserve">Calculated as yes to </w:t>
      </w:r>
      <w:r w:rsidR="002B2CFD">
        <w:rPr>
          <w:rFonts w:cs="@헤드라인A"/>
        </w:rPr>
        <w:t>‘</w:t>
      </w:r>
      <w:r w:rsidR="00F773A8" w:rsidRPr="005B0796">
        <w:rPr>
          <w:rFonts w:cs="@헤드라인A"/>
        </w:rPr>
        <w:t xml:space="preserve">felt </w:t>
      </w:r>
      <w:r w:rsidRPr="005B0796">
        <w:rPr>
          <w:rFonts w:cs="@헤드라인A"/>
        </w:rPr>
        <w:t>so low thought about committing suicide</w:t>
      </w:r>
      <w:r w:rsidR="002B2CFD">
        <w:rPr>
          <w:rFonts w:cs="@헤드라인A"/>
        </w:rPr>
        <w:t>’</w:t>
      </w:r>
      <w:r w:rsidRPr="005B0796">
        <w:rPr>
          <w:rFonts w:cs="@헤드라인A"/>
        </w:rPr>
        <w:t xml:space="preserve">, </w:t>
      </w:r>
      <w:r w:rsidR="002B2CFD">
        <w:rPr>
          <w:rFonts w:cs="@헤드라인A"/>
        </w:rPr>
        <w:t>‘</w:t>
      </w:r>
      <w:r w:rsidR="00F773A8" w:rsidRPr="005B0796">
        <w:rPr>
          <w:rFonts w:cs="@헤드라인A"/>
        </w:rPr>
        <w:t xml:space="preserve">made </w:t>
      </w:r>
      <w:r w:rsidRPr="005B0796">
        <w:rPr>
          <w:rFonts w:cs="@헤드라인A"/>
        </w:rPr>
        <w:t>a suicide plan</w:t>
      </w:r>
      <w:r w:rsidR="002B2CFD">
        <w:rPr>
          <w:rFonts w:cs="@헤드라인A"/>
        </w:rPr>
        <w:t>’</w:t>
      </w:r>
      <w:r w:rsidRPr="005B0796">
        <w:rPr>
          <w:rFonts w:cs="@헤드라인A"/>
        </w:rPr>
        <w:t xml:space="preserve">, or </w:t>
      </w:r>
      <w:r w:rsidR="002B2CFD">
        <w:rPr>
          <w:rFonts w:cs="@헤드라인A"/>
        </w:rPr>
        <w:t>‘</w:t>
      </w:r>
      <w:r w:rsidR="00F773A8" w:rsidRPr="005B0796">
        <w:rPr>
          <w:rFonts w:cs="@헤드라인A"/>
        </w:rPr>
        <w:t xml:space="preserve">attempted </w:t>
      </w:r>
      <w:r w:rsidRPr="005B0796">
        <w:rPr>
          <w:rFonts w:cs="@헤드라인A"/>
        </w:rPr>
        <w:t>suicide</w:t>
      </w:r>
      <w:r w:rsidR="002B2CFD">
        <w:rPr>
          <w:rFonts w:cs="@헤드라인A"/>
        </w:rPr>
        <w:t>’</w:t>
      </w:r>
    </w:p>
    <w:p w:rsidR="00CD7866" w:rsidRPr="005B0796" w:rsidRDefault="00CD7866" w:rsidP="00CD7866">
      <w:pPr>
        <w:pStyle w:val="TableNotes"/>
        <w:rPr>
          <w:rFonts w:cs="Calibri"/>
          <w:bCs/>
        </w:rPr>
      </w:pPr>
      <w:r w:rsidRPr="005B0796">
        <w:rPr>
          <w:rFonts w:cs="Calibri"/>
          <w:bCs/>
        </w:rPr>
        <w:t>Note</w:t>
      </w:r>
      <w:r w:rsidR="008C2520" w:rsidRPr="005B0796">
        <w:rPr>
          <w:rFonts w:cs="Calibri"/>
          <w:bCs/>
        </w:rPr>
        <w:t>s</w:t>
      </w:r>
      <w:r w:rsidRPr="005B0796">
        <w:rPr>
          <w:rFonts w:cs="Calibri"/>
          <w:bCs/>
        </w:rPr>
        <w:t>:</w:t>
      </w:r>
      <w:r w:rsidR="008C2520" w:rsidRPr="005B0796">
        <w:rPr>
          <w:rFonts w:cs="Calibri"/>
          <w:bCs/>
        </w:rPr>
        <w:br/>
      </w:r>
      <w:r w:rsidRPr="005B0796">
        <w:rPr>
          <w:rFonts w:cs="Calibri"/>
          <w:bCs/>
        </w:rPr>
        <w:t>95%</w:t>
      </w:r>
      <w:r w:rsidR="002B2CFD">
        <w:rPr>
          <w:rFonts w:cs="Calibri"/>
          <w:bCs/>
        </w:rPr>
        <w:t xml:space="preserve"> </w:t>
      </w:r>
      <w:r w:rsidRPr="005B0796">
        <w:rPr>
          <w:rFonts w:cs="Calibri"/>
          <w:bCs/>
        </w:rPr>
        <w:t xml:space="preserve">CI: 95% </w:t>
      </w:r>
      <w:r w:rsidR="00564689" w:rsidRPr="005B0796">
        <w:rPr>
          <w:rFonts w:cs="Calibri"/>
          <w:bCs/>
        </w:rPr>
        <w:t>confidence interval</w:t>
      </w:r>
    </w:p>
    <w:p w:rsidR="00CD7866" w:rsidRPr="005B0796" w:rsidRDefault="00CD7866" w:rsidP="00CD7866">
      <w:pPr>
        <w:pStyle w:val="TableNotes"/>
      </w:pPr>
      <w:r w:rsidRPr="005B0796">
        <w:t xml:space="preserve">This terminology reflects the standardised survey item used in this study </w:t>
      </w:r>
      <w:r w:rsidR="002B2CFD">
        <w:t xml:space="preserve">– </w:t>
      </w:r>
      <w:r w:rsidRPr="005B0796">
        <w:t>however</w:t>
      </w:r>
      <w:r w:rsidR="002B2CFD">
        <w:t>,</w:t>
      </w:r>
      <w:r w:rsidRPr="005B0796">
        <w:t xml:space="preserve"> it should be noted that this is no longer considered an appropriate description, and the term </w:t>
      </w:r>
      <w:r w:rsidR="00462A0C" w:rsidRPr="005B0796">
        <w:t>‘</w:t>
      </w:r>
      <w:r w:rsidR="002B2CFD">
        <w:t xml:space="preserve">thought about </w:t>
      </w:r>
      <w:r w:rsidRPr="005B0796">
        <w:t>committing suicide</w:t>
      </w:r>
      <w:r w:rsidR="00462A0C" w:rsidRPr="005B0796">
        <w:t>’</w:t>
      </w:r>
      <w:r w:rsidRPr="005B0796">
        <w:t xml:space="preserve"> should be replaced with </w:t>
      </w:r>
      <w:r w:rsidR="00462A0C" w:rsidRPr="005B0796">
        <w:t>‘</w:t>
      </w:r>
      <w:r w:rsidRPr="005B0796">
        <w:t>thought about taking their own life</w:t>
      </w:r>
      <w:r w:rsidR="00462A0C" w:rsidRPr="005B0796">
        <w:t>’</w:t>
      </w:r>
    </w:p>
    <w:p w:rsidR="00383C5C" w:rsidRPr="005B0796" w:rsidRDefault="00383C5C" w:rsidP="00383C5C">
      <w:pPr>
        <w:sectPr w:rsidR="00383C5C" w:rsidRPr="005B0796" w:rsidSect="00383C5C">
          <w:footerReference w:type="even" r:id="rId134"/>
          <w:footerReference w:type="default" r:id="rId135"/>
          <w:pgSz w:w="14170" w:h="9979" w:orient="landscape" w:code="243"/>
          <w:pgMar w:top="1872" w:right="1440" w:bottom="1152" w:left="1440" w:header="576" w:footer="576" w:gutter="0"/>
          <w:cols w:space="708"/>
          <w:docGrid w:linePitch="360"/>
        </w:sectPr>
      </w:pPr>
    </w:p>
    <w:p w:rsidR="008F7AA7" w:rsidRPr="005B0796" w:rsidRDefault="00CD7866" w:rsidP="00CD7866">
      <w:pPr>
        <w:pStyle w:val="FigureName"/>
      </w:pPr>
      <w:bookmarkStart w:id="760" w:name="_Ref494281307"/>
      <w:bookmarkStart w:id="761" w:name="_Toc51190055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33</w:t>
      </w:r>
      <w:r w:rsidR="00D30A3C">
        <w:rPr>
          <w:noProof/>
        </w:rPr>
        <w:fldChar w:fldCharType="end"/>
      </w:r>
      <w:bookmarkEnd w:id="757"/>
      <w:bookmarkEnd w:id="760"/>
      <w:r w:rsidRPr="005B0796">
        <w:tab/>
        <w:t>Estimated prevalence of suicidality in Transitioned ADF members, by transition status (Ex</w:t>
      </w:r>
      <w:r w:rsidRPr="005B0796">
        <w:noBreakHyphen/>
        <w:t>Serving, Inactive Reservists and Active Reservists</w:t>
      </w:r>
      <w:bookmarkEnd w:id="758"/>
      <w:r w:rsidRPr="005B0796">
        <w:t>)</w:t>
      </w:r>
      <w:bookmarkEnd w:id="759"/>
      <w:bookmarkEnd w:id="761"/>
    </w:p>
    <w:tbl>
      <w:tblPr>
        <w:tblW w:w="5000" w:type="pct"/>
        <w:tblLayout w:type="fixed"/>
        <w:tblCellMar>
          <w:left w:w="115" w:type="dxa"/>
          <w:right w:w="115" w:type="dxa"/>
        </w:tblCellMar>
        <w:tblLook w:val="04A0" w:firstRow="1" w:lastRow="0" w:firstColumn="1" w:lastColumn="0" w:noHBand="0" w:noVBand="1"/>
      </w:tblPr>
      <w:tblGrid>
        <w:gridCol w:w="7329"/>
      </w:tblGrid>
      <w:tr w:rsidR="008F7AA7" w:rsidRPr="005B0796" w:rsidTr="00383C5C">
        <w:trPr>
          <w:cantSplit/>
        </w:trPr>
        <w:tc>
          <w:tcPr>
            <w:tcW w:w="7315" w:type="dxa"/>
          </w:tcPr>
          <w:p w:rsidR="008F7AA7" w:rsidRPr="005B0796" w:rsidRDefault="008F7AA7" w:rsidP="00383C5C">
            <w:pPr>
              <w:keepNext/>
            </w:pPr>
            <w:r w:rsidRPr="005B0796">
              <w:rPr>
                <w:i/>
                <w:noProof/>
                <w:lang w:eastAsia="en-AU"/>
              </w:rPr>
              <w:drawing>
                <wp:inline distT="0" distB="0" distL="0" distR="0" wp14:anchorId="04A101A6" wp14:editId="2FC8EBD6">
                  <wp:extent cx="4572000" cy="2743200"/>
                  <wp:effectExtent l="0" t="0" r="0" b="0"/>
                  <wp:docPr id="87" name="Chart 87" descr="Figure 4.33 Estimated prevalence of suicidality in Transitioned ADF members, by transition status (Ex Serving, Inactive Reservists and Active Reservis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rsidR="00CD7866" w:rsidRPr="005B0796" w:rsidRDefault="00CD7866" w:rsidP="00CD7866">
      <w:pPr>
        <w:pStyle w:val="TableNotes"/>
      </w:pPr>
      <w:bookmarkStart w:id="762" w:name="_Toc482021360"/>
      <w:bookmarkStart w:id="763" w:name="_Toc482024450"/>
      <w:r w:rsidRPr="005B0796">
        <w:t xml:space="preserve">Suicide plans: Ex-Serving vs Inactive: OR 3.1, 95% CI 2.1, 4.5; Ex-Serving vs </w:t>
      </w:r>
      <w:r w:rsidR="002B2CFD">
        <w:t>Active: OR 5.8, 95% CI 3.7, 9.1</w:t>
      </w:r>
    </w:p>
    <w:p w:rsidR="00CD7866" w:rsidRPr="005B0796" w:rsidRDefault="00CD7866" w:rsidP="00CD7866">
      <w:pPr>
        <w:pStyle w:val="TableNotes"/>
      </w:pPr>
      <w:r w:rsidRPr="005B0796">
        <w:t>Suicide attempts: Ex-Serving vs Inactive: OR 3.3, 95% CI 1.4, 7.8; Ex-Serving vs Act</w:t>
      </w:r>
      <w:r w:rsidR="002B2CFD">
        <w:t>ive: OR 31.4, 95% CI 9.3, 106.0</w:t>
      </w:r>
    </w:p>
    <w:p w:rsidR="00CD7866" w:rsidRPr="005B0796" w:rsidRDefault="00CD7866" w:rsidP="00CD7866">
      <w:pPr>
        <w:pStyle w:val="TableNotes"/>
      </w:pPr>
      <w:r w:rsidRPr="005B0796">
        <w:t xml:space="preserve">Any suicidality: Ex-Serving vs Inactive: OR 2.4, 95% CI 1.9, 3.0; Ex-Serving vs </w:t>
      </w:r>
      <w:r w:rsidR="002B2CFD">
        <w:t>Active: OR 3.2 95% CI 2.41, 4.2</w:t>
      </w:r>
    </w:p>
    <w:p w:rsidR="008F7AA7" w:rsidRPr="005B0796" w:rsidRDefault="008F7AA7" w:rsidP="006C0BCF">
      <w:pPr>
        <w:pStyle w:val="Heading3"/>
        <w:rPr>
          <w:rFonts w:eastAsia="Times New Roman" w:cs="Times New Roman"/>
        </w:rPr>
      </w:pPr>
      <w:bookmarkStart w:id="764" w:name="_Toc487011209"/>
      <w:bookmarkStart w:id="765" w:name="_Toc494449729"/>
      <w:bookmarkStart w:id="766" w:name="_Toc511900311"/>
      <w:r w:rsidRPr="005B0796">
        <w:t>Suicidality demographic factors</w:t>
      </w:r>
      <w:bookmarkEnd w:id="762"/>
      <w:bookmarkEnd w:id="763"/>
      <w:bookmarkEnd w:id="764"/>
      <w:bookmarkEnd w:id="765"/>
      <w:bookmarkEnd w:id="766"/>
    </w:p>
    <w:p w:rsidR="008F7AA7" w:rsidRPr="005B0796" w:rsidRDefault="008F7AA7" w:rsidP="006C0BCF">
      <w:pPr>
        <w:pStyle w:val="Heading4"/>
      </w:pPr>
      <w:r w:rsidRPr="005B0796">
        <w:t>Sex</w:t>
      </w:r>
    </w:p>
    <w:p w:rsidR="008F7AA7" w:rsidRPr="005B0796" w:rsidRDefault="009E72D3" w:rsidP="006C0BCF">
      <w:r w:rsidRPr="005B0796">
        <w:t>Table 4.42</w:t>
      </w:r>
      <w:r w:rsidR="008F7AA7" w:rsidRPr="005B0796">
        <w:t xml:space="preserve"> and </w:t>
      </w:r>
      <w:r w:rsidRPr="005B0796">
        <w:t>Figure 4.34</w:t>
      </w:r>
      <w:r w:rsidR="008F7AA7" w:rsidRPr="005B0796">
        <w:t xml:space="preserve"> show suicidality for Transitioned males and females. There were no significant differences in the estimated prevalence of suicidality between males and females. Although it appears that males had slightly lower rates of attempts, this difference was not significant.</w:t>
      </w:r>
    </w:p>
    <w:p w:rsidR="00171F0C" w:rsidRPr="005B0796" w:rsidRDefault="00171F0C" w:rsidP="00171F0C">
      <w:pPr>
        <w:pStyle w:val="TableName"/>
      </w:pPr>
      <w:bookmarkStart w:id="767" w:name="_Ref484520136"/>
      <w:bookmarkStart w:id="768" w:name="_Toc482023806"/>
      <w:bookmarkStart w:id="769" w:name="_Toc487014293"/>
      <w:bookmarkStart w:id="770" w:name="_Toc492995596"/>
      <w:bookmarkStart w:id="771" w:name="_Toc51190044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42</w:t>
      </w:r>
      <w:r w:rsidR="00D30A3C">
        <w:rPr>
          <w:noProof/>
        </w:rPr>
        <w:fldChar w:fldCharType="end"/>
      </w:r>
      <w:bookmarkEnd w:id="767"/>
      <w:r w:rsidRPr="005B0796">
        <w:tab/>
        <w:t>Estimated prevalence of suicidality in Transitioned ADF members</w:t>
      </w:r>
      <w:r w:rsidR="002B2CFD">
        <w:t>,</w:t>
      </w:r>
      <w:r w:rsidRPr="005B0796">
        <w:t xml:space="preserve"> by sex</w:t>
      </w:r>
      <w:bookmarkEnd w:id="768"/>
      <w:bookmarkEnd w:id="769"/>
      <w:bookmarkEnd w:id="770"/>
      <w:bookmarkEnd w:id="771"/>
    </w:p>
    <w:tbl>
      <w:tblPr>
        <w:tblStyle w:val="TWRPTable"/>
        <w:tblW w:w="5000" w:type="pct"/>
        <w:tblLayout w:type="fixed"/>
        <w:tblLook w:val="04A0" w:firstRow="1" w:lastRow="0" w:firstColumn="1" w:lastColumn="0" w:noHBand="0" w:noVBand="1"/>
        <w:tblDescription w:val="Table 4.42 Estimated prevalence of suicidality in Transitioned ADF members by sex"/>
      </w:tblPr>
      <w:tblGrid>
        <w:gridCol w:w="1818"/>
        <w:gridCol w:w="990"/>
        <w:gridCol w:w="842"/>
        <w:gridCol w:w="916"/>
        <w:gridCol w:w="1032"/>
        <w:gridCol w:w="800"/>
        <w:gridCol w:w="917"/>
      </w:tblGrid>
      <w:tr w:rsidR="008F7AA7" w:rsidRPr="005B0796" w:rsidTr="006C0BCF">
        <w:trPr>
          <w:cnfStyle w:val="100000000000" w:firstRow="1" w:lastRow="0" w:firstColumn="0" w:lastColumn="0" w:oddVBand="0" w:evenVBand="0" w:oddHBand="0" w:evenHBand="0" w:firstRowFirstColumn="0" w:firstRowLastColumn="0" w:lastRowFirstColumn="0" w:lastRowLastColumn="0"/>
          <w:tblHeader/>
        </w:trPr>
        <w:tc>
          <w:tcPr>
            <w:tcW w:w="1818" w:type="dxa"/>
            <w:vMerge w:val="restart"/>
            <w:tcBorders>
              <w:top w:val="single" w:sz="4" w:space="0" w:color="000000"/>
              <w:bottom w:val="nil"/>
            </w:tcBorders>
            <w:noWrap/>
            <w:hideMark/>
          </w:tcPr>
          <w:p w:rsidR="008F7AA7" w:rsidRPr="005B0796" w:rsidRDefault="008F7AA7" w:rsidP="006C0BCF">
            <w:pPr>
              <w:pStyle w:val="TableText"/>
              <w:rPr>
                <w:lang w:eastAsia="en-AU"/>
              </w:rPr>
            </w:pPr>
          </w:p>
        </w:tc>
        <w:tc>
          <w:tcPr>
            <w:tcW w:w="5497" w:type="dxa"/>
            <w:gridSpan w:val="6"/>
            <w:noWrap/>
            <w:hideMark/>
          </w:tcPr>
          <w:p w:rsidR="008F7AA7" w:rsidRPr="005B0796" w:rsidRDefault="008F7AA7" w:rsidP="006C0BCF">
            <w:pPr>
              <w:pStyle w:val="TableText"/>
              <w:jc w:val="center"/>
              <w:rPr>
                <w:lang w:eastAsia="en-AU"/>
              </w:rPr>
            </w:pPr>
            <w:r w:rsidRPr="005B0796">
              <w:rPr>
                <w:lang w:eastAsia="en-AU"/>
              </w:rPr>
              <w:t>Sex</w:t>
            </w:r>
          </w:p>
        </w:tc>
      </w:tr>
      <w:tr w:rsidR="008F7AA7" w:rsidRPr="005B0796" w:rsidTr="006C0BCF">
        <w:trPr>
          <w:cnfStyle w:val="100000000000" w:firstRow="1" w:lastRow="0" w:firstColumn="0" w:lastColumn="0" w:oddVBand="0" w:evenVBand="0" w:oddHBand="0" w:evenHBand="0" w:firstRowFirstColumn="0" w:firstRowLastColumn="0" w:lastRowFirstColumn="0" w:lastRowLastColumn="0"/>
          <w:tblHeader/>
        </w:trPr>
        <w:tc>
          <w:tcPr>
            <w:tcW w:w="1818" w:type="dxa"/>
            <w:vMerge/>
            <w:tcBorders>
              <w:top w:val="nil"/>
              <w:bottom w:val="nil"/>
            </w:tcBorders>
            <w:hideMark/>
          </w:tcPr>
          <w:p w:rsidR="008F7AA7" w:rsidRPr="005B0796" w:rsidRDefault="008F7AA7" w:rsidP="006C0BCF">
            <w:pPr>
              <w:pStyle w:val="TableText"/>
              <w:rPr>
                <w:lang w:eastAsia="en-AU"/>
              </w:rPr>
            </w:pPr>
          </w:p>
        </w:tc>
        <w:tc>
          <w:tcPr>
            <w:tcW w:w="2748" w:type="dxa"/>
            <w:gridSpan w:val="3"/>
            <w:noWrap/>
            <w:hideMark/>
          </w:tcPr>
          <w:p w:rsidR="008F7AA7" w:rsidRPr="005B0796" w:rsidRDefault="008F7AA7" w:rsidP="006C0BCF">
            <w:pPr>
              <w:pStyle w:val="TableText"/>
              <w:jc w:val="center"/>
              <w:rPr>
                <w:lang w:eastAsia="en-AU"/>
              </w:rPr>
            </w:pPr>
            <w:r w:rsidRPr="005B0796">
              <w:rPr>
                <w:lang w:eastAsia="en-AU"/>
              </w:rPr>
              <w:t>Transitioned males (n = 21,671)</w:t>
            </w:r>
          </w:p>
        </w:tc>
        <w:tc>
          <w:tcPr>
            <w:tcW w:w="2749" w:type="dxa"/>
            <w:gridSpan w:val="3"/>
            <w:noWrap/>
            <w:hideMark/>
          </w:tcPr>
          <w:p w:rsidR="008F7AA7" w:rsidRPr="005B0796" w:rsidRDefault="008F7AA7" w:rsidP="006C0BCF">
            <w:pPr>
              <w:pStyle w:val="TableText"/>
              <w:jc w:val="center"/>
              <w:rPr>
                <w:lang w:eastAsia="en-AU"/>
              </w:rPr>
            </w:pPr>
            <w:r w:rsidRPr="005B0796">
              <w:rPr>
                <w:lang w:eastAsia="en-AU"/>
              </w:rPr>
              <w:t>Transitioned females (n = 3261)</w:t>
            </w:r>
          </w:p>
        </w:tc>
      </w:tr>
      <w:tr w:rsidR="006C0BCF" w:rsidRPr="005B0796" w:rsidTr="006C0BCF">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noWrap/>
            <w:hideMark/>
          </w:tcPr>
          <w:p w:rsidR="008F7AA7" w:rsidRPr="005B0796" w:rsidRDefault="006C0BCF" w:rsidP="006C0BCF">
            <w:pPr>
              <w:pStyle w:val="TableText"/>
              <w:rPr>
                <w:lang w:eastAsia="en-AU"/>
              </w:rPr>
            </w:pPr>
            <w:r w:rsidRPr="005B0796">
              <w:rPr>
                <w:lang w:eastAsia="en-AU"/>
              </w:rPr>
              <w:t>Suicidality</w:t>
            </w:r>
          </w:p>
        </w:tc>
        <w:tc>
          <w:tcPr>
            <w:tcW w:w="990" w:type="dxa"/>
            <w:noWrap/>
            <w:hideMark/>
          </w:tcPr>
          <w:p w:rsidR="008F7AA7" w:rsidRPr="005B0796" w:rsidRDefault="008F7AA7" w:rsidP="006C0BCF">
            <w:pPr>
              <w:pStyle w:val="TableText"/>
              <w:jc w:val="right"/>
              <w:rPr>
                <w:lang w:eastAsia="en-AU"/>
              </w:rPr>
            </w:pPr>
            <w:r w:rsidRPr="005B0796">
              <w:rPr>
                <w:lang w:eastAsia="en-AU"/>
              </w:rPr>
              <w:t>Weighted n</w:t>
            </w:r>
          </w:p>
        </w:tc>
        <w:tc>
          <w:tcPr>
            <w:tcW w:w="842" w:type="dxa"/>
            <w:hideMark/>
          </w:tcPr>
          <w:p w:rsidR="008F7AA7" w:rsidRPr="005B0796" w:rsidRDefault="008F7AA7" w:rsidP="006C0BCF">
            <w:pPr>
              <w:pStyle w:val="TableText"/>
              <w:jc w:val="right"/>
              <w:rPr>
                <w:lang w:eastAsia="en-AU"/>
              </w:rPr>
            </w:pPr>
            <w:r w:rsidRPr="005B0796">
              <w:t>%</w:t>
            </w:r>
          </w:p>
        </w:tc>
        <w:tc>
          <w:tcPr>
            <w:tcW w:w="916" w:type="dxa"/>
            <w:hideMark/>
          </w:tcPr>
          <w:p w:rsidR="008F7AA7" w:rsidRPr="005B0796" w:rsidRDefault="008F7AA7" w:rsidP="006C0BCF">
            <w:pPr>
              <w:pStyle w:val="TableText"/>
              <w:jc w:val="right"/>
              <w:rPr>
                <w:lang w:eastAsia="en-AU"/>
              </w:rPr>
            </w:pPr>
            <w:r w:rsidRPr="005B0796">
              <w:t>95% CI</w:t>
            </w:r>
          </w:p>
        </w:tc>
        <w:tc>
          <w:tcPr>
            <w:tcW w:w="1032" w:type="dxa"/>
            <w:noWrap/>
            <w:hideMark/>
          </w:tcPr>
          <w:p w:rsidR="008F7AA7" w:rsidRPr="005B0796" w:rsidRDefault="008F7AA7" w:rsidP="006C0BCF">
            <w:pPr>
              <w:pStyle w:val="TableText"/>
              <w:jc w:val="right"/>
              <w:rPr>
                <w:lang w:eastAsia="en-AU"/>
              </w:rPr>
            </w:pPr>
            <w:r w:rsidRPr="005B0796">
              <w:rPr>
                <w:lang w:eastAsia="en-AU"/>
              </w:rPr>
              <w:t>Weighted n</w:t>
            </w:r>
          </w:p>
        </w:tc>
        <w:tc>
          <w:tcPr>
            <w:tcW w:w="800" w:type="dxa"/>
            <w:hideMark/>
          </w:tcPr>
          <w:p w:rsidR="008F7AA7" w:rsidRPr="005B0796" w:rsidRDefault="008F7AA7" w:rsidP="006C0BCF">
            <w:pPr>
              <w:pStyle w:val="TableText"/>
              <w:jc w:val="right"/>
              <w:rPr>
                <w:lang w:eastAsia="en-AU"/>
              </w:rPr>
            </w:pPr>
            <w:r w:rsidRPr="005B0796">
              <w:t>%</w:t>
            </w:r>
          </w:p>
        </w:tc>
        <w:tc>
          <w:tcPr>
            <w:tcW w:w="917" w:type="dxa"/>
            <w:hideMark/>
          </w:tcPr>
          <w:p w:rsidR="008F7AA7" w:rsidRPr="005B0796" w:rsidRDefault="008F7AA7" w:rsidP="006C0BCF">
            <w:pPr>
              <w:pStyle w:val="TableText"/>
              <w:jc w:val="right"/>
              <w:rPr>
                <w:lang w:eastAsia="en-AU"/>
              </w:rPr>
            </w:pPr>
            <w:r w:rsidRPr="005B0796">
              <w:t>95% CI</w:t>
            </w:r>
          </w:p>
        </w:tc>
      </w:tr>
      <w:tr w:rsidR="006C0BCF" w:rsidRPr="005B0796" w:rsidTr="006C0BCF">
        <w:trPr>
          <w:cnfStyle w:val="000000100000" w:firstRow="0" w:lastRow="0" w:firstColumn="0" w:lastColumn="0" w:oddVBand="0" w:evenVBand="0" w:oddHBand="1" w:evenHBand="0" w:firstRowFirstColumn="0" w:firstRowLastColumn="0" w:lastRowFirstColumn="0" w:lastRowLastColumn="0"/>
        </w:trPr>
        <w:tc>
          <w:tcPr>
            <w:tcW w:w="1818" w:type="dxa"/>
            <w:hideMark/>
          </w:tcPr>
          <w:p w:rsidR="008F7AA7" w:rsidRPr="005B0796" w:rsidRDefault="008F7AA7" w:rsidP="006C0BCF">
            <w:pPr>
              <w:pStyle w:val="TableText"/>
              <w:rPr>
                <w:lang w:eastAsia="en-AU"/>
              </w:rPr>
            </w:pPr>
            <w:r w:rsidRPr="005B0796">
              <w:t>Felt life not worth living</w:t>
            </w:r>
          </w:p>
        </w:tc>
        <w:tc>
          <w:tcPr>
            <w:tcW w:w="990" w:type="dxa"/>
            <w:noWrap/>
            <w:hideMark/>
          </w:tcPr>
          <w:p w:rsidR="008F7AA7" w:rsidRPr="005B0796" w:rsidRDefault="008F7AA7" w:rsidP="006C0BCF">
            <w:pPr>
              <w:pStyle w:val="TableText"/>
              <w:jc w:val="right"/>
              <w:rPr>
                <w:lang w:eastAsia="en-AU"/>
              </w:rPr>
            </w:pPr>
            <w:r w:rsidRPr="005B0796">
              <w:t>6250</w:t>
            </w:r>
          </w:p>
        </w:tc>
        <w:tc>
          <w:tcPr>
            <w:tcW w:w="842" w:type="dxa"/>
            <w:noWrap/>
            <w:hideMark/>
          </w:tcPr>
          <w:p w:rsidR="008F7AA7" w:rsidRPr="005B0796" w:rsidRDefault="008F7AA7" w:rsidP="006C0BCF">
            <w:pPr>
              <w:pStyle w:val="TableText"/>
              <w:jc w:val="right"/>
              <w:rPr>
                <w:lang w:eastAsia="en-AU"/>
              </w:rPr>
            </w:pPr>
            <w:r w:rsidRPr="005B0796">
              <w:t>28.8</w:t>
            </w:r>
          </w:p>
        </w:tc>
        <w:tc>
          <w:tcPr>
            <w:tcW w:w="916" w:type="dxa"/>
            <w:noWrap/>
            <w:hideMark/>
          </w:tcPr>
          <w:p w:rsidR="008F7AA7" w:rsidRPr="005B0796" w:rsidRDefault="008F7AA7" w:rsidP="006C0BCF">
            <w:pPr>
              <w:pStyle w:val="TableText"/>
              <w:jc w:val="right"/>
              <w:rPr>
                <w:lang w:eastAsia="en-AU"/>
              </w:rPr>
            </w:pPr>
            <w:r w:rsidRPr="005B0796">
              <w:t>27.1, 30.7</w:t>
            </w:r>
          </w:p>
        </w:tc>
        <w:tc>
          <w:tcPr>
            <w:tcW w:w="1032" w:type="dxa"/>
            <w:noWrap/>
            <w:hideMark/>
          </w:tcPr>
          <w:p w:rsidR="008F7AA7" w:rsidRPr="005B0796" w:rsidRDefault="008F7AA7" w:rsidP="006C0BCF">
            <w:pPr>
              <w:pStyle w:val="TableText"/>
              <w:jc w:val="right"/>
              <w:rPr>
                <w:lang w:eastAsia="en-AU"/>
              </w:rPr>
            </w:pPr>
            <w:r w:rsidRPr="005B0796">
              <w:t>958</w:t>
            </w:r>
          </w:p>
        </w:tc>
        <w:tc>
          <w:tcPr>
            <w:tcW w:w="800" w:type="dxa"/>
            <w:noWrap/>
            <w:hideMark/>
          </w:tcPr>
          <w:p w:rsidR="008F7AA7" w:rsidRPr="005B0796" w:rsidRDefault="008F7AA7" w:rsidP="006C0BCF">
            <w:pPr>
              <w:pStyle w:val="TableText"/>
              <w:jc w:val="right"/>
              <w:rPr>
                <w:lang w:eastAsia="en-AU"/>
              </w:rPr>
            </w:pPr>
            <w:r w:rsidRPr="005B0796">
              <w:t>29.4</w:t>
            </w:r>
          </w:p>
        </w:tc>
        <w:tc>
          <w:tcPr>
            <w:tcW w:w="917" w:type="dxa"/>
            <w:noWrap/>
            <w:hideMark/>
          </w:tcPr>
          <w:p w:rsidR="008F7AA7" w:rsidRPr="005B0796" w:rsidRDefault="008F7AA7" w:rsidP="006C0BCF">
            <w:pPr>
              <w:pStyle w:val="TableText"/>
              <w:jc w:val="right"/>
              <w:rPr>
                <w:lang w:eastAsia="en-AU"/>
              </w:rPr>
            </w:pPr>
            <w:r w:rsidRPr="005B0796">
              <w:t>25.6, 33.4</w:t>
            </w:r>
          </w:p>
        </w:tc>
      </w:tr>
      <w:tr w:rsidR="006C0BCF" w:rsidRPr="005B0796" w:rsidTr="006C0BCF">
        <w:tc>
          <w:tcPr>
            <w:tcW w:w="1818" w:type="dxa"/>
            <w:hideMark/>
          </w:tcPr>
          <w:p w:rsidR="008F7AA7" w:rsidRPr="005B0796" w:rsidRDefault="008F7AA7" w:rsidP="006C0BCF">
            <w:pPr>
              <w:pStyle w:val="TableText"/>
              <w:rPr>
                <w:lang w:eastAsia="en-AU"/>
              </w:rPr>
            </w:pPr>
            <w:r w:rsidRPr="005B0796">
              <w:t>Felt so low thought about committing suicide</w:t>
            </w:r>
          </w:p>
        </w:tc>
        <w:tc>
          <w:tcPr>
            <w:tcW w:w="990" w:type="dxa"/>
            <w:noWrap/>
            <w:hideMark/>
          </w:tcPr>
          <w:p w:rsidR="008F7AA7" w:rsidRPr="005B0796" w:rsidRDefault="008F7AA7" w:rsidP="006C0BCF">
            <w:pPr>
              <w:pStyle w:val="TableText"/>
              <w:jc w:val="right"/>
              <w:rPr>
                <w:lang w:eastAsia="en-AU"/>
              </w:rPr>
            </w:pPr>
            <w:r w:rsidRPr="005B0796">
              <w:t>4602</w:t>
            </w:r>
          </w:p>
        </w:tc>
        <w:tc>
          <w:tcPr>
            <w:tcW w:w="842" w:type="dxa"/>
            <w:noWrap/>
            <w:hideMark/>
          </w:tcPr>
          <w:p w:rsidR="008F7AA7" w:rsidRPr="005B0796" w:rsidRDefault="008F7AA7" w:rsidP="006C0BCF">
            <w:pPr>
              <w:pStyle w:val="TableText"/>
              <w:jc w:val="right"/>
              <w:rPr>
                <w:lang w:eastAsia="en-AU"/>
              </w:rPr>
            </w:pPr>
            <w:r w:rsidRPr="005B0796">
              <w:t>21.2</w:t>
            </w:r>
          </w:p>
        </w:tc>
        <w:tc>
          <w:tcPr>
            <w:tcW w:w="916" w:type="dxa"/>
            <w:noWrap/>
            <w:hideMark/>
          </w:tcPr>
          <w:p w:rsidR="008F7AA7" w:rsidRPr="005B0796" w:rsidRDefault="008F7AA7" w:rsidP="006C0BCF">
            <w:pPr>
              <w:pStyle w:val="TableText"/>
              <w:jc w:val="right"/>
              <w:rPr>
                <w:lang w:eastAsia="en-AU"/>
              </w:rPr>
            </w:pPr>
            <w:r w:rsidRPr="005B0796">
              <w:t>19.6, 22.9</w:t>
            </w:r>
          </w:p>
        </w:tc>
        <w:tc>
          <w:tcPr>
            <w:tcW w:w="1032" w:type="dxa"/>
            <w:noWrap/>
            <w:hideMark/>
          </w:tcPr>
          <w:p w:rsidR="008F7AA7" w:rsidRPr="005B0796" w:rsidRDefault="008F7AA7" w:rsidP="006C0BCF">
            <w:pPr>
              <w:pStyle w:val="TableText"/>
              <w:jc w:val="right"/>
              <w:rPr>
                <w:lang w:eastAsia="en-AU"/>
              </w:rPr>
            </w:pPr>
            <w:r w:rsidRPr="005B0796">
              <w:t>692</w:t>
            </w:r>
          </w:p>
        </w:tc>
        <w:tc>
          <w:tcPr>
            <w:tcW w:w="800" w:type="dxa"/>
            <w:noWrap/>
            <w:hideMark/>
          </w:tcPr>
          <w:p w:rsidR="008F7AA7" w:rsidRPr="005B0796" w:rsidRDefault="008F7AA7" w:rsidP="006C0BCF">
            <w:pPr>
              <w:pStyle w:val="TableText"/>
              <w:jc w:val="right"/>
              <w:rPr>
                <w:lang w:eastAsia="en-AU"/>
              </w:rPr>
            </w:pPr>
            <w:r w:rsidRPr="005B0796">
              <w:t>21.2</w:t>
            </w:r>
          </w:p>
        </w:tc>
        <w:tc>
          <w:tcPr>
            <w:tcW w:w="917" w:type="dxa"/>
            <w:noWrap/>
            <w:hideMark/>
          </w:tcPr>
          <w:p w:rsidR="008F7AA7" w:rsidRPr="005B0796" w:rsidRDefault="008F7AA7" w:rsidP="006C0BCF">
            <w:pPr>
              <w:pStyle w:val="TableText"/>
              <w:jc w:val="right"/>
              <w:rPr>
                <w:lang w:eastAsia="en-AU"/>
              </w:rPr>
            </w:pPr>
            <w:r w:rsidRPr="005B0796">
              <w:t>17.9, 24.9</w:t>
            </w:r>
          </w:p>
        </w:tc>
      </w:tr>
      <w:tr w:rsidR="006C0BCF" w:rsidRPr="005B0796" w:rsidTr="006C0BCF">
        <w:trPr>
          <w:cnfStyle w:val="000000100000" w:firstRow="0" w:lastRow="0" w:firstColumn="0" w:lastColumn="0" w:oddVBand="0" w:evenVBand="0" w:oddHBand="1" w:evenHBand="0" w:firstRowFirstColumn="0" w:firstRowLastColumn="0" w:lastRowFirstColumn="0" w:lastRowLastColumn="0"/>
        </w:trPr>
        <w:tc>
          <w:tcPr>
            <w:tcW w:w="1818" w:type="dxa"/>
            <w:hideMark/>
          </w:tcPr>
          <w:p w:rsidR="008F7AA7" w:rsidRPr="005B0796" w:rsidRDefault="008F7AA7" w:rsidP="006C0BCF">
            <w:pPr>
              <w:pStyle w:val="TableText"/>
              <w:rPr>
                <w:lang w:eastAsia="en-AU"/>
              </w:rPr>
            </w:pPr>
            <w:r w:rsidRPr="005B0796">
              <w:t>Made a suicide plan</w:t>
            </w:r>
          </w:p>
        </w:tc>
        <w:tc>
          <w:tcPr>
            <w:tcW w:w="990" w:type="dxa"/>
            <w:noWrap/>
            <w:hideMark/>
          </w:tcPr>
          <w:p w:rsidR="008F7AA7" w:rsidRPr="005B0796" w:rsidRDefault="008F7AA7" w:rsidP="006C0BCF">
            <w:pPr>
              <w:pStyle w:val="TableText"/>
              <w:jc w:val="right"/>
              <w:rPr>
                <w:lang w:eastAsia="en-AU"/>
              </w:rPr>
            </w:pPr>
            <w:r w:rsidRPr="005B0796">
              <w:t>1714</w:t>
            </w:r>
          </w:p>
        </w:tc>
        <w:tc>
          <w:tcPr>
            <w:tcW w:w="842" w:type="dxa"/>
            <w:noWrap/>
            <w:hideMark/>
          </w:tcPr>
          <w:p w:rsidR="008F7AA7" w:rsidRPr="005B0796" w:rsidRDefault="008F7AA7" w:rsidP="006C0BCF">
            <w:pPr>
              <w:pStyle w:val="TableText"/>
              <w:jc w:val="right"/>
              <w:rPr>
                <w:lang w:eastAsia="en-AU"/>
              </w:rPr>
            </w:pPr>
            <w:r w:rsidRPr="005B0796">
              <w:t>7.9</w:t>
            </w:r>
          </w:p>
        </w:tc>
        <w:tc>
          <w:tcPr>
            <w:tcW w:w="916" w:type="dxa"/>
            <w:noWrap/>
            <w:hideMark/>
          </w:tcPr>
          <w:p w:rsidR="008F7AA7" w:rsidRPr="005B0796" w:rsidRDefault="008F7AA7" w:rsidP="006C0BCF">
            <w:pPr>
              <w:pStyle w:val="TableText"/>
              <w:jc w:val="right"/>
              <w:rPr>
                <w:lang w:eastAsia="en-AU"/>
              </w:rPr>
            </w:pPr>
            <w:r w:rsidRPr="005B0796">
              <w:t>6.9, 9.0</w:t>
            </w:r>
          </w:p>
        </w:tc>
        <w:tc>
          <w:tcPr>
            <w:tcW w:w="1032" w:type="dxa"/>
            <w:noWrap/>
            <w:hideMark/>
          </w:tcPr>
          <w:p w:rsidR="008F7AA7" w:rsidRPr="005B0796" w:rsidRDefault="008F7AA7" w:rsidP="006C0BCF">
            <w:pPr>
              <w:pStyle w:val="TableText"/>
              <w:jc w:val="right"/>
              <w:rPr>
                <w:lang w:eastAsia="en-AU"/>
              </w:rPr>
            </w:pPr>
            <w:r w:rsidRPr="005B0796">
              <w:t>252</w:t>
            </w:r>
          </w:p>
        </w:tc>
        <w:tc>
          <w:tcPr>
            <w:tcW w:w="800" w:type="dxa"/>
            <w:noWrap/>
            <w:hideMark/>
          </w:tcPr>
          <w:p w:rsidR="008F7AA7" w:rsidRPr="005B0796" w:rsidRDefault="008F7AA7" w:rsidP="006C0BCF">
            <w:pPr>
              <w:pStyle w:val="TableText"/>
              <w:jc w:val="right"/>
              <w:rPr>
                <w:lang w:eastAsia="en-AU"/>
              </w:rPr>
            </w:pPr>
            <w:r w:rsidRPr="005B0796">
              <w:t>7.7</w:t>
            </w:r>
          </w:p>
        </w:tc>
        <w:tc>
          <w:tcPr>
            <w:tcW w:w="917" w:type="dxa"/>
            <w:noWrap/>
            <w:hideMark/>
          </w:tcPr>
          <w:p w:rsidR="008F7AA7" w:rsidRPr="005B0796" w:rsidRDefault="008F7AA7" w:rsidP="006C0BCF">
            <w:pPr>
              <w:pStyle w:val="TableText"/>
              <w:jc w:val="right"/>
              <w:rPr>
                <w:lang w:eastAsia="en-AU"/>
              </w:rPr>
            </w:pPr>
            <w:r w:rsidRPr="005B0796">
              <w:t>6.1, 9.7</w:t>
            </w:r>
          </w:p>
        </w:tc>
      </w:tr>
      <w:tr w:rsidR="006C0BCF" w:rsidRPr="005B0796" w:rsidTr="006C0BCF">
        <w:tc>
          <w:tcPr>
            <w:tcW w:w="1818" w:type="dxa"/>
            <w:noWrap/>
            <w:hideMark/>
          </w:tcPr>
          <w:p w:rsidR="008F7AA7" w:rsidRPr="005B0796" w:rsidRDefault="008F7AA7" w:rsidP="006C0BCF">
            <w:pPr>
              <w:pStyle w:val="TableText"/>
              <w:rPr>
                <w:lang w:eastAsia="en-AU"/>
              </w:rPr>
            </w:pPr>
            <w:r w:rsidRPr="005B0796">
              <w:t>Attempted suicide</w:t>
            </w:r>
          </w:p>
        </w:tc>
        <w:tc>
          <w:tcPr>
            <w:tcW w:w="990" w:type="dxa"/>
            <w:noWrap/>
            <w:hideMark/>
          </w:tcPr>
          <w:p w:rsidR="008F7AA7" w:rsidRPr="005B0796" w:rsidRDefault="008F7AA7" w:rsidP="006C0BCF">
            <w:pPr>
              <w:pStyle w:val="TableText"/>
              <w:jc w:val="right"/>
              <w:rPr>
                <w:lang w:eastAsia="en-AU"/>
              </w:rPr>
            </w:pPr>
            <w:r w:rsidRPr="005B0796">
              <w:t>399</w:t>
            </w:r>
          </w:p>
        </w:tc>
        <w:tc>
          <w:tcPr>
            <w:tcW w:w="842" w:type="dxa"/>
            <w:noWrap/>
            <w:hideMark/>
          </w:tcPr>
          <w:p w:rsidR="008F7AA7" w:rsidRPr="005B0796" w:rsidRDefault="008F7AA7" w:rsidP="006C0BCF">
            <w:pPr>
              <w:pStyle w:val="TableText"/>
              <w:jc w:val="right"/>
              <w:rPr>
                <w:lang w:eastAsia="en-AU"/>
              </w:rPr>
            </w:pPr>
            <w:r w:rsidRPr="005B0796">
              <w:t>1.8</w:t>
            </w:r>
          </w:p>
        </w:tc>
        <w:tc>
          <w:tcPr>
            <w:tcW w:w="916" w:type="dxa"/>
            <w:noWrap/>
            <w:hideMark/>
          </w:tcPr>
          <w:p w:rsidR="008F7AA7" w:rsidRPr="005B0796" w:rsidRDefault="008F7AA7" w:rsidP="006C0BCF">
            <w:pPr>
              <w:pStyle w:val="TableText"/>
              <w:jc w:val="right"/>
              <w:rPr>
                <w:lang w:eastAsia="en-AU"/>
              </w:rPr>
            </w:pPr>
            <w:r w:rsidRPr="005B0796">
              <w:t>1.4, 2.5</w:t>
            </w:r>
          </w:p>
        </w:tc>
        <w:tc>
          <w:tcPr>
            <w:tcW w:w="1032" w:type="dxa"/>
            <w:noWrap/>
            <w:hideMark/>
          </w:tcPr>
          <w:p w:rsidR="008F7AA7" w:rsidRPr="005B0796" w:rsidRDefault="008F7AA7" w:rsidP="006C0BCF">
            <w:pPr>
              <w:pStyle w:val="TableText"/>
              <w:jc w:val="right"/>
              <w:rPr>
                <w:lang w:eastAsia="en-AU"/>
              </w:rPr>
            </w:pPr>
            <w:r w:rsidRPr="005B0796">
              <w:t>106</w:t>
            </w:r>
          </w:p>
        </w:tc>
        <w:tc>
          <w:tcPr>
            <w:tcW w:w="800" w:type="dxa"/>
            <w:noWrap/>
            <w:hideMark/>
          </w:tcPr>
          <w:p w:rsidR="008F7AA7" w:rsidRPr="005B0796" w:rsidRDefault="008F7AA7" w:rsidP="006C0BCF">
            <w:pPr>
              <w:pStyle w:val="TableText"/>
              <w:jc w:val="right"/>
              <w:rPr>
                <w:lang w:eastAsia="en-AU"/>
              </w:rPr>
            </w:pPr>
            <w:r w:rsidRPr="005B0796">
              <w:t>3.2</w:t>
            </w:r>
          </w:p>
        </w:tc>
        <w:tc>
          <w:tcPr>
            <w:tcW w:w="917" w:type="dxa"/>
            <w:noWrap/>
            <w:hideMark/>
          </w:tcPr>
          <w:p w:rsidR="008F7AA7" w:rsidRPr="005B0796" w:rsidRDefault="008F7AA7" w:rsidP="006C0BCF">
            <w:pPr>
              <w:pStyle w:val="TableText"/>
              <w:jc w:val="right"/>
              <w:rPr>
                <w:lang w:eastAsia="en-AU"/>
              </w:rPr>
            </w:pPr>
            <w:r w:rsidRPr="005B0796">
              <w:t>2.0, 5.2</w:t>
            </w:r>
          </w:p>
        </w:tc>
      </w:tr>
      <w:tr w:rsidR="006C0BCF" w:rsidRPr="005B0796" w:rsidTr="006C0BCF">
        <w:trPr>
          <w:cnfStyle w:val="000000100000" w:firstRow="0" w:lastRow="0" w:firstColumn="0" w:lastColumn="0" w:oddVBand="0" w:evenVBand="0" w:oddHBand="1" w:evenHBand="0" w:firstRowFirstColumn="0" w:firstRowLastColumn="0" w:lastRowFirstColumn="0" w:lastRowLastColumn="0"/>
        </w:trPr>
        <w:tc>
          <w:tcPr>
            <w:tcW w:w="1818" w:type="dxa"/>
            <w:noWrap/>
            <w:hideMark/>
          </w:tcPr>
          <w:p w:rsidR="008F7AA7" w:rsidRPr="005B0796" w:rsidRDefault="008F7AA7" w:rsidP="006C0BCF">
            <w:pPr>
              <w:pStyle w:val="TableText"/>
              <w:rPr>
                <w:lang w:eastAsia="en-AU"/>
              </w:rPr>
            </w:pPr>
            <w:r w:rsidRPr="005B0796">
              <w:t>Any suicidality*</w:t>
            </w:r>
          </w:p>
        </w:tc>
        <w:tc>
          <w:tcPr>
            <w:tcW w:w="990" w:type="dxa"/>
            <w:noWrap/>
            <w:hideMark/>
          </w:tcPr>
          <w:p w:rsidR="008F7AA7" w:rsidRPr="005B0796" w:rsidRDefault="008F7AA7" w:rsidP="006C0BCF">
            <w:pPr>
              <w:pStyle w:val="TableText"/>
              <w:jc w:val="right"/>
              <w:rPr>
                <w:lang w:eastAsia="en-AU"/>
              </w:rPr>
            </w:pPr>
            <w:r w:rsidRPr="005B0796">
              <w:t>4643</w:t>
            </w:r>
          </w:p>
        </w:tc>
        <w:tc>
          <w:tcPr>
            <w:tcW w:w="842" w:type="dxa"/>
            <w:noWrap/>
            <w:hideMark/>
          </w:tcPr>
          <w:p w:rsidR="008F7AA7" w:rsidRPr="005B0796" w:rsidRDefault="008F7AA7" w:rsidP="006C0BCF">
            <w:pPr>
              <w:pStyle w:val="TableText"/>
              <w:jc w:val="right"/>
              <w:rPr>
                <w:lang w:eastAsia="en-AU"/>
              </w:rPr>
            </w:pPr>
            <w:r w:rsidRPr="005B0796">
              <w:t>21.7</w:t>
            </w:r>
          </w:p>
        </w:tc>
        <w:tc>
          <w:tcPr>
            <w:tcW w:w="916" w:type="dxa"/>
            <w:noWrap/>
            <w:hideMark/>
          </w:tcPr>
          <w:p w:rsidR="008F7AA7" w:rsidRPr="005B0796" w:rsidRDefault="008F7AA7" w:rsidP="006C0BCF">
            <w:pPr>
              <w:pStyle w:val="TableText"/>
              <w:jc w:val="right"/>
              <w:rPr>
                <w:lang w:eastAsia="en-AU"/>
              </w:rPr>
            </w:pPr>
            <w:r w:rsidRPr="005B0796">
              <w:t>20.1, 23.4</w:t>
            </w:r>
          </w:p>
        </w:tc>
        <w:tc>
          <w:tcPr>
            <w:tcW w:w="1032" w:type="dxa"/>
            <w:noWrap/>
            <w:hideMark/>
          </w:tcPr>
          <w:p w:rsidR="008F7AA7" w:rsidRPr="005B0796" w:rsidRDefault="008F7AA7" w:rsidP="006C0BCF">
            <w:pPr>
              <w:pStyle w:val="TableText"/>
              <w:jc w:val="right"/>
              <w:rPr>
                <w:lang w:eastAsia="en-AU"/>
              </w:rPr>
            </w:pPr>
            <w:r w:rsidRPr="005B0796">
              <w:t>699</w:t>
            </w:r>
          </w:p>
        </w:tc>
        <w:tc>
          <w:tcPr>
            <w:tcW w:w="800" w:type="dxa"/>
            <w:noWrap/>
            <w:hideMark/>
          </w:tcPr>
          <w:p w:rsidR="008F7AA7" w:rsidRPr="005B0796" w:rsidRDefault="008F7AA7" w:rsidP="006C0BCF">
            <w:pPr>
              <w:pStyle w:val="TableText"/>
              <w:jc w:val="right"/>
              <w:rPr>
                <w:lang w:eastAsia="en-AU"/>
              </w:rPr>
            </w:pPr>
            <w:r w:rsidRPr="005B0796">
              <w:t>21.7</w:t>
            </w:r>
          </w:p>
        </w:tc>
        <w:tc>
          <w:tcPr>
            <w:tcW w:w="917" w:type="dxa"/>
            <w:noWrap/>
            <w:hideMark/>
          </w:tcPr>
          <w:p w:rsidR="008F7AA7" w:rsidRPr="005B0796" w:rsidRDefault="008F7AA7" w:rsidP="006C0BCF">
            <w:pPr>
              <w:pStyle w:val="TableText"/>
              <w:jc w:val="right"/>
              <w:rPr>
                <w:lang w:eastAsia="en-AU"/>
              </w:rPr>
            </w:pPr>
            <w:r w:rsidRPr="005B0796">
              <w:t>18.4, 25.4</w:t>
            </w:r>
          </w:p>
        </w:tc>
      </w:tr>
    </w:tbl>
    <w:p w:rsidR="00171F0C" w:rsidRPr="005B0796" w:rsidRDefault="00171F0C" w:rsidP="00171F0C">
      <w:pPr>
        <w:pStyle w:val="TableNotes"/>
      </w:pPr>
      <w:bookmarkStart w:id="772" w:name="_Ref484520489"/>
      <w:bookmarkStart w:id="773" w:name="_Toc482023844"/>
      <w:bookmarkStart w:id="774" w:name="_Toc487014382"/>
      <w:r w:rsidRPr="005B0796">
        <w:t xml:space="preserve">* Calculated as yes to </w:t>
      </w:r>
      <w:r w:rsidR="002B2CFD">
        <w:t>‘</w:t>
      </w:r>
      <w:r w:rsidR="00F773A8" w:rsidRPr="005B0796">
        <w:t xml:space="preserve">felt </w:t>
      </w:r>
      <w:r w:rsidRPr="005B0796">
        <w:t>so low thought about committing suicide</w:t>
      </w:r>
      <w:r w:rsidR="002B2CFD">
        <w:t>’</w:t>
      </w:r>
      <w:r w:rsidRPr="005B0796">
        <w:t xml:space="preserve">, </w:t>
      </w:r>
      <w:r w:rsidR="002B2CFD">
        <w:t>‘</w:t>
      </w:r>
      <w:r w:rsidR="00F773A8" w:rsidRPr="005B0796">
        <w:t xml:space="preserve">made </w:t>
      </w:r>
      <w:r w:rsidRPr="005B0796">
        <w:t>a suicide plan</w:t>
      </w:r>
      <w:r w:rsidR="002B2CFD">
        <w:t>’</w:t>
      </w:r>
      <w:r w:rsidRPr="005B0796">
        <w:t xml:space="preserve">, or </w:t>
      </w:r>
      <w:r w:rsidR="002B2CFD">
        <w:t>‘</w:t>
      </w:r>
      <w:r w:rsidR="00F773A8" w:rsidRPr="005B0796">
        <w:t xml:space="preserve">attempted </w:t>
      </w:r>
      <w:r w:rsidRPr="005B0796">
        <w:t>suicide</w:t>
      </w:r>
      <w:r w:rsidR="002B2CFD">
        <w:t>’</w:t>
      </w:r>
    </w:p>
    <w:p w:rsidR="00171F0C" w:rsidRPr="005B0796" w:rsidRDefault="00171F0C" w:rsidP="00171F0C">
      <w:pPr>
        <w:pStyle w:val="TableNotes"/>
        <w:rPr>
          <w:rFonts w:cs="Calibri"/>
          <w:bCs/>
        </w:rPr>
      </w:pPr>
      <w:r w:rsidRPr="005B0796">
        <w:rPr>
          <w:rFonts w:cs="Calibri"/>
          <w:bCs/>
        </w:rPr>
        <w:t>Note</w:t>
      </w:r>
      <w:r w:rsidR="008C2520" w:rsidRPr="005B0796">
        <w:rPr>
          <w:rFonts w:cs="Calibri"/>
          <w:bCs/>
        </w:rPr>
        <w:t>s</w:t>
      </w:r>
      <w:r w:rsidRPr="005B0796">
        <w:rPr>
          <w:rFonts w:cs="Calibri"/>
          <w:bCs/>
        </w:rPr>
        <w:t>:</w:t>
      </w:r>
      <w:r w:rsidR="008C2520" w:rsidRPr="005B0796">
        <w:rPr>
          <w:rFonts w:cs="Calibri"/>
          <w:bCs/>
        </w:rPr>
        <w:br/>
      </w:r>
      <w:r w:rsidRPr="005B0796">
        <w:rPr>
          <w:rFonts w:cs="Calibri"/>
          <w:bCs/>
        </w:rPr>
        <w:t>95%</w:t>
      </w:r>
      <w:r w:rsidR="002B2CFD">
        <w:rPr>
          <w:rFonts w:cs="Calibri"/>
          <w:bCs/>
        </w:rPr>
        <w:t xml:space="preserve"> </w:t>
      </w:r>
      <w:r w:rsidRPr="005B0796">
        <w:rPr>
          <w:rFonts w:cs="Calibri"/>
          <w:bCs/>
        </w:rPr>
        <w:t xml:space="preserve">CI: 95% </w:t>
      </w:r>
      <w:r w:rsidR="00564689" w:rsidRPr="005B0796">
        <w:rPr>
          <w:rFonts w:cs="Calibri"/>
          <w:bCs/>
        </w:rPr>
        <w:t>confidence interval</w:t>
      </w:r>
    </w:p>
    <w:p w:rsidR="00171F0C" w:rsidRPr="005B0796" w:rsidRDefault="00171F0C" w:rsidP="00171F0C">
      <w:pPr>
        <w:pStyle w:val="TableNotes"/>
        <w:rPr>
          <w:color w:val="000000" w:themeColor="text1"/>
        </w:rPr>
      </w:pPr>
      <w:r w:rsidRPr="005B0796">
        <w:rPr>
          <w:color w:val="000000" w:themeColor="text1"/>
        </w:rPr>
        <w:t>This terminology reflects the standardised survey item used in this study</w:t>
      </w:r>
      <w:r w:rsidR="002B2CFD">
        <w:rPr>
          <w:color w:val="000000" w:themeColor="text1"/>
        </w:rPr>
        <w:t xml:space="preserve"> –</w:t>
      </w:r>
      <w:r w:rsidRPr="005B0796">
        <w:rPr>
          <w:color w:val="000000" w:themeColor="text1"/>
        </w:rPr>
        <w:t xml:space="preserve"> however</w:t>
      </w:r>
      <w:r w:rsidR="002B2CFD">
        <w:rPr>
          <w:color w:val="000000" w:themeColor="text1"/>
        </w:rPr>
        <w:t>,</w:t>
      </w:r>
      <w:r w:rsidRPr="005B0796">
        <w:rPr>
          <w:color w:val="000000" w:themeColor="text1"/>
        </w:rPr>
        <w:t xml:space="preserve"> it should be noted that this is no longer considered an appropriate description, and the term </w:t>
      </w:r>
      <w:r w:rsidR="00462A0C" w:rsidRPr="005B0796">
        <w:rPr>
          <w:color w:val="000000" w:themeColor="text1"/>
        </w:rPr>
        <w:t>‘</w:t>
      </w:r>
      <w:r w:rsidR="002B2CFD">
        <w:rPr>
          <w:color w:val="000000" w:themeColor="text1"/>
        </w:rPr>
        <w:t xml:space="preserve">thought about </w:t>
      </w:r>
      <w:r w:rsidRPr="005B0796">
        <w:rPr>
          <w:color w:val="000000" w:themeColor="text1"/>
        </w:rPr>
        <w:t>committing suicide</w:t>
      </w:r>
      <w:r w:rsidR="00462A0C" w:rsidRPr="005B0796">
        <w:rPr>
          <w:color w:val="000000" w:themeColor="text1"/>
        </w:rPr>
        <w:t>’</w:t>
      </w:r>
      <w:r w:rsidRPr="005B0796">
        <w:rPr>
          <w:color w:val="000000" w:themeColor="text1"/>
        </w:rPr>
        <w:t xml:space="preserve"> should be replaced with </w:t>
      </w:r>
      <w:r w:rsidR="00462A0C" w:rsidRPr="005B0796">
        <w:rPr>
          <w:color w:val="000000" w:themeColor="text1"/>
        </w:rPr>
        <w:t>‘</w:t>
      </w:r>
      <w:r w:rsidRPr="005B0796">
        <w:rPr>
          <w:color w:val="000000" w:themeColor="text1"/>
        </w:rPr>
        <w:t>thought about taking their own life</w:t>
      </w:r>
      <w:r w:rsidR="00462A0C" w:rsidRPr="005B0796">
        <w:rPr>
          <w:color w:val="000000" w:themeColor="text1"/>
        </w:rPr>
        <w:t>’</w:t>
      </w:r>
    </w:p>
    <w:p w:rsidR="00171F0C" w:rsidRPr="005B0796" w:rsidRDefault="00171F0C" w:rsidP="00171F0C">
      <w:pPr>
        <w:pStyle w:val="FigureName"/>
      </w:pPr>
      <w:bookmarkStart w:id="775" w:name="_Ref494281371"/>
      <w:bookmarkStart w:id="776" w:name="_Toc51190055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34</w:t>
      </w:r>
      <w:r w:rsidR="00D30A3C">
        <w:rPr>
          <w:noProof/>
        </w:rPr>
        <w:fldChar w:fldCharType="end"/>
      </w:r>
      <w:bookmarkEnd w:id="772"/>
      <w:bookmarkEnd w:id="775"/>
      <w:r w:rsidRPr="005B0796">
        <w:tab/>
        <w:t>Estimated prevalence of suicidality in Transitioned ADF members</w:t>
      </w:r>
      <w:r w:rsidR="002B2CFD">
        <w:t>,</w:t>
      </w:r>
      <w:r w:rsidRPr="005B0796">
        <w:t xml:space="preserve"> by sex</w:t>
      </w:r>
      <w:bookmarkEnd w:id="773"/>
      <w:bookmarkEnd w:id="774"/>
      <w:bookmarkEnd w:id="776"/>
    </w:p>
    <w:tbl>
      <w:tblPr>
        <w:tblW w:w="5000" w:type="pct"/>
        <w:tblLayout w:type="fixed"/>
        <w:tblCellMar>
          <w:left w:w="115" w:type="dxa"/>
          <w:right w:w="115" w:type="dxa"/>
        </w:tblCellMar>
        <w:tblLook w:val="04A0" w:firstRow="1" w:lastRow="0" w:firstColumn="1" w:lastColumn="0" w:noHBand="0" w:noVBand="1"/>
      </w:tblPr>
      <w:tblGrid>
        <w:gridCol w:w="7329"/>
      </w:tblGrid>
      <w:tr w:rsidR="008F7AA7" w:rsidRPr="005B0796" w:rsidTr="006C0BCF">
        <w:trPr>
          <w:cantSplit/>
        </w:trPr>
        <w:tc>
          <w:tcPr>
            <w:tcW w:w="7315" w:type="dxa"/>
          </w:tcPr>
          <w:p w:rsidR="008F7AA7" w:rsidRPr="005B0796" w:rsidRDefault="008F7AA7" w:rsidP="006C0BCF">
            <w:pPr>
              <w:keepNext/>
            </w:pPr>
            <w:r w:rsidRPr="005B0796">
              <w:rPr>
                <w:i/>
                <w:noProof/>
                <w:lang w:eastAsia="en-AU"/>
              </w:rPr>
              <w:drawing>
                <wp:inline distT="0" distB="0" distL="0" distR="0" wp14:anchorId="4A0C42DD" wp14:editId="536DF51F">
                  <wp:extent cx="4572000" cy="2743200"/>
                  <wp:effectExtent l="0" t="0" r="0" b="0"/>
                  <wp:docPr id="88" name="Chart 88" descr="Figure 4.34 Estimated prevalence of suicidality in Transitioned ADF member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bl>
    <w:p w:rsidR="008F7AA7" w:rsidRPr="005B0796" w:rsidRDefault="008F7AA7" w:rsidP="006C0BCF">
      <w:pPr>
        <w:pStyle w:val="Heading4"/>
      </w:pPr>
      <w:r w:rsidRPr="005B0796">
        <w:t>Age</w:t>
      </w:r>
    </w:p>
    <w:p w:rsidR="008F7AA7" w:rsidRPr="005B0796" w:rsidRDefault="009E72D3" w:rsidP="006C0BCF">
      <w:r w:rsidRPr="005B0796">
        <w:t>Table 4.43</w:t>
      </w:r>
      <w:r w:rsidR="008F7AA7" w:rsidRPr="005B0796">
        <w:t xml:space="preserve"> and </w:t>
      </w:r>
      <w:r w:rsidRPr="005B0796">
        <w:t>Figure 4.35</w:t>
      </w:r>
      <w:r w:rsidR="008F7AA7" w:rsidRPr="005B0796">
        <w:t xml:space="preserve"> show the estimated prevalence of 12-month suicidality by age bands. While </w:t>
      </w:r>
      <w:r w:rsidR="00462A0C" w:rsidRPr="005B0796">
        <w:t>‘</w:t>
      </w:r>
      <w:r w:rsidR="008F7AA7" w:rsidRPr="005B0796">
        <w:t>any 12-month suicidality</w:t>
      </w:r>
      <w:r w:rsidR="00462A0C" w:rsidRPr="005B0796">
        <w:t>’</w:t>
      </w:r>
      <w:r w:rsidR="008F7AA7" w:rsidRPr="005B0796">
        <w:t xml:space="preserve"> appears to decrease overall with age, this was not statistically significant. There were peaks in the 18–27 age group (23.6%, 95% CI 19.6, 27.9) and the 38–47 age group (23.8%, 95% CI 21.0, 26.9), dropping to 14.4% among those aged over 58. A similar pattern was observed for individual ideation and plans, but not attempts.</w:t>
      </w:r>
    </w:p>
    <w:p w:rsidR="006C0BCF" w:rsidRPr="005B0796" w:rsidRDefault="006C0BCF" w:rsidP="006C0BCF">
      <w:pPr>
        <w:sectPr w:rsidR="006C0BCF" w:rsidRPr="005B0796" w:rsidSect="00383C5C">
          <w:footerReference w:type="even" r:id="rId138"/>
          <w:footerReference w:type="default" r:id="rId139"/>
          <w:pgSz w:w="9979" w:h="14170" w:code="243"/>
          <w:pgMar w:top="1440" w:right="1152" w:bottom="1440" w:left="1728" w:header="576" w:footer="576" w:gutter="0"/>
          <w:cols w:space="708"/>
          <w:docGrid w:linePitch="360"/>
        </w:sectPr>
      </w:pPr>
      <w:bookmarkStart w:id="777" w:name="_Ref484520141"/>
      <w:bookmarkStart w:id="778" w:name="_Toc482023807"/>
      <w:bookmarkStart w:id="779" w:name="_Toc487014294"/>
      <w:bookmarkStart w:id="780" w:name="_Toc492995597"/>
    </w:p>
    <w:p w:rsidR="00171F0C" w:rsidRPr="005B0796" w:rsidRDefault="00171F0C" w:rsidP="00171F0C">
      <w:pPr>
        <w:pStyle w:val="TableName"/>
      </w:pPr>
      <w:bookmarkStart w:id="781" w:name="_Ref494281473"/>
      <w:bookmarkStart w:id="782" w:name="_Toc51190044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43</w:t>
      </w:r>
      <w:r w:rsidR="00D30A3C">
        <w:rPr>
          <w:noProof/>
        </w:rPr>
        <w:fldChar w:fldCharType="end"/>
      </w:r>
      <w:bookmarkEnd w:id="777"/>
      <w:bookmarkEnd w:id="781"/>
      <w:r w:rsidRPr="005B0796">
        <w:tab/>
      </w:r>
      <w:bookmarkEnd w:id="778"/>
      <w:r w:rsidRPr="005B0796">
        <w:t>Estimated prevalence of suicidality in Transitioned ADF members</w:t>
      </w:r>
      <w:r w:rsidR="002B2CFD">
        <w:t>,</w:t>
      </w:r>
      <w:r w:rsidRPr="005B0796">
        <w:t xml:space="preserve"> by age</w:t>
      </w:r>
      <w:bookmarkEnd w:id="779"/>
      <w:bookmarkEnd w:id="780"/>
      <w:bookmarkEnd w:id="782"/>
    </w:p>
    <w:tbl>
      <w:tblPr>
        <w:tblStyle w:val="TWRPTable"/>
        <w:tblW w:w="5000" w:type="pct"/>
        <w:tblLayout w:type="fixed"/>
        <w:tblLook w:val="04A0" w:firstRow="1" w:lastRow="0" w:firstColumn="1" w:lastColumn="0" w:noHBand="0" w:noVBand="1"/>
        <w:tblDescription w:val="Table 4.43 Estimated prevalence of suicidality in Transitioned ADF members by age"/>
      </w:tblPr>
      <w:tblGrid>
        <w:gridCol w:w="1188"/>
        <w:gridCol w:w="810"/>
        <w:gridCol w:w="450"/>
        <w:gridCol w:w="803"/>
        <w:gridCol w:w="817"/>
        <w:gridCol w:w="450"/>
        <w:gridCol w:w="797"/>
        <w:gridCol w:w="823"/>
        <w:gridCol w:w="450"/>
        <w:gridCol w:w="790"/>
        <w:gridCol w:w="830"/>
        <w:gridCol w:w="450"/>
        <w:gridCol w:w="784"/>
        <w:gridCol w:w="746"/>
        <w:gridCol w:w="540"/>
        <w:gridCol w:w="778"/>
      </w:tblGrid>
      <w:tr w:rsidR="006C0BCF" w:rsidRPr="005B0796" w:rsidTr="006C0BCF">
        <w:trPr>
          <w:cnfStyle w:val="100000000000" w:firstRow="1" w:lastRow="0" w:firstColumn="0" w:lastColumn="0" w:oddVBand="0" w:evenVBand="0" w:oddHBand="0" w:evenHBand="0" w:firstRowFirstColumn="0" w:firstRowLastColumn="0" w:lastRowFirstColumn="0" w:lastRowLastColumn="0"/>
          <w:trHeight w:val="301"/>
          <w:tblHeader/>
        </w:trPr>
        <w:tc>
          <w:tcPr>
            <w:tcW w:w="1188" w:type="dxa"/>
            <w:tcBorders>
              <w:bottom w:val="nil"/>
            </w:tcBorders>
          </w:tcPr>
          <w:p w:rsidR="006C0BCF" w:rsidRPr="005B0796" w:rsidRDefault="006C0BCF" w:rsidP="006C0BCF">
            <w:pPr>
              <w:pStyle w:val="TableText"/>
              <w:rPr>
                <w:lang w:eastAsia="en-AU"/>
              </w:rPr>
            </w:pPr>
          </w:p>
        </w:tc>
        <w:tc>
          <w:tcPr>
            <w:tcW w:w="10318" w:type="dxa"/>
            <w:gridSpan w:val="15"/>
            <w:noWrap/>
          </w:tcPr>
          <w:p w:rsidR="006C0BCF" w:rsidRPr="005B0796" w:rsidRDefault="006C0BCF" w:rsidP="006C0BCF">
            <w:pPr>
              <w:pStyle w:val="TableText"/>
              <w:jc w:val="center"/>
              <w:rPr>
                <w:lang w:eastAsia="en-AU"/>
              </w:rPr>
            </w:pPr>
            <w:r w:rsidRPr="005B0796">
              <w:rPr>
                <w:lang w:eastAsia="en-AU"/>
              </w:rPr>
              <w:t>Age</w:t>
            </w:r>
          </w:p>
        </w:tc>
      </w:tr>
      <w:tr w:rsidR="006C0BCF" w:rsidRPr="005B0796" w:rsidTr="00C77924">
        <w:trPr>
          <w:cnfStyle w:val="100000000000" w:firstRow="1" w:lastRow="0" w:firstColumn="0" w:lastColumn="0" w:oddVBand="0" w:evenVBand="0" w:oddHBand="0" w:evenHBand="0" w:firstRowFirstColumn="0" w:firstRowLastColumn="0" w:lastRowFirstColumn="0" w:lastRowLastColumn="0"/>
          <w:trHeight w:val="301"/>
          <w:tblHeader/>
        </w:trPr>
        <w:tc>
          <w:tcPr>
            <w:tcW w:w="1188" w:type="dxa"/>
            <w:tcBorders>
              <w:top w:val="nil"/>
              <w:bottom w:val="nil"/>
            </w:tcBorders>
            <w:hideMark/>
          </w:tcPr>
          <w:p w:rsidR="006C0BCF" w:rsidRPr="005B0796" w:rsidRDefault="006C0BCF" w:rsidP="006C0BCF">
            <w:pPr>
              <w:pStyle w:val="TableText"/>
              <w:rPr>
                <w:lang w:eastAsia="en-AU"/>
              </w:rPr>
            </w:pPr>
          </w:p>
        </w:tc>
        <w:tc>
          <w:tcPr>
            <w:tcW w:w="2063" w:type="dxa"/>
            <w:gridSpan w:val="3"/>
            <w:noWrap/>
            <w:hideMark/>
          </w:tcPr>
          <w:p w:rsidR="006C0BCF" w:rsidRPr="005B0796" w:rsidRDefault="006C0BCF" w:rsidP="006C0BCF">
            <w:pPr>
              <w:pStyle w:val="TableText"/>
              <w:jc w:val="center"/>
              <w:rPr>
                <w:lang w:eastAsia="en-AU"/>
              </w:rPr>
            </w:pPr>
            <w:r w:rsidRPr="005B0796">
              <w:rPr>
                <w:lang w:eastAsia="en-AU"/>
              </w:rPr>
              <w:t>18–27 (n = 5195)</w:t>
            </w:r>
          </w:p>
        </w:tc>
        <w:tc>
          <w:tcPr>
            <w:tcW w:w="2064" w:type="dxa"/>
            <w:gridSpan w:val="3"/>
            <w:noWrap/>
            <w:hideMark/>
          </w:tcPr>
          <w:p w:rsidR="006C0BCF" w:rsidRPr="005B0796" w:rsidRDefault="006C0BCF" w:rsidP="006C0BCF">
            <w:pPr>
              <w:pStyle w:val="TableText"/>
              <w:jc w:val="center"/>
              <w:rPr>
                <w:lang w:eastAsia="en-AU"/>
              </w:rPr>
            </w:pPr>
            <w:r w:rsidRPr="005B0796">
              <w:rPr>
                <w:lang w:eastAsia="en-AU"/>
              </w:rPr>
              <w:t>28–37 (n = 8808)</w:t>
            </w:r>
          </w:p>
        </w:tc>
        <w:tc>
          <w:tcPr>
            <w:tcW w:w="2063" w:type="dxa"/>
            <w:gridSpan w:val="3"/>
            <w:noWrap/>
            <w:hideMark/>
          </w:tcPr>
          <w:p w:rsidR="006C0BCF" w:rsidRPr="005B0796" w:rsidRDefault="006C0BCF" w:rsidP="006C0BCF">
            <w:pPr>
              <w:pStyle w:val="TableText"/>
              <w:jc w:val="center"/>
              <w:rPr>
                <w:lang w:eastAsia="en-AU"/>
              </w:rPr>
            </w:pPr>
            <w:r w:rsidRPr="005B0796">
              <w:rPr>
                <w:lang w:eastAsia="en-AU"/>
              </w:rPr>
              <w:t>38–47 (n = 5215)</w:t>
            </w:r>
          </w:p>
        </w:tc>
        <w:tc>
          <w:tcPr>
            <w:tcW w:w="2064" w:type="dxa"/>
            <w:gridSpan w:val="3"/>
          </w:tcPr>
          <w:p w:rsidR="006C0BCF" w:rsidRPr="005B0796" w:rsidRDefault="006C0BCF" w:rsidP="006C0BCF">
            <w:pPr>
              <w:pStyle w:val="TableText"/>
              <w:jc w:val="center"/>
              <w:rPr>
                <w:lang w:eastAsia="en-AU"/>
              </w:rPr>
            </w:pPr>
            <w:r w:rsidRPr="005B0796">
              <w:rPr>
                <w:lang w:eastAsia="en-AU"/>
              </w:rPr>
              <w:t>48–57 (n = 3389)</w:t>
            </w:r>
          </w:p>
        </w:tc>
        <w:tc>
          <w:tcPr>
            <w:tcW w:w="2064" w:type="dxa"/>
            <w:gridSpan w:val="3"/>
          </w:tcPr>
          <w:p w:rsidR="006C0BCF" w:rsidRPr="005B0796" w:rsidRDefault="006C0BCF" w:rsidP="006C0BCF">
            <w:pPr>
              <w:pStyle w:val="TableText"/>
              <w:jc w:val="center"/>
              <w:rPr>
                <w:lang w:eastAsia="en-AU"/>
              </w:rPr>
            </w:pPr>
            <w:r w:rsidRPr="005B0796">
              <w:rPr>
                <w:lang w:eastAsia="en-AU"/>
              </w:rPr>
              <w:t>58+ (n = 1937)</w:t>
            </w:r>
          </w:p>
        </w:tc>
      </w:tr>
      <w:tr w:rsidR="006C0BCF" w:rsidRPr="005B0796" w:rsidTr="00C77924">
        <w:trPr>
          <w:cnfStyle w:val="100000000000" w:firstRow="1" w:lastRow="0" w:firstColumn="0" w:lastColumn="0" w:oddVBand="0" w:evenVBand="0" w:oddHBand="0" w:evenHBand="0" w:firstRowFirstColumn="0" w:firstRowLastColumn="0" w:lastRowFirstColumn="0" w:lastRowLastColumn="0"/>
          <w:trHeight w:val="288"/>
          <w:tblHeader/>
        </w:trPr>
        <w:tc>
          <w:tcPr>
            <w:tcW w:w="1188" w:type="dxa"/>
            <w:tcBorders>
              <w:top w:val="nil"/>
            </w:tcBorders>
            <w:noWrap/>
            <w:hideMark/>
          </w:tcPr>
          <w:p w:rsidR="006C0BCF" w:rsidRPr="005B0796" w:rsidRDefault="006C0BCF" w:rsidP="006C0BCF">
            <w:pPr>
              <w:pStyle w:val="TableText"/>
              <w:rPr>
                <w:lang w:eastAsia="en-AU"/>
              </w:rPr>
            </w:pPr>
            <w:r w:rsidRPr="005B0796">
              <w:rPr>
                <w:lang w:eastAsia="en-AU"/>
              </w:rPr>
              <w:t>Suicidality</w:t>
            </w:r>
          </w:p>
        </w:tc>
        <w:tc>
          <w:tcPr>
            <w:tcW w:w="810" w:type="dxa"/>
            <w:noWrap/>
            <w:hideMark/>
          </w:tcPr>
          <w:p w:rsidR="006C0BCF" w:rsidRPr="005B0796" w:rsidRDefault="006C0BCF" w:rsidP="006C0BCF">
            <w:pPr>
              <w:pStyle w:val="TableText"/>
              <w:jc w:val="right"/>
              <w:rPr>
                <w:lang w:eastAsia="en-AU"/>
              </w:rPr>
            </w:pPr>
            <w:r w:rsidRPr="005B0796">
              <w:rPr>
                <w:lang w:eastAsia="en-AU"/>
              </w:rPr>
              <w:t>Weighted n</w:t>
            </w:r>
          </w:p>
        </w:tc>
        <w:tc>
          <w:tcPr>
            <w:tcW w:w="450" w:type="dxa"/>
            <w:hideMark/>
          </w:tcPr>
          <w:p w:rsidR="006C0BCF" w:rsidRPr="005B0796" w:rsidRDefault="006C0BCF" w:rsidP="006C0BCF">
            <w:pPr>
              <w:pStyle w:val="TableText"/>
              <w:jc w:val="right"/>
              <w:rPr>
                <w:lang w:eastAsia="en-AU"/>
              </w:rPr>
            </w:pPr>
            <w:r w:rsidRPr="005B0796">
              <w:t>%</w:t>
            </w:r>
          </w:p>
        </w:tc>
        <w:tc>
          <w:tcPr>
            <w:tcW w:w="803" w:type="dxa"/>
            <w:hideMark/>
          </w:tcPr>
          <w:p w:rsidR="006C0BCF" w:rsidRPr="005B0796" w:rsidRDefault="006C0BCF" w:rsidP="006C0BCF">
            <w:pPr>
              <w:pStyle w:val="TableText"/>
              <w:jc w:val="right"/>
              <w:rPr>
                <w:lang w:eastAsia="en-AU"/>
              </w:rPr>
            </w:pPr>
            <w:r w:rsidRPr="005B0796">
              <w:t>95% CI</w:t>
            </w:r>
          </w:p>
        </w:tc>
        <w:tc>
          <w:tcPr>
            <w:tcW w:w="817" w:type="dxa"/>
            <w:noWrap/>
            <w:hideMark/>
          </w:tcPr>
          <w:p w:rsidR="006C0BCF" w:rsidRPr="005B0796" w:rsidRDefault="006C0BCF" w:rsidP="006C0BCF">
            <w:pPr>
              <w:pStyle w:val="TableText"/>
              <w:jc w:val="right"/>
              <w:rPr>
                <w:lang w:eastAsia="en-AU"/>
              </w:rPr>
            </w:pPr>
            <w:r w:rsidRPr="005B0796">
              <w:rPr>
                <w:lang w:eastAsia="en-AU"/>
              </w:rPr>
              <w:t>Weighted n</w:t>
            </w:r>
          </w:p>
        </w:tc>
        <w:tc>
          <w:tcPr>
            <w:tcW w:w="450" w:type="dxa"/>
            <w:hideMark/>
          </w:tcPr>
          <w:p w:rsidR="006C0BCF" w:rsidRPr="005B0796" w:rsidRDefault="006C0BCF" w:rsidP="006C0BCF">
            <w:pPr>
              <w:pStyle w:val="TableText"/>
              <w:jc w:val="right"/>
              <w:rPr>
                <w:lang w:eastAsia="en-AU"/>
              </w:rPr>
            </w:pPr>
            <w:r w:rsidRPr="005B0796">
              <w:t>%</w:t>
            </w:r>
          </w:p>
        </w:tc>
        <w:tc>
          <w:tcPr>
            <w:tcW w:w="797" w:type="dxa"/>
            <w:hideMark/>
          </w:tcPr>
          <w:p w:rsidR="006C0BCF" w:rsidRPr="005B0796" w:rsidRDefault="006C0BCF" w:rsidP="006C0BCF">
            <w:pPr>
              <w:pStyle w:val="TableText"/>
              <w:jc w:val="right"/>
              <w:rPr>
                <w:lang w:eastAsia="en-AU"/>
              </w:rPr>
            </w:pPr>
            <w:r w:rsidRPr="005B0796">
              <w:t>95% CI</w:t>
            </w:r>
          </w:p>
        </w:tc>
        <w:tc>
          <w:tcPr>
            <w:tcW w:w="823" w:type="dxa"/>
            <w:noWrap/>
            <w:hideMark/>
          </w:tcPr>
          <w:p w:rsidR="006C0BCF" w:rsidRPr="005B0796" w:rsidRDefault="006C0BCF" w:rsidP="006C0BCF">
            <w:pPr>
              <w:pStyle w:val="TableText"/>
              <w:jc w:val="right"/>
              <w:rPr>
                <w:lang w:eastAsia="en-AU"/>
              </w:rPr>
            </w:pPr>
            <w:r w:rsidRPr="005B0796">
              <w:rPr>
                <w:lang w:eastAsia="en-AU"/>
              </w:rPr>
              <w:t>Weighted n</w:t>
            </w:r>
          </w:p>
        </w:tc>
        <w:tc>
          <w:tcPr>
            <w:tcW w:w="450" w:type="dxa"/>
            <w:hideMark/>
          </w:tcPr>
          <w:p w:rsidR="006C0BCF" w:rsidRPr="005B0796" w:rsidRDefault="006C0BCF" w:rsidP="006C0BCF">
            <w:pPr>
              <w:pStyle w:val="TableText"/>
              <w:jc w:val="right"/>
              <w:rPr>
                <w:lang w:eastAsia="en-AU"/>
              </w:rPr>
            </w:pPr>
            <w:r w:rsidRPr="005B0796">
              <w:t>%</w:t>
            </w:r>
          </w:p>
        </w:tc>
        <w:tc>
          <w:tcPr>
            <w:tcW w:w="790" w:type="dxa"/>
            <w:hideMark/>
          </w:tcPr>
          <w:p w:rsidR="006C0BCF" w:rsidRPr="005B0796" w:rsidRDefault="006C0BCF" w:rsidP="006C0BCF">
            <w:pPr>
              <w:pStyle w:val="TableText"/>
              <w:jc w:val="right"/>
              <w:rPr>
                <w:lang w:eastAsia="en-AU"/>
              </w:rPr>
            </w:pPr>
            <w:r w:rsidRPr="005B0796">
              <w:t>95% CI</w:t>
            </w:r>
          </w:p>
        </w:tc>
        <w:tc>
          <w:tcPr>
            <w:tcW w:w="830" w:type="dxa"/>
          </w:tcPr>
          <w:p w:rsidR="006C0BCF" w:rsidRPr="005B0796" w:rsidRDefault="006C0BCF" w:rsidP="006C0BCF">
            <w:pPr>
              <w:pStyle w:val="TableText"/>
              <w:jc w:val="right"/>
              <w:rPr>
                <w:lang w:eastAsia="en-AU"/>
              </w:rPr>
            </w:pPr>
            <w:r w:rsidRPr="005B0796">
              <w:rPr>
                <w:lang w:eastAsia="en-AU"/>
              </w:rPr>
              <w:t>Weighted n</w:t>
            </w:r>
          </w:p>
        </w:tc>
        <w:tc>
          <w:tcPr>
            <w:tcW w:w="450" w:type="dxa"/>
          </w:tcPr>
          <w:p w:rsidR="006C0BCF" w:rsidRPr="005B0796" w:rsidRDefault="006C0BCF" w:rsidP="006C0BCF">
            <w:pPr>
              <w:pStyle w:val="TableText"/>
              <w:jc w:val="right"/>
              <w:rPr>
                <w:lang w:eastAsia="en-AU"/>
              </w:rPr>
            </w:pPr>
            <w:r w:rsidRPr="005B0796">
              <w:t>%</w:t>
            </w:r>
          </w:p>
        </w:tc>
        <w:tc>
          <w:tcPr>
            <w:tcW w:w="784" w:type="dxa"/>
          </w:tcPr>
          <w:p w:rsidR="006C0BCF" w:rsidRPr="005B0796" w:rsidRDefault="006C0BCF" w:rsidP="006C0BCF">
            <w:pPr>
              <w:pStyle w:val="TableText"/>
              <w:jc w:val="right"/>
              <w:rPr>
                <w:lang w:eastAsia="en-AU"/>
              </w:rPr>
            </w:pPr>
            <w:r w:rsidRPr="005B0796">
              <w:t>95% CI</w:t>
            </w:r>
          </w:p>
        </w:tc>
        <w:tc>
          <w:tcPr>
            <w:tcW w:w="746" w:type="dxa"/>
          </w:tcPr>
          <w:p w:rsidR="006C0BCF" w:rsidRPr="005B0796" w:rsidRDefault="006C0BCF" w:rsidP="006C0BCF">
            <w:pPr>
              <w:pStyle w:val="TableText"/>
              <w:jc w:val="right"/>
              <w:rPr>
                <w:lang w:eastAsia="en-AU"/>
              </w:rPr>
            </w:pPr>
            <w:r w:rsidRPr="005B0796">
              <w:rPr>
                <w:lang w:eastAsia="en-AU"/>
              </w:rPr>
              <w:t>Weighted n</w:t>
            </w:r>
          </w:p>
        </w:tc>
        <w:tc>
          <w:tcPr>
            <w:tcW w:w="540" w:type="dxa"/>
          </w:tcPr>
          <w:p w:rsidR="006C0BCF" w:rsidRPr="005B0796" w:rsidRDefault="006C0BCF" w:rsidP="006C0BCF">
            <w:pPr>
              <w:pStyle w:val="TableText"/>
              <w:jc w:val="right"/>
              <w:rPr>
                <w:lang w:eastAsia="en-AU"/>
              </w:rPr>
            </w:pPr>
            <w:r w:rsidRPr="005B0796">
              <w:t>%</w:t>
            </w:r>
          </w:p>
        </w:tc>
        <w:tc>
          <w:tcPr>
            <w:tcW w:w="778" w:type="dxa"/>
          </w:tcPr>
          <w:p w:rsidR="006C0BCF" w:rsidRPr="005B0796" w:rsidRDefault="006C0BCF" w:rsidP="006C0BCF">
            <w:pPr>
              <w:pStyle w:val="TableText"/>
              <w:jc w:val="right"/>
              <w:rPr>
                <w:lang w:eastAsia="en-AU"/>
              </w:rPr>
            </w:pPr>
            <w:r w:rsidRPr="005B0796">
              <w:t>95% CI</w:t>
            </w:r>
          </w:p>
        </w:tc>
      </w:tr>
      <w:tr w:rsidR="006C0BCF" w:rsidRPr="005B0796" w:rsidTr="00C77924">
        <w:trPr>
          <w:cnfStyle w:val="000000100000" w:firstRow="0" w:lastRow="0" w:firstColumn="0" w:lastColumn="0" w:oddVBand="0" w:evenVBand="0" w:oddHBand="1" w:evenHBand="0" w:firstRowFirstColumn="0" w:firstRowLastColumn="0" w:lastRowFirstColumn="0" w:lastRowLastColumn="0"/>
          <w:trHeight w:val="288"/>
        </w:trPr>
        <w:tc>
          <w:tcPr>
            <w:tcW w:w="1188" w:type="dxa"/>
            <w:hideMark/>
          </w:tcPr>
          <w:p w:rsidR="006C0BCF" w:rsidRPr="005B0796" w:rsidRDefault="006C0BCF" w:rsidP="006C0BCF">
            <w:pPr>
              <w:pStyle w:val="TableText"/>
              <w:rPr>
                <w:lang w:eastAsia="en-AU"/>
              </w:rPr>
            </w:pPr>
            <w:r w:rsidRPr="005B0796">
              <w:t>Felt life not worth living</w:t>
            </w:r>
          </w:p>
        </w:tc>
        <w:tc>
          <w:tcPr>
            <w:tcW w:w="810" w:type="dxa"/>
            <w:noWrap/>
            <w:hideMark/>
          </w:tcPr>
          <w:p w:rsidR="006C0BCF" w:rsidRPr="005B0796" w:rsidRDefault="006C0BCF" w:rsidP="006C0BCF">
            <w:pPr>
              <w:pStyle w:val="TableText"/>
              <w:jc w:val="right"/>
              <w:rPr>
                <w:lang w:eastAsia="en-AU"/>
              </w:rPr>
            </w:pPr>
            <w:r w:rsidRPr="005B0796">
              <w:t>1553</w:t>
            </w:r>
          </w:p>
        </w:tc>
        <w:tc>
          <w:tcPr>
            <w:tcW w:w="450" w:type="dxa"/>
            <w:hideMark/>
          </w:tcPr>
          <w:p w:rsidR="006C0BCF" w:rsidRPr="005B0796" w:rsidRDefault="006C0BCF" w:rsidP="006C0BCF">
            <w:pPr>
              <w:pStyle w:val="TableText"/>
              <w:jc w:val="right"/>
              <w:rPr>
                <w:lang w:eastAsia="en-AU"/>
              </w:rPr>
            </w:pPr>
            <w:r w:rsidRPr="005B0796">
              <w:t>29.6</w:t>
            </w:r>
          </w:p>
        </w:tc>
        <w:tc>
          <w:tcPr>
            <w:tcW w:w="803" w:type="dxa"/>
            <w:hideMark/>
          </w:tcPr>
          <w:p w:rsidR="006C0BCF" w:rsidRPr="005B0796" w:rsidRDefault="006C0BCF" w:rsidP="006C0BCF">
            <w:pPr>
              <w:pStyle w:val="TableText"/>
              <w:jc w:val="right"/>
              <w:rPr>
                <w:lang w:eastAsia="en-AU"/>
              </w:rPr>
            </w:pPr>
            <w:r w:rsidRPr="005B0796">
              <w:t>25.3, 34.2</w:t>
            </w:r>
          </w:p>
        </w:tc>
        <w:tc>
          <w:tcPr>
            <w:tcW w:w="817" w:type="dxa"/>
            <w:noWrap/>
            <w:hideMark/>
          </w:tcPr>
          <w:p w:rsidR="006C0BCF" w:rsidRPr="005B0796" w:rsidRDefault="006C0BCF" w:rsidP="006C0BCF">
            <w:pPr>
              <w:pStyle w:val="TableText"/>
              <w:jc w:val="right"/>
              <w:rPr>
                <w:lang w:eastAsia="en-AU"/>
              </w:rPr>
            </w:pPr>
            <w:r w:rsidRPr="005B0796">
              <w:t>2534</w:t>
            </w:r>
          </w:p>
        </w:tc>
        <w:tc>
          <w:tcPr>
            <w:tcW w:w="450" w:type="dxa"/>
            <w:hideMark/>
          </w:tcPr>
          <w:p w:rsidR="006C0BCF" w:rsidRPr="005B0796" w:rsidRDefault="006C0BCF" w:rsidP="006C0BCF">
            <w:pPr>
              <w:pStyle w:val="TableText"/>
              <w:jc w:val="right"/>
              <w:rPr>
                <w:lang w:eastAsia="en-AU"/>
              </w:rPr>
            </w:pPr>
            <w:r w:rsidRPr="005B0796">
              <w:t>29.1</w:t>
            </w:r>
          </w:p>
        </w:tc>
        <w:tc>
          <w:tcPr>
            <w:tcW w:w="797" w:type="dxa"/>
            <w:hideMark/>
          </w:tcPr>
          <w:p w:rsidR="006C0BCF" w:rsidRPr="005B0796" w:rsidRDefault="006C0BCF" w:rsidP="006C0BCF">
            <w:pPr>
              <w:pStyle w:val="TableText"/>
              <w:jc w:val="right"/>
              <w:rPr>
                <w:lang w:eastAsia="en-AU"/>
              </w:rPr>
            </w:pPr>
            <w:r w:rsidRPr="005B0796">
              <w:t>26.1, 32.3</w:t>
            </w:r>
          </w:p>
        </w:tc>
        <w:tc>
          <w:tcPr>
            <w:tcW w:w="823" w:type="dxa"/>
            <w:hideMark/>
          </w:tcPr>
          <w:p w:rsidR="006C0BCF" w:rsidRPr="005B0796" w:rsidRDefault="006C0BCF" w:rsidP="006C0BCF">
            <w:pPr>
              <w:pStyle w:val="TableText"/>
              <w:jc w:val="right"/>
              <w:rPr>
                <w:lang w:eastAsia="en-AU"/>
              </w:rPr>
            </w:pPr>
            <w:r w:rsidRPr="005B0796">
              <w:t>1735</w:t>
            </w:r>
          </w:p>
        </w:tc>
        <w:tc>
          <w:tcPr>
            <w:tcW w:w="450" w:type="dxa"/>
            <w:hideMark/>
          </w:tcPr>
          <w:p w:rsidR="006C0BCF" w:rsidRPr="005B0796" w:rsidRDefault="006C0BCF" w:rsidP="006C0BCF">
            <w:pPr>
              <w:pStyle w:val="TableText"/>
              <w:jc w:val="right"/>
              <w:rPr>
                <w:lang w:eastAsia="en-AU"/>
              </w:rPr>
            </w:pPr>
            <w:r w:rsidRPr="005B0796">
              <w:t>32.8</w:t>
            </w:r>
          </w:p>
        </w:tc>
        <w:tc>
          <w:tcPr>
            <w:tcW w:w="790" w:type="dxa"/>
            <w:hideMark/>
          </w:tcPr>
          <w:p w:rsidR="006C0BCF" w:rsidRPr="005B0796" w:rsidRDefault="006C0BCF" w:rsidP="006C0BCF">
            <w:pPr>
              <w:pStyle w:val="TableText"/>
              <w:jc w:val="right"/>
              <w:rPr>
                <w:lang w:eastAsia="en-AU"/>
              </w:rPr>
            </w:pPr>
            <w:r w:rsidRPr="005B0796">
              <w:t>29.7, 36.1</w:t>
            </w:r>
          </w:p>
        </w:tc>
        <w:tc>
          <w:tcPr>
            <w:tcW w:w="830" w:type="dxa"/>
          </w:tcPr>
          <w:p w:rsidR="006C0BCF" w:rsidRPr="005B0796" w:rsidRDefault="006C0BCF" w:rsidP="006C0BCF">
            <w:pPr>
              <w:pStyle w:val="TableText"/>
              <w:jc w:val="right"/>
              <w:rPr>
                <w:lang w:eastAsia="en-AU"/>
              </w:rPr>
            </w:pPr>
            <w:r w:rsidRPr="005B0796">
              <w:t>907</w:t>
            </w:r>
          </w:p>
        </w:tc>
        <w:tc>
          <w:tcPr>
            <w:tcW w:w="450" w:type="dxa"/>
          </w:tcPr>
          <w:p w:rsidR="006C0BCF" w:rsidRPr="005B0796" w:rsidRDefault="006C0BCF" w:rsidP="006C0BCF">
            <w:pPr>
              <w:pStyle w:val="TableText"/>
              <w:jc w:val="right"/>
              <w:rPr>
                <w:lang w:eastAsia="en-AU"/>
              </w:rPr>
            </w:pPr>
            <w:r w:rsidRPr="005B0796">
              <w:t>26.9</w:t>
            </w:r>
          </w:p>
        </w:tc>
        <w:tc>
          <w:tcPr>
            <w:tcW w:w="784" w:type="dxa"/>
          </w:tcPr>
          <w:p w:rsidR="006C0BCF" w:rsidRPr="005B0796" w:rsidRDefault="006C0BCF" w:rsidP="006C0BCF">
            <w:pPr>
              <w:pStyle w:val="TableText"/>
              <w:jc w:val="right"/>
              <w:rPr>
                <w:lang w:eastAsia="en-AU"/>
              </w:rPr>
            </w:pPr>
            <w:r w:rsidRPr="005B0796">
              <w:t>23.9, 30.0</w:t>
            </w:r>
          </w:p>
        </w:tc>
        <w:tc>
          <w:tcPr>
            <w:tcW w:w="746" w:type="dxa"/>
          </w:tcPr>
          <w:p w:rsidR="006C0BCF" w:rsidRPr="005B0796" w:rsidRDefault="006C0BCF" w:rsidP="006C0BCF">
            <w:pPr>
              <w:pStyle w:val="TableText"/>
              <w:jc w:val="right"/>
              <w:rPr>
                <w:lang w:eastAsia="en-AU"/>
              </w:rPr>
            </w:pPr>
            <w:r w:rsidRPr="005B0796">
              <w:t>377</w:t>
            </w:r>
          </w:p>
        </w:tc>
        <w:tc>
          <w:tcPr>
            <w:tcW w:w="540" w:type="dxa"/>
          </w:tcPr>
          <w:p w:rsidR="006C0BCF" w:rsidRPr="005B0796" w:rsidRDefault="006C0BCF" w:rsidP="006C0BCF">
            <w:pPr>
              <w:pStyle w:val="TableText"/>
              <w:jc w:val="right"/>
              <w:rPr>
                <w:lang w:eastAsia="en-AU"/>
              </w:rPr>
            </w:pPr>
            <w:r w:rsidRPr="005B0796">
              <w:t>19.5</w:t>
            </w:r>
          </w:p>
        </w:tc>
        <w:tc>
          <w:tcPr>
            <w:tcW w:w="778" w:type="dxa"/>
          </w:tcPr>
          <w:p w:rsidR="006C0BCF" w:rsidRPr="005B0796" w:rsidRDefault="006C0BCF" w:rsidP="006C0BCF">
            <w:pPr>
              <w:pStyle w:val="TableText"/>
              <w:jc w:val="right"/>
              <w:rPr>
                <w:lang w:eastAsia="en-AU"/>
              </w:rPr>
            </w:pPr>
            <w:r w:rsidRPr="005B0796">
              <w:t>16.4, 22.9</w:t>
            </w:r>
          </w:p>
        </w:tc>
      </w:tr>
      <w:tr w:rsidR="006C0BCF" w:rsidRPr="005B0796" w:rsidTr="00C77924">
        <w:trPr>
          <w:trHeight w:val="288"/>
        </w:trPr>
        <w:tc>
          <w:tcPr>
            <w:tcW w:w="1188" w:type="dxa"/>
            <w:hideMark/>
          </w:tcPr>
          <w:p w:rsidR="006C0BCF" w:rsidRPr="005B0796" w:rsidRDefault="006C0BCF" w:rsidP="006C0BCF">
            <w:pPr>
              <w:pStyle w:val="TableText"/>
              <w:rPr>
                <w:lang w:eastAsia="en-AU"/>
              </w:rPr>
            </w:pPr>
            <w:r w:rsidRPr="005B0796">
              <w:t>Felt so low thought about committing suicide</w:t>
            </w:r>
          </w:p>
        </w:tc>
        <w:tc>
          <w:tcPr>
            <w:tcW w:w="810" w:type="dxa"/>
            <w:noWrap/>
            <w:hideMark/>
          </w:tcPr>
          <w:p w:rsidR="006C0BCF" w:rsidRPr="005B0796" w:rsidRDefault="006C0BCF" w:rsidP="006C0BCF">
            <w:pPr>
              <w:pStyle w:val="TableText"/>
              <w:jc w:val="right"/>
              <w:rPr>
                <w:lang w:eastAsia="en-AU"/>
              </w:rPr>
            </w:pPr>
            <w:r w:rsidRPr="005B0796">
              <w:t>1234</w:t>
            </w:r>
          </w:p>
        </w:tc>
        <w:tc>
          <w:tcPr>
            <w:tcW w:w="450" w:type="dxa"/>
            <w:hideMark/>
          </w:tcPr>
          <w:p w:rsidR="006C0BCF" w:rsidRPr="005B0796" w:rsidRDefault="006C0BCF" w:rsidP="006C0BCF">
            <w:pPr>
              <w:pStyle w:val="TableText"/>
              <w:jc w:val="right"/>
              <w:rPr>
                <w:lang w:eastAsia="en-AU"/>
              </w:rPr>
            </w:pPr>
            <w:r w:rsidRPr="005B0796">
              <w:t>23.5</w:t>
            </w:r>
          </w:p>
        </w:tc>
        <w:tc>
          <w:tcPr>
            <w:tcW w:w="803" w:type="dxa"/>
            <w:hideMark/>
          </w:tcPr>
          <w:p w:rsidR="006C0BCF" w:rsidRPr="005B0796" w:rsidRDefault="006C0BCF" w:rsidP="006C0BCF">
            <w:pPr>
              <w:pStyle w:val="TableText"/>
              <w:jc w:val="right"/>
              <w:rPr>
                <w:lang w:eastAsia="en-AU"/>
              </w:rPr>
            </w:pPr>
            <w:r w:rsidRPr="005B0796">
              <w:t>19.6, 27.9</w:t>
            </w:r>
          </w:p>
        </w:tc>
        <w:tc>
          <w:tcPr>
            <w:tcW w:w="817" w:type="dxa"/>
            <w:noWrap/>
            <w:hideMark/>
          </w:tcPr>
          <w:p w:rsidR="006C0BCF" w:rsidRPr="005B0796" w:rsidRDefault="006C0BCF" w:rsidP="006C0BCF">
            <w:pPr>
              <w:pStyle w:val="TableText"/>
              <w:jc w:val="right"/>
              <w:rPr>
                <w:lang w:eastAsia="en-AU"/>
              </w:rPr>
            </w:pPr>
            <w:r w:rsidRPr="005B0796">
              <w:t>1827</w:t>
            </w:r>
          </w:p>
        </w:tc>
        <w:tc>
          <w:tcPr>
            <w:tcW w:w="450" w:type="dxa"/>
            <w:hideMark/>
          </w:tcPr>
          <w:p w:rsidR="006C0BCF" w:rsidRPr="005B0796" w:rsidRDefault="006C0BCF" w:rsidP="006C0BCF">
            <w:pPr>
              <w:pStyle w:val="TableText"/>
              <w:jc w:val="right"/>
              <w:rPr>
                <w:lang w:eastAsia="en-AU"/>
              </w:rPr>
            </w:pPr>
            <w:r w:rsidRPr="005B0796">
              <w:t>21.0</w:t>
            </w:r>
          </w:p>
        </w:tc>
        <w:tc>
          <w:tcPr>
            <w:tcW w:w="797" w:type="dxa"/>
            <w:hideMark/>
          </w:tcPr>
          <w:p w:rsidR="006C0BCF" w:rsidRPr="005B0796" w:rsidRDefault="006C0BCF" w:rsidP="006C0BCF">
            <w:pPr>
              <w:pStyle w:val="TableText"/>
              <w:jc w:val="right"/>
              <w:rPr>
                <w:lang w:eastAsia="en-AU"/>
              </w:rPr>
            </w:pPr>
            <w:r w:rsidRPr="005B0796">
              <w:t>18.4, 23.9</w:t>
            </w:r>
          </w:p>
        </w:tc>
        <w:tc>
          <w:tcPr>
            <w:tcW w:w="823" w:type="dxa"/>
            <w:hideMark/>
          </w:tcPr>
          <w:p w:rsidR="006C0BCF" w:rsidRPr="005B0796" w:rsidRDefault="006C0BCF" w:rsidP="006C0BCF">
            <w:pPr>
              <w:pStyle w:val="TableText"/>
              <w:jc w:val="right"/>
              <w:rPr>
                <w:lang w:eastAsia="en-AU"/>
              </w:rPr>
            </w:pPr>
            <w:r w:rsidRPr="005B0796">
              <w:t>1259</w:t>
            </w:r>
          </w:p>
        </w:tc>
        <w:tc>
          <w:tcPr>
            <w:tcW w:w="450" w:type="dxa"/>
            <w:hideMark/>
          </w:tcPr>
          <w:p w:rsidR="006C0BCF" w:rsidRPr="005B0796" w:rsidRDefault="006C0BCF" w:rsidP="006C0BCF">
            <w:pPr>
              <w:pStyle w:val="TableText"/>
              <w:jc w:val="right"/>
              <w:rPr>
                <w:lang w:eastAsia="en-AU"/>
              </w:rPr>
            </w:pPr>
            <w:r w:rsidRPr="005B0796">
              <w:t>23.8</w:t>
            </w:r>
          </w:p>
        </w:tc>
        <w:tc>
          <w:tcPr>
            <w:tcW w:w="790" w:type="dxa"/>
            <w:hideMark/>
          </w:tcPr>
          <w:p w:rsidR="006C0BCF" w:rsidRPr="005B0796" w:rsidRDefault="006C0BCF" w:rsidP="006C0BCF">
            <w:pPr>
              <w:pStyle w:val="TableText"/>
              <w:jc w:val="right"/>
              <w:rPr>
                <w:lang w:eastAsia="en-AU"/>
              </w:rPr>
            </w:pPr>
            <w:r w:rsidRPr="005B0796">
              <w:t>21.0, 26.9</w:t>
            </w:r>
          </w:p>
        </w:tc>
        <w:tc>
          <w:tcPr>
            <w:tcW w:w="830" w:type="dxa"/>
          </w:tcPr>
          <w:p w:rsidR="006C0BCF" w:rsidRPr="005B0796" w:rsidRDefault="006C0BCF" w:rsidP="006C0BCF">
            <w:pPr>
              <w:pStyle w:val="TableText"/>
              <w:jc w:val="right"/>
              <w:rPr>
                <w:lang w:eastAsia="en-AU"/>
              </w:rPr>
            </w:pPr>
            <w:r w:rsidRPr="005B0796">
              <w:t>616</w:t>
            </w:r>
          </w:p>
        </w:tc>
        <w:tc>
          <w:tcPr>
            <w:tcW w:w="450" w:type="dxa"/>
          </w:tcPr>
          <w:p w:rsidR="006C0BCF" w:rsidRPr="005B0796" w:rsidRDefault="006C0BCF" w:rsidP="006C0BCF">
            <w:pPr>
              <w:pStyle w:val="TableText"/>
              <w:jc w:val="right"/>
              <w:rPr>
                <w:lang w:eastAsia="en-AU"/>
              </w:rPr>
            </w:pPr>
            <w:r w:rsidRPr="005B0796">
              <w:t>18.3</w:t>
            </w:r>
          </w:p>
        </w:tc>
        <w:tc>
          <w:tcPr>
            <w:tcW w:w="784" w:type="dxa"/>
          </w:tcPr>
          <w:p w:rsidR="006C0BCF" w:rsidRPr="005B0796" w:rsidRDefault="006C0BCF" w:rsidP="006C0BCF">
            <w:pPr>
              <w:pStyle w:val="TableText"/>
              <w:jc w:val="right"/>
              <w:rPr>
                <w:lang w:eastAsia="en-AU"/>
              </w:rPr>
            </w:pPr>
            <w:r w:rsidRPr="005B0796">
              <w:t>15.8, 21.0</w:t>
            </w:r>
          </w:p>
        </w:tc>
        <w:tc>
          <w:tcPr>
            <w:tcW w:w="746" w:type="dxa"/>
          </w:tcPr>
          <w:p w:rsidR="006C0BCF" w:rsidRPr="005B0796" w:rsidRDefault="006C0BCF" w:rsidP="006C0BCF">
            <w:pPr>
              <w:pStyle w:val="TableText"/>
              <w:jc w:val="right"/>
              <w:rPr>
                <w:lang w:eastAsia="en-AU"/>
              </w:rPr>
            </w:pPr>
            <w:r w:rsidRPr="005B0796">
              <w:t>272</w:t>
            </w:r>
          </w:p>
        </w:tc>
        <w:tc>
          <w:tcPr>
            <w:tcW w:w="540" w:type="dxa"/>
          </w:tcPr>
          <w:p w:rsidR="006C0BCF" w:rsidRPr="005B0796" w:rsidRDefault="006C0BCF" w:rsidP="006C0BCF">
            <w:pPr>
              <w:pStyle w:val="TableText"/>
              <w:jc w:val="right"/>
              <w:rPr>
                <w:lang w:eastAsia="en-AU"/>
              </w:rPr>
            </w:pPr>
            <w:r w:rsidRPr="005B0796">
              <w:t>14.0</w:t>
            </w:r>
          </w:p>
        </w:tc>
        <w:tc>
          <w:tcPr>
            <w:tcW w:w="778" w:type="dxa"/>
          </w:tcPr>
          <w:p w:rsidR="006C0BCF" w:rsidRPr="005B0796" w:rsidRDefault="006C0BCF" w:rsidP="006C0BCF">
            <w:pPr>
              <w:pStyle w:val="TableText"/>
              <w:jc w:val="right"/>
              <w:rPr>
                <w:lang w:eastAsia="en-AU"/>
              </w:rPr>
            </w:pPr>
            <w:r w:rsidRPr="005B0796">
              <w:t>11.2, 17.4</w:t>
            </w:r>
          </w:p>
        </w:tc>
      </w:tr>
      <w:tr w:rsidR="006C0BCF" w:rsidRPr="005B0796" w:rsidTr="00C77924">
        <w:trPr>
          <w:cnfStyle w:val="000000100000" w:firstRow="0" w:lastRow="0" w:firstColumn="0" w:lastColumn="0" w:oddVBand="0" w:evenVBand="0" w:oddHBand="1" w:evenHBand="0" w:firstRowFirstColumn="0" w:firstRowLastColumn="0" w:lastRowFirstColumn="0" w:lastRowLastColumn="0"/>
          <w:trHeight w:val="288"/>
        </w:trPr>
        <w:tc>
          <w:tcPr>
            <w:tcW w:w="1188" w:type="dxa"/>
            <w:hideMark/>
          </w:tcPr>
          <w:p w:rsidR="006C0BCF" w:rsidRPr="005B0796" w:rsidRDefault="006C0BCF" w:rsidP="006C0BCF">
            <w:pPr>
              <w:pStyle w:val="TableText"/>
              <w:rPr>
                <w:lang w:eastAsia="en-AU"/>
              </w:rPr>
            </w:pPr>
            <w:r w:rsidRPr="005B0796">
              <w:t>Made a suicide plan</w:t>
            </w:r>
          </w:p>
        </w:tc>
        <w:tc>
          <w:tcPr>
            <w:tcW w:w="810" w:type="dxa"/>
            <w:noWrap/>
            <w:hideMark/>
          </w:tcPr>
          <w:p w:rsidR="006C0BCF" w:rsidRPr="005B0796" w:rsidRDefault="006C0BCF" w:rsidP="006C0BCF">
            <w:pPr>
              <w:pStyle w:val="TableText"/>
              <w:jc w:val="right"/>
              <w:rPr>
                <w:lang w:eastAsia="en-AU"/>
              </w:rPr>
            </w:pPr>
            <w:r w:rsidRPr="005B0796">
              <w:t>436</w:t>
            </w:r>
          </w:p>
        </w:tc>
        <w:tc>
          <w:tcPr>
            <w:tcW w:w="450" w:type="dxa"/>
            <w:hideMark/>
          </w:tcPr>
          <w:p w:rsidR="006C0BCF" w:rsidRPr="005B0796" w:rsidRDefault="006C0BCF" w:rsidP="006C0BCF">
            <w:pPr>
              <w:pStyle w:val="TableText"/>
              <w:jc w:val="right"/>
              <w:rPr>
                <w:lang w:eastAsia="en-AU"/>
              </w:rPr>
            </w:pPr>
            <w:r w:rsidRPr="005B0796">
              <w:t>8.3</w:t>
            </w:r>
          </w:p>
        </w:tc>
        <w:tc>
          <w:tcPr>
            <w:tcW w:w="803" w:type="dxa"/>
            <w:hideMark/>
          </w:tcPr>
          <w:p w:rsidR="006C0BCF" w:rsidRPr="005B0796" w:rsidRDefault="006C0BCF" w:rsidP="006C0BCF">
            <w:pPr>
              <w:pStyle w:val="TableText"/>
              <w:jc w:val="right"/>
              <w:rPr>
                <w:lang w:eastAsia="en-AU"/>
              </w:rPr>
            </w:pPr>
            <w:r w:rsidRPr="005B0796">
              <w:t>6.0, 11.4</w:t>
            </w:r>
          </w:p>
        </w:tc>
        <w:tc>
          <w:tcPr>
            <w:tcW w:w="817" w:type="dxa"/>
            <w:noWrap/>
            <w:hideMark/>
          </w:tcPr>
          <w:p w:rsidR="006C0BCF" w:rsidRPr="005B0796" w:rsidRDefault="006C0BCF" w:rsidP="006C0BCF">
            <w:pPr>
              <w:pStyle w:val="TableText"/>
              <w:jc w:val="right"/>
              <w:rPr>
                <w:lang w:eastAsia="en-AU"/>
              </w:rPr>
            </w:pPr>
            <w:r w:rsidRPr="005B0796">
              <w:t>696</w:t>
            </w:r>
          </w:p>
        </w:tc>
        <w:tc>
          <w:tcPr>
            <w:tcW w:w="450" w:type="dxa"/>
            <w:hideMark/>
          </w:tcPr>
          <w:p w:rsidR="006C0BCF" w:rsidRPr="005B0796" w:rsidRDefault="006C0BCF" w:rsidP="006C0BCF">
            <w:pPr>
              <w:pStyle w:val="TableText"/>
              <w:jc w:val="right"/>
              <w:rPr>
                <w:lang w:eastAsia="en-AU"/>
              </w:rPr>
            </w:pPr>
            <w:r w:rsidRPr="005B0796">
              <w:t>7.9</w:t>
            </w:r>
          </w:p>
        </w:tc>
        <w:tc>
          <w:tcPr>
            <w:tcW w:w="797" w:type="dxa"/>
            <w:hideMark/>
          </w:tcPr>
          <w:p w:rsidR="006C0BCF" w:rsidRPr="005B0796" w:rsidRDefault="006C0BCF" w:rsidP="006C0BCF">
            <w:pPr>
              <w:pStyle w:val="TableText"/>
              <w:jc w:val="right"/>
              <w:rPr>
                <w:lang w:eastAsia="en-AU"/>
              </w:rPr>
            </w:pPr>
            <w:r w:rsidRPr="005B0796">
              <w:t>6.4, 9.8</w:t>
            </w:r>
          </w:p>
        </w:tc>
        <w:tc>
          <w:tcPr>
            <w:tcW w:w="823" w:type="dxa"/>
            <w:hideMark/>
          </w:tcPr>
          <w:p w:rsidR="006C0BCF" w:rsidRPr="005B0796" w:rsidRDefault="006C0BCF" w:rsidP="006C0BCF">
            <w:pPr>
              <w:pStyle w:val="TableText"/>
              <w:jc w:val="right"/>
              <w:rPr>
                <w:lang w:eastAsia="en-AU"/>
              </w:rPr>
            </w:pPr>
            <w:r w:rsidRPr="005B0796">
              <w:t>504</w:t>
            </w:r>
          </w:p>
        </w:tc>
        <w:tc>
          <w:tcPr>
            <w:tcW w:w="450" w:type="dxa"/>
            <w:hideMark/>
          </w:tcPr>
          <w:p w:rsidR="006C0BCF" w:rsidRPr="005B0796" w:rsidRDefault="006C0BCF" w:rsidP="006C0BCF">
            <w:pPr>
              <w:pStyle w:val="TableText"/>
              <w:jc w:val="right"/>
              <w:rPr>
                <w:lang w:eastAsia="en-AU"/>
              </w:rPr>
            </w:pPr>
            <w:r w:rsidRPr="005B0796">
              <w:t>9.5</w:t>
            </w:r>
          </w:p>
        </w:tc>
        <w:tc>
          <w:tcPr>
            <w:tcW w:w="790" w:type="dxa"/>
            <w:hideMark/>
          </w:tcPr>
          <w:p w:rsidR="006C0BCF" w:rsidRPr="005B0796" w:rsidRDefault="006C0BCF" w:rsidP="006C0BCF">
            <w:pPr>
              <w:pStyle w:val="TableText"/>
              <w:jc w:val="right"/>
              <w:rPr>
                <w:lang w:eastAsia="en-AU"/>
              </w:rPr>
            </w:pPr>
            <w:r w:rsidRPr="005B0796">
              <w:t>7.8, 11.7</w:t>
            </w:r>
          </w:p>
        </w:tc>
        <w:tc>
          <w:tcPr>
            <w:tcW w:w="830" w:type="dxa"/>
          </w:tcPr>
          <w:p w:rsidR="006C0BCF" w:rsidRPr="005B0796" w:rsidRDefault="006C0BCF" w:rsidP="006C0BCF">
            <w:pPr>
              <w:pStyle w:val="TableText"/>
              <w:jc w:val="right"/>
              <w:rPr>
                <w:lang w:eastAsia="en-AU"/>
              </w:rPr>
            </w:pPr>
            <w:r w:rsidRPr="005B0796">
              <w:t>231</w:t>
            </w:r>
          </w:p>
        </w:tc>
        <w:tc>
          <w:tcPr>
            <w:tcW w:w="450" w:type="dxa"/>
          </w:tcPr>
          <w:p w:rsidR="006C0BCF" w:rsidRPr="005B0796" w:rsidRDefault="006C0BCF" w:rsidP="006C0BCF">
            <w:pPr>
              <w:pStyle w:val="TableText"/>
              <w:jc w:val="right"/>
              <w:rPr>
                <w:lang w:eastAsia="en-AU"/>
              </w:rPr>
            </w:pPr>
            <w:r w:rsidRPr="005B0796">
              <w:t>6.9</w:t>
            </w:r>
          </w:p>
        </w:tc>
        <w:tc>
          <w:tcPr>
            <w:tcW w:w="784" w:type="dxa"/>
          </w:tcPr>
          <w:p w:rsidR="006C0BCF" w:rsidRPr="005B0796" w:rsidRDefault="006C0BCF" w:rsidP="006C0BCF">
            <w:pPr>
              <w:pStyle w:val="TableText"/>
              <w:jc w:val="right"/>
              <w:rPr>
                <w:lang w:eastAsia="en-AU"/>
              </w:rPr>
            </w:pPr>
            <w:r w:rsidRPr="005B0796">
              <w:t>5.5, 8.5</w:t>
            </w:r>
          </w:p>
        </w:tc>
        <w:tc>
          <w:tcPr>
            <w:tcW w:w="746" w:type="dxa"/>
          </w:tcPr>
          <w:p w:rsidR="006C0BCF" w:rsidRPr="005B0796" w:rsidRDefault="006C0BCF" w:rsidP="006C0BCF">
            <w:pPr>
              <w:pStyle w:val="TableText"/>
              <w:jc w:val="right"/>
              <w:rPr>
                <w:lang w:eastAsia="en-AU"/>
              </w:rPr>
            </w:pPr>
            <w:r w:rsidRPr="005B0796">
              <w:t>73</w:t>
            </w:r>
          </w:p>
        </w:tc>
        <w:tc>
          <w:tcPr>
            <w:tcW w:w="540" w:type="dxa"/>
          </w:tcPr>
          <w:p w:rsidR="006C0BCF" w:rsidRPr="005B0796" w:rsidRDefault="006C0BCF" w:rsidP="006C0BCF">
            <w:pPr>
              <w:pStyle w:val="TableText"/>
              <w:jc w:val="right"/>
              <w:rPr>
                <w:lang w:eastAsia="en-AU"/>
              </w:rPr>
            </w:pPr>
            <w:r w:rsidRPr="005B0796">
              <w:t>3.8</w:t>
            </w:r>
          </w:p>
        </w:tc>
        <w:tc>
          <w:tcPr>
            <w:tcW w:w="778" w:type="dxa"/>
          </w:tcPr>
          <w:p w:rsidR="006C0BCF" w:rsidRPr="005B0796" w:rsidRDefault="006C0BCF" w:rsidP="006C0BCF">
            <w:pPr>
              <w:pStyle w:val="TableText"/>
              <w:jc w:val="right"/>
              <w:rPr>
                <w:lang w:eastAsia="en-AU"/>
              </w:rPr>
            </w:pPr>
            <w:r w:rsidRPr="005B0796">
              <w:t>2.6, 5.4</w:t>
            </w:r>
          </w:p>
        </w:tc>
      </w:tr>
      <w:tr w:rsidR="006C0BCF" w:rsidRPr="005B0796" w:rsidTr="00C77924">
        <w:trPr>
          <w:trHeight w:val="295"/>
        </w:trPr>
        <w:tc>
          <w:tcPr>
            <w:tcW w:w="1188" w:type="dxa"/>
            <w:noWrap/>
            <w:hideMark/>
          </w:tcPr>
          <w:p w:rsidR="006C0BCF" w:rsidRPr="005B0796" w:rsidRDefault="006C0BCF" w:rsidP="006C0BCF">
            <w:pPr>
              <w:pStyle w:val="TableText"/>
              <w:rPr>
                <w:lang w:eastAsia="en-AU"/>
              </w:rPr>
            </w:pPr>
            <w:r w:rsidRPr="005B0796">
              <w:t>Attempted suicide</w:t>
            </w:r>
          </w:p>
        </w:tc>
        <w:tc>
          <w:tcPr>
            <w:tcW w:w="810" w:type="dxa"/>
            <w:noWrap/>
            <w:hideMark/>
          </w:tcPr>
          <w:p w:rsidR="006C0BCF" w:rsidRPr="005B0796" w:rsidRDefault="006C0BCF" w:rsidP="006C0BCF">
            <w:pPr>
              <w:pStyle w:val="TableText"/>
              <w:jc w:val="right"/>
              <w:rPr>
                <w:lang w:eastAsia="en-AU"/>
              </w:rPr>
            </w:pPr>
            <w:r w:rsidRPr="005B0796">
              <w:t>177</w:t>
            </w:r>
          </w:p>
        </w:tc>
        <w:tc>
          <w:tcPr>
            <w:tcW w:w="450" w:type="dxa"/>
            <w:hideMark/>
          </w:tcPr>
          <w:p w:rsidR="006C0BCF" w:rsidRPr="005B0796" w:rsidRDefault="006C0BCF" w:rsidP="006C0BCF">
            <w:pPr>
              <w:pStyle w:val="TableText"/>
              <w:jc w:val="right"/>
              <w:rPr>
                <w:lang w:eastAsia="en-AU"/>
              </w:rPr>
            </w:pPr>
            <w:r w:rsidRPr="005B0796">
              <w:t>3.4</w:t>
            </w:r>
          </w:p>
        </w:tc>
        <w:tc>
          <w:tcPr>
            <w:tcW w:w="803" w:type="dxa"/>
            <w:hideMark/>
          </w:tcPr>
          <w:p w:rsidR="006C0BCF" w:rsidRPr="005B0796" w:rsidRDefault="006C0BCF" w:rsidP="006C0BCF">
            <w:pPr>
              <w:pStyle w:val="TableText"/>
              <w:jc w:val="right"/>
              <w:rPr>
                <w:lang w:eastAsia="en-AU"/>
              </w:rPr>
            </w:pPr>
            <w:r w:rsidRPr="005B0796">
              <w:t>2.0, 5.6</w:t>
            </w:r>
          </w:p>
        </w:tc>
        <w:tc>
          <w:tcPr>
            <w:tcW w:w="817" w:type="dxa"/>
            <w:noWrap/>
            <w:hideMark/>
          </w:tcPr>
          <w:p w:rsidR="006C0BCF" w:rsidRPr="005B0796" w:rsidRDefault="006C0BCF" w:rsidP="006C0BCF">
            <w:pPr>
              <w:pStyle w:val="TableText"/>
              <w:jc w:val="right"/>
              <w:rPr>
                <w:lang w:eastAsia="en-AU"/>
              </w:rPr>
            </w:pPr>
            <w:r w:rsidRPr="005B0796">
              <w:t>163</w:t>
            </w:r>
          </w:p>
        </w:tc>
        <w:tc>
          <w:tcPr>
            <w:tcW w:w="450" w:type="dxa"/>
            <w:hideMark/>
          </w:tcPr>
          <w:p w:rsidR="006C0BCF" w:rsidRPr="005B0796" w:rsidRDefault="006C0BCF" w:rsidP="006C0BCF">
            <w:pPr>
              <w:pStyle w:val="TableText"/>
              <w:jc w:val="right"/>
              <w:rPr>
                <w:lang w:eastAsia="en-AU"/>
              </w:rPr>
            </w:pPr>
            <w:r w:rsidRPr="005B0796">
              <w:t>1.9</w:t>
            </w:r>
          </w:p>
        </w:tc>
        <w:tc>
          <w:tcPr>
            <w:tcW w:w="797" w:type="dxa"/>
            <w:hideMark/>
          </w:tcPr>
          <w:p w:rsidR="006C0BCF" w:rsidRPr="005B0796" w:rsidRDefault="006C0BCF" w:rsidP="006C0BCF">
            <w:pPr>
              <w:pStyle w:val="TableText"/>
              <w:jc w:val="right"/>
              <w:rPr>
                <w:lang w:eastAsia="en-AU"/>
              </w:rPr>
            </w:pPr>
            <w:r w:rsidRPr="005B0796">
              <w:t>1.2, 2.8</w:t>
            </w:r>
          </w:p>
        </w:tc>
        <w:tc>
          <w:tcPr>
            <w:tcW w:w="823" w:type="dxa"/>
            <w:hideMark/>
          </w:tcPr>
          <w:p w:rsidR="006C0BCF" w:rsidRPr="005B0796" w:rsidRDefault="006C0BCF" w:rsidP="006C0BCF">
            <w:pPr>
              <w:pStyle w:val="TableText"/>
              <w:jc w:val="right"/>
              <w:rPr>
                <w:lang w:eastAsia="en-AU"/>
              </w:rPr>
            </w:pPr>
            <w:r w:rsidRPr="005B0796">
              <w:t>103</w:t>
            </w:r>
          </w:p>
        </w:tc>
        <w:tc>
          <w:tcPr>
            <w:tcW w:w="450" w:type="dxa"/>
            <w:hideMark/>
          </w:tcPr>
          <w:p w:rsidR="006C0BCF" w:rsidRPr="005B0796" w:rsidRDefault="006C0BCF" w:rsidP="006C0BCF">
            <w:pPr>
              <w:pStyle w:val="TableText"/>
              <w:jc w:val="right"/>
              <w:rPr>
                <w:lang w:eastAsia="en-AU"/>
              </w:rPr>
            </w:pPr>
            <w:r w:rsidRPr="005B0796">
              <w:t>1.9</w:t>
            </w:r>
          </w:p>
        </w:tc>
        <w:tc>
          <w:tcPr>
            <w:tcW w:w="790" w:type="dxa"/>
            <w:hideMark/>
          </w:tcPr>
          <w:p w:rsidR="006C0BCF" w:rsidRPr="005B0796" w:rsidRDefault="006C0BCF" w:rsidP="006C0BCF">
            <w:pPr>
              <w:pStyle w:val="TableText"/>
              <w:jc w:val="right"/>
              <w:rPr>
                <w:lang w:eastAsia="en-AU"/>
              </w:rPr>
            </w:pPr>
            <w:r w:rsidRPr="005B0796">
              <w:t>1.2, 3.2</w:t>
            </w:r>
          </w:p>
        </w:tc>
        <w:tc>
          <w:tcPr>
            <w:tcW w:w="830" w:type="dxa"/>
          </w:tcPr>
          <w:p w:rsidR="006C0BCF" w:rsidRPr="005B0796" w:rsidRDefault="006C0BCF" w:rsidP="006C0BCF">
            <w:pPr>
              <w:pStyle w:val="TableText"/>
              <w:jc w:val="right"/>
              <w:rPr>
                <w:lang w:eastAsia="en-AU"/>
              </w:rPr>
            </w:pPr>
            <w:r w:rsidRPr="005B0796">
              <w:t>44</w:t>
            </w:r>
          </w:p>
        </w:tc>
        <w:tc>
          <w:tcPr>
            <w:tcW w:w="450" w:type="dxa"/>
          </w:tcPr>
          <w:p w:rsidR="006C0BCF" w:rsidRPr="005B0796" w:rsidRDefault="006C0BCF" w:rsidP="006C0BCF">
            <w:pPr>
              <w:pStyle w:val="TableText"/>
              <w:jc w:val="right"/>
              <w:rPr>
                <w:lang w:eastAsia="en-AU"/>
              </w:rPr>
            </w:pPr>
            <w:r w:rsidRPr="005B0796">
              <w:t>1.3</w:t>
            </w:r>
          </w:p>
        </w:tc>
        <w:tc>
          <w:tcPr>
            <w:tcW w:w="784" w:type="dxa"/>
          </w:tcPr>
          <w:p w:rsidR="006C0BCF" w:rsidRPr="005B0796" w:rsidRDefault="006C0BCF" w:rsidP="006C0BCF">
            <w:pPr>
              <w:pStyle w:val="TableText"/>
              <w:jc w:val="right"/>
              <w:rPr>
                <w:lang w:eastAsia="en-AU"/>
              </w:rPr>
            </w:pPr>
            <w:r w:rsidRPr="005B0796">
              <w:t>0.7, 2.4</w:t>
            </w:r>
          </w:p>
        </w:tc>
        <w:tc>
          <w:tcPr>
            <w:tcW w:w="746" w:type="dxa"/>
          </w:tcPr>
          <w:p w:rsidR="006C0BCF" w:rsidRPr="005B0796" w:rsidRDefault="006C0BCF" w:rsidP="006C0BCF">
            <w:pPr>
              <w:pStyle w:val="TableText"/>
              <w:jc w:val="right"/>
              <w:rPr>
                <w:lang w:eastAsia="en-AU"/>
              </w:rPr>
            </w:pPr>
            <w:r w:rsidRPr="005B0796">
              <w:t>3</w:t>
            </w:r>
          </w:p>
        </w:tc>
        <w:tc>
          <w:tcPr>
            <w:tcW w:w="540" w:type="dxa"/>
          </w:tcPr>
          <w:p w:rsidR="006C0BCF" w:rsidRPr="005B0796" w:rsidRDefault="006C0BCF" w:rsidP="006C0BCF">
            <w:pPr>
              <w:pStyle w:val="TableText"/>
              <w:jc w:val="right"/>
              <w:rPr>
                <w:lang w:eastAsia="en-AU"/>
              </w:rPr>
            </w:pPr>
            <w:r w:rsidRPr="005B0796">
              <w:t>0.2</w:t>
            </w:r>
          </w:p>
        </w:tc>
        <w:tc>
          <w:tcPr>
            <w:tcW w:w="778" w:type="dxa"/>
          </w:tcPr>
          <w:p w:rsidR="006C0BCF" w:rsidRPr="005B0796" w:rsidRDefault="006C0BCF" w:rsidP="006C0BCF">
            <w:pPr>
              <w:pStyle w:val="TableText"/>
              <w:jc w:val="right"/>
              <w:rPr>
                <w:lang w:eastAsia="en-AU"/>
              </w:rPr>
            </w:pPr>
            <w:r w:rsidRPr="005B0796">
              <w:t>0.0, 0.9</w:t>
            </w:r>
          </w:p>
        </w:tc>
      </w:tr>
      <w:tr w:rsidR="006C0BCF" w:rsidRPr="005B0796" w:rsidTr="00C77924">
        <w:trPr>
          <w:cnfStyle w:val="000000100000" w:firstRow="0" w:lastRow="0" w:firstColumn="0" w:lastColumn="0" w:oddVBand="0" w:evenVBand="0" w:oddHBand="1" w:evenHBand="0" w:firstRowFirstColumn="0" w:firstRowLastColumn="0" w:lastRowFirstColumn="0" w:lastRowLastColumn="0"/>
          <w:trHeight w:val="401"/>
        </w:trPr>
        <w:tc>
          <w:tcPr>
            <w:tcW w:w="1188" w:type="dxa"/>
            <w:noWrap/>
            <w:hideMark/>
          </w:tcPr>
          <w:p w:rsidR="006C0BCF" w:rsidRPr="005B0796" w:rsidRDefault="006C0BCF" w:rsidP="006C0BCF">
            <w:pPr>
              <w:pStyle w:val="TableText"/>
              <w:rPr>
                <w:lang w:eastAsia="en-AU"/>
              </w:rPr>
            </w:pPr>
            <w:r w:rsidRPr="005B0796">
              <w:t>Any suicidality*</w:t>
            </w:r>
          </w:p>
        </w:tc>
        <w:tc>
          <w:tcPr>
            <w:tcW w:w="810" w:type="dxa"/>
            <w:noWrap/>
            <w:hideMark/>
          </w:tcPr>
          <w:p w:rsidR="006C0BCF" w:rsidRPr="005B0796" w:rsidRDefault="006C0BCF" w:rsidP="006C0BCF">
            <w:pPr>
              <w:pStyle w:val="TableText"/>
              <w:jc w:val="right"/>
              <w:rPr>
                <w:lang w:eastAsia="en-AU"/>
              </w:rPr>
            </w:pPr>
            <w:r w:rsidRPr="005B0796">
              <w:t>1238</w:t>
            </w:r>
          </w:p>
        </w:tc>
        <w:tc>
          <w:tcPr>
            <w:tcW w:w="450" w:type="dxa"/>
            <w:hideMark/>
          </w:tcPr>
          <w:p w:rsidR="006C0BCF" w:rsidRPr="005B0796" w:rsidRDefault="006C0BCF" w:rsidP="006C0BCF">
            <w:pPr>
              <w:pStyle w:val="TableText"/>
              <w:jc w:val="right"/>
              <w:rPr>
                <w:lang w:eastAsia="en-AU"/>
              </w:rPr>
            </w:pPr>
            <w:r w:rsidRPr="005B0796">
              <w:t>23.6</w:t>
            </w:r>
          </w:p>
        </w:tc>
        <w:tc>
          <w:tcPr>
            <w:tcW w:w="803" w:type="dxa"/>
            <w:hideMark/>
          </w:tcPr>
          <w:p w:rsidR="006C0BCF" w:rsidRPr="005B0796" w:rsidRDefault="006C0BCF" w:rsidP="006C0BCF">
            <w:pPr>
              <w:pStyle w:val="TableText"/>
              <w:jc w:val="right"/>
              <w:rPr>
                <w:lang w:eastAsia="en-AU"/>
              </w:rPr>
            </w:pPr>
            <w:r w:rsidRPr="005B0796">
              <w:t>19.6, 27.9</w:t>
            </w:r>
          </w:p>
        </w:tc>
        <w:tc>
          <w:tcPr>
            <w:tcW w:w="817" w:type="dxa"/>
            <w:noWrap/>
            <w:hideMark/>
          </w:tcPr>
          <w:p w:rsidR="006C0BCF" w:rsidRPr="005B0796" w:rsidRDefault="006C0BCF" w:rsidP="006C0BCF">
            <w:pPr>
              <w:pStyle w:val="TableText"/>
              <w:jc w:val="right"/>
              <w:rPr>
                <w:lang w:eastAsia="en-AU"/>
              </w:rPr>
            </w:pPr>
            <w:r w:rsidRPr="005B0796">
              <w:t>1838</w:t>
            </w:r>
          </w:p>
        </w:tc>
        <w:tc>
          <w:tcPr>
            <w:tcW w:w="450" w:type="dxa"/>
            <w:hideMark/>
          </w:tcPr>
          <w:p w:rsidR="006C0BCF" w:rsidRPr="005B0796" w:rsidRDefault="006C0BCF" w:rsidP="006C0BCF">
            <w:pPr>
              <w:pStyle w:val="TableText"/>
              <w:jc w:val="right"/>
              <w:rPr>
                <w:lang w:eastAsia="en-AU"/>
              </w:rPr>
            </w:pPr>
            <w:r w:rsidRPr="005B0796">
              <w:t>21.1</w:t>
            </w:r>
          </w:p>
        </w:tc>
        <w:tc>
          <w:tcPr>
            <w:tcW w:w="797" w:type="dxa"/>
            <w:hideMark/>
          </w:tcPr>
          <w:p w:rsidR="006C0BCF" w:rsidRPr="005B0796" w:rsidRDefault="006C0BCF" w:rsidP="006C0BCF">
            <w:pPr>
              <w:pStyle w:val="TableText"/>
              <w:jc w:val="right"/>
              <w:rPr>
                <w:lang w:eastAsia="en-AU"/>
              </w:rPr>
            </w:pPr>
            <w:r w:rsidRPr="005B0796">
              <w:t>18.5, 24.0</w:t>
            </w:r>
          </w:p>
        </w:tc>
        <w:tc>
          <w:tcPr>
            <w:tcW w:w="823" w:type="dxa"/>
            <w:hideMark/>
          </w:tcPr>
          <w:p w:rsidR="006C0BCF" w:rsidRPr="005B0796" w:rsidRDefault="006C0BCF" w:rsidP="006C0BCF">
            <w:pPr>
              <w:pStyle w:val="TableText"/>
              <w:jc w:val="right"/>
              <w:rPr>
                <w:lang w:eastAsia="en-AU"/>
              </w:rPr>
            </w:pPr>
            <w:r w:rsidRPr="005B0796">
              <w:t>1259</w:t>
            </w:r>
          </w:p>
        </w:tc>
        <w:tc>
          <w:tcPr>
            <w:tcW w:w="450" w:type="dxa"/>
            <w:hideMark/>
          </w:tcPr>
          <w:p w:rsidR="006C0BCF" w:rsidRPr="005B0796" w:rsidRDefault="006C0BCF" w:rsidP="006C0BCF">
            <w:pPr>
              <w:pStyle w:val="TableText"/>
              <w:jc w:val="right"/>
              <w:rPr>
                <w:lang w:eastAsia="en-AU"/>
              </w:rPr>
            </w:pPr>
            <w:r w:rsidRPr="005B0796">
              <w:t>23.8</w:t>
            </w:r>
          </w:p>
        </w:tc>
        <w:tc>
          <w:tcPr>
            <w:tcW w:w="790" w:type="dxa"/>
            <w:hideMark/>
          </w:tcPr>
          <w:p w:rsidR="006C0BCF" w:rsidRPr="005B0796" w:rsidRDefault="006C0BCF" w:rsidP="006C0BCF">
            <w:pPr>
              <w:pStyle w:val="TableText"/>
              <w:jc w:val="right"/>
              <w:rPr>
                <w:lang w:eastAsia="en-AU"/>
              </w:rPr>
            </w:pPr>
            <w:r w:rsidRPr="005B0796">
              <w:t>21.0, 26.9</w:t>
            </w:r>
          </w:p>
        </w:tc>
        <w:tc>
          <w:tcPr>
            <w:tcW w:w="830" w:type="dxa"/>
          </w:tcPr>
          <w:p w:rsidR="006C0BCF" w:rsidRPr="005B0796" w:rsidRDefault="006C0BCF" w:rsidP="006C0BCF">
            <w:pPr>
              <w:pStyle w:val="TableText"/>
              <w:jc w:val="right"/>
              <w:rPr>
                <w:lang w:eastAsia="en-AU"/>
              </w:rPr>
            </w:pPr>
            <w:r w:rsidRPr="005B0796">
              <w:t>643</w:t>
            </w:r>
          </w:p>
        </w:tc>
        <w:tc>
          <w:tcPr>
            <w:tcW w:w="450" w:type="dxa"/>
          </w:tcPr>
          <w:p w:rsidR="006C0BCF" w:rsidRPr="005B0796" w:rsidRDefault="006C0BCF" w:rsidP="006C0BCF">
            <w:pPr>
              <w:pStyle w:val="TableText"/>
              <w:jc w:val="right"/>
              <w:rPr>
                <w:lang w:eastAsia="en-AU"/>
              </w:rPr>
            </w:pPr>
            <w:r w:rsidRPr="005B0796">
              <w:t>19.1</w:t>
            </w:r>
          </w:p>
        </w:tc>
        <w:tc>
          <w:tcPr>
            <w:tcW w:w="784" w:type="dxa"/>
          </w:tcPr>
          <w:p w:rsidR="006C0BCF" w:rsidRPr="005B0796" w:rsidRDefault="006C0BCF" w:rsidP="006C0BCF">
            <w:pPr>
              <w:pStyle w:val="TableText"/>
              <w:jc w:val="right"/>
              <w:rPr>
                <w:lang w:eastAsia="en-AU"/>
              </w:rPr>
            </w:pPr>
            <w:r w:rsidRPr="005B0796">
              <w:t>16.5, 21.9</w:t>
            </w:r>
          </w:p>
        </w:tc>
        <w:tc>
          <w:tcPr>
            <w:tcW w:w="746" w:type="dxa"/>
          </w:tcPr>
          <w:p w:rsidR="006C0BCF" w:rsidRPr="005B0796" w:rsidRDefault="006C0BCF" w:rsidP="006C0BCF">
            <w:pPr>
              <w:pStyle w:val="TableText"/>
              <w:jc w:val="right"/>
              <w:rPr>
                <w:lang w:eastAsia="en-AU"/>
              </w:rPr>
            </w:pPr>
            <w:r w:rsidRPr="005B0796">
              <w:t>278</w:t>
            </w:r>
          </w:p>
        </w:tc>
        <w:tc>
          <w:tcPr>
            <w:tcW w:w="540" w:type="dxa"/>
          </w:tcPr>
          <w:p w:rsidR="006C0BCF" w:rsidRPr="005B0796" w:rsidRDefault="006C0BCF" w:rsidP="006C0BCF">
            <w:pPr>
              <w:pStyle w:val="TableText"/>
              <w:jc w:val="right"/>
              <w:rPr>
                <w:lang w:eastAsia="en-AU"/>
              </w:rPr>
            </w:pPr>
            <w:r w:rsidRPr="005B0796">
              <w:t>14.4</w:t>
            </w:r>
          </w:p>
        </w:tc>
        <w:tc>
          <w:tcPr>
            <w:tcW w:w="778" w:type="dxa"/>
          </w:tcPr>
          <w:p w:rsidR="006C0BCF" w:rsidRPr="005B0796" w:rsidRDefault="006C0BCF" w:rsidP="006C0BCF">
            <w:pPr>
              <w:pStyle w:val="TableText"/>
              <w:jc w:val="right"/>
              <w:rPr>
                <w:lang w:eastAsia="en-AU"/>
              </w:rPr>
            </w:pPr>
            <w:r w:rsidRPr="005B0796">
              <w:t>11.5, 17.7</w:t>
            </w:r>
          </w:p>
        </w:tc>
      </w:tr>
    </w:tbl>
    <w:p w:rsidR="00171F0C" w:rsidRPr="005B0796" w:rsidRDefault="00171F0C" w:rsidP="00171F0C">
      <w:pPr>
        <w:pStyle w:val="TableNotes"/>
      </w:pPr>
      <w:r w:rsidRPr="005B0796">
        <w:t xml:space="preserve">* Calculated as yes to </w:t>
      </w:r>
      <w:r w:rsidR="002B2CFD">
        <w:t>‘</w:t>
      </w:r>
      <w:r w:rsidR="00F773A8" w:rsidRPr="005B0796">
        <w:t xml:space="preserve">felt </w:t>
      </w:r>
      <w:r w:rsidRPr="005B0796">
        <w:t>so low thought about committing suicide</w:t>
      </w:r>
      <w:r w:rsidR="002B2CFD">
        <w:t>’</w:t>
      </w:r>
      <w:r w:rsidRPr="005B0796">
        <w:t xml:space="preserve">, </w:t>
      </w:r>
      <w:r w:rsidR="002B2CFD">
        <w:t>‘</w:t>
      </w:r>
      <w:r w:rsidR="00F773A8" w:rsidRPr="005B0796">
        <w:t xml:space="preserve">made </w:t>
      </w:r>
      <w:r w:rsidRPr="005B0796">
        <w:t>a suicide plan</w:t>
      </w:r>
      <w:r w:rsidR="002B2CFD">
        <w:t>’</w:t>
      </w:r>
      <w:r w:rsidRPr="005B0796">
        <w:t xml:space="preserve">, or </w:t>
      </w:r>
      <w:r w:rsidR="002B2CFD">
        <w:t>‘</w:t>
      </w:r>
      <w:r w:rsidR="00F773A8" w:rsidRPr="005B0796">
        <w:t xml:space="preserve">attempted </w:t>
      </w:r>
      <w:r w:rsidRPr="005B0796">
        <w:t>suicide</w:t>
      </w:r>
      <w:r w:rsidR="002B2CFD">
        <w:t>’</w:t>
      </w:r>
    </w:p>
    <w:p w:rsidR="00171F0C" w:rsidRPr="005B0796" w:rsidRDefault="00171F0C" w:rsidP="00171F0C">
      <w:pPr>
        <w:pStyle w:val="TableNotes"/>
        <w:rPr>
          <w:rFonts w:cs="Calibri"/>
          <w:bCs/>
        </w:rPr>
      </w:pPr>
      <w:r w:rsidRPr="005B0796">
        <w:rPr>
          <w:rFonts w:cs="Calibri"/>
          <w:bCs/>
        </w:rPr>
        <w:t>Note</w:t>
      </w:r>
      <w:r w:rsidR="008C2520" w:rsidRPr="005B0796">
        <w:rPr>
          <w:rFonts w:cs="Calibri"/>
          <w:bCs/>
        </w:rPr>
        <w:t>s</w:t>
      </w:r>
      <w:r w:rsidRPr="005B0796">
        <w:rPr>
          <w:rFonts w:cs="Calibri"/>
          <w:bCs/>
        </w:rPr>
        <w:t>:</w:t>
      </w:r>
      <w:r w:rsidR="008C2520" w:rsidRPr="005B0796">
        <w:rPr>
          <w:rFonts w:cs="Calibri"/>
          <w:bCs/>
        </w:rPr>
        <w:br/>
      </w:r>
      <w:r w:rsidRPr="005B0796">
        <w:rPr>
          <w:rFonts w:cs="Calibri"/>
          <w:bCs/>
        </w:rPr>
        <w:t xml:space="preserve">95%CI: 95% </w:t>
      </w:r>
      <w:r w:rsidR="00564689" w:rsidRPr="005B0796">
        <w:rPr>
          <w:rFonts w:cs="Calibri"/>
          <w:bCs/>
        </w:rPr>
        <w:t>confidence interval</w:t>
      </w:r>
    </w:p>
    <w:p w:rsidR="00171F0C" w:rsidRPr="005B0796" w:rsidRDefault="00171F0C" w:rsidP="006C0BCF">
      <w:pPr>
        <w:pStyle w:val="TableNotes"/>
      </w:pPr>
      <w:r w:rsidRPr="005B0796">
        <w:t xml:space="preserve">This terminology reflects the standardised survey item used in this study </w:t>
      </w:r>
      <w:r w:rsidR="002B2CFD">
        <w:t xml:space="preserve">– </w:t>
      </w:r>
      <w:r w:rsidRPr="005B0796">
        <w:t>however</w:t>
      </w:r>
      <w:r w:rsidR="002B2CFD">
        <w:t>,</w:t>
      </w:r>
      <w:r w:rsidRPr="005B0796">
        <w:t xml:space="preserve"> it should be noted that this is no longer considered an appropriate description, and the term </w:t>
      </w:r>
      <w:r w:rsidR="00462A0C" w:rsidRPr="005B0796">
        <w:t>‘</w:t>
      </w:r>
      <w:r w:rsidR="002B2CFD">
        <w:t xml:space="preserve">thought about </w:t>
      </w:r>
      <w:r w:rsidRPr="005B0796">
        <w:t>committing suicide</w:t>
      </w:r>
      <w:r w:rsidR="00462A0C" w:rsidRPr="005B0796">
        <w:t>’</w:t>
      </w:r>
      <w:r w:rsidRPr="005B0796">
        <w:t xml:space="preserve"> should be replaced with </w:t>
      </w:r>
      <w:r w:rsidR="00462A0C" w:rsidRPr="005B0796">
        <w:t>‘</w:t>
      </w:r>
      <w:r w:rsidRPr="005B0796">
        <w:t>thought about taking their own life</w:t>
      </w:r>
      <w:r w:rsidR="00462A0C" w:rsidRPr="005B0796">
        <w:t>’</w:t>
      </w:r>
    </w:p>
    <w:p w:rsidR="006C0BCF" w:rsidRPr="005B0796" w:rsidRDefault="006C0BCF" w:rsidP="006C0BCF">
      <w:pPr>
        <w:sectPr w:rsidR="006C0BCF" w:rsidRPr="005B0796" w:rsidSect="006C0BCF">
          <w:footerReference w:type="even" r:id="rId140"/>
          <w:footerReference w:type="default" r:id="rId141"/>
          <w:pgSz w:w="14170" w:h="9979" w:orient="landscape" w:code="243"/>
          <w:pgMar w:top="1872" w:right="1440" w:bottom="1152" w:left="1440" w:header="576" w:footer="576" w:gutter="0"/>
          <w:cols w:space="708"/>
          <w:docGrid w:linePitch="360"/>
        </w:sectPr>
      </w:pPr>
      <w:bookmarkStart w:id="783" w:name="_Ref484520469"/>
      <w:bookmarkStart w:id="784" w:name="_Toc482023845"/>
      <w:bookmarkStart w:id="785" w:name="_Toc487014383"/>
    </w:p>
    <w:p w:rsidR="00171F0C" w:rsidRPr="005B0796" w:rsidRDefault="00171F0C" w:rsidP="00171F0C">
      <w:pPr>
        <w:pStyle w:val="FigureName"/>
      </w:pPr>
      <w:bookmarkStart w:id="786" w:name="_Ref494281456"/>
      <w:bookmarkStart w:id="787" w:name="_Toc51190055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35</w:t>
      </w:r>
      <w:r w:rsidR="00D30A3C">
        <w:rPr>
          <w:noProof/>
        </w:rPr>
        <w:fldChar w:fldCharType="end"/>
      </w:r>
      <w:bookmarkEnd w:id="783"/>
      <w:bookmarkEnd w:id="786"/>
      <w:r w:rsidRPr="005B0796">
        <w:tab/>
        <w:t>Estimated prevalence of suicidality in Transitioned ADF members</w:t>
      </w:r>
      <w:r w:rsidR="002B2CFD">
        <w:t>,</w:t>
      </w:r>
      <w:r w:rsidRPr="005B0796">
        <w:t xml:space="preserve"> by age</w:t>
      </w:r>
      <w:bookmarkEnd w:id="784"/>
      <w:bookmarkEnd w:id="785"/>
      <w:bookmarkEnd w:id="787"/>
    </w:p>
    <w:tbl>
      <w:tblPr>
        <w:tblW w:w="5000" w:type="pct"/>
        <w:tblLayout w:type="fixed"/>
        <w:tblCellMar>
          <w:left w:w="115" w:type="dxa"/>
          <w:right w:w="115" w:type="dxa"/>
        </w:tblCellMar>
        <w:tblLook w:val="04A0" w:firstRow="1" w:lastRow="0" w:firstColumn="1" w:lastColumn="0" w:noHBand="0" w:noVBand="1"/>
      </w:tblPr>
      <w:tblGrid>
        <w:gridCol w:w="7329"/>
      </w:tblGrid>
      <w:tr w:rsidR="008F7AA7" w:rsidRPr="005B0796" w:rsidTr="00163FB4">
        <w:trPr>
          <w:cantSplit/>
        </w:trPr>
        <w:tc>
          <w:tcPr>
            <w:tcW w:w="7315" w:type="dxa"/>
          </w:tcPr>
          <w:p w:rsidR="008F7AA7" w:rsidRPr="005B0796" w:rsidRDefault="008F7AA7" w:rsidP="00163FB4">
            <w:r w:rsidRPr="005B0796">
              <w:rPr>
                <w:noProof/>
                <w:sz w:val="16"/>
                <w:szCs w:val="16"/>
                <w:lang w:eastAsia="en-AU"/>
              </w:rPr>
              <w:drawing>
                <wp:inline distT="0" distB="0" distL="0" distR="0" wp14:anchorId="3C618220" wp14:editId="03C9D3A1">
                  <wp:extent cx="4572000" cy="2743200"/>
                  <wp:effectExtent l="0" t="0" r="0" b="0"/>
                  <wp:docPr id="89" name="Chart 89" descr="Figure 4.35 Estimated prevalence of suicidality in Transitioned ADF member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rsidR="008F7AA7" w:rsidRPr="005B0796" w:rsidRDefault="008F7AA7" w:rsidP="00353621">
      <w:pPr>
        <w:pStyle w:val="Heading3"/>
      </w:pPr>
      <w:bookmarkStart w:id="788" w:name="_Toc482021361"/>
      <w:bookmarkStart w:id="789" w:name="_Toc482024451"/>
      <w:bookmarkStart w:id="790" w:name="_Toc487011210"/>
      <w:bookmarkStart w:id="791" w:name="_Toc494449730"/>
      <w:bookmarkStart w:id="792" w:name="_Toc511900312"/>
      <w:r w:rsidRPr="005B0796">
        <w:t>Suicidality service factors</w:t>
      </w:r>
      <w:bookmarkEnd w:id="788"/>
      <w:bookmarkEnd w:id="789"/>
      <w:bookmarkEnd w:id="790"/>
      <w:bookmarkEnd w:id="791"/>
      <w:bookmarkEnd w:id="792"/>
    </w:p>
    <w:p w:rsidR="008F7AA7" w:rsidRPr="005B0796" w:rsidRDefault="008F7AA7" w:rsidP="00353621">
      <w:pPr>
        <w:pStyle w:val="Heading4"/>
      </w:pPr>
      <w:r w:rsidRPr="005B0796">
        <w:t>Service</w:t>
      </w:r>
    </w:p>
    <w:p w:rsidR="008F7AA7" w:rsidRPr="005B0796" w:rsidRDefault="009E72D3" w:rsidP="00353621">
      <w:r w:rsidRPr="005B0796">
        <w:t>Table 4.44</w:t>
      </w:r>
      <w:r w:rsidR="008F7AA7" w:rsidRPr="005B0796">
        <w:t xml:space="preserve"> and </w:t>
      </w:r>
      <w:r w:rsidRPr="005B0796">
        <w:t>Figure 4.36</w:t>
      </w:r>
      <w:r w:rsidR="008F7AA7" w:rsidRPr="005B0796">
        <w:t xml:space="preserve"> show there was little difference in suicidality between the Services, with a general pattern for the highest rates among Army, followed by Navy then Air Force. However, the only significant difference across the services was for 12</w:t>
      </w:r>
      <w:r w:rsidR="002B2CFD">
        <w:noBreakHyphen/>
      </w:r>
      <w:r w:rsidR="008F7AA7" w:rsidRPr="005B0796">
        <w:t xml:space="preserve">month suicide plans in the Army compared to the Navy (OR 1.6, 95% CI 1.1, 2.3), where </w:t>
      </w:r>
      <w:r w:rsidR="002B2CFD">
        <w:t xml:space="preserve">those in </w:t>
      </w:r>
      <w:r w:rsidR="008F7AA7" w:rsidRPr="005B0796">
        <w:t>the Army were significantly more likely to report making a suicide plan in the last 12</w:t>
      </w:r>
      <w:r w:rsidR="002B2CFD">
        <w:t> </w:t>
      </w:r>
      <w:r w:rsidR="008F7AA7" w:rsidRPr="005B0796">
        <w:t xml:space="preserve">months. </w:t>
      </w:r>
    </w:p>
    <w:p w:rsidR="00930A1E" w:rsidRPr="005B0796" w:rsidRDefault="00930A1E" w:rsidP="00D123CA"/>
    <w:p w:rsidR="00D8616A" w:rsidRPr="005B0796" w:rsidRDefault="00D8616A" w:rsidP="00D8616A">
      <w:pPr>
        <w:sectPr w:rsidR="00D8616A" w:rsidRPr="005B0796" w:rsidSect="00383C5C">
          <w:footerReference w:type="even" r:id="rId143"/>
          <w:footerReference w:type="default" r:id="rId144"/>
          <w:pgSz w:w="9979" w:h="14170" w:code="243"/>
          <w:pgMar w:top="1440" w:right="1152" w:bottom="1440" w:left="1728" w:header="576" w:footer="576" w:gutter="0"/>
          <w:cols w:space="708"/>
          <w:docGrid w:linePitch="360"/>
        </w:sectPr>
      </w:pPr>
    </w:p>
    <w:p w:rsidR="00D8616A" w:rsidRPr="005B0796" w:rsidRDefault="00171F0C" w:rsidP="00171F0C">
      <w:pPr>
        <w:pStyle w:val="TableName"/>
      </w:pPr>
      <w:bookmarkStart w:id="793" w:name="_Ref484520150"/>
      <w:bookmarkStart w:id="794" w:name="_Toc482023808"/>
      <w:bookmarkStart w:id="795" w:name="_Toc487014295"/>
      <w:bookmarkStart w:id="796" w:name="_Toc492995598"/>
      <w:bookmarkStart w:id="797" w:name="_Toc51190044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44</w:t>
      </w:r>
      <w:r w:rsidR="00D30A3C">
        <w:rPr>
          <w:noProof/>
        </w:rPr>
        <w:fldChar w:fldCharType="end"/>
      </w:r>
      <w:bookmarkEnd w:id="793"/>
      <w:r w:rsidRPr="005B0796">
        <w:tab/>
        <w:t>Estimated prevalence of suicidality</w:t>
      </w:r>
      <w:r w:rsidR="002B2CFD">
        <w:t>,</w:t>
      </w:r>
      <w:r w:rsidRPr="005B0796">
        <w:t xml:space="preserve"> by Service at transition from Regular ADF into Transitioned </w:t>
      </w:r>
      <w:bookmarkEnd w:id="794"/>
      <w:r w:rsidRPr="005B0796">
        <w:t>ADF (Navy, Army</w:t>
      </w:r>
      <w:r w:rsidR="002B2CFD">
        <w:t>,</w:t>
      </w:r>
      <w:r w:rsidRPr="005B0796">
        <w:t xml:space="preserve"> Air Force)</w:t>
      </w:r>
      <w:bookmarkEnd w:id="795"/>
      <w:bookmarkEnd w:id="796"/>
      <w:bookmarkEnd w:id="797"/>
    </w:p>
    <w:tbl>
      <w:tblPr>
        <w:tblStyle w:val="TWRPTable"/>
        <w:tblW w:w="5000" w:type="pct"/>
        <w:tblLayout w:type="fixed"/>
        <w:tblLook w:val="04A0" w:firstRow="1" w:lastRow="0" w:firstColumn="1" w:lastColumn="0" w:noHBand="0" w:noVBand="1"/>
        <w:tblDescription w:val="Table 4.44 Estimated prevalence of suicidality by Service at transition from Regular ADF into Transitioned ADF (Navy, Army Air Force)"/>
      </w:tblPr>
      <w:tblGrid>
        <w:gridCol w:w="2988"/>
        <w:gridCol w:w="946"/>
        <w:gridCol w:w="946"/>
        <w:gridCol w:w="947"/>
        <w:gridCol w:w="946"/>
        <w:gridCol w:w="947"/>
        <w:gridCol w:w="946"/>
        <w:gridCol w:w="947"/>
        <w:gridCol w:w="946"/>
        <w:gridCol w:w="947"/>
      </w:tblGrid>
      <w:tr w:rsidR="00D8616A" w:rsidRPr="005B0796" w:rsidTr="005A3ECF">
        <w:trPr>
          <w:cnfStyle w:val="100000000000" w:firstRow="1" w:lastRow="0" w:firstColumn="0" w:lastColumn="0" w:oddVBand="0" w:evenVBand="0" w:oddHBand="0" w:evenHBand="0" w:firstRowFirstColumn="0" w:firstRowLastColumn="0" w:lastRowFirstColumn="0" w:lastRowLastColumn="0"/>
          <w:tblHeader/>
        </w:trPr>
        <w:tc>
          <w:tcPr>
            <w:tcW w:w="2988" w:type="dxa"/>
            <w:vMerge w:val="restart"/>
            <w:tcBorders>
              <w:top w:val="single" w:sz="4" w:space="0" w:color="000000"/>
              <w:bottom w:val="nil"/>
            </w:tcBorders>
            <w:noWrap/>
            <w:hideMark/>
          </w:tcPr>
          <w:p w:rsidR="00D8616A" w:rsidRPr="005B0796" w:rsidRDefault="00D8616A" w:rsidP="005A3ECF">
            <w:pPr>
              <w:pStyle w:val="TableText"/>
            </w:pPr>
          </w:p>
        </w:tc>
        <w:tc>
          <w:tcPr>
            <w:tcW w:w="8518" w:type="dxa"/>
            <w:gridSpan w:val="9"/>
            <w:noWrap/>
            <w:hideMark/>
          </w:tcPr>
          <w:p w:rsidR="00D8616A" w:rsidRPr="005B0796" w:rsidRDefault="00D8616A" w:rsidP="005A3ECF">
            <w:pPr>
              <w:pStyle w:val="TableText"/>
              <w:jc w:val="center"/>
            </w:pPr>
            <w:r w:rsidRPr="005B0796">
              <w:t>Service at transition</w:t>
            </w:r>
          </w:p>
        </w:tc>
      </w:tr>
      <w:tr w:rsidR="00D8616A" w:rsidRPr="005B0796" w:rsidTr="005A3ECF">
        <w:trPr>
          <w:cnfStyle w:val="100000000000" w:firstRow="1" w:lastRow="0" w:firstColumn="0" w:lastColumn="0" w:oddVBand="0" w:evenVBand="0" w:oddHBand="0" w:evenHBand="0" w:firstRowFirstColumn="0" w:firstRowLastColumn="0" w:lastRowFirstColumn="0" w:lastRowLastColumn="0"/>
          <w:tblHeader/>
        </w:trPr>
        <w:tc>
          <w:tcPr>
            <w:tcW w:w="2988" w:type="dxa"/>
            <w:vMerge/>
            <w:tcBorders>
              <w:top w:val="nil"/>
              <w:bottom w:val="nil"/>
            </w:tcBorders>
            <w:hideMark/>
          </w:tcPr>
          <w:p w:rsidR="00D8616A" w:rsidRPr="005B0796" w:rsidRDefault="00D8616A" w:rsidP="005A3ECF">
            <w:pPr>
              <w:pStyle w:val="TableText"/>
            </w:pPr>
          </w:p>
        </w:tc>
        <w:tc>
          <w:tcPr>
            <w:tcW w:w="2839" w:type="dxa"/>
            <w:gridSpan w:val="3"/>
            <w:noWrap/>
            <w:hideMark/>
          </w:tcPr>
          <w:p w:rsidR="00D8616A" w:rsidRPr="005B0796" w:rsidRDefault="00D8616A" w:rsidP="005A3ECF">
            <w:pPr>
              <w:pStyle w:val="TableText"/>
              <w:jc w:val="center"/>
            </w:pPr>
            <w:r w:rsidRPr="005B0796">
              <w:t>Navy (n = 5671)</w:t>
            </w:r>
          </w:p>
        </w:tc>
        <w:tc>
          <w:tcPr>
            <w:tcW w:w="2839" w:type="dxa"/>
            <w:gridSpan w:val="3"/>
            <w:noWrap/>
            <w:hideMark/>
          </w:tcPr>
          <w:p w:rsidR="00D8616A" w:rsidRPr="005B0796" w:rsidRDefault="00D8616A" w:rsidP="005A3ECF">
            <w:pPr>
              <w:pStyle w:val="TableText"/>
              <w:jc w:val="center"/>
            </w:pPr>
            <w:r w:rsidRPr="005B0796">
              <w:t>Army (n = 15,038)</w:t>
            </w:r>
          </w:p>
        </w:tc>
        <w:tc>
          <w:tcPr>
            <w:tcW w:w="2840" w:type="dxa"/>
            <w:gridSpan w:val="3"/>
            <w:noWrap/>
            <w:hideMark/>
          </w:tcPr>
          <w:p w:rsidR="00D8616A" w:rsidRPr="005B0796" w:rsidRDefault="00D8616A" w:rsidP="005A3ECF">
            <w:pPr>
              <w:pStyle w:val="TableText"/>
              <w:jc w:val="center"/>
            </w:pPr>
            <w:r w:rsidRPr="005B0796">
              <w:t>Air Force (n = 4223)</w:t>
            </w:r>
          </w:p>
        </w:tc>
      </w:tr>
      <w:tr w:rsidR="00D8616A" w:rsidRPr="005B0796" w:rsidTr="005A3ECF">
        <w:trPr>
          <w:cnfStyle w:val="100000000000" w:firstRow="1" w:lastRow="0" w:firstColumn="0" w:lastColumn="0" w:oddVBand="0" w:evenVBand="0" w:oddHBand="0" w:evenHBand="0" w:firstRowFirstColumn="0" w:firstRowLastColumn="0" w:lastRowFirstColumn="0" w:lastRowLastColumn="0"/>
          <w:tblHeader/>
        </w:trPr>
        <w:tc>
          <w:tcPr>
            <w:tcW w:w="2988" w:type="dxa"/>
            <w:tcBorders>
              <w:top w:val="nil"/>
            </w:tcBorders>
            <w:noWrap/>
            <w:hideMark/>
          </w:tcPr>
          <w:p w:rsidR="00D8616A" w:rsidRPr="005B0796" w:rsidRDefault="005A3ECF" w:rsidP="005A3ECF">
            <w:pPr>
              <w:pStyle w:val="TableText"/>
            </w:pPr>
            <w:r w:rsidRPr="005B0796">
              <w:t>Suicidality</w:t>
            </w:r>
          </w:p>
        </w:tc>
        <w:tc>
          <w:tcPr>
            <w:tcW w:w="946" w:type="dxa"/>
            <w:noWrap/>
            <w:hideMark/>
          </w:tcPr>
          <w:p w:rsidR="00D8616A" w:rsidRPr="005B0796" w:rsidRDefault="00D8616A" w:rsidP="005A3ECF">
            <w:pPr>
              <w:pStyle w:val="TableText"/>
              <w:jc w:val="right"/>
            </w:pPr>
            <w:r w:rsidRPr="005B0796">
              <w:t>Weighted n</w:t>
            </w:r>
          </w:p>
        </w:tc>
        <w:tc>
          <w:tcPr>
            <w:tcW w:w="946" w:type="dxa"/>
            <w:hideMark/>
          </w:tcPr>
          <w:p w:rsidR="00D8616A" w:rsidRPr="005B0796" w:rsidRDefault="00D8616A" w:rsidP="005A3ECF">
            <w:pPr>
              <w:pStyle w:val="TableText"/>
              <w:jc w:val="right"/>
            </w:pPr>
            <w:r w:rsidRPr="005B0796">
              <w:t>%</w:t>
            </w:r>
          </w:p>
        </w:tc>
        <w:tc>
          <w:tcPr>
            <w:tcW w:w="947" w:type="dxa"/>
            <w:hideMark/>
          </w:tcPr>
          <w:p w:rsidR="00D8616A" w:rsidRPr="005B0796" w:rsidRDefault="00D8616A" w:rsidP="005A3ECF">
            <w:pPr>
              <w:pStyle w:val="TableText"/>
              <w:jc w:val="right"/>
            </w:pPr>
            <w:r w:rsidRPr="005B0796">
              <w:t>95% CI</w:t>
            </w:r>
          </w:p>
        </w:tc>
        <w:tc>
          <w:tcPr>
            <w:tcW w:w="946" w:type="dxa"/>
            <w:noWrap/>
            <w:hideMark/>
          </w:tcPr>
          <w:p w:rsidR="00D8616A" w:rsidRPr="005B0796" w:rsidRDefault="00D8616A" w:rsidP="005A3ECF">
            <w:pPr>
              <w:pStyle w:val="TableText"/>
              <w:jc w:val="right"/>
            </w:pPr>
            <w:r w:rsidRPr="005B0796">
              <w:t>Weighted n</w:t>
            </w:r>
          </w:p>
        </w:tc>
        <w:tc>
          <w:tcPr>
            <w:tcW w:w="947" w:type="dxa"/>
            <w:hideMark/>
          </w:tcPr>
          <w:p w:rsidR="00D8616A" w:rsidRPr="005B0796" w:rsidRDefault="00D8616A" w:rsidP="005A3ECF">
            <w:pPr>
              <w:pStyle w:val="TableText"/>
              <w:jc w:val="right"/>
            </w:pPr>
            <w:r w:rsidRPr="005B0796">
              <w:t>%</w:t>
            </w:r>
          </w:p>
        </w:tc>
        <w:tc>
          <w:tcPr>
            <w:tcW w:w="946" w:type="dxa"/>
            <w:hideMark/>
          </w:tcPr>
          <w:p w:rsidR="00D8616A" w:rsidRPr="005B0796" w:rsidRDefault="00D8616A" w:rsidP="005A3ECF">
            <w:pPr>
              <w:pStyle w:val="TableText"/>
              <w:jc w:val="right"/>
            </w:pPr>
            <w:r w:rsidRPr="005B0796">
              <w:t>95% CI</w:t>
            </w:r>
          </w:p>
        </w:tc>
        <w:tc>
          <w:tcPr>
            <w:tcW w:w="947" w:type="dxa"/>
            <w:noWrap/>
            <w:hideMark/>
          </w:tcPr>
          <w:p w:rsidR="00D8616A" w:rsidRPr="005B0796" w:rsidRDefault="00D8616A" w:rsidP="005A3ECF">
            <w:pPr>
              <w:pStyle w:val="TableText"/>
              <w:jc w:val="right"/>
            </w:pPr>
            <w:r w:rsidRPr="005B0796">
              <w:t>Weighted n</w:t>
            </w:r>
          </w:p>
        </w:tc>
        <w:tc>
          <w:tcPr>
            <w:tcW w:w="946" w:type="dxa"/>
            <w:hideMark/>
          </w:tcPr>
          <w:p w:rsidR="00D8616A" w:rsidRPr="005B0796" w:rsidRDefault="00D8616A" w:rsidP="005A3ECF">
            <w:pPr>
              <w:pStyle w:val="TableText"/>
              <w:jc w:val="right"/>
            </w:pPr>
            <w:r w:rsidRPr="005B0796">
              <w:t>%</w:t>
            </w:r>
          </w:p>
        </w:tc>
        <w:tc>
          <w:tcPr>
            <w:tcW w:w="947" w:type="dxa"/>
            <w:hideMark/>
          </w:tcPr>
          <w:p w:rsidR="00D8616A" w:rsidRPr="005B0796" w:rsidRDefault="00D8616A" w:rsidP="005A3ECF">
            <w:pPr>
              <w:pStyle w:val="TableText"/>
              <w:jc w:val="right"/>
            </w:pPr>
            <w:r w:rsidRPr="005B0796">
              <w:t>95% CI</w:t>
            </w:r>
          </w:p>
        </w:tc>
      </w:tr>
      <w:tr w:rsidR="005A3ECF" w:rsidRPr="005B0796" w:rsidTr="005A3ECF">
        <w:trPr>
          <w:cnfStyle w:val="000000100000" w:firstRow="0" w:lastRow="0" w:firstColumn="0" w:lastColumn="0" w:oddVBand="0" w:evenVBand="0" w:oddHBand="1" w:evenHBand="0" w:firstRowFirstColumn="0" w:firstRowLastColumn="0" w:lastRowFirstColumn="0" w:lastRowLastColumn="0"/>
        </w:trPr>
        <w:tc>
          <w:tcPr>
            <w:tcW w:w="2988" w:type="dxa"/>
            <w:hideMark/>
          </w:tcPr>
          <w:p w:rsidR="00D8616A" w:rsidRPr="005B0796" w:rsidRDefault="00D8616A" w:rsidP="005A3ECF">
            <w:pPr>
              <w:pStyle w:val="TableText"/>
              <w:rPr>
                <w:rFonts w:eastAsia="Times New Roman"/>
                <w:lang w:eastAsia="en-AU"/>
              </w:rPr>
            </w:pPr>
            <w:r w:rsidRPr="005B0796">
              <w:rPr>
                <w:rFonts w:eastAsia="Times New Roman"/>
              </w:rPr>
              <w:t>Felt life not worth living</w:t>
            </w:r>
          </w:p>
        </w:tc>
        <w:tc>
          <w:tcPr>
            <w:tcW w:w="946" w:type="dxa"/>
            <w:noWrap/>
            <w:hideMark/>
          </w:tcPr>
          <w:p w:rsidR="00D8616A" w:rsidRPr="005B0796" w:rsidRDefault="00D8616A" w:rsidP="005A3ECF">
            <w:pPr>
              <w:pStyle w:val="TableText"/>
              <w:jc w:val="right"/>
              <w:rPr>
                <w:rFonts w:eastAsia="Times New Roman"/>
                <w:lang w:eastAsia="en-AU"/>
              </w:rPr>
            </w:pPr>
            <w:r w:rsidRPr="005B0796">
              <w:t>1632</w:t>
            </w:r>
          </w:p>
        </w:tc>
        <w:tc>
          <w:tcPr>
            <w:tcW w:w="946" w:type="dxa"/>
            <w:hideMark/>
          </w:tcPr>
          <w:p w:rsidR="00D8616A" w:rsidRPr="005B0796" w:rsidRDefault="00D8616A" w:rsidP="005A3ECF">
            <w:pPr>
              <w:pStyle w:val="TableText"/>
              <w:jc w:val="right"/>
              <w:rPr>
                <w:rFonts w:eastAsia="Times New Roman"/>
                <w:lang w:eastAsia="en-AU"/>
              </w:rPr>
            </w:pPr>
            <w:r w:rsidRPr="005B0796">
              <w:t>29.3</w:t>
            </w:r>
          </w:p>
        </w:tc>
        <w:tc>
          <w:tcPr>
            <w:tcW w:w="947" w:type="dxa"/>
            <w:hideMark/>
          </w:tcPr>
          <w:p w:rsidR="00D8616A" w:rsidRPr="005B0796" w:rsidRDefault="00D8616A" w:rsidP="005A3ECF">
            <w:pPr>
              <w:pStyle w:val="TableText"/>
              <w:jc w:val="right"/>
              <w:rPr>
                <w:rFonts w:eastAsia="Times New Roman"/>
                <w:lang w:eastAsia="en-AU"/>
              </w:rPr>
            </w:pPr>
            <w:r w:rsidRPr="005B0796">
              <w:t>25.7, 33.2</w:t>
            </w:r>
          </w:p>
        </w:tc>
        <w:tc>
          <w:tcPr>
            <w:tcW w:w="946" w:type="dxa"/>
            <w:noWrap/>
            <w:hideMark/>
          </w:tcPr>
          <w:p w:rsidR="00D8616A" w:rsidRPr="005B0796" w:rsidRDefault="00D8616A" w:rsidP="005A3ECF">
            <w:pPr>
              <w:pStyle w:val="TableText"/>
              <w:jc w:val="right"/>
              <w:rPr>
                <w:rFonts w:eastAsia="Times New Roman"/>
                <w:lang w:eastAsia="en-AU"/>
              </w:rPr>
            </w:pPr>
            <w:r w:rsidRPr="005B0796">
              <w:t>4497</w:t>
            </w:r>
          </w:p>
        </w:tc>
        <w:tc>
          <w:tcPr>
            <w:tcW w:w="947" w:type="dxa"/>
            <w:hideMark/>
          </w:tcPr>
          <w:p w:rsidR="00D8616A" w:rsidRPr="005B0796" w:rsidRDefault="00D8616A" w:rsidP="005A3ECF">
            <w:pPr>
              <w:pStyle w:val="TableText"/>
              <w:jc w:val="right"/>
              <w:rPr>
                <w:rFonts w:eastAsia="Times New Roman"/>
                <w:lang w:eastAsia="en-AU"/>
              </w:rPr>
            </w:pPr>
            <w:r w:rsidRPr="005B0796">
              <w:t>30.3</w:t>
            </w:r>
          </w:p>
        </w:tc>
        <w:tc>
          <w:tcPr>
            <w:tcW w:w="946" w:type="dxa"/>
            <w:hideMark/>
          </w:tcPr>
          <w:p w:rsidR="00D8616A" w:rsidRPr="005B0796" w:rsidRDefault="00D8616A" w:rsidP="005A3ECF">
            <w:pPr>
              <w:pStyle w:val="TableText"/>
              <w:jc w:val="right"/>
              <w:rPr>
                <w:rFonts w:eastAsia="Times New Roman"/>
                <w:lang w:eastAsia="en-AU"/>
              </w:rPr>
            </w:pPr>
            <w:r w:rsidRPr="005B0796">
              <w:t>28.1, 32.6</w:t>
            </w:r>
          </w:p>
        </w:tc>
        <w:tc>
          <w:tcPr>
            <w:tcW w:w="947" w:type="dxa"/>
            <w:noWrap/>
            <w:hideMark/>
          </w:tcPr>
          <w:p w:rsidR="00D8616A" w:rsidRPr="005B0796" w:rsidRDefault="00D8616A" w:rsidP="005A3ECF">
            <w:pPr>
              <w:pStyle w:val="TableText"/>
              <w:jc w:val="right"/>
              <w:rPr>
                <w:rFonts w:eastAsia="Times New Roman"/>
                <w:lang w:eastAsia="en-AU"/>
              </w:rPr>
            </w:pPr>
            <w:r w:rsidRPr="005B0796">
              <w:t>1079</w:t>
            </w:r>
          </w:p>
        </w:tc>
        <w:tc>
          <w:tcPr>
            <w:tcW w:w="946" w:type="dxa"/>
            <w:hideMark/>
          </w:tcPr>
          <w:p w:rsidR="00D8616A" w:rsidRPr="005B0796" w:rsidRDefault="00D8616A" w:rsidP="005A3ECF">
            <w:pPr>
              <w:pStyle w:val="TableText"/>
              <w:jc w:val="right"/>
              <w:rPr>
                <w:rFonts w:eastAsia="Times New Roman"/>
                <w:lang w:eastAsia="en-AU"/>
              </w:rPr>
            </w:pPr>
            <w:r w:rsidRPr="005B0796">
              <w:t>25.9</w:t>
            </w:r>
          </w:p>
        </w:tc>
        <w:tc>
          <w:tcPr>
            <w:tcW w:w="947" w:type="dxa"/>
            <w:hideMark/>
          </w:tcPr>
          <w:p w:rsidR="00D8616A" w:rsidRPr="005B0796" w:rsidRDefault="00D8616A" w:rsidP="005A3ECF">
            <w:pPr>
              <w:pStyle w:val="TableText"/>
              <w:jc w:val="right"/>
              <w:rPr>
                <w:rFonts w:eastAsia="Times New Roman"/>
                <w:lang w:eastAsia="en-AU"/>
              </w:rPr>
            </w:pPr>
            <w:r w:rsidRPr="005B0796">
              <w:t>22.9, 29.0</w:t>
            </w:r>
          </w:p>
        </w:tc>
      </w:tr>
      <w:tr w:rsidR="00D8616A" w:rsidRPr="005B0796" w:rsidTr="005A3ECF">
        <w:tc>
          <w:tcPr>
            <w:tcW w:w="2988" w:type="dxa"/>
            <w:hideMark/>
          </w:tcPr>
          <w:p w:rsidR="00D8616A" w:rsidRPr="005B0796" w:rsidRDefault="00D8616A" w:rsidP="005A3ECF">
            <w:pPr>
              <w:pStyle w:val="TableText"/>
              <w:rPr>
                <w:rFonts w:eastAsia="Times New Roman"/>
                <w:lang w:eastAsia="en-AU"/>
              </w:rPr>
            </w:pPr>
            <w:r w:rsidRPr="005B0796">
              <w:rPr>
                <w:rFonts w:eastAsia="Times New Roman"/>
              </w:rPr>
              <w:t>Felt so low thought about committing suicide</w:t>
            </w:r>
          </w:p>
        </w:tc>
        <w:tc>
          <w:tcPr>
            <w:tcW w:w="946" w:type="dxa"/>
            <w:noWrap/>
            <w:hideMark/>
          </w:tcPr>
          <w:p w:rsidR="00D8616A" w:rsidRPr="005B0796" w:rsidRDefault="00D8616A" w:rsidP="005A3ECF">
            <w:pPr>
              <w:pStyle w:val="TableText"/>
              <w:jc w:val="right"/>
              <w:rPr>
                <w:rFonts w:eastAsia="Times New Roman"/>
                <w:lang w:eastAsia="en-AU"/>
              </w:rPr>
            </w:pPr>
            <w:r w:rsidRPr="005B0796">
              <w:t>1201</w:t>
            </w:r>
          </w:p>
        </w:tc>
        <w:tc>
          <w:tcPr>
            <w:tcW w:w="946" w:type="dxa"/>
            <w:hideMark/>
          </w:tcPr>
          <w:p w:rsidR="00D8616A" w:rsidRPr="005B0796" w:rsidRDefault="00D8616A" w:rsidP="005A3ECF">
            <w:pPr>
              <w:pStyle w:val="TableText"/>
              <w:jc w:val="right"/>
              <w:rPr>
                <w:rFonts w:eastAsia="Times New Roman"/>
                <w:lang w:eastAsia="en-AU"/>
              </w:rPr>
            </w:pPr>
            <w:r w:rsidRPr="005B0796">
              <w:t>21.6</w:t>
            </w:r>
          </w:p>
        </w:tc>
        <w:tc>
          <w:tcPr>
            <w:tcW w:w="947" w:type="dxa"/>
            <w:hideMark/>
          </w:tcPr>
          <w:p w:rsidR="00D8616A" w:rsidRPr="005B0796" w:rsidRDefault="00D8616A" w:rsidP="005A3ECF">
            <w:pPr>
              <w:pStyle w:val="TableText"/>
              <w:jc w:val="right"/>
              <w:rPr>
                <w:rFonts w:eastAsia="Times New Roman"/>
                <w:lang w:eastAsia="en-AU"/>
              </w:rPr>
            </w:pPr>
            <w:r w:rsidRPr="005B0796">
              <w:t>18.4, 25.2</w:t>
            </w:r>
          </w:p>
        </w:tc>
        <w:tc>
          <w:tcPr>
            <w:tcW w:w="946" w:type="dxa"/>
            <w:noWrap/>
            <w:hideMark/>
          </w:tcPr>
          <w:p w:rsidR="00D8616A" w:rsidRPr="005B0796" w:rsidRDefault="00D8616A" w:rsidP="005A3ECF">
            <w:pPr>
              <w:pStyle w:val="TableText"/>
              <w:jc w:val="right"/>
              <w:rPr>
                <w:rFonts w:eastAsia="Times New Roman"/>
                <w:lang w:eastAsia="en-AU"/>
              </w:rPr>
            </w:pPr>
            <w:r w:rsidRPr="005B0796">
              <w:t>3332</w:t>
            </w:r>
          </w:p>
        </w:tc>
        <w:tc>
          <w:tcPr>
            <w:tcW w:w="947" w:type="dxa"/>
            <w:hideMark/>
          </w:tcPr>
          <w:p w:rsidR="00D8616A" w:rsidRPr="005B0796" w:rsidRDefault="00D8616A" w:rsidP="005A3ECF">
            <w:pPr>
              <w:pStyle w:val="TableText"/>
              <w:jc w:val="right"/>
              <w:rPr>
                <w:rFonts w:eastAsia="Times New Roman"/>
                <w:lang w:eastAsia="en-AU"/>
              </w:rPr>
            </w:pPr>
            <w:r w:rsidRPr="005B0796">
              <w:t>22.5</w:t>
            </w:r>
          </w:p>
        </w:tc>
        <w:tc>
          <w:tcPr>
            <w:tcW w:w="946" w:type="dxa"/>
            <w:hideMark/>
          </w:tcPr>
          <w:p w:rsidR="00D8616A" w:rsidRPr="005B0796" w:rsidRDefault="00D8616A" w:rsidP="005A3ECF">
            <w:pPr>
              <w:pStyle w:val="TableText"/>
              <w:jc w:val="right"/>
              <w:rPr>
                <w:rFonts w:eastAsia="Times New Roman"/>
                <w:lang w:eastAsia="en-AU"/>
              </w:rPr>
            </w:pPr>
            <w:r w:rsidRPr="005B0796">
              <w:t>20.5, 24.6</w:t>
            </w:r>
          </w:p>
        </w:tc>
        <w:tc>
          <w:tcPr>
            <w:tcW w:w="947" w:type="dxa"/>
            <w:noWrap/>
            <w:hideMark/>
          </w:tcPr>
          <w:p w:rsidR="00D8616A" w:rsidRPr="005B0796" w:rsidRDefault="00D8616A" w:rsidP="005A3ECF">
            <w:pPr>
              <w:pStyle w:val="TableText"/>
              <w:jc w:val="right"/>
              <w:rPr>
                <w:rFonts w:eastAsia="Times New Roman"/>
                <w:lang w:eastAsia="en-AU"/>
              </w:rPr>
            </w:pPr>
            <w:r w:rsidRPr="005B0796">
              <w:t>761</w:t>
            </w:r>
          </w:p>
        </w:tc>
        <w:tc>
          <w:tcPr>
            <w:tcW w:w="946" w:type="dxa"/>
            <w:hideMark/>
          </w:tcPr>
          <w:p w:rsidR="00D8616A" w:rsidRPr="005B0796" w:rsidRDefault="00D8616A" w:rsidP="005A3ECF">
            <w:pPr>
              <w:pStyle w:val="TableText"/>
              <w:jc w:val="right"/>
              <w:rPr>
                <w:rFonts w:eastAsia="Times New Roman"/>
                <w:lang w:eastAsia="en-AU"/>
              </w:rPr>
            </w:pPr>
            <w:r w:rsidRPr="005B0796">
              <w:t>18.2</w:t>
            </w:r>
          </w:p>
        </w:tc>
        <w:tc>
          <w:tcPr>
            <w:tcW w:w="947" w:type="dxa"/>
            <w:hideMark/>
          </w:tcPr>
          <w:p w:rsidR="00D8616A" w:rsidRPr="005B0796" w:rsidRDefault="00D8616A" w:rsidP="005A3ECF">
            <w:pPr>
              <w:pStyle w:val="TableText"/>
              <w:jc w:val="right"/>
              <w:rPr>
                <w:rFonts w:eastAsia="Times New Roman"/>
                <w:lang w:eastAsia="en-AU"/>
              </w:rPr>
            </w:pPr>
            <w:r w:rsidRPr="005B0796">
              <w:t>15.7, 21.1</w:t>
            </w:r>
          </w:p>
        </w:tc>
      </w:tr>
      <w:tr w:rsidR="005A3ECF" w:rsidRPr="005B0796" w:rsidTr="005A3ECF">
        <w:trPr>
          <w:cnfStyle w:val="000000100000" w:firstRow="0" w:lastRow="0" w:firstColumn="0" w:lastColumn="0" w:oddVBand="0" w:evenVBand="0" w:oddHBand="1" w:evenHBand="0" w:firstRowFirstColumn="0" w:firstRowLastColumn="0" w:lastRowFirstColumn="0" w:lastRowLastColumn="0"/>
        </w:trPr>
        <w:tc>
          <w:tcPr>
            <w:tcW w:w="2988" w:type="dxa"/>
            <w:hideMark/>
          </w:tcPr>
          <w:p w:rsidR="00D8616A" w:rsidRPr="005B0796" w:rsidRDefault="00D8616A" w:rsidP="005A3ECF">
            <w:pPr>
              <w:pStyle w:val="TableText"/>
              <w:rPr>
                <w:rFonts w:eastAsia="Times New Roman"/>
                <w:lang w:eastAsia="en-AU"/>
              </w:rPr>
            </w:pPr>
            <w:r w:rsidRPr="005B0796">
              <w:rPr>
                <w:rFonts w:eastAsia="Times New Roman"/>
              </w:rPr>
              <w:t>Made a suicide plan</w:t>
            </w:r>
            <w:r w:rsidRPr="005B0796">
              <w:rPr>
                <w:rFonts w:eastAsia="Times New Roman"/>
                <w:vertAlign w:val="superscript"/>
              </w:rPr>
              <w:t>a</w:t>
            </w:r>
          </w:p>
        </w:tc>
        <w:tc>
          <w:tcPr>
            <w:tcW w:w="946" w:type="dxa"/>
            <w:noWrap/>
            <w:hideMark/>
          </w:tcPr>
          <w:p w:rsidR="00D8616A" w:rsidRPr="005B0796" w:rsidRDefault="00D8616A" w:rsidP="005A3ECF">
            <w:pPr>
              <w:pStyle w:val="TableText"/>
              <w:jc w:val="right"/>
              <w:rPr>
                <w:rFonts w:eastAsia="Times New Roman"/>
                <w:lang w:eastAsia="en-AU"/>
              </w:rPr>
            </w:pPr>
            <w:r w:rsidRPr="005B0796">
              <w:t>333</w:t>
            </w:r>
          </w:p>
        </w:tc>
        <w:tc>
          <w:tcPr>
            <w:tcW w:w="946" w:type="dxa"/>
            <w:hideMark/>
          </w:tcPr>
          <w:p w:rsidR="00D8616A" w:rsidRPr="005B0796" w:rsidRDefault="00D8616A" w:rsidP="005A3ECF">
            <w:pPr>
              <w:pStyle w:val="TableText"/>
              <w:jc w:val="right"/>
              <w:rPr>
                <w:rFonts w:eastAsia="Times New Roman"/>
                <w:lang w:eastAsia="en-AU"/>
              </w:rPr>
            </w:pPr>
            <w:r w:rsidRPr="005B0796">
              <w:t>6.0</w:t>
            </w:r>
          </w:p>
        </w:tc>
        <w:tc>
          <w:tcPr>
            <w:tcW w:w="947" w:type="dxa"/>
            <w:hideMark/>
          </w:tcPr>
          <w:p w:rsidR="00D8616A" w:rsidRPr="005B0796" w:rsidRDefault="00D8616A" w:rsidP="005A3ECF">
            <w:pPr>
              <w:pStyle w:val="TableText"/>
              <w:jc w:val="right"/>
              <w:rPr>
                <w:rFonts w:eastAsia="Times New Roman"/>
                <w:lang w:eastAsia="en-AU"/>
              </w:rPr>
            </w:pPr>
            <w:r w:rsidRPr="005B0796">
              <w:t>4.5, 7.9</w:t>
            </w:r>
          </w:p>
        </w:tc>
        <w:tc>
          <w:tcPr>
            <w:tcW w:w="946" w:type="dxa"/>
            <w:noWrap/>
            <w:hideMark/>
          </w:tcPr>
          <w:p w:rsidR="00D8616A" w:rsidRPr="005B0796" w:rsidRDefault="00D8616A" w:rsidP="005A3ECF">
            <w:pPr>
              <w:pStyle w:val="TableText"/>
              <w:jc w:val="right"/>
              <w:rPr>
                <w:rFonts w:eastAsia="Times New Roman"/>
                <w:lang w:eastAsia="en-AU"/>
              </w:rPr>
            </w:pPr>
            <w:r w:rsidRPr="005B0796">
              <w:t>1351</w:t>
            </w:r>
          </w:p>
        </w:tc>
        <w:tc>
          <w:tcPr>
            <w:tcW w:w="947" w:type="dxa"/>
            <w:hideMark/>
          </w:tcPr>
          <w:p w:rsidR="00D8616A" w:rsidRPr="005B0796" w:rsidRDefault="00D8616A" w:rsidP="005A3ECF">
            <w:pPr>
              <w:pStyle w:val="TableText"/>
              <w:jc w:val="right"/>
              <w:rPr>
                <w:rFonts w:eastAsia="Times New Roman"/>
                <w:lang w:eastAsia="en-AU"/>
              </w:rPr>
            </w:pPr>
            <w:r w:rsidRPr="005B0796">
              <w:t>9.1</w:t>
            </w:r>
          </w:p>
        </w:tc>
        <w:tc>
          <w:tcPr>
            <w:tcW w:w="946" w:type="dxa"/>
            <w:hideMark/>
          </w:tcPr>
          <w:p w:rsidR="00D8616A" w:rsidRPr="005B0796" w:rsidRDefault="00D8616A" w:rsidP="005A3ECF">
            <w:pPr>
              <w:pStyle w:val="TableText"/>
              <w:jc w:val="right"/>
              <w:rPr>
                <w:rFonts w:eastAsia="Times New Roman"/>
                <w:lang w:eastAsia="en-AU"/>
              </w:rPr>
            </w:pPr>
            <w:r w:rsidRPr="005B0796">
              <w:t>7.8, 10.6</w:t>
            </w:r>
          </w:p>
        </w:tc>
        <w:tc>
          <w:tcPr>
            <w:tcW w:w="947" w:type="dxa"/>
            <w:noWrap/>
            <w:hideMark/>
          </w:tcPr>
          <w:p w:rsidR="00D8616A" w:rsidRPr="005B0796" w:rsidRDefault="00D8616A" w:rsidP="005A3ECF">
            <w:pPr>
              <w:pStyle w:val="TableText"/>
              <w:jc w:val="right"/>
              <w:rPr>
                <w:rFonts w:eastAsia="Times New Roman"/>
                <w:lang w:eastAsia="en-AU"/>
              </w:rPr>
            </w:pPr>
            <w:r w:rsidRPr="005B0796">
              <w:t>281</w:t>
            </w:r>
          </w:p>
        </w:tc>
        <w:tc>
          <w:tcPr>
            <w:tcW w:w="946" w:type="dxa"/>
            <w:hideMark/>
          </w:tcPr>
          <w:p w:rsidR="00D8616A" w:rsidRPr="005B0796" w:rsidRDefault="00D8616A" w:rsidP="005A3ECF">
            <w:pPr>
              <w:pStyle w:val="TableText"/>
              <w:jc w:val="right"/>
              <w:rPr>
                <w:rFonts w:eastAsia="Times New Roman"/>
                <w:lang w:eastAsia="en-AU"/>
              </w:rPr>
            </w:pPr>
            <w:r w:rsidRPr="005B0796">
              <w:t>6.7</w:t>
            </w:r>
          </w:p>
        </w:tc>
        <w:tc>
          <w:tcPr>
            <w:tcW w:w="947" w:type="dxa"/>
            <w:hideMark/>
          </w:tcPr>
          <w:p w:rsidR="00D8616A" w:rsidRPr="005B0796" w:rsidRDefault="00D8616A" w:rsidP="005A3ECF">
            <w:pPr>
              <w:pStyle w:val="TableText"/>
              <w:jc w:val="right"/>
              <w:rPr>
                <w:rFonts w:eastAsia="Times New Roman"/>
                <w:lang w:eastAsia="en-AU"/>
              </w:rPr>
            </w:pPr>
            <w:r w:rsidRPr="005B0796">
              <w:t>5.2, 8.6</w:t>
            </w:r>
          </w:p>
        </w:tc>
      </w:tr>
      <w:tr w:rsidR="00D8616A" w:rsidRPr="005B0796" w:rsidTr="005A3ECF">
        <w:tc>
          <w:tcPr>
            <w:tcW w:w="2988" w:type="dxa"/>
            <w:noWrap/>
            <w:hideMark/>
          </w:tcPr>
          <w:p w:rsidR="00D8616A" w:rsidRPr="005B0796" w:rsidRDefault="00D8616A" w:rsidP="005A3ECF">
            <w:pPr>
              <w:pStyle w:val="TableText"/>
              <w:rPr>
                <w:rFonts w:eastAsia="Times New Roman"/>
                <w:lang w:eastAsia="en-AU"/>
              </w:rPr>
            </w:pPr>
            <w:r w:rsidRPr="005B0796">
              <w:rPr>
                <w:rFonts w:eastAsia="Times New Roman"/>
              </w:rPr>
              <w:t>Attempted suicide</w:t>
            </w:r>
          </w:p>
        </w:tc>
        <w:tc>
          <w:tcPr>
            <w:tcW w:w="946" w:type="dxa"/>
            <w:noWrap/>
            <w:hideMark/>
          </w:tcPr>
          <w:p w:rsidR="00D8616A" w:rsidRPr="005B0796" w:rsidRDefault="00D8616A" w:rsidP="005A3ECF">
            <w:pPr>
              <w:pStyle w:val="TableText"/>
              <w:jc w:val="right"/>
              <w:rPr>
                <w:rFonts w:eastAsia="Times New Roman"/>
                <w:lang w:eastAsia="en-AU"/>
              </w:rPr>
            </w:pPr>
            <w:r w:rsidRPr="005B0796">
              <w:t>126</w:t>
            </w:r>
          </w:p>
        </w:tc>
        <w:tc>
          <w:tcPr>
            <w:tcW w:w="946" w:type="dxa"/>
            <w:hideMark/>
          </w:tcPr>
          <w:p w:rsidR="00D8616A" w:rsidRPr="005B0796" w:rsidRDefault="00D8616A" w:rsidP="005A3ECF">
            <w:pPr>
              <w:pStyle w:val="TableText"/>
              <w:jc w:val="right"/>
              <w:rPr>
                <w:rFonts w:eastAsia="Times New Roman"/>
                <w:lang w:eastAsia="en-AU"/>
              </w:rPr>
            </w:pPr>
            <w:r w:rsidRPr="005B0796">
              <w:t>2.3</w:t>
            </w:r>
          </w:p>
        </w:tc>
        <w:tc>
          <w:tcPr>
            <w:tcW w:w="947" w:type="dxa"/>
            <w:hideMark/>
          </w:tcPr>
          <w:p w:rsidR="00D8616A" w:rsidRPr="005B0796" w:rsidRDefault="00D8616A" w:rsidP="005A3ECF">
            <w:pPr>
              <w:pStyle w:val="TableText"/>
              <w:jc w:val="right"/>
              <w:rPr>
                <w:rFonts w:eastAsia="Times New Roman"/>
                <w:lang w:eastAsia="en-AU"/>
              </w:rPr>
            </w:pPr>
            <w:r w:rsidRPr="005B0796">
              <w:t>1.3, 4.1</w:t>
            </w:r>
          </w:p>
        </w:tc>
        <w:tc>
          <w:tcPr>
            <w:tcW w:w="946" w:type="dxa"/>
            <w:noWrap/>
            <w:hideMark/>
          </w:tcPr>
          <w:p w:rsidR="00D8616A" w:rsidRPr="005B0796" w:rsidRDefault="00D8616A" w:rsidP="005A3ECF">
            <w:pPr>
              <w:pStyle w:val="TableText"/>
              <w:jc w:val="right"/>
              <w:rPr>
                <w:rFonts w:eastAsia="Times New Roman"/>
                <w:lang w:eastAsia="en-AU"/>
              </w:rPr>
            </w:pPr>
            <w:r w:rsidRPr="005B0796">
              <w:t>328</w:t>
            </w:r>
          </w:p>
        </w:tc>
        <w:tc>
          <w:tcPr>
            <w:tcW w:w="947" w:type="dxa"/>
            <w:hideMark/>
          </w:tcPr>
          <w:p w:rsidR="00D8616A" w:rsidRPr="005B0796" w:rsidRDefault="00D8616A" w:rsidP="005A3ECF">
            <w:pPr>
              <w:pStyle w:val="TableText"/>
              <w:jc w:val="right"/>
              <w:rPr>
                <w:rFonts w:eastAsia="Times New Roman"/>
                <w:lang w:eastAsia="en-AU"/>
              </w:rPr>
            </w:pPr>
            <w:r w:rsidRPr="005B0796">
              <w:t>2.2</w:t>
            </w:r>
          </w:p>
        </w:tc>
        <w:tc>
          <w:tcPr>
            <w:tcW w:w="946" w:type="dxa"/>
            <w:hideMark/>
          </w:tcPr>
          <w:p w:rsidR="00D8616A" w:rsidRPr="005B0796" w:rsidRDefault="00D8616A" w:rsidP="005A3ECF">
            <w:pPr>
              <w:pStyle w:val="TableText"/>
              <w:jc w:val="right"/>
              <w:rPr>
                <w:rFonts w:eastAsia="Times New Roman"/>
                <w:lang w:eastAsia="en-AU"/>
              </w:rPr>
            </w:pPr>
            <w:r w:rsidRPr="005B0796">
              <w:t>1.6, 3.0</w:t>
            </w:r>
          </w:p>
        </w:tc>
        <w:tc>
          <w:tcPr>
            <w:tcW w:w="947" w:type="dxa"/>
            <w:noWrap/>
            <w:hideMark/>
          </w:tcPr>
          <w:p w:rsidR="00D8616A" w:rsidRPr="005B0796" w:rsidRDefault="00D8616A" w:rsidP="005A3ECF">
            <w:pPr>
              <w:pStyle w:val="TableText"/>
              <w:jc w:val="right"/>
              <w:rPr>
                <w:rFonts w:eastAsia="Times New Roman"/>
                <w:lang w:eastAsia="en-AU"/>
              </w:rPr>
            </w:pPr>
            <w:r w:rsidRPr="005B0796">
              <w:t>51</w:t>
            </w:r>
          </w:p>
        </w:tc>
        <w:tc>
          <w:tcPr>
            <w:tcW w:w="946" w:type="dxa"/>
            <w:hideMark/>
          </w:tcPr>
          <w:p w:rsidR="00D8616A" w:rsidRPr="005B0796" w:rsidRDefault="00D8616A" w:rsidP="005A3ECF">
            <w:pPr>
              <w:pStyle w:val="TableText"/>
              <w:jc w:val="right"/>
              <w:rPr>
                <w:rFonts w:eastAsia="Times New Roman"/>
                <w:lang w:eastAsia="en-AU"/>
              </w:rPr>
            </w:pPr>
            <w:r w:rsidRPr="005B0796">
              <w:t>1.2</w:t>
            </w:r>
          </w:p>
        </w:tc>
        <w:tc>
          <w:tcPr>
            <w:tcW w:w="947" w:type="dxa"/>
            <w:hideMark/>
          </w:tcPr>
          <w:p w:rsidR="00D8616A" w:rsidRPr="005B0796" w:rsidRDefault="00D8616A" w:rsidP="005A3ECF">
            <w:pPr>
              <w:pStyle w:val="TableText"/>
              <w:jc w:val="right"/>
              <w:rPr>
                <w:rFonts w:eastAsia="Times New Roman"/>
                <w:lang w:eastAsia="en-AU"/>
              </w:rPr>
            </w:pPr>
            <w:r w:rsidRPr="005B0796">
              <w:t>0.7, 2.0</w:t>
            </w:r>
          </w:p>
        </w:tc>
      </w:tr>
      <w:tr w:rsidR="005A3ECF" w:rsidRPr="005B0796" w:rsidTr="005A3ECF">
        <w:trPr>
          <w:cnfStyle w:val="000000100000" w:firstRow="0" w:lastRow="0" w:firstColumn="0" w:lastColumn="0" w:oddVBand="0" w:evenVBand="0" w:oddHBand="1" w:evenHBand="0" w:firstRowFirstColumn="0" w:firstRowLastColumn="0" w:lastRowFirstColumn="0" w:lastRowLastColumn="0"/>
        </w:trPr>
        <w:tc>
          <w:tcPr>
            <w:tcW w:w="2988" w:type="dxa"/>
            <w:noWrap/>
            <w:hideMark/>
          </w:tcPr>
          <w:p w:rsidR="00D8616A" w:rsidRPr="005B0796" w:rsidRDefault="00D8616A" w:rsidP="005A3ECF">
            <w:pPr>
              <w:pStyle w:val="TableText"/>
              <w:rPr>
                <w:rFonts w:eastAsia="Times New Roman"/>
                <w:lang w:eastAsia="en-AU"/>
              </w:rPr>
            </w:pPr>
            <w:r w:rsidRPr="005B0796">
              <w:rPr>
                <w:rFonts w:eastAsia="Times New Roman"/>
              </w:rPr>
              <w:t>Any suicidality*</w:t>
            </w:r>
          </w:p>
        </w:tc>
        <w:tc>
          <w:tcPr>
            <w:tcW w:w="946" w:type="dxa"/>
            <w:noWrap/>
            <w:hideMark/>
          </w:tcPr>
          <w:p w:rsidR="00D8616A" w:rsidRPr="005B0796" w:rsidRDefault="00D8616A" w:rsidP="005A3ECF">
            <w:pPr>
              <w:pStyle w:val="TableText"/>
              <w:jc w:val="right"/>
              <w:rPr>
                <w:rFonts w:eastAsia="Times New Roman"/>
                <w:lang w:eastAsia="en-AU"/>
              </w:rPr>
            </w:pPr>
            <w:r w:rsidRPr="005B0796">
              <w:t>1207</w:t>
            </w:r>
          </w:p>
        </w:tc>
        <w:tc>
          <w:tcPr>
            <w:tcW w:w="946" w:type="dxa"/>
            <w:hideMark/>
          </w:tcPr>
          <w:p w:rsidR="00D8616A" w:rsidRPr="005B0796" w:rsidRDefault="00D8616A" w:rsidP="005A3ECF">
            <w:pPr>
              <w:pStyle w:val="TableText"/>
              <w:jc w:val="right"/>
              <w:rPr>
                <w:rFonts w:eastAsia="Times New Roman"/>
                <w:lang w:eastAsia="en-AU"/>
              </w:rPr>
            </w:pPr>
            <w:r w:rsidRPr="005B0796">
              <w:t>21.7</w:t>
            </w:r>
          </w:p>
        </w:tc>
        <w:tc>
          <w:tcPr>
            <w:tcW w:w="947" w:type="dxa"/>
            <w:hideMark/>
          </w:tcPr>
          <w:p w:rsidR="00D8616A" w:rsidRPr="005B0796" w:rsidRDefault="00D8616A" w:rsidP="005A3ECF">
            <w:pPr>
              <w:pStyle w:val="TableText"/>
              <w:jc w:val="right"/>
              <w:rPr>
                <w:rFonts w:eastAsia="Times New Roman"/>
                <w:lang w:eastAsia="en-AU"/>
              </w:rPr>
            </w:pPr>
            <w:r w:rsidRPr="005B0796">
              <w:t>18.5, 25.3</w:t>
            </w:r>
          </w:p>
        </w:tc>
        <w:tc>
          <w:tcPr>
            <w:tcW w:w="946" w:type="dxa"/>
            <w:noWrap/>
            <w:hideMark/>
          </w:tcPr>
          <w:p w:rsidR="00D8616A" w:rsidRPr="005B0796" w:rsidRDefault="00D8616A" w:rsidP="005A3ECF">
            <w:pPr>
              <w:pStyle w:val="TableText"/>
              <w:jc w:val="right"/>
              <w:rPr>
                <w:rFonts w:eastAsia="Times New Roman"/>
                <w:lang w:eastAsia="en-AU"/>
              </w:rPr>
            </w:pPr>
            <w:r w:rsidRPr="005B0796">
              <w:t>3367</w:t>
            </w:r>
          </w:p>
        </w:tc>
        <w:tc>
          <w:tcPr>
            <w:tcW w:w="947" w:type="dxa"/>
            <w:hideMark/>
          </w:tcPr>
          <w:p w:rsidR="00D8616A" w:rsidRPr="005B0796" w:rsidRDefault="00D8616A" w:rsidP="005A3ECF">
            <w:pPr>
              <w:pStyle w:val="TableText"/>
              <w:jc w:val="right"/>
              <w:rPr>
                <w:rFonts w:eastAsia="Times New Roman"/>
                <w:lang w:eastAsia="en-AU"/>
              </w:rPr>
            </w:pPr>
            <w:r w:rsidRPr="005B0796">
              <w:t>22.7</w:t>
            </w:r>
          </w:p>
        </w:tc>
        <w:tc>
          <w:tcPr>
            <w:tcW w:w="946" w:type="dxa"/>
            <w:hideMark/>
          </w:tcPr>
          <w:p w:rsidR="00D8616A" w:rsidRPr="005B0796" w:rsidRDefault="00D8616A" w:rsidP="005A3ECF">
            <w:pPr>
              <w:pStyle w:val="TableText"/>
              <w:jc w:val="right"/>
              <w:rPr>
                <w:rFonts w:eastAsia="Times New Roman"/>
                <w:lang w:eastAsia="en-AU"/>
              </w:rPr>
            </w:pPr>
            <w:r w:rsidRPr="005B0796">
              <w:t>20.7, 24.8</w:t>
            </w:r>
          </w:p>
        </w:tc>
        <w:tc>
          <w:tcPr>
            <w:tcW w:w="947" w:type="dxa"/>
            <w:noWrap/>
            <w:hideMark/>
          </w:tcPr>
          <w:p w:rsidR="00D8616A" w:rsidRPr="005B0796" w:rsidRDefault="00D8616A" w:rsidP="005A3ECF">
            <w:pPr>
              <w:pStyle w:val="TableText"/>
              <w:jc w:val="right"/>
              <w:rPr>
                <w:rFonts w:eastAsia="Times New Roman"/>
                <w:lang w:eastAsia="en-AU"/>
              </w:rPr>
            </w:pPr>
            <w:r w:rsidRPr="005B0796">
              <w:t>768</w:t>
            </w:r>
          </w:p>
        </w:tc>
        <w:tc>
          <w:tcPr>
            <w:tcW w:w="946" w:type="dxa"/>
            <w:hideMark/>
          </w:tcPr>
          <w:p w:rsidR="00D8616A" w:rsidRPr="005B0796" w:rsidRDefault="00D8616A" w:rsidP="005A3ECF">
            <w:pPr>
              <w:pStyle w:val="TableText"/>
              <w:jc w:val="right"/>
              <w:rPr>
                <w:rFonts w:eastAsia="Times New Roman"/>
                <w:lang w:eastAsia="en-AU"/>
              </w:rPr>
            </w:pPr>
            <w:r w:rsidRPr="005B0796">
              <w:t>18.4</w:t>
            </w:r>
          </w:p>
        </w:tc>
        <w:tc>
          <w:tcPr>
            <w:tcW w:w="947" w:type="dxa"/>
            <w:hideMark/>
          </w:tcPr>
          <w:p w:rsidR="00D8616A" w:rsidRPr="005B0796" w:rsidRDefault="00D8616A" w:rsidP="005A3ECF">
            <w:pPr>
              <w:pStyle w:val="TableText"/>
              <w:jc w:val="right"/>
              <w:rPr>
                <w:rFonts w:eastAsia="Times New Roman"/>
                <w:lang w:eastAsia="en-AU"/>
              </w:rPr>
            </w:pPr>
            <w:r w:rsidRPr="005B0796">
              <w:t>15.8, 21.5</w:t>
            </w:r>
          </w:p>
        </w:tc>
      </w:tr>
    </w:tbl>
    <w:p w:rsidR="00171F0C" w:rsidRPr="005B0796" w:rsidRDefault="00171F0C" w:rsidP="00171F0C">
      <w:pPr>
        <w:pStyle w:val="TableNotes"/>
      </w:pPr>
      <w:r w:rsidRPr="005B0796">
        <w:rPr>
          <w:vertAlign w:val="superscript"/>
        </w:rPr>
        <w:t>a</w:t>
      </w:r>
      <w:r w:rsidRPr="005B0796">
        <w:t xml:space="preserve"> Army vs Navy: OR 1.6, 95% CI 1.1, 2.3</w:t>
      </w:r>
    </w:p>
    <w:p w:rsidR="00171F0C" w:rsidRPr="005B0796" w:rsidRDefault="00171F0C" w:rsidP="00171F0C">
      <w:pPr>
        <w:pStyle w:val="TableNotes"/>
        <w:rPr>
          <w:rFonts w:cs="@헤드라인A"/>
        </w:rPr>
      </w:pPr>
      <w:r w:rsidRPr="005B0796">
        <w:t xml:space="preserve">* </w:t>
      </w:r>
      <w:r w:rsidRPr="005B0796">
        <w:rPr>
          <w:rFonts w:cs="@헤드라인A"/>
        </w:rPr>
        <w:t xml:space="preserve">Calculated as yes to </w:t>
      </w:r>
      <w:r w:rsidR="002B2CFD">
        <w:rPr>
          <w:rFonts w:cs="@헤드라인A"/>
        </w:rPr>
        <w:t>‘</w:t>
      </w:r>
      <w:r w:rsidR="00F773A8" w:rsidRPr="005B0796">
        <w:rPr>
          <w:rFonts w:cs="@헤드라인A"/>
        </w:rPr>
        <w:t xml:space="preserve">felt </w:t>
      </w:r>
      <w:r w:rsidRPr="005B0796">
        <w:rPr>
          <w:rFonts w:cs="@헤드라인A"/>
        </w:rPr>
        <w:t>so low thought about committing suicide</w:t>
      </w:r>
      <w:r w:rsidR="002B2CFD">
        <w:rPr>
          <w:rFonts w:cs="@헤드라인A"/>
        </w:rPr>
        <w:t>’</w:t>
      </w:r>
      <w:r w:rsidRPr="005B0796">
        <w:rPr>
          <w:rFonts w:cs="@헤드라인A"/>
        </w:rPr>
        <w:t xml:space="preserve">, </w:t>
      </w:r>
      <w:r w:rsidR="002B2CFD">
        <w:rPr>
          <w:rFonts w:cs="@헤드라인A"/>
        </w:rPr>
        <w:t>‘</w:t>
      </w:r>
      <w:r w:rsidR="00F773A8" w:rsidRPr="005B0796">
        <w:rPr>
          <w:rFonts w:cs="@헤드라인A"/>
        </w:rPr>
        <w:t xml:space="preserve">made </w:t>
      </w:r>
      <w:r w:rsidRPr="005B0796">
        <w:rPr>
          <w:rFonts w:cs="@헤드라인A"/>
        </w:rPr>
        <w:t>a suicide plan</w:t>
      </w:r>
      <w:r w:rsidR="002B2CFD">
        <w:rPr>
          <w:rFonts w:cs="@헤드라인A"/>
        </w:rPr>
        <w:t>’</w:t>
      </w:r>
      <w:r w:rsidRPr="005B0796">
        <w:rPr>
          <w:rFonts w:cs="@헤드라인A"/>
        </w:rPr>
        <w:t xml:space="preserve">, or </w:t>
      </w:r>
      <w:r w:rsidR="002B2CFD">
        <w:rPr>
          <w:rFonts w:cs="@헤드라인A"/>
        </w:rPr>
        <w:t>‘</w:t>
      </w:r>
      <w:r w:rsidR="00F773A8" w:rsidRPr="005B0796">
        <w:rPr>
          <w:rFonts w:cs="@헤드라인A"/>
        </w:rPr>
        <w:t xml:space="preserve">attempted </w:t>
      </w:r>
      <w:r w:rsidRPr="005B0796">
        <w:rPr>
          <w:rFonts w:cs="@헤드라인A"/>
        </w:rPr>
        <w:t>suicide</w:t>
      </w:r>
      <w:r w:rsidR="002B2CFD">
        <w:rPr>
          <w:rFonts w:cs="@헤드라인A"/>
        </w:rPr>
        <w:t>’</w:t>
      </w:r>
    </w:p>
    <w:p w:rsidR="00171F0C" w:rsidRPr="005B0796" w:rsidRDefault="00171F0C" w:rsidP="00171F0C">
      <w:pPr>
        <w:pStyle w:val="TableNotes"/>
        <w:rPr>
          <w:rFonts w:cs="Calibri"/>
          <w:bCs/>
        </w:rPr>
      </w:pPr>
      <w:r w:rsidRPr="005B0796">
        <w:rPr>
          <w:rFonts w:cs="Calibri"/>
          <w:bCs/>
        </w:rPr>
        <w:t>Note</w:t>
      </w:r>
      <w:r w:rsidR="008C2520" w:rsidRPr="005B0796">
        <w:rPr>
          <w:rFonts w:cs="Calibri"/>
          <w:bCs/>
        </w:rPr>
        <w:t>s</w:t>
      </w:r>
      <w:r w:rsidRPr="005B0796">
        <w:rPr>
          <w:rFonts w:cs="Calibri"/>
          <w:bCs/>
        </w:rPr>
        <w:t>:</w:t>
      </w:r>
      <w:r w:rsidR="008C2520" w:rsidRPr="005B0796">
        <w:rPr>
          <w:rFonts w:cs="Calibri"/>
          <w:bCs/>
        </w:rPr>
        <w:br/>
      </w:r>
      <w:r w:rsidRPr="005B0796">
        <w:rPr>
          <w:rFonts w:cs="Calibri"/>
          <w:bCs/>
        </w:rPr>
        <w:t>95%</w:t>
      </w:r>
      <w:r w:rsidR="002B2CFD">
        <w:rPr>
          <w:rFonts w:cs="Calibri"/>
          <w:bCs/>
        </w:rPr>
        <w:t xml:space="preserve"> </w:t>
      </w:r>
      <w:r w:rsidRPr="005B0796">
        <w:rPr>
          <w:rFonts w:cs="Calibri"/>
          <w:bCs/>
        </w:rPr>
        <w:t xml:space="preserve">CI: 95% </w:t>
      </w:r>
      <w:r w:rsidR="00564689" w:rsidRPr="005B0796">
        <w:rPr>
          <w:rFonts w:cs="Calibri"/>
          <w:bCs/>
        </w:rPr>
        <w:t>confidence interval</w:t>
      </w:r>
    </w:p>
    <w:p w:rsidR="00171F0C" w:rsidRPr="005B0796" w:rsidRDefault="00171F0C" w:rsidP="00171F0C">
      <w:pPr>
        <w:pStyle w:val="TableNotes"/>
        <w:rPr>
          <w:color w:val="000000" w:themeColor="text1"/>
        </w:rPr>
      </w:pPr>
      <w:r w:rsidRPr="005B0796">
        <w:rPr>
          <w:color w:val="000000" w:themeColor="text1"/>
        </w:rPr>
        <w:t xml:space="preserve">This terminology reflects the standardised survey item used in this study </w:t>
      </w:r>
      <w:r w:rsidR="002B2CFD">
        <w:rPr>
          <w:color w:val="000000" w:themeColor="text1"/>
        </w:rPr>
        <w:t xml:space="preserve">– </w:t>
      </w:r>
      <w:r w:rsidRPr="005B0796">
        <w:rPr>
          <w:color w:val="000000" w:themeColor="text1"/>
        </w:rPr>
        <w:t>however</w:t>
      </w:r>
      <w:r w:rsidR="002B2CFD">
        <w:rPr>
          <w:color w:val="000000" w:themeColor="text1"/>
        </w:rPr>
        <w:t>,</w:t>
      </w:r>
      <w:r w:rsidRPr="005B0796">
        <w:rPr>
          <w:color w:val="000000" w:themeColor="text1"/>
        </w:rPr>
        <w:t xml:space="preserve"> it should be noted that this is no longer considered an appropriate description, and the term </w:t>
      </w:r>
      <w:r w:rsidR="00462A0C" w:rsidRPr="005B0796">
        <w:rPr>
          <w:color w:val="000000" w:themeColor="text1"/>
        </w:rPr>
        <w:t>‘</w:t>
      </w:r>
      <w:r w:rsidR="002B2CFD">
        <w:rPr>
          <w:color w:val="000000" w:themeColor="text1"/>
        </w:rPr>
        <w:t xml:space="preserve">thought about </w:t>
      </w:r>
      <w:r w:rsidRPr="005B0796">
        <w:rPr>
          <w:color w:val="000000" w:themeColor="text1"/>
        </w:rPr>
        <w:t>committing suicide</w:t>
      </w:r>
      <w:r w:rsidR="00462A0C" w:rsidRPr="005B0796">
        <w:rPr>
          <w:color w:val="000000" w:themeColor="text1"/>
        </w:rPr>
        <w:t>’</w:t>
      </w:r>
      <w:r w:rsidRPr="005B0796">
        <w:rPr>
          <w:color w:val="000000" w:themeColor="text1"/>
        </w:rPr>
        <w:t xml:space="preserve"> should be replaced with </w:t>
      </w:r>
      <w:r w:rsidR="00462A0C" w:rsidRPr="005B0796">
        <w:rPr>
          <w:color w:val="000000" w:themeColor="text1"/>
        </w:rPr>
        <w:t>‘</w:t>
      </w:r>
      <w:r w:rsidRPr="005B0796">
        <w:rPr>
          <w:color w:val="000000" w:themeColor="text1"/>
        </w:rPr>
        <w:t>thought about taking their own life</w:t>
      </w:r>
      <w:r w:rsidR="00462A0C" w:rsidRPr="005B0796">
        <w:rPr>
          <w:color w:val="000000" w:themeColor="text1"/>
        </w:rPr>
        <w:t>’</w:t>
      </w:r>
    </w:p>
    <w:p w:rsidR="00D8616A" w:rsidRPr="005B0796" w:rsidRDefault="00D8616A" w:rsidP="00D8616A"/>
    <w:p w:rsidR="00D8616A" w:rsidRPr="005B0796" w:rsidRDefault="00D8616A" w:rsidP="00D8616A">
      <w:pPr>
        <w:sectPr w:rsidR="00D8616A" w:rsidRPr="005B0796" w:rsidSect="00BE66A5">
          <w:headerReference w:type="even" r:id="rId145"/>
          <w:headerReference w:type="default" r:id="rId146"/>
          <w:footerReference w:type="even" r:id="rId147"/>
          <w:footerReference w:type="default" r:id="rId148"/>
          <w:pgSz w:w="14170" w:h="9979" w:orient="landscape" w:code="243"/>
          <w:pgMar w:top="1872" w:right="1440" w:bottom="1152" w:left="1440" w:header="576" w:footer="576" w:gutter="0"/>
          <w:cols w:space="708"/>
          <w:docGrid w:linePitch="360"/>
        </w:sectPr>
      </w:pPr>
    </w:p>
    <w:p w:rsidR="00171F0C" w:rsidRPr="005B0796" w:rsidRDefault="00171F0C" w:rsidP="00700D82">
      <w:pPr>
        <w:pStyle w:val="FigureName"/>
      </w:pPr>
      <w:bookmarkStart w:id="798" w:name="_Ref484520386"/>
      <w:bookmarkStart w:id="799" w:name="_Toc482023846"/>
      <w:bookmarkStart w:id="800" w:name="_Toc487014384"/>
      <w:bookmarkStart w:id="801" w:name="_Toc51190055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36</w:t>
      </w:r>
      <w:r w:rsidR="00D30A3C">
        <w:rPr>
          <w:noProof/>
        </w:rPr>
        <w:fldChar w:fldCharType="end"/>
      </w:r>
      <w:bookmarkEnd w:id="798"/>
      <w:bookmarkEnd w:id="799"/>
      <w:r w:rsidRPr="005B0796">
        <w:tab/>
        <w:t>Estimated prevalence of suicidality</w:t>
      </w:r>
      <w:r w:rsidR="002B2CFD">
        <w:t>,</w:t>
      </w:r>
      <w:r w:rsidR="00786452" w:rsidRPr="005B0796">
        <w:t xml:space="preserve"> </w:t>
      </w:r>
      <w:r w:rsidRPr="005B0796">
        <w:t>by Service at transition from Regular ADF into Transitioned ADF (Navy, Army and Air Force)</w:t>
      </w:r>
      <w:bookmarkEnd w:id="800"/>
      <w:bookmarkEnd w:id="801"/>
    </w:p>
    <w:tbl>
      <w:tblPr>
        <w:tblW w:w="5000" w:type="pct"/>
        <w:tblLayout w:type="fixed"/>
        <w:tblCellMar>
          <w:left w:w="115" w:type="dxa"/>
          <w:right w:w="115" w:type="dxa"/>
        </w:tblCellMar>
        <w:tblLook w:val="04A0" w:firstRow="1" w:lastRow="0" w:firstColumn="1" w:lastColumn="0" w:noHBand="0" w:noVBand="1"/>
      </w:tblPr>
      <w:tblGrid>
        <w:gridCol w:w="7329"/>
      </w:tblGrid>
      <w:tr w:rsidR="00D8616A" w:rsidRPr="005B0796" w:rsidTr="00786452">
        <w:trPr>
          <w:cantSplit/>
        </w:trPr>
        <w:tc>
          <w:tcPr>
            <w:tcW w:w="9486" w:type="dxa"/>
          </w:tcPr>
          <w:p w:rsidR="00D8616A" w:rsidRPr="005B0796" w:rsidRDefault="00D8616A" w:rsidP="00786452">
            <w:pPr>
              <w:keepNext/>
            </w:pPr>
            <w:r w:rsidRPr="005B0796">
              <w:rPr>
                <w:i/>
                <w:noProof/>
                <w:lang w:eastAsia="en-AU"/>
              </w:rPr>
              <w:drawing>
                <wp:inline distT="0" distB="0" distL="0" distR="0" wp14:anchorId="70C87E55" wp14:editId="56A38195">
                  <wp:extent cx="4572000" cy="2743200"/>
                  <wp:effectExtent l="0" t="0" r="0" b="0"/>
                  <wp:docPr id="96" name="Chart 96" descr="Figure 4.36 Estimated prevalence of suicidality by Service at transition from Regular ADF into Transitioned ADF (Navy, Army and Air 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bl>
    <w:p w:rsidR="00171F0C" w:rsidRPr="005B0796" w:rsidRDefault="00171F0C" w:rsidP="00171F0C">
      <w:pPr>
        <w:pStyle w:val="TableNotes"/>
      </w:pPr>
      <w:r w:rsidRPr="005B0796">
        <w:t>Suicidal plans: Army vs Navy: OR 1.6, 95% CI 1.1, 2.3.</w:t>
      </w:r>
    </w:p>
    <w:p w:rsidR="00171F0C" w:rsidRPr="005B0796" w:rsidRDefault="00171F0C" w:rsidP="00171F0C">
      <w:pPr>
        <w:pStyle w:val="TableNotes"/>
        <w:rPr>
          <w:rFonts w:cs="@헤드라인A"/>
        </w:rPr>
      </w:pPr>
      <w:r w:rsidRPr="005B0796">
        <w:t xml:space="preserve">* </w:t>
      </w:r>
      <w:r w:rsidRPr="005B0796">
        <w:rPr>
          <w:rFonts w:cs="@헤드라인A"/>
        </w:rPr>
        <w:t xml:space="preserve">Calculated as yes to </w:t>
      </w:r>
      <w:r w:rsidR="002B2CFD">
        <w:rPr>
          <w:rFonts w:cs="@헤드라인A"/>
        </w:rPr>
        <w:t>‘</w:t>
      </w:r>
      <w:r w:rsidR="00F773A8" w:rsidRPr="005B0796">
        <w:rPr>
          <w:rFonts w:cs="@헤드라인A"/>
        </w:rPr>
        <w:t xml:space="preserve">felt </w:t>
      </w:r>
      <w:r w:rsidRPr="005B0796">
        <w:rPr>
          <w:rFonts w:cs="@헤드라인A"/>
        </w:rPr>
        <w:t>so low thought about committing suicide</w:t>
      </w:r>
      <w:r w:rsidR="002B2CFD">
        <w:rPr>
          <w:rFonts w:cs="@헤드라인A"/>
        </w:rPr>
        <w:t>’</w:t>
      </w:r>
      <w:r w:rsidRPr="005B0796">
        <w:rPr>
          <w:rFonts w:cs="@헤드라인A"/>
        </w:rPr>
        <w:t xml:space="preserve">, </w:t>
      </w:r>
      <w:r w:rsidR="002B2CFD">
        <w:rPr>
          <w:rFonts w:cs="@헤드라인A"/>
        </w:rPr>
        <w:t>‘</w:t>
      </w:r>
      <w:r w:rsidR="00F773A8" w:rsidRPr="005B0796">
        <w:rPr>
          <w:rFonts w:cs="@헤드라인A"/>
        </w:rPr>
        <w:t xml:space="preserve">made </w:t>
      </w:r>
      <w:r w:rsidRPr="005B0796">
        <w:rPr>
          <w:rFonts w:cs="@헤드라인A"/>
        </w:rPr>
        <w:t>a suicide plan</w:t>
      </w:r>
      <w:r w:rsidR="002B2CFD">
        <w:rPr>
          <w:rFonts w:cs="@헤드라인A"/>
        </w:rPr>
        <w:t>’</w:t>
      </w:r>
      <w:r w:rsidRPr="005B0796">
        <w:rPr>
          <w:rFonts w:cs="@헤드라인A"/>
        </w:rPr>
        <w:t xml:space="preserve">, or </w:t>
      </w:r>
      <w:r w:rsidR="002B2CFD">
        <w:rPr>
          <w:rFonts w:cs="@헤드라인A"/>
        </w:rPr>
        <w:t>‘</w:t>
      </w:r>
      <w:r w:rsidR="00F773A8" w:rsidRPr="005B0796">
        <w:rPr>
          <w:rFonts w:cs="@헤드라인A"/>
        </w:rPr>
        <w:t xml:space="preserve">attempted </w:t>
      </w:r>
      <w:r w:rsidRPr="005B0796">
        <w:rPr>
          <w:rFonts w:cs="@헤드라인A"/>
        </w:rPr>
        <w:t>suicide</w:t>
      </w:r>
      <w:r w:rsidR="002B2CFD">
        <w:rPr>
          <w:rFonts w:cs="@헤드라인A"/>
        </w:rPr>
        <w:t>’</w:t>
      </w:r>
    </w:p>
    <w:p w:rsidR="00D8616A" w:rsidRPr="005B0796" w:rsidRDefault="00D8616A" w:rsidP="00786452">
      <w:pPr>
        <w:pStyle w:val="Heading4"/>
      </w:pPr>
      <w:r w:rsidRPr="005B0796">
        <w:t>Rank</w:t>
      </w:r>
    </w:p>
    <w:p w:rsidR="00D8616A" w:rsidRPr="005B0796" w:rsidRDefault="009E72D3" w:rsidP="00786452">
      <w:r w:rsidRPr="005B0796">
        <w:t>Table 4.45</w:t>
      </w:r>
      <w:r w:rsidR="00D8616A" w:rsidRPr="005B0796">
        <w:t xml:space="preserve"> and </w:t>
      </w:r>
      <w:r w:rsidRPr="005B0796">
        <w:t>Figure 4.37</w:t>
      </w:r>
      <w:r w:rsidR="00D8616A" w:rsidRPr="005B0796">
        <w:t xml:space="preserve"> show the estimated prevalence of 12-month suicidality in the Transitioned ADF, by rank at the time of transition. Officers had the lowest estimated prevalence of overall suicidality (13.2%, 95% CI 11.7, 14.8). Just over 8% of Non</w:t>
      </w:r>
      <w:r w:rsidR="00D8616A" w:rsidRPr="005B0796">
        <w:noBreakHyphen/>
        <w:t>Commissioned Officers and Other Ranks reported making a suicide plan in the last 12 months, representing about 1700 people. Approximately 2.5% of Other Ranks (estimated n = 337) and 1.8% of Non-Commissioned Officers (estimated n = 138) reported a suicide attempt. Compared to Officers, Non-Commissioned Officers were significantly more likely to report suicidal ideation (OR 1.9, 95% CI 1.6, 2.2), plans (OR 1.5, 95% CI 1.2, 1.9) and attempts (OR 2.3, 95% CI 1.3, 4.1) as were Transitioned ADF who were Other Ranks (suicidal ideation OR 2.3, 95% CI 1.7, 2.9; plans OR 1.4, 95% CI 1.0, 2.0; attempts OR 2.7, 95% CI 1.2, 5.8). The only significant difference between Non-Commissioned Officers and Other Ranks was for suicidal ideation, with Transitioned ADF in the Other Ranks being significantly more likely to report feeling so low they thought about committing suicide (OR 1.3, 95% CI 1.0, 1.5).</w:t>
      </w:r>
    </w:p>
    <w:p w:rsidR="009066FB" w:rsidRPr="005B0796" w:rsidRDefault="009066FB" w:rsidP="009066FB">
      <w:pPr>
        <w:sectPr w:rsidR="009066FB" w:rsidRPr="005B0796" w:rsidSect="00BE5E98">
          <w:footerReference w:type="default" r:id="rId150"/>
          <w:pgSz w:w="9979" w:h="14170" w:code="243"/>
          <w:pgMar w:top="1440" w:right="1152" w:bottom="1440" w:left="1728" w:header="576" w:footer="576" w:gutter="0"/>
          <w:cols w:space="708"/>
          <w:docGrid w:linePitch="360"/>
        </w:sectPr>
      </w:pPr>
      <w:bookmarkStart w:id="802" w:name="_Ref484520161"/>
      <w:bookmarkStart w:id="803" w:name="_Toc482023809"/>
      <w:bookmarkStart w:id="804" w:name="_Toc487014296"/>
      <w:bookmarkStart w:id="805" w:name="_Toc492995599"/>
    </w:p>
    <w:p w:rsidR="00D8616A" w:rsidRPr="005B0796" w:rsidRDefault="00171F0C" w:rsidP="00171F0C">
      <w:pPr>
        <w:pStyle w:val="TableName"/>
      </w:pPr>
      <w:bookmarkStart w:id="806" w:name="_Ref494281645"/>
      <w:bookmarkStart w:id="807" w:name="_Toc51190044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45</w:t>
      </w:r>
      <w:r w:rsidR="00D30A3C">
        <w:rPr>
          <w:noProof/>
        </w:rPr>
        <w:fldChar w:fldCharType="end"/>
      </w:r>
      <w:bookmarkEnd w:id="802"/>
      <w:bookmarkEnd w:id="806"/>
      <w:r w:rsidRPr="005B0796">
        <w:tab/>
        <w:t xml:space="preserve">Estimated prevalence of suicidality, by rank at transition from Regular </w:t>
      </w:r>
      <w:bookmarkEnd w:id="803"/>
      <w:r w:rsidRPr="005B0796">
        <w:t>ADF into Transitioned ADF</w:t>
      </w:r>
      <w:bookmarkEnd w:id="804"/>
      <w:bookmarkEnd w:id="805"/>
      <w:bookmarkEnd w:id="807"/>
    </w:p>
    <w:tbl>
      <w:tblPr>
        <w:tblStyle w:val="TWRPTable"/>
        <w:tblW w:w="5000" w:type="pct"/>
        <w:tblLayout w:type="fixed"/>
        <w:tblLook w:val="04A0" w:firstRow="1" w:lastRow="0" w:firstColumn="1" w:lastColumn="0" w:noHBand="0" w:noVBand="1"/>
        <w:tblDescription w:val="Table 4.45 Estimated prevalence of suicidality, by rank at transition from Regular ADF into Transitioned ADF"/>
      </w:tblPr>
      <w:tblGrid>
        <w:gridCol w:w="2628"/>
        <w:gridCol w:w="986"/>
        <w:gridCol w:w="986"/>
        <w:gridCol w:w="987"/>
        <w:gridCol w:w="986"/>
        <w:gridCol w:w="987"/>
        <w:gridCol w:w="986"/>
        <w:gridCol w:w="987"/>
        <w:gridCol w:w="986"/>
        <w:gridCol w:w="987"/>
      </w:tblGrid>
      <w:tr w:rsidR="00D8616A" w:rsidRPr="005B0796" w:rsidTr="009066FB">
        <w:trPr>
          <w:cnfStyle w:val="100000000000" w:firstRow="1" w:lastRow="0" w:firstColumn="0" w:lastColumn="0" w:oddVBand="0" w:evenVBand="0" w:oddHBand="0" w:evenHBand="0" w:firstRowFirstColumn="0" w:firstRowLastColumn="0" w:lastRowFirstColumn="0" w:lastRowLastColumn="0"/>
          <w:tblHeader/>
        </w:trPr>
        <w:tc>
          <w:tcPr>
            <w:tcW w:w="2628" w:type="dxa"/>
            <w:vMerge w:val="restart"/>
            <w:tcBorders>
              <w:top w:val="single" w:sz="4" w:space="0" w:color="000000"/>
              <w:bottom w:val="nil"/>
            </w:tcBorders>
            <w:noWrap/>
            <w:hideMark/>
          </w:tcPr>
          <w:p w:rsidR="00D8616A" w:rsidRPr="005B0796" w:rsidRDefault="00D8616A" w:rsidP="009066FB">
            <w:pPr>
              <w:pStyle w:val="TableText"/>
              <w:rPr>
                <w:lang w:eastAsia="en-AU"/>
              </w:rPr>
            </w:pPr>
          </w:p>
        </w:tc>
        <w:tc>
          <w:tcPr>
            <w:tcW w:w="8878" w:type="dxa"/>
            <w:gridSpan w:val="9"/>
            <w:noWrap/>
            <w:hideMark/>
          </w:tcPr>
          <w:p w:rsidR="00D8616A" w:rsidRPr="005B0796" w:rsidRDefault="00D8616A" w:rsidP="009066FB">
            <w:pPr>
              <w:pStyle w:val="TableText"/>
              <w:jc w:val="center"/>
              <w:rPr>
                <w:rFonts w:eastAsia="Times New Roman"/>
                <w:bCs/>
                <w:lang w:eastAsia="en-AU"/>
              </w:rPr>
            </w:pPr>
            <w:r w:rsidRPr="005B0796">
              <w:rPr>
                <w:rFonts w:eastAsia="Times New Roman"/>
                <w:bCs/>
                <w:lang w:eastAsia="en-AU"/>
              </w:rPr>
              <w:t>Rank at transition</w:t>
            </w:r>
          </w:p>
        </w:tc>
      </w:tr>
      <w:tr w:rsidR="00D8616A" w:rsidRPr="005B0796" w:rsidTr="009066FB">
        <w:trPr>
          <w:cnfStyle w:val="100000000000" w:firstRow="1" w:lastRow="0" w:firstColumn="0" w:lastColumn="0" w:oddVBand="0" w:evenVBand="0" w:oddHBand="0" w:evenHBand="0" w:firstRowFirstColumn="0" w:firstRowLastColumn="0" w:lastRowFirstColumn="0" w:lastRowLastColumn="0"/>
          <w:tblHeader/>
        </w:trPr>
        <w:tc>
          <w:tcPr>
            <w:tcW w:w="2628" w:type="dxa"/>
            <w:vMerge/>
            <w:tcBorders>
              <w:top w:val="nil"/>
              <w:bottom w:val="nil"/>
            </w:tcBorders>
            <w:hideMark/>
          </w:tcPr>
          <w:p w:rsidR="00D8616A" w:rsidRPr="005B0796" w:rsidRDefault="00D8616A" w:rsidP="009066FB">
            <w:pPr>
              <w:pStyle w:val="TableText"/>
              <w:rPr>
                <w:rFonts w:eastAsia="Times New Roman"/>
                <w:bCs/>
                <w:lang w:eastAsia="en-AU"/>
              </w:rPr>
            </w:pPr>
          </w:p>
        </w:tc>
        <w:tc>
          <w:tcPr>
            <w:tcW w:w="2959" w:type="dxa"/>
            <w:gridSpan w:val="3"/>
            <w:noWrap/>
            <w:hideMark/>
          </w:tcPr>
          <w:p w:rsidR="00D8616A" w:rsidRPr="005B0796" w:rsidRDefault="00D8616A" w:rsidP="009066FB">
            <w:pPr>
              <w:pStyle w:val="TableText"/>
              <w:jc w:val="center"/>
              <w:rPr>
                <w:rFonts w:eastAsia="Times New Roman"/>
                <w:bCs/>
                <w:lang w:eastAsia="en-AU"/>
              </w:rPr>
            </w:pPr>
            <w:r w:rsidRPr="005B0796">
              <w:rPr>
                <w:rFonts w:eastAsia="Times New Roman"/>
                <w:bCs/>
                <w:lang w:eastAsia="en-AU"/>
              </w:rPr>
              <w:t>OFFR (n = 4063)</w:t>
            </w:r>
          </w:p>
        </w:tc>
        <w:tc>
          <w:tcPr>
            <w:tcW w:w="2959" w:type="dxa"/>
            <w:gridSpan w:val="3"/>
            <w:noWrap/>
            <w:hideMark/>
          </w:tcPr>
          <w:p w:rsidR="00D8616A" w:rsidRPr="005B0796" w:rsidRDefault="00D8616A" w:rsidP="009066FB">
            <w:pPr>
              <w:pStyle w:val="TableText"/>
              <w:jc w:val="center"/>
              <w:rPr>
                <w:rFonts w:eastAsia="Times New Roman"/>
                <w:bCs/>
                <w:lang w:eastAsia="en-AU"/>
              </w:rPr>
            </w:pPr>
            <w:r w:rsidRPr="005B0796">
              <w:rPr>
                <w:rFonts w:eastAsia="Times New Roman"/>
                <w:bCs/>
                <w:lang w:eastAsia="en-AU"/>
              </w:rPr>
              <w:t>NCO (n = 7866)</w:t>
            </w:r>
          </w:p>
        </w:tc>
        <w:tc>
          <w:tcPr>
            <w:tcW w:w="2960" w:type="dxa"/>
            <w:gridSpan w:val="3"/>
            <w:noWrap/>
            <w:hideMark/>
          </w:tcPr>
          <w:p w:rsidR="00D8616A" w:rsidRPr="005B0796" w:rsidRDefault="00D8616A" w:rsidP="009066FB">
            <w:pPr>
              <w:pStyle w:val="TableText"/>
              <w:jc w:val="center"/>
              <w:rPr>
                <w:rFonts w:eastAsia="Times New Roman"/>
                <w:bCs/>
                <w:lang w:eastAsia="en-AU"/>
              </w:rPr>
            </w:pPr>
            <w:r w:rsidRPr="005B0796">
              <w:rPr>
                <w:rFonts w:eastAsia="Times New Roman"/>
                <w:bCs/>
                <w:lang w:eastAsia="en-AU"/>
              </w:rPr>
              <w:t>Other Ranks (n = 13,003)</w:t>
            </w:r>
          </w:p>
        </w:tc>
      </w:tr>
      <w:tr w:rsidR="00D8616A" w:rsidRPr="005B0796" w:rsidTr="009066FB">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nil"/>
            </w:tcBorders>
            <w:noWrap/>
            <w:hideMark/>
          </w:tcPr>
          <w:p w:rsidR="00D8616A" w:rsidRPr="005B0796" w:rsidRDefault="009066FB" w:rsidP="009066FB">
            <w:pPr>
              <w:pStyle w:val="TableText"/>
              <w:rPr>
                <w:rFonts w:eastAsia="Times New Roman"/>
                <w:bCs/>
                <w:lang w:eastAsia="en-AU"/>
              </w:rPr>
            </w:pPr>
            <w:r w:rsidRPr="005B0796">
              <w:rPr>
                <w:lang w:eastAsia="en-AU"/>
              </w:rPr>
              <w:t>Suicidality</w:t>
            </w:r>
          </w:p>
        </w:tc>
        <w:tc>
          <w:tcPr>
            <w:tcW w:w="986" w:type="dxa"/>
            <w:noWrap/>
            <w:hideMark/>
          </w:tcPr>
          <w:p w:rsidR="00D8616A" w:rsidRPr="005B0796" w:rsidRDefault="00D8616A" w:rsidP="009066FB">
            <w:pPr>
              <w:pStyle w:val="TableText"/>
              <w:jc w:val="right"/>
              <w:rPr>
                <w:rFonts w:eastAsia="Times New Roman"/>
                <w:lang w:eastAsia="en-AU"/>
              </w:rPr>
            </w:pPr>
            <w:r w:rsidRPr="005B0796">
              <w:rPr>
                <w:rFonts w:eastAsia="Times New Roman"/>
                <w:lang w:eastAsia="en-AU"/>
              </w:rPr>
              <w:t>Weighted n</w:t>
            </w:r>
          </w:p>
        </w:tc>
        <w:tc>
          <w:tcPr>
            <w:tcW w:w="986" w:type="dxa"/>
            <w:hideMark/>
          </w:tcPr>
          <w:p w:rsidR="00D8616A" w:rsidRPr="005B0796" w:rsidRDefault="00D8616A" w:rsidP="009066FB">
            <w:pPr>
              <w:pStyle w:val="TableText"/>
              <w:jc w:val="right"/>
              <w:rPr>
                <w:rFonts w:eastAsia="Times New Roman"/>
                <w:lang w:eastAsia="en-AU"/>
              </w:rPr>
            </w:pPr>
            <w:r w:rsidRPr="005B0796">
              <w:rPr>
                <w:rFonts w:eastAsia="Times New Roman"/>
              </w:rPr>
              <w:t>%</w:t>
            </w:r>
          </w:p>
        </w:tc>
        <w:tc>
          <w:tcPr>
            <w:tcW w:w="987" w:type="dxa"/>
            <w:hideMark/>
          </w:tcPr>
          <w:p w:rsidR="00D8616A" w:rsidRPr="005B0796" w:rsidRDefault="00D8616A" w:rsidP="009066FB">
            <w:pPr>
              <w:pStyle w:val="TableText"/>
              <w:jc w:val="right"/>
              <w:rPr>
                <w:rFonts w:eastAsia="Times New Roman"/>
                <w:lang w:eastAsia="en-AU"/>
              </w:rPr>
            </w:pPr>
            <w:r w:rsidRPr="005B0796">
              <w:rPr>
                <w:rFonts w:eastAsia="Times New Roman"/>
              </w:rPr>
              <w:t>95% CI</w:t>
            </w:r>
          </w:p>
        </w:tc>
        <w:tc>
          <w:tcPr>
            <w:tcW w:w="986" w:type="dxa"/>
            <w:noWrap/>
            <w:hideMark/>
          </w:tcPr>
          <w:p w:rsidR="00D8616A" w:rsidRPr="005B0796" w:rsidRDefault="00D8616A" w:rsidP="009066FB">
            <w:pPr>
              <w:pStyle w:val="TableText"/>
              <w:jc w:val="right"/>
              <w:rPr>
                <w:rFonts w:eastAsia="Times New Roman"/>
                <w:lang w:eastAsia="en-AU"/>
              </w:rPr>
            </w:pPr>
            <w:r w:rsidRPr="005B0796">
              <w:rPr>
                <w:rFonts w:eastAsia="Times New Roman"/>
                <w:lang w:eastAsia="en-AU"/>
              </w:rPr>
              <w:t>Weighted n</w:t>
            </w:r>
          </w:p>
        </w:tc>
        <w:tc>
          <w:tcPr>
            <w:tcW w:w="987" w:type="dxa"/>
            <w:hideMark/>
          </w:tcPr>
          <w:p w:rsidR="00D8616A" w:rsidRPr="005B0796" w:rsidRDefault="00D8616A" w:rsidP="009066FB">
            <w:pPr>
              <w:pStyle w:val="TableText"/>
              <w:jc w:val="right"/>
              <w:rPr>
                <w:rFonts w:eastAsia="Times New Roman"/>
                <w:lang w:eastAsia="en-AU"/>
              </w:rPr>
            </w:pPr>
            <w:r w:rsidRPr="005B0796">
              <w:rPr>
                <w:rFonts w:eastAsia="Times New Roman"/>
              </w:rPr>
              <w:t>%</w:t>
            </w:r>
          </w:p>
        </w:tc>
        <w:tc>
          <w:tcPr>
            <w:tcW w:w="986" w:type="dxa"/>
            <w:hideMark/>
          </w:tcPr>
          <w:p w:rsidR="00D8616A" w:rsidRPr="005B0796" w:rsidRDefault="00D8616A" w:rsidP="009066FB">
            <w:pPr>
              <w:pStyle w:val="TableText"/>
              <w:jc w:val="right"/>
              <w:rPr>
                <w:rFonts w:eastAsia="Times New Roman"/>
                <w:lang w:eastAsia="en-AU"/>
              </w:rPr>
            </w:pPr>
            <w:r w:rsidRPr="005B0796">
              <w:rPr>
                <w:rFonts w:eastAsia="Times New Roman"/>
              </w:rPr>
              <w:t>95% CI</w:t>
            </w:r>
          </w:p>
        </w:tc>
        <w:tc>
          <w:tcPr>
            <w:tcW w:w="987" w:type="dxa"/>
            <w:noWrap/>
            <w:hideMark/>
          </w:tcPr>
          <w:p w:rsidR="00D8616A" w:rsidRPr="005B0796" w:rsidRDefault="00D8616A" w:rsidP="009066FB">
            <w:pPr>
              <w:pStyle w:val="TableText"/>
              <w:jc w:val="right"/>
              <w:rPr>
                <w:rFonts w:eastAsia="Times New Roman"/>
                <w:lang w:eastAsia="en-AU"/>
              </w:rPr>
            </w:pPr>
            <w:r w:rsidRPr="005B0796">
              <w:rPr>
                <w:rFonts w:eastAsia="Times New Roman"/>
                <w:lang w:eastAsia="en-AU"/>
              </w:rPr>
              <w:t>Weighted n</w:t>
            </w:r>
          </w:p>
        </w:tc>
        <w:tc>
          <w:tcPr>
            <w:tcW w:w="986" w:type="dxa"/>
            <w:hideMark/>
          </w:tcPr>
          <w:p w:rsidR="00D8616A" w:rsidRPr="005B0796" w:rsidRDefault="00D8616A" w:rsidP="009066FB">
            <w:pPr>
              <w:pStyle w:val="TableText"/>
              <w:jc w:val="right"/>
              <w:rPr>
                <w:rFonts w:eastAsia="Times New Roman"/>
                <w:lang w:eastAsia="en-AU"/>
              </w:rPr>
            </w:pPr>
            <w:r w:rsidRPr="005B0796">
              <w:rPr>
                <w:rFonts w:eastAsia="Times New Roman"/>
              </w:rPr>
              <w:t>%</w:t>
            </w:r>
          </w:p>
        </w:tc>
        <w:tc>
          <w:tcPr>
            <w:tcW w:w="987" w:type="dxa"/>
            <w:hideMark/>
          </w:tcPr>
          <w:p w:rsidR="00D8616A" w:rsidRPr="005B0796" w:rsidRDefault="00D8616A" w:rsidP="009066FB">
            <w:pPr>
              <w:pStyle w:val="TableText"/>
              <w:jc w:val="right"/>
              <w:rPr>
                <w:rFonts w:eastAsia="Times New Roman"/>
                <w:lang w:eastAsia="en-AU"/>
              </w:rPr>
            </w:pPr>
            <w:r w:rsidRPr="005B0796">
              <w:rPr>
                <w:rFonts w:eastAsia="Times New Roman"/>
              </w:rPr>
              <w:t>95% CI</w:t>
            </w:r>
          </w:p>
        </w:tc>
      </w:tr>
      <w:tr w:rsidR="00D8616A" w:rsidRPr="005B0796" w:rsidTr="009066FB">
        <w:trPr>
          <w:cnfStyle w:val="000000100000" w:firstRow="0" w:lastRow="0" w:firstColumn="0" w:lastColumn="0" w:oddVBand="0" w:evenVBand="0" w:oddHBand="1" w:evenHBand="0" w:firstRowFirstColumn="0" w:firstRowLastColumn="0" w:lastRowFirstColumn="0" w:lastRowLastColumn="0"/>
        </w:trPr>
        <w:tc>
          <w:tcPr>
            <w:tcW w:w="2628" w:type="dxa"/>
            <w:hideMark/>
          </w:tcPr>
          <w:p w:rsidR="00D8616A" w:rsidRPr="005B0796" w:rsidRDefault="00D8616A" w:rsidP="009066FB">
            <w:pPr>
              <w:pStyle w:val="TableText"/>
              <w:rPr>
                <w:rFonts w:eastAsia="Times New Roman"/>
                <w:lang w:eastAsia="en-AU"/>
              </w:rPr>
            </w:pPr>
            <w:r w:rsidRPr="005B0796">
              <w:rPr>
                <w:rFonts w:eastAsia="Times New Roman"/>
              </w:rPr>
              <w:t>Felt life not worth living</w:t>
            </w:r>
            <w:r w:rsidRPr="005B0796">
              <w:rPr>
                <w:rFonts w:eastAsia="Times New Roman"/>
                <w:vertAlign w:val="superscript"/>
              </w:rPr>
              <w:t>a</w:t>
            </w:r>
          </w:p>
        </w:tc>
        <w:tc>
          <w:tcPr>
            <w:tcW w:w="986" w:type="dxa"/>
            <w:noWrap/>
            <w:hideMark/>
          </w:tcPr>
          <w:p w:rsidR="00D8616A" w:rsidRPr="005B0796" w:rsidRDefault="00D8616A" w:rsidP="009066FB">
            <w:pPr>
              <w:pStyle w:val="TableText"/>
              <w:jc w:val="right"/>
              <w:rPr>
                <w:rFonts w:eastAsia="Times New Roman"/>
                <w:lang w:eastAsia="en-AU"/>
              </w:rPr>
            </w:pPr>
            <w:r w:rsidRPr="005B0796">
              <w:t>837</w:t>
            </w:r>
          </w:p>
        </w:tc>
        <w:tc>
          <w:tcPr>
            <w:tcW w:w="986" w:type="dxa"/>
            <w:hideMark/>
          </w:tcPr>
          <w:p w:rsidR="00D8616A" w:rsidRPr="005B0796" w:rsidRDefault="00D8616A" w:rsidP="009066FB">
            <w:pPr>
              <w:pStyle w:val="TableText"/>
              <w:jc w:val="right"/>
              <w:rPr>
                <w:rFonts w:eastAsia="Times New Roman"/>
                <w:lang w:eastAsia="en-AU"/>
              </w:rPr>
            </w:pPr>
            <w:r w:rsidRPr="005B0796">
              <w:t>20.7</w:t>
            </w:r>
          </w:p>
        </w:tc>
        <w:tc>
          <w:tcPr>
            <w:tcW w:w="987" w:type="dxa"/>
            <w:hideMark/>
          </w:tcPr>
          <w:p w:rsidR="00D8616A" w:rsidRPr="005B0796" w:rsidRDefault="00D8616A" w:rsidP="009066FB">
            <w:pPr>
              <w:pStyle w:val="TableText"/>
              <w:jc w:val="right"/>
              <w:rPr>
                <w:rFonts w:eastAsia="Times New Roman"/>
                <w:lang w:eastAsia="en-AU"/>
              </w:rPr>
            </w:pPr>
            <w:r w:rsidRPr="005B0796">
              <w:t>18.9, 22.6</w:t>
            </w:r>
          </w:p>
        </w:tc>
        <w:tc>
          <w:tcPr>
            <w:tcW w:w="986" w:type="dxa"/>
            <w:noWrap/>
            <w:hideMark/>
          </w:tcPr>
          <w:p w:rsidR="00D8616A" w:rsidRPr="005B0796" w:rsidRDefault="00D8616A" w:rsidP="009066FB">
            <w:pPr>
              <w:pStyle w:val="TableText"/>
              <w:jc w:val="right"/>
              <w:rPr>
                <w:rFonts w:eastAsia="Times New Roman"/>
                <w:lang w:eastAsia="en-AU"/>
              </w:rPr>
            </w:pPr>
            <w:r w:rsidRPr="005B0796">
              <w:t>2212</w:t>
            </w:r>
          </w:p>
        </w:tc>
        <w:tc>
          <w:tcPr>
            <w:tcW w:w="987" w:type="dxa"/>
            <w:hideMark/>
          </w:tcPr>
          <w:p w:rsidR="00D8616A" w:rsidRPr="005B0796" w:rsidRDefault="00D8616A" w:rsidP="009066FB">
            <w:pPr>
              <w:pStyle w:val="TableText"/>
              <w:jc w:val="right"/>
              <w:rPr>
                <w:rFonts w:eastAsia="Times New Roman"/>
                <w:lang w:eastAsia="en-AU"/>
              </w:rPr>
            </w:pPr>
            <w:r w:rsidRPr="005B0796">
              <w:t>28.6</w:t>
            </w:r>
          </w:p>
        </w:tc>
        <w:tc>
          <w:tcPr>
            <w:tcW w:w="986" w:type="dxa"/>
            <w:hideMark/>
          </w:tcPr>
          <w:p w:rsidR="00D8616A" w:rsidRPr="005B0796" w:rsidRDefault="00D8616A" w:rsidP="009066FB">
            <w:pPr>
              <w:pStyle w:val="TableText"/>
              <w:jc w:val="right"/>
              <w:rPr>
                <w:rFonts w:eastAsia="Times New Roman"/>
                <w:lang w:eastAsia="en-AU"/>
              </w:rPr>
            </w:pPr>
            <w:r w:rsidRPr="005B0796">
              <w:t>26.9, 30.4</w:t>
            </w:r>
          </w:p>
        </w:tc>
        <w:tc>
          <w:tcPr>
            <w:tcW w:w="987" w:type="dxa"/>
            <w:noWrap/>
            <w:hideMark/>
          </w:tcPr>
          <w:p w:rsidR="00D8616A" w:rsidRPr="005B0796" w:rsidRDefault="00D8616A" w:rsidP="009066FB">
            <w:pPr>
              <w:pStyle w:val="TableText"/>
              <w:jc w:val="right"/>
              <w:rPr>
                <w:rFonts w:eastAsia="Times New Roman"/>
                <w:lang w:eastAsia="en-AU"/>
              </w:rPr>
            </w:pPr>
            <w:r w:rsidRPr="005B0796">
              <w:t>4159</w:t>
            </w:r>
          </w:p>
        </w:tc>
        <w:tc>
          <w:tcPr>
            <w:tcW w:w="986" w:type="dxa"/>
            <w:hideMark/>
          </w:tcPr>
          <w:p w:rsidR="00D8616A" w:rsidRPr="005B0796" w:rsidRDefault="00D8616A" w:rsidP="009066FB">
            <w:pPr>
              <w:pStyle w:val="TableText"/>
              <w:jc w:val="right"/>
              <w:rPr>
                <w:rFonts w:eastAsia="Times New Roman"/>
                <w:lang w:eastAsia="en-AU"/>
              </w:rPr>
            </w:pPr>
            <w:r w:rsidRPr="005B0796">
              <w:t>32.4</w:t>
            </w:r>
          </w:p>
        </w:tc>
        <w:tc>
          <w:tcPr>
            <w:tcW w:w="987" w:type="dxa"/>
            <w:hideMark/>
          </w:tcPr>
          <w:p w:rsidR="00D8616A" w:rsidRPr="005B0796" w:rsidRDefault="00D8616A" w:rsidP="009066FB">
            <w:pPr>
              <w:pStyle w:val="TableText"/>
              <w:jc w:val="right"/>
              <w:rPr>
                <w:rFonts w:eastAsia="Times New Roman"/>
                <w:lang w:eastAsia="en-AU"/>
              </w:rPr>
            </w:pPr>
            <w:r w:rsidRPr="005B0796">
              <w:t>29.6, 35.5</w:t>
            </w:r>
          </w:p>
        </w:tc>
      </w:tr>
      <w:tr w:rsidR="00D8616A" w:rsidRPr="005B0796" w:rsidTr="009066FB">
        <w:tc>
          <w:tcPr>
            <w:tcW w:w="2628" w:type="dxa"/>
            <w:hideMark/>
          </w:tcPr>
          <w:p w:rsidR="00D8616A" w:rsidRPr="005B0796" w:rsidRDefault="00D8616A" w:rsidP="009066FB">
            <w:pPr>
              <w:pStyle w:val="TableText"/>
              <w:rPr>
                <w:rFonts w:eastAsia="Times New Roman"/>
                <w:lang w:eastAsia="en-AU"/>
              </w:rPr>
            </w:pPr>
            <w:r w:rsidRPr="005B0796">
              <w:rPr>
                <w:rFonts w:eastAsia="Times New Roman"/>
              </w:rPr>
              <w:t>Felt so low thought about committing suicide</w:t>
            </w:r>
            <w:r w:rsidRPr="005B0796">
              <w:rPr>
                <w:rFonts w:eastAsia="Times New Roman"/>
                <w:vertAlign w:val="superscript"/>
              </w:rPr>
              <w:t>b</w:t>
            </w:r>
          </w:p>
        </w:tc>
        <w:tc>
          <w:tcPr>
            <w:tcW w:w="986" w:type="dxa"/>
            <w:noWrap/>
            <w:hideMark/>
          </w:tcPr>
          <w:p w:rsidR="00D8616A" w:rsidRPr="005B0796" w:rsidRDefault="00D8616A" w:rsidP="009066FB">
            <w:pPr>
              <w:pStyle w:val="TableText"/>
              <w:jc w:val="right"/>
              <w:rPr>
                <w:rFonts w:eastAsia="Times New Roman"/>
                <w:lang w:eastAsia="en-AU"/>
              </w:rPr>
            </w:pPr>
            <w:r w:rsidRPr="005B0796">
              <w:t>520</w:t>
            </w:r>
          </w:p>
        </w:tc>
        <w:tc>
          <w:tcPr>
            <w:tcW w:w="986" w:type="dxa"/>
            <w:hideMark/>
          </w:tcPr>
          <w:p w:rsidR="00D8616A" w:rsidRPr="005B0796" w:rsidRDefault="00D8616A" w:rsidP="009066FB">
            <w:pPr>
              <w:pStyle w:val="TableText"/>
              <w:jc w:val="right"/>
              <w:rPr>
                <w:rFonts w:eastAsia="Times New Roman"/>
                <w:lang w:eastAsia="en-AU"/>
              </w:rPr>
            </w:pPr>
            <w:r w:rsidRPr="005B0796">
              <w:t>12.9</w:t>
            </w:r>
          </w:p>
        </w:tc>
        <w:tc>
          <w:tcPr>
            <w:tcW w:w="987" w:type="dxa"/>
            <w:hideMark/>
          </w:tcPr>
          <w:p w:rsidR="00D8616A" w:rsidRPr="005B0796" w:rsidRDefault="00D8616A" w:rsidP="009066FB">
            <w:pPr>
              <w:pStyle w:val="TableText"/>
              <w:jc w:val="right"/>
              <w:rPr>
                <w:rFonts w:eastAsia="Times New Roman"/>
                <w:lang w:eastAsia="en-AU"/>
              </w:rPr>
            </w:pPr>
            <w:r w:rsidRPr="005B0796">
              <w:t>11.5, 14.5</w:t>
            </w:r>
          </w:p>
        </w:tc>
        <w:tc>
          <w:tcPr>
            <w:tcW w:w="986" w:type="dxa"/>
            <w:noWrap/>
            <w:hideMark/>
          </w:tcPr>
          <w:p w:rsidR="00D8616A" w:rsidRPr="005B0796" w:rsidRDefault="00D8616A" w:rsidP="009066FB">
            <w:pPr>
              <w:pStyle w:val="TableText"/>
              <w:jc w:val="right"/>
              <w:rPr>
                <w:rFonts w:eastAsia="Times New Roman"/>
                <w:lang w:eastAsia="en-AU"/>
              </w:rPr>
            </w:pPr>
            <w:r w:rsidRPr="005B0796">
              <w:t>1664</w:t>
            </w:r>
          </w:p>
        </w:tc>
        <w:tc>
          <w:tcPr>
            <w:tcW w:w="987" w:type="dxa"/>
            <w:hideMark/>
          </w:tcPr>
          <w:p w:rsidR="00D8616A" w:rsidRPr="005B0796" w:rsidRDefault="00D8616A" w:rsidP="009066FB">
            <w:pPr>
              <w:pStyle w:val="TableText"/>
              <w:jc w:val="right"/>
              <w:rPr>
                <w:rFonts w:eastAsia="Times New Roman"/>
                <w:lang w:eastAsia="en-AU"/>
              </w:rPr>
            </w:pPr>
            <w:r w:rsidRPr="005B0796">
              <w:t>21.5</w:t>
            </w:r>
          </w:p>
        </w:tc>
        <w:tc>
          <w:tcPr>
            <w:tcW w:w="986" w:type="dxa"/>
            <w:hideMark/>
          </w:tcPr>
          <w:p w:rsidR="00D8616A" w:rsidRPr="005B0796" w:rsidRDefault="00D8616A" w:rsidP="009066FB">
            <w:pPr>
              <w:pStyle w:val="TableText"/>
              <w:jc w:val="right"/>
              <w:rPr>
                <w:rFonts w:eastAsia="Times New Roman"/>
                <w:lang w:eastAsia="en-AU"/>
              </w:rPr>
            </w:pPr>
            <w:r w:rsidRPr="005B0796">
              <w:t>20.0, 23.1</w:t>
            </w:r>
          </w:p>
        </w:tc>
        <w:tc>
          <w:tcPr>
            <w:tcW w:w="987" w:type="dxa"/>
            <w:noWrap/>
            <w:hideMark/>
          </w:tcPr>
          <w:p w:rsidR="00D8616A" w:rsidRPr="005B0796" w:rsidRDefault="00D8616A" w:rsidP="009066FB">
            <w:pPr>
              <w:pStyle w:val="TableText"/>
              <w:jc w:val="right"/>
              <w:rPr>
                <w:rFonts w:eastAsia="Times New Roman"/>
                <w:lang w:eastAsia="en-AU"/>
              </w:rPr>
            </w:pPr>
            <w:r w:rsidRPr="005B0796">
              <w:t>3111</w:t>
            </w:r>
          </w:p>
        </w:tc>
        <w:tc>
          <w:tcPr>
            <w:tcW w:w="986" w:type="dxa"/>
            <w:hideMark/>
          </w:tcPr>
          <w:p w:rsidR="00D8616A" w:rsidRPr="005B0796" w:rsidRDefault="00D8616A" w:rsidP="009066FB">
            <w:pPr>
              <w:pStyle w:val="TableText"/>
              <w:jc w:val="right"/>
              <w:rPr>
                <w:rFonts w:eastAsia="Times New Roman"/>
                <w:lang w:eastAsia="en-AU"/>
              </w:rPr>
            </w:pPr>
            <w:r w:rsidRPr="005B0796">
              <w:t>24.3</w:t>
            </w:r>
          </w:p>
        </w:tc>
        <w:tc>
          <w:tcPr>
            <w:tcW w:w="987" w:type="dxa"/>
            <w:hideMark/>
          </w:tcPr>
          <w:p w:rsidR="00D8616A" w:rsidRPr="005B0796" w:rsidRDefault="00D8616A" w:rsidP="009066FB">
            <w:pPr>
              <w:pStyle w:val="TableText"/>
              <w:jc w:val="right"/>
              <w:rPr>
                <w:rFonts w:eastAsia="Times New Roman"/>
                <w:lang w:eastAsia="en-AU"/>
              </w:rPr>
            </w:pPr>
            <w:r w:rsidRPr="005B0796">
              <w:t>21.7, 27.1</w:t>
            </w:r>
          </w:p>
        </w:tc>
      </w:tr>
      <w:tr w:rsidR="00D8616A" w:rsidRPr="005B0796" w:rsidTr="009066FB">
        <w:trPr>
          <w:cnfStyle w:val="000000100000" w:firstRow="0" w:lastRow="0" w:firstColumn="0" w:lastColumn="0" w:oddVBand="0" w:evenVBand="0" w:oddHBand="1" w:evenHBand="0" w:firstRowFirstColumn="0" w:firstRowLastColumn="0" w:lastRowFirstColumn="0" w:lastRowLastColumn="0"/>
        </w:trPr>
        <w:tc>
          <w:tcPr>
            <w:tcW w:w="2628" w:type="dxa"/>
            <w:hideMark/>
          </w:tcPr>
          <w:p w:rsidR="00D8616A" w:rsidRPr="005B0796" w:rsidRDefault="00D8616A" w:rsidP="009066FB">
            <w:pPr>
              <w:pStyle w:val="TableText"/>
              <w:rPr>
                <w:rFonts w:eastAsia="Times New Roman"/>
                <w:lang w:eastAsia="en-AU"/>
              </w:rPr>
            </w:pPr>
            <w:r w:rsidRPr="005B0796">
              <w:rPr>
                <w:rFonts w:eastAsia="Times New Roman"/>
              </w:rPr>
              <w:t>Made a suicide plan</w:t>
            </w:r>
            <w:r w:rsidRPr="005B0796">
              <w:rPr>
                <w:rFonts w:eastAsia="Times New Roman"/>
                <w:vertAlign w:val="superscript"/>
              </w:rPr>
              <w:t>c</w:t>
            </w:r>
          </w:p>
        </w:tc>
        <w:tc>
          <w:tcPr>
            <w:tcW w:w="986" w:type="dxa"/>
            <w:noWrap/>
            <w:hideMark/>
          </w:tcPr>
          <w:p w:rsidR="00D8616A" w:rsidRPr="005B0796" w:rsidRDefault="00D8616A" w:rsidP="009066FB">
            <w:pPr>
              <w:pStyle w:val="TableText"/>
              <w:jc w:val="right"/>
              <w:rPr>
                <w:rFonts w:eastAsia="Times New Roman"/>
                <w:lang w:eastAsia="en-AU"/>
              </w:rPr>
            </w:pPr>
            <w:r w:rsidRPr="005B0796">
              <w:t>227</w:t>
            </w:r>
          </w:p>
        </w:tc>
        <w:tc>
          <w:tcPr>
            <w:tcW w:w="986" w:type="dxa"/>
            <w:hideMark/>
          </w:tcPr>
          <w:p w:rsidR="00D8616A" w:rsidRPr="005B0796" w:rsidRDefault="00D8616A" w:rsidP="009066FB">
            <w:pPr>
              <w:pStyle w:val="TableText"/>
              <w:jc w:val="right"/>
              <w:rPr>
                <w:rFonts w:eastAsia="Times New Roman"/>
                <w:lang w:eastAsia="en-AU"/>
              </w:rPr>
            </w:pPr>
            <w:r w:rsidRPr="005B0796">
              <w:t>5.6</w:t>
            </w:r>
          </w:p>
        </w:tc>
        <w:tc>
          <w:tcPr>
            <w:tcW w:w="987" w:type="dxa"/>
            <w:hideMark/>
          </w:tcPr>
          <w:p w:rsidR="00D8616A" w:rsidRPr="005B0796" w:rsidRDefault="00D8616A" w:rsidP="009066FB">
            <w:pPr>
              <w:pStyle w:val="TableText"/>
              <w:jc w:val="right"/>
              <w:rPr>
                <w:rFonts w:eastAsia="Times New Roman"/>
                <w:lang w:eastAsia="en-AU"/>
              </w:rPr>
            </w:pPr>
            <w:r w:rsidRPr="005B0796">
              <w:t>4.7, 6.7</w:t>
            </w:r>
          </w:p>
        </w:tc>
        <w:tc>
          <w:tcPr>
            <w:tcW w:w="986" w:type="dxa"/>
            <w:noWrap/>
            <w:hideMark/>
          </w:tcPr>
          <w:p w:rsidR="00D8616A" w:rsidRPr="005B0796" w:rsidRDefault="00D8616A" w:rsidP="009066FB">
            <w:pPr>
              <w:pStyle w:val="TableText"/>
              <w:jc w:val="right"/>
              <w:rPr>
                <w:rFonts w:eastAsia="Times New Roman"/>
                <w:lang w:eastAsia="en-AU"/>
              </w:rPr>
            </w:pPr>
            <w:r w:rsidRPr="005B0796">
              <w:t>644</w:t>
            </w:r>
          </w:p>
        </w:tc>
        <w:tc>
          <w:tcPr>
            <w:tcW w:w="987" w:type="dxa"/>
            <w:hideMark/>
          </w:tcPr>
          <w:p w:rsidR="00D8616A" w:rsidRPr="005B0796" w:rsidRDefault="00D8616A" w:rsidP="009066FB">
            <w:pPr>
              <w:pStyle w:val="TableText"/>
              <w:jc w:val="right"/>
              <w:rPr>
                <w:rFonts w:eastAsia="Times New Roman"/>
                <w:lang w:eastAsia="en-AU"/>
              </w:rPr>
            </w:pPr>
            <w:r w:rsidRPr="005B0796">
              <w:t>8.3</w:t>
            </w:r>
          </w:p>
        </w:tc>
        <w:tc>
          <w:tcPr>
            <w:tcW w:w="986" w:type="dxa"/>
            <w:hideMark/>
          </w:tcPr>
          <w:p w:rsidR="00D8616A" w:rsidRPr="005B0796" w:rsidRDefault="00D8616A" w:rsidP="009066FB">
            <w:pPr>
              <w:pStyle w:val="TableText"/>
              <w:jc w:val="right"/>
              <w:rPr>
                <w:rFonts w:eastAsia="Times New Roman"/>
                <w:lang w:eastAsia="en-AU"/>
              </w:rPr>
            </w:pPr>
            <w:r w:rsidRPr="005B0796">
              <w:t>7.4, 9.4</w:t>
            </w:r>
          </w:p>
        </w:tc>
        <w:tc>
          <w:tcPr>
            <w:tcW w:w="987" w:type="dxa"/>
            <w:noWrap/>
            <w:hideMark/>
          </w:tcPr>
          <w:p w:rsidR="00D8616A" w:rsidRPr="005B0796" w:rsidRDefault="00D8616A" w:rsidP="009066FB">
            <w:pPr>
              <w:pStyle w:val="TableText"/>
              <w:jc w:val="right"/>
              <w:rPr>
                <w:rFonts w:eastAsia="Times New Roman"/>
                <w:lang w:eastAsia="en-AU"/>
              </w:rPr>
            </w:pPr>
            <w:r w:rsidRPr="005B0796">
              <w:t>1094</w:t>
            </w:r>
          </w:p>
        </w:tc>
        <w:tc>
          <w:tcPr>
            <w:tcW w:w="986" w:type="dxa"/>
            <w:hideMark/>
          </w:tcPr>
          <w:p w:rsidR="00D8616A" w:rsidRPr="005B0796" w:rsidRDefault="00D8616A" w:rsidP="009066FB">
            <w:pPr>
              <w:pStyle w:val="TableText"/>
              <w:jc w:val="right"/>
              <w:rPr>
                <w:rFonts w:eastAsia="Times New Roman"/>
                <w:lang w:eastAsia="en-AU"/>
              </w:rPr>
            </w:pPr>
            <w:r w:rsidRPr="005B0796">
              <w:t>8.6</w:t>
            </w:r>
          </w:p>
        </w:tc>
        <w:tc>
          <w:tcPr>
            <w:tcW w:w="987" w:type="dxa"/>
            <w:hideMark/>
          </w:tcPr>
          <w:p w:rsidR="00D8616A" w:rsidRPr="005B0796" w:rsidRDefault="00D8616A" w:rsidP="009066FB">
            <w:pPr>
              <w:pStyle w:val="TableText"/>
              <w:jc w:val="right"/>
              <w:rPr>
                <w:rFonts w:eastAsia="Times New Roman"/>
                <w:lang w:eastAsia="en-AU"/>
              </w:rPr>
            </w:pPr>
            <w:r w:rsidRPr="005B0796">
              <w:t>6.9, 10.4</w:t>
            </w:r>
          </w:p>
        </w:tc>
      </w:tr>
      <w:tr w:rsidR="00D8616A" w:rsidRPr="005B0796" w:rsidTr="009066FB">
        <w:tc>
          <w:tcPr>
            <w:tcW w:w="2628" w:type="dxa"/>
            <w:noWrap/>
            <w:hideMark/>
          </w:tcPr>
          <w:p w:rsidR="00D8616A" w:rsidRPr="005B0796" w:rsidRDefault="00D8616A" w:rsidP="009066FB">
            <w:pPr>
              <w:pStyle w:val="TableText"/>
              <w:rPr>
                <w:rFonts w:eastAsia="Times New Roman"/>
                <w:lang w:eastAsia="en-AU"/>
              </w:rPr>
            </w:pPr>
            <w:r w:rsidRPr="005B0796">
              <w:rPr>
                <w:rFonts w:eastAsia="Times New Roman"/>
              </w:rPr>
              <w:t>Attempted suicide</w:t>
            </w:r>
            <w:r w:rsidRPr="005B0796">
              <w:rPr>
                <w:rFonts w:eastAsia="Times New Roman"/>
                <w:vertAlign w:val="superscript"/>
              </w:rPr>
              <w:t>d</w:t>
            </w:r>
          </w:p>
        </w:tc>
        <w:tc>
          <w:tcPr>
            <w:tcW w:w="986" w:type="dxa"/>
            <w:noWrap/>
            <w:hideMark/>
          </w:tcPr>
          <w:p w:rsidR="00D8616A" w:rsidRPr="005B0796" w:rsidRDefault="00D8616A" w:rsidP="009066FB">
            <w:pPr>
              <w:pStyle w:val="TableText"/>
              <w:jc w:val="right"/>
              <w:rPr>
                <w:rFonts w:eastAsia="Times New Roman"/>
                <w:lang w:eastAsia="en-AU"/>
              </w:rPr>
            </w:pPr>
            <w:r w:rsidRPr="005B0796">
              <w:t>29</w:t>
            </w:r>
          </w:p>
        </w:tc>
        <w:tc>
          <w:tcPr>
            <w:tcW w:w="986" w:type="dxa"/>
            <w:hideMark/>
          </w:tcPr>
          <w:p w:rsidR="00D8616A" w:rsidRPr="005B0796" w:rsidRDefault="00D8616A" w:rsidP="009066FB">
            <w:pPr>
              <w:pStyle w:val="TableText"/>
              <w:jc w:val="right"/>
              <w:rPr>
                <w:rFonts w:eastAsia="Times New Roman"/>
                <w:lang w:eastAsia="en-AU"/>
              </w:rPr>
            </w:pPr>
            <w:r w:rsidRPr="005B0796">
              <w:t>0.7</w:t>
            </w:r>
          </w:p>
        </w:tc>
        <w:tc>
          <w:tcPr>
            <w:tcW w:w="987" w:type="dxa"/>
            <w:hideMark/>
          </w:tcPr>
          <w:p w:rsidR="00D8616A" w:rsidRPr="005B0796" w:rsidRDefault="00D8616A" w:rsidP="009066FB">
            <w:pPr>
              <w:pStyle w:val="TableText"/>
              <w:jc w:val="right"/>
              <w:rPr>
                <w:rFonts w:eastAsia="Times New Roman"/>
                <w:lang w:eastAsia="en-AU"/>
              </w:rPr>
            </w:pPr>
            <w:r w:rsidRPr="005B0796">
              <w:t>0.4, 1.2</w:t>
            </w:r>
          </w:p>
        </w:tc>
        <w:tc>
          <w:tcPr>
            <w:tcW w:w="986" w:type="dxa"/>
            <w:noWrap/>
            <w:hideMark/>
          </w:tcPr>
          <w:p w:rsidR="00D8616A" w:rsidRPr="005B0796" w:rsidRDefault="00D8616A" w:rsidP="009066FB">
            <w:pPr>
              <w:pStyle w:val="TableText"/>
              <w:jc w:val="right"/>
              <w:rPr>
                <w:rFonts w:eastAsia="Times New Roman"/>
                <w:lang w:eastAsia="en-AU"/>
              </w:rPr>
            </w:pPr>
            <w:r w:rsidRPr="005B0796">
              <w:t>138</w:t>
            </w:r>
          </w:p>
        </w:tc>
        <w:tc>
          <w:tcPr>
            <w:tcW w:w="987" w:type="dxa"/>
            <w:hideMark/>
          </w:tcPr>
          <w:p w:rsidR="00D8616A" w:rsidRPr="005B0796" w:rsidRDefault="00D8616A" w:rsidP="009066FB">
            <w:pPr>
              <w:pStyle w:val="TableText"/>
              <w:jc w:val="right"/>
              <w:rPr>
                <w:rFonts w:eastAsia="Times New Roman"/>
                <w:lang w:eastAsia="en-AU"/>
              </w:rPr>
            </w:pPr>
            <w:r w:rsidRPr="005B0796">
              <w:t>1.8</w:t>
            </w:r>
          </w:p>
        </w:tc>
        <w:tc>
          <w:tcPr>
            <w:tcW w:w="986" w:type="dxa"/>
            <w:hideMark/>
          </w:tcPr>
          <w:p w:rsidR="00D8616A" w:rsidRPr="005B0796" w:rsidRDefault="00D8616A" w:rsidP="009066FB">
            <w:pPr>
              <w:pStyle w:val="TableText"/>
              <w:jc w:val="right"/>
              <w:rPr>
                <w:rFonts w:eastAsia="Times New Roman"/>
                <w:lang w:eastAsia="en-AU"/>
              </w:rPr>
            </w:pPr>
            <w:r w:rsidRPr="005B0796">
              <w:t>1.4, 2.3</w:t>
            </w:r>
          </w:p>
        </w:tc>
        <w:tc>
          <w:tcPr>
            <w:tcW w:w="987" w:type="dxa"/>
            <w:noWrap/>
            <w:hideMark/>
          </w:tcPr>
          <w:p w:rsidR="00D8616A" w:rsidRPr="005B0796" w:rsidRDefault="00D8616A" w:rsidP="009066FB">
            <w:pPr>
              <w:pStyle w:val="TableText"/>
              <w:jc w:val="right"/>
              <w:rPr>
                <w:rFonts w:eastAsia="Times New Roman"/>
                <w:lang w:eastAsia="en-AU"/>
              </w:rPr>
            </w:pPr>
            <w:r w:rsidRPr="005B0796">
              <w:t>337</w:t>
            </w:r>
          </w:p>
        </w:tc>
        <w:tc>
          <w:tcPr>
            <w:tcW w:w="986" w:type="dxa"/>
            <w:hideMark/>
          </w:tcPr>
          <w:p w:rsidR="00D8616A" w:rsidRPr="005B0796" w:rsidRDefault="00D8616A" w:rsidP="009066FB">
            <w:pPr>
              <w:pStyle w:val="TableText"/>
              <w:jc w:val="right"/>
              <w:rPr>
                <w:rFonts w:eastAsia="Times New Roman"/>
                <w:lang w:eastAsia="en-AU"/>
              </w:rPr>
            </w:pPr>
            <w:r w:rsidRPr="005B0796">
              <w:t>2.6</w:t>
            </w:r>
          </w:p>
        </w:tc>
        <w:tc>
          <w:tcPr>
            <w:tcW w:w="987" w:type="dxa"/>
            <w:hideMark/>
          </w:tcPr>
          <w:p w:rsidR="00D8616A" w:rsidRPr="005B0796" w:rsidRDefault="00D8616A" w:rsidP="009066FB">
            <w:pPr>
              <w:pStyle w:val="TableText"/>
              <w:jc w:val="right"/>
              <w:rPr>
                <w:rFonts w:eastAsia="Times New Roman"/>
                <w:lang w:eastAsia="en-AU"/>
              </w:rPr>
            </w:pPr>
            <w:r w:rsidRPr="005B0796">
              <w:t>1.8, 3.8</w:t>
            </w:r>
          </w:p>
        </w:tc>
      </w:tr>
      <w:tr w:rsidR="00D8616A" w:rsidRPr="005B0796" w:rsidTr="009066FB">
        <w:trPr>
          <w:cnfStyle w:val="000000100000" w:firstRow="0" w:lastRow="0" w:firstColumn="0" w:lastColumn="0" w:oddVBand="0" w:evenVBand="0" w:oddHBand="1" w:evenHBand="0" w:firstRowFirstColumn="0" w:firstRowLastColumn="0" w:lastRowFirstColumn="0" w:lastRowLastColumn="0"/>
        </w:trPr>
        <w:tc>
          <w:tcPr>
            <w:tcW w:w="2628" w:type="dxa"/>
            <w:noWrap/>
            <w:hideMark/>
          </w:tcPr>
          <w:p w:rsidR="00D8616A" w:rsidRPr="005B0796" w:rsidRDefault="00D8616A" w:rsidP="009066FB">
            <w:pPr>
              <w:pStyle w:val="TableText"/>
              <w:rPr>
                <w:rFonts w:eastAsia="Times New Roman"/>
                <w:lang w:eastAsia="en-AU"/>
              </w:rPr>
            </w:pPr>
            <w:r w:rsidRPr="005B0796">
              <w:rPr>
                <w:rFonts w:eastAsia="Times New Roman"/>
              </w:rPr>
              <w:t>Any suicidality*</w:t>
            </w:r>
          </w:p>
        </w:tc>
        <w:tc>
          <w:tcPr>
            <w:tcW w:w="986" w:type="dxa"/>
            <w:noWrap/>
            <w:hideMark/>
          </w:tcPr>
          <w:p w:rsidR="00D8616A" w:rsidRPr="005B0796" w:rsidRDefault="00D8616A" w:rsidP="009066FB">
            <w:pPr>
              <w:pStyle w:val="TableText"/>
              <w:jc w:val="right"/>
              <w:rPr>
                <w:rFonts w:eastAsia="Times New Roman"/>
                <w:lang w:eastAsia="en-AU"/>
              </w:rPr>
            </w:pPr>
            <w:r w:rsidRPr="005B0796">
              <w:t>533</w:t>
            </w:r>
          </w:p>
        </w:tc>
        <w:tc>
          <w:tcPr>
            <w:tcW w:w="986" w:type="dxa"/>
            <w:hideMark/>
          </w:tcPr>
          <w:p w:rsidR="00D8616A" w:rsidRPr="005B0796" w:rsidRDefault="00D8616A" w:rsidP="009066FB">
            <w:pPr>
              <w:pStyle w:val="TableText"/>
              <w:jc w:val="right"/>
              <w:rPr>
                <w:rFonts w:eastAsia="Times New Roman"/>
                <w:lang w:eastAsia="en-AU"/>
              </w:rPr>
            </w:pPr>
            <w:r w:rsidRPr="005B0796">
              <w:t>13.2</w:t>
            </w:r>
          </w:p>
        </w:tc>
        <w:tc>
          <w:tcPr>
            <w:tcW w:w="987" w:type="dxa"/>
            <w:hideMark/>
          </w:tcPr>
          <w:p w:rsidR="00D8616A" w:rsidRPr="005B0796" w:rsidRDefault="00D8616A" w:rsidP="009066FB">
            <w:pPr>
              <w:pStyle w:val="TableText"/>
              <w:jc w:val="right"/>
              <w:rPr>
                <w:rFonts w:eastAsia="Times New Roman"/>
                <w:lang w:eastAsia="en-AU"/>
              </w:rPr>
            </w:pPr>
            <w:r w:rsidRPr="005B0796">
              <w:t>11.7, 14.8</w:t>
            </w:r>
          </w:p>
        </w:tc>
        <w:tc>
          <w:tcPr>
            <w:tcW w:w="986" w:type="dxa"/>
            <w:noWrap/>
            <w:hideMark/>
          </w:tcPr>
          <w:p w:rsidR="00D8616A" w:rsidRPr="005B0796" w:rsidRDefault="00D8616A" w:rsidP="009066FB">
            <w:pPr>
              <w:pStyle w:val="TableText"/>
              <w:jc w:val="right"/>
              <w:rPr>
                <w:rFonts w:eastAsia="Times New Roman"/>
                <w:lang w:eastAsia="en-AU"/>
              </w:rPr>
            </w:pPr>
            <w:r w:rsidRPr="005B0796">
              <w:t>1687</w:t>
            </w:r>
          </w:p>
        </w:tc>
        <w:tc>
          <w:tcPr>
            <w:tcW w:w="987" w:type="dxa"/>
            <w:hideMark/>
          </w:tcPr>
          <w:p w:rsidR="00D8616A" w:rsidRPr="005B0796" w:rsidRDefault="00D8616A" w:rsidP="009066FB">
            <w:pPr>
              <w:pStyle w:val="TableText"/>
              <w:jc w:val="right"/>
              <w:rPr>
                <w:rFonts w:eastAsia="Times New Roman"/>
                <w:lang w:eastAsia="en-AU"/>
              </w:rPr>
            </w:pPr>
            <w:r w:rsidRPr="005B0796">
              <w:t>21.8</w:t>
            </w:r>
          </w:p>
        </w:tc>
        <w:tc>
          <w:tcPr>
            <w:tcW w:w="986" w:type="dxa"/>
            <w:hideMark/>
          </w:tcPr>
          <w:p w:rsidR="00D8616A" w:rsidRPr="005B0796" w:rsidRDefault="00D8616A" w:rsidP="009066FB">
            <w:pPr>
              <w:pStyle w:val="TableText"/>
              <w:jc w:val="right"/>
              <w:rPr>
                <w:rFonts w:eastAsia="Times New Roman"/>
                <w:lang w:eastAsia="en-AU"/>
              </w:rPr>
            </w:pPr>
            <w:r w:rsidRPr="005B0796">
              <w:t>0.3, 23.4</w:t>
            </w:r>
          </w:p>
        </w:tc>
        <w:tc>
          <w:tcPr>
            <w:tcW w:w="987" w:type="dxa"/>
            <w:noWrap/>
            <w:hideMark/>
          </w:tcPr>
          <w:p w:rsidR="00D8616A" w:rsidRPr="005B0796" w:rsidRDefault="00D8616A" w:rsidP="009066FB">
            <w:pPr>
              <w:pStyle w:val="TableText"/>
              <w:jc w:val="right"/>
              <w:rPr>
                <w:rFonts w:eastAsia="Times New Roman"/>
                <w:lang w:eastAsia="en-AU"/>
              </w:rPr>
            </w:pPr>
            <w:r w:rsidRPr="005B0796">
              <w:t>3122</w:t>
            </w:r>
          </w:p>
        </w:tc>
        <w:tc>
          <w:tcPr>
            <w:tcW w:w="986" w:type="dxa"/>
            <w:hideMark/>
          </w:tcPr>
          <w:p w:rsidR="00D8616A" w:rsidRPr="005B0796" w:rsidRDefault="00D8616A" w:rsidP="009066FB">
            <w:pPr>
              <w:pStyle w:val="TableText"/>
              <w:jc w:val="right"/>
              <w:rPr>
                <w:rFonts w:eastAsia="Times New Roman"/>
                <w:lang w:eastAsia="en-AU"/>
              </w:rPr>
            </w:pPr>
            <w:r w:rsidRPr="005B0796">
              <w:t>24.4</w:t>
            </w:r>
          </w:p>
        </w:tc>
        <w:tc>
          <w:tcPr>
            <w:tcW w:w="987" w:type="dxa"/>
            <w:hideMark/>
          </w:tcPr>
          <w:p w:rsidR="00D8616A" w:rsidRPr="005B0796" w:rsidRDefault="00D8616A" w:rsidP="009066FB">
            <w:pPr>
              <w:pStyle w:val="TableText"/>
              <w:jc w:val="right"/>
              <w:rPr>
                <w:rFonts w:eastAsia="Times New Roman"/>
                <w:lang w:eastAsia="en-AU"/>
              </w:rPr>
            </w:pPr>
            <w:r w:rsidRPr="005B0796">
              <w:t>21.7, 27.2</w:t>
            </w:r>
          </w:p>
        </w:tc>
      </w:tr>
    </w:tbl>
    <w:p w:rsidR="00171F0C" w:rsidRPr="005B0796" w:rsidRDefault="00171F0C" w:rsidP="00171F0C">
      <w:pPr>
        <w:pStyle w:val="TableNotes"/>
      </w:pPr>
      <w:bookmarkStart w:id="808" w:name="_Ref486414244"/>
      <w:bookmarkStart w:id="809" w:name="_Toc487014385"/>
      <w:r w:rsidRPr="005B0796">
        <w:rPr>
          <w:rFonts w:eastAsia="Times New Roman"/>
          <w:sz w:val="18"/>
          <w:szCs w:val="18"/>
          <w:vertAlign w:val="superscript"/>
        </w:rPr>
        <w:t xml:space="preserve">a </w:t>
      </w:r>
      <w:r w:rsidRPr="005B0796">
        <w:t>NCO vs OFFR: OR 1.6, 95% CI 1.4, 1.8; Other Ranks vs OFFR: OR 2.3, 95% CI 1.7, 2.9</w:t>
      </w:r>
    </w:p>
    <w:p w:rsidR="00171F0C" w:rsidRPr="005B0796" w:rsidRDefault="00171F0C" w:rsidP="00171F0C">
      <w:pPr>
        <w:pStyle w:val="TableNotes"/>
      </w:pPr>
      <w:r w:rsidRPr="005B0796">
        <w:rPr>
          <w:rFonts w:eastAsia="Times New Roman"/>
          <w:sz w:val="18"/>
          <w:szCs w:val="18"/>
          <w:vertAlign w:val="superscript"/>
        </w:rPr>
        <w:t xml:space="preserve">b </w:t>
      </w:r>
      <w:r w:rsidRPr="005B0796">
        <w:t>NCO vs OFFR: OR 1.9, 95% CI 1.6, 2.2; Other Ranks vs NCO: OR 1.3, 95% CI 1.0, 1.5</w:t>
      </w:r>
    </w:p>
    <w:p w:rsidR="00171F0C" w:rsidRPr="005B0796" w:rsidRDefault="00171F0C" w:rsidP="00171F0C">
      <w:pPr>
        <w:pStyle w:val="TableNotes"/>
      </w:pPr>
      <w:r w:rsidRPr="005B0796">
        <w:rPr>
          <w:rFonts w:eastAsia="Times New Roman"/>
          <w:sz w:val="18"/>
          <w:szCs w:val="18"/>
          <w:vertAlign w:val="superscript"/>
        </w:rPr>
        <w:t xml:space="preserve">c </w:t>
      </w:r>
      <w:r w:rsidRPr="005B0796">
        <w:t>NCO vs OFFR: OR 1.5, 95% CI 1.2, 1.9; Other Ranks vs OFFR: OR 1.4, 95% CI 1.0, 2.0</w:t>
      </w:r>
    </w:p>
    <w:p w:rsidR="00171F0C" w:rsidRPr="005B0796" w:rsidRDefault="00171F0C" w:rsidP="00171F0C">
      <w:pPr>
        <w:pStyle w:val="TableNotes"/>
      </w:pPr>
      <w:r w:rsidRPr="005B0796">
        <w:rPr>
          <w:rFonts w:eastAsia="Times New Roman"/>
          <w:sz w:val="18"/>
          <w:szCs w:val="18"/>
          <w:vertAlign w:val="superscript"/>
        </w:rPr>
        <w:t xml:space="preserve">d </w:t>
      </w:r>
      <w:r w:rsidRPr="005B0796">
        <w:t>NCO vs OFFR: OR 2.3, 95% CI 1.3, 4.1; Other Ranks vs OFFR: OR 2.7, 95% CI 1.2, 5.8</w:t>
      </w:r>
    </w:p>
    <w:p w:rsidR="00171F0C" w:rsidRPr="005B0796" w:rsidRDefault="00171F0C" w:rsidP="00171F0C">
      <w:pPr>
        <w:pStyle w:val="TableNotes"/>
      </w:pPr>
      <w:r w:rsidRPr="005B0796">
        <w:t xml:space="preserve">*Calculated as yes to </w:t>
      </w:r>
      <w:r w:rsidR="001B0335">
        <w:t>‘</w:t>
      </w:r>
      <w:r w:rsidR="00F773A8" w:rsidRPr="005B0796">
        <w:t xml:space="preserve">felt </w:t>
      </w:r>
      <w:r w:rsidRPr="005B0796">
        <w:t>so low thought about committing suicide</w:t>
      </w:r>
      <w:r w:rsidR="001B0335">
        <w:t>’</w:t>
      </w:r>
      <w:r w:rsidRPr="005B0796">
        <w:t xml:space="preserve">, </w:t>
      </w:r>
      <w:r w:rsidR="001B0335">
        <w:t>‘</w:t>
      </w:r>
      <w:r w:rsidR="00F773A8" w:rsidRPr="005B0796">
        <w:t xml:space="preserve">made </w:t>
      </w:r>
      <w:r w:rsidRPr="005B0796">
        <w:t>a suicide plan</w:t>
      </w:r>
      <w:r w:rsidR="001B0335">
        <w:t>’</w:t>
      </w:r>
      <w:r w:rsidRPr="005B0796">
        <w:t xml:space="preserve">, or </w:t>
      </w:r>
      <w:r w:rsidR="001B0335">
        <w:t>‘</w:t>
      </w:r>
      <w:r w:rsidR="00F773A8" w:rsidRPr="005B0796">
        <w:t xml:space="preserve">attempted </w:t>
      </w:r>
      <w:r w:rsidRPr="005B0796">
        <w:t>suicide</w:t>
      </w:r>
      <w:r w:rsidR="001B0335">
        <w:t>’</w:t>
      </w:r>
    </w:p>
    <w:p w:rsidR="008C2520" w:rsidRPr="005B0796" w:rsidRDefault="00171F0C" w:rsidP="00171F0C">
      <w:pPr>
        <w:pStyle w:val="TableNotes"/>
        <w:rPr>
          <w:rFonts w:cs="Calibri"/>
          <w:bCs/>
        </w:rPr>
      </w:pPr>
      <w:r w:rsidRPr="005B0796">
        <w:rPr>
          <w:rFonts w:cs="Calibri"/>
          <w:bCs/>
        </w:rPr>
        <w:t>Note</w:t>
      </w:r>
      <w:r w:rsidR="008C2520" w:rsidRPr="005B0796">
        <w:rPr>
          <w:rFonts w:cs="Calibri"/>
          <w:bCs/>
        </w:rPr>
        <w:t>s:</w:t>
      </w:r>
    </w:p>
    <w:p w:rsidR="00171F0C" w:rsidRPr="005B0796" w:rsidRDefault="009C4349" w:rsidP="00171F0C">
      <w:pPr>
        <w:pStyle w:val="TableNotes"/>
        <w:rPr>
          <w:rFonts w:cs="Calibri"/>
          <w:bCs/>
        </w:rPr>
      </w:pPr>
      <w:r w:rsidRPr="005B0796">
        <w:rPr>
          <w:rFonts w:cs="Calibri"/>
          <w:bCs/>
        </w:rPr>
        <w:t xml:space="preserve">* </w:t>
      </w:r>
      <w:r w:rsidR="00171F0C" w:rsidRPr="005B0796">
        <w:rPr>
          <w:rFonts w:cs="Calibri"/>
          <w:bCs/>
        </w:rPr>
        <w:t xml:space="preserve">95% CI: 95% </w:t>
      </w:r>
      <w:r w:rsidR="00564689" w:rsidRPr="005B0796">
        <w:rPr>
          <w:rFonts w:cs="Calibri"/>
          <w:bCs/>
        </w:rPr>
        <w:t>confidence interval</w:t>
      </w:r>
    </w:p>
    <w:p w:rsidR="00171F0C" w:rsidRPr="005B0796" w:rsidRDefault="00171F0C" w:rsidP="009066FB">
      <w:pPr>
        <w:pStyle w:val="TableNotes"/>
      </w:pPr>
      <w:r w:rsidRPr="005B0796">
        <w:t>This terminology reflects the standardi</w:t>
      </w:r>
      <w:r w:rsidR="00520FC8" w:rsidRPr="005B0796">
        <w:t>s</w:t>
      </w:r>
      <w:r w:rsidRPr="005B0796">
        <w:t xml:space="preserve">ed survey item used in this study </w:t>
      </w:r>
      <w:r w:rsidR="001B0335">
        <w:t xml:space="preserve">– </w:t>
      </w:r>
      <w:r w:rsidRPr="005B0796">
        <w:t>however</w:t>
      </w:r>
      <w:r w:rsidR="001B0335">
        <w:t>,</w:t>
      </w:r>
      <w:r w:rsidRPr="005B0796">
        <w:t xml:space="preserve"> it should be noted that this is no longer considered an appropriate description, and the term </w:t>
      </w:r>
      <w:r w:rsidR="00462A0C" w:rsidRPr="005B0796">
        <w:t>‘</w:t>
      </w:r>
      <w:r w:rsidR="001B0335">
        <w:t xml:space="preserve">thought about </w:t>
      </w:r>
      <w:r w:rsidRPr="005B0796">
        <w:t>committing suicide</w:t>
      </w:r>
      <w:r w:rsidR="00462A0C" w:rsidRPr="005B0796">
        <w:t>’</w:t>
      </w:r>
      <w:r w:rsidRPr="005B0796">
        <w:t xml:space="preserve"> should be replaced with </w:t>
      </w:r>
      <w:r w:rsidR="00462A0C" w:rsidRPr="005B0796">
        <w:t>‘</w:t>
      </w:r>
      <w:r w:rsidRPr="005B0796">
        <w:t>thought about taking their own life</w:t>
      </w:r>
      <w:r w:rsidR="00462A0C" w:rsidRPr="005B0796">
        <w:t>’</w:t>
      </w:r>
    </w:p>
    <w:p w:rsidR="009066FB" w:rsidRPr="005B0796" w:rsidRDefault="009066FB" w:rsidP="009066FB">
      <w:pPr>
        <w:sectPr w:rsidR="009066FB" w:rsidRPr="005B0796" w:rsidSect="009066FB">
          <w:footerReference w:type="even" r:id="rId151"/>
          <w:pgSz w:w="14170" w:h="9979" w:orient="landscape" w:code="243"/>
          <w:pgMar w:top="1872" w:right="1440" w:bottom="1152" w:left="1440" w:header="576" w:footer="576" w:gutter="0"/>
          <w:cols w:space="708"/>
          <w:docGrid w:linePitch="360"/>
        </w:sectPr>
      </w:pPr>
    </w:p>
    <w:p w:rsidR="0019239D" w:rsidRPr="005B0796" w:rsidRDefault="0019239D" w:rsidP="00171F0C">
      <w:pPr>
        <w:pStyle w:val="FigureName"/>
      </w:pPr>
      <w:bookmarkStart w:id="810" w:name="_Ref494281660"/>
      <w:bookmarkStart w:id="811" w:name="_Toc51190055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37</w:t>
      </w:r>
      <w:r w:rsidR="00D30A3C">
        <w:rPr>
          <w:noProof/>
        </w:rPr>
        <w:fldChar w:fldCharType="end"/>
      </w:r>
      <w:bookmarkEnd w:id="808"/>
      <w:bookmarkEnd w:id="810"/>
      <w:r w:rsidRPr="005B0796">
        <w:tab/>
        <w:t>Estimated prevalence of suicidality in Transitioned ADF members</w:t>
      </w:r>
      <w:r w:rsidR="001B0335">
        <w:t>,</w:t>
      </w:r>
      <w:r w:rsidRPr="005B0796">
        <w:t xml:space="preserve"> by rank at transition</w:t>
      </w:r>
      <w:bookmarkEnd w:id="809"/>
      <w:bookmarkEnd w:id="811"/>
    </w:p>
    <w:tbl>
      <w:tblPr>
        <w:tblW w:w="5000" w:type="pct"/>
        <w:tblLayout w:type="fixed"/>
        <w:tblCellMar>
          <w:left w:w="115" w:type="dxa"/>
          <w:right w:w="115" w:type="dxa"/>
        </w:tblCellMar>
        <w:tblLook w:val="04A0" w:firstRow="1" w:lastRow="0" w:firstColumn="1" w:lastColumn="0" w:noHBand="0" w:noVBand="1"/>
      </w:tblPr>
      <w:tblGrid>
        <w:gridCol w:w="7329"/>
      </w:tblGrid>
      <w:tr w:rsidR="00D8616A" w:rsidRPr="005B0796" w:rsidTr="009066FB">
        <w:trPr>
          <w:cantSplit/>
        </w:trPr>
        <w:tc>
          <w:tcPr>
            <w:tcW w:w="9794" w:type="dxa"/>
          </w:tcPr>
          <w:p w:rsidR="00D8616A" w:rsidRPr="005B0796" w:rsidRDefault="00D8616A" w:rsidP="009066FB">
            <w:pPr>
              <w:keepNext/>
            </w:pPr>
            <w:r w:rsidRPr="005B0796">
              <w:rPr>
                <w:noProof/>
                <w:lang w:eastAsia="en-AU"/>
              </w:rPr>
              <w:drawing>
                <wp:inline distT="0" distB="0" distL="0" distR="0" wp14:anchorId="59AF10F6" wp14:editId="2C2A936C">
                  <wp:extent cx="4572000" cy="2743200"/>
                  <wp:effectExtent l="0" t="0" r="0" b="0"/>
                  <wp:docPr id="97" name="Chart 97" descr="Figure 4.37 Estimated prevalence of suicidality in Transitioned ADF members by rank at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bl>
    <w:p w:rsidR="00171F0C" w:rsidRPr="005B0796" w:rsidRDefault="00171F0C" w:rsidP="00171F0C">
      <w:pPr>
        <w:pStyle w:val="TableNotes"/>
      </w:pPr>
      <w:bookmarkStart w:id="812" w:name="_Ref484520367"/>
      <w:bookmarkStart w:id="813" w:name="_Toc482023847"/>
      <w:r w:rsidRPr="005B0796">
        <w:t xml:space="preserve">Suicidal </w:t>
      </w:r>
      <w:r w:rsidR="001B0335" w:rsidRPr="005B0796">
        <w:t xml:space="preserve">ideation </w:t>
      </w:r>
      <w:r w:rsidRPr="005B0796">
        <w:t>(</w:t>
      </w:r>
      <w:r w:rsidR="00F773A8" w:rsidRPr="005B0796">
        <w:t xml:space="preserve">felt </w:t>
      </w:r>
      <w:r w:rsidRPr="005B0796">
        <w:t>life not worth living): NCO vs OFFR: OR 1.6, 95% CI 1.4, 1.8; Other Ranks vs OFFR: OR 2.26, 95% CI 1.7, 2.9</w:t>
      </w:r>
    </w:p>
    <w:p w:rsidR="00171F0C" w:rsidRPr="005B0796" w:rsidRDefault="00171F0C" w:rsidP="00171F0C">
      <w:pPr>
        <w:pStyle w:val="TableNotes"/>
      </w:pPr>
      <w:r w:rsidRPr="005B0796">
        <w:t>Suicidal ideation (</w:t>
      </w:r>
      <w:r w:rsidR="00F773A8" w:rsidRPr="005B0796">
        <w:t xml:space="preserve">felt </w:t>
      </w:r>
      <w:r w:rsidRPr="005B0796">
        <w:t>so low thought about committing suicide): NCO vs OFFR: OR 1.9, 95% CI 1.6, 2.2; Other Ranks vs NCO: OR 1.3, 95% CI 1.0, 1.5</w:t>
      </w:r>
    </w:p>
    <w:p w:rsidR="00171F0C" w:rsidRPr="005B0796" w:rsidRDefault="00171F0C" w:rsidP="00171F0C">
      <w:pPr>
        <w:pStyle w:val="TableNotes"/>
      </w:pPr>
      <w:r w:rsidRPr="005B0796">
        <w:t>Suicide plans: NCO vs OFFR: OR 1.5, 95% CI 1.2, 1.9; Other Ranks vs OFFR: OR 1.4, 95% CI 1.0, 2.0</w:t>
      </w:r>
    </w:p>
    <w:p w:rsidR="00171F0C" w:rsidRPr="005B0796" w:rsidRDefault="00171F0C" w:rsidP="00171F0C">
      <w:pPr>
        <w:pStyle w:val="TableNotes"/>
      </w:pPr>
      <w:r w:rsidRPr="005B0796">
        <w:t>Suicide attempts: NCO vs OFFR: OR 2.3, 95% CI 1.3, 4.1; Other Ranks vs OFFR: OR 2.67, 95% CI 1.23, 5.8</w:t>
      </w:r>
      <w:bookmarkEnd w:id="812"/>
      <w:bookmarkEnd w:id="813"/>
    </w:p>
    <w:p w:rsidR="00D8616A" w:rsidRPr="005B0796" w:rsidRDefault="00D8616A" w:rsidP="003F0D3E">
      <w:pPr>
        <w:pStyle w:val="Heading4"/>
        <w:rPr>
          <w:szCs w:val="22"/>
        </w:rPr>
      </w:pPr>
      <w:r w:rsidRPr="005B0796">
        <w:t>Deployment</w:t>
      </w:r>
    </w:p>
    <w:p w:rsidR="00D8616A" w:rsidRPr="005B0796" w:rsidRDefault="009E72D3" w:rsidP="003F0D3E">
      <w:r w:rsidRPr="005B0796">
        <w:t>Table 4.46</w:t>
      </w:r>
      <w:r w:rsidR="00D8616A" w:rsidRPr="005B0796">
        <w:t xml:space="preserve"> and </w:t>
      </w:r>
      <w:r w:rsidRPr="005B0796">
        <w:t>Figure 4.38</w:t>
      </w:r>
      <w:r w:rsidR="00D8616A" w:rsidRPr="005B0796">
        <w:t xml:space="preserve"> show the estimated prevalence of 12-month suicidality</w:t>
      </w:r>
      <w:r w:rsidR="001B0335">
        <w:t>,</w:t>
      </w:r>
      <w:r w:rsidR="00D8616A" w:rsidRPr="005B0796">
        <w:t xml:space="preserve"> by deployment status</w:t>
      </w:r>
      <w:r w:rsidR="001B0335">
        <w:t>,</w:t>
      </w:r>
      <w:r w:rsidR="00D8616A" w:rsidRPr="005B0796">
        <w:t xml:space="preserve"> in the Transitioned ADF. There were no significant differences in 12</w:t>
      </w:r>
      <w:r w:rsidR="00D8616A" w:rsidRPr="005B0796">
        <w:noBreakHyphen/>
        <w:t>month suicidality between those who had ever been deployed (22.3%, 95% CI 20.7, 24.0) and those who had never been deployed (18.5%, 95% CI 15.4, 22.0).</w:t>
      </w:r>
    </w:p>
    <w:p w:rsidR="0019239D" w:rsidRPr="005B0796" w:rsidRDefault="0019239D" w:rsidP="0019239D">
      <w:pPr>
        <w:pStyle w:val="TableName"/>
      </w:pPr>
      <w:bookmarkStart w:id="814" w:name="_Ref484520170"/>
      <w:bookmarkStart w:id="815" w:name="_Toc482023810"/>
      <w:bookmarkStart w:id="816" w:name="_Toc487014297"/>
      <w:bookmarkStart w:id="817" w:name="_Toc492995600"/>
      <w:bookmarkStart w:id="818" w:name="_Toc51190044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46</w:t>
      </w:r>
      <w:r w:rsidR="00D30A3C">
        <w:rPr>
          <w:noProof/>
        </w:rPr>
        <w:fldChar w:fldCharType="end"/>
      </w:r>
      <w:bookmarkEnd w:id="814"/>
      <w:r w:rsidRPr="005B0796">
        <w:tab/>
        <w:t>Estimated prevalence of 12-month suicidality in the Transitioned ADF by deployment status</w:t>
      </w:r>
      <w:bookmarkEnd w:id="815"/>
      <w:bookmarkEnd w:id="816"/>
      <w:bookmarkEnd w:id="817"/>
      <w:bookmarkEnd w:id="818"/>
    </w:p>
    <w:tbl>
      <w:tblPr>
        <w:tblStyle w:val="TWRPTable"/>
        <w:tblW w:w="5000" w:type="pct"/>
        <w:tblLayout w:type="fixed"/>
        <w:tblLook w:val="04A0" w:firstRow="1" w:lastRow="0" w:firstColumn="1" w:lastColumn="0" w:noHBand="0" w:noVBand="1"/>
        <w:tblDescription w:val="Table 4.46  Estimated prevalence of 12-month suicidality in the Transitioned ADF by deployment status"/>
      </w:tblPr>
      <w:tblGrid>
        <w:gridCol w:w="1908"/>
        <w:gridCol w:w="901"/>
        <w:gridCol w:w="901"/>
        <w:gridCol w:w="901"/>
        <w:gridCol w:w="901"/>
        <w:gridCol w:w="901"/>
        <w:gridCol w:w="902"/>
      </w:tblGrid>
      <w:tr w:rsidR="00D8616A" w:rsidRPr="005B0796" w:rsidTr="003F0D3E">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hideMark/>
          </w:tcPr>
          <w:p w:rsidR="00D8616A" w:rsidRPr="005B0796" w:rsidRDefault="00D8616A" w:rsidP="003F0D3E">
            <w:pPr>
              <w:pStyle w:val="TableText"/>
              <w:rPr>
                <w:rFonts w:eastAsia="Times New Roman"/>
              </w:rPr>
            </w:pPr>
          </w:p>
        </w:tc>
        <w:tc>
          <w:tcPr>
            <w:tcW w:w="2703" w:type="dxa"/>
            <w:gridSpan w:val="3"/>
            <w:hideMark/>
          </w:tcPr>
          <w:p w:rsidR="00D8616A" w:rsidRPr="005B0796" w:rsidRDefault="00D8616A" w:rsidP="003F0D3E">
            <w:pPr>
              <w:pStyle w:val="TableText"/>
              <w:jc w:val="center"/>
              <w:rPr>
                <w:lang w:eastAsia="en-AU"/>
              </w:rPr>
            </w:pPr>
            <w:r w:rsidRPr="005B0796">
              <w:rPr>
                <w:lang w:eastAsia="en-AU"/>
              </w:rPr>
              <w:t>Ever deployed (n = 20,087)</w:t>
            </w:r>
          </w:p>
        </w:tc>
        <w:tc>
          <w:tcPr>
            <w:tcW w:w="2704" w:type="dxa"/>
            <w:gridSpan w:val="3"/>
            <w:hideMark/>
          </w:tcPr>
          <w:p w:rsidR="00D8616A" w:rsidRPr="005B0796" w:rsidRDefault="00D8616A" w:rsidP="003F0D3E">
            <w:pPr>
              <w:pStyle w:val="TableText"/>
              <w:jc w:val="center"/>
            </w:pPr>
            <w:r w:rsidRPr="005B0796">
              <w:rPr>
                <w:lang w:eastAsia="en-AU"/>
              </w:rPr>
              <w:t>Never deployed (n = 4885)</w:t>
            </w:r>
          </w:p>
        </w:tc>
      </w:tr>
      <w:tr w:rsidR="00D8616A" w:rsidRPr="005B0796" w:rsidTr="003F0D3E">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D8616A" w:rsidRPr="005B0796" w:rsidRDefault="003F0D3E" w:rsidP="003F0D3E">
            <w:pPr>
              <w:pStyle w:val="TableText"/>
              <w:rPr>
                <w:rFonts w:eastAsia="Times New Roman"/>
              </w:rPr>
            </w:pPr>
            <w:r w:rsidRPr="005B0796">
              <w:rPr>
                <w:lang w:eastAsia="en-AU"/>
              </w:rPr>
              <w:t>12-month suicidality</w:t>
            </w:r>
          </w:p>
        </w:tc>
        <w:tc>
          <w:tcPr>
            <w:tcW w:w="901" w:type="dxa"/>
            <w:hideMark/>
          </w:tcPr>
          <w:p w:rsidR="00D8616A" w:rsidRPr="005B0796" w:rsidRDefault="00D8616A" w:rsidP="003F0D3E">
            <w:pPr>
              <w:pStyle w:val="TableText"/>
              <w:jc w:val="right"/>
            </w:pPr>
            <w:r w:rsidRPr="005B0796">
              <w:rPr>
                <w:lang w:eastAsia="en-AU"/>
              </w:rPr>
              <w:t>Weighted n</w:t>
            </w:r>
          </w:p>
        </w:tc>
        <w:tc>
          <w:tcPr>
            <w:tcW w:w="901" w:type="dxa"/>
            <w:hideMark/>
          </w:tcPr>
          <w:p w:rsidR="00D8616A" w:rsidRPr="005B0796" w:rsidRDefault="00D8616A" w:rsidP="003F0D3E">
            <w:pPr>
              <w:pStyle w:val="TableText"/>
              <w:jc w:val="right"/>
            </w:pPr>
            <w:r w:rsidRPr="005B0796">
              <w:rPr>
                <w:lang w:eastAsia="en-AU"/>
              </w:rPr>
              <w:t>%</w:t>
            </w:r>
          </w:p>
        </w:tc>
        <w:tc>
          <w:tcPr>
            <w:tcW w:w="901" w:type="dxa"/>
            <w:hideMark/>
          </w:tcPr>
          <w:p w:rsidR="00D8616A" w:rsidRPr="005B0796" w:rsidRDefault="00D8616A" w:rsidP="003F0D3E">
            <w:pPr>
              <w:pStyle w:val="TableText"/>
              <w:jc w:val="right"/>
            </w:pPr>
            <w:r w:rsidRPr="005B0796">
              <w:rPr>
                <w:lang w:eastAsia="en-AU"/>
              </w:rPr>
              <w:t>95% CI</w:t>
            </w:r>
          </w:p>
        </w:tc>
        <w:tc>
          <w:tcPr>
            <w:tcW w:w="901" w:type="dxa"/>
            <w:hideMark/>
          </w:tcPr>
          <w:p w:rsidR="00D8616A" w:rsidRPr="005B0796" w:rsidRDefault="00D8616A" w:rsidP="003F0D3E">
            <w:pPr>
              <w:pStyle w:val="TableText"/>
              <w:jc w:val="right"/>
            </w:pPr>
            <w:r w:rsidRPr="005B0796">
              <w:rPr>
                <w:lang w:eastAsia="en-AU"/>
              </w:rPr>
              <w:t>Weighted n</w:t>
            </w:r>
          </w:p>
        </w:tc>
        <w:tc>
          <w:tcPr>
            <w:tcW w:w="901" w:type="dxa"/>
            <w:hideMark/>
          </w:tcPr>
          <w:p w:rsidR="00D8616A" w:rsidRPr="005B0796" w:rsidRDefault="00D8616A" w:rsidP="003F0D3E">
            <w:pPr>
              <w:pStyle w:val="TableText"/>
              <w:jc w:val="right"/>
            </w:pPr>
            <w:r w:rsidRPr="005B0796">
              <w:rPr>
                <w:lang w:eastAsia="en-AU"/>
              </w:rPr>
              <w:t>%</w:t>
            </w:r>
          </w:p>
        </w:tc>
        <w:tc>
          <w:tcPr>
            <w:tcW w:w="902" w:type="dxa"/>
            <w:hideMark/>
          </w:tcPr>
          <w:p w:rsidR="00D8616A" w:rsidRPr="005B0796" w:rsidRDefault="00D8616A" w:rsidP="003F0D3E">
            <w:pPr>
              <w:pStyle w:val="TableText"/>
              <w:jc w:val="right"/>
            </w:pPr>
            <w:r w:rsidRPr="005B0796">
              <w:rPr>
                <w:lang w:eastAsia="en-AU"/>
              </w:rPr>
              <w:t>95% CI</w:t>
            </w:r>
          </w:p>
        </w:tc>
      </w:tr>
      <w:tr w:rsidR="00D8616A" w:rsidRPr="005B0796" w:rsidTr="003F0D3E">
        <w:trPr>
          <w:cnfStyle w:val="000000100000" w:firstRow="0" w:lastRow="0" w:firstColumn="0" w:lastColumn="0" w:oddVBand="0" w:evenVBand="0" w:oddHBand="1" w:evenHBand="0" w:firstRowFirstColumn="0" w:firstRowLastColumn="0" w:lastRowFirstColumn="0" w:lastRowLastColumn="0"/>
        </w:trPr>
        <w:tc>
          <w:tcPr>
            <w:tcW w:w="1908" w:type="dxa"/>
            <w:hideMark/>
          </w:tcPr>
          <w:p w:rsidR="00D8616A" w:rsidRPr="005B0796" w:rsidRDefault="00D8616A" w:rsidP="003F0D3E">
            <w:pPr>
              <w:pStyle w:val="TableText"/>
              <w:rPr>
                <w:rFonts w:eastAsia="Times New Roman"/>
              </w:rPr>
            </w:pPr>
            <w:r w:rsidRPr="005B0796">
              <w:t>Felt life not worth living</w:t>
            </w:r>
          </w:p>
        </w:tc>
        <w:tc>
          <w:tcPr>
            <w:tcW w:w="901" w:type="dxa"/>
            <w:hideMark/>
          </w:tcPr>
          <w:p w:rsidR="00D8616A" w:rsidRPr="005B0796" w:rsidRDefault="00D8616A" w:rsidP="003F0D3E">
            <w:pPr>
              <w:pStyle w:val="TableText"/>
              <w:jc w:val="right"/>
              <w:rPr>
                <w:lang w:eastAsia="en-AU"/>
              </w:rPr>
            </w:pPr>
            <w:r w:rsidRPr="005B0796">
              <w:t>5634</w:t>
            </w:r>
          </w:p>
        </w:tc>
        <w:tc>
          <w:tcPr>
            <w:tcW w:w="901" w:type="dxa"/>
            <w:hideMark/>
          </w:tcPr>
          <w:p w:rsidR="00D8616A" w:rsidRPr="005B0796" w:rsidRDefault="00D8616A" w:rsidP="003F0D3E">
            <w:pPr>
              <w:pStyle w:val="TableText"/>
              <w:jc w:val="right"/>
              <w:rPr>
                <w:lang w:eastAsia="en-AU"/>
              </w:rPr>
            </w:pPr>
            <w:r w:rsidRPr="005B0796">
              <w:t>29.2</w:t>
            </w:r>
          </w:p>
        </w:tc>
        <w:tc>
          <w:tcPr>
            <w:tcW w:w="901" w:type="dxa"/>
            <w:hideMark/>
          </w:tcPr>
          <w:p w:rsidR="00D8616A" w:rsidRPr="005B0796" w:rsidRDefault="00D8616A" w:rsidP="003F0D3E">
            <w:pPr>
              <w:pStyle w:val="TableText"/>
              <w:jc w:val="right"/>
              <w:rPr>
                <w:lang w:eastAsia="en-AU"/>
              </w:rPr>
            </w:pPr>
            <w:r w:rsidRPr="005B0796">
              <w:t>27.4, 31.1</w:t>
            </w:r>
          </w:p>
        </w:tc>
        <w:tc>
          <w:tcPr>
            <w:tcW w:w="901" w:type="dxa"/>
            <w:hideMark/>
          </w:tcPr>
          <w:p w:rsidR="00D8616A" w:rsidRPr="005B0796" w:rsidRDefault="00D8616A" w:rsidP="003F0D3E">
            <w:pPr>
              <w:pStyle w:val="TableText"/>
              <w:jc w:val="right"/>
              <w:rPr>
                <w:lang w:eastAsia="en-AU"/>
              </w:rPr>
            </w:pPr>
            <w:r w:rsidRPr="005B0796">
              <w:t>1574</w:t>
            </w:r>
          </w:p>
        </w:tc>
        <w:tc>
          <w:tcPr>
            <w:tcW w:w="901" w:type="dxa"/>
            <w:hideMark/>
          </w:tcPr>
          <w:p w:rsidR="00D8616A" w:rsidRPr="005B0796" w:rsidRDefault="00D8616A" w:rsidP="003F0D3E">
            <w:pPr>
              <w:pStyle w:val="TableText"/>
              <w:jc w:val="right"/>
              <w:rPr>
                <w:lang w:eastAsia="en-AU"/>
              </w:rPr>
            </w:pPr>
            <w:r w:rsidRPr="005B0796">
              <w:t>27.9</w:t>
            </w:r>
          </w:p>
        </w:tc>
        <w:tc>
          <w:tcPr>
            <w:tcW w:w="902" w:type="dxa"/>
            <w:hideMark/>
          </w:tcPr>
          <w:p w:rsidR="00D8616A" w:rsidRPr="005B0796" w:rsidRDefault="00D8616A" w:rsidP="003F0D3E">
            <w:pPr>
              <w:pStyle w:val="TableText"/>
              <w:jc w:val="right"/>
              <w:rPr>
                <w:lang w:eastAsia="en-AU"/>
              </w:rPr>
            </w:pPr>
            <w:r w:rsidRPr="005B0796">
              <w:t>24.3, 31.9</w:t>
            </w:r>
          </w:p>
        </w:tc>
      </w:tr>
      <w:tr w:rsidR="00D8616A" w:rsidRPr="005B0796" w:rsidTr="003F0D3E">
        <w:tc>
          <w:tcPr>
            <w:tcW w:w="1908" w:type="dxa"/>
            <w:hideMark/>
          </w:tcPr>
          <w:p w:rsidR="00D8616A" w:rsidRPr="005B0796" w:rsidRDefault="00D8616A" w:rsidP="003F0D3E">
            <w:pPr>
              <w:pStyle w:val="TableText"/>
              <w:rPr>
                <w:rFonts w:eastAsia="Times New Roman"/>
              </w:rPr>
            </w:pPr>
            <w:r w:rsidRPr="005B0796">
              <w:t>Felt so low thought about committing suicide</w:t>
            </w:r>
          </w:p>
        </w:tc>
        <w:tc>
          <w:tcPr>
            <w:tcW w:w="901" w:type="dxa"/>
            <w:hideMark/>
          </w:tcPr>
          <w:p w:rsidR="00D8616A" w:rsidRPr="005B0796" w:rsidRDefault="00D8616A" w:rsidP="003F0D3E">
            <w:pPr>
              <w:pStyle w:val="TableText"/>
              <w:jc w:val="right"/>
              <w:rPr>
                <w:lang w:eastAsia="en-AU"/>
              </w:rPr>
            </w:pPr>
            <w:r w:rsidRPr="005B0796">
              <w:t>4268</w:t>
            </w:r>
          </w:p>
        </w:tc>
        <w:tc>
          <w:tcPr>
            <w:tcW w:w="901" w:type="dxa"/>
            <w:hideMark/>
          </w:tcPr>
          <w:p w:rsidR="00D8616A" w:rsidRPr="005B0796" w:rsidRDefault="00D8616A" w:rsidP="003F0D3E">
            <w:pPr>
              <w:pStyle w:val="TableText"/>
              <w:jc w:val="right"/>
              <w:rPr>
                <w:lang w:eastAsia="en-AU"/>
              </w:rPr>
            </w:pPr>
            <w:r w:rsidRPr="005B0796">
              <w:t>22.1</w:t>
            </w:r>
          </w:p>
        </w:tc>
        <w:tc>
          <w:tcPr>
            <w:tcW w:w="901" w:type="dxa"/>
            <w:hideMark/>
          </w:tcPr>
          <w:p w:rsidR="00D8616A" w:rsidRPr="005B0796" w:rsidRDefault="00D8616A" w:rsidP="003F0D3E">
            <w:pPr>
              <w:pStyle w:val="TableText"/>
              <w:jc w:val="right"/>
              <w:rPr>
                <w:lang w:eastAsia="en-AU"/>
              </w:rPr>
            </w:pPr>
            <w:r w:rsidRPr="005B0796">
              <w:t>20.5, 23.9</w:t>
            </w:r>
          </w:p>
        </w:tc>
        <w:tc>
          <w:tcPr>
            <w:tcW w:w="901" w:type="dxa"/>
            <w:hideMark/>
          </w:tcPr>
          <w:p w:rsidR="00D8616A" w:rsidRPr="005B0796" w:rsidRDefault="00D8616A" w:rsidP="003F0D3E">
            <w:pPr>
              <w:pStyle w:val="TableText"/>
              <w:jc w:val="right"/>
              <w:rPr>
                <w:lang w:eastAsia="en-AU"/>
              </w:rPr>
            </w:pPr>
            <w:r w:rsidRPr="005B0796">
              <w:t>1026</w:t>
            </w:r>
          </w:p>
        </w:tc>
        <w:tc>
          <w:tcPr>
            <w:tcW w:w="901" w:type="dxa"/>
            <w:hideMark/>
          </w:tcPr>
          <w:p w:rsidR="00D8616A" w:rsidRPr="005B0796" w:rsidRDefault="00D8616A" w:rsidP="003F0D3E">
            <w:pPr>
              <w:pStyle w:val="TableText"/>
              <w:jc w:val="right"/>
              <w:rPr>
                <w:lang w:eastAsia="en-AU"/>
              </w:rPr>
            </w:pPr>
            <w:r w:rsidRPr="005B0796">
              <w:t>18.2</w:t>
            </w:r>
          </w:p>
        </w:tc>
        <w:tc>
          <w:tcPr>
            <w:tcW w:w="902" w:type="dxa"/>
            <w:hideMark/>
          </w:tcPr>
          <w:p w:rsidR="00D8616A" w:rsidRPr="005B0796" w:rsidRDefault="00D8616A" w:rsidP="003F0D3E">
            <w:pPr>
              <w:pStyle w:val="TableText"/>
              <w:jc w:val="right"/>
              <w:rPr>
                <w:lang w:eastAsia="en-AU"/>
              </w:rPr>
            </w:pPr>
            <w:r w:rsidRPr="005B0796">
              <w:t>15.1, 21.8</w:t>
            </w:r>
          </w:p>
        </w:tc>
      </w:tr>
      <w:tr w:rsidR="00D8616A" w:rsidRPr="005B0796" w:rsidTr="003F0D3E">
        <w:trPr>
          <w:cnfStyle w:val="000000100000" w:firstRow="0" w:lastRow="0" w:firstColumn="0" w:lastColumn="0" w:oddVBand="0" w:evenVBand="0" w:oddHBand="1" w:evenHBand="0" w:firstRowFirstColumn="0" w:firstRowLastColumn="0" w:lastRowFirstColumn="0" w:lastRowLastColumn="0"/>
        </w:trPr>
        <w:tc>
          <w:tcPr>
            <w:tcW w:w="1908" w:type="dxa"/>
            <w:hideMark/>
          </w:tcPr>
          <w:p w:rsidR="00D8616A" w:rsidRPr="005B0796" w:rsidRDefault="00D8616A" w:rsidP="003F0D3E">
            <w:pPr>
              <w:pStyle w:val="TableText"/>
              <w:rPr>
                <w:rFonts w:eastAsia="Times New Roman"/>
              </w:rPr>
            </w:pPr>
            <w:r w:rsidRPr="005B0796">
              <w:t>Made a suicide plan</w:t>
            </w:r>
          </w:p>
        </w:tc>
        <w:tc>
          <w:tcPr>
            <w:tcW w:w="901" w:type="dxa"/>
            <w:hideMark/>
          </w:tcPr>
          <w:p w:rsidR="00D8616A" w:rsidRPr="005B0796" w:rsidRDefault="00D8616A" w:rsidP="003F0D3E">
            <w:pPr>
              <w:pStyle w:val="TableText"/>
              <w:jc w:val="right"/>
              <w:rPr>
                <w:lang w:eastAsia="en-AU"/>
              </w:rPr>
            </w:pPr>
            <w:r w:rsidRPr="005B0796">
              <w:t>1521</w:t>
            </w:r>
          </w:p>
        </w:tc>
        <w:tc>
          <w:tcPr>
            <w:tcW w:w="901" w:type="dxa"/>
            <w:hideMark/>
          </w:tcPr>
          <w:p w:rsidR="00D8616A" w:rsidRPr="005B0796" w:rsidRDefault="00D8616A" w:rsidP="003F0D3E">
            <w:pPr>
              <w:pStyle w:val="TableText"/>
              <w:jc w:val="right"/>
              <w:rPr>
                <w:lang w:eastAsia="en-AU"/>
              </w:rPr>
            </w:pPr>
            <w:r w:rsidRPr="005B0796">
              <w:t>7.9</w:t>
            </w:r>
          </w:p>
        </w:tc>
        <w:tc>
          <w:tcPr>
            <w:tcW w:w="901" w:type="dxa"/>
            <w:hideMark/>
          </w:tcPr>
          <w:p w:rsidR="00D8616A" w:rsidRPr="005B0796" w:rsidRDefault="00D8616A" w:rsidP="003F0D3E">
            <w:pPr>
              <w:pStyle w:val="TableText"/>
              <w:jc w:val="right"/>
              <w:rPr>
                <w:lang w:eastAsia="en-AU"/>
              </w:rPr>
            </w:pPr>
            <w:r w:rsidRPr="005B0796">
              <w:t>6.9, 9.0</w:t>
            </w:r>
          </w:p>
        </w:tc>
        <w:tc>
          <w:tcPr>
            <w:tcW w:w="901" w:type="dxa"/>
            <w:hideMark/>
          </w:tcPr>
          <w:p w:rsidR="00D8616A" w:rsidRPr="005B0796" w:rsidRDefault="00D8616A" w:rsidP="003F0D3E">
            <w:pPr>
              <w:pStyle w:val="TableText"/>
              <w:jc w:val="right"/>
              <w:rPr>
                <w:lang w:eastAsia="en-AU"/>
              </w:rPr>
            </w:pPr>
            <w:r w:rsidRPr="005B0796">
              <w:t>444</w:t>
            </w:r>
          </w:p>
        </w:tc>
        <w:tc>
          <w:tcPr>
            <w:tcW w:w="901" w:type="dxa"/>
            <w:hideMark/>
          </w:tcPr>
          <w:p w:rsidR="00D8616A" w:rsidRPr="005B0796" w:rsidRDefault="00D8616A" w:rsidP="003F0D3E">
            <w:pPr>
              <w:pStyle w:val="TableText"/>
              <w:jc w:val="right"/>
              <w:rPr>
                <w:lang w:eastAsia="en-AU"/>
              </w:rPr>
            </w:pPr>
            <w:r w:rsidRPr="005B0796">
              <w:t>7.9</w:t>
            </w:r>
          </w:p>
        </w:tc>
        <w:tc>
          <w:tcPr>
            <w:tcW w:w="902" w:type="dxa"/>
            <w:hideMark/>
          </w:tcPr>
          <w:p w:rsidR="00D8616A" w:rsidRPr="005B0796" w:rsidRDefault="00D8616A" w:rsidP="003F0D3E">
            <w:pPr>
              <w:pStyle w:val="TableText"/>
              <w:jc w:val="right"/>
              <w:rPr>
                <w:lang w:eastAsia="en-AU"/>
              </w:rPr>
            </w:pPr>
            <w:r w:rsidRPr="005B0796">
              <w:t>5.9, 10.5</w:t>
            </w:r>
          </w:p>
        </w:tc>
      </w:tr>
      <w:tr w:rsidR="00D8616A" w:rsidRPr="005B0796" w:rsidTr="003F0D3E">
        <w:tc>
          <w:tcPr>
            <w:tcW w:w="1908" w:type="dxa"/>
            <w:hideMark/>
          </w:tcPr>
          <w:p w:rsidR="00D8616A" w:rsidRPr="005B0796" w:rsidRDefault="00D8616A" w:rsidP="003F0D3E">
            <w:pPr>
              <w:pStyle w:val="TableText"/>
              <w:rPr>
                <w:rFonts w:eastAsia="Times New Roman"/>
              </w:rPr>
            </w:pPr>
            <w:r w:rsidRPr="005B0796">
              <w:t>Attempted suicide</w:t>
            </w:r>
          </w:p>
        </w:tc>
        <w:tc>
          <w:tcPr>
            <w:tcW w:w="901" w:type="dxa"/>
            <w:hideMark/>
          </w:tcPr>
          <w:p w:rsidR="00D8616A" w:rsidRPr="005B0796" w:rsidRDefault="00D8616A" w:rsidP="003F0D3E">
            <w:pPr>
              <w:pStyle w:val="TableText"/>
              <w:jc w:val="right"/>
              <w:rPr>
                <w:lang w:eastAsia="en-AU"/>
              </w:rPr>
            </w:pPr>
            <w:r w:rsidRPr="005B0796">
              <w:t>363</w:t>
            </w:r>
          </w:p>
        </w:tc>
        <w:tc>
          <w:tcPr>
            <w:tcW w:w="901" w:type="dxa"/>
            <w:hideMark/>
          </w:tcPr>
          <w:p w:rsidR="00D8616A" w:rsidRPr="005B0796" w:rsidRDefault="00D8616A" w:rsidP="003F0D3E">
            <w:pPr>
              <w:pStyle w:val="TableText"/>
              <w:jc w:val="right"/>
              <w:rPr>
                <w:lang w:eastAsia="en-AU"/>
              </w:rPr>
            </w:pPr>
            <w:r w:rsidRPr="005B0796">
              <w:t>1.9</w:t>
            </w:r>
          </w:p>
        </w:tc>
        <w:tc>
          <w:tcPr>
            <w:tcW w:w="901" w:type="dxa"/>
            <w:hideMark/>
          </w:tcPr>
          <w:p w:rsidR="00D8616A" w:rsidRPr="005B0796" w:rsidRDefault="00D8616A" w:rsidP="003F0D3E">
            <w:pPr>
              <w:pStyle w:val="TableText"/>
              <w:jc w:val="right"/>
              <w:rPr>
                <w:lang w:eastAsia="en-AU"/>
              </w:rPr>
            </w:pPr>
            <w:r w:rsidRPr="005B0796">
              <w:t>1.4, 2.5</w:t>
            </w:r>
          </w:p>
        </w:tc>
        <w:tc>
          <w:tcPr>
            <w:tcW w:w="901" w:type="dxa"/>
            <w:hideMark/>
          </w:tcPr>
          <w:p w:rsidR="00D8616A" w:rsidRPr="005B0796" w:rsidRDefault="00D8616A" w:rsidP="003F0D3E">
            <w:pPr>
              <w:pStyle w:val="TableText"/>
              <w:jc w:val="right"/>
              <w:rPr>
                <w:lang w:eastAsia="en-AU"/>
              </w:rPr>
            </w:pPr>
            <w:r w:rsidRPr="005B0796">
              <w:t>141</w:t>
            </w:r>
          </w:p>
        </w:tc>
        <w:tc>
          <w:tcPr>
            <w:tcW w:w="901" w:type="dxa"/>
            <w:hideMark/>
          </w:tcPr>
          <w:p w:rsidR="00D8616A" w:rsidRPr="005B0796" w:rsidRDefault="00D8616A" w:rsidP="003F0D3E">
            <w:pPr>
              <w:pStyle w:val="TableText"/>
              <w:jc w:val="right"/>
              <w:rPr>
                <w:lang w:eastAsia="en-AU"/>
              </w:rPr>
            </w:pPr>
            <w:r w:rsidRPr="005B0796">
              <w:t>2.5</w:t>
            </w:r>
          </w:p>
        </w:tc>
        <w:tc>
          <w:tcPr>
            <w:tcW w:w="902" w:type="dxa"/>
            <w:hideMark/>
          </w:tcPr>
          <w:p w:rsidR="00D8616A" w:rsidRPr="005B0796" w:rsidRDefault="00D8616A" w:rsidP="003F0D3E">
            <w:pPr>
              <w:pStyle w:val="TableText"/>
              <w:jc w:val="right"/>
              <w:rPr>
                <w:lang w:eastAsia="en-AU"/>
              </w:rPr>
            </w:pPr>
            <w:r w:rsidRPr="005B0796">
              <w:t>1.5, 4.2</w:t>
            </w:r>
          </w:p>
        </w:tc>
      </w:tr>
      <w:tr w:rsidR="00D8616A" w:rsidRPr="005B0796" w:rsidTr="003F0D3E">
        <w:trPr>
          <w:cnfStyle w:val="000000100000" w:firstRow="0" w:lastRow="0" w:firstColumn="0" w:lastColumn="0" w:oddVBand="0" w:evenVBand="0" w:oddHBand="1" w:evenHBand="0" w:firstRowFirstColumn="0" w:firstRowLastColumn="0" w:lastRowFirstColumn="0" w:lastRowLastColumn="0"/>
        </w:trPr>
        <w:tc>
          <w:tcPr>
            <w:tcW w:w="1908" w:type="dxa"/>
            <w:hideMark/>
          </w:tcPr>
          <w:p w:rsidR="00D8616A" w:rsidRPr="005B0796" w:rsidRDefault="00D8616A" w:rsidP="003F0D3E">
            <w:pPr>
              <w:pStyle w:val="TableText"/>
              <w:rPr>
                <w:rFonts w:eastAsia="Times New Roman"/>
              </w:rPr>
            </w:pPr>
            <w:r w:rsidRPr="005B0796">
              <w:t>Any suicidality*</w:t>
            </w:r>
          </w:p>
        </w:tc>
        <w:tc>
          <w:tcPr>
            <w:tcW w:w="901" w:type="dxa"/>
            <w:hideMark/>
          </w:tcPr>
          <w:p w:rsidR="00D8616A" w:rsidRPr="005B0796" w:rsidRDefault="00D8616A" w:rsidP="003F0D3E">
            <w:pPr>
              <w:pStyle w:val="TableText"/>
              <w:jc w:val="right"/>
              <w:rPr>
                <w:lang w:eastAsia="en-AU"/>
              </w:rPr>
            </w:pPr>
            <w:r w:rsidRPr="005B0796">
              <w:t>4301</w:t>
            </w:r>
          </w:p>
        </w:tc>
        <w:tc>
          <w:tcPr>
            <w:tcW w:w="901" w:type="dxa"/>
            <w:hideMark/>
          </w:tcPr>
          <w:p w:rsidR="00D8616A" w:rsidRPr="005B0796" w:rsidRDefault="00D8616A" w:rsidP="003F0D3E">
            <w:pPr>
              <w:pStyle w:val="TableText"/>
              <w:jc w:val="right"/>
              <w:rPr>
                <w:lang w:eastAsia="en-AU"/>
              </w:rPr>
            </w:pPr>
            <w:r w:rsidRPr="005B0796">
              <w:t>22.3</w:t>
            </w:r>
          </w:p>
        </w:tc>
        <w:tc>
          <w:tcPr>
            <w:tcW w:w="901" w:type="dxa"/>
            <w:hideMark/>
          </w:tcPr>
          <w:p w:rsidR="00D8616A" w:rsidRPr="005B0796" w:rsidRDefault="00D8616A" w:rsidP="003F0D3E">
            <w:pPr>
              <w:pStyle w:val="TableText"/>
              <w:jc w:val="right"/>
              <w:rPr>
                <w:lang w:eastAsia="en-AU"/>
              </w:rPr>
            </w:pPr>
            <w:r w:rsidRPr="005B0796">
              <w:t>20.7, 24.0</w:t>
            </w:r>
          </w:p>
        </w:tc>
        <w:tc>
          <w:tcPr>
            <w:tcW w:w="901" w:type="dxa"/>
            <w:hideMark/>
          </w:tcPr>
          <w:p w:rsidR="00D8616A" w:rsidRPr="005B0796" w:rsidRDefault="00D8616A" w:rsidP="003F0D3E">
            <w:pPr>
              <w:pStyle w:val="TableText"/>
              <w:jc w:val="right"/>
              <w:rPr>
                <w:lang w:eastAsia="en-AU"/>
              </w:rPr>
            </w:pPr>
            <w:r w:rsidRPr="005B0796">
              <w:t>1041</w:t>
            </w:r>
          </w:p>
        </w:tc>
        <w:tc>
          <w:tcPr>
            <w:tcW w:w="901" w:type="dxa"/>
            <w:hideMark/>
          </w:tcPr>
          <w:p w:rsidR="00D8616A" w:rsidRPr="005B0796" w:rsidRDefault="00D8616A" w:rsidP="003F0D3E">
            <w:pPr>
              <w:pStyle w:val="TableText"/>
              <w:jc w:val="right"/>
              <w:rPr>
                <w:lang w:eastAsia="en-AU"/>
              </w:rPr>
            </w:pPr>
            <w:r w:rsidRPr="005B0796">
              <w:t>18.5</w:t>
            </w:r>
          </w:p>
        </w:tc>
        <w:tc>
          <w:tcPr>
            <w:tcW w:w="902" w:type="dxa"/>
            <w:hideMark/>
          </w:tcPr>
          <w:p w:rsidR="00D8616A" w:rsidRPr="005B0796" w:rsidRDefault="00D8616A" w:rsidP="003F0D3E">
            <w:pPr>
              <w:pStyle w:val="TableText"/>
              <w:jc w:val="right"/>
              <w:rPr>
                <w:lang w:eastAsia="en-AU"/>
              </w:rPr>
            </w:pPr>
            <w:r w:rsidRPr="005B0796">
              <w:t>15.4, 22.0</w:t>
            </w:r>
          </w:p>
        </w:tc>
      </w:tr>
    </w:tbl>
    <w:p w:rsidR="0019239D" w:rsidRPr="005B0796" w:rsidRDefault="0019239D" w:rsidP="00C77924">
      <w:pPr>
        <w:pStyle w:val="TableNotes"/>
        <w:keepNext/>
      </w:pPr>
      <w:bookmarkStart w:id="819" w:name="_Ref484520342"/>
      <w:bookmarkStart w:id="820" w:name="_Toc482023848"/>
      <w:bookmarkStart w:id="821" w:name="_Toc487014386"/>
      <w:r w:rsidRPr="005B0796">
        <w:t xml:space="preserve">* Calculated as yes to </w:t>
      </w:r>
      <w:r w:rsidR="001B0335">
        <w:t>‘</w:t>
      </w:r>
      <w:r w:rsidR="00F773A8" w:rsidRPr="005B0796">
        <w:t xml:space="preserve">felt </w:t>
      </w:r>
      <w:r w:rsidRPr="005B0796">
        <w:t>so low thought about committing suicide</w:t>
      </w:r>
      <w:r w:rsidR="001B0335">
        <w:t>’</w:t>
      </w:r>
      <w:r w:rsidRPr="005B0796">
        <w:t xml:space="preserve">, </w:t>
      </w:r>
      <w:r w:rsidR="001B0335">
        <w:t>‘</w:t>
      </w:r>
      <w:r w:rsidR="00F773A8" w:rsidRPr="005B0796">
        <w:t xml:space="preserve">made </w:t>
      </w:r>
      <w:r w:rsidRPr="005B0796">
        <w:t>a suicide plan</w:t>
      </w:r>
      <w:r w:rsidR="001B0335">
        <w:t>’</w:t>
      </w:r>
      <w:r w:rsidRPr="005B0796">
        <w:t xml:space="preserve">, or </w:t>
      </w:r>
      <w:r w:rsidR="001B0335">
        <w:t>‘</w:t>
      </w:r>
      <w:r w:rsidR="00F773A8" w:rsidRPr="005B0796">
        <w:t xml:space="preserve">attempted </w:t>
      </w:r>
      <w:r w:rsidRPr="005B0796">
        <w:t>suicide</w:t>
      </w:r>
      <w:r w:rsidR="001B0335">
        <w:t>’</w:t>
      </w:r>
    </w:p>
    <w:p w:rsidR="0019239D" w:rsidRPr="005B0796" w:rsidRDefault="0019239D" w:rsidP="00C77924">
      <w:pPr>
        <w:pStyle w:val="TableNotes"/>
        <w:keepNext/>
        <w:rPr>
          <w:rFonts w:cs="Calibri"/>
          <w:bCs/>
        </w:rPr>
      </w:pPr>
      <w:r w:rsidRPr="005B0796">
        <w:rPr>
          <w:rFonts w:cs="Calibri"/>
          <w:bCs/>
        </w:rPr>
        <w:t>Note</w:t>
      </w:r>
      <w:r w:rsidR="009C4349" w:rsidRPr="005B0796">
        <w:rPr>
          <w:rFonts w:cs="Calibri"/>
          <w:bCs/>
        </w:rPr>
        <w:t>s:</w:t>
      </w:r>
      <w:r w:rsidR="009C4349" w:rsidRPr="005B0796">
        <w:rPr>
          <w:rFonts w:cs="Calibri"/>
          <w:bCs/>
        </w:rPr>
        <w:br/>
      </w:r>
      <w:r w:rsidRPr="005B0796">
        <w:rPr>
          <w:rFonts w:cs="Calibri"/>
          <w:bCs/>
        </w:rPr>
        <w:t xml:space="preserve">* 95% CI: 95% </w:t>
      </w:r>
      <w:r w:rsidR="00564689" w:rsidRPr="005B0796">
        <w:rPr>
          <w:rFonts w:cs="Calibri"/>
          <w:bCs/>
        </w:rPr>
        <w:t>confidence interval</w:t>
      </w:r>
    </w:p>
    <w:p w:rsidR="0019239D" w:rsidRPr="005B0796" w:rsidRDefault="0019239D" w:rsidP="00C77924">
      <w:pPr>
        <w:pStyle w:val="TableNotes"/>
      </w:pPr>
      <w:r w:rsidRPr="005B0796">
        <w:t xml:space="preserve">This terminology reflects the standardised survey item used in this study </w:t>
      </w:r>
      <w:r w:rsidR="001B0335">
        <w:t xml:space="preserve">– </w:t>
      </w:r>
      <w:r w:rsidRPr="005B0796">
        <w:t>however</w:t>
      </w:r>
      <w:r w:rsidR="001B0335">
        <w:t>,</w:t>
      </w:r>
      <w:r w:rsidRPr="005B0796">
        <w:t xml:space="preserve"> it should be noted that this is no longer considered an appropriate description, and the term </w:t>
      </w:r>
      <w:r w:rsidR="00462A0C" w:rsidRPr="005B0796">
        <w:t>‘</w:t>
      </w:r>
      <w:r w:rsidR="001B0335">
        <w:t xml:space="preserve">thought about </w:t>
      </w:r>
      <w:r w:rsidRPr="005B0796">
        <w:t>committing suicide</w:t>
      </w:r>
      <w:r w:rsidR="00462A0C" w:rsidRPr="005B0796">
        <w:t>’</w:t>
      </w:r>
      <w:r w:rsidRPr="005B0796">
        <w:t xml:space="preserve"> should be replaced with </w:t>
      </w:r>
      <w:r w:rsidR="00462A0C" w:rsidRPr="005B0796">
        <w:t>‘</w:t>
      </w:r>
      <w:r w:rsidRPr="005B0796">
        <w:t>thought about taking their own life</w:t>
      </w:r>
      <w:r w:rsidR="00462A0C" w:rsidRPr="005B0796">
        <w:t>’</w:t>
      </w:r>
    </w:p>
    <w:p w:rsidR="0019239D" w:rsidRPr="005B0796" w:rsidRDefault="0019239D" w:rsidP="0019239D">
      <w:pPr>
        <w:pStyle w:val="FigureName"/>
      </w:pPr>
      <w:bookmarkStart w:id="822" w:name="_Ref494281736"/>
      <w:bookmarkStart w:id="823" w:name="_Toc51190055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38</w:t>
      </w:r>
      <w:r w:rsidR="00D30A3C">
        <w:rPr>
          <w:noProof/>
        </w:rPr>
        <w:fldChar w:fldCharType="end"/>
      </w:r>
      <w:bookmarkEnd w:id="819"/>
      <w:bookmarkEnd w:id="822"/>
      <w:r w:rsidRPr="005B0796">
        <w:tab/>
        <w:t>Estimated prevalence of 12-month suicidality in the Transitioned ADF</w:t>
      </w:r>
      <w:r w:rsidR="001B0335">
        <w:t>,</w:t>
      </w:r>
      <w:r w:rsidRPr="005B0796">
        <w:t xml:space="preserve"> by deployment status</w:t>
      </w:r>
      <w:bookmarkEnd w:id="820"/>
      <w:bookmarkEnd w:id="821"/>
      <w:bookmarkEnd w:id="823"/>
    </w:p>
    <w:tbl>
      <w:tblPr>
        <w:tblW w:w="5000" w:type="pct"/>
        <w:tblLayout w:type="fixed"/>
        <w:tblCellMar>
          <w:left w:w="115" w:type="dxa"/>
          <w:right w:w="115" w:type="dxa"/>
        </w:tblCellMar>
        <w:tblLook w:val="04A0" w:firstRow="1" w:lastRow="0" w:firstColumn="1" w:lastColumn="0" w:noHBand="0" w:noVBand="1"/>
      </w:tblPr>
      <w:tblGrid>
        <w:gridCol w:w="7329"/>
      </w:tblGrid>
      <w:tr w:rsidR="00D8616A" w:rsidRPr="005B0796" w:rsidTr="008234C7">
        <w:trPr>
          <w:cantSplit/>
        </w:trPr>
        <w:tc>
          <w:tcPr>
            <w:tcW w:w="7315" w:type="dxa"/>
          </w:tcPr>
          <w:p w:rsidR="00D8616A" w:rsidRPr="005B0796" w:rsidRDefault="00D8616A" w:rsidP="008234C7">
            <w:r w:rsidRPr="005B0796">
              <w:rPr>
                <w:i/>
                <w:noProof/>
                <w:lang w:eastAsia="en-AU"/>
              </w:rPr>
              <w:drawing>
                <wp:inline distT="0" distB="0" distL="0" distR="0" wp14:anchorId="786658D8" wp14:editId="096B42AB">
                  <wp:extent cx="4572000" cy="2743200"/>
                  <wp:effectExtent l="0" t="0" r="0" b="0"/>
                  <wp:docPr id="98" name="Chart 98" descr="Figure 4.38 Estimated prevalence of 12-month suicidality in the Transitioned ADF by deployment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bl>
    <w:p w:rsidR="0019239D" w:rsidRPr="005B0796" w:rsidRDefault="0019239D" w:rsidP="008234C7">
      <w:pPr>
        <w:pStyle w:val="Heading4"/>
      </w:pPr>
      <w:r w:rsidRPr="005B0796">
        <w:t>Years of service</w:t>
      </w:r>
    </w:p>
    <w:p w:rsidR="0019239D" w:rsidRPr="005B0796" w:rsidRDefault="0019239D" w:rsidP="008234C7">
      <w:r w:rsidRPr="005B0796">
        <w:t xml:space="preserve">When examining suicidality by years of service in the Regular ADF, </w:t>
      </w:r>
      <w:r w:rsidR="009E72D3" w:rsidRPr="005B0796">
        <w:t>Table 4.47</w:t>
      </w:r>
      <w:r w:rsidRPr="005B0796">
        <w:t xml:space="preserve"> and </w:t>
      </w:r>
      <w:r w:rsidR="009E72D3" w:rsidRPr="005B0796">
        <w:t>Figure 4.39</w:t>
      </w:r>
      <w:r w:rsidRPr="005B0796">
        <w:t xml:space="preserve"> show that prevalence is highest among those with less than four years of service (28.1%, 95% CI 22.6, 34.5). This appears to mainly reflect higher estimated rates of ideation (28.5%, 95% CI 22.9, 34.8) rather than plans and attempts. Compared to those with 3 months to 3.9 years of service, suicidal ideation was significantly lower in Transitioned ADF with 8–11.9 years of service (ideation Q1: OR 0.6, 95% CI 0.4, 0.9; ideation Q2: OR 0.6, 95% CI 0.4, 0.9), 12–15.9 years of service (ideation Q1: OR 0.7, 95% CI 0.5, 0.9; ideation Q2: OR 0.6, 95% CI 0.4, 0.9), 16–19.9 years of service (ideation Q1: OR 0.7, 95% CI 0.5, 0.9; ideation Q2: OR 0.6, 95% CI 0.4, 0.9) and 20+ years of service (ideation Q1: OR 0.6, 95% CI 0.4, 0.8; ideation Q2: OR 0.5, 95% CI 0.4, 0.7). There were no significant differences in suicide plans or attempts by years of service in the Regular ADF.</w:t>
      </w:r>
    </w:p>
    <w:p w:rsidR="0019239D" w:rsidRPr="005B0796" w:rsidRDefault="0019239D" w:rsidP="008234C7"/>
    <w:p w:rsidR="0019239D" w:rsidRPr="005B0796" w:rsidRDefault="0019239D" w:rsidP="0019239D">
      <w:pPr>
        <w:sectPr w:rsidR="0019239D" w:rsidRPr="005B0796" w:rsidSect="009066FB">
          <w:footerReference w:type="even" r:id="rId154"/>
          <w:footerReference w:type="default" r:id="rId155"/>
          <w:pgSz w:w="9979" w:h="14170" w:code="243"/>
          <w:pgMar w:top="1440" w:right="1152" w:bottom="1440" w:left="1728" w:header="576" w:footer="576" w:gutter="0"/>
          <w:cols w:space="708"/>
          <w:docGrid w:linePitch="360"/>
        </w:sectPr>
      </w:pPr>
    </w:p>
    <w:p w:rsidR="0019239D" w:rsidRPr="005B0796" w:rsidRDefault="0019239D" w:rsidP="0019239D">
      <w:pPr>
        <w:pStyle w:val="TableName"/>
      </w:pPr>
      <w:bookmarkStart w:id="824" w:name="_Ref484520177"/>
      <w:bookmarkStart w:id="825" w:name="_Toc482023811"/>
      <w:bookmarkStart w:id="826" w:name="_Toc487014298"/>
      <w:bookmarkStart w:id="827" w:name="_Toc492995601"/>
      <w:bookmarkStart w:id="828" w:name="_Toc51190045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47</w:t>
      </w:r>
      <w:r w:rsidR="00D30A3C">
        <w:rPr>
          <w:noProof/>
        </w:rPr>
        <w:fldChar w:fldCharType="end"/>
      </w:r>
      <w:bookmarkEnd w:id="824"/>
      <w:r w:rsidRPr="005B0796">
        <w:tab/>
        <w:t xml:space="preserve">Estimated prevalence of suicidality in Transitioned ADF members </w:t>
      </w:r>
      <w:r w:rsidR="001B0335">
        <w:t xml:space="preserve">by </w:t>
      </w:r>
      <w:r w:rsidRPr="005B0796">
        <w:t xml:space="preserve">years of service in Regular </w:t>
      </w:r>
      <w:bookmarkEnd w:id="825"/>
      <w:bookmarkEnd w:id="826"/>
      <w:r w:rsidRPr="005B0796">
        <w:t>ADF</w:t>
      </w:r>
      <w:bookmarkEnd w:id="827"/>
      <w:bookmarkEnd w:id="828"/>
    </w:p>
    <w:tbl>
      <w:tblPr>
        <w:tblStyle w:val="TWRPTable"/>
        <w:tblW w:w="5000" w:type="pct"/>
        <w:tblLayout w:type="fixed"/>
        <w:tblLook w:val="04A0" w:firstRow="1" w:lastRow="0" w:firstColumn="1" w:lastColumn="0" w:noHBand="0" w:noVBand="1"/>
        <w:tblDescription w:val="Table 4.47 Estimated prevalence of suicidality in Transitioned ADF members years of service in Regular ADF"/>
      </w:tblPr>
      <w:tblGrid>
        <w:gridCol w:w="1840"/>
        <w:gridCol w:w="1213"/>
        <w:gridCol w:w="1054"/>
        <w:gridCol w:w="1059"/>
        <w:gridCol w:w="1054"/>
        <w:gridCol w:w="1056"/>
        <w:gridCol w:w="1059"/>
        <w:gridCol w:w="1056"/>
        <w:gridCol w:w="1056"/>
        <w:gridCol w:w="1059"/>
      </w:tblGrid>
      <w:tr w:rsidR="00906A1A" w:rsidRPr="005B0796" w:rsidTr="00906A1A">
        <w:trPr>
          <w:cnfStyle w:val="100000000000" w:firstRow="1" w:lastRow="0" w:firstColumn="0" w:lastColumn="0" w:oddVBand="0" w:evenVBand="0" w:oddHBand="0" w:evenHBand="0" w:firstRowFirstColumn="0" w:firstRowLastColumn="0" w:lastRowFirstColumn="0" w:lastRowLastColumn="0"/>
          <w:tblHeader/>
        </w:trPr>
        <w:tc>
          <w:tcPr>
            <w:tcW w:w="800" w:type="pct"/>
            <w:vMerge w:val="restart"/>
            <w:tcBorders>
              <w:top w:val="single" w:sz="4" w:space="0" w:color="000000"/>
            </w:tcBorders>
          </w:tcPr>
          <w:p w:rsidR="00906A1A" w:rsidRPr="005B0796" w:rsidRDefault="00906A1A" w:rsidP="00AB5DA2">
            <w:pPr>
              <w:pStyle w:val="TableText"/>
              <w:rPr>
                <w:lang w:eastAsia="en-AU"/>
              </w:rPr>
            </w:pPr>
            <w:r w:rsidRPr="005B0796">
              <w:rPr>
                <w:lang w:eastAsia="en-AU"/>
              </w:rPr>
              <w:t>Suicidality</w:t>
            </w:r>
          </w:p>
        </w:tc>
        <w:tc>
          <w:tcPr>
            <w:tcW w:w="4200" w:type="pct"/>
            <w:gridSpan w:val="9"/>
            <w:noWrap/>
          </w:tcPr>
          <w:p w:rsidR="00906A1A" w:rsidRPr="005B0796" w:rsidRDefault="00906A1A" w:rsidP="00AB5DA2">
            <w:pPr>
              <w:pStyle w:val="TableText"/>
              <w:jc w:val="center"/>
              <w:rPr>
                <w:lang w:eastAsia="en-AU"/>
              </w:rPr>
            </w:pPr>
            <w:r w:rsidRPr="005B0796">
              <w:rPr>
                <w:lang w:eastAsia="en-AU"/>
              </w:rPr>
              <w:t>Years of service in Regular ADF</w:t>
            </w:r>
          </w:p>
        </w:tc>
      </w:tr>
      <w:tr w:rsidR="00906A1A" w:rsidRPr="005B0796" w:rsidTr="00906A1A">
        <w:trPr>
          <w:cnfStyle w:val="100000000000" w:firstRow="1" w:lastRow="0" w:firstColumn="0" w:lastColumn="0" w:oddVBand="0" w:evenVBand="0" w:oddHBand="0" w:evenHBand="0" w:firstRowFirstColumn="0" w:firstRowLastColumn="0" w:lastRowFirstColumn="0" w:lastRowLastColumn="0"/>
          <w:tblHeader/>
        </w:trPr>
        <w:tc>
          <w:tcPr>
            <w:tcW w:w="800" w:type="pct"/>
            <w:vMerge/>
            <w:tcBorders>
              <w:top w:val="single" w:sz="4" w:space="0" w:color="000000"/>
            </w:tcBorders>
            <w:hideMark/>
          </w:tcPr>
          <w:p w:rsidR="00906A1A" w:rsidRPr="005B0796" w:rsidRDefault="00906A1A" w:rsidP="00AB5DA2">
            <w:pPr>
              <w:pStyle w:val="TableText"/>
              <w:rPr>
                <w:lang w:eastAsia="en-AU"/>
              </w:rPr>
            </w:pPr>
          </w:p>
        </w:tc>
        <w:tc>
          <w:tcPr>
            <w:tcW w:w="1445" w:type="pct"/>
            <w:gridSpan w:val="3"/>
            <w:noWrap/>
            <w:hideMark/>
          </w:tcPr>
          <w:p w:rsidR="00906A1A" w:rsidRPr="005B0796" w:rsidRDefault="00906A1A" w:rsidP="00AB5DA2">
            <w:pPr>
              <w:pStyle w:val="TableText"/>
              <w:jc w:val="center"/>
              <w:rPr>
                <w:lang w:eastAsia="en-AU"/>
              </w:rPr>
            </w:pPr>
            <w:r w:rsidRPr="005B0796">
              <w:rPr>
                <w:lang w:eastAsia="en-AU"/>
              </w:rPr>
              <w:t>3 months – 3.9 years</w:t>
            </w:r>
            <w:r w:rsidRPr="005B0796">
              <w:rPr>
                <w:lang w:eastAsia="en-AU"/>
              </w:rPr>
              <w:br/>
              <w:t>(n = 2413)</w:t>
            </w:r>
          </w:p>
        </w:tc>
        <w:tc>
          <w:tcPr>
            <w:tcW w:w="1377" w:type="pct"/>
            <w:gridSpan w:val="3"/>
            <w:noWrap/>
            <w:hideMark/>
          </w:tcPr>
          <w:p w:rsidR="00906A1A" w:rsidRPr="005B0796" w:rsidRDefault="00906A1A" w:rsidP="00AB5DA2">
            <w:pPr>
              <w:pStyle w:val="TableText"/>
              <w:jc w:val="center"/>
              <w:rPr>
                <w:lang w:eastAsia="en-AU"/>
              </w:rPr>
            </w:pPr>
            <w:r w:rsidRPr="005B0796">
              <w:rPr>
                <w:lang w:eastAsia="en-AU"/>
              </w:rPr>
              <w:t>4–7.9 years</w:t>
            </w:r>
            <w:r w:rsidRPr="005B0796">
              <w:rPr>
                <w:lang w:eastAsia="en-AU"/>
              </w:rPr>
              <w:br/>
              <w:t>(n = 9015)</w:t>
            </w:r>
          </w:p>
        </w:tc>
        <w:tc>
          <w:tcPr>
            <w:tcW w:w="1378" w:type="pct"/>
            <w:gridSpan w:val="3"/>
            <w:noWrap/>
            <w:hideMark/>
          </w:tcPr>
          <w:p w:rsidR="00906A1A" w:rsidRPr="005B0796" w:rsidRDefault="00906A1A" w:rsidP="00AB5DA2">
            <w:pPr>
              <w:pStyle w:val="TableText"/>
              <w:jc w:val="center"/>
              <w:rPr>
                <w:lang w:eastAsia="en-AU"/>
              </w:rPr>
            </w:pPr>
            <w:r w:rsidRPr="005B0796">
              <w:rPr>
                <w:lang w:eastAsia="en-AU"/>
              </w:rPr>
              <w:t>8–11.9 years</w:t>
            </w:r>
            <w:r w:rsidRPr="005B0796">
              <w:rPr>
                <w:lang w:eastAsia="en-AU"/>
              </w:rPr>
              <w:br/>
              <w:t>(n = 3295)</w:t>
            </w:r>
          </w:p>
        </w:tc>
      </w:tr>
      <w:tr w:rsidR="00906A1A" w:rsidRPr="005B0796" w:rsidTr="00906A1A">
        <w:trPr>
          <w:cnfStyle w:val="100000000000" w:firstRow="1" w:lastRow="0" w:firstColumn="0" w:lastColumn="0" w:oddVBand="0" w:evenVBand="0" w:oddHBand="0" w:evenHBand="0" w:firstRowFirstColumn="0" w:firstRowLastColumn="0" w:lastRowFirstColumn="0" w:lastRowLastColumn="0"/>
          <w:tblHeader/>
        </w:trPr>
        <w:tc>
          <w:tcPr>
            <w:tcW w:w="800" w:type="pct"/>
            <w:vMerge/>
            <w:tcBorders>
              <w:top w:val="single" w:sz="4" w:space="0" w:color="000000"/>
            </w:tcBorders>
            <w:noWrap/>
            <w:hideMark/>
          </w:tcPr>
          <w:p w:rsidR="00906A1A" w:rsidRPr="005B0796" w:rsidRDefault="00906A1A" w:rsidP="00AB5DA2">
            <w:pPr>
              <w:pStyle w:val="TableText"/>
              <w:rPr>
                <w:lang w:eastAsia="en-AU"/>
              </w:rPr>
            </w:pPr>
          </w:p>
        </w:tc>
        <w:tc>
          <w:tcPr>
            <w:tcW w:w="527" w:type="pct"/>
            <w:noWrap/>
            <w:hideMark/>
          </w:tcPr>
          <w:p w:rsidR="00906A1A" w:rsidRPr="005B0796" w:rsidRDefault="00906A1A" w:rsidP="00AB5DA2">
            <w:pPr>
              <w:pStyle w:val="TableText"/>
              <w:jc w:val="right"/>
              <w:rPr>
                <w:lang w:eastAsia="en-AU"/>
              </w:rPr>
            </w:pPr>
            <w:r w:rsidRPr="005B0796">
              <w:rPr>
                <w:lang w:eastAsia="en-AU"/>
              </w:rPr>
              <w:t>Weighted n</w:t>
            </w:r>
          </w:p>
        </w:tc>
        <w:tc>
          <w:tcPr>
            <w:tcW w:w="458" w:type="pct"/>
            <w:hideMark/>
          </w:tcPr>
          <w:p w:rsidR="00906A1A" w:rsidRPr="005B0796" w:rsidRDefault="00906A1A" w:rsidP="00AB5DA2">
            <w:pPr>
              <w:pStyle w:val="TableText"/>
              <w:jc w:val="right"/>
              <w:rPr>
                <w:lang w:eastAsia="en-AU"/>
              </w:rPr>
            </w:pPr>
            <w:r w:rsidRPr="005B0796">
              <w:t>%</w:t>
            </w:r>
          </w:p>
        </w:tc>
        <w:tc>
          <w:tcPr>
            <w:tcW w:w="460" w:type="pct"/>
            <w:hideMark/>
          </w:tcPr>
          <w:p w:rsidR="00906A1A" w:rsidRPr="005B0796" w:rsidRDefault="00906A1A" w:rsidP="00AB5DA2">
            <w:pPr>
              <w:pStyle w:val="TableText"/>
              <w:jc w:val="right"/>
              <w:rPr>
                <w:lang w:eastAsia="en-AU"/>
              </w:rPr>
            </w:pPr>
            <w:r w:rsidRPr="005B0796">
              <w:t>95% CI</w:t>
            </w:r>
          </w:p>
        </w:tc>
        <w:tc>
          <w:tcPr>
            <w:tcW w:w="458" w:type="pct"/>
            <w:noWrap/>
            <w:hideMark/>
          </w:tcPr>
          <w:p w:rsidR="00906A1A" w:rsidRPr="005B0796" w:rsidRDefault="00906A1A" w:rsidP="00AB5DA2">
            <w:pPr>
              <w:pStyle w:val="TableText"/>
              <w:jc w:val="right"/>
              <w:rPr>
                <w:lang w:eastAsia="en-AU"/>
              </w:rPr>
            </w:pPr>
            <w:r w:rsidRPr="005B0796">
              <w:rPr>
                <w:lang w:eastAsia="en-AU"/>
              </w:rPr>
              <w:t>Weighted n</w:t>
            </w:r>
          </w:p>
        </w:tc>
        <w:tc>
          <w:tcPr>
            <w:tcW w:w="459" w:type="pct"/>
            <w:hideMark/>
          </w:tcPr>
          <w:p w:rsidR="00906A1A" w:rsidRPr="005B0796" w:rsidRDefault="00906A1A" w:rsidP="00AB5DA2">
            <w:pPr>
              <w:pStyle w:val="TableText"/>
              <w:jc w:val="right"/>
              <w:rPr>
                <w:lang w:eastAsia="en-AU"/>
              </w:rPr>
            </w:pPr>
            <w:r w:rsidRPr="005B0796">
              <w:t>%</w:t>
            </w:r>
          </w:p>
        </w:tc>
        <w:tc>
          <w:tcPr>
            <w:tcW w:w="460" w:type="pct"/>
            <w:hideMark/>
          </w:tcPr>
          <w:p w:rsidR="00906A1A" w:rsidRPr="005B0796" w:rsidRDefault="00906A1A" w:rsidP="00AB5DA2">
            <w:pPr>
              <w:pStyle w:val="TableText"/>
              <w:jc w:val="right"/>
              <w:rPr>
                <w:lang w:eastAsia="en-AU"/>
              </w:rPr>
            </w:pPr>
            <w:r w:rsidRPr="005B0796">
              <w:t>95% CI</w:t>
            </w:r>
          </w:p>
        </w:tc>
        <w:tc>
          <w:tcPr>
            <w:tcW w:w="459" w:type="pct"/>
            <w:noWrap/>
            <w:hideMark/>
          </w:tcPr>
          <w:p w:rsidR="00906A1A" w:rsidRPr="005B0796" w:rsidRDefault="00906A1A" w:rsidP="00AB5DA2">
            <w:pPr>
              <w:pStyle w:val="TableText"/>
              <w:jc w:val="right"/>
              <w:rPr>
                <w:lang w:eastAsia="en-AU"/>
              </w:rPr>
            </w:pPr>
            <w:r w:rsidRPr="005B0796">
              <w:rPr>
                <w:lang w:eastAsia="en-AU"/>
              </w:rPr>
              <w:t>Weighted n</w:t>
            </w:r>
          </w:p>
        </w:tc>
        <w:tc>
          <w:tcPr>
            <w:tcW w:w="459" w:type="pct"/>
            <w:hideMark/>
          </w:tcPr>
          <w:p w:rsidR="00906A1A" w:rsidRPr="005B0796" w:rsidRDefault="00906A1A" w:rsidP="00AB5DA2">
            <w:pPr>
              <w:pStyle w:val="TableText"/>
              <w:jc w:val="right"/>
              <w:rPr>
                <w:lang w:eastAsia="en-AU"/>
              </w:rPr>
            </w:pPr>
            <w:r w:rsidRPr="005B0796">
              <w:t>%</w:t>
            </w:r>
          </w:p>
        </w:tc>
        <w:tc>
          <w:tcPr>
            <w:tcW w:w="460" w:type="pct"/>
            <w:hideMark/>
          </w:tcPr>
          <w:p w:rsidR="00906A1A" w:rsidRPr="005B0796" w:rsidRDefault="00906A1A" w:rsidP="00AB5DA2">
            <w:pPr>
              <w:pStyle w:val="TableText"/>
              <w:jc w:val="right"/>
              <w:rPr>
                <w:lang w:eastAsia="en-AU"/>
              </w:rPr>
            </w:pPr>
            <w:r w:rsidRPr="005B0796">
              <w:t>95% CI</w:t>
            </w:r>
          </w:p>
        </w:tc>
      </w:tr>
      <w:tr w:rsidR="00906A1A" w:rsidRPr="005B0796" w:rsidTr="00906A1A">
        <w:trPr>
          <w:cnfStyle w:val="000000100000" w:firstRow="0" w:lastRow="0" w:firstColumn="0" w:lastColumn="0" w:oddVBand="0" w:evenVBand="0" w:oddHBand="1" w:evenHBand="0" w:firstRowFirstColumn="0" w:firstRowLastColumn="0" w:lastRowFirstColumn="0" w:lastRowLastColumn="0"/>
        </w:trPr>
        <w:tc>
          <w:tcPr>
            <w:tcW w:w="800" w:type="pct"/>
            <w:hideMark/>
          </w:tcPr>
          <w:p w:rsidR="00906A1A" w:rsidRPr="005B0796" w:rsidRDefault="00906A1A" w:rsidP="00AB5DA2">
            <w:pPr>
              <w:pStyle w:val="TableText"/>
              <w:rPr>
                <w:lang w:eastAsia="en-AU"/>
              </w:rPr>
            </w:pPr>
            <w:r w:rsidRPr="005B0796">
              <w:t>Felt life not worth living</w:t>
            </w:r>
            <w:r w:rsidRPr="005B0796">
              <w:rPr>
                <w:vertAlign w:val="superscript"/>
              </w:rPr>
              <w:t>a</w:t>
            </w:r>
          </w:p>
        </w:tc>
        <w:tc>
          <w:tcPr>
            <w:tcW w:w="527" w:type="pct"/>
            <w:noWrap/>
            <w:hideMark/>
          </w:tcPr>
          <w:p w:rsidR="00906A1A" w:rsidRPr="005B0796" w:rsidRDefault="00906A1A" w:rsidP="00AB5DA2">
            <w:pPr>
              <w:pStyle w:val="TableText"/>
              <w:jc w:val="right"/>
              <w:rPr>
                <w:lang w:eastAsia="en-AU"/>
              </w:rPr>
            </w:pPr>
            <w:r w:rsidRPr="005B0796">
              <w:t>932</w:t>
            </w:r>
          </w:p>
        </w:tc>
        <w:tc>
          <w:tcPr>
            <w:tcW w:w="458" w:type="pct"/>
            <w:hideMark/>
          </w:tcPr>
          <w:p w:rsidR="00906A1A" w:rsidRPr="005B0796" w:rsidRDefault="00906A1A" w:rsidP="00AB5DA2">
            <w:pPr>
              <w:pStyle w:val="TableText"/>
              <w:jc w:val="right"/>
              <w:rPr>
                <w:lang w:eastAsia="en-AU"/>
              </w:rPr>
            </w:pPr>
            <w:r w:rsidRPr="005B0796">
              <w:t>36.6</w:t>
            </w:r>
          </w:p>
        </w:tc>
        <w:tc>
          <w:tcPr>
            <w:tcW w:w="460" w:type="pct"/>
            <w:hideMark/>
          </w:tcPr>
          <w:p w:rsidR="00906A1A" w:rsidRPr="005B0796" w:rsidRDefault="00906A1A" w:rsidP="00AB5DA2">
            <w:pPr>
              <w:pStyle w:val="TableText"/>
              <w:jc w:val="right"/>
              <w:rPr>
                <w:lang w:eastAsia="en-AU"/>
              </w:rPr>
            </w:pPr>
            <w:r w:rsidRPr="005B0796">
              <w:rPr>
                <w:lang w:eastAsia="en-AU"/>
              </w:rPr>
              <w:t>30.5, 43.1</w:t>
            </w:r>
          </w:p>
        </w:tc>
        <w:tc>
          <w:tcPr>
            <w:tcW w:w="458" w:type="pct"/>
            <w:hideMark/>
          </w:tcPr>
          <w:p w:rsidR="00906A1A" w:rsidRPr="005B0796" w:rsidRDefault="00906A1A" w:rsidP="00AB5DA2">
            <w:pPr>
              <w:pStyle w:val="TableText"/>
              <w:jc w:val="right"/>
              <w:rPr>
                <w:lang w:eastAsia="en-AU"/>
              </w:rPr>
            </w:pPr>
            <w:r w:rsidRPr="005B0796">
              <w:t>2783</w:t>
            </w:r>
          </w:p>
        </w:tc>
        <w:tc>
          <w:tcPr>
            <w:tcW w:w="459" w:type="pct"/>
            <w:hideMark/>
          </w:tcPr>
          <w:p w:rsidR="00906A1A" w:rsidRPr="005B0796" w:rsidRDefault="00906A1A" w:rsidP="00AB5DA2">
            <w:pPr>
              <w:pStyle w:val="TableText"/>
              <w:jc w:val="right"/>
              <w:rPr>
                <w:lang w:eastAsia="en-AU"/>
              </w:rPr>
            </w:pPr>
            <w:r w:rsidRPr="005B0796">
              <w:t>30.9</w:t>
            </w:r>
          </w:p>
        </w:tc>
        <w:tc>
          <w:tcPr>
            <w:tcW w:w="460" w:type="pct"/>
            <w:hideMark/>
          </w:tcPr>
          <w:p w:rsidR="00906A1A" w:rsidRPr="005B0796" w:rsidRDefault="00906A1A" w:rsidP="00AB5DA2">
            <w:pPr>
              <w:pStyle w:val="TableText"/>
              <w:jc w:val="right"/>
              <w:rPr>
                <w:lang w:eastAsia="en-AU"/>
              </w:rPr>
            </w:pPr>
            <w:r w:rsidRPr="005B0796">
              <w:t>27.6, 34.4</w:t>
            </w:r>
          </w:p>
        </w:tc>
        <w:tc>
          <w:tcPr>
            <w:tcW w:w="459" w:type="pct"/>
            <w:hideMark/>
          </w:tcPr>
          <w:p w:rsidR="00906A1A" w:rsidRPr="005B0796" w:rsidRDefault="00906A1A" w:rsidP="00AB5DA2">
            <w:pPr>
              <w:pStyle w:val="TableText"/>
              <w:jc w:val="right"/>
              <w:rPr>
                <w:lang w:eastAsia="en-AU"/>
              </w:rPr>
            </w:pPr>
            <w:r w:rsidRPr="005B0796">
              <w:t>863</w:t>
            </w:r>
          </w:p>
        </w:tc>
        <w:tc>
          <w:tcPr>
            <w:tcW w:w="459" w:type="pct"/>
            <w:hideMark/>
          </w:tcPr>
          <w:p w:rsidR="00906A1A" w:rsidRPr="005B0796" w:rsidRDefault="00906A1A" w:rsidP="00AB5DA2">
            <w:pPr>
              <w:pStyle w:val="TableText"/>
              <w:jc w:val="right"/>
              <w:rPr>
                <w:lang w:eastAsia="en-AU"/>
              </w:rPr>
            </w:pPr>
            <w:r w:rsidRPr="005B0796">
              <w:t>26.2</w:t>
            </w:r>
          </w:p>
        </w:tc>
        <w:tc>
          <w:tcPr>
            <w:tcW w:w="460" w:type="pct"/>
            <w:hideMark/>
          </w:tcPr>
          <w:p w:rsidR="00906A1A" w:rsidRPr="005B0796" w:rsidRDefault="00906A1A" w:rsidP="00AB5DA2">
            <w:pPr>
              <w:pStyle w:val="TableText"/>
              <w:jc w:val="right"/>
              <w:rPr>
                <w:lang w:eastAsia="en-AU"/>
              </w:rPr>
            </w:pPr>
            <w:r w:rsidRPr="005B0796">
              <w:t>22.3, 30.5</w:t>
            </w:r>
          </w:p>
        </w:tc>
      </w:tr>
      <w:tr w:rsidR="00906A1A" w:rsidRPr="005B0796" w:rsidTr="00906A1A">
        <w:tc>
          <w:tcPr>
            <w:tcW w:w="800" w:type="pct"/>
            <w:hideMark/>
          </w:tcPr>
          <w:p w:rsidR="00906A1A" w:rsidRPr="005B0796" w:rsidRDefault="00906A1A" w:rsidP="00AB5DA2">
            <w:pPr>
              <w:pStyle w:val="TableText"/>
              <w:rPr>
                <w:lang w:eastAsia="en-AU"/>
              </w:rPr>
            </w:pPr>
            <w:r w:rsidRPr="005B0796">
              <w:t>Felt so low thought about committing suicide</w:t>
            </w:r>
            <w:r w:rsidRPr="005B0796">
              <w:rPr>
                <w:vertAlign w:val="superscript"/>
              </w:rPr>
              <w:t>b</w:t>
            </w:r>
          </w:p>
        </w:tc>
        <w:tc>
          <w:tcPr>
            <w:tcW w:w="527" w:type="pct"/>
            <w:noWrap/>
            <w:hideMark/>
          </w:tcPr>
          <w:p w:rsidR="00906A1A" w:rsidRPr="005B0796" w:rsidRDefault="00906A1A" w:rsidP="00AB5DA2">
            <w:pPr>
              <w:pStyle w:val="TableText"/>
              <w:jc w:val="right"/>
              <w:rPr>
                <w:lang w:eastAsia="en-AU"/>
              </w:rPr>
            </w:pPr>
            <w:r w:rsidRPr="005B0796">
              <w:t>726</w:t>
            </w:r>
          </w:p>
        </w:tc>
        <w:tc>
          <w:tcPr>
            <w:tcW w:w="458" w:type="pct"/>
            <w:hideMark/>
          </w:tcPr>
          <w:p w:rsidR="00906A1A" w:rsidRPr="005B0796" w:rsidRDefault="00906A1A" w:rsidP="00AB5DA2">
            <w:pPr>
              <w:pStyle w:val="TableText"/>
              <w:jc w:val="right"/>
              <w:rPr>
                <w:lang w:eastAsia="en-AU"/>
              </w:rPr>
            </w:pPr>
            <w:r w:rsidRPr="005B0796">
              <w:t>28.5</w:t>
            </w:r>
          </w:p>
        </w:tc>
        <w:tc>
          <w:tcPr>
            <w:tcW w:w="460" w:type="pct"/>
            <w:hideMark/>
          </w:tcPr>
          <w:p w:rsidR="00906A1A" w:rsidRPr="005B0796" w:rsidRDefault="00906A1A" w:rsidP="00AB5DA2">
            <w:pPr>
              <w:pStyle w:val="TableText"/>
              <w:jc w:val="right"/>
              <w:rPr>
                <w:lang w:eastAsia="en-AU"/>
              </w:rPr>
            </w:pPr>
            <w:r w:rsidRPr="005B0796">
              <w:rPr>
                <w:lang w:eastAsia="en-AU"/>
              </w:rPr>
              <w:t>22.9, 34.8</w:t>
            </w:r>
          </w:p>
        </w:tc>
        <w:tc>
          <w:tcPr>
            <w:tcW w:w="458" w:type="pct"/>
            <w:hideMark/>
          </w:tcPr>
          <w:p w:rsidR="00906A1A" w:rsidRPr="005B0796" w:rsidRDefault="00906A1A" w:rsidP="00AB5DA2">
            <w:pPr>
              <w:pStyle w:val="TableText"/>
              <w:jc w:val="right"/>
              <w:rPr>
                <w:lang w:eastAsia="en-AU"/>
              </w:rPr>
            </w:pPr>
            <w:r w:rsidRPr="005B0796">
              <w:t>2137</w:t>
            </w:r>
          </w:p>
        </w:tc>
        <w:tc>
          <w:tcPr>
            <w:tcW w:w="459" w:type="pct"/>
            <w:hideMark/>
          </w:tcPr>
          <w:p w:rsidR="00906A1A" w:rsidRPr="005B0796" w:rsidRDefault="00906A1A" w:rsidP="00AB5DA2">
            <w:pPr>
              <w:pStyle w:val="TableText"/>
              <w:jc w:val="right"/>
              <w:rPr>
                <w:lang w:eastAsia="en-AU"/>
              </w:rPr>
            </w:pPr>
            <w:r w:rsidRPr="005B0796">
              <w:t>23.7</w:t>
            </w:r>
          </w:p>
        </w:tc>
        <w:tc>
          <w:tcPr>
            <w:tcW w:w="460" w:type="pct"/>
            <w:hideMark/>
          </w:tcPr>
          <w:p w:rsidR="00906A1A" w:rsidRPr="005B0796" w:rsidRDefault="00906A1A" w:rsidP="00AB5DA2">
            <w:pPr>
              <w:pStyle w:val="TableText"/>
              <w:jc w:val="right"/>
              <w:rPr>
                <w:lang w:eastAsia="en-AU"/>
              </w:rPr>
            </w:pPr>
            <w:r w:rsidRPr="005B0796">
              <w:t>20.7, 26.9</w:t>
            </w:r>
          </w:p>
        </w:tc>
        <w:tc>
          <w:tcPr>
            <w:tcW w:w="459" w:type="pct"/>
            <w:hideMark/>
          </w:tcPr>
          <w:p w:rsidR="00906A1A" w:rsidRPr="005B0796" w:rsidRDefault="00906A1A" w:rsidP="00AB5DA2">
            <w:pPr>
              <w:pStyle w:val="TableText"/>
              <w:jc w:val="right"/>
              <w:rPr>
                <w:lang w:eastAsia="en-AU"/>
              </w:rPr>
            </w:pPr>
            <w:r w:rsidRPr="005B0796">
              <w:t>666</w:t>
            </w:r>
          </w:p>
        </w:tc>
        <w:tc>
          <w:tcPr>
            <w:tcW w:w="459" w:type="pct"/>
            <w:hideMark/>
          </w:tcPr>
          <w:p w:rsidR="00906A1A" w:rsidRPr="005B0796" w:rsidRDefault="00906A1A" w:rsidP="00AB5DA2">
            <w:pPr>
              <w:pStyle w:val="TableText"/>
              <w:jc w:val="right"/>
              <w:rPr>
                <w:lang w:eastAsia="en-AU"/>
              </w:rPr>
            </w:pPr>
            <w:r w:rsidRPr="005B0796">
              <w:t>20.2</w:t>
            </w:r>
          </w:p>
        </w:tc>
        <w:tc>
          <w:tcPr>
            <w:tcW w:w="460" w:type="pct"/>
            <w:hideMark/>
          </w:tcPr>
          <w:p w:rsidR="00906A1A" w:rsidRPr="005B0796" w:rsidRDefault="00906A1A" w:rsidP="00AB5DA2">
            <w:pPr>
              <w:pStyle w:val="TableText"/>
              <w:jc w:val="right"/>
              <w:rPr>
                <w:lang w:eastAsia="en-AU"/>
              </w:rPr>
            </w:pPr>
            <w:r w:rsidRPr="005B0796">
              <w:t>16.7, 24.2</w:t>
            </w:r>
          </w:p>
        </w:tc>
      </w:tr>
      <w:tr w:rsidR="00906A1A" w:rsidRPr="005B0796" w:rsidTr="00906A1A">
        <w:trPr>
          <w:cnfStyle w:val="000000100000" w:firstRow="0" w:lastRow="0" w:firstColumn="0" w:lastColumn="0" w:oddVBand="0" w:evenVBand="0" w:oddHBand="1" w:evenHBand="0" w:firstRowFirstColumn="0" w:firstRowLastColumn="0" w:lastRowFirstColumn="0" w:lastRowLastColumn="0"/>
        </w:trPr>
        <w:tc>
          <w:tcPr>
            <w:tcW w:w="800" w:type="pct"/>
            <w:hideMark/>
          </w:tcPr>
          <w:p w:rsidR="00906A1A" w:rsidRPr="005B0796" w:rsidRDefault="00906A1A" w:rsidP="00AB5DA2">
            <w:pPr>
              <w:pStyle w:val="TableText"/>
              <w:rPr>
                <w:lang w:eastAsia="en-AU"/>
              </w:rPr>
            </w:pPr>
            <w:r w:rsidRPr="005B0796">
              <w:t>Made a suicide plan</w:t>
            </w:r>
          </w:p>
        </w:tc>
        <w:tc>
          <w:tcPr>
            <w:tcW w:w="527" w:type="pct"/>
            <w:noWrap/>
            <w:hideMark/>
          </w:tcPr>
          <w:p w:rsidR="00906A1A" w:rsidRPr="005B0796" w:rsidRDefault="00906A1A" w:rsidP="00AB5DA2">
            <w:pPr>
              <w:pStyle w:val="TableText"/>
              <w:jc w:val="right"/>
              <w:rPr>
                <w:lang w:eastAsia="en-AU"/>
              </w:rPr>
            </w:pPr>
            <w:r w:rsidRPr="005B0796">
              <w:t>285</w:t>
            </w:r>
          </w:p>
        </w:tc>
        <w:tc>
          <w:tcPr>
            <w:tcW w:w="458" w:type="pct"/>
            <w:hideMark/>
          </w:tcPr>
          <w:p w:rsidR="00906A1A" w:rsidRPr="005B0796" w:rsidRDefault="00906A1A" w:rsidP="00AB5DA2">
            <w:pPr>
              <w:pStyle w:val="TableText"/>
              <w:jc w:val="right"/>
              <w:rPr>
                <w:lang w:eastAsia="en-AU"/>
              </w:rPr>
            </w:pPr>
            <w:r w:rsidRPr="005B0796">
              <w:t>11.2</w:t>
            </w:r>
          </w:p>
        </w:tc>
        <w:tc>
          <w:tcPr>
            <w:tcW w:w="460" w:type="pct"/>
            <w:hideMark/>
          </w:tcPr>
          <w:p w:rsidR="00906A1A" w:rsidRPr="005B0796" w:rsidRDefault="00906A1A" w:rsidP="00AB5DA2">
            <w:pPr>
              <w:pStyle w:val="TableText"/>
              <w:jc w:val="right"/>
              <w:rPr>
                <w:lang w:eastAsia="en-AU"/>
              </w:rPr>
            </w:pPr>
            <w:r w:rsidRPr="005B0796">
              <w:rPr>
                <w:lang w:eastAsia="en-AU"/>
              </w:rPr>
              <w:t>7.7, 16.0</w:t>
            </w:r>
          </w:p>
        </w:tc>
        <w:tc>
          <w:tcPr>
            <w:tcW w:w="458" w:type="pct"/>
            <w:hideMark/>
          </w:tcPr>
          <w:p w:rsidR="00906A1A" w:rsidRPr="005B0796" w:rsidRDefault="00906A1A" w:rsidP="00AB5DA2">
            <w:pPr>
              <w:pStyle w:val="TableText"/>
              <w:jc w:val="right"/>
              <w:rPr>
                <w:lang w:eastAsia="en-AU"/>
              </w:rPr>
            </w:pPr>
            <w:r w:rsidRPr="005B0796">
              <w:t>759</w:t>
            </w:r>
          </w:p>
        </w:tc>
        <w:tc>
          <w:tcPr>
            <w:tcW w:w="459" w:type="pct"/>
            <w:hideMark/>
          </w:tcPr>
          <w:p w:rsidR="00906A1A" w:rsidRPr="005B0796" w:rsidRDefault="00906A1A" w:rsidP="00AB5DA2">
            <w:pPr>
              <w:pStyle w:val="TableText"/>
              <w:jc w:val="right"/>
              <w:rPr>
                <w:lang w:eastAsia="en-AU"/>
              </w:rPr>
            </w:pPr>
            <w:r w:rsidRPr="005B0796">
              <w:t>8.4</w:t>
            </w:r>
          </w:p>
        </w:tc>
        <w:tc>
          <w:tcPr>
            <w:tcW w:w="460" w:type="pct"/>
            <w:hideMark/>
          </w:tcPr>
          <w:p w:rsidR="00906A1A" w:rsidRPr="005B0796" w:rsidRDefault="00906A1A" w:rsidP="00AB5DA2">
            <w:pPr>
              <w:pStyle w:val="TableText"/>
              <w:jc w:val="right"/>
              <w:rPr>
                <w:lang w:eastAsia="en-AU"/>
              </w:rPr>
            </w:pPr>
            <w:r w:rsidRPr="005B0796">
              <w:t>6.7, 10.6</w:t>
            </w:r>
          </w:p>
        </w:tc>
        <w:tc>
          <w:tcPr>
            <w:tcW w:w="459" w:type="pct"/>
            <w:hideMark/>
          </w:tcPr>
          <w:p w:rsidR="00906A1A" w:rsidRPr="005B0796" w:rsidRDefault="00906A1A" w:rsidP="00AB5DA2">
            <w:pPr>
              <w:pStyle w:val="TableText"/>
              <w:jc w:val="right"/>
              <w:rPr>
                <w:lang w:eastAsia="en-AU"/>
              </w:rPr>
            </w:pPr>
            <w:r w:rsidRPr="005B0796">
              <w:t>269</w:t>
            </w:r>
          </w:p>
        </w:tc>
        <w:tc>
          <w:tcPr>
            <w:tcW w:w="459" w:type="pct"/>
            <w:hideMark/>
          </w:tcPr>
          <w:p w:rsidR="00906A1A" w:rsidRPr="005B0796" w:rsidRDefault="00906A1A" w:rsidP="00AB5DA2">
            <w:pPr>
              <w:pStyle w:val="TableText"/>
              <w:jc w:val="right"/>
              <w:rPr>
                <w:lang w:eastAsia="en-AU"/>
              </w:rPr>
            </w:pPr>
            <w:r w:rsidRPr="005B0796">
              <w:t>8.2</w:t>
            </w:r>
          </w:p>
        </w:tc>
        <w:tc>
          <w:tcPr>
            <w:tcW w:w="460" w:type="pct"/>
            <w:hideMark/>
          </w:tcPr>
          <w:p w:rsidR="00906A1A" w:rsidRPr="005B0796" w:rsidRDefault="00906A1A" w:rsidP="00AB5DA2">
            <w:pPr>
              <w:pStyle w:val="TableText"/>
              <w:jc w:val="right"/>
              <w:rPr>
                <w:lang w:eastAsia="en-AU"/>
              </w:rPr>
            </w:pPr>
            <w:r w:rsidRPr="005B0796">
              <w:t>5.9, 11.2</w:t>
            </w:r>
          </w:p>
        </w:tc>
      </w:tr>
      <w:tr w:rsidR="00906A1A" w:rsidRPr="005B0796" w:rsidTr="00906A1A">
        <w:tc>
          <w:tcPr>
            <w:tcW w:w="800" w:type="pct"/>
            <w:noWrap/>
            <w:hideMark/>
          </w:tcPr>
          <w:p w:rsidR="00906A1A" w:rsidRPr="005B0796" w:rsidRDefault="00906A1A" w:rsidP="00AB5DA2">
            <w:pPr>
              <w:pStyle w:val="TableText"/>
              <w:rPr>
                <w:lang w:eastAsia="en-AU"/>
              </w:rPr>
            </w:pPr>
            <w:r w:rsidRPr="005B0796">
              <w:t>Attempted suicide</w:t>
            </w:r>
          </w:p>
        </w:tc>
        <w:tc>
          <w:tcPr>
            <w:tcW w:w="527" w:type="pct"/>
            <w:noWrap/>
            <w:hideMark/>
          </w:tcPr>
          <w:p w:rsidR="00906A1A" w:rsidRPr="005B0796" w:rsidRDefault="00906A1A" w:rsidP="00AB5DA2">
            <w:pPr>
              <w:pStyle w:val="TableText"/>
              <w:jc w:val="right"/>
              <w:rPr>
                <w:lang w:eastAsia="en-AU"/>
              </w:rPr>
            </w:pPr>
            <w:r w:rsidRPr="005B0796">
              <w:t>90</w:t>
            </w:r>
          </w:p>
        </w:tc>
        <w:tc>
          <w:tcPr>
            <w:tcW w:w="458" w:type="pct"/>
            <w:hideMark/>
          </w:tcPr>
          <w:p w:rsidR="00906A1A" w:rsidRPr="005B0796" w:rsidRDefault="00906A1A" w:rsidP="00AB5DA2">
            <w:pPr>
              <w:pStyle w:val="TableText"/>
              <w:jc w:val="right"/>
              <w:rPr>
                <w:lang w:eastAsia="en-AU"/>
              </w:rPr>
            </w:pPr>
            <w:r w:rsidRPr="005B0796">
              <w:t>3.6</w:t>
            </w:r>
          </w:p>
        </w:tc>
        <w:tc>
          <w:tcPr>
            <w:tcW w:w="460" w:type="pct"/>
            <w:hideMark/>
          </w:tcPr>
          <w:p w:rsidR="00906A1A" w:rsidRPr="005B0796" w:rsidRDefault="00906A1A" w:rsidP="00AB5DA2">
            <w:pPr>
              <w:pStyle w:val="TableText"/>
              <w:jc w:val="right"/>
              <w:rPr>
                <w:lang w:eastAsia="en-AU"/>
              </w:rPr>
            </w:pPr>
            <w:r w:rsidRPr="005B0796">
              <w:rPr>
                <w:lang w:eastAsia="en-AU"/>
              </w:rPr>
              <w:t>1.7, 7.2</w:t>
            </w:r>
          </w:p>
        </w:tc>
        <w:tc>
          <w:tcPr>
            <w:tcW w:w="458" w:type="pct"/>
            <w:hideMark/>
          </w:tcPr>
          <w:p w:rsidR="00906A1A" w:rsidRPr="005B0796" w:rsidRDefault="00906A1A" w:rsidP="00AB5DA2">
            <w:pPr>
              <w:pStyle w:val="TableText"/>
              <w:jc w:val="right"/>
              <w:rPr>
                <w:lang w:eastAsia="en-AU"/>
              </w:rPr>
            </w:pPr>
            <w:r w:rsidRPr="005B0796">
              <w:t>248</w:t>
            </w:r>
          </w:p>
        </w:tc>
        <w:tc>
          <w:tcPr>
            <w:tcW w:w="459" w:type="pct"/>
            <w:hideMark/>
          </w:tcPr>
          <w:p w:rsidR="00906A1A" w:rsidRPr="005B0796" w:rsidRDefault="00906A1A" w:rsidP="00AB5DA2">
            <w:pPr>
              <w:pStyle w:val="TableText"/>
              <w:jc w:val="right"/>
              <w:rPr>
                <w:lang w:eastAsia="en-AU"/>
              </w:rPr>
            </w:pPr>
            <w:r w:rsidRPr="005B0796">
              <w:t>2.8</w:t>
            </w:r>
          </w:p>
        </w:tc>
        <w:tc>
          <w:tcPr>
            <w:tcW w:w="460" w:type="pct"/>
            <w:hideMark/>
          </w:tcPr>
          <w:p w:rsidR="00906A1A" w:rsidRPr="005B0796" w:rsidRDefault="00906A1A" w:rsidP="00AB5DA2">
            <w:pPr>
              <w:pStyle w:val="TableText"/>
              <w:jc w:val="right"/>
              <w:rPr>
                <w:lang w:eastAsia="en-AU"/>
              </w:rPr>
            </w:pPr>
            <w:r w:rsidRPr="005B0796">
              <w:t>1.8, 4.1</w:t>
            </w:r>
          </w:p>
        </w:tc>
        <w:tc>
          <w:tcPr>
            <w:tcW w:w="459" w:type="pct"/>
            <w:hideMark/>
          </w:tcPr>
          <w:p w:rsidR="00906A1A" w:rsidRPr="005B0796" w:rsidRDefault="00906A1A" w:rsidP="00AB5DA2">
            <w:pPr>
              <w:pStyle w:val="TableText"/>
              <w:jc w:val="right"/>
              <w:rPr>
                <w:lang w:eastAsia="en-AU"/>
              </w:rPr>
            </w:pPr>
            <w:r w:rsidRPr="005B0796">
              <w:t>65</w:t>
            </w:r>
          </w:p>
        </w:tc>
        <w:tc>
          <w:tcPr>
            <w:tcW w:w="459" w:type="pct"/>
            <w:hideMark/>
          </w:tcPr>
          <w:p w:rsidR="00906A1A" w:rsidRPr="005B0796" w:rsidRDefault="00906A1A" w:rsidP="00AB5DA2">
            <w:pPr>
              <w:pStyle w:val="TableText"/>
              <w:jc w:val="right"/>
              <w:rPr>
                <w:lang w:eastAsia="en-AU"/>
              </w:rPr>
            </w:pPr>
            <w:r w:rsidRPr="005B0796">
              <w:t>1.9</w:t>
            </w:r>
          </w:p>
        </w:tc>
        <w:tc>
          <w:tcPr>
            <w:tcW w:w="460" w:type="pct"/>
            <w:hideMark/>
          </w:tcPr>
          <w:p w:rsidR="00906A1A" w:rsidRPr="005B0796" w:rsidRDefault="00906A1A" w:rsidP="00AB5DA2">
            <w:pPr>
              <w:pStyle w:val="TableText"/>
              <w:jc w:val="right"/>
              <w:rPr>
                <w:lang w:eastAsia="en-AU"/>
              </w:rPr>
            </w:pPr>
            <w:r w:rsidRPr="005B0796">
              <w:t>1.1, 3.6</w:t>
            </w:r>
          </w:p>
        </w:tc>
      </w:tr>
      <w:tr w:rsidR="00906A1A" w:rsidRPr="005B0796" w:rsidTr="00906A1A">
        <w:trPr>
          <w:cnfStyle w:val="000000100000" w:firstRow="0" w:lastRow="0" w:firstColumn="0" w:lastColumn="0" w:oddVBand="0" w:evenVBand="0" w:oddHBand="1" w:evenHBand="0" w:firstRowFirstColumn="0" w:firstRowLastColumn="0" w:lastRowFirstColumn="0" w:lastRowLastColumn="0"/>
        </w:trPr>
        <w:tc>
          <w:tcPr>
            <w:tcW w:w="800" w:type="pct"/>
            <w:noWrap/>
            <w:hideMark/>
          </w:tcPr>
          <w:p w:rsidR="00906A1A" w:rsidRPr="005B0796" w:rsidRDefault="00906A1A" w:rsidP="00AB5DA2">
            <w:pPr>
              <w:pStyle w:val="TableText"/>
              <w:rPr>
                <w:lang w:eastAsia="en-AU"/>
              </w:rPr>
            </w:pPr>
            <w:r w:rsidRPr="005B0796">
              <w:t>Any suicidality*</w:t>
            </w:r>
          </w:p>
        </w:tc>
        <w:tc>
          <w:tcPr>
            <w:tcW w:w="527" w:type="pct"/>
            <w:noWrap/>
            <w:hideMark/>
          </w:tcPr>
          <w:p w:rsidR="00906A1A" w:rsidRPr="005B0796" w:rsidRDefault="00906A1A" w:rsidP="00AB5DA2">
            <w:pPr>
              <w:pStyle w:val="TableText"/>
              <w:jc w:val="right"/>
              <w:rPr>
                <w:lang w:eastAsia="en-AU"/>
              </w:rPr>
            </w:pPr>
            <w:r w:rsidRPr="005B0796">
              <w:t>717</w:t>
            </w:r>
          </w:p>
        </w:tc>
        <w:tc>
          <w:tcPr>
            <w:tcW w:w="458" w:type="pct"/>
            <w:hideMark/>
          </w:tcPr>
          <w:p w:rsidR="00906A1A" w:rsidRPr="005B0796" w:rsidRDefault="00906A1A" w:rsidP="00AB5DA2">
            <w:pPr>
              <w:pStyle w:val="TableText"/>
              <w:jc w:val="right"/>
              <w:rPr>
                <w:lang w:eastAsia="en-AU"/>
              </w:rPr>
            </w:pPr>
            <w:r w:rsidRPr="005B0796">
              <w:t>28.1</w:t>
            </w:r>
          </w:p>
        </w:tc>
        <w:tc>
          <w:tcPr>
            <w:tcW w:w="460" w:type="pct"/>
            <w:hideMark/>
          </w:tcPr>
          <w:p w:rsidR="00906A1A" w:rsidRPr="005B0796" w:rsidRDefault="00906A1A" w:rsidP="00AB5DA2">
            <w:pPr>
              <w:pStyle w:val="TableText"/>
              <w:jc w:val="right"/>
              <w:rPr>
                <w:lang w:eastAsia="en-AU"/>
              </w:rPr>
            </w:pPr>
            <w:r w:rsidRPr="005B0796">
              <w:rPr>
                <w:lang w:eastAsia="en-AU"/>
              </w:rPr>
              <w:t>22.6, 34.5</w:t>
            </w:r>
          </w:p>
        </w:tc>
        <w:tc>
          <w:tcPr>
            <w:tcW w:w="458" w:type="pct"/>
            <w:hideMark/>
          </w:tcPr>
          <w:p w:rsidR="00906A1A" w:rsidRPr="005B0796" w:rsidRDefault="00906A1A" w:rsidP="00AB5DA2">
            <w:pPr>
              <w:pStyle w:val="TableText"/>
              <w:jc w:val="right"/>
              <w:rPr>
                <w:lang w:eastAsia="en-AU"/>
              </w:rPr>
            </w:pPr>
            <w:r w:rsidRPr="005B0796">
              <w:t>2145</w:t>
            </w:r>
          </w:p>
        </w:tc>
        <w:tc>
          <w:tcPr>
            <w:tcW w:w="459" w:type="pct"/>
            <w:hideMark/>
          </w:tcPr>
          <w:p w:rsidR="00906A1A" w:rsidRPr="005B0796" w:rsidRDefault="00906A1A" w:rsidP="00AB5DA2">
            <w:pPr>
              <w:pStyle w:val="TableText"/>
              <w:jc w:val="right"/>
              <w:rPr>
                <w:lang w:eastAsia="en-AU"/>
              </w:rPr>
            </w:pPr>
            <w:r w:rsidRPr="005B0796">
              <w:t>23.7</w:t>
            </w:r>
          </w:p>
        </w:tc>
        <w:tc>
          <w:tcPr>
            <w:tcW w:w="460" w:type="pct"/>
            <w:hideMark/>
          </w:tcPr>
          <w:p w:rsidR="00906A1A" w:rsidRPr="005B0796" w:rsidRDefault="00906A1A" w:rsidP="00AB5DA2">
            <w:pPr>
              <w:pStyle w:val="TableText"/>
              <w:jc w:val="right"/>
              <w:rPr>
                <w:lang w:eastAsia="en-AU"/>
              </w:rPr>
            </w:pPr>
            <w:r w:rsidRPr="005B0796">
              <w:t>20.8, 27.0</w:t>
            </w:r>
          </w:p>
        </w:tc>
        <w:tc>
          <w:tcPr>
            <w:tcW w:w="459" w:type="pct"/>
            <w:hideMark/>
          </w:tcPr>
          <w:p w:rsidR="00906A1A" w:rsidRPr="005B0796" w:rsidRDefault="00906A1A" w:rsidP="00AB5DA2">
            <w:pPr>
              <w:pStyle w:val="TableText"/>
              <w:jc w:val="right"/>
              <w:rPr>
                <w:lang w:eastAsia="en-AU"/>
              </w:rPr>
            </w:pPr>
            <w:r w:rsidRPr="005B0796">
              <w:t>681</w:t>
            </w:r>
          </w:p>
        </w:tc>
        <w:tc>
          <w:tcPr>
            <w:tcW w:w="459" w:type="pct"/>
            <w:hideMark/>
          </w:tcPr>
          <w:p w:rsidR="00906A1A" w:rsidRPr="005B0796" w:rsidRDefault="00906A1A" w:rsidP="00AB5DA2">
            <w:pPr>
              <w:pStyle w:val="TableText"/>
              <w:jc w:val="right"/>
              <w:rPr>
                <w:lang w:eastAsia="en-AU"/>
              </w:rPr>
            </w:pPr>
            <w:r w:rsidRPr="005B0796">
              <w:t>20.7</w:t>
            </w:r>
          </w:p>
        </w:tc>
        <w:tc>
          <w:tcPr>
            <w:tcW w:w="460" w:type="pct"/>
            <w:hideMark/>
          </w:tcPr>
          <w:p w:rsidR="00906A1A" w:rsidRPr="005B0796" w:rsidRDefault="00906A1A" w:rsidP="00AB5DA2">
            <w:pPr>
              <w:pStyle w:val="TableText"/>
              <w:jc w:val="right"/>
              <w:rPr>
                <w:lang w:eastAsia="en-AU"/>
              </w:rPr>
            </w:pPr>
            <w:r w:rsidRPr="005B0796">
              <w:t>17.1, 24.7</w:t>
            </w:r>
          </w:p>
        </w:tc>
      </w:tr>
    </w:tbl>
    <w:p w:rsidR="00906A1A" w:rsidRPr="005B0796" w:rsidRDefault="00906A1A" w:rsidP="00906A1A">
      <w:pPr>
        <w:pStyle w:val="TableText"/>
      </w:pPr>
    </w:p>
    <w:tbl>
      <w:tblPr>
        <w:tblStyle w:val="TWRPTable"/>
        <w:tblW w:w="5000" w:type="pct"/>
        <w:tblLayout w:type="fixed"/>
        <w:tblLook w:val="04A0" w:firstRow="1" w:lastRow="0" w:firstColumn="1" w:lastColumn="0" w:noHBand="0" w:noVBand="1"/>
        <w:tblDescription w:val="Table 4.47 (cont) Estimated prevalence of suicidality in Transitioned ADF members years of service in Regular ADF"/>
      </w:tblPr>
      <w:tblGrid>
        <w:gridCol w:w="1864"/>
        <w:gridCol w:w="1070"/>
        <w:gridCol w:w="1070"/>
        <w:gridCol w:w="1075"/>
        <w:gridCol w:w="1070"/>
        <w:gridCol w:w="1070"/>
        <w:gridCol w:w="1075"/>
        <w:gridCol w:w="1070"/>
        <w:gridCol w:w="1070"/>
        <w:gridCol w:w="1072"/>
      </w:tblGrid>
      <w:tr w:rsidR="00906A1A" w:rsidRPr="005B0796" w:rsidTr="00906A1A">
        <w:trPr>
          <w:cnfStyle w:val="100000000000" w:firstRow="1" w:lastRow="0" w:firstColumn="0" w:lastColumn="0" w:oddVBand="0" w:evenVBand="0" w:oddHBand="0" w:evenHBand="0" w:firstRowFirstColumn="0" w:firstRowLastColumn="0" w:lastRowFirstColumn="0" w:lastRowLastColumn="0"/>
          <w:tblHeader/>
        </w:trPr>
        <w:tc>
          <w:tcPr>
            <w:tcW w:w="810" w:type="pct"/>
            <w:vMerge w:val="restart"/>
            <w:tcBorders>
              <w:top w:val="single" w:sz="4" w:space="0" w:color="000000"/>
            </w:tcBorders>
          </w:tcPr>
          <w:p w:rsidR="00906A1A" w:rsidRPr="005B0796" w:rsidRDefault="00906A1A" w:rsidP="00BB6C7A">
            <w:pPr>
              <w:pStyle w:val="TableText"/>
              <w:rPr>
                <w:lang w:eastAsia="en-AU"/>
              </w:rPr>
            </w:pPr>
            <w:r w:rsidRPr="005B0796">
              <w:rPr>
                <w:lang w:eastAsia="en-AU"/>
              </w:rPr>
              <w:t>Suicidality</w:t>
            </w:r>
          </w:p>
        </w:tc>
        <w:tc>
          <w:tcPr>
            <w:tcW w:w="4190" w:type="pct"/>
            <w:gridSpan w:val="9"/>
            <w:noWrap/>
          </w:tcPr>
          <w:p w:rsidR="00906A1A" w:rsidRPr="005B0796" w:rsidRDefault="00906A1A" w:rsidP="00BB6C7A">
            <w:pPr>
              <w:pStyle w:val="TableText"/>
              <w:jc w:val="center"/>
              <w:rPr>
                <w:lang w:eastAsia="en-AU"/>
              </w:rPr>
            </w:pPr>
            <w:r w:rsidRPr="005B0796">
              <w:rPr>
                <w:lang w:eastAsia="en-AU"/>
              </w:rPr>
              <w:t>Years of service in Regular ADF</w:t>
            </w:r>
          </w:p>
        </w:tc>
      </w:tr>
      <w:tr w:rsidR="00906A1A" w:rsidRPr="005B0796" w:rsidTr="00906A1A">
        <w:trPr>
          <w:cnfStyle w:val="100000000000" w:firstRow="1" w:lastRow="0" w:firstColumn="0" w:lastColumn="0" w:oddVBand="0" w:evenVBand="0" w:oddHBand="0" w:evenHBand="0" w:firstRowFirstColumn="0" w:firstRowLastColumn="0" w:lastRowFirstColumn="0" w:lastRowLastColumn="0"/>
          <w:tblHeader/>
        </w:trPr>
        <w:tc>
          <w:tcPr>
            <w:tcW w:w="810" w:type="pct"/>
            <w:vMerge/>
            <w:tcBorders>
              <w:top w:val="single" w:sz="4" w:space="0" w:color="000000"/>
            </w:tcBorders>
            <w:hideMark/>
          </w:tcPr>
          <w:p w:rsidR="00906A1A" w:rsidRPr="005B0796" w:rsidRDefault="00906A1A" w:rsidP="00BB6C7A">
            <w:pPr>
              <w:pStyle w:val="TableText"/>
              <w:rPr>
                <w:lang w:eastAsia="en-AU"/>
              </w:rPr>
            </w:pPr>
          </w:p>
        </w:tc>
        <w:tc>
          <w:tcPr>
            <w:tcW w:w="1397" w:type="pct"/>
            <w:gridSpan w:val="3"/>
            <w:noWrap/>
            <w:hideMark/>
          </w:tcPr>
          <w:p w:rsidR="00906A1A" w:rsidRPr="005B0796" w:rsidRDefault="00906A1A" w:rsidP="00BB6C7A">
            <w:pPr>
              <w:pStyle w:val="TableText"/>
              <w:jc w:val="center"/>
              <w:rPr>
                <w:lang w:eastAsia="en-AU"/>
              </w:rPr>
            </w:pPr>
            <w:r w:rsidRPr="005B0796">
              <w:rPr>
                <w:lang w:eastAsia="en-AU"/>
              </w:rPr>
              <w:t>12–15.9 years</w:t>
            </w:r>
            <w:r w:rsidRPr="005B0796">
              <w:rPr>
                <w:lang w:eastAsia="en-AU"/>
              </w:rPr>
              <w:br/>
              <w:t>(n = 2086)</w:t>
            </w:r>
          </w:p>
        </w:tc>
        <w:tc>
          <w:tcPr>
            <w:tcW w:w="1397" w:type="pct"/>
            <w:gridSpan w:val="3"/>
          </w:tcPr>
          <w:p w:rsidR="00906A1A" w:rsidRPr="005B0796" w:rsidRDefault="00906A1A" w:rsidP="00BB6C7A">
            <w:pPr>
              <w:pStyle w:val="TableText"/>
              <w:jc w:val="center"/>
              <w:rPr>
                <w:lang w:eastAsia="en-AU"/>
              </w:rPr>
            </w:pPr>
            <w:r w:rsidRPr="005B0796">
              <w:rPr>
                <w:lang w:eastAsia="en-AU"/>
              </w:rPr>
              <w:t>16–19.9 years</w:t>
            </w:r>
            <w:r w:rsidRPr="005B0796">
              <w:rPr>
                <w:lang w:eastAsia="en-AU"/>
              </w:rPr>
              <w:br/>
              <w:t>(n = 967)</w:t>
            </w:r>
          </w:p>
        </w:tc>
        <w:tc>
          <w:tcPr>
            <w:tcW w:w="1396" w:type="pct"/>
            <w:gridSpan w:val="3"/>
          </w:tcPr>
          <w:p w:rsidR="00906A1A" w:rsidRPr="005B0796" w:rsidRDefault="00906A1A" w:rsidP="00BB6C7A">
            <w:pPr>
              <w:pStyle w:val="TableText"/>
              <w:jc w:val="center"/>
              <w:rPr>
                <w:lang w:eastAsia="en-AU"/>
              </w:rPr>
            </w:pPr>
            <w:r w:rsidRPr="005B0796">
              <w:rPr>
                <w:lang w:eastAsia="en-AU"/>
              </w:rPr>
              <w:t>&gt; 20 years</w:t>
            </w:r>
            <w:r w:rsidRPr="005B0796">
              <w:rPr>
                <w:lang w:eastAsia="en-AU"/>
              </w:rPr>
              <w:br/>
              <w:t>(n = 5772)</w:t>
            </w:r>
          </w:p>
        </w:tc>
      </w:tr>
      <w:tr w:rsidR="00906A1A" w:rsidRPr="005B0796" w:rsidTr="00906A1A">
        <w:trPr>
          <w:cnfStyle w:val="100000000000" w:firstRow="1" w:lastRow="0" w:firstColumn="0" w:lastColumn="0" w:oddVBand="0" w:evenVBand="0" w:oddHBand="0" w:evenHBand="0" w:firstRowFirstColumn="0" w:firstRowLastColumn="0" w:lastRowFirstColumn="0" w:lastRowLastColumn="0"/>
          <w:tblHeader/>
        </w:trPr>
        <w:tc>
          <w:tcPr>
            <w:tcW w:w="810" w:type="pct"/>
            <w:vMerge/>
            <w:tcBorders>
              <w:top w:val="single" w:sz="4" w:space="0" w:color="000000"/>
            </w:tcBorders>
            <w:noWrap/>
            <w:hideMark/>
          </w:tcPr>
          <w:p w:rsidR="00906A1A" w:rsidRPr="005B0796" w:rsidRDefault="00906A1A" w:rsidP="00BB6C7A">
            <w:pPr>
              <w:pStyle w:val="TableText"/>
              <w:rPr>
                <w:lang w:eastAsia="en-AU"/>
              </w:rPr>
            </w:pPr>
          </w:p>
        </w:tc>
        <w:tc>
          <w:tcPr>
            <w:tcW w:w="465" w:type="pct"/>
            <w:noWrap/>
            <w:hideMark/>
          </w:tcPr>
          <w:p w:rsidR="00906A1A" w:rsidRPr="005B0796" w:rsidRDefault="00906A1A" w:rsidP="00BB6C7A">
            <w:pPr>
              <w:pStyle w:val="TableText"/>
              <w:jc w:val="right"/>
              <w:rPr>
                <w:lang w:eastAsia="en-AU"/>
              </w:rPr>
            </w:pPr>
            <w:r w:rsidRPr="005B0796">
              <w:rPr>
                <w:lang w:eastAsia="en-AU"/>
              </w:rPr>
              <w:t>Weighted n</w:t>
            </w:r>
          </w:p>
        </w:tc>
        <w:tc>
          <w:tcPr>
            <w:tcW w:w="465" w:type="pct"/>
            <w:hideMark/>
          </w:tcPr>
          <w:p w:rsidR="00906A1A" w:rsidRPr="005B0796" w:rsidRDefault="00906A1A" w:rsidP="00BB6C7A">
            <w:pPr>
              <w:pStyle w:val="TableText"/>
              <w:jc w:val="right"/>
              <w:rPr>
                <w:lang w:eastAsia="en-AU"/>
              </w:rPr>
            </w:pPr>
            <w:r w:rsidRPr="005B0796">
              <w:t>%</w:t>
            </w:r>
          </w:p>
        </w:tc>
        <w:tc>
          <w:tcPr>
            <w:tcW w:w="467" w:type="pct"/>
            <w:hideMark/>
          </w:tcPr>
          <w:p w:rsidR="00906A1A" w:rsidRPr="005B0796" w:rsidRDefault="00906A1A" w:rsidP="00BB6C7A">
            <w:pPr>
              <w:pStyle w:val="TableText"/>
              <w:jc w:val="right"/>
              <w:rPr>
                <w:lang w:eastAsia="en-AU"/>
              </w:rPr>
            </w:pPr>
            <w:r w:rsidRPr="005B0796">
              <w:t>95% CI</w:t>
            </w:r>
          </w:p>
        </w:tc>
        <w:tc>
          <w:tcPr>
            <w:tcW w:w="465" w:type="pct"/>
          </w:tcPr>
          <w:p w:rsidR="00906A1A" w:rsidRPr="005B0796" w:rsidRDefault="00906A1A" w:rsidP="00BB6C7A">
            <w:pPr>
              <w:pStyle w:val="TableText"/>
              <w:jc w:val="right"/>
              <w:rPr>
                <w:lang w:eastAsia="en-AU"/>
              </w:rPr>
            </w:pPr>
            <w:r w:rsidRPr="005B0796">
              <w:rPr>
                <w:lang w:eastAsia="en-AU"/>
              </w:rPr>
              <w:t>Weighted n</w:t>
            </w:r>
          </w:p>
        </w:tc>
        <w:tc>
          <w:tcPr>
            <w:tcW w:w="465" w:type="pct"/>
          </w:tcPr>
          <w:p w:rsidR="00906A1A" w:rsidRPr="005B0796" w:rsidRDefault="00906A1A" w:rsidP="00BB6C7A">
            <w:pPr>
              <w:pStyle w:val="TableText"/>
              <w:jc w:val="right"/>
              <w:rPr>
                <w:lang w:eastAsia="en-AU"/>
              </w:rPr>
            </w:pPr>
            <w:r w:rsidRPr="005B0796">
              <w:t>%</w:t>
            </w:r>
          </w:p>
        </w:tc>
        <w:tc>
          <w:tcPr>
            <w:tcW w:w="467" w:type="pct"/>
          </w:tcPr>
          <w:p w:rsidR="00906A1A" w:rsidRPr="005B0796" w:rsidRDefault="00906A1A" w:rsidP="00BB6C7A">
            <w:pPr>
              <w:pStyle w:val="TableText"/>
              <w:jc w:val="right"/>
              <w:rPr>
                <w:lang w:eastAsia="en-AU"/>
              </w:rPr>
            </w:pPr>
            <w:r w:rsidRPr="005B0796">
              <w:t>95% CI</w:t>
            </w:r>
          </w:p>
        </w:tc>
        <w:tc>
          <w:tcPr>
            <w:tcW w:w="465" w:type="pct"/>
          </w:tcPr>
          <w:p w:rsidR="00906A1A" w:rsidRPr="005B0796" w:rsidRDefault="00906A1A" w:rsidP="00BB6C7A">
            <w:pPr>
              <w:pStyle w:val="TableText"/>
              <w:jc w:val="right"/>
              <w:rPr>
                <w:lang w:eastAsia="en-AU"/>
              </w:rPr>
            </w:pPr>
            <w:r w:rsidRPr="005B0796">
              <w:rPr>
                <w:lang w:eastAsia="en-AU"/>
              </w:rPr>
              <w:t>Weighted n</w:t>
            </w:r>
          </w:p>
        </w:tc>
        <w:tc>
          <w:tcPr>
            <w:tcW w:w="465" w:type="pct"/>
          </w:tcPr>
          <w:p w:rsidR="00906A1A" w:rsidRPr="005B0796" w:rsidRDefault="00906A1A" w:rsidP="00BB6C7A">
            <w:pPr>
              <w:pStyle w:val="TableText"/>
              <w:jc w:val="right"/>
              <w:rPr>
                <w:lang w:eastAsia="en-AU"/>
              </w:rPr>
            </w:pPr>
            <w:r w:rsidRPr="005B0796">
              <w:t>%</w:t>
            </w:r>
          </w:p>
        </w:tc>
        <w:tc>
          <w:tcPr>
            <w:tcW w:w="466" w:type="pct"/>
          </w:tcPr>
          <w:p w:rsidR="00906A1A" w:rsidRPr="005B0796" w:rsidRDefault="00906A1A" w:rsidP="00BB6C7A">
            <w:pPr>
              <w:pStyle w:val="TableText"/>
              <w:jc w:val="right"/>
              <w:rPr>
                <w:lang w:eastAsia="en-AU"/>
              </w:rPr>
            </w:pPr>
            <w:r w:rsidRPr="005B0796">
              <w:t>95% CI</w:t>
            </w:r>
          </w:p>
        </w:tc>
      </w:tr>
      <w:tr w:rsidR="00906A1A" w:rsidRPr="005B0796" w:rsidTr="00906A1A">
        <w:trPr>
          <w:cnfStyle w:val="000000100000" w:firstRow="0" w:lastRow="0" w:firstColumn="0" w:lastColumn="0" w:oddVBand="0" w:evenVBand="0" w:oddHBand="1" w:evenHBand="0" w:firstRowFirstColumn="0" w:firstRowLastColumn="0" w:lastRowFirstColumn="0" w:lastRowLastColumn="0"/>
        </w:trPr>
        <w:tc>
          <w:tcPr>
            <w:tcW w:w="810" w:type="pct"/>
            <w:hideMark/>
          </w:tcPr>
          <w:p w:rsidR="00906A1A" w:rsidRPr="005B0796" w:rsidRDefault="00906A1A" w:rsidP="00BB6C7A">
            <w:pPr>
              <w:pStyle w:val="TableText"/>
              <w:rPr>
                <w:lang w:eastAsia="en-AU"/>
              </w:rPr>
            </w:pPr>
            <w:r w:rsidRPr="005B0796">
              <w:t>Felt life not worth living</w:t>
            </w:r>
            <w:r w:rsidRPr="005B0796">
              <w:rPr>
                <w:vertAlign w:val="superscript"/>
              </w:rPr>
              <w:t>a</w:t>
            </w:r>
          </w:p>
        </w:tc>
        <w:tc>
          <w:tcPr>
            <w:tcW w:w="465" w:type="pct"/>
            <w:hideMark/>
          </w:tcPr>
          <w:p w:rsidR="00906A1A" w:rsidRPr="005B0796" w:rsidRDefault="00906A1A" w:rsidP="00BB6C7A">
            <w:pPr>
              <w:pStyle w:val="TableText"/>
              <w:jc w:val="right"/>
              <w:rPr>
                <w:lang w:eastAsia="en-AU"/>
              </w:rPr>
            </w:pPr>
            <w:r w:rsidRPr="005B0796">
              <w:t>571</w:t>
            </w:r>
          </w:p>
        </w:tc>
        <w:tc>
          <w:tcPr>
            <w:tcW w:w="465" w:type="pct"/>
            <w:hideMark/>
          </w:tcPr>
          <w:p w:rsidR="00906A1A" w:rsidRPr="005B0796" w:rsidRDefault="00906A1A" w:rsidP="00BB6C7A">
            <w:pPr>
              <w:pStyle w:val="TableText"/>
              <w:jc w:val="right"/>
              <w:rPr>
                <w:lang w:eastAsia="en-AU"/>
              </w:rPr>
            </w:pPr>
            <w:r w:rsidRPr="005B0796">
              <w:t>27.4</w:t>
            </w:r>
          </w:p>
        </w:tc>
        <w:tc>
          <w:tcPr>
            <w:tcW w:w="467" w:type="pct"/>
            <w:hideMark/>
          </w:tcPr>
          <w:p w:rsidR="00906A1A" w:rsidRPr="005B0796" w:rsidRDefault="00906A1A" w:rsidP="00BB6C7A">
            <w:pPr>
              <w:pStyle w:val="TableText"/>
              <w:jc w:val="right"/>
              <w:rPr>
                <w:lang w:eastAsia="en-AU"/>
              </w:rPr>
            </w:pPr>
            <w:r w:rsidRPr="005B0796">
              <w:t>23.3, 31.8</w:t>
            </w:r>
          </w:p>
        </w:tc>
        <w:tc>
          <w:tcPr>
            <w:tcW w:w="465" w:type="pct"/>
          </w:tcPr>
          <w:p w:rsidR="00906A1A" w:rsidRPr="005B0796" w:rsidRDefault="00906A1A" w:rsidP="00BB6C7A">
            <w:pPr>
              <w:pStyle w:val="TableText"/>
              <w:jc w:val="right"/>
              <w:rPr>
                <w:lang w:eastAsia="en-AU"/>
              </w:rPr>
            </w:pPr>
            <w:r w:rsidRPr="005B0796">
              <w:t>264</w:t>
            </w:r>
          </w:p>
        </w:tc>
        <w:tc>
          <w:tcPr>
            <w:tcW w:w="465" w:type="pct"/>
          </w:tcPr>
          <w:p w:rsidR="00906A1A" w:rsidRPr="005B0796" w:rsidRDefault="00906A1A" w:rsidP="00BB6C7A">
            <w:pPr>
              <w:pStyle w:val="TableText"/>
              <w:jc w:val="right"/>
              <w:rPr>
                <w:lang w:eastAsia="en-AU"/>
              </w:rPr>
            </w:pPr>
            <w:r w:rsidRPr="005B0796">
              <w:t>27.3</w:t>
            </w:r>
          </w:p>
        </w:tc>
        <w:tc>
          <w:tcPr>
            <w:tcW w:w="467" w:type="pct"/>
          </w:tcPr>
          <w:p w:rsidR="00906A1A" w:rsidRPr="005B0796" w:rsidRDefault="00906A1A" w:rsidP="00BB6C7A">
            <w:pPr>
              <w:pStyle w:val="TableText"/>
              <w:jc w:val="right"/>
              <w:rPr>
                <w:lang w:eastAsia="en-AU"/>
              </w:rPr>
            </w:pPr>
            <w:r w:rsidRPr="005B0796">
              <w:t>22.7, 32.5</w:t>
            </w:r>
          </w:p>
        </w:tc>
        <w:tc>
          <w:tcPr>
            <w:tcW w:w="465" w:type="pct"/>
          </w:tcPr>
          <w:p w:rsidR="00906A1A" w:rsidRPr="005B0796" w:rsidRDefault="00906A1A" w:rsidP="00BB6C7A">
            <w:pPr>
              <w:pStyle w:val="TableText"/>
              <w:jc w:val="right"/>
              <w:rPr>
                <w:lang w:eastAsia="en-AU"/>
              </w:rPr>
            </w:pPr>
            <w:r w:rsidRPr="005B0796">
              <w:t>1460</w:t>
            </w:r>
          </w:p>
        </w:tc>
        <w:tc>
          <w:tcPr>
            <w:tcW w:w="465" w:type="pct"/>
          </w:tcPr>
          <w:p w:rsidR="00906A1A" w:rsidRPr="005B0796" w:rsidRDefault="00906A1A" w:rsidP="00BB6C7A">
            <w:pPr>
              <w:pStyle w:val="TableText"/>
              <w:jc w:val="right"/>
              <w:rPr>
                <w:lang w:eastAsia="en-AU"/>
              </w:rPr>
            </w:pPr>
            <w:r w:rsidRPr="005B0796">
              <w:t>25.3</w:t>
            </w:r>
          </w:p>
        </w:tc>
        <w:tc>
          <w:tcPr>
            <w:tcW w:w="466" w:type="pct"/>
          </w:tcPr>
          <w:p w:rsidR="00906A1A" w:rsidRPr="005B0796" w:rsidRDefault="00906A1A" w:rsidP="00BB6C7A">
            <w:pPr>
              <w:pStyle w:val="TableText"/>
              <w:jc w:val="right"/>
              <w:rPr>
                <w:lang w:eastAsia="en-AU"/>
              </w:rPr>
            </w:pPr>
            <w:r w:rsidRPr="005B0796">
              <w:t>23.3, 27.4</w:t>
            </w:r>
          </w:p>
        </w:tc>
      </w:tr>
      <w:tr w:rsidR="00906A1A" w:rsidRPr="005B0796" w:rsidTr="00906A1A">
        <w:tc>
          <w:tcPr>
            <w:tcW w:w="810" w:type="pct"/>
            <w:hideMark/>
          </w:tcPr>
          <w:p w:rsidR="00906A1A" w:rsidRPr="005B0796" w:rsidRDefault="00906A1A" w:rsidP="00BB6C7A">
            <w:pPr>
              <w:pStyle w:val="TableText"/>
              <w:rPr>
                <w:lang w:eastAsia="en-AU"/>
              </w:rPr>
            </w:pPr>
            <w:r w:rsidRPr="005B0796">
              <w:t>Felt so low thought about committing suicide</w:t>
            </w:r>
            <w:r w:rsidRPr="005B0796">
              <w:rPr>
                <w:vertAlign w:val="superscript"/>
              </w:rPr>
              <w:t>b</w:t>
            </w:r>
          </w:p>
        </w:tc>
        <w:tc>
          <w:tcPr>
            <w:tcW w:w="465" w:type="pct"/>
            <w:hideMark/>
          </w:tcPr>
          <w:p w:rsidR="00906A1A" w:rsidRPr="005B0796" w:rsidRDefault="00906A1A" w:rsidP="00BB6C7A">
            <w:pPr>
              <w:pStyle w:val="TableText"/>
              <w:jc w:val="right"/>
              <w:rPr>
                <w:lang w:eastAsia="en-AU"/>
              </w:rPr>
            </w:pPr>
            <w:r w:rsidRPr="005B0796">
              <w:t>408</w:t>
            </w:r>
          </w:p>
        </w:tc>
        <w:tc>
          <w:tcPr>
            <w:tcW w:w="465" w:type="pct"/>
            <w:hideMark/>
          </w:tcPr>
          <w:p w:rsidR="00906A1A" w:rsidRPr="005B0796" w:rsidRDefault="00906A1A" w:rsidP="00BB6C7A">
            <w:pPr>
              <w:pStyle w:val="TableText"/>
              <w:jc w:val="right"/>
              <w:rPr>
                <w:lang w:eastAsia="en-AU"/>
              </w:rPr>
            </w:pPr>
            <w:r w:rsidRPr="005B0796">
              <w:t>19.5</w:t>
            </w:r>
          </w:p>
        </w:tc>
        <w:tc>
          <w:tcPr>
            <w:tcW w:w="467" w:type="pct"/>
            <w:hideMark/>
          </w:tcPr>
          <w:p w:rsidR="00906A1A" w:rsidRPr="005B0796" w:rsidRDefault="00906A1A" w:rsidP="00BB6C7A">
            <w:pPr>
              <w:pStyle w:val="TableText"/>
              <w:jc w:val="right"/>
              <w:rPr>
                <w:lang w:eastAsia="en-AU"/>
              </w:rPr>
            </w:pPr>
            <w:r w:rsidRPr="005B0796">
              <w:t>16.2, 23.4</w:t>
            </w:r>
          </w:p>
        </w:tc>
        <w:tc>
          <w:tcPr>
            <w:tcW w:w="465" w:type="pct"/>
          </w:tcPr>
          <w:p w:rsidR="00906A1A" w:rsidRPr="005B0796" w:rsidRDefault="00906A1A" w:rsidP="00BB6C7A">
            <w:pPr>
              <w:pStyle w:val="TableText"/>
              <w:jc w:val="right"/>
              <w:rPr>
                <w:lang w:eastAsia="en-AU"/>
              </w:rPr>
            </w:pPr>
            <w:r w:rsidRPr="005B0796">
              <w:t>190</w:t>
            </w:r>
          </w:p>
        </w:tc>
        <w:tc>
          <w:tcPr>
            <w:tcW w:w="465" w:type="pct"/>
          </w:tcPr>
          <w:p w:rsidR="00906A1A" w:rsidRPr="005B0796" w:rsidRDefault="00906A1A" w:rsidP="00BB6C7A">
            <w:pPr>
              <w:pStyle w:val="TableText"/>
              <w:jc w:val="right"/>
              <w:rPr>
                <w:lang w:eastAsia="en-AU"/>
              </w:rPr>
            </w:pPr>
            <w:r w:rsidRPr="005B0796">
              <w:t>19.7</w:t>
            </w:r>
          </w:p>
        </w:tc>
        <w:tc>
          <w:tcPr>
            <w:tcW w:w="467" w:type="pct"/>
          </w:tcPr>
          <w:p w:rsidR="00906A1A" w:rsidRPr="005B0796" w:rsidRDefault="00906A1A" w:rsidP="00BB6C7A">
            <w:pPr>
              <w:pStyle w:val="TableText"/>
              <w:jc w:val="right"/>
              <w:rPr>
                <w:lang w:eastAsia="en-AU"/>
              </w:rPr>
            </w:pPr>
            <w:r w:rsidRPr="005B0796">
              <w:t>15.8, 24.2</w:t>
            </w:r>
          </w:p>
        </w:tc>
        <w:tc>
          <w:tcPr>
            <w:tcW w:w="465" w:type="pct"/>
          </w:tcPr>
          <w:p w:rsidR="00906A1A" w:rsidRPr="005B0796" w:rsidRDefault="00906A1A" w:rsidP="00BB6C7A">
            <w:pPr>
              <w:pStyle w:val="TableText"/>
              <w:jc w:val="right"/>
              <w:rPr>
                <w:lang w:eastAsia="en-AU"/>
              </w:rPr>
            </w:pPr>
            <w:r w:rsidRPr="005B0796">
              <w:t>959</w:t>
            </w:r>
          </w:p>
        </w:tc>
        <w:tc>
          <w:tcPr>
            <w:tcW w:w="465" w:type="pct"/>
          </w:tcPr>
          <w:p w:rsidR="00906A1A" w:rsidRPr="005B0796" w:rsidRDefault="00906A1A" w:rsidP="00BB6C7A">
            <w:pPr>
              <w:pStyle w:val="TableText"/>
              <w:jc w:val="right"/>
              <w:rPr>
                <w:lang w:eastAsia="en-AU"/>
              </w:rPr>
            </w:pPr>
            <w:r w:rsidRPr="005B0796">
              <w:t>16.6</w:t>
            </w:r>
          </w:p>
        </w:tc>
        <w:tc>
          <w:tcPr>
            <w:tcW w:w="466" w:type="pct"/>
          </w:tcPr>
          <w:p w:rsidR="00906A1A" w:rsidRPr="005B0796" w:rsidRDefault="00906A1A" w:rsidP="00BB6C7A">
            <w:pPr>
              <w:pStyle w:val="TableText"/>
              <w:jc w:val="right"/>
              <w:rPr>
                <w:lang w:eastAsia="en-AU"/>
              </w:rPr>
            </w:pPr>
            <w:r w:rsidRPr="005B0796">
              <w:t>14.9, 18.4</w:t>
            </w:r>
          </w:p>
        </w:tc>
      </w:tr>
      <w:tr w:rsidR="00906A1A" w:rsidRPr="005B0796" w:rsidTr="00906A1A">
        <w:trPr>
          <w:cnfStyle w:val="000000100000" w:firstRow="0" w:lastRow="0" w:firstColumn="0" w:lastColumn="0" w:oddVBand="0" w:evenVBand="0" w:oddHBand="1" w:evenHBand="0" w:firstRowFirstColumn="0" w:firstRowLastColumn="0" w:lastRowFirstColumn="0" w:lastRowLastColumn="0"/>
        </w:trPr>
        <w:tc>
          <w:tcPr>
            <w:tcW w:w="810" w:type="pct"/>
            <w:hideMark/>
          </w:tcPr>
          <w:p w:rsidR="00906A1A" w:rsidRPr="005B0796" w:rsidRDefault="00906A1A" w:rsidP="00BB6C7A">
            <w:pPr>
              <w:pStyle w:val="TableText"/>
              <w:rPr>
                <w:lang w:eastAsia="en-AU"/>
              </w:rPr>
            </w:pPr>
            <w:r w:rsidRPr="005B0796">
              <w:t>Made a suicide plan</w:t>
            </w:r>
          </w:p>
        </w:tc>
        <w:tc>
          <w:tcPr>
            <w:tcW w:w="465" w:type="pct"/>
            <w:hideMark/>
          </w:tcPr>
          <w:p w:rsidR="00906A1A" w:rsidRPr="005B0796" w:rsidRDefault="00906A1A" w:rsidP="00BB6C7A">
            <w:pPr>
              <w:pStyle w:val="TableText"/>
              <w:jc w:val="right"/>
              <w:rPr>
                <w:lang w:eastAsia="en-AU"/>
              </w:rPr>
            </w:pPr>
            <w:r w:rsidRPr="005B0796">
              <w:t>173</w:t>
            </w:r>
          </w:p>
        </w:tc>
        <w:tc>
          <w:tcPr>
            <w:tcW w:w="465" w:type="pct"/>
            <w:hideMark/>
          </w:tcPr>
          <w:p w:rsidR="00906A1A" w:rsidRPr="005B0796" w:rsidRDefault="00906A1A" w:rsidP="00BB6C7A">
            <w:pPr>
              <w:pStyle w:val="TableText"/>
              <w:jc w:val="right"/>
              <w:rPr>
                <w:lang w:eastAsia="en-AU"/>
              </w:rPr>
            </w:pPr>
            <w:r w:rsidRPr="005B0796">
              <w:t>8.3</w:t>
            </w:r>
          </w:p>
        </w:tc>
        <w:tc>
          <w:tcPr>
            <w:tcW w:w="467" w:type="pct"/>
            <w:hideMark/>
          </w:tcPr>
          <w:p w:rsidR="00906A1A" w:rsidRPr="005B0796" w:rsidRDefault="00906A1A" w:rsidP="00BB6C7A">
            <w:pPr>
              <w:pStyle w:val="TableText"/>
              <w:jc w:val="right"/>
              <w:rPr>
                <w:lang w:eastAsia="en-AU"/>
              </w:rPr>
            </w:pPr>
            <w:r w:rsidRPr="005B0796">
              <w:t>6.4, 10.6</w:t>
            </w:r>
          </w:p>
        </w:tc>
        <w:tc>
          <w:tcPr>
            <w:tcW w:w="465" w:type="pct"/>
          </w:tcPr>
          <w:p w:rsidR="00906A1A" w:rsidRPr="005B0796" w:rsidRDefault="00906A1A" w:rsidP="00BB6C7A">
            <w:pPr>
              <w:pStyle w:val="TableText"/>
              <w:jc w:val="right"/>
              <w:rPr>
                <w:lang w:eastAsia="en-AU"/>
              </w:rPr>
            </w:pPr>
            <w:r w:rsidRPr="005B0796">
              <w:t>81</w:t>
            </w:r>
          </w:p>
        </w:tc>
        <w:tc>
          <w:tcPr>
            <w:tcW w:w="465" w:type="pct"/>
          </w:tcPr>
          <w:p w:rsidR="00906A1A" w:rsidRPr="005B0796" w:rsidRDefault="00906A1A" w:rsidP="00BB6C7A">
            <w:pPr>
              <w:pStyle w:val="TableText"/>
              <w:jc w:val="right"/>
              <w:rPr>
                <w:lang w:eastAsia="en-AU"/>
              </w:rPr>
            </w:pPr>
            <w:r w:rsidRPr="005B0796">
              <w:t>8.4</w:t>
            </w:r>
          </w:p>
        </w:tc>
        <w:tc>
          <w:tcPr>
            <w:tcW w:w="467" w:type="pct"/>
          </w:tcPr>
          <w:p w:rsidR="00906A1A" w:rsidRPr="005B0796" w:rsidRDefault="00906A1A" w:rsidP="00BB6C7A">
            <w:pPr>
              <w:pStyle w:val="TableText"/>
              <w:jc w:val="right"/>
              <w:rPr>
                <w:lang w:eastAsia="en-AU"/>
              </w:rPr>
            </w:pPr>
            <w:r w:rsidRPr="005B0796">
              <w:t>5.9, 11.6</w:t>
            </w:r>
          </w:p>
        </w:tc>
        <w:tc>
          <w:tcPr>
            <w:tcW w:w="465" w:type="pct"/>
          </w:tcPr>
          <w:p w:rsidR="00906A1A" w:rsidRPr="005B0796" w:rsidRDefault="00906A1A" w:rsidP="00BB6C7A">
            <w:pPr>
              <w:pStyle w:val="TableText"/>
              <w:jc w:val="right"/>
              <w:rPr>
                <w:lang w:eastAsia="en-AU"/>
              </w:rPr>
            </w:pPr>
            <w:r w:rsidRPr="005B0796">
              <w:t>344</w:t>
            </w:r>
          </w:p>
        </w:tc>
        <w:tc>
          <w:tcPr>
            <w:tcW w:w="465" w:type="pct"/>
          </w:tcPr>
          <w:p w:rsidR="00906A1A" w:rsidRPr="005B0796" w:rsidRDefault="00906A1A" w:rsidP="00BB6C7A">
            <w:pPr>
              <w:pStyle w:val="TableText"/>
              <w:jc w:val="right"/>
              <w:rPr>
                <w:lang w:eastAsia="en-AU"/>
              </w:rPr>
            </w:pPr>
            <w:r w:rsidRPr="005B0796">
              <w:t>5.9</w:t>
            </w:r>
          </w:p>
        </w:tc>
        <w:tc>
          <w:tcPr>
            <w:tcW w:w="466" w:type="pct"/>
          </w:tcPr>
          <w:p w:rsidR="00906A1A" w:rsidRPr="005B0796" w:rsidRDefault="00906A1A" w:rsidP="00BB6C7A">
            <w:pPr>
              <w:pStyle w:val="TableText"/>
              <w:jc w:val="right"/>
              <w:rPr>
                <w:lang w:eastAsia="en-AU"/>
              </w:rPr>
            </w:pPr>
            <w:r w:rsidRPr="005B0796">
              <w:t>5.0, 7.1</w:t>
            </w:r>
          </w:p>
        </w:tc>
      </w:tr>
      <w:tr w:rsidR="00906A1A" w:rsidRPr="005B0796" w:rsidTr="00906A1A">
        <w:tc>
          <w:tcPr>
            <w:tcW w:w="810" w:type="pct"/>
            <w:noWrap/>
            <w:hideMark/>
          </w:tcPr>
          <w:p w:rsidR="00906A1A" w:rsidRPr="005B0796" w:rsidRDefault="00906A1A" w:rsidP="00BB6C7A">
            <w:pPr>
              <w:pStyle w:val="TableText"/>
              <w:rPr>
                <w:lang w:eastAsia="en-AU"/>
              </w:rPr>
            </w:pPr>
            <w:r w:rsidRPr="005B0796">
              <w:t>Attempted suicide</w:t>
            </w:r>
          </w:p>
        </w:tc>
        <w:tc>
          <w:tcPr>
            <w:tcW w:w="465" w:type="pct"/>
            <w:hideMark/>
          </w:tcPr>
          <w:p w:rsidR="00906A1A" w:rsidRPr="005B0796" w:rsidRDefault="00906A1A" w:rsidP="00BB6C7A">
            <w:pPr>
              <w:pStyle w:val="TableText"/>
              <w:jc w:val="right"/>
              <w:rPr>
                <w:lang w:eastAsia="en-AU"/>
              </w:rPr>
            </w:pPr>
            <w:r w:rsidRPr="005B0796">
              <w:t>41</w:t>
            </w:r>
          </w:p>
        </w:tc>
        <w:tc>
          <w:tcPr>
            <w:tcW w:w="465" w:type="pct"/>
            <w:hideMark/>
          </w:tcPr>
          <w:p w:rsidR="00906A1A" w:rsidRPr="005B0796" w:rsidRDefault="00906A1A" w:rsidP="00BB6C7A">
            <w:pPr>
              <w:pStyle w:val="TableText"/>
              <w:jc w:val="right"/>
              <w:rPr>
                <w:lang w:eastAsia="en-AU"/>
              </w:rPr>
            </w:pPr>
            <w:r w:rsidRPr="005B0796">
              <w:t>1.9</w:t>
            </w:r>
          </w:p>
        </w:tc>
        <w:tc>
          <w:tcPr>
            <w:tcW w:w="467" w:type="pct"/>
            <w:hideMark/>
          </w:tcPr>
          <w:p w:rsidR="00906A1A" w:rsidRPr="005B0796" w:rsidRDefault="00906A1A" w:rsidP="00BB6C7A">
            <w:pPr>
              <w:pStyle w:val="TableText"/>
              <w:jc w:val="right"/>
              <w:rPr>
                <w:lang w:eastAsia="en-AU"/>
              </w:rPr>
            </w:pPr>
            <w:r w:rsidRPr="005B0796">
              <w:t>1.2, 3.3</w:t>
            </w:r>
          </w:p>
        </w:tc>
        <w:tc>
          <w:tcPr>
            <w:tcW w:w="465" w:type="pct"/>
          </w:tcPr>
          <w:p w:rsidR="00906A1A" w:rsidRPr="005B0796" w:rsidRDefault="00906A1A" w:rsidP="00BB6C7A">
            <w:pPr>
              <w:pStyle w:val="TableText"/>
              <w:jc w:val="right"/>
              <w:rPr>
                <w:lang w:eastAsia="en-AU"/>
              </w:rPr>
            </w:pPr>
            <w:r w:rsidRPr="005B0796">
              <w:t>20</w:t>
            </w:r>
          </w:p>
        </w:tc>
        <w:tc>
          <w:tcPr>
            <w:tcW w:w="465" w:type="pct"/>
          </w:tcPr>
          <w:p w:rsidR="00906A1A" w:rsidRPr="005B0796" w:rsidRDefault="00906A1A" w:rsidP="00BB6C7A">
            <w:pPr>
              <w:pStyle w:val="TableText"/>
              <w:jc w:val="right"/>
              <w:rPr>
                <w:lang w:eastAsia="en-AU"/>
              </w:rPr>
            </w:pPr>
            <w:r w:rsidRPr="005B0796">
              <w:t>2.1</w:t>
            </w:r>
          </w:p>
        </w:tc>
        <w:tc>
          <w:tcPr>
            <w:tcW w:w="467" w:type="pct"/>
          </w:tcPr>
          <w:p w:rsidR="00906A1A" w:rsidRPr="005B0796" w:rsidRDefault="00906A1A" w:rsidP="00BB6C7A">
            <w:pPr>
              <w:pStyle w:val="TableText"/>
              <w:jc w:val="right"/>
              <w:rPr>
                <w:lang w:eastAsia="en-AU"/>
              </w:rPr>
            </w:pPr>
            <w:r w:rsidRPr="005B0796">
              <w:t>1.1, 4.0</w:t>
            </w:r>
          </w:p>
        </w:tc>
        <w:tc>
          <w:tcPr>
            <w:tcW w:w="465" w:type="pct"/>
          </w:tcPr>
          <w:p w:rsidR="00906A1A" w:rsidRPr="005B0796" w:rsidRDefault="00906A1A" w:rsidP="00BB6C7A">
            <w:pPr>
              <w:pStyle w:val="TableText"/>
              <w:jc w:val="right"/>
              <w:rPr>
                <w:lang w:eastAsia="en-AU"/>
              </w:rPr>
            </w:pPr>
            <w:r w:rsidRPr="005B0796">
              <w:t>31</w:t>
            </w:r>
          </w:p>
        </w:tc>
        <w:tc>
          <w:tcPr>
            <w:tcW w:w="465" w:type="pct"/>
          </w:tcPr>
          <w:p w:rsidR="00906A1A" w:rsidRPr="005B0796" w:rsidRDefault="00906A1A" w:rsidP="00BB6C7A">
            <w:pPr>
              <w:pStyle w:val="TableText"/>
              <w:jc w:val="right"/>
              <w:rPr>
                <w:lang w:eastAsia="en-AU"/>
              </w:rPr>
            </w:pPr>
            <w:r w:rsidRPr="005B0796">
              <w:t>0.5</w:t>
            </w:r>
          </w:p>
        </w:tc>
        <w:tc>
          <w:tcPr>
            <w:tcW w:w="466" w:type="pct"/>
          </w:tcPr>
          <w:p w:rsidR="00906A1A" w:rsidRPr="005B0796" w:rsidRDefault="00906A1A" w:rsidP="00BB6C7A">
            <w:pPr>
              <w:pStyle w:val="TableText"/>
              <w:jc w:val="right"/>
              <w:rPr>
                <w:lang w:eastAsia="en-AU"/>
              </w:rPr>
            </w:pPr>
            <w:r w:rsidRPr="005B0796">
              <w:t>0.3, 0.9</w:t>
            </w:r>
          </w:p>
        </w:tc>
      </w:tr>
      <w:tr w:rsidR="00906A1A" w:rsidRPr="005B0796" w:rsidTr="00906A1A">
        <w:trPr>
          <w:cnfStyle w:val="000000100000" w:firstRow="0" w:lastRow="0" w:firstColumn="0" w:lastColumn="0" w:oddVBand="0" w:evenVBand="0" w:oddHBand="1" w:evenHBand="0" w:firstRowFirstColumn="0" w:firstRowLastColumn="0" w:lastRowFirstColumn="0" w:lastRowLastColumn="0"/>
        </w:trPr>
        <w:tc>
          <w:tcPr>
            <w:tcW w:w="810" w:type="pct"/>
            <w:noWrap/>
            <w:hideMark/>
          </w:tcPr>
          <w:p w:rsidR="00906A1A" w:rsidRPr="005B0796" w:rsidRDefault="00906A1A" w:rsidP="00BB6C7A">
            <w:pPr>
              <w:pStyle w:val="TableText"/>
              <w:rPr>
                <w:lang w:eastAsia="en-AU"/>
              </w:rPr>
            </w:pPr>
            <w:r w:rsidRPr="005B0796">
              <w:t>Any suicidality*</w:t>
            </w:r>
          </w:p>
        </w:tc>
        <w:tc>
          <w:tcPr>
            <w:tcW w:w="465" w:type="pct"/>
            <w:hideMark/>
          </w:tcPr>
          <w:p w:rsidR="00906A1A" w:rsidRPr="005B0796" w:rsidRDefault="00906A1A" w:rsidP="00BB6C7A">
            <w:pPr>
              <w:pStyle w:val="TableText"/>
              <w:jc w:val="right"/>
              <w:rPr>
                <w:lang w:eastAsia="en-AU"/>
              </w:rPr>
            </w:pPr>
            <w:r w:rsidRPr="005B0796">
              <w:t>411</w:t>
            </w:r>
          </w:p>
        </w:tc>
        <w:tc>
          <w:tcPr>
            <w:tcW w:w="465" w:type="pct"/>
            <w:hideMark/>
          </w:tcPr>
          <w:p w:rsidR="00906A1A" w:rsidRPr="005B0796" w:rsidRDefault="00906A1A" w:rsidP="00BB6C7A">
            <w:pPr>
              <w:pStyle w:val="TableText"/>
              <w:jc w:val="right"/>
              <w:rPr>
                <w:lang w:eastAsia="en-AU"/>
              </w:rPr>
            </w:pPr>
            <w:r w:rsidRPr="005B0796">
              <w:t>19.7</w:t>
            </w:r>
          </w:p>
        </w:tc>
        <w:tc>
          <w:tcPr>
            <w:tcW w:w="467" w:type="pct"/>
            <w:hideMark/>
          </w:tcPr>
          <w:p w:rsidR="00906A1A" w:rsidRPr="005B0796" w:rsidRDefault="00906A1A" w:rsidP="00BB6C7A">
            <w:pPr>
              <w:pStyle w:val="TableText"/>
              <w:jc w:val="right"/>
              <w:rPr>
                <w:lang w:eastAsia="en-AU"/>
              </w:rPr>
            </w:pPr>
            <w:r w:rsidRPr="005B0796">
              <w:t>16.4, 23.5</w:t>
            </w:r>
          </w:p>
        </w:tc>
        <w:tc>
          <w:tcPr>
            <w:tcW w:w="465" w:type="pct"/>
          </w:tcPr>
          <w:p w:rsidR="00906A1A" w:rsidRPr="005B0796" w:rsidRDefault="00906A1A" w:rsidP="00BB6C7A">
            <w:pPr>
              <w:pStyle w:val="TableText"/>
              <w:jc w:val="right"/>
              <w:rPr>
                <w:lang w:eastAsia="en-AU"/>
              </w:rPr>
            </w:pPr>
            <w:r w:rsidRPr="005B0796">
              <w:t>190</w:t>
            </w:r>
          </w:p>
        </w:tc>
        <w:tc>
          <w:tcPr>
            <w:tcW w:w="465" w:type="pct"/>
          </w:tcPr>
          <w:p w:rsidR="00906A1A" w:rsidRPr="005B0796" w:rsidRDefault="00906A1A" w:rsidP="00BB6C7A">
            <w:pPr>
              <w:pStyle w:val="TableText"/>
              <w:jc w:val="right"/>
              <w:rPr>
                <w:lang w:eastAsia="en-AU"/>
              </w:rPr>
            </w:pPr>
            <w:r w:rsidRPr="005B0796">
              <w:t>19.7</w:t>
            </w:r>
          </w:p>
        </w:tc>
        <w:tc>
          <w:tcPr>
            <w:tcW w:w="467" w:type="pct"/>
          </w:tcPr>
          <w:p w:rsidR="00906A1A" w:rsidRPr="005B0796" w:rsidRDefault="00906A1A" w:rsidP="00BB6C7A">
            <w:pPr>
              <w:pStyle w:val="TableText"/>
              <w:jc w:val="right"/>
              <w:rPr>
                <w:lang w:eastAsia="en-AU"/>
              </w:rPr>
            </w:pPr>
            <w:r w:rsidRPr="005B0796">
              <w:t>15.8, 24.2</w:t>
            </w:r>
          </w:p>
        </w:tc>
        <w:tc>
          <w:tcPr>
            <w:tcW w:w="465" w:type="pct"/>
          </w:tcPr>
          <w:p w:rsidR="00906A1A" w:rsidRPr="005B0796" w:rsidRDefault="00906A1A" w:rsidP="00BB6C7A">
            <w:pPr>
              <w:pStyle w:val="TableText"/>
              <w:jc w:val="right"/>
              <w:rPr>
                <w:lang w:eastAsia="en-AU"/>
              </w:rPr>
            </w:pPr>
            <w:r w:rsidRPr="005B0796">
              <w:t>975</w:t>
            </w:r>
          </w:p>
        </w:tc>
        <w:tc>
          <w:tcPr>
            <w:tcW w:w="465" w:type="pct"/>
          </w:tcPr>
          <w:p w:rsidR="00906A1A" w:rsidRPr="005B0796" w:rsidRDefault="00906A1A" w:rsidP="00BB6C7A">
            <w:pPr>
              <w:pStyle w:val="TableText"/>
              <w:jc w:val="right"/>
              <w:rPr>
                <w:lang w:eastAsia="en-AU"/>
              </w:rPr>
            </w:pPr>
            <w:r w:rsidRPr="005B0796">
              <w:t>16.9</w:t>
            </w:r>
          </w:p>
        </w:tc>
        <w:tc>
          <w:tcPr>
            <w:tcW w:w="466" w:type="pct"/>
          </w:tcPr>
          <w:p w:rsidR="00906A1A" w:rsidRPr="005B0796" w:rsidRDefault="00906A1A" w:rsidP="00BB6C7A">
            <w:pPr>
              <w:pStyle w:val="TableText"/>
              <w:jc w:val="right"/>
              <w:rPr>
                <w:lang w:eastAsia="en-AU"/>
              </w:rPr>
            </w:pPr>
            <w:r w:rsidRPr="005B0796">
              <w:t>15.2, 18.7</w:t>
            </w:r>
          </w:p>
        </w:tc>
      </w:tr>
    </w:tbl>
    <w:p w:rsidR="0019239D" w:rsidRPr="005B0796" w:rsidRDefault="0019239D" w:rsidP="0019239D">
      <w:pPr>
        <w:pStyle w:val="TableNotes"/>
      </w:pPr>
      <w:r w:rsidRPr="005B0796">
        <w:rPr>
          <w:vertAlign w:val="superscript"/>
        </w:rPr>
        <w:t>a</w:t>
      </w:r>
      <w:r w:rsidRPr="005B0796">
        <w:t xml:space="preserve"> 8–11.9 years vs &lt; 4: OR 0.6 95% CI 0.4, 0.9; 12–15.9 years</w:t>
      </w:r>
      <w:r w:rsidRPr="005B0796" w:rsidDel="005553B7">
        <w:t xml:space="preserve"> </w:t>
      </w:r>
      <w:r w:rsidRPr="005B0796">
        <w:t>vs &lt; 4 years: OR 0.7, 95% CI 0.5, 0.9; 16–19.9 years</w:t>
      </w:r>
      <w:r w:rsidRPr="005B0796" w:rsidDel="005553B7">
        <w:t xml:space="preserve"> </w:t>
      </w:r>
      <w:r w:rsidRPr="005B0796">
        <w:t>vs &lt; 4 years: OR 0.7, 95% CI 0.5, 0.9; 20+ years vs &lt; 4 years: OR 0.6, 95% CI 0.4, 0.8</w:t>
      </w:r>
    </w:p>
    <w:p w:rsidR="0019239D" w:rsidRPr="005B0796" w:rsidRDefault="0019239D" w:rsidP="0019239D">
      <w:pPr>
        <w:pStyle w:val="TableNotes"/>
      </w:pPr>
      <w:r w:rsidRPr="005B0796">
        <w:rPr>
          <w:vertAlign w:val="superscript"/>
        </w:rPr>
        <w:t>b</w:t>
      </w:r>
      <w:r w:rsidRPr="005B0796">
        <w:t xml:space="preserve"> 8–11.9 years</w:t>
      </w:r>
      <w:r w:rsidRPr="005B0796" w:rsidDel="005553B7">
        <w:t xml:space="preserve"> </w:t>
      </w:r>
      <w:r w:rsidRPr="005B0796">
        <w:t>vs &lt; 4 years: OR 0.6, 95% CI 0.4, 0.9; 12–15.9 years</w:t>
      </w:r>
      <w:r w:rsidRPr="005B0796" w:rsidDel="005553B7">
        <w:t xml:space="preserve"> </w:t>
      </w:r>
      <w:r w:rsidRPr="005B0796">
        <w:t>vs &lt; 4 years: OR 0.6, 95% CI 0.4, 0.9; 16–19.9 years</w:t>
      </w:r>
      <w:r w:rsidRPr="005B0796" w:rsidDel="005553B7">
        <w:t xml:space="preserve"> </w:t>
      </w:r>
      <w:r w:rsidRPr="005B0796">
        <w:t>vs &lt; 4 years: OR 0.6, 95% CI 0.4, 0.9; 20+ years vs &lt; 4 years: OR 0.5, 95% CI 0.4, 0.7</w:t>
      </w:r>
    </w:p>
    <w:p w:rsidR="0019239D" w:rsidRPr="005B0796" w:rsidRDefault="0019239D" w:rsidP="0019239D">
      <w:pPr>
        <w:pStyle w:val="TableNotes"/>
      </w:pPr>
      <w:r w:rsidRPr="005B0796">
        <w:t xml:space="preserve">* Calculated as yes to </w:t>
      </w:r>
      <w:r w:rsidR="001B0335">
        <w:t>‘</w:t>
      </w:r>
      <w:r w:rsidR="00F773A8" w:rsidRPr="005B0796">
        <w:t xml:space="preserve">felt </w:t>
      </w:r>
      <w:r w:rsidRPr="005B0796">
        <w:t>so low thought about committing suicide</w:t>
      </w:r>
      <w:r w:rsidR="001B0335">
        <w:t>’</w:t>
      </w:r>
      <w:r w:rsidRPr="005B0796">
        <w:t xml:space="preserve">, </w:t>
      </w:r>
      <w:r w:rsidR="001B0335">
        <w:t>‘</w:t>
      </w:r>
      <w:r w:rsidR="00F773A8" w:rsidRPr="005B0796">
        <w:t xml:space="preserve">made </w:t>
      </w:r>
      <w:r w:rsidRPr="005B0796">
        <w:t>a suicide plan</w:t>
      </w:r>
      <w:r w:rsidR="001B0335">
        <w:t>’</w:t>
      </w:r>
      <w:r w:rsidRPr="005B0796">
        <w:t xml:space="preserve">, or </w:t>
      </w:r>
      <w:r w:rsidR="001B0335">
        <w:t>‘</w:t>
      </w:r>
      <w:r w:rsidR="00F773A8" w:rsidRPr="005B0796">
        <w:t xml:space="preserve">attempted </w:t>
      </w:r>
      <w:r w:rsidRPr="005B0796">
        <w:t>suicide</w:t>
      </w:r>
      <w:r w:rsidR="001B0335">
        <w:t>’</w:t>
      </w:r>
    </w:p>
    <w:p w:rsidR="0019239D" w:rsidRPr="005B0796" w:rsidRDefault="0019239D" w:rsidP="0019239D">
      <w:pPr>
        <w:pStyle w:val="TableNotes"/>
        <w:rPr>
          <w:rFonts w:cs="Calibri"/>
          <w:bCs/>
        </w:rPr>
      </w:pPr>
      <w:r w:rsidRPr="005B0796">
        <w:rPr>
          <w:rFonts w:cs="Calibri"/>
          <w:bCs/>
        </w:rPr>
        <w:t>Note</w:t>
      </w:r>
      <w:r w:rsidR="009C4349" w:rsidRPr="005B0796">
        <w:rPr>
          <w:rFonts w:cs="Calibri"/>
          <w:bCs/>
        </w:rPr>
        <w:t>s:</w:t>
      </w:r>
      <w:r w:rsidR="009C4349" w:rsidRPr="005B0796">
        <w:rPr>
          <w:rFonts w:cs="Calibri"/>
          <w:bCs/>
        </w:rPr>
        <w:br/>
      </w:r>
      <w:r w:rsidRPr="005B0796">
        <w:rPr>
          <w:rFonts w:cs="Calibri"/>
          <w:bCs/>
        </w:rPr>
        <w:t xml:space="preserve">* 95% CI: 95% </w:t>
      </w:r>
      <w:r w:rsidR="00564689" w:rsidRPr="005B0796">
        <w:rPr>
          <w:rFonts w:cs="Calibri"/>
          <w:bCs/>
        </w:rPr>
        <w:t>confidence interval</w:t>
      </w:r>
    </w:p>
    <w:p w:rsidR="0019239D" w:rsidRPr="005B0796" w:rsidRDefault="0019239D" w:rsidP="0019239D">
      <w:pPr>
        <w:pStyle w:val="TableNotes"/>
        <w:rPr>
          <w:color w:val="000000" w:themeColor="text1"/>
        </w:rPr>
      </w:pPr>
      <w:r w:rsidRPr="005B0796">
        <w:rPr>
          <w:color w:val="000000" w:themeColor="text1"/>
        </w:rPr>
        <w:t xml:space="preserve">This terminology reflects the standardised survey item used in this study </w:t>
      </w:r>
      <w:r w:rsidR="001B0335">
        <w:rPr>
          <w:color w:val="000000" w:themeColor="text1"/>
        </w:rPr>
        <w:t>–</w:t>
      </w:r>
      <w:r w:rsidRPr="005B0796">
        <w:rPr>
          <w:color w:val="000000" w:themeColor="text1"/>
        </w:rPr>
        <w:t xml:space="preserve"> however, it should be noted that this is no longer considered an appropriate description, and the term </w:t>
      </w:r>
      <w:r w:rsidR="00462A0C" w:rsidRPr="005B0796">
        <w:rPr>
          <w:color w:val="000000" w:themeColor="text1"/>
        </w:rPr>
        <w:t>‘</w:t>
      </w:r>
      <w:r w:rsidR="001B0335">
        <w:rPr>
          <w:color w:val="000000" w:themeColor="text1"/>
        </w:rPr>
        <w:t xml:space="preserve">thought about </w:t>
      </w:r>
      <w:r w:rsidRPr="005B0796">
        <w:rPr>
          <w:color w:val="000000" w:themeColor="text1"/>
        </w:rPr>
        <w:t>committing suicide</w:t>
      </w:r>
      <w:r w:rsidR="00462A0C" w:rsidRPr="005B0796">
        <w:rPr>
          <w:color w:val="000000" w:themeColor="text1"/>
        </w:rPr>
        <w:t>’</w:t>
      </w:r>
      <w:r w:rsidRPr="005B0796">
        <w:rPr>
          <w:color w:val="000000" w:themeColor="text1"/>
        </w:rPr>
        <w:t xml:space="preserve"> should be replaced with </w:t>
      </w:r>
      <w:r w:rsidR="00462A0C" w:rsidRPr="005B0796">
        <w:rPr>
          <w:color w:val="000000" w:themeColor="text1"/>
        </w:rPr>
        <w:t>‘</w:t>
      </w:r>
      <w:r w:rsidRPr="005B0796">
        <w:rPr>
          <w:color w:val="000000" w:themeColor="text1"/>
        </w:rPr>
        <w:t>thought about taking their own life</w:t>
      </w:r>
      <w:r w:rsidR="00462A0C" w:rsidRPr="005B0796">
        <w:rPr>
          <w:color w:val="000000" w:themeColor="text1"/>
        </w:rPr>
        <w:t>’</w:t>
      </w:r>
    </w:p>
    <w:p w:rsidR="0019239D" w:rsidRPr="005B0796" w:rsidRDefault="0019239D" w:rsidP="0019239D">
      <w:pPr>
        <w:sectPr w:rsidR="0019239D" w:rsidRPr="005B0796" w:rsidSect="00BE66A5">
          <w:headerReference w:type="even" r:id="rId156"/>
          <w:headerReference w:type="default" r:id="rId157"/>
          <w:footerReference w:type="even" r:id="rId158"/>
          <w:footerReference w:type="default" r:id="rId159"/>
          <w:pgSz w:w="14170" w:h="9979" w:orient="landscape" w:code="243"/>
          <w:pgMar w:top="1872" w:right="1440" w:bottom="1152" w:left="1440" w:header="576" w:footer="576" w:gutter="0"/>
          <w:cols w:space="708"/>
          <w:docGrid w:linePitch="360"/>
        </w:sectPr>
      </w:pPr>
    </w:p>
    <w:p w:rsidR="0019239D" w:rsidRPr="005B0796" w:rsidRDefault="0019239D" w:rsidP="0019239D">
      <w:pPr>
        <w:pStyle w:val="FigureName"/>
      </w:pPr>
      <w:bookmarkStart w:id="829" w:name="_Ref484520333"/>
      <w:bookmarkStart w:id="830" w:name="_Toc482023849"/>
      <w:bookmarkStart w:id="831" w:name="_Toc487014387"/>
      <w:bookmarkStart w:id="832" w:name="_Toc51190055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39</w:t>
      </w:r>
      <w:r w:rsidR="00D30A3C">
        <w:rPr>
          <w:noProof/>
        </w:rPr>
        <w:fldChar w:fldCharType="end"/>
      </w:r>
      <w:bookmarkEnd w:id="829"/>
      <w:r w:rsidRPr="005B0796">
        <w:tab/>
        <w:t>Estimated prevalence of suicidality in Transitioned ADF members</w:t>
      </w:r>
      <w:r w:rsidR="001B0335">
        <w:t>, by</w:t>
      </w:r>
      <w:r w:rsidRPr="005B0796">
        <w:t xml:space="preserve"> years of service in Regular </w:t>
      </w:r>
      <w:bookmarkEnd w:id="830"/>
      <w:bookmarkEnd w:id="831"/>
      <w:r w:rsidRPr="005B0796">
        <w:t>ADF</w:t>
      </w:r>
      <w:bookmarkEnd w:id="832"/>
    </w:p>
    <w:tbl>
      <w:tblPr>
        <w:tblW w:w="5000" w:type="pct"/>
        <w:tblLayout w:type="fixed"/>
        <w:tblCellMar>
          <w:left w:w="115" w:type="dxa"/>
          <w:right w:w="115" w:type="dxa"/>
        </w:tblCellMar>
        <w:tblLook w:val="04A0" w:firstRow="1" w:lastRow="0" w:firstColumn="1" w:lastColumn="0" w:noHBand="0" w:noVBand="1"/>
      </w:tblPr>
      <w:tblGrid>
        <w:gridCol w:w="7329"/>
      </w:tblGrid>
      <w:tr w:rsidR="0019239D" w:rsidRPr="005B0796" w:rsidTr="00C220F4">
        <w:trPr>
          <w:cantSplit/>
        </w:trPr>
        <w:tc>
          <w:tcPr>
            <w:tcW w:w="9794" w:type="dxa"/>
          </w:tcPr>
          <w:p w:rsidR="0019239D" w:rsidRPr="005B0796" w:rsidRDefault="0019239D" w:rsidP="00C220F4">
            <w:pPr>
              <w:keepNext/>
            </w:pPr>
            <w:r w:rsidRPr="005B0796">
              <w:rPr>
                <w:noProof/>
                <w:lang w:eastAsia="en-AU"/>
              </w:rPr>
              <w:drawing>
                <wp:inline distT="0" distB="0" distL="0" distR="0" wp14:anchorId="72E958AF" wp14:editId="7CFC251C">
                  <wp:extent cx="4572000" cy="2743200"/>
                  <wp:effectExtent l="0" t="0" r="0" b="0"/>
                  <wp:docPr id="99" name="Chart 99" descr="Figure 4.39 Estimated prevalence of suicidality in Transitioned ADF members years of service in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r>
    </w:tbl>
    <w:p w:rsidR="0019239D" w:rsidRPr="005B0796" w:rsidRDefault="0019239D" w:rsidP="0019239D">
      <w:pPr>
        <w:pStyle w:val="TableNotes"/>
      </w:pPr>
      <w:bookmarkStart w:id="833" w:name="_Toc482021362"/>
      <w:bookmarkStart w:id="834" w:name="_Toc482024452"/>
      <w:bookmarkStart w:id="835" w:name="_Toc487011211"/>
      <w:r w:rsidRPr="005B0796">
        <w:t>Suicidal ideation Q1: 8–11.9 years vs &lt; 4 years: OR 0.6, 95% CI 0.4, 0.9; 12–15.9 years</w:t>
      </w:r>
      <w:r w:rsidRPr="005B0796" w:rsidDel="005553B7">
        <w:t xml:space="preserve"> </w:t>
      </w:r>
      <w:r w:rsidRPr="005B0796">
        <w:t>vs &lt; 4 years: OR 0.7, 95% CI 0.5, 0.9; 16–19.9 years</w:t>
      </w:r>
      <w:r w:rsidRPr="005B0796" w:rsidDel="005553B7">
        <w:t xml:space="preserve"> </w:t>
      </w:r>
      <w:r w:rsidRPr="005B0796">
        <w:t>vs &lt; 4 years: OR 0.7, 95% CI 0.5, 0.9; 20+ years vs &lt; 4 years: OR 0.6, 95% CI 0.4, 0.8</w:t>
      </w:r>
    </w:p>
    <w:p w:rsidR="0019239D" w:rsidRPr="005B0796" w:rsidRDefault="0019239D" w:rsidP="0019239D">
      <w:pPr>
        <w:pStyle w:val="TableNotes"/>
      </w:pPr>
      <w:r w:rsidRPr="005B0796">
        <w:t>Suicidal ideation Q2: 8–11.9 years</w:t>
      </w:r>
      <w:r w:rsidRPr="005B0796" w:rsidDel="005553B7">
        <w:t xml:space="preserve"> </w:t>
      </w:r>
      <w:r w:rsidRPr="005B0796">
        <w:t>vs &lt; 4 years: OR 0.6, 95% CI 0.4, 0.9; 12–15.9 years</w:t>
      </w:r>
      <w:r w:rsidRPr="005B0796" w:rsidDel="005553B7">
        <w:t xml:space="preserve"> </w:t>
      </w:r>
      <w:r w:rsidRPr="005B0796">
        <w:t>vs &lt; 4 years: OR 0.6, 95% CI 0.4, 0.9; 16–19.9 years</w:t>
      </w:r>
      <w:r w:rsidRPr="005B0796" w:rsidDel="005553B7">
        <w:t xml:space="preserve"> </w:t>
      </w:r>
      <w:r w:rsidRPr="005B0796">
        <w:t>vs &lt; 4 years: OR 0.6, 95% CI 0.4, 0; 20+ years vs &lt; 4 years: OR 0.5, 95% CI 0.4, 0.7</w:t>
      </w:r>
    </w:p>
    <w:p w:rsidR="0019239D" w:rsidRPr="005B0796" w:rsidRDefault="0019239D" w:rsidP="00C220F4">
      <w:pPr>
        <w:pStyle w:val="Heading3"/>
      </w:pPr>
      <w:bookmarkStart w:id="836" w:name="_Toc494449731"/>
      <w:bookmarkStart w:id="837" w:name="_Toc511900313"/>
      <w:r w:rsidRPr="005B0796">
        <w:t>Suicidality transition factors</w:t>
      </w:r>
      <w:bookmarkEnd w:id="833"/>
      <w:bookmarkEnd w:id="834"/>
      <w:bookmarkEnd w:id="835"/>
      <w:bookmarkEnd w:id="836"/>
      <w:bookmarkEnd w:id="837"/>
    </w:p>
    <w:p w:rsidR="0019239D" w:rsidRPr="005B0796" w:rsidRDefault="0019239D" w:rsidP="00C220F4">
      <w:pPr>
        <w:pStyle w:val="Heading4"/>
      </w:pPr>
      <w:r w:rsidRPr="005B0796">
        <w:t>Years since transition</w:t>
      </w:r>
    </w:p>
    <w:p w:rsidR="0019239D" w:rsidRPr="005B0796" w:rsidRDefault="009E72D3" w:rsidP="00C220F4">
      <w:r w:rsidRPr="005B0796">
        <w:t>Table 4.48</w:t>
      </w:r>
      <w:r w:rsidR="0019239D" w:rsidRPr="005B0796">
        <w:t xml:space="preserve"> and </w:t>
      </w:r>
      <w:r w:rsidRPr="005B0796">
        <w:t>Figure 4.40</w:t>
      </w:r>
      <w:r w:rsidR="0019239D" w:rsidRPr="005B0796">
        <w:t xml:space="preserve"> present 12-month suicidality</w:t>
      </w:r>
      <w:r w:rsidR="001B0335">
        <w:t xml:space="preserve"> in Transitioned ADF</w:t>
      </w:r>
      <w:r w:rsidR="0019239D" w:rsidRPr="005B0796">
        <w:t>, by years since transition. Estimated prevalence of suicidality was lowest in those who had transitioned less than a year previously (year 0) (13.9%, 95% CI 10.6, 18.2). Overall, there was a general pattern for suicidal thoughts and behaviour to increase sharply after the first 11</w:t>
      </w:r>
      <w:r w:rsidR="00D84781" w:rsidRPr="005B0796">
        <w:t> </w:t>
      </w:r>
      <w:r w:rsidR="0019239D" w:rsidRPr="005B0796">
        <w:t xml:space="preserve">months after transition. Compared with the first 11 months after transition, the greatest increase in suicidal ideation, plans and attempts was observed at around three years post-transition (see Annex </w:t>
      </w:r>
      <w:r w:rsidR="00411B45" w:rsidRPr="005B0796">
        <w:t>B</w:t>
      </w:r>
      <w:r w:rsidR="0019239D" w:rsidRPr="005B0796">
        <w:t xml:space="preserve">, Tables </w:t>
      </w:r>
      <w:r w:rsidR="00411B45" w:rsidRPr="005B0796">
        <w:t>B.</w:t>
      </w:r>
      <w:r w:rsidR="0019239D" w:rsidRPr="005B0796">
        <w:t>5–</w:t>
      </w:r>
      <w:r w:rsidR="00411B45" w:rsidRPr="005B0796">
        <w:t>B.</w:t>
      </w:r>
      <w:r w:rsidR="0019239D" w:rsidRPr="005B0796">
        <w:t>8 for a more detailed summary of results).</w:t>
      </w:r>
    </w:p>
    <w:p w:rsidR="0019239D" w:rsidRPr="005B0796" w:rsidRDefault="0019239D" w:rsidP="0019239D">
      <w:pPr>
        <w:sectPr w:rsidR="0019239D" w:rsidRPr="005B0796" w:rsidSect="00BE5E98">
          <w:footerReference w:type="even" r:id="rId161"/>
          <w:footerReference w:type="default" r:id="rId162"/>
          <w:pgSz w:w="9979" w:h="14170" w:code="243"/>
          <w:pgMar w:top="1440" w:right="1152" w:bottom="1440" w:left="1728" w:header="576" w:footer="576" w:gutter="0"/>
          <w:cols w:space="708"/>
          <w:docGrid w:linePitch="360"/>
        </w:sectPr>
      </w:pPr>
    </w:p>
    <w:p w:rsidR="0019239D" w:rsidRPr="005B0796" w:rsidRDefault="0019239D" w:rsidP="0019239D">
      <w:pPr>
        <w:pStyle w:val="TableName"/>
      </w:pPr>
      <w:bookmarkStart w:id="838" w:name="_Ref484520189"/>
      <w:bookmarkStart w:id="839" w:name="_Toc482023812"/>
      <w:bookmarkStart w:id="840" w:name="_Toc487014299"/>
      <w:bookmarkStart w:id="841" w:name="_Toc492995602"/>
      <w:bookmarkStart w:id="842" w:name="_Toc51190045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48</w:t>
      </w:r>
      <w:r w:rsidR="00D30A3C">
        <w:rPr>
          <w:noProof/>
        </w:rPr>
        <w:fldChar w:fldCharType="end"/>
      </w:r>
      <w:bookmarkEnd w:id="838"/>
      <w:r w:rsidRPr="005B0796">
        <w:tab/>
        <w:t xml:space="preserve">Estimated prevalence of suicidality, by number of years since transition from the Regular </w:t>
      </w:r>
      <w:bookmarkEnd w:id="839"/>
      <w:r w:rsidRPr="005B0796">
        <w:t>ADF into Transitioned ADF</w:t>
      </w:r>
      <w:bookmarkEnd w:id="840"/>
      <w:bookmarkEnd w:id="841"/>
      <w:bookmarkEnd w:id="842"/>
    </w:p>
    <w:tbl>
      <w:tblPr>
        <w:tblStyle w:val="TWRPTable"/>
        <w:tblW w:w="5000" w:type="pct"/>
        <w:tblLayout w:type="fixed"/>
        <w:tblLook w:val="04A0" w:firstRow="1" w:lastRow="0" w:firstColumn="1" w:lastColumn="0" w:noHBand="0" w:noVBand="1"/>
        <w:tblDescription w:val="Table 4.48 Estimated prevalence of suicidality, by number of years since transition from the Regular ADF into Transitioned ADF"/>
      </w:tblPr>
      <w:tblGrid>
        <w:gridCol w:w="2006"/>
        <w:gridCol w:w="1056"/>
        <w:gridCol w:w="1055"/>
        <w:gridCol w:w="1055"/>
        <w:gridCol w:w="1055"/>
        <w:gridCol w:w="1057"/>
        <w:gridCol w:w="1055"/>
        <w:gridCol w:w="1055"/>
        <w:gridCol w:w="1055"/>
        <w:gridCol w:w="1057"/>
      </w:tblGrid>
      <w:tr w:rsidR="00BB6C7A"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006" w:type="dxa"/>
            <w:vMerge w:val="restart"/>
            <w:tcBorders>
              <w:top w:val="single" w:sz="4" w:space="0" w:color="000000"/>
            </w:tcBorders>
          </w:tcPr>
          <w:p w:rsidR="00BB6C7A" w:rsidRPr="005B0796" w:rsidRDefault="00BB6C7A" w:rsidP="00C220F4">
            <w:pPr>
              <w:pStyle w:val="TableText"/>
              <w:rPr>
                <w:lang w:eastAsia="en-AU"/>
              </w:rPr>
            </w:pPr>
            <w:r w:rsidRPr="005B0796">
              <w:rPr>
                <w:lang w:eastAsia="en-AU"/>
              </w:rPr>
              <w:t>Suicidality</w:t>
            </w:r>
          </w:p>
        </w:tc>
        <w:tc>
          <w:tcPr>
            <w:tcW w:w="9500" w:type="dxa"/>
            <w:gridSpan w:val="9"/>
            <w:noWrap/>
          </w:tcPr>
          <w:p w:rsidR="00BB6C7A" w:rsidRPr="005B0796" w:rsidRDefault="00BB6C7A" w:rsidP="00C220F4">
            <w:pPr>
              <w:pStyle w:val="TableText"/>
              <w:jc w:val="center"/>
              <w:rPr>
                <w:lang w:eastAsia="en-AU"/>
              </w:rPr>
            </w:pPr>
            <w:r w:rsidRPr="005B0796">
              <w:t>Years since transition</w:t>
            </w:r>
          </w:p>
        </w:tc>
      </w:tr>
      <w:tr w:rsidR="00BB6C7A"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006" w:type="dxa"/>
            <w:vMerge/>
            <w:tcBorders>
              <w:top w:val="single" w:sz="4" w:space="0" w:color="000000"/>
            </w:tcBorders>
            <w:hideMark/>
          </w:tcPr>
          <w:p w:rsidR="00BB6C7A" w:rsidRPr="005B0796" w:rsidRDefault="00BB6C7A" w:rsidP="00C220F4">
            <w:pPr>
              <w:pStyle w:val="TableText"/>
              <w:rPr>
                <w:lang w:eastAsia="en-AU"/>
              </w:rPr>
            </w:pPr>
          </w:p>
        </w:tc>
        <w:tc>
          <w:tcPr>
            <w:tcW w:w="3166" w:type="dxa"/>
            <w:gridSpan w:val="3"/>
            <w:noWrap/>
            <w:hideMark/>
          </w:tcPr>
          <w:p w:rsidR="00BB6C7A" w:rsidRPr="005B0796" w:rsidRDefault="00BB6C7A" w:rsidP="00C220F4">
            <w:pPr>
              <w:pStyle w:val="TableText"/>
              <w:jc w:val="center"/>
              <w:rPr>
                <w:lang w:eastAsia="en-AU"/>
              </w:rPr>
            </w:pPr>
            <w:r w:rsidRPr="005B0796">
              <w:rPr>
                <w:lang w:eastAsia="en-AU"/>
              </w:rPr>
              <w:t>0 (n = 1945)</w:t>
            </w:r>
          </w:p>
        </w:tc>
        <w:tc>
          <w:tcPr>
            <w:tcW w:w="3167" w:type="dxa"/>
            <w:gridSpan w:val="3"/>
            <w:noWrap/>
            <w:hideMark/>
          </w:tcPr>
          <w:p w:rsidR="00BB6C7A" w:rsidRPr="005B0796" w:rsidRDefault="00BB6C7A" w:rsidP="00C220F4">
            <w:pPr>
              <w:pStyle w:val="TableText"/>
              <w:jc w:val="center"/>
              <w:rPr>
                <w:lang w:eastAsia="en-AU"/>
              </w:rPr>
            </w:pPr>
            <w:r w:rsidRPr="005B0796">
              <w:rPr>
                <w:lang w:eastAsia="en-AU"/>
              </w:rPr>
              <w:t>1 (n = 4874)</w:t>
            </w:r>
          </w:p>
        </w:tc>
        <w:tc>
          <w:tcPr>
            <w:tcW w:w="3167" w:type="dxa"/>
            <w:gridSpan w:val="3"/>
            <w:noWrap/>
            <w:hideMark/>
          </w:tcPr>
          <w:p w:rsidR="00BB6C7A" w:rsidRPr="005B0796" w:rsidRDefault="00BB6C7A" w:rsidP="00C220F4">
            <w:pPr>
              <w:pStyle w:val="TableText"/>
              <w:jc w:val="center"/>
              <w:rPr>
                <w:lang w:eastAsia="en-AU"/>
              </w:rPr>
            </w:pPr>
            <w:r w:rsidRPr="005B0796">
              <w:rPr>
                <w:lang w:eastAsia="en-AU"/>
              </w:rPr>
              <w:t>2 (n = 4944)</w:t>
            </w:r>
          </w:p>
        </w:tc>
      </w:tr>
      <w:tr w:rsidR="00BB6C7A"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006" w:type="dxa"/>
            <w:vMerge/>
            <w:tcBorders>
              <w:top w:val="single" w:sz="4" w:space="0" w:color="000000"/>
            </w:tcBorders>
            <w:noWrap/>
            <w:hideMark/>
          </w:tcPr>
          <w:p w:rsidR="00BB6C7A" w:rsidRPr="005B0796" w:rsidRDefault="00BB6C7A" w:rsidP="00C220F4">
            <w:pPr>
              <w:pStyle w:val="TableText"/>
              <w:rPr>
                <w:lang w:eastAsia="en-AU"/>
              </w:rPr>
            </w:pPr>
          </w:p>
        </w:tc>
        <w:tc>
          <w:tcPr>
            <w:tcW w:w="1056" w:type="dxa"/>
            <w:noWrap/>
            <w:hideMark/>
          </w:tcPr>
          <w:p w:rsidR="00BB6C7A" w:rsidRPr="005B0796" w:rsidRDefault="00BB6C7A" w:rsidP="00C220F4">
            <w:pPr>
              <w:pStyle w:val="TableText"/>
              <w:jc w:val="right"/>
              <w:rPr>
                <w:lang w:eastAsia="en-AU"/>
              </w:rPr>
            </w:pPr>
            <w:r w:rsidRPr="005B0796">
              <w:rPr>
                <w:lang w:eastAsia="en-AU"/>
              </w:rPr>
              <w:t>Weighted n</w:t>
            </w:r>
          </w:p>
        </w:tc>
        <w:tc>
          <w:tcPr>
            <w:tcW w:w="1055" w:type="dxa"/>
            <w:hideMark/>
          </w:tcPr>
          <w:p w:rsidR="00BB6C7A" w:rsidRPr="005B0796" w:rsidRDefault="00BB6C7A" w:rsidP="00C220F4">
            <w:pPr>
              <w:pStyle w:val="TableText"/>
              <w:jc w:val="right"/>
              <w:rPr>
                <w:lang w:eastAsia="en-AU"/>
              </w:rPr>
            </w:pPr>
            <w:r w:rsidRPr="005B0796">
              <w:t>%</w:t>
            </w:r>
          </w:p>
        </w:tc>
        <w:tc>
          <w:tcPr>
            <w:tcW w:w="1055" w:type="dxa"/>
            <w:hideMark/>
          </w:tcPr>
          <w:p w:rsidR="00BB6C7A" w:rsidRPr="005B0796" w:rsidRDefault="00BB6C7A" w:rsidP="00C220F4">
            <w:pPr>
              <w:pStyle w:val="TableText"/>
              <w:jc w:val="right"/>
              <w:rPr>
                <w:lang w:eastAsia="en-AU"/>
              </w:rPr>
            </w:pPr>
            <w:r w:rsidRPr="005B0796">
              <w:t xml:space="preserve"> 95% CI</w:t>
            </w:r>
          </w:p>
        </w:tc>
        <w:tc>
          <w:tcPr>
            <w:tcW w:w="1055" w:type="dxa"/>
            <w:noWrap/>
            <w:hideMark/>
          </w:tcPr>
          <w:p w:rsidR="00BB6C7A" w:rsidRPr="005B0796" w:rsidRDefault="00BB6C7A" w:rsidP="00C220F4">
            <w:pPr>
              <w:pStyle w:val="TableText"/>
              <w:jc w:val="right"/>
              <w:rPr>
                <w:lang w:eastAsia="en-AU"/>
              </w:rPr>
            </w:pPr>
            <w:r w:rsidRPr="005B0796">
              <w:rPr>
                <w:lang w:eastAsia="en-AU"/>
              </w:rPr>
              <w:t>Weighted n</w:t>
            </w:r>
          </w:p>
        </w:tc>
        <w:tc>
          <w:tcPr>
            <w:tcW w:w="1057" w:type="dxa"/>
            <w:hideMark/>
          </w:tcPr>
          <w:p w:rsidR="00BB6C7A" w:rsidRPr="005B0796" w:rsidRDefault="00BB6C7A" w:rsidP="00C220F4">
            <w:pPr>
              <w:pStyle w:val="TableText"/>
              <w:jc w:val="right"/>
              <w:rPr>
                <w:lang w:eastAsia="en-AU"/>
              </w:rPr>
            </w:pPr>
            <w:r w:rsidRPr="005B0796">
              <w:t>%</w:t>
            </w:r>
          </w:p>
        </w:tc>
        <w:tc>
          <w:tcPr>
            <w:tcW w:w="1055" w:type="dxa"/>
            <w:hideMark/>
          </w:tcPr>
          <w:p w:rsidR="00BB6C7A" w:rsidRPr="005B0796" w:rsidRDefault="00BB6C7A" w:rsidP="00C220F4">
            <w:pPr>
              <w:pStyle w:val="TableText"/>
              <w:jc w:val="right"/>
              <w:rPr>
                <w:lang w:eastAsia="en-AU"/>
              </w:rPr>
            </w:pPr>
            <w:r w:rsidRPr="005B0796">
              <w:t xml:space="preserve"> 95% CI</w:t>
            </w:r>
          </w:p>
        </w:tc>
        <w:tc>
          <w:tcPr>
            <w:tcW w:w="1055" w:type="dxa"/>
            <w:noWrap/>
            <w:hideMark/>
          </w:tcPr>
          <w:p w:rsidR="00BB6C7A" w:rsidRPr="005B0796" w:rsidRDefault="00BB6C7A" w:rsidP="00C220F4">
            <w:pPr>
              <w:pStyle w:val="TableText"/>
              <w:jc w:val="right"/>
              <w:rPr>
                <w:lang w:eastAsia="en-AU"/>
              </w:rPr>
            </w:pPr>
            <w:r w:rsidRPr="005B0796">
              <w:rPr>
                <w:lang w:eastAsia="en-AU"/>
              </w:rPr>
              <w:t>Weighted n</w:t>
            </w:r>
          </w:p>
        </w:tc>
        <w:tc>
          <w:tcPr>
            <w:tcW w:w="1055" w:type="dxa"/>
            <w:hideMark/>
          </w:tcPr>
          <w:p w:rsidR="00BB6C7A" w:rsidRPr="005B0796" w:rsidRDefault="00BB6C7A" w:rsidP="00C220F4">
            <w:pPr>
              <w:pStyle w:val="TableText"/>
              <w:jc w:val="right"/>
              <w:rPr>
                <w:lang w:eastAsia="en-AU"/>
              </w:rPr>
            </w:pPr>
            <w:r w:rsidRPr="005B0796">
              <w:t>%</w:t>
            </w:r>
          </w:p>
        </w:tc>
        <w:tc>
          <w:tcPr>
            <w:tcW w:w="1057" w:type="dxa"/>
            <w:hideMark/>
          </w:tcPr>
          <w:p w:rsidR="00BB6C7A" w:rsidRPr="005B0796" w:rsidRDefault="00BB6C7A" w:rsidP="00C220F4">
            <w:pPr>
              <w:pStyle w:val="TableText"/>
              <w:jc w:val="right"/>
              <w:rPr>
                <w:lang w:eastAsia="en-AU"/>
              </w:rPr>
            </w:pPr>
            <w:r w:rsidRPr="005B0796">
              <w:t xml:space="preserve"> 95% CI</w:t>
            </w:r>
          </w:p>
        </w:tc>
      </w:tr>
      <w:tr w:rsidR="00BB6C7A" w:rsidRPr="005B0796" w:rsidTr="00BB6C7A">
        <w:trPr>
          <w:cnfStyle w:val="000000100000" w:firstRow="0" w:lastRow="0" w:firstColumn="0" w:lastColumn="0" w:oddVBand="0" w:evenVBand="0" w:oddHBand="1" w:evenHBand="0" w:firstRowFirstColumn="0" w:firstRowLastColumn="0" w:lastRowFirstColumn="0" w:lastRowLastColumn="0"/>
        </w:trPr>
        <w:tc>
          <w:tcPr>
            <w:tcW w:w="2006" w:type="dxa"/>
            <w:hideMark/>
          </w:tcPr>
          <w:p w:rsidR="00BB6C7A" w:rsidRPr="005B0796" w:rsidRDefault="00BB6C7A" w:rsidP="00C220F4">
            <w:pPr>
              <w:pStyle w:val="TableText"/>
              <w:rPr>
                <w:lang w:eastAsia="en-AU"/>
              </w:rPr>
            </w:pPr>
            <w:r w:rsidRPr="005B0796">
              <w:t>Felt life not worth living</w:t>
            </w:r>
          </w:p>
        </w:tc>
        <w:tc>
          <w:tcPr>
            <w:tcW w:w="1056" w:type="dxa"/>
            <w:noWrap/>
            <w:hideMark/>
          </w:tcPr>
          <w:p w:rsidR="00BB6C7A" w:rsidRPr="005B0796" w:rsidRDefault="00BB6C7A" w:rsidP="00C220F4">
            <w:pPr>
              <w:pStyle w:val="TableText"/>
              <w:jc w:val="right"/>
              <w:rPr>
                <w:lang w:eastAsia="en-AU"/>
              </w:rPr>
            </w:pPr>
            <w:r w:rsidRPr="005B0796">
              <w:t>367</w:t>
            </w:r>
          </w:p>
        </w:tc>
        <w:tc>
          <w:tcPr>
            <w:tcW w:w="1055" w:type="dxa"/>
            <w:hideMark/>
          </w:tcPr>
          <w:p w:rsidR="00BB6C7A" w:rsidRPr="005B0796" w:rsidRDefault="00BB6C7A" w:rsidP="00C220F4">
            <w:pPr>
              <w:pStyle w:val="TableText"/>
              <w:jc w:val="right"/>
              <w:rPr>
                <w:lang w:eastAsia="en-AU"/>
              </w:rPr>
            </w:pPr>
            <w:r w:rsidRPr="005B0796">
              <w:t>18.9</w:t>
            </w:r>
          </w:p>
        </w:tc>
        <w:tc>
          <w:tcPr>
            <w:tcW w:w="1055" w:type="dxa"/>
            <w:hideMark/>
          </w:tcPr>
          <w:p w:rsidR="00BB6C7A" w:rsidRPr="005B0796" w:rsidRDefault="00BB6C7A" w:rsidP="00C220F4">
            <w:pPr>
              <w:pStyle w:val="TableText"/>
              <w:jc w:val="right"/>
              <w:rPr>
                <w:lang w:eastAsia="en-AU"/>
              </w:rPr>
            </w:pPr>
            <w:r w:rsidRPr="005B0796">
              <w:t>14.9, 23.5</w:t>
            </w:r>
          </w:p>
        </w:tc>
        <w:tc>
          <w:tcPr>
            <w:tcW w:w="1055" w:type="dxa"/>
            <w:noWrap/>
            <w:hideMark/>
          </w:tcPr>
          <w:p w:rsidR="00BB6C7A" w:rsidRPr="005B0796" w:rsidRDefault="00BB6C7A" w:rsidP="00C220F4">
            <w:pPr>
              <w:pStyle w:val="TableText"/>
              <w:jc w:val="right"/>
              <w:rPr>
                <w:lang w:eastAsia="en-AU"/>
              </w:rPr>
            </w:pPr>
            <w:r w:rsidRPr="005B0796">
              <w:t>1470</w:t>
            </w:r>
          </w:p>
        </w:tc>
        <w:tc>
          <w:tcPr>
            <w:tcW w:w="1057" w:type="dxa"/>
            <w:hideMark/>
          </w:tcPr>
          <w:p w:rsidR="00BB6C7A" w:rsidRPr="005B0796" w:rsidRDefault="00BB6C7A" w:rsidP="00C220F4">
            <w:pPr>
              <w:pStyle w:val="TableText"/>
              <w:jc w:val="right"/>
              <w:rPr>
                <w:lang w:eastAsia="en-AU"/>
              </w:rPr>
            </w:pPr>
            <w:r w:rsidRPr="005B0796">
              <w:t>30.2</w:t>
            </w:r>
          </w:p>
        </w:tc>
        <w:tc>
          <w:tcPr>
            <w:tcW w:w="1055" w:type="dxa"/>
            <w:hideMark/>
          </w:tcPr>
          <w:p w:rsidR="00BB6C7A" w:rsidRPr="005B0796" w:rsidRDefault="00BB6C7A" w:rsidP="00C220F4">
            <w:pPr>
              <w:pStyle w:val="TableText"/>
              <w:jc w:val="right"/>
              <w:rPr>
                <w:lang w:eastAsia="en-AU"/>
              </w:rPr>
            </w:pPr>
            <w:r w:rsidRPr="005B0796">
              <w:t>26.5, 34.1</w:t>
            </w:r>
          </w:p>
        </w:tc>
        <w:tc>
          <w:tcPr>
            <w:tcW w:w="1055" w:type="dxa"/>
            <w:hideMark/>
          </w:tcPr>
          <w:p w:rsidR="00BB6C7A" w:rsidRPr="005B0796" w:rsidRDefault="00BB6C7A" w:rsidP="00C220F4">
            <w:pPr>
              <w:pStyle w:val="TableText"/>
              <w:jc w:val="right"/>
              <w:rPr>
                <w:lang w:eastAsia="en-AU"/>
              </w:rPr>
            </w:pPr>
            <w:r w:rsidRPr="005B0796">
              <w:t>1354</w:t>
            </w:r>
          </w:p>
        </w:tc>
        <w:tc>
          <w:tcPr>
            <w:tcW w:w="1055" w:type="dxa"/>
            <w:hideMark/>
          </w:tcPr>
          <w:p w:rsidR="00BB6C7A" w:rsidRPr="005B0796" w:rsidRDefault="00BB6C7A" w:rsidP="00C220F4">
            <w:pPr>
              <w:pStyle w:val="TableText"/>
              <w:jc w:val="right"/>
              <w:rPr>
                <w:lang w:eastAsia="en-AU"/>
              </w:rPr>
            </w:pPr>
            <w:r w:rsidRPr="005B0796">
              <w:t>27.4</w:t>
            </w:r>
          </w:p>
        </w:tc>
        <w:tc>
          <w:tcPr>
            <w:tcW w:w="1057" w:type="dxa"/>
            <w:hideMark/>
          </w:tcPr>
          <w:p w:rsidR="00BB6C7A" w:rsidRPr="005B0796" w:rsidRDefault="00BB6C7A" w:rsidP="00C220F4">
            <w:pPr>
              <w:pStyle w:val="TableText"/>
              <w:jc w:val="right"/>
              <w:rPr>
                <w:lang w:eastAsia="en-AU"/>
              </w:rPr>
            </w:pPr>
            <w:r w:rsidRPr="005B0796">
              <w:t>23.8, 31.3</w:t>
            </w:r>
          </w:p>
        </w:tc>
      </w:tr>
      <w:tr w:rsidR="00BB6C7A" w:rsidRPr="005B0796" w:rsidTr="00BB6C7A">
        <w:tc>
          <w:tcPr>
            <w:tcW w:w="2006" w:type="dxa"/>
            <w:hideMark/>
          </w:tcPr>
          <w:p w:rsidR="00BB6C7A" w:rsidRPr="005B0796" w:rsidRDefault="00BB6C7A" w:rsidP="00C220F4">
            <w:pPr>
              <w:pStyle w:val="TableText"/>
              <w:rPr>
                <w:lang w:eastAsia="en-AU"/>
              </w:rPr>
            </w:pPr>
            <w:r w:rsidRPr="005B0796">
              <w:t>Felt so low thought about committing suicide</w:t>
            </w:r>
          </w:p>
        </w:tc>
        <w:tc>
          <w:tcPr>
            <w:tcW w:w="1056" w:type="dxa"/>
            <w:noWrap/>
            <w:hideMark/>
          </w:tcPr>
          <w:p w:rsidR="00BB6C7A" w:rsidRPr="005B0796" w:rsidRDefault="00BB6C7A" w:rsidP="00C220F4">
            <w:pPr>
              <w:pStyle w:val="TableText"/>
              <w:jc w:val="right"/>
              <w:rPr>
                <w:lang w:eastAsia="en-AU"/>
              </w:rPr>
            </w:pPr>
            <w:r w:rsidRPr="005B0796">
              <w:t>252</w:t>
            </w:r>
          </w:p>
        </w:tc>
        <w:tc>
          <w:tcPr>
            <w:tcW w:w="1055" w:type="dxa"/>
            <w:hideMark/>
          </w:tcPr>
          <w:p w:rsidR="00BB6C7A" w:rsidRPr="005B0796" w:rsidRDefault="00BB6C7A" w:rsidP="00C220F4">
            <w:pPr>
              <w:pStyle w:val="TableText"/>
              <w:jc w:val="right"/>
              <w:rPr>
                <w:lang w:eastAsia="en-AU"/>
              </w:rPr>
            </w:pPr>
            <w:r w:rsidRPr="005B0796">
              <w:t>12.9</w:t>
            </w:r>
          </w:p>
        </w:tc>
        <w:tc>
          <w:tcPr>
            <w:tcW w:w="1055" w:type="dxa"/>
            <w:hideMark/>
          </w:tcPr>
          <w:p w:rsidR="00BB6C7A" w:rsidRPr="005B0796" w:rsidRDefault="00BB6C7A" w:rsidP="00C220F4">
            <w:pPr>
              <w:pStyle w:val="TableText"/>
              <w:jc w:val="right"/>
              <w:rPr>
                <w:lang w:eastAsia="en-AU"/>
              </w:rPr>
            </w:pPr>
            <w:r w:rsidRPr="005B0796">
              <w:t>9.8, 17.0</w:t>
            </w:r>
          </w:p>
        </w:tc>
        <w:tc>
          <w:tcPr>
            <w:tcW w:w="1055" w:type="dxa"/>
            <w:noWrap/>
            <w:hideMark/>
          </w:tcPr>
          <w:p w:rsidR="00BB6C7A" w:rsidRPr="005B0796" w:rsidRDefault="00BB6C7A" w:rsidP="00C220F4">
            <w:pPr>
              <w:pStyle w:val="TableText"/>
              <w:jc w:val="right"/>
              <w:rPr>
                <w:lang w:eastAsia="en-AU"/>
              </w:rPr>
            </w:pPr>
            <w:r w:rsidRPr="005B0796">
              <w:t>1019</w:t>
            </w:r>
          </w:p>
        </w:tc>
        <w:tc>
          <w:tcPr>
            <w:tcW w:w="1057" w:type="dxa"/>
            <w:hideMark/>
          </w:tcPr>
          <w:p w:rsidR="00BB6C7A" w:rsidRPr="005B0796" w:rsidRDefault="00BB6C7A" w:rsidP="00C220F4">
            <w:pPr>
              <w:pStyle w:val="TableText"/>
              <w:jc w:val="right"/>
              <w:rPr>
                <w:lang w:eastAsia="en-AU"/>
              </w:rPr>
            </w:pPr>
            <w:r w:rsidRPr="005B0796">
              <w:t>20.9</w:t>
            </w:r>
          </w:p>
        </w:tc>
        <w:tc>
          <w:tcPr>
            <w:tcW w:w="1055" w:type="dxa"/>
            <w:hideMark/>
          </w:tcPr>
          <w:p w:rsidR="00BB6C7A" w:rsidRPr="005B0796" w:rsidRDefault="00BB6C7A" w:rsidP="00C220F4">
            <w:pPr>
              <w:pStyle w:val="TableText"/>
              <w:jc w:val="right"/>
              <w:rPr>
                <w:lang w:eastAsia="en-AU"/>
              </w:rPr>
            </w:pPr>
            <w:r w:rsidRPr="005B0796">
              <w:t>17.8, 24.4</w:t>
            </w:r>
          </w:p>
        </w:tc>
        <w:tc>
          <w:tcPr>
            <w:tcW w:w="1055" w:type="dxa"/>
            <w:hideMark/>
          </w:tcPr>
          <w:p w:rsidR="00BB6C7A" w:rsidRPr="005B0796" w:rsidRDefault="00BB6C7A" w:rsidP="00C220F4">
            <w:pPr>
              <w:pStyle w:val="TableText"/>
              <w:jc w:val="right"/>
              <w:rPr>
                <w:lang w:eastAsia="en-AU"/>
              </w:rPr>
            </w:pPr>
            <w:r w:rsidRPr="005B0796">
              <w:t>995</w:t>
            </w:r>
          </w:p>
        </w:tc>
        <w:tc>
          <w:tcPr>
            <w:tcW w:w="1055" w:type="dxa"/>
            <w:hideMark/>
          </w:tcPr>
          <w:p w:rsidR="00BB6C7A" w:rsidRPr="005B0796" w:rsidRDefault="00BB6C7A" w:rsidP="00C220F4">
            <w:pPr>
              <w:pStyle w:val="TableText"/>
              <w:jc w:val="right"/>
              <w:rPr>
                <w:lang w:eastAsia="en-AU"/>
              </w:rPr>
            </w:pPr>
            <w:r w:rsidRPr="005B0796">
              <w:t>20.1</w:t>
            </w:r>
          </w:p>
        </w:tc>
        <w:tc>
          <w:tcPr>
            <w:tcW w:w="1057" w:type="dxa"/>
            <w:hideMark/>
          </w:tcPr>
          <w:p w:rsidR="00BB6C7A" w:rsidRPr="005B0796" w:rsidRDefault="00BB6C7A" w:rsidP="00C220F4">
            <w:pPr>
              <w:pStyle w:val="TableText"/>
              <w:jc w:val="right"/>
              <w:rPr>
                <w:lang w:eastAsia="en-AU"/>
              </w:rPr>
            </w:pPr>
            <w:r w:rsidRPr="005B0796">
              <w:t>16.9, 23.7</w:t>
            </w:r>
          </w:p>
        </w:tc>
      </w:tr>
      <w:tr w:rsidR="00BB6C7A" w:rsidRPr="005B0796" w:rsidTr="00BB6C7A">
        <w:trPr>
          <w:cnfStyle w:val="000000100000" w:firstRow="0" w:lastRow="0" w:firstColumn="0" w:lastColumn="0" w:oddVBand="0" w:evenVBand="0" w:oddHBand="1" w:evenHBand="0" w:firstRowFirstColumn="0" w:firstRowLastColumn="0" w:lastRowFirstColumn="0" w:lastRowLastColumn="0"/>
        </w:trPr>
        <w:tc>
          <w:tcPr>
            <w:tcW w:w="2006" w:type="dxa"/>
            <w:hideMark/>
          </w:tcPr>
          <w:p w:rsidR="00BB6C7A" w:rsidRPr="005B0796" w:rsidRDefault="00BB6C7A" w:rsidP="00C220F4">
            <w:pPr>
              <w:pStyle w:val="TableText"/>
              <w:rPr>
                <w:lang w:eastAsia="en-AU"/>
              </w:rPr>
            </w:pPr>
            <w:r w:rsidRPr="005B0796">
              <w:t>Made a suicide plan</w:t>
            </w:r>
          </w:p>
        </w:tc>
        <w:tc>
          <w:tcPr>
            <w:tcW w:w="1056" w:type="dxa"/>
            <w:noWrap/>
            <w:hideMark/>
          </w:tcPr>
          <w:p w:rsidR="00BB6C7A" w:rsidRPr="005B0796" w:rsidRDefault="00BB6C7A" w:rsidP="00C220F4">
            <w:pPr>
              <w:pStyle w:val="TableText"/>
              <w:jc w:val="right"/>
              <w:rPr>
                <w:lang w:eastAsia="en-AU"/>
              </w:rPr>
            </w:pPr>
            <w:r w:rsidRPr="005B0796">
              <w:t>96</w:t>
            </w:r>
          </w:p>
        </w:tc>
        <w:tc>
          <w:tcPr>
            <w:tcW w:w="1055" w:type="dxa"/>
            <w:hideMark/>
          </w:tcPr>
          <w:p w:rsidR="00BB6C7A" w:rsidRPr="005B0796" w:rsidRDefault="00BB6C7A" w:rsidP="00C220F4">
            <w:pPr>
              <w:pStyle w:val="TableText"/>
              <w:jc w:val="right"/>
              <w:rPr>
                <w:lang w:eastAsia="en-AU"/>
              </w:rPr>
            </w:pPr>
            <w:r w:rsidRPr="005B0796">
              <w:t>4.9</w:t>
            </w:r>
          </w:p>
        </w:tc>
        <w:tc>
          <w:tcPr>
            <w:tcW w:w="1055" w:type="dxa"/>
            <w:hideMark/>
          </w:tcPr>
          <w:p w:rsidR="00BB6C7A" w:rsidRPr="005B0796" w:rsidRDefault="00BB6C7A" w:rsidP="00C220F4">
            <w:pPr>
              <w:pStyle w:val="TableText"/>
              <w:jc w:val="right"/>
              <w:rPr>
                <w:lang w:eastAsia="en-AU"/>
              </w:rPr>
            </w:pPr>
            <w:r w:rsidRPr="005B0796">
              <w:t>3.4, 7.1</w:t>
            </w:r>
          </w:p>
        </w:tc>
        <w:tc>
          <w:tcPr>
            <w:tcW w:w="1055" w:type="dxa"/>
            <w:noWrap/>
            <w:hideMark/>
          </w:tcPr>
          <w:p w:rsidR="00BB6C7A" w:rsidRPr="005B0796" w:rsidRDefault="00BB6C7A" w:rsidP="00C220F4">
            <w:pPr>
              <w:pStyle w:val="TableText"/>
              <w:jc w:val="right"/>
              <w:rPr>
                <w:lang w:eastAsia="en-AU"/>
              </w:rPr>
            </w:pPr>
            <w:r w:rsidRPr="005B0796">
              <w:t>408</w:t>
            </w:r>
          </w:p>
        </w:tc>
        <w:tc>
          <w:tcPr>
            <w:tcW w:w="1057" w:type="dxa"/>
            <w:hideMark/>
          </w:tcPr>
          <w:p w:rsidR="00BB6C7A" w:rsidRPr="005B0796" w:rsidRDefault="00BB6C7A" w:rsidP="00C220F4">
            <w:pPr>
              <w:pStyle w:val="TableText"/>
              <w:jc w:val="right"/>
              <w:rPr>
                <w:lang w:eastAsia="en-AU"/>
              </w:rPr>
            </w:pPr>
            <w:r w:rsidRPr="005B0796">
              <w:t>8.4</w:t>
            </w:r>
          </w:p>
        </w:tc>
        <w:tc>
          <w:tcPr>
            <w:tcW w:w="1055" w:type="dxa"/>
            <w:hideMark/>
          </w:tcPr>
          <w:p w:rsidR="00BB6C7A" w:rsidRPr="005B0796" w:rsidRDefault="00BB6C7A" w:rsidP="00C220F4">
            <w:pPr>
              <w:pStyle w:val="TableText"/>
              <w:jc w:val="right"/>
              <w:rPr>
                <w:lang w:eastAsia="en-AU"/>
              </w:rPr>
            </w:pPr>
            <w:r w:rsidRPr="005B0796">
              <w:t>6.4, 10.9</w:t>
            </w:r>
          </w:p>
        </w:tc>
        <w:tc>
          <w:tcPr>
            <w:tcW w:w="1055" w:type="dxa"/>
            <w:hideMark/>
          </w:tcPr>
          <w:p w:rsidR="00BB6C7A" w:rsidRPr="005B0796" w:rsidRDefault="00BB6C7A" w:rsidP="00C220F4">
            <w:pPr>
              <w:pStyle w:val="TableText"/>
              <w:jc w:val="right"/>
              <w:rPr>
                <w:lang w:eastAsia="en-AU"/>
              </w:rPr>
            </w:pPr>
            <w:r w:rsidRPr="005B0796">
              <w:t>401</w:t>
            </w:r>
          </w:p>
        </w:tc>
        <w:tc>
          <w:tcPr>
            <w:tcW w:w="1055" w:type="dxa"/>
            <w:hideMark/>
          </w:tcPr>
          <w:p w:rsidR="00BB6C7A" w:rsidRPr="005B0796" w:rsidRDefault="00BB6C7A" w:rsidP="00C220F4">
            <w:pPr>
              <w:pStyle w:val="TableText"/>
              <w:jc w:val="right"/>
              <w:rPr>
                <w:lang w:eastAsia="en-AU"/>
              </w:rPr>
            </w:pPr>
            <w:r w:rsidRPr="005B0796">
              <w:t>8.1</w:t>
            </w:r>
          </w:p>
        </w:tc>
        <w:tc>
          <w:tcPr>
            <w:tcW w:w="1057" w:type="dxa"/>
            <w:hideMark/>
          </w:tcPr>
          <w:p w:rsidR="00BB6C7A" w:rsidRPr="005B0796" w:rsidRDefault="00BB6C7A" w:rsidP="00C220F4">
            <w:pPr>
              <w:pStyle w:val="TableText"/>
              <w:jc w:val="right"/>
              <w:rPr>
                <w:lang w:eastAsia="en-AU"/>
              </w:rPr>
            </w:pPr>
            <w:r w:rsidRPr="005B0796">
              <w:t>6.2, 10.6</w:t>
            </w:r>
          </w:p>
        </w:tc>
      </w:tr>
      <w:tr w:rsidR="00BB6C7A" w:rsidRPr="005B0796" w:rsidTr="00BB6C7A">
        <w:tc>
          <w:tcPr>
            <w:tcW w:w="2006" w:type="dxa"/>
            <w:noWrap/>
            <w:hideMark/>
          </w:tcPr>
          <w:p w:rsidR="00BB6C7A" w:rsidRPr="005B0796" w:rsidRDefault="00BB6C7A" w:rsidP="00C220F4">
            <w:pPr>
              <w:pStyle w:val="TableText"/>
              <w:rPr>
                <w:lang w:eastAsia="en-AU"/>
              </w:rPr>
            </w:pPr>
            <w:r w:rsidRPr="005B0796">
              <w:t>Attempted suicide</w:t>
            </w:r>
          </w:p>
        </w:tc>
        <w:tc>
          <w:tcPr>
            <w:tcW w:w="1056" w:type="dxa"/>
            <w:noWrap/>
            <w:hideMark/>
          </w:tcPr>
          <w:p w:rsidR="00BB6C7A" w:rsidRPr="005B0796" w:rsidRDefault="00BB6C7A" w:rsidP="00C220F4">
            <w:pPr>
              <w:pStyle w:val="TableText"/>
              <w:jc w:val="right"/>
              <w:rPr>
                <w:lang w:eastAsia="en-AU"/>
              </w:rPr>
            </w:pPr>
            <w:r w:rsidRPr="005B0796">
              <w:t>35</w:t>
            </w:r>
          </w:p>
        </w:tc>
        <w:tc>
          <w:tcPr>
            <w:tcW w:w="1055" w:type="dxa"/>
            <w:hideMark/>
          </w:tcPr>
          <w:p w:rsidR="00BB6C7A" w:rsidRPr="005B0796" w:rsidRDefault="00BB6C7A" w:rsidP="00C220F4">
            <w:pPr>
              <w:pStyle w:val="TableText"/>
              <w:jc w:val="right"/>
              <w:rPr>
                <w:lang w:eastAsia="en-AU"/>
              </w:rPr>
            </w:pPr>
            <w:r w:rsidRPr="005B0796">
              <w:t>1.8</w:t>
            </w:r>
          </w:p>
        </w:tc>
        <w:tc>
          <w:tcPr>
            <w:tcW w:w="1055" w:type="dxa"/>
            <w:hideMark/>
          </w:tcPr>
          <w:p w:rsidR="00BB6C7A" w:rsidRPr="005B0796" w:rsidRDefault="00BB6C7A" w:rsidP="00C220F4">
            <w:pPr>
              <w:pStyle w:val="TableText"/>
              <w:jc w:val="right"/>
              <w:rPr>
                <w:lang w:eastAsia="en-AU"/>
              </w:rPr>
            </w:pPr>
            <w:r w:rsidRPr="005B0796">
              <w:t>0.9, 3.8</w:t>
            </w:r>
          </w:p>
        </w:tc>
        <w:tc>
          <w:tcPr>
            <w:tcW w:w="1055" w:type="dxa"/>
            <w:noWrap/>
            <w:hideMark/>
          </w:tcPr>
          <w:p w:rsidR="00BB6C7A" w:rsidRPr="005B0796" w:rsidRDefault="00BB6C7A" w:rsidP="00C220F4">
            <w:pPr>
              <w:pStyle w:val="TableText"/>
              <w:jc w:val="right"/>
              <w:rPr>
                <w:lang w:eastAsia="en-AU"/>
              </w:rPr>
            </w:pPr>
            <w:r w:rsidRPr="005B0796">
              <w:t>156</w:t>
            </w:r>
          </w:p>
        </w:tc>
        <w:tc>
          <w:tcPr>
            <w:tcW w:w="1057" w:type="dxa"/>
            <w:hideMark/>
          </w:tcPr>
          <w:p w:rsidR="00BB6C7A" w:rsidRPr="005B0796" w:rsidRDefault="00BB6C7A" w:rsidP="00C220F4">
            <w:pPr>
              <w:pStyle w:val="TableText"/>
              <w:jc w:val="right"/>
              <w:rPr>
                <w:lang w:eastAsia="en-AU"/>
              </w:rPr>
            </w:pPr>
            <w:r w:rsidRPr="005B0796">
              <w:t>3.2</w:t>
            </w:r>
          </w:p>
        </w:tc>
        <w:tc>
          <w:tcPr>
            <w:tcW w:w="1055" w:type="dxa"/>
            <w:hideMark/>
          </w:tcPr>
          <w:p w:rsidR="00BB6C7A" w:rsidRPr="005B0796" w:rsidRDefault="00BB6C7A" w:rsidP="00C220F4">
            <w:pPr>
              <w:pStyle w:val="TableText"/>
              <w:jc w:val="right"/>
              <w:rPr>
                <w:lang w:eastAsia="en-AU"/>
              </w:rPr>
            </w:pPr>
            <w:r w:rsidRPr="005B0796">
              <w:t>2.0, 5.0</w:t>
            </w:r>
          </w:p>
        </w:tc>
        <w:tc>
          <w:tcPr>
            <w:tcW w:w="1055" w:type="dxa"/>
            <w:hideMark/>
          </w:tcPr>
          <w:p w:rsidR="00BB6C7A" w:rsidRPr="005B0796" w:rsidRDefault="00BB6C7A" w:rsidP="00C220F4">
            <w:pPr>
              <w:pStyle w:val="TableText"/>
              <w:jc w:val="right"/>
              <w:rPr>
                <w:lang w:eastAsia="en-AU"/>
              </w:rPr>
            </w:pPr>
            <w:r w:rsidRPr="005B0796">
              <w:t>94</w:t>
            </w:r>
          </w:p>
        </w:tc>
        <w:tc>
          <w:tcPr>
            <w:tcW w:w="1055" w:type="dxa"/>
            <w:hideMark/>
          </w:tcPr>
          <w:p w:rsidR="00BB6C7A" w:rsidRPr="005B0796" w:rsidRDefault="00BB6C7A" w:rsidP="00C220F4">
            <w:pPr>
              <w:pStyle w:val="TableText"/>
              <w:jc w:val="right"/>
              <w:rPr>
                <w:lang w:eastAsia="en-AU"/>
              </w:rPr>
            </w:pPr>
            <w:r w:rsidRPr="005B0796">
              <w:t>1.9</w:t>
            </w:r>
          </w:p>
        </w:tc>
        <w:tc>
          <w:tcPr>
            <w:tcW w:w="1057" w:type="dxa"/>
            <w:hideMark/>
          </w:tcPr>
          <w:p w:rsidR="00BB6C7A" w:rsidRPr="005B0796" w:rsidRDefault="00BB6C7A" w:rsidP="00C220F4">
            <w:pPr>
              <w:pStyle w:val="TableText"/>
              <w:jc w:val="right"/>
              <w:rPr>
                <w:lang w:eastAsia="en-AU"/>
              </w:rPr>
            </w:pPr>
            <w:r w:rsidRPr="005B0796">
              <w:t>1.1, 3.4</w:t>
            </w:r>
          </w:p>
        </w:tc>
      </w:tr>
      <w:tr w:rsidR="00BB6C7A" w:rsidRPr="005B0796" w:rsidTr="00BB6C7A">
        <w:trPr>
          <w:cnfStyle w:val="000000100000" w:firstRow="0" w:lastRow="0" w:firstColumn="0" w:lastColumn="0" w:oddVBand="0" w:evenVBand="0" w:oddHBand="1" w:evenHBand="0" w:firstRowFirstColumn="0" w:firstRowLastColumn="0" w:lastRowFirstColumn="0" w:lastRowLastColumn="0"/>
        </w:trPr>
        <w:tc>
          <w:tcPr>
            <w:tcW w:w="2006" w:type="dxa"/>
            <w:noWrap/>
            <w:hideMark/>
          </w:tcPr>
          <w:p w:rsidR="00BB6C7A" w:rsidRPr="005B0796" w:rsidRDefault="00BB6C7A" w:rsidP="00C220F4">
            <w:pPr>
              <w:pStyle w:val="TableText"/>
              <w:rPr>
                <w:lang w:eastAsia="en-AU"/>
              </w:rPr>
            </w:pPr>
            <w:r w:rsidRPr="005B0796">
              <w:t>Any suicidality*</w:t>
            </w:r>
          </w:p>
        </w:tc>
        <w:tc>
          <w:tcPr>
            <w:tcW w:w="1056" w:type="dxa"/>
            <w:noWrap/>
            <w:hideMark/>
          </w:tcPr>
          <w:p w:rsidR="00BB6C7A" w:rsidRPr="005B0796" w:rsidRDefault="00BB6C7A" w:rsidP="00C220F4">
            <w:pPr>
              <w:pStyle w:val="TableText"/>
              <w:jc w:val="right"/>
              <w:rPr>
                <w:lang w:eastAsia="en-AU"/>
              </w:rPr>
            </w:pPr>
            <w:r w:rsidRPr="005B0796">
              <w:t>271</w:t>
            </w:r>
          </w:p>
        </w:tc>
        <w:tc>
          <w:tcPr>
            <w:tcW w:w="1055" w:type="dxa"/>
            <w:hideMark/>
          </w:tcPr>
          <w:p w:rsidR="00BB6C7A" w:rsidRPr="005B0796" w:rsidRDefault="00BB6C7A" w:rsidP="00C220F4">
            <w:pPr>
              <w:pStyle w:val="TableText"/>
              <w:jc w:val="right"/>
              <w:rPr>
                <w:lang w:eastAsia="en-AU"/>
              </w:rPr>
            </w:pPr>
            <w:r w:rsidRPr="005B0796">
              <w:t>13.9</w:t>
            </w:r>
          </w:p>
        </w:tc>
        <w:tc>
          <w:tcPr>
            <w:tcW w:w="1055" w:type="dxa"/>
            <w:hideMark/>
          </w:tcPr>
          <w:p w:rsidR="00BB6C7A" w:rsidRPr="005B0796" w:rsidRDefault="00BB6C7A" w:rsidP="00C220F4">
            <w:pPr>
              <w:pStyle w:val="TableText"/>
              <w:jc w:val="right"/>
              <w:rPr>
                <w:lang w:eastAsia="en-AU"/>
              </w:rPr>
            </w:pPr>
            <w:r w:rsidRPr="005B0796">
              <w:t>10.6, 18.2</w:t>
            </w:r>
          </w:p>
        </w:tc>
        <w:tc>
          <w:tcPr>
            <w:tcW w:w="1055" w:type="dxa"/>
            <w:noWrap/>
            <w:hideMark/>
          </w:tcPr>
          <w:p w:rsidR="00BB6C7A" w:rsidRPr="005B0796" w:rsidRDefault="00BB6C7A" w:rsidP="00C220F4">
            <w:pPr>
              <w:pStyle w:val="TableText"/>
              <w:jc w:val="right"/>
              <w:rPr>
                <w:lang w:eastAsia="en-AU"/>
              </w:rPr>
            </w:pPr>
            <w:r w:rsidRPr="005B0796">
              <w:t>1038</w:t>
            </w:r>
          </w:p>
        </w:tc>
        <w:tc>
          <w:tcPr>
            <w:tcW w:w="1057" w:type="dxa"/>
            <w:hideMark/>
          </w:tcPr>
          <w:p w:rsidR="00BB6C7A" w:rsidRPr="005B0796" w:rsidRDefault="00BB6C7A" w:rsidP="00C220F4">
            <w:pPr>
              <w:pStyle w:val="TableText"/>
              <w:jc w:val="right"/>
              <w:rPr>
                <w:lang w:eastAsia="en-AU"/>
              </w:rPr>
            </w:pPr>
            <w:r w:rsidRPr="005B0796">
              <w:t>21.3</w:t>
            </w:r>
          </w:p>
        </w:tc>
        <w:tc>
          <w:tcPr>
            <w:tcW w:w="1055" w:type="dxa"/>
            <w:hideMark/>
          </w:tcPr>
          <w:p w:rsidR="00BB6C7A" w:rsidRPr="005B0796" w:rsidRDefault="00BB6C7A" w:rsidP="00C220F4">
            <w:pPr>
              <w:pStyle w:val="TableText"/>
              <w:jc w:val="right"/>
              <w:rPr>
                <w:lang w:eastAsia="en-AU"/>
              </w:rPr>
            </w:pPr>
            <w:r w:rsidRPr="005B0796">
              <w:t>18.2, 24.8</w:t>
            </w:r>
          </w:p>
        </w:tc>
        <w:tc>
          <w:tcPr>
            <w:tcW w:w="1055" w:type="dxa"/>
            <w:hideMark/>
          </w:tcPr>
          <w:p w:rsidR="00BB6C7A" w:rsidRPr="005B0796" w:rsidRDefault="00BB6C7A" w:rsidP="00C220F4">
            <w:pPr>
              <w:pStyle w:val="TableText"/>
              <w:jc w:val="right"/>
              <w:rPr>
                <w:lang w:eastAsia="en-AU"/>
              </w:rPr>
            </w:pPr>
            <w:r w:rsidRPr="005B0796">
              <w:t>1007</w:t>
            </w:r>
          </w:p>
        </w:tc>
        <w:tc>
          <w:tcPr>
            <w:tcW w:w="1055" w:type="dxa"/>
            <w:hideMark/>
          </w:tcPr>
          <w:p w:rsidR="00BB6C7A" w:rsidRPr="005B0796" w:rsidRDefault="00BB6C7A" w:rsidP="00C220F4">
            <w:pPr>
              <w:pStyle w:val="TableText"/>
              <w:jc w:val="right"/>
              <w:rPr>
                <w:lang w:eastAsia="en-AU"/>
              </w:rPr>
            </w:pPr>
            <w:r w:rsidRPr="005B0796">
              <w:t>20.4</w:t>
            </w:r>
          </w:p>
        </w:tc>
        <w:tc>
          <w:tcPr>
            <w:tcW w:w="1057" w:type="dxa"/>
            <w:hideMark/>
          </w:tcPr>
          <w:p w:rsidR="00BB6C7A" w:rsidRPr="005B0796" w:rsidRDefault="00BB6C7A" w:rsidP="00C220F4">
            <w:pPr>
              <w:pStyle w:val="TableText"/>
              <w:jc w:val="right"/>
              <w:rPr>
                <w:lang w:eastAsia="en-AU"/>
              </w:rPr>
            </w:pPr>
            <w:r w:rsidRPr="005B0796">
              <w:t>17.2, 23.9</w:t>
            </w:r>
          </w:p>
        </w:tc>
      </w:tr>
    </w:tbl>
    <w:p w:rsidR="00BB6C7A" w:rsidRPr="005B0796" w:rsidRDefault="00BB6C7A" w:rsidP="00BB6C7A">
      <w:pPr>
        <w:pStyle w:val="TableText"/>
      </w:pPr>
    </w:p>
    <w:tbl>
      <w:tblPr>
        <w:tblStyle w:val="TWRPTable"/>
        <w:tblW w:w="5000" w:type="pct"/>
        <w:tblLayout w:type="fixed"/>
        <w:tblLook w:val="04A0" w:firstRow="1" w:lastRow="0" w:firstColumn="1" w:lastColumn="0" w:noHBand="0" w:noVBand="1"/>
        <w:tblDescription w:val="Table 4.48 (cont) Estimated prevalence of suicidality, by number of years since transition from the Regular ADF into Transitioned ADF"/>
      </w:tblPr>
      <w:tblGrid>
        <w:gridCol w:w="2006"/>
        <w:gridCol w:w="1056"/>
        <w:gridCol w:w="1055"/>
        <w:gridCol w:w="1055"/>
        <w:gridCol w:w="1055"/>
        <w:gridCol w:w="1057"/>
        <w:gridCol w:w="1055"/>
        <w:gridCol w:w="1055"/>
        <w:gridCol w:w="1055"/>
        <w:gridCol w:w="1057"/>
      </w:tblGrid>
      <w:tr w:rsidR="00BB6C7A"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006" w:type="dxa"/>
            <w:vMerge w:val="restart"/>
            <w:tcBorders>
              <w:top w:val="single" w:sz="4" w:space="0" w:color="000000"/>
            </w:tcBorders>
          </w:tcPr>
          <w:p w:rsidR="00BB6C7A" w:rsidRPr="005B0796" w:rsidRDefault="00BB6C7A" w:rsidP="00BB6C7A">
            <w:pPr>
              <w:pStyle w:val="TableText"/>
              <w:rPr>
                <w:lang w:eastAsia="en-AU"/>
              </w:rPr>
            </w:pPr>
            <w:r w:rsidRPr="005B0796">
              <w:rPr>
                <w:lang w:eastAsia="en-AU"/>
              </w:rPr>
              <w:t>Suicidality</w:t>
            </w:r>
          </w:p>
        </w:tc>
        <w:tc>
          <w:tcPr>
            <w:tcW w:w="9500" w:type="dxa"/>
            <w:gridSpan w:val="9"/>
            <w:noWrap/>
          </w:tcPr>
          <w:p w:rsidR="00BB6C7A" w:rsidRPr="005B0796" w:rsidRDefault="00BB6C7A" w:rsidP="00BB6C7A">
            <w:pPr>
              <w:pStyle w:val="TableText"/>
              <w:jc w:val="center"/>
              <w:rPr>
                <w:lang w:eastAsia="en-AU"/>
              </w:rPr>
            </w:pPr>
            <w:r w:rsidRPr="005B0796">
              <w:t>Years since transition</w:t>
            </w:r>
          </w:p>
        </w:tc>
      </w:tr>
      <w:tr w:rsidR="00BB6C7A"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006" w:type="dxa"/>
            <w:vMerge/>
            <w:tcBorders>
              <w:top w:val="single" w:sz="4" w:space="0" w:color="000000"/>
            </w:tcBorders>
            <w:hideMark/>
          </w:tcPr>
          <w:p w:rsidR="00BB6C7A" w:rsidRPr="005B0796" w:rsidRDefault="00BB6C7A" w:rsidP="00BB6C7A">
            <w:pPr>
              <w:pStyle w:val="TableText"/>
              <w:rPr>
                <w:lang w:eastAsia="en-AU"/>
              </w:rPr>
            </w:pPr>
          </w:p>
        </w:tc>
        <w:tc>
          <w:tcPr>
            <w:tcW w:w="3166" w:type="dxa"/>
            <w:gridSpan w:val="3"/>
            <w:noWrap/>
            <w:hideMark/>
          </w:tcPr>
          <w:p w:rsidR="00BB6C7A" w:rsidRPr="005B0796" w:rsidRDefault="00BB6C7A" w:rsidP="00BB6C7A">
            <w:pPr>
              <w:pStyle w:val="TableText"/>
              <w:jc w:val="center"/>
              <w:rPr>
                <w:lang w:eastAsia="en-AU"/>
              </w:rPr>
            </w:pPr>
            <w:r w:rsidRPr="005B0796">
              <w:rPr>
                <w:lang w:eastAsia="en-AU"/>
              </w:rPr>
              <w:t>3 (n = 5233)</w:t>
            </w:r>
          </w:p>
        </w:tc>
        <w:tc>
          <w:tcPr>
            <w:tcW w:w="3167" w:type="dxa"/>
            <w:gridSpan w:val="3"/>
          </w:tcPr>
          <w:p w:rsidR="00BB6C7A" w:rsidRPr="005B0796" w:rsidRDefault="00BB6C7A" w:rsidP="00BB6C7A">
            <w:pPr>
              <w:pStyle w:val="TableText"/>
              <w:jc w:val="center"/>
              <w:rPr>
                <w:lang w:eastAsia="en-AU"/>
              </w:rPr>
            </w:pPr>
            <w:r w:rsidRPr="005B0796">
              <w:rPr>
                <w:lang w:eastAsia="en-AU"/>
              </w:rPr>
              <w:t>4 (n = 3582)</w:t>
            </w:r>
          </w:p>
        </w:tc>
        <w:tc>
          <w:tcPr>
            <w:tcW w:w="3167" w:type="dxa"/>
            <w:gridSpan w:val="3"/>
          </w:tcPr>
          <w:p w:rsidR="00BB6C7A" w:rsidRPr="005B0796" w:rsidRDefault="00BB6C7A" w:rsidP="00BB6C7A">
            <w:pPr>
              <w:pStyle w:val="TableText"/>
              <w:jc w:val="center"/>
              <w:rPr>
                <w:lang w:eastAsia="en-AU"/>
              </w:rPr>
            </w:pPr>
            <w:r w:rsidRPr="005B0796">
              <w:rPr>
                <w:lang w:eastAsia="en-AU"/>
              </w:rPr>
              <w:t>5 (n = 2785)</w:t>
            </w:r>
          </w:p>
        </w:tc>
      </w:tr>
      <w:tr w:rsidR="00BB6C7A" w:rsidRPr="005B0796" w:rsidTr="00BB6C7A">
        <w:trPr>
          <w:cnfStyle w:val="100000000000" w:firstRow="1" w:lastRow="0" w:firstColumn="0" w:lastColumn="0" w:oddVBand="0" w:evenVBand="0" w:oddHBand="0" w:evenHBand="0" w:firstRowFirstColumn="0" w:firstRowLastColumn="0" w:lastRowFirstColumn="0" w:lastRowLastColumn="0"/>
          <w:tblHeader/>
        </w:trPr>
        <w:tc>
          <w:tcPr>
            <w:tcW w:w="2006" w:type="dxa"/>
            <w:vMerge/>
            <w:tcBorders>
              <w:top w:val="single" w:sz="4" w:space="0" w:color="000000"/>
            </w:tcBorders>
            <w:noWrap/>
            <w:hideMark/>
          </w:tcPr>
          <w:p w:rsidR="00BB6C7A" w:rsidRPr="005B0796" w:rsidRDefault="00BB6C7A" w:rsidP="00BB6C7A">
            <w:pPr>
              <w:pStyle w:val="TableText"/>
              <w:rPr>
                <w:lang w:eastAsia="en-AU"/>
              </w:rPr>
            </w:pPr>
          </w:p>
        </w:tc>
        <w:tc>
          <w:tcPr>
            <w:tcW w:w="1056" w:type="dxa"/>
            <w:noWrap/>
            <w:hideMark/>
          </w:tcPr>
          <w:p w:rsidR="00BB6C7A" w:rsidRPr="005B0796" w:rsidRDefault="00BB6C7A" w:rsidP="00BB6C7A">
            <w:pPr>
              <w:pStyle w:val="TableText"/>
              <w:jc w:val="right"/>
              <w:rPr>
                <w:lang w:eastAsia="en-AU"/>
              </w:rPr>
            </w:pPr>
            <w:r w:rsidRPr="005B0796">
              <w:rPr>
                <w:lang w:eastAsia="en-AU"/>
              </w:rPr>
              <w:t>Weighted n</w:t>
            </w:r>
          </w:p>
        </w:tc>
        <w:tc>
          <w:tcPr>
            <w:tcW w:w="1055" w:type="dxa"/>
            <w:hideMark/>
          </w:tcPr>
          <w:p w:rsidR="00BB6C7A" w:rsidRPr="005B0796" w:rsidRDefault="00BB6C7A" w:rsidP="00BB6C7A">
            <w:pPr>
              <w:pStyle w:val="TableText"/>
              <w:jc w:val="right"/>
              <w:rPr>
                <w:lang w:eastAsia="en-AU"/>
              </w:rPr>
            </w:pPr>
            <w:r w:rsidRPr="005B0796">
              <w:t>%</w:t>
            </w:r>
          </w:p>
        </w:tc>
        <w:tc>
          <w:tcPr>
            <w:tcW w:w="1055" w:type="dxa"/>
            <w:hideMark/>
          </w:tcPr>
          <w:p w:rsidR="00BB6C7A" w:rsidRPr="005B0796" w:rsidRDefault="00BB6C7A" w:rsidP="00BB6C7A">
            <w:pPr>
              <w:pStyle w:val="TableText"/>
              <w:jc w:val="right"/>
              <w:rPr>
                <w:lang w:eastAsia="en-AU"/>
              </w:rPr>
            </w:pPr>
            <w:r w:rsidRPr="005B0796">
              <w:t xml:space="preserve"> 95% CI</w:t>
            </w:r>
          </w:p>
        </w:tc>
        <w:tc>
          <w:tcPr>
            <w:tcW w:w="1055" w:type="dxa"/>
          </w:tcPr>
          <w:p w:rsidR="00BB6C7A" w:rsidRPr="005B0796" w:rsidRDefault="00BB6C7A" w:rsidP="00BB6C7A">
            <w:pPr>
              <w:pStyle w:val="TableText"/>
              <w:jc w:val="right"/>
              <w:rPr>
                <w:lang w:eastAsia="en-AU"/>
              </w:rPr>
            </w:pPr>
            <w:r w:rsidRPr="005B0796">
              <w:rPr>
                <w:lang w:eastAsia="en-AU"/>
              </w:rPr>
              <w:t>Weighted n</w:t>
            </w:r>
          </w:p>
        </w:tc>
        <w:tc>
          <w:tcPr>
            <w:tcW w:w="1057" w:type="dxa"/>
          </w:tcPr>
          <w:p w:rsidR="00BB6C7A" w:rsidRPr="005B0796" w:rsidRDefault="00BB6C7A" w:rsidP="00BB6C7A">
            <w:pPr>
              <w:pStyle w:val="TableText"/>
              <w:jc w:val="right"/>
              <w:rPr>
                <w:lang w:eastAsia="en-AU"/>
              </w:rPr>
            </w:pPr>
            <w:r w:rsidRPr="005B0796">
              <w:t>%</w:t>
            </w:r>
          </w:p>
        </w:tc>
        <w:tc>
          <w:tcPr>
            <w:tcW w:w="1055" w:type="dxa"/>
          </w:tcPr>
          <w:p w:rsidR="00BB6C7A" w:rsidRPr="005B0796" w:rsidRDefault="00BB6C7A" w:rsidP="00BB6C7A">
            <w:pPr>
              <w:pStyle w:val="TableText"/>
              <w:jc w:val="right"/>
              <w:rPr>
                <w:lang w:eastAsia="en-AU"/>
              </w:rPr>
            </w:pPr>
            <w:r w:rsidRPr="005B0796">
              <w:t xml:space="preserve"> 95% CI</w:t>
            </w:r>
          </w:p>
        </w:tc>
        <w:tc>
          <w:tcPr>
            <w:tcW w:w="1055" w:type="dxa"/>
          </w:tcPr>
          <w:p w:rsidR="00BB6C7A" w:rsidRPr="005B0796" w:rsidRDefault="00BB6C7A" w:rsidP="00BB6C7A">
            <w:pPr>
              <w:pStyle w:val="TableText"/>
              <w:jc w:val="right"/>
              <w:rPr>
                <w:lang w:eastAsia="en-AU"/>
              </w:rPr>
            </w:pPr>
            <w:r w:rsidRPr="005B0796">
              <w:rPr>
                <w:lang w:eastAsia="en-AU"/>
              </w:rPr>
              <w:t>Weighted n</w:t>
            </w:r>
          </w:p>
        </w:tc>
        <w:tc>
          <w:tcPr>
            <w:tcW w:w="1055" w:type="dxa"/>
          </w:tcPr>
          <w:p w:rsidR="00BB6C7A" w:rsidRPr="005B0796" w:rsidRDefault="00BB6C7A" w:rsidP="00BB6C7A">
            <w:pPr>
              <w:pStyle w:val="TableText"/>
              <w:jc w:val="right"/>
              <w:rPr>
                <w:lang w:eastAsia="en-AU"/>
              </w:rPr>
            </w:pPr>
            <w:r w:rsidRPr="005B0796">
              <w:t>%</w:t>
            </w:r>
          </w:p>
        </w:tc>
        <w:tc>
          <w:tcPr>
            <w:tcW w:w="1057" w:type="dxa"/>
          </w:tcPr>
          <w:p w:rsidR="00BB6C7A" w:rsidRPr="005B0796" w:rsidRDefault="00BB6C7A" w:rsidP="00BB6C7A">
            <w:pPr>
              <w:pStyle w:val="TableText"/>
              <w:jc w:val="right"/>
              <w:rPr>
                <w:lang w:eastAsia="en-AU"/>
              </w:rPr>
            </w:pPr>
            <w:r w:rsidRPr="005B0796">
              <w:t xml:space="preserve"> 95% CI</w:t>
            </w:r>
          </w:p>
        </w:tc>
      </w:tr>
      <w:tr w:rsidR="00BB6C7A" w:rsidRPr="005B0796" w:rsidTr="00BB6C7A">
        <w:trPr>
          <w:cnfStyle w:val="000000100000" w:firstRow="0" w:lastRow="0" w:firstColumn="0" w:lastColumn="0" w:oddVBand="0" w:evenVBand="0" w:oddHBand="1" w:evenHBand="0" w:firstRowFirstColumn="0" w:firstRowLastColumn="0" w:lastRowFirstColumn="0" w:lastRowLastColumn="0"/>
        </w:trPr>
        <w:tc>
          <w:tcPr>
            <w:tcW w:w="2006" w:type="dxa"/>
            <w:hideMark/>
          </w:tcPr>
          <w:p w:rsidR="00BB6C7A" w:rsidRPr="005B0796" w:rsidRDefault="00BB6C7A" w:rsidP="00BB6C7A">
            <w:pPr>
              <w:pStyle w:val="TableText"/>
              <w:rPr>
                <w:lang w:eastAsia="en-AU"/>
              </w:rPr>
            </w:pPr>
            <w:r w:rsidRPr="005B0796">
              <w:t>Felt life not worth living</w:t>
            </w:r>
          </w:p>
        </w:tc>
        <w:tc>
          <w:tcPr>
            <w:tcW w:w="1056" w:type="dxa"/>
            <w:hideMark/>
          </w:tcPr>
          <w:p w:rsidR="00BB6C7A" w:rsidRPr="005B0796" w:rsidRDefault="00BB6C7A" w:rsidP="00BB6C7A">
            <w:pPr>
              <w:pStyle w:val="TableText"/>
              <w:jc w:val="right"/>
              <w:rPr>
                <w:lang w:eastAsia="en-AU"/>
              </w:rPr>
            </w:pPr>
            <w:r w:rsidRPr="005B0796">
              <w:t>1759</w:t>
            </w:r>
          </w:p>
        </w:tc>
        <w:tc>
          <w:tcPr>
            <w:tcW w:w="1055" w:type="dxa"/>
            <w:hideMark/>
          </w:tcPr>
          <w:p w:rsidR="00BB6C7A" w:rsidRPr="005B0796" w:rsidRDefault="00BB6C7A" w:rsidP="00BB6C7A">
            <w:pPr>
              <w:pStyle w:val="TableText"/>
              <w:jc w:val="right"/>
              <w:rPr>
                <w:lang w:eastAsia="en-AU"/>
              </w:rPr>
            </w:pPr>
            <w:r w:rsidRPr="005B0796">
              <w:t>33.6</w:t>
            </w:r>
          </w:p>
        </w:tc>
        <w:tc>
          <w:tcPr>
            <w:tcW w:w="1055" w:type="dxa"/>
            <w:hideMark/>
          </w:tcPr>
          <w:p w:rsidR="00BB6C7A" w:rsidRPr="005B0796" w:rsidRDefault="00BB6C7A" w:rsidP="00BB6C7A">
            <w:pPr>
              <w:pStyle w:val="TableText"/>
              <w:jc w:val="right"/>
              <w:rPr>
                <w:lang w:eastAsia="en-AU"/>
              </w:rPr>
            </w:pPr>
            <w:r w:rsidRPr="005B0796">
              <w:t>29.8, 37.7</w:t>
            </w:r>
          </w:p>
        </w:tc>
        <w:tc>
          <w:tcPr>
            <w:tcW w:w="1055" w:type="dxa"/>
          </w:tcPr>
          <w:p w:rsidR="00BB6C7A" w:rsidRPr="005B0796" w:rsidRDefault="00BB6C7A" w:rsidP="00BB6C7A">
            <w:pPr>
              <w:pStyle w:val="TableText"/>
              <w:jc w:val="right"/>
              <w:rPr>
                <w:lang w:eastAsia="en-AU"/>
              </w:rPr>
            </w:pPr>
            <w:r w:rsidRPr="005B0796">
              <w:t>1057</w:t>
            </w:r>
          </w:p>
        </w:tc>
        <w:tc>
          <w:tcPr>
            <w:tcW w:w="1057" w:type="dxa"/>
          </w:tcPr>
          <w:p w:rsidR="00BB6C7A" w:rsidRPr="005B0796" w:rsidRDefault="00BB6C7A" w:rsidP="00BB6C7A">
            <w:pPr>
              <w:pStyle w:val="TableText"/>
              <w:jc w:val="right"/>
              <w:rPr>
                <w:lang w:eastAsia="en-AU"/>
              </w:rPr>
            </w:pPr>
            <w:r w:rsidRPr="005B0796">
              <w:t>29.5</w:t>
            </w:r>
          </w:p>
        </w:tc>
        <w:tc>
          <w:tcPr>
            <w:tcW w:w="1055" w:type="dxa"/>
          </w:tcPr>
          <w:p w:rsidR="00BB6C7A" w:rsidRPr="005B0796" w:rsidRDefault="00BB6C7A" w:rsidP="00BB6C7A">
            <w:pPr>
              <w:pStyle w:val="TableText"/>
              <w:jc w:val="right"/>
              <w:rPr>
                <w:lang w:eastAsia="en-AU"/>
              </w:rPr>
            </w:pPr>
            <w:r w:rsidRPr="005B0796">
              <w:t>25.5, 33.9</w:t>
            </w:r>
          </w:p>
        </w:tc>
        <w:tc>
          <w:tcPr>
            <w:tcW w:w="1055" w:type="dxa"/>
          </w:tcPr>
          <w:p w:rsidR="00BB6C7A" w:rsidRPr="005B0796" w:rsidRDefault="00BB6C7A" w:rsidP="00BB6C7A">
            <w:pPr>
              <w:pStyle w:val="TableText"/>
              <w:jc w:val="right"/>
              <w:rPr>
                <w:lang w:eastAsia="en-AU"/>
              </w:rPr>
            </w:pPr>
            <w:r w:rsidRPr="005B0796">
              <w:t>790</w:t>
            </w:r>
          </w:p>
        </w:tc>
        <w:tc>
          <w:tcPr>
            <w:tcW w:w="1055" w:type="dxa"/>
          </w:tcPr>
          <w:p w:rsidR="00BB6C7A" w:rsidRPr="005B0796" w:rsidRDefault="00BB6C7A" w:rsidP="00BB6C7A">
            <w:pPr>
              <w:pStyle w:val="TableText"/>
              <w:jc w:val="right"/>
              <w:rPr>
                <w:lang w:eastAsia="en-AU"/>
              </w:rPr>
            </w:pPr>
            <w:r w:rsidRPr="005B0796">
              <w:t>28.4</w:t>
            </w:r>
          </w:p>
        </w:tc>
        <w:tc>
          <w:tcPr>
            <w:tcW w:w="1057" w:type="dxa"/>
          </w:tcPr>
          <w:p w:rsidR="00BB6C7A" w:rsidRPr="005B0796" w:rsidRDefault="00BB6C7A" w:rsidP="00BB6C7A">
            <w:pPr>
              <w:pStyle w:val="TableText"/>
              <w:jc w:val="right"/>
              <w:rPr>
                <w:lang w:eastAsia="en-AU"/>
              </w:rPr>
            </w:pPr>
            <w:r w:rsidRPr="005B0796">
              <w:t>23.9, 33.4</w:t>
            </w:r>
          </w:p>
        </w:tc>
      </w:tr>
      <w:tr w:rsidR="00BB6C7A" w:rsidRPr="005B0796" w:rsidTr="00BB6C7A">
        <w:tc>
          <w:tcPr>
            <w:tcW w:w="2006" w:type="dxa"/>
            <w:hideMark/>
          </w:tcPr>
          <w:p w:rsidR="00BB6C7A" w:rsidRPr="005B0796" w:rsidRDefault="00BB6C7A" w:rsidP="00BB6C7A">
            <w:pPr>
              <w:pStyle w:val="TableText"/>
              <w:rPr>
                <w:lang w:eastAsia="en-AU"/>
              </w:rPr>
            </w:pPr>
            <w:r w:rsidRPr="005B0796">
              <w:t>Felt so low thought about committing suicide</w:t>
            </w:r>
          </w:p>
        </w:tc>
        <w:tc>
          <w:tcPr>
            <w:tcW w:w="1056" w:type="dxa"/>
            <w:hideMark/>
          </w:tcPr>
          <w:p w:rsidR="00BB6C7A" w:rsidRPr="005B0796" w:rsidRDefault="00BB6C7A" w:rsidP="00BB6C7A">
            <w:pPr>
              <w:pStyle w:val="TableText"/>
              <w:jc w:val="right"/>
              <w:rPr>
                <w:lang w:eastAsia="en-AU"/>
              </w:rPr>
            </w:pPr>
            <w:r w:rsidRPr="005B0796">
              <w:t>1383</w:t>
            </w:r>
          </w:p>
        </w:tc>
        <w:tc>
          <w:tcPr>
            <w:tcW w:w="1055" w:type="dxa"/>
            <w:hideMark/>
          </w:tcPr>
          <w:p w:rsidR="00BB6C7A" w:rsidRPr="005B0796" w:rsidRDefault="00BB6C7A" w:rsidP="00BB6C7A">
            <w:pPr>
              <w:pStyle w:val="TableText"/>
              <w:jc w:val="right"/>
              <w:rPr>
                <w:lang w:eastAsia="en-AU"/>
              </w:rPr>
            </w:pPr>
            <w:r w:rsidRPr="005B0796">
              <w:t>26.4</w:t>
            </w:r>
          </w:p>
        </w:tc>
        <w:tc>
          <w:tcPr>
            <w:tcW w:w="1055" w:type="dxa"/>
            <w:hideMark/>
          </w:tcPr>
          <w:p w:rsidR="00BB6C7A" w:rsidRPr="005B0796" w:rsidRDefault="00BB6C7A" w:rsidP="00BB6C7A">
            <w:pPr>
              <w:pStyle w:val="TableText"/>
              <w:jc w:val="right"/>
              <w:rPr>
                <w:lang w:eastAsia="en-AU"/>
              </w:rPr>
            </w:pPr>
            <w:r w:rsidRPr="005B0796">
              <w:t>22.8, 30.4</w:t>
            </w:r>
          </w:p>
        </w:tc>
        <w:tc>
          <w:tcPr>
            <w:tcW w:w="1055" w:type="dxa"/>
          </w:tcPr>
          <w:p w:rsidR="00BB6C7A" w:rsidRPr="005B0796" w:rsidRDefault="00BB6C7A" w:rsidP="00BB6C7A">
            <w:pPr>
              <w:pStyle w:val="TableText"/>
              <w:jc w:val="right"/>
              <w:rPr>
                <w:lang w:eastAsia="en-AU"/>
              </w:rPr>
            </w:pPr>
            <w:r w:rsidRPr="005B0796">
              <w:t>808</w:t>
            </w:r>
          </w:p>
        </w:tc>
        <w:tc>
          <w:tcPr>
            <w:tcW w:w="1057" w:type="dxa"/>
          </w:tcPr>
          <w:p w:rsidR="00BB6C7A" w:rsidRPr="005B0796" w:rsidRDefault="00BB6C7A" w:rsidP="00BB6C7A">
            <w:pPr>
              <w:pStyle w:val="TableText"/>
              <w:jc w:val="right"/>
              <w:rPr>
                <w:lang w:eastAsia="en-AU"/>
              </w:rPr>
            </w:pPr>
            <w:r w:rsidRPr="005B0796">
              <w:t>22.6</w:t>
            </w:r>
          </w:p>
        </w:tc>
        <w:tc>
          <w:tcPr>
            <w:tcW w:w="1055" w:type="dxa"/>
          </w:tcPr>
          <w:p w:rsidR="00BB6C7A" w:rsidRPr="005B0796" w:rsidRDefault="00BB6C7A" w:rsidP="00BB6C7A">
            <w:pPr>
              <w:pStyle w:val="TableText"/>
              <w:jc w:val="right"/>
              <w:rPr>
                <w:lang w:eastAsia="en-AU"/>
              </w:rPr>
            </w:pPr>
            <w:r w:rsidRPr="005B0796">
              <w:t>18.8, 26.8</w:t>
            </w:r>
          </w:p>
        </w:tc>
        <w:tc>
          <w:tcPr>
            <w:tcW w:w="1055" w:type="dxa"/>
          </w:tcPr>
          <w:p w:rsidR="00BB6C7A" w:rsidRPr="005B0796" w:rsidRDefault="00BB6C7A" w:rsidP="00BB6C7A">
            <w:pPr>
              <w:pStyle w:val="TableText"/>
              <w:jc w:val="right"/>
              <w:rPr>
                <w:lang w:eastAsia="en-AU"/>
              </w:rPr>
            </w:pPr>
            <w:r w:rsidRPr="005B0796">
              <w:t>589</w:t>
            </w:r>
          </w:p>
        </w:tc>
        <w:tc>
          <w:tcPr>
            <w:tcW w:w="1055" w:type="dxa"/>
          </w:tcPr>
          <w:p w:rsidR="00BB6C7A" w:rsidRPr="005B0796" w:rsidRDefault="00BB6C7A" w:rsidP="00BB6C7A">
            <w:pPr>
              <w:pStyle w:val="TableText"/>
              <w:jc w:val="right"/>
              <w:rPr>
                <w:lang w:eastAsia="en-AU"/>
              </w:rPr>
            </w:pPr>
            <w:r w:rsidRPr="005B0796">
              <w:t>21.2</w:t>
            </w:r>
          </w:p>
        </w:tc>
        <w:tc>
          <w:tcPr>
            <w:tcW w:w="1057" w:type="dxa"/>
          </w:tcPr>
          <w:p w:rsidR="00BB6C7A" w:rsidRPr="005B0796" w:rsidRDefault="00BB6C7A" w:rsidP="00BB6C7A">
            <w:pPr>
              <w:pStyle w:val="TableText"/>
              <w:jc w:val="right"/>
              <w:rPr>
                <w:lang w:eastAsia="en-AU"/>
              </w:rPr>
            </w:pPr>
            <w:r w:rsidRPr="005B0796">
              <w:t>17.1, 25.8</w:t>
            </w:r>
          </w:p>
        </w:tc>
      </w:tr>
      <w:tr w:rsidR="00BB6C7A" w:rsidRPr="005B0796" w:rsidTr="00BB6C7A">
        <w:trPr>
          <w:cnfStyle w:val="000000100000" w:firstRow="0" w:lastRow="0" w:firstColumn="0" w:lastColumn="0" w:oddVBand="0" w:evenVBand="0" w:oddHBand="1" w:evenHBand="0" w:firstRowFirstColumn="0" w:firstRowLastColumn="0" w:lastRowFirstColumn="0" w:lastRowLastColumn="0"/>
        </w:trPr>
        <w:tc>
          <w:tcPr>
            <w:tcW w:w="2006" w:type="dxa"/>
            <w:hideMark/>
          </w:tcPr>
          <w:p w:rsidR="00BB6C7A" w:rsidRPr="005B0796" w:rsidRDefault="00BB6C7A" w:rsidP="00BB6C7A">
            <w:pPr>
              <w:pStyle w:val="TableText"/>
              <w:rPr>
                <w:lang w:eastAsia="en-AU"/>
              </w:rPr>
            </w:pPr>
            <w:r w:rsidRPr="005B0796">
              <w:t>Made a suicide plan</w:t>
            </w:r>
          </w:p>
        </w:tc>
        <w:tc>
          <w:tcPr>
            <w:tcW w:w="1056" w:type="dxa"/>
            <w:hideMark/>
          </w:tcPr>
          <w:p w:rsidR="00BB6C7A" w:rsidRPr="005B0796" w:rsidRDefault="00BB6C7A" w:rsidP="00BB6C7A">
            <w:pPr>
              <w:pStyle w:val="TableText"/>
              <w:jc w:val="right"/>
              <w:rPr>
                <w:lang w:eastAsia="en-AU"/>
              </w:rPr>
            </w:pPr>
            <w:r w:rsidRPr="005B0796">
              <w:t>524</w:t>
            </w:r>
          </w:p>
        </w:tc>
        <w:tc>
          <w:tcPr>
            <w:tcW w:w="1055" w:type="dxa"/>
            <w:hideMark/>
          </w:tcPr>
          <w:p w:rsidR="00BB6C7A" w:rsidRPr="005B0796" w:rsidRDefault="00BB6C7A" w:rsidP="00BB6C7A">
            <w:pPr>
              <w:pStyle w:val="TableText"/>
              <w:jc w:val="right"/>
              <w:rPr>
                <w:lang w:eastAsia="en-AU"/>
              </w:rPr>
            </w:pPr>
            <w:r w:rsidRPr="005B0796">
              <w:t>10.0</w:t>
            </w:r>
          </w:p>
        </w:tc>
        <w:tc>
          <w:tcPr>
            <w:tcW w:w="1055" w:type="dxa"/>
            <w:hideMark/>
          </w:tcPr>
          <w:p w:rsidR="00BB6C7A" w:rsidRPr="005B0796" w:rsidRDefault="00BB6C7A" w:rsidP="00BB6C7A">
            <w:pPr>
              <w:pStyle w:val="TableText"/>
              <w:jc w:val="right"/>
              <w:rPr>
                <w:lang w:eastAsia="en-AU"/>
              </w:rPr>
            </w:pPr>
            <w:r w:rsidRPr="005B0796">
              <w:t>7.8, 12.8</w:t>
            </w:r>
          </w:p>
        </w:tc>
        <w:tc>
          <w:tcPr>
            <w:tcW w:w="1055" w:type="dxa"/>
          </w:tcPr>
          <w:p w:rsidR="00BB6C7A" w:rsidRPr="005B0796" w:rsidRDefault="00BB6C7A" w:rsidP="00BB6C7A">
            <w:pPr>
              <w:pStyle w:val="TableText"/>
              <w:jc w:val="right"/>
              <w:rPr>
                <w:lang w:eastAsia="en-AU"/>
              </w:rPr>
            </w:pPr>
            <w:r w:rsidRPr="005B0796">
              <w:t>241</w:t>
            </w:r>
          </w:p>
        </w:tc>
        <w:tc>
          <w:tcPr>
            <w:tcW w:w="1057" w:type="dxa"/>
          </w:tcPr>
          <w:p w:rsidR="00BB6C7A" w:rsidRPr="005B0796" w:rsidRDefault="00BB6C7A" w:rsidP="00BB6C7A">
            <w:pPr>
              <w:pStyle w:val="TableText"/>
              <w:jc w:val="right"/>
              <w:rPr>
                <w:lang w:eastAsia="en-AU"/>
              </w:rPr>
            </w:pPr>
            <w:r w:rsidRPr="005B0796">
              <w:t>6.7</w:t>
            </w:r>
          </w:p>
        </w:tc>
        <w:tc>
          <w:tcPr>
            <w:tcW w:w="1055" w:type="dxa"/>
          </w:tcPr>
          <w:p w:rsidR="00BB6C7A" w:rsidRPr="005B0796" w:rsidRDefault="00BB6C7A" w:rsidP="00BB6C7A">
            <w:pPr>
              <w:pStyle w:val="TableText"/>
              <w:jc w:val="right"/>
              <w:rPr>
                <w:lang w:eastAsia="en-AU"/>
              </w:rPr>
            </w:pPr>
            <w:r w:rsidRPr="005B0796">
              <w:t>4.9, 9.0</w:t>
            </w:r>
          </w:p>
        </w:tc>
        <w:tc>
          <w:tcPr>
            <w:tcW w:w="1055" w:type="dxa"/>
          </w:tcPr>
          <w:p w:rsidR="00BB6C7A" w:rsidRPr="005B0796" w:rsidRDefault="00BB6C7A" w:rsidP="00BB6C7A">
            <w:pPr>
              <w:pStyle w:val="TableText"/>
              <w:jc w:val="right"/>
              <w:rPr>
                <w:lang w:eastAsia="en-AU"/>
              </w:rPr>
            </w:pPr>
            <w:r w:rsidRPr="005B0796">
              <w:t>214</w:t>
            </w:r>
          </w:p>
        </w:tc>
        <w:tc>
          <w:tcPr>
            <w:tcW w:w="1055" w:type="dxa"/>
          </w:tcPr>
          <w:p w:rsidR="00BB6C7A" w:rsidRPr="005B0796" w:rsidRDefault="00BB6C7A" w:rsidP="00BB6C7A">
            <w:pPr>
              <w:pStyle w:val="TableText"/>
              <w:jc w:val="right"/>
              <w:rPr>
                <w:lang w:eastAsia="en-AU"/>
              </w:rPr>
            </w:pPr>
            <w:r w:rsidRPr="005B0796">
              <w:t>7.7</w:t>
            </w:r>
          </w:p>
        </w:tc>
        <w:tc>
          <w:tcPr>
            <w:tcW w:w="1057" w:type="dxa"/>
          </w:tcPr>
          <w:p w:rsidR="00BB6C7A" w:rsidRPr="005B0796" w:rsidRDefault="00BB6C7A" w:rsidP="00BB6C7A">
            <w:pPr>
              <w:pStyle w:val="TableText"/>
              <w:jc w:val="right"/>
              <w:rPr>
                <w:lang w:eastAsia="en-AU"/>
              </w:rPr>
            </w:pPr>
            <w:r w:rsidRPr="005B0796">
              <w:t>5.2, 11.2</w:t>
            </w:r>
          </w:p>
        </w:tc>
      </w:tr>
      <w:tr w:rsidR="00BB6C7A" w:rsidRPr="005B0796" w:rsidTr="00BB6C7A">
        <w:tc>
          <w:tcPr>
            <w:tcW w:w="2006" w:type="dxa"/>
            <w:noWrap/>
            <w:hideMark/>
          </w:tcPr>
          <w:p w:rsidR="00BB6C7A" w:rsidRPr="005B0796" w:rsidRDefault="00BB6C7A" w:rsidP="00BB6C7A">
            <w:pPr>
              <w:pStyle w:val="TableText"/>
              <w:rPr>
                <w:lang w:eastAsia="en-AU"/>
              </w:rPr>
            </w:pPr>
            <w:r w:rsidRPr="005B0796">
              <w:t>Attempted suicide</w:t>
            </w:r>
          </w:p>
        </w:tc>
        <w:tc>
          <w:tcPr>
            <w:tcW w:w="1056" w:type="dxa"/>
            <w:hideMark/>
          </w:tcPr>
          <w:p w:rsidR="00BB6C7A" w:rsidRPr="005B0796" w:rsidRDefault="00BB6C7A" w:rsidP="00BB6C7A">
            <w:pPr>
              <w:pStyle w:val="TableText"/>
              <w:jc w:val="right"/>
              <w:rPr>
                <w:lang w:eastAsia="en-AU"/>
              </w:rPr>
            </w:pPr>
            <w:r w:rsidRPr="005B0796">
              <w:t>88</w:t>
            </w:r>
          </w:p>
        </w:tc>
        <w:tc>
          <w:tcPr>
            <w:tcW w:w="1055" w:type="dxa"/>
            <w:hideMark/>
          </w:tcPr>
          <w:p w:rsidR="00BB6C7A" w:rsidRPr="005B0796" w:rsidRDefault="00BB6C7A" w:rsidP="00BB6C7A">
            <w:pPr>
              <w:pStyle w:val="TableText"/>
              <w:jc w:val="right"/>
              <w:rPr>
                <w:lang w:eastAsia="en-AU"/>
              </w:rPr>
            </w:pPr>
            <w:r w:rsidRPr="005B0796">
              <w:t>1.7</w:t>
            </w:r>
          </w:p>
        </w:tc>
        <w:tc>
          <w:tcPr>
            <w:tcW w:w="1055" w:type="dxa"/>
            <w:hideMark/>
          </w:tcPr>
          <w:p w:rsidR="00BB6C7A" w:rsidRPr="005B0796" w:rsidRDefault="00BB6C7A" w:rsidP="00BB6C7A">
            <w:pPr>
              <w:pStyle w:val="TableText"/>
              <w:jc w:val="right"/>
              <w:rPr>
                <w:lang w:eastAsia="en-AU"/>
              </w:rPr>
            </w:pPr>
            <w:r w:rsidRPr="005B0796">
              <w:t>0.9, 3.1</w:t>
            </w:r>
          </w:p>
        </w:tc>
        <w:tc>
          <w:tcPr>
            <w:tcW w:w="1055" w:type="dxa"/>
          </w:tcPr>
          <w:p w:rsidR="00BB6C7A" w:rsidRPr="005B0796" w:rsidRDefault="00BB6C7A" w:rsidP="00BB6C7A">
            <w:pPr>
              <w:pStyle w:val="TableText"/>
              <w:jc w:val="right"/>
              <w:rPr>
                <w:lang w:eastAsia="en-AU"/>
              </w:rPr>
            </w:pPr>
            <w:r w:rsidRPr="005B0796">
              <w:t>64</w:t>
            </w:r>
          </w:p>
        </w:tc>
        <w:tc>
          <w:tcPr>
            <w:tcW w:w="1057" w:type="dxa"/>
          </w:tcPr>
          <w:p w:rsidR="00BB6C7A" w:rsidRPr="005B0796" w:rsidRDefault="00BB6C7A" w:rsidP="00BB6C7A">
            <w:pPr>
              <w:pStyle w:val="TableText"/>
              <w:jc w:val="right"/>
              <w:rPr>
                <w:lang w:eastAsia="en-AU"/>
              </w:rPr>
            </w:pPr>
            <w:r w:rsidRPr="005B0796">
              <w:t>1.8</w:t>
            </w:r>
          </w:p>
        </w:tc>
        <w:tc>
          <w:tcPr>
            <w:tcW w:w="1055" w:type="dxa"/>
          </w:tcPr>
          <w:p w:rsidR="00BB6C7A" w:rsidRPr="005B0796" w:rsidRDefault="00BB6C7A" w:rsidP="00BB6C7A">
            <w:pPr>
              <w:pStyle w:val="TableText"/>
              <w:jc w:val="right"/>
              <w:rPr>
                <w:lang w:eastAsia="en-AU"/>
              </w:rPr>
            </w:pPr>
            <w:r w:rsidRPr="005B0796">
              <w:t>0.9, 3.2</w:t>
            </w:r>
          </w:p>
        </w:tc>
        <w:tc>
          <w:tcPr>
            <w:tcW w:w="1055" w:type="dxa"/>
          </w:tcPr>
          <w:p w:rsidR="00BB6C7A" w:rsidRPr="005B0796" w:rsidRDefault="00BB6C7A" w:rsidP="00BB6C7A">
            <w:pPr>
              <w:pStyle w:val="TableText"/>
              <w:jc w:val="right"/>
              <w:rPr>
                <w:lang w:eastAsia="en-AU"/>
              </w:rPr>
            </w:pPr>
            <w:r w:rsidRPr="005B0796">
              <w:t>57</w:t>
            </w:r>
          </w:p>
        </w:tc>
        <w:tc>
          <w:tcPr>
            <w:tcW w:w="1055" w:type="dxa"/>
          </w:tcPr>
          <w:p w:rsidR="00BB6C7A" w:rsidRPr="005B0796" w:rsidRDefault="00BB6C7A" w:rsidP="00BB6C7A">
            <w:pPr>
              <w:pStyle w:val="TableText"/>
              <w:jc w:val="right"/>
              <w:rPr>
                <w:lang w:eastAsia="en-AU"/>
              </w:rPr>
            </w:pPr>
            <w:r w:rsidRPr="005B0796">
              <w:t>2.0</w:t>
            </w:r>
          </w:p>
        </w:tc>
        <w:tc>
          <w:tcPr>
            <w:tcW w:w="1057" w:type="dxa"/>
          </w:tcPr>
          <w:p w:rsidR="00BB6C7A" w:rsidRPr="005B0796" w:rsidRDefault="00BB6C7A" w:rsidP="00BB6C7A">
            <w:pPr>
              <w:pStyle w:val="TableText"/>
              <w:jc w:val="right"/>
              <w:rPr>
                <w:lang w:eastAsia="en-AU"/>
              </w:rPr>
            </w:pPr>
            <w:r w:rsidRPr="005B0796">
              <w:t>0.8, 5.5</w:t>
            </w:r>
          </w:p>
        </w:tc>
      </w:tr>
      <w:tr w:rsidR="00BB6C7A" w:rsidRPr="005B0796" w:rsidTr="00BB6C7A">
        <w:trPr>
          <w:cnfStyle w:val="000000100000" w:firstRow="0" w:lastRow="0" w:firstColumn="0" w:lastColumn="0" w:oddVBand="0" w:evenVBand="0" w:oddHBand="1" w:evenHBand="0" w:firstRowFirstColumn="0" w:firstRowLastColumn="0" w:lastRowFirstColumn="0" w:lastRowLastColumn="0"/>
        </w:trPr>
        <w:tc>
          <w:tcPr>
            <w:tcW w:w="2006" w:type="dxa"/>
            <w:noWrap/>
            <w:hideMark/>
          </w:tcPr>
          <w:p w:rsidR="00BB6C7A" w:rsidRPr="005B0796" w:rsidRDefault="00BB6C7A" w:rsidP="00BB6C7A">
            <w:pPr>
              <w:pStyle w:val="TableText"/>
              <w:rPr>
                <w:lang w:eastAsia="en-AU"/>
              </w:rPr>
            </w:pPr>
            <w:r w:rsidRPr="005B0796">
              <w:t>Any suicidality*</w:t>
            </w:r>
          </w:p>
        </w:tc>
        <w:tc>
          <w:tcPr>
            <w:tcW w:w="1056" w:type="dxa"/>
            <w:hideMark/>
          </w:tcPr>
          <w:p w:rsidR="00BB6C7A" w:rsidRPr="005B0796" w:rsidRDefault="00BB6C7A" w:rsidP="00BB6C7A">
            <w:pPr>
              <w:pStyle w:val="TableText"/>
              <w:jc w:val="right"/>
              <w:rPr>
                <w:lang w:eastAsia="en-AU"/>
              </w:rPr>
            </w:pPr>
            <w:r w:rsidRPr="005B0796">
              <w:t>1402</w:t>
            </w:r>
          </w:p>
        </w:tc>
        <w:tc>
          <w:tcPr>
            <w:tcW w:w="1055" w:type="dxa"/>
            <w:hideMark/>
          </w:tcPr>
          <w:p w:rsidR="00BB6C7A" w:rsidRPr="005B0796" w:rsidRDefault="00BB6C7A" w:rsidP="00BB6C7A">
            <w:pPr>
              <w:pStyle w:val="TableText"/>
              <w:jc w:val="right"/>
              <w:rPr>
                <w:lang w:eastAsia="en-AU"/>
              </w:rPr>
            </w:pPr>
            <w:r w:rsidRPr="005B0796">
              <w:t>26.8</w:t>
            </w:r>
          </w:p>
        </w:tc>
        <w:tc>
          <w:tcPr>
            <w:tcW w:w="1055" w:type="dxa"/>
            <w:hideMark/>
          </w:tcPr>
          <w:p w:rsidR="00BB6C7A" w:rsidRPr="005B0796" w:rsidRDefault="00BB6C7A" w:rsidP="00BB6C7A">
            <w:pPr>
              <w:pStyle w:val="TableText"/>
              <w:jc w:val="right"/>
              <w:rPr>
                <w:lang w:eastAsia="en-AU"/>
              </w:rPr>
            </w:pPr>
            <w:r w:rsidRPr="005B0796">
              <w:t>23.2, 30.8</w:t>
            </w:r>
          </w:p>
        </w:tc>
        <w:tc>
          <w:tcPr>
            <w:tcW w:w="1055" w:type="dxa"/>
          </w:tcPr>
          <w:p w:rsidR="00BB6C7A" w:rsidRPr="005B0796" w:rsidRDefault="00BB6C7A" w:rsidP="00BB6C7A">
            <w:pPr>
              <w:pStyle w:val="TableText"/>
              <w:jc w:val="right"/>
              <w:rPr>
                <w:lang w:eastAsia="en-AU"/>
              </w:rPr>
            </w:pPr>
            <w:r w:rsidRPr="005B0796">
              <w:t>834</w:t>
            </w:r>
          </w:p>
        </w:tc>
        <w:tc>
          <w:tcPr>
            <w:tcW w:w="1057" w:type="dxa"/>
          </w:tcPr>
          <w:p w:rsidR="00BB6C7A" w:rsidRPr="005B0796" w:rsidRDefault="00BB6C7A" w:rsidP="00BB6C7A">
            <w:pPr>
              <w:pStyle w:val="TableText"/>
              <w:jc w:val="right"/>
              <w:rPr>
                <w:lang w:eastAsia="en-AU"/>
              </w:rPr>
            </w:pPr>
            <w:r w:rsidRPr="005B0796">
              <w:t>23.3</w:t>
            </w:r>
          </w:p>
        </w:tc>
        <w:tc>
          <w:tcPr>
            <w:tcW w:w="1055" w:type="dxa"/>
          </w:tcPr>
          <w:p w:rsidR="00BB6C7A" w:rsidRPr="005B0796" w:rsidRDefault="00BB6C7A" w:rsidP="00BB6C7A">
            <w:pPr>
              <w:pStyle w:val="TableText"/>
              <w:jc w:val="right"/>
              <w:rPr>
                <w:lang w:eastAsia="en-AU"/>
              </w:rPr>
            </w:pPr>
            <w:r w:rsidRPr="005B0796">
              <w:t>19.5, 27.6</w:t>
            </w:r>
          </w:p>
        </w:tc>
        <w:tc>
          <w:tcPr>
            <w:tcW w:w="1055" w:type="dxa"/>
          </w:tcPr>
          <w:p w:rsidR="00BB6C7A" w:rsidRPr="005B0796" w:rsidRDefault="00BB6C7A" w:rsidP="00BB6C7A">
            <w:pPr>
              <w:pStyle w:val="TableText"/>
              <w:jc w:val="right"/>
              <w:rPr>
                <w:lang w:eastAsia="en-AU"/>
              </w:rPr>
            </w:pPr>
            <w:r w:rsidRPr="005B0796">
              <w:t>601</w:t>
            </w:r>
          </w:p>
        </w:tc>
        <w:tc>
          <w:tcPr>
            <w:tcW w:w="1055" w:type="dxa"/>
          </w:tcPr>
          <w:p w:rsidR="00BB6C7A" w:rsidRPr="005B0796" w:rsidRDefault="00BB6C7A" w:rsidP="00BB6C7A">
            <w:pPr>
              <w:pStyle w:val="TableText"/>
              <w:jc w:val="right"/>
              <w:rPr>
                <w:lang w:eastAsia="en-AU"/>
              </w:rPr>
            </w:pPr>
            <w:r w:rsidRPr="005B0796">
              <w:t>21.6</w:t>
            </w:r>
          </w:p>
        </w:tc>
        <w:tc>
          <w:tcPr>
            <w:tcW w:w="1057" w:type="dxa"/>
          </w:tcPr>
          <w:p w:rsidR="00BB6C7A" w:rsidRPr="005B0796" w:rsidRDefault="00BB6C7A" w:rsidP="00BB6C7A">
            <w:pPr>
              <w:pStyle w:val="TableText"/>
              <w:jc w:val="right"/>
              <w:rPr>
                <w:lang w:eastAsia="en-AU"/>
              </w:rPr>
            </w:pPr>
            <w:r w:rsidRPr="005B0796">
              <w:t>17.5, 26.3</w:t>
            </w:r>
          </w:p>
        </w:tc>
      </w:tr>
    </w:tbl>
    <w:p w:rsidR="0019239D" w:rsidRPr="005B0796" w:rsidRDefault="0019239D" w:rsidP="0019239D">
      <w:pPr>
        <w:pStyle w:val="TableNotes"/>
      </w:pPr>
      <w:r w:rsidRPr="005B0796">
        <w:t xml:space="preserve">*calculated as yes to </w:t>
      </w:r>
      <w:r w:rsidR="001B0335">
        <w:t>‘</w:t>
      </w:r>
      <w:r w:rsidR="00F773A8" w:rsidRPr="005B0796">
        <w:t xml:space="preserve">felt </w:t>
      </w:r>
      <w:r w:rsidRPr="005B0796">
        <w:t>so low thought about committing suicide</w:t>
      </w:r>
      <w:r w:rsidR="001B0335">
        <w:t>’</w:t>
      </w:r>
      <w:r w:rsidRPr="005B0796">
        <w:t xml:space="preserve">, </w:t>
      </w:r>
      <w:r w:rsidR="001B0335">
        <w:t>‘</w:t>
      </w:r>
      <w:r w:rsidR="00F773A8" w:rsidRPr="005B0796">
        <w:t xml:space="preserve">made </w:t>
      </w:r>
      <w:r w:rsidRPr="005B0796">
        <w:t>a suicide plan</w:t>
      </w:r>
      <w:r w:rsidR="001B0335">
        <w:t>’</w:t>
      </w:r>
      <w:r w:rsidRPr="005B0796">
        <w:t xml:space="preserve">, or </w:t>
      </w:r>
      <w:r w:rsidR="001B0335">
        <w:t>‘</w:t>
      </w:r>
      <w:r w:rsidR="00F773A8" w:rsidRPr="005B0796">
        <w:t xml:space="preserve">attempted </w:t>
      </w:r>
      <w:r w:rsidRPr="005B0796">
        <w:t>suicide</w:t>
      </w:r>
      <w:r w:rsidR="001B0335">
        <w:t>’</w:t>
      </w:r>
    </w:p>
    <w:p w:rsidR="0019239D" w:rsidRPr="005B0796" w:rsidRDefault="0019239D" w:rsidP="0019239D">
      <w:pPr>
        <w:pStyle w:val="TableNotes"/>
        <w:rPr>
          <w:rFonts w:cs="Calibri"/>
          <w:bCs/>
        </w:rPr>
      </w:pPr>
      <w:r w:rsidRPr="005B0796">
        <w:rPr>
          <w:rFonts w:cs="Calibri"/>
          <w:bCs/>
        </w:rPr>
        <w:t>Note</w:t>
      </w:r>
      <w:r w:rsidR="009C4349" w:rsidRPr="005B0796">
        <w:rPr>
          <w:rFonts w:cs="Calibri"/>
          <w:bCs/>
        </w:rPr>
        <w:t>s</w:t>
      </w:r>
      <w:r w:rsidRPr="005B0796">
        <w:rPr>
          <w:rFonts w:cs="Calibri"/>
          <w:bCs/>
        </w:rPr>
        <w:t>: 95%</w:t>
      </w:r>
      <w:r w:rsidR="001B0335">
        <w:rPr>
          <w:rFonts w:cs="Calibri"/>
          <w:bCs/>
        </w:rPr>
        <w:t xml:space="preserve"> </w:t>
      </w:r>
      <w:r w:rsidRPr="005B0796">
        <w:rPr>
          <w:rFonts w:cs="Calibri"/>
          <w:bCs/>
        </w:rPr>
        <w:t xml:space="preserve">CI: 95% </w:t>
      </w:r>
      <w:r w:rsidR="00564689" w:rsidRPr="005B0796">
        <w:rPr>
          <w:rFonts w:cs="Calibri"/>
          <w:bCs/>
        </w:rPr>
        <w:t>confidence interval</w:t>
      </w:r>
    </w:p>
    <w:p w:rsidR="0019239D" w:rsidRPr="005B0796" w:rsidRDefault="0019239D" w:rsidP="0019239D">
      <w:pPr>
        <w:pStyle w:val="TableNotes"/>
        <w:rPr>
          <w:color w:val="000000" w:themeColor="text1"/>
        </w:rPr>
      </w:pPr>
      <w:r w:rsidRPr="005B0796">
        <w:rPr>
          <w:rFonts w:cs="Calibri"/>
          <w:bCs/>
          <w:color w:val="000000" w:themeColor="text1"/>
        </w:rPr>
        <w:t xml:space="preserve">* </w:t>
      </w:r>
      <w:r w:rsidRPr="005B0796">
        <w:rPr>
          <w:color w:val="000000" w:themeColor="text1"/>
        </w:rPr>
        <w:t xml:space="preserve">This terminology reflects the standardised survey item used in this study </w:t>
      </w:r>
      <w:r w:rsidRPr="005B0796">
        <w:rPr>
          <w:rFonts w:asciiTheme="minorHAnsi" w:hAnsiTheme="minorHAnsi"/>
          <w:color w:val="000000" w:themeColor="text1"/>
        </w:rPr>
        <w:t xml:space="preserve">– however, </w:t>
      </w:r>
      <w:r w:rsidRPr="005B0796">
        <w:rPr>
          <w:color w:val="000000" w:themeColor="text1"/>
        </w:rPr>
        <w:t xml:space="preserve">it should be noted that this is no longer considered an appropriate description, and the term </w:t>
      </w:r>
      <w:r w:rsidR="00462A0C" w:rsidRPr="005B0796">
        <w:rPr>
          <w:color w:val="000000" w:themeColor="text1"/>
        </w:rPr>
        <w:t>‘</w:t>
      </w:r>
      <w:r w:rsidR="001B0335">
        <w:rPr>
          <w:color w:val="000000" w:themeColor="text1"/>
        </w:rPr>
        <w:t xml:space="preserve">thought about </w:t>
      </w:r>
      <w:r w:rsidRPr="005B0796">
        <w:rPr>
          <w:color w:val="000000" w:themeColor="text1"/>
        </w:rPr>
        <w:t>committing suicide</w:t>
      </w:r>
      <w:r w:rsidR="00462A0C" w:rsidRPr="005B0796">
        <w:rPr>
          <w:color w:val="000000" w:themeColor="text1"/>
        </w:rPr>
        <w:t>’</w:t>
      </w:r>
      <w:r w:rsidRPr="005B0796">
        <w:rPr>
          <w:color w:val="000000" w:themeColor="text1"/>
        </w:rPr>
        <w:t xml:space="preserve"> should be replaced with </w:t>
      </w:r>
      <w:r w:rsidR="00462A0C" w:rsidRPr="005B0796">
        <w:rPr>
          <w:color w:val="000000" w:themeColor="text1"/>
        </w:rPr>
        <w:t>‘</w:t>
      </w:r>
      <w:r w:rsidRPr="005B0796">
        <w:rPr>
          <w:color w:val="000000" w:themeColor="text1"/>
        </w:rPr>
        <w:t>thought about taking their own life</w:t>
      </w:r>
      <w:r w:rsidR="00462A0C" w:rsidRPr="005B0796">
        <w:rPr>
          <w:color w:val="000000" w:themeColor="text1"/>
        </w:rPr>
        <w:t>’</w:t>
      </w:r>
    </w:p>
    <w:p w:rsidR="0019239D" w:rsidRPr="005B0796" w:rsidRDefault="0019239D" w:rsidP="0019239D">
      <w:pPr>
        <w:sectPr w:rsidR="0019239D" w:rsidRPr="005B0796" w:rsidSect="00BE66A5">
          <w:headerReference w:type="even" r:id="rId163"/>
          <w:headerReference w:type="default" r:id="rId164"/>
          <w:footerReference w:type="even" r:id="rId165"/>
          <w:footerReference w:type="default" r:id="rId166"/>
          <w:pgSz w:w="14170" w:h="9979" w:orient="landscape" w:code="243"/>
          <w:pgMar w:top="1872" w:right="1440" w:bottom="1152" w:left="1440" w:header="576" w:footer="576" w:gutter="0"/>
          <w:cols w:space="708"/>
          <w:docGrid w:linePitch="360"/>
        </w:sectPr>
      </w:pPr>
    </w:p>
    <w:p w:rsidR="0019239D" w:rsidRPr="005B0796" w:rsidRDefault="0019239D" w:rsidP="0019239D">
      <w:pPr>
        <w:pStyle w:val="FigureName"/>
        <w:rPr>
          <w:szCs w:val="22"/>
        </w:rPr>
      </w:pPr>
      <w:bookmarkStart w:id="843" w:name="_Ref484520324"/>
      <w:bookmarkStart w:id="844" w:name="_Toc482023850"/>
      <w:bookmarkStart w:id="845" w:name="_Toc487014388"/>
      <w:bookmarkStart w:id="846" w:name="_Toc51190055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40</w:t>
      </w:r>
      <w:r w:rsidR="00D30A3C">
        <w:rPr>
          <w:noProof/>
        </w:rPr>
        <w:fldChar w:fldCharType="end"/>
      </w:r>
      <w:bookmarkEnd w:id="843"/>
      <w:r w:rsidRPr="005B0796">
        <w:tab/>
      </w:r>
      <w:bookmarkEnd w:id="844"/>
      <w:r w:rsidRPr="005B0796">
        <w:t>Estimated prevalence of suicidality, by number of years since transition from Regular ADF into Transitioned ADF</w:t>
      </w:r>
      <w:bookmarkEnd w:id="845"/>
      <w:bookmarkEnd w:id="846"/>
    </w:p>
    <w:tbl>
      <w:tblPr>
        <w:tblW w:w="5000" w:type="pct"/>
        <w:tblLayout w:type="fixed"/>
        <w:tblCellMar>
          <w:left w:w="115" w:type="dxa"/>
          <w:right w:w="115" w:type="dxa"/>
        </w:tblCellMar>
        <w:tblLook w:val="04A0" w:firstRow="1" w:lastRow="0" w:firstColumn="1" w:lastColumn="0" w:noHBand="0" w:noVBand="1"/>
      </w:tblPr>
      <w:tblGrid>
        <w:gridCol w:w="7329"/>
      </w:tblGrid>
      <w:tr w:rsidR="0019239D" w:rsidRPr="005B0796" w:rsidTr="001557B7">
        <w:trPr>
          <w:cantSplit/>
        </w:trPr>
        <w:tc>
          <w:tcPr>
            <w:tcW w:w="7315" w:type="dxa"/>
          </w:tcPr>
          <w:p w:rsidR="0019239D" w:rsidRPr="005B0796" w:rsidRDefault="0019239D" w:rsidP="0019239D">
            <w:pPr>
              <w:rPr>
                <w:szCs w:val="22"/>
              </w:rPr>
            </w:pPr>
            <w:r w:rsidRPr="005B0796">
              <w:rPr>
                <w:noProof/>
                <w:lang w:eastAsia="en-AU"/>
              </w:rPr>
              <w:drawing>
                <wp:inline distT="0" distB="0" distL="0" distR="0" wp14:anchorId="7028A6D1" wp14:editId="6294A5AC">
                  <wp:extent cx="4572000" cy="2743200"/>
                  <wp:effectExtent l="0" t="0" r="0" b="0"/>
                  <wp:docPr id="100" name="Chart 100" descr="Figure 4.40 Estimated prevalence of suicidality, by number of years since transition from Regular ADF into Transitioned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bl>
    <w:p w:rsidR="0019239D" w:rsidRPr="005B0796" w:rsidRDefault="0019239D" w:rsidP="001557B7">
      <w:pPr>
        <w:pStyle w:val="Heading4"/>
        <w:rPr>
          <w:szCs w:val="22"/>
        </w:rPr>
      </w:pPr>
      <w:r w:rsidRPr="005B0796">
        <w:t>Reason for discharge</w:t>
      </w:r>
    </w:p>
    <w:p w:rsidR="0019239D" w:rsidRPr="005B0796" w:rsidRDefault="009E72D3" w:rsidP="001557B7">
      <w:r w:rsidRPr="005B0796">
        <w:t>Table 4.49</w:t>
      </w:r>
      <w:r w:rsidR="0019239D" w:rsidRPr="005B0796">
        <w:t xml:space="preserve"> and </w:t>
      </w:r>
      <w:r w:rsidRPr="005B0796">
        <w:t>Figure 4.41</w:t>
      </w:r>
      <w:r w:rsidR="0019239D" w:rsidRPr="005B0796">
        <w:t xml:space="preserve"> show 12-month suicidality, by type of discharge. Those who reported a medical discharge had an estimated prevalence of </w:t>
      </w:r>
      <w:r w:rsidR="00462A0C" w:rsidRPr="005B0796">
        <w:t>‘</w:t>
      </w:r>
      <w:r w:rsidR="0019239D" w:rsidRPr="005B0796">
        <w:t>any suicidality</w:t>
      </w:r>
      <w:r w:rsidR="00462A0C" w:rsidRPr="005B0796">
        <w:t>’</w:t>
      </w:r>
      <w:r w:rsidR="0019239D" w:rsidRPr="005B0796">
        <w:t xml:space="preserve"> of 42.6% (95% CI 38.9, 46.4), while those reporting another reason for leaving had a significantly lower estimated prevalence of 16% (95% CI 14.4, 17.7) (OR 3.9, 95% CI 3.2, 4.8). Notably, 20.3% (95% CI 17.4, 23.4) of those medically discharged (representing one in five) reported making a suicide plan in the last 12 months. This was significantly greater than the 4.6% (95% CI 3.8, 5.6) of those who had another reason for leaving (OR 5.3, 95% CI 4.0, 7.1). Likewise, 6.6% (95% CI 4.9, 8.8) of Transitioned ADF members who were medically discharged reported making a suicide attempt in the last 12</w:t>
      </w:r>
      <w:r w:rsidR="001B0335">
        <w:t> </w:t>
      </w:r>
      <w:r w:rsidR="0019239D" w:rsidRPr="005B0796">
        <w:t>months. This was considerably higher than for those who were not medically discharged (0.9%, 95% CI 0.5, 1.5; OR 7.7, 95% CI 4.4, 14.3). Transitioned ADF who were medically discharged were also significantly more likely than those who were not medically discharged to report feeling their life was not worth living (OR 4.3, 95% CI 3.7, 5.3), and feeling so low they had thought about committing suicide in the last 12</w:t>
      </w:r>
      <w:r w:rsidR="001B0335">
        <w:t> </w:t>
      </w:r>
      <w:r w:rsidR="0019239D" w:rsidRPr="005B0796">
        <w:t>months (OR 3.9, 95% CI 3.2, 4.8).</w:t>
      </w:r>
    </w:p>
    <w:p w:rsidR="0019239D" w:rsidRPr="005B0796" w:rsidRDefault="0019239D" w:rsidP="0019239D">
      <w:pPr>
        <w:pStyle w:val="TableName"/>
      </w:pPr>
      <w:bookmarkStart w:id="847" w:name="_Ref484520258"/>
      <w:bookmarkStart w:id="848" w:name="_Toc482023813"/>
      <w:bookmarkStart w:id="849" w:name="_Toc487014300"/>
      <w:bookmarkStart w:id="850" w:name="_Toc492995603"/>
      <w:bookmarkStart w:id="851" w:name="_Toc51190045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49</w:t>
      </w:r>
      <w:r w:rsidR="00D30A3C">
        <w:rPr>
          <w:noProof/>
        </w:rPr>
        <w:fldChar w:fldCharType="end"/>
      </w:r>
      <w:bookmarkEnd w:id="847"/>
      <w:r w:rsidRPr="005B0796">
        <w:tab/>
        <w:t>Estimated prevalence of suicidality in Transitioned ADF members</w:t>
      </w:r>
      <w:r w:rsidR="001B0335">
        <w:t>,</w:t>
      </w:r>
      <w:r w:rsidRPr="005B0796">
        <w:t xml:space="preserve"> by medical versus other reason for discharge</w:t>
      </w:r>
      <w:bookmarkEnd w:id="848"/>
      <w:bookmarkEnd w:id="849"/>
      <w:bookmarkEnd w:id="850"/>
      <w:bookmarkEnd w:id="851"/>
    </w:p>
    <w:tbl>
      <w:tblPr>
        <w:tblStyle w:val="TWRPTable"/>
        <w:tblW w:w="5000" w:type="pct"/>
        <w:tblLayout w:type="fixed"/>
        <w:tblLook w:val="04A0" w:firstRow="1" w:lastRow="0" w:firstColumn="1" w:lastColumn="0" w:noHBand="0" w:noVBand="1"/>
        <w:tblDescription w:val="Table 4.49 Estimated prevalence of suicidality in Transitioned ADF members by medical versus other reason for discharge"/>
      </w:tblPr>
      <w:tblGrid>
        <w:gridCol w:w="1909"/>
        <w:gridCol w:w="901"/>
        <w:gridCol w:w="901"/>
        <w:gridCol w:w="901"/>
        <w:gridCol w:w="901"/>
        <w:gridCol w:w="901"/>
        <w:gridCol w:w="901"/>
      </w:tblGrid>
      <w:tr w:rsidR="0019239D" w:rsidRPr="005B0796" w:rsidTr="004F40E4">
        <w:trPr>
          <w:cnfStyle w:val="100000000000" w:firstRow="1" w:lastRow="0" w:firstColumn="0" w:lastColumn="0" w:oddVBand="0" w:evenVBand="0" w:oddHBand="0" w:evenHBand="0" w:firstRowFirstColumn="0" w:firstRowLastColumn="0" w:lastRowFirstColumn="0" w:lastRowLastColumn="0"/>
          <w:tblHeader/>
        </w:trPr>
        <w:tc>
          <w:tcPr>
            <w:tcW w:w="1304" w:type="pct"/>
            <w:vMerge w:val="restart"/>
            <w:tcBorders>
              <w:top w:val="single" w:sz="4" w:space="0" w:color="000000"/>
              <w:bottom w:val="nil"/>
            </w:tcBorders>
            <w:noWrap/>
            <w:hideMark/>
          </w:tcPr>
          <w:p w:rsidR="0019239D" w:rsidRPr="005B0796" w:rsidRDefault="0019239D" w:rsidP="004F40E4">
            <w:pPr>
              <w:pStyle w:val="TableText"/>
            </w:pPr>
          </w:p>
        </w:tc>
        <w:tc>
          <w:tcPr>
            <w:tcW w:w="3696" w:type="pct"/>
            <w:gridSpan w:val="6"/>
            <w:noWrap/>
          </w:tcPr>
          <w:p w:rsidR="0019239D" w:rsidRPr="005B0796" w:rsidRDefault="0019239D" w:rsidP="004F40E4">
            <w:pPr>
              <w:pStyle w:val="TableText"/>
              <w:jc w:val="center"/>
            </w:pPr>
            <w:r w:rsidRPr="005B0796">
              <w:t>Reason for discharge</w:t>
            </w:r>
          </w:p>
        </w:tc>
      </w:tr>
      <w:tr w:rsidR="0019239D" w:rsidRPr="005B0796" w:rsidTr="004F40E4">
        <w:trPr>
          <w:cnfStyle w:val="100000000000" w:firstRow="1" w:lastRow="0" w:firstColumn="0" w:lastColumn="0" w:oddVBand="0" w:evenVBand="0" w:oddHBand="0" w:evenHBand="0" w:firstRowFirstColumn="0" w:firstRowLastColumn="0" w:lastRowFirstColumn="0" w:lastRowLastColumn="0"/>
          <w:tblHeader/>
        </w:trPr>
        <w:tc>
          <w:tcPr>
            <w:tcW w:w="1304" w:type="pct"/>
            <w:vMerge/>
            <w:tcBorders>
              <w:top w:val="nil"/>
              <w:bottom w:val="nil"/>
            </w:tcBorders>
            <w:hideMark/>
          </w:tcPr>
          <w:p w:rsidR="0019239D" w:rsidRPr="005B0796" w:rsidRDefault="0019239D" w:rsidP="004F40E4">
            <w:pPr>
              <w:pStyle w:val="TableText"/>
            </w:pPr>
          </w:p>
        </w:tc>
        <w:tc>
          <w:tcPr>
            <w:tcW w:w="1848" w:type="pct"/>
            <w:gridSpan w:val="3"/>
            <w:noWrap/>
            <w:hideMark/>
          </w:tcPr>
          <w:p w:rsidR="0019239D" w:rsidRPr="005B0796" w:rsidRDefault="0019239D" w:rsidP="004F40E4">
            <w:pPr>
              <w:pStyle w:val="TableText"/>
              <w:jc w:val="center"/>
            </w:pPr>
            <w:r w:rsidRPr="005B0796">
              <w:t>Medical (n = 5082)</w:t>
            </w:r>
          </w:p>
        </w:tc>
        <w:tc>
          <w:tcPr>
            <w:tcW w:w="1848" w:type="pct"/>
            <w:gridSpan w:val="3"/>
            <w:noWrap/>
            <w:hideMark/>
          </w:tcPr>
          <w:p w:rsidR="0019239D" w:rsidRPr="005B0796" w:rsidRDefault="0019239D" w:rsidP="004F40E4">
            <w:pPr>
              <w:pStyle w:val="TableText"/>
              <w:jc w:val="center"/>
            </w:pPr>
            <w:r w:rsidRPr="005B0796">
              <w:t>Other (n = 19,154)</w:t>
            </w:r>
          </w:p>
        </w:tc>
      </w:tr>
      <w:tr w:rsidR="0019239D" w:rsidRPr="005B0796" w:rsidTr="004F40E4">
        <w:trPr>
          <w:cnfStyle w:val="100000000000" w:firstRow="1" w:lastRow="0" w:firstColumn="0" w:lastColumn="0" w:oddVBand="0" w:evenVBand="0" w:oddHBand="0" w:evenHBand="0" w:firstRowFirstColumn="0" w:firstRowLastColumn="0" w:lastRowFirstColumn="0" w:lastRowLastColumn="0"/>
          <w:tblHeader/>
        </w:trPr>
        <w:tc>
          <w:tcPr>
            <w:tcW w:w="1304" w:type="pct"/>
            <w:tcBorders>
              <w:top w:val="nil"/>
            </w:tcBorders>
            <w:noWrap/>
            <w:hideMark/>
          </w:tcPr>
          <w:p w:rsidR="0019239D" w:rsidRPr="005B0796" w:rsidRDefault="004F40E4" w:rsidP="004F40E4">
            <w:pPr>
              <w:pStyle w:val="TableText"/>
            </w:pPr>
            <w:r w:rsidRPr="005B0796">
              <w:t>Suicidality</w:t>
            </w:r>
          </w:p>
        </w:tc>
        <w:tc>
          <w:tcPr>
            <w:tcW w:w="616" w:type="pct"/>
            <w:noWrap/>
            <w:hideMark/>
          </w:tcPr>
          <w:p w:rsidR="0019239D" w:rsidRPr="005B0796" w:rsidRDefault="0019239D" w:rsidP="004F40E4">
            <w:pPr>
              <w:pStyle w:val="TableText"/>
              <w:jc w:val="right"/>
            </w:pPr>
            <w:r w:rsidRPr="005B0796">
              <w:rPr>
                <w:rFonts w:eastAsia="Times New Roman"/>
                <w:lang w:eastAsia="en-AU"/>
              </w:rPr>
              <w:t>Weighted n</w:t>
            </w:r>
          </w:p>
        </w:tc>
        <w:tc>
          <w:tcPr>
            <w:tcW w:w="616" w:type="pct"/>
            <w:hideMark/>
          </w:tcPr>
          <w:p w:rsidR="0019239D" w:rsidRPr="005B0796" w:rsidRDefault="0019239D" w:rsidP="004F40E4">
            <w:pPr>
              <w:pStyle w:val="TableText"/>
              <w:jc w:val="right"/>
            </w:pPr>
            <w:r w:rsidRPr="005B0796">
              <w:rPr>
                <w:rFonts w:eastAsia="Times New Roman"/>
              </w:rPr>
              <w:t>%</w:t>
            </w:r>
          </w:p>
        </w:tc>
        <w:tc>
          <w:tcPr>
            <w:tcW w:w="616" w:type="pct"/>
            <w:hideMark/>
          </w:tcPr>
          <w:p w:rsidR="0019239D" w:rsidRPr="005B0796" w:rsidRDefault="0019239D" w:rsidP="004F40E4">
            <w:pPr>
              <w:pStyle w:val="TableText"/>
              <w:jc w:val="right"/>
            </w:pPr>
            <w:r w:rsidRPr="005B0796">
              <w:rPr>
                <w:rFonts w:eastAsia="Times New Roman"/>
              </w:rPr>
              <w:t>95% CI</w:t>
            </w:r>
          </w:p>
        </w:tc>
        <w:tc>
          <w:tcPr>
            <w:tcW w:w="616" w:type="pct"/>
            <w:hideMark/>
          </w:tcPr>
          <w:p w:rsidR="0019239D" w:rsidRPr="005B0796" w:rsidRDefault="0019239D" w:rsidP="004F40E4">
            <w:pPr>
              <w:pStyle w:val="TableText"/>
              <w:jc w:val="right"/>
            </w:pPr>
            <w:r w:rsidRPr="005B0796">
              <w:rPr>
                <w:rFonts w:eastAsia="Times New Roman"/>
                <w:lang w:eastAsia="en-AU"/>
              </w:rPr>
              <w:t>Weighted n</w:t>
            </w:r>
          </w:p>
        </w:tc>
        <w:tc>
          <w:tcPr>
            <w:tcW w:w="616" w:type="pct"/>
            <w:hideMark/>
          </w:tcPr>
          <w:p w:rsidR="0019239D" w:rsidRPr="005B0796" w:rsidRDefault="0019239D" w:rsidP="004F40E4">
            <w:pPr>
              <w:pStyle w:val="TableText"/>
              <w:jc w:val="right"/>
            </w:pPr>
            <w:r w:rsidRPr="005B0796">
              <w:rPr>
                <w:rFonts w:eastAsia="Times New Roman"/>
              </w:rPr>
              <w:t>%</w:t>
            </w:r>
          </w:p>
        </w:tc>
        <w:tc>
          <w:tcPr>
            <w:tcW w:w="617" w:type="pct"/>
            <w:hideMark/>
          </w:tcPr>
          <w:p w:rsidR="0019239D" w:rsidRPr="005B0796" w:rsidRDefault="0019239D" w:rsidP="004F40E4">
            <w:pPr>
              <w:pStyle w:val="TableText"/>
              <w:jc w:val="right"/>
              <w:rPr>
                <w:rFonts w:eastAsia="Times New Roman"/>
              </w:rPr>
            </w:pPr>
            <w:r w:rsidRPr="005B0796">
              <w:rPr>
                <w:rFonts w:eastAsia="Times New Roman"/>
              </w:rPr>
              <w:t>95% CI</w:t>
            </w:r>
          </w:p>
        </w:tc>
      </w:tr>
      <w:tr w:rsidR="0019239D" w:rsidRPr="005B0796" w:rsidTr="004F40E4">
        <w:trPr>
          <w:cnfStyle w:val="000000100000" w:firstRow="0" w:lastRow="0" w:firstColumn="0" w:lastColumn="0" w:oddVBand="0" w:evenVBand="0" w:oddHBand="1" w:evenHBand="0" w:firstRowFirstColumn="0" w:firstRowLastColumn="0" w:lastRowFirstColumn="0" w:lastRowLastColumn="0"/>
        </w:trPr>
        <w:tc>
          <w:tcPr>
            <w:tcW w:w="1304" w:type="pct"/>
            <w:hideMark/>
          </w:tcPr>
          <w:p w:rsidR="0019239D" w:rsidRPr="005B0796" w:rsidRDefault="0019239D" w:rsidP="004F40E4">
            <w:pPr>
              <w:pStyle w:val="TableText"/>
            </w:pPr>
            <w:r w:rsidRPr="005B0796">
              <w:rPr>
                <w:rFonts w:eastAsia="Times New Roman"/>
              </w:rPr>
              <w:t>Felt life not worth living</w:t>
            </w:r>
            <w:r w:rsidRPr="005B0796">
              <w:rPr>
                <w:rFonts w:eastAsia="Times New Roman"/>
                <w:vertAlign w:val="superscript"/>
              </w:rPr>
              <w:t>a</w:t>
            </w:r>
          </w:p>
        </w:tc>
        <w:tc>
          <w:tcPr>
            <w:tcW w:w="616" w:type="pct"/>
            <w:noWrap/>
            <w:hideMark/>
          </w:tcPr>
          <w:p w:rsidR="0019239D" w:rsidRPr="005B0796" w:rsidRDefault="0019239D" w:rsidP="004F40E4">
            <w:pPr>
              <w:pStyle w:val="TableText"/>
              <w:jc w:val="right"/>
            </w:pPr>
            <w:r w:rsidRPr="005B0796">
              <w:t>2824</w:t>
            </w:r>
          </w:p>
        </w:tc>
        <w:tc>
          <w:tcPr>
            <w:tcW w:w="616" w:type="pct"/>
            <w:hideMark/>
          </w:tcPr>
          <w:p w:rsidR="0019239D" w:rsidRPr="005B0796" w:rsidRDefault="0019239D" w:rsidP="004F40E4">
            <w:pPr>
              <w:pStyle w:val="TableText"/>
              <w:jc w:val="right"/>
            </w:pPr>
            <w:r w:rsidRPr="005B0796">
              <w:t>55.6</w:t>
            </w:r>
          </w:p>
        </w:tc>
        <w:tc>
          <w:tcPr>
            <w:tcW w:w="616" w:type="pct"/>
            <w:hideMark/>
          </w:tcPr>
          <w:p w:rsidR="0019239D" w:rsidRPr="005B0796" w:rsidRDefault="0019239D" w:rsidP="004F40E4">
            <w:pPr>
              <w:pStyle w:val="TableText"/>
              <w:jc w:val="right"/>
            </w:pPr>
            <w:r w:rsidRPr="005B0796">
              <w:t>51.8, 59.3</w:t>
            </w:r>
          </w:p>
        </w:tc>
        <w:tc>
          <w:tcPr>
            <w:tcW w:w="616" w:type="pct"/>
            <w:hideMark/>
          </w:tcPr>
          <w:p w:rsidR="0019239D" w:rsidRPr="005B0796" w:rsidRDefault="0019239D" w:rsidP="004F40E4">
            <w:pPr>
              <w:pStyle w:val="TableText"/>
              <w:jc w:val="right"/>
            </w:pPr>
            <w:r w:rsidRPr="005B0796">
              <w:t>4245</w:t>
            </w:r>
          </w:p>
        </w:tc>
        <w:tc>
          <w:tcPr>
            <w:tcW w:w="616" w:type="pct"/>
            <w:hideMark/>
          </w:tcPr>
          <w:p w:rsidR="0019239D" w:rsidRPr="005B0796" w:rsidRDefault="0019239D" w:rsidP="004F40E4">
            <w:pPr>
              <w:pStyle w:val="TableText"/>
              <w:jc w:val="right"/>
            </w:pPr>
            <w:r w:rsidRPr="005B0796">
              <w:t>22.2</w:t>
            </w:r>
          </w:p>
        </w:tc>
        <w:tc>
          <w:tcPr>
            <w:tcW w:w="617" w:type="pct"/>
            <w:hideMark/>
          </w:tcPr>
          <w:p w:rsidR="0019239D" w:rsidRPr="005B0796" w:rsidRDefault="0019239D" w:rsidP="004F40E4">
            <w:pPr>
              <w:pStyle w:val="TableText"/>
              <w:jc w:val="right"/>
            </w:pPr>
            <w:r w:rsidRPr="005B0796">
              <w:t>20.4, 24.0</w:t>
            </w:r>
          </w:p>
        </w:tc>
      </w:tr>
      <w:tr w:rsidR="0019239D" w:rsidRPr="005B0796" w:rsidTr="004F40E4">
        <w:tc>
          <w:tcPr>
            <w:tcW w:w="1304" w:type="pct"/>
            <w:hideMark/>
          </w:tcPr>
          <w:p w:rsidR="0019239D" w:rsidRPr="005B0796" w:rsidRDefault="0019239D" w:rsidP="004F40E4">
            <w:pPr>
              <w:pStyle w:val="TableText"/>
            </w:pPr>
            <w:r w:rsidRPr="005B0796">
              <w:rPr>
                <w:rFonts w:eastAsia="Times New Roman"/>
              </w:rPr>
              <w:t>Felt so low thought about committing suicide</w:t>
            </w:r>
            <w:r w:rsidRPr="005B0796">
              <w:rPr>
                <w:rFonts w:eastAsia="Times New Roman"/>
                <w:vertAlign w:val="superscript"/>
              </w:rPr>
              <w:t>b</w:t>
            </w:r>
          </w:p>
        </w:tc>
        <w:tc>
          <w:tcPr>
            <w:tcW w:w="616" w:type="pct"/>
            <w:noWrap/>
            <w:hideMark/>
          </w:tcPr>
          <w:p w:rsidR="0019239D" w:rsidRPr="005B0796" w:rsidRDefault="0019239D" w:rsidP="004F40E4">
            <w:pPr>
              <w:pStyle w:val="TableText"/>
              <w:jc w:val="right"/>
            </w:pPr>
            <w:r w:rsidRPr="005B0796">
              <w:t>2155</w:t>
            </w:r>
          </w:p>
        </w:tc>
        <w:tc>
          <w:tcPr>
            <w:tcW w:w="616" w:type="pct"/>
            <w:hideMark/>
          </w:tcPr>
          <w:p w:rsidR="0019239D" w:rsidRPr="005B0796" w:rsidRDefault="0019239D" w:rsidP="004F40E4">
            <w:pPr>
              <w:pStyle w:val="TableText"/>
              <w:jc w:val="right"/>
            </w:pPr>
            <w:r w:rsidRPr="005B0796">
              <w:t>42.4</w:t>
            </w:r>
          </w:p>
        </w:tc>
        <w:tc>
          <w:tcPr>
            <w:tcW w:w="616" w:type="pct"/>
            <w:hideMark/>
          </w:tcPr>
          <w:p w:rsidR="0019239D" w:rsidRPr="005B0796" w:rsidRDefault="0019239D" w:rsidP="004F40E4">
            <w:pPr>
              <w:pStyle w:val="TableText"/>
              <w:jc w:val="right"/>
            </w:pPr>
            <w:r w:rsidRPr="005B0796">
              <w:t>38.7, 46.2</w:t>
            </w:r>
          </w:p>
        </w:tc>
        <w:tc>
          <w:tcPr>
            <w:tcW w:w="616" w:type="pct"/>
            <w:hideMark/>
          </w:tcPr>
          <w:p w:rsidR="0019239D" w:rsidRPr="005B0796" w:rsidRDefault="0019239D" w:rsidP="004F40E4">
            <w:pPr>
              <w:pStyle w:val="TableText"/>
              <w:jc w:val="right"/>
            </w:pPr>
            <w:r w:rsidRPr="005B0796">
              <w:t>3032</w:t>
            </w:r>
          </w:p>
        </w:tc>
        <w:tc>
          <w:tcPr>
            <w:tcW w:w="616" w:type="pct"/>
            <w:hideMark/>
          </w:tcPr>
          <w:p w:rsidR="0019239D" w:rsidRPr="005B0796" w:rsidRDefault="0019239D" w:rsidP="004F40E4">
            <w:pPr>
              <w:pStyle w:val="TableText"/>
              <w:jc w:val="right"/>
            </w:pPr>
            <w:r w:rsidRPr="005B0796">
              <w:t>15.8</w:t>
            </w:r>
          </w:p>
        </w:tc>
        <w:tc>
          <w:tcPr>
            <w:tcW w:w="617" w:type="pct"/>
            <w:hideMark/>
          </w:tcPr>
          <w:p w:rsidR="0019239D" w:rsidRPr="005B0796" w:rsidRDefault="0019239D" w:rsidP="004F40E4">
            <w:pPr>
              <w:pStyle w:val="TableText"/>
              <w:jc w:val="right"/>
            </w:pPr>
            <w:r w:rsidRPr="005B0796">
              <w:t>14.3, 17.5</w:t>
            </w:r>
          </w:p>
        </w:tc>
      </w:tr>
      <w:tr w:rsidR="0019239D" w:rsidRPr="005B0796" w:rsidTr="004F40E4">
        <w:trPr>
          <w:cnfStyle w:val="000000100000" w:firstRow="0" w:lastRow="0" w:firstColumn="0" w:lastColumn="0" w:oddVBand="0" w:evenVBand="0" w:oddHBand="1" w:evenHBand="0" w:firstRowFirstColumn="0" w:firstRowLastColumn="0" w:lastRowFirstColumn="0" w:lastRowLastColumn="0"/>
        </w:trPr>
        <w:tc>
          <w:tcPr>
            <w:tcW w:w="1304" w:type="pct"/>
            <w:hideMark/>
          </w:tcPr>
          <w:p w:rsidR="0019239D" w:rsidRPr="005B0796" w:rsidRDefault="0019239D" w:rsidP="004F40E4">
            <w:pPr>
              <w:pStyle w:val="TableText"/>
            </w:pPr>
            <w:r w:rsidRPr="005B0796">
              <w:rPr>
                <w:rFonts w:eastAsia="Times New Roman"/>
              </w:rPr>
              <w:t>Made a suicide plan</w:t>
            </w:r>
            <w:r w:rsidRPr="005B0796">
              <w:rPr>
                <w:rFonts w:eastAsia="Times New Roman"/>
                <w:vertAlign w:val="superscript"/>
              </w:rPr>
              <w:t>c</w:t>
            </w:r>
          </w:p>
        </w:tc>
        <w:tc>
          <w:tcPr>
            <w:tcW w:w="616" w:type="pct"/>
            <w:noWrap/>
            <w:hideMark/>
          </w:tcPr>
          <w:p w:rsidR="0019239D" w:rsidRPr="005B0796" w:rsidRDefault="0019239D" w:rsidP="004F40E4">
            <w:pPr>
              <w:pStyle w:val="TableText"/>
              <w:jc w:val="right"/>
            </w:pPr>
            <w:r w:rsidRPr="005B0796">
              <w:t>1029</w:t>
            </w:r>
          </w:p>
        </w:tc>
        <w:tc>
          <w:tcPr>
            <w:tcW w:w="616" w:type="pct"/>
            <w:hideMark/>
          </w:tcPr>
          <w:p w:rsidR="0019239D" w:rsidRPr="005B0796" w:rsidRDefault="0019239D" w:rsidP="004F40E4">
            <w:pPr>
              <w:pStyle w:val="TableText"/>
              <w:jc w:val="right"/>
            </w:pPr>
            <w:r w:rsidRPr="005B0796">
              <w:t>20.3</w:t>
            </w:r>
          </w:p>
        </w:tc>
        <w:tc>
          <w:tcPr>
            <w:tcW w:w="616" w:type="pct"/>
            <w:hideMark/>
          </w:tcPr>
          <w:p w:rsidR="0019239D" w:rsidRPr="005B0796" w:rsidRDefault="0019239D" w:rsidP="004F40E4">
            <w:pPr>
              <w:pStyle w:val="TableText"/>
              <w:jc w:val="right"/>
            </w:pPr>
            <w:r w:rsidRPr="005B0796">
              <w:t>17.4, 23.4</w:t>
            </w:r>
          </w:p>
        </w:tc>
        <w:tc>
          <w:tcPr>
            <w:tcW w:w="616" w:type="pct"/>
            <w:hideMark/>
          </w:tcPr>
          <w:p w:rsidR="0019239D" w:rsidRPr="005B0796" w:rsidRDefault="0019239D" w:rsidP="004F40E4">
            <w:pPr>
              <w:pStyle w:val="TableText"/>
              <w:jc w:val="right"/>
            </w:pPr>
            <w:r w:rsidRPr="005B0796">
              <w:t>885</w:t>
            </w:r>
          </w:p>
        </w:tc>
        <w:tc>
          <w:tcPr>
            <w:tcW w:w="616" w:type="pct"/>
            <w:hideMark/>
          </w:tcPr>
          <w:p w:rsidR="0019239D" w:rsidRPr="005B0796" w:rsidRDefault="0019239D" w:rsidP="004F40E4">
            <w:pPr>
              <w:pStyle w:val="TableText"/>
              <w:jc w:val="right"/>
            </w:pPr>
            <w:r w:rsidRPr="005B0796">
              <w:t>4.6</w:t>
            </w:r>
          </w:p>
        </w:tc>
        <w:tc>
          <w:tcPr>
            <w:tcW w:w="617" w:type="pct"/>
            <w:hideMark/>
          </w:tcPr>
          <w:p w:rsidR="0019239D" w:rsidRPr="005B0796" w:rsidRDefault="0019239D" w:rsidP="004F40E4">
            <w:pPr>
              <w:pStyle w:val="TableText"/>
              <w:jc w:val="right"/>
            </w:pPr>
            <w:r w:rsidRPr="005B0796">
              <w:t>3.8, 5.6</w:t>
            </w:r>
          </w:p>
        </w:tc>
      </w:tr>
      <w:tr w:rsidR="0019239D" w:rsidRPr="005B0796" w:rsidTr="004F40E4">
        <w:tc>
          <w:tcPr>
            <w:tcW w:w="1304" w:type="pct"/>
            <w:noWrap/>
            <w:hideMark/>
          </w:tcPr>
          <w:p w:rsidR="0019239D" w:rsidRPr="005B0796" w:rsidRDefault="0019239D" w:rsidP="004F40E4">
            <w:pPr>
              <w:pStyle w:val="TableText"/>
            </w:pPr>
            <w:r w:rsidRPr="005B0796">
              <w:rPr>
                <w:rFonts w:eastAsia="Times New Roman"/>
              </w:rPr>
              <w:t>Attempted suicide</w:t>
            </w:r>
            <w:r w:rsidRPr="005B0796">
              <w:rPr>
                <w:rFonts w:eastAsia="Times New Roman"/>
                <w:vertAlign w:val="superscript"/>
              </w:rPr>
              <w:t>d</w:t>
            </w:r>
          </w:p>
        </w:tc>
        <w:tc>
          <w:tcPr>
            <w:tcW w:w="616" w:type="pct"/>
            <w:noWrap/>
            <w:hideMark/>
          </w:tcPr>
          <w:p w:rsidR="0019239D" w:rsidRPr="005B0796" w:rsidRDefault="0019239D" w:rsidP="004F40E4">
            <w:pPr>
              <w:pStyle w:val="TableText"/>
              <w:jc w:val="right"/>
            </w:pPr>
            <w:r w:rsidRPr="005B0796">
              <w:t>336</w:t>
            </w:r>
          </w:p>
        </w:tc>
        <w:tc>
          <w:tcPr>
            <w:tcW w:w="616" w:type="pct"/>
            <w:hideMark/>
          </w:tcPr>
          <w:p w:rsidR="0019239D" w:rsidRPr="005B0796" w:rsidRDefault="0019239D" w:rsidP="004F40E4">
            <w:pPr>
              <w:pStyle w:val="TableText"/>
              <w:jc w:val="right"/>
            </w:pPr>
            <w:r w:rsidRPr="005B0796">
              <w:t>6.6</w:t>
            </w:r>
          </w:p>
        </w:tc>
        <w:tc>
          <w:tcPr>
            <w:tcW w:w="616" w:type="pct"/>
            <w:hideMark/>
          </w:tcPr>
          <w:p w:rsidR="0019239D" w:rsidRPr="005B0796" w:rsidRDefault="0019239D" w:rsidP="004F40E4">
            <w:pPr>
              <w:pStyle w:val="TableText"/>
              <w:jc w:val="right"/>
            </w:pPr>
            <w:r w:rsidRPr="005B0796">
              <w:t>4.9, 8.8</w:t>
            </w:r>
          </w:p>
        </w:tc>
        <w:tc>
          <w:tcPr>
            <w:tcW w:w="616" w:type="pct"/>
            <w:hideMark/>
          </w:tcPr>
          <w:p w:rsidR="0019239D" w:rsidRPr="005B0796" w:rsidRDefault="0019239D" w:rsidP="004F40E4">
            <w:pPr>
              <w:pStyle w:val="TableText"/>
              <w:jc w:val="right"/>
            </w:pPr>
            <w:r w:rsidRPr="005B0796">
              <w:t>169</w:t>
            </w:r>
          </w:p>
        </w:tc>
        <w:tc>
          <w:tcPr>
            <w:tcW w:w="616" w:type="pct"/>
            <w:hideMark/>
          </w:tcPr>
          <w:p w:rsidR="0019239D" w:rsidRPr="005B0796" w:rsidRDefault="0019239D" w:rsidP="004F40E4">
            <w:pPr>
              <w:pStyle w:val="TableText"/>
              <w:jc w:val="right"/>
            </w:pPr>
            <w:r w:rsidRPr="005B0796">
              <w:t>0.9</w:t>
            </w:r>
          </w:p>
        </w:tc>
        <w:tc>
          <w:tcPr>
            <w:tcW w:w="617" w:type="pct"/>
            <w:hideMark/>
          </w:tcPr>
          <w:p w:rsidR="0019239D" w:rsidRPr="005B0796" w:rsidRDefault="0019239D" w:rsidP="004F40E4">
            <w:pPr>
              <w:pStyle w:val="TableText"/>
              <w:jc w:val="right"/>
            </w:pPr>
            <w:r w:rsidRPr="005B0796">
              <w:t>0.5, 1.5</w:t>
            </w:r>
          </w:p>
        </w:tc>
      </w:tr>
      <w:tr w:rsidR="0019239D" w:rsidRPr="005B0796" w:rsidTr="004F40E4">
        <w:trPr>
          <w:cnfStyle w:val="000000100000" w:firstRow="0" w:lastRow="0" w:firstColumn="0" w:lastColumn="0" w:oddVBand="0" w:evenVBand="0" w:oddHBand="1" w:evenHBand="0" w:firstRowFirstColumn="0" w:firstRowLastColumn="0" w:lastRowFirstColumn="0" w:lastRowLastColumn="0"/>
        </w:trPr>
        <w:tc>
          <w:tcPr>
            <w:tcW w:w="1304" w:type="pct"/>
            <w:noWrap/>
            <w:hideMark/>
          </w:tcPr>
          <w:p w:rsidR="0019239D" w:rsidRPr="005B0796" w:rsidRDefault="0019239D" w:rsidP="004F40E4">
            <w:pPr>
              <w:pStyle w:val="TableText"/>
            </w:pPr>
            <w:r w:rsidRPr="005B0796">
              <w:rPr>
                <w:rFonts w:eastAsia="Times New Roman"/>
              </w:rPr>
              <w:t>Any suicidality</w:t>
            </w:r>
            <w:r w:rsidRPr="005B0796">
              <w:rPr>
                <w:rFonts w:eastAsia="Times New Roman"/>
                <w:vertAlign w:val="superscript"/>
              </w:rPr>
              <w:t>e</w:t>
            </w:r>
            <w:r w:rsidRPr="005B0796">
              <w:rPr>
                <w:rFonts w:eastAsia="Times New Roman"/>
              </w:rPr>
              <w:t>*</w:t>
            </w:r>
          </w:p>
        </w:tc>
        <w:tc>
          <w:tcPr>
            <w:tcW w:w="616" w:type="pct"/>
            <w:noWrap/>
            <w:hideMark/>
          </w:tcPr>
          <w:p w:rsidR="0019239D" w:rsidRPr="005B0796" w:rsidRDefault="0019239D" w:rsidP="004F40E4">
            <w:pPr>
              <w:pStyle w:val="TableText"/>
              <w:jc w:val="right"/>
            </w:pPr>
            <w:r w:rsidRPr="005B0796">
              <w:t>2165</w:t>
            </w:r>
          </w:p>
        </w:tc>
        <w:tc>
          <w:tcPr>
            <w:tcW w:w="616" w:type="pct"/>
            <w:hideMark/>
          </w:tcPr>
          <w:p w:rsidR="0019239D" w:rsidRPr="005B0796" w:rsidRDefault="0019239D" w:rsidP="004F40E4">
            <w:pPr>
              <w:pStyle w:val="TableText"/>
              <w:jc w:val="right"/>
            </w:pPr>
            <w:r w:rsidRPr="005B0796">
              <w:t>42.6</w:t>
            </w:r>
          </w:p>
        </w:tc>
        <w:tc>
          <w:tcPr>
            <w:tcW w:w="616" w:type="pct"/>
            <w:hideMark/>
          </w:tcPr>
          <w:p w:rsidR="0019239D" w:rsidRPr="005B0796" w:rsidRDefault="0019239D" w:rsidP="004F40E4">
            <w:pPr>
              <w:pStyle w:val="TableText"/>
              <w:jc w:val="right"/>
            </w:pPr>
            <w:r w:rsidRPr="005B0796">
              <w:t>38.9, 46.4</w:t>
            </w:r>
          </w:p>
        </w:tc>
        <w:tc>
          <w:tcPr>
            <w:tcW w:w="616" w:type="pct"/>
            <w:hideMark/>
          </w:tcPr>
          <w:p w:rsidR="0019239D" w:rsidRPr="005B0796" w:rsidRDefault="0019239D" w:rsidP="004F40E4">
            <w:pPr>
              <w:pStyle w:val="TableText"/>
              <w:jc w:val="right"/>
            </w:pPr>
            <w:r w:rsidRPr="005B0796">
              <w:t>3065</w:t>
            </w:r>
          </w:p>
        </w:tc>
        <w:tc>
          <w:tcPr>
            <w:tcW w:w="616" w:type="pct"/>
            <w:hideMark/>
          </w:tcPr>
          <w:p w:rsidR="0019239D" w:rsidRPr="005B0796" w:rsidRDefault="0019239D" w:rsidP="004F40E4">
            <w:pPr>
              <w:pStyle w:val="TableText"/>
              <w:jc w:val="right"/>
            </w:pPr>
            <w:r w:rsidRPr="005B0796">
              <w:t>16.0</w:t>
            </w:r>
          </w:p>
        </w:tc>
        <w:tc>
          <w:tcPr>
            <w:tcW w:w="617" w:type="pct"/>
            <w:hideMark/>
          </w:tcPr>
          <w:p w:rsidR="0019239D" w:rsidRPr="005B0796" w:rsidRDefault="0019239D" w:rsidP="004F40E4">
            <w:pPr>
              <w:pStyle w:val="TableText"/>
              <w:jc w:val="right"/>
            </w:pPr>
            <w:r w:rsidRPr="005B0796">
              <w:t>14.4, 17.7</w:t>
            </w:r>
          </w:p>
        </w:tc>
      </w:tr>
    </w:tbl>
    <w:p w:rsidR="0019239D" w:rsidRPr="005B0796" w:rsidRDefault="0019239D" w:rsidP="0019239D">
      <w:pPr>
        <w:pStyle w:val="TableNotes"/>
      </w:pPr>
      <w:bookmarkStart w:id="852" w:name="_Ref486415778"/>
      <w:bookmarkStart w:id="853" w:name="_Toc487014389"/>
      <w:r w:rsidRPr="005B0796">
        <w:rPr>
          <w:vertAlign w:val="superscript"/>
        </w:rPr>
        <w:t>a</w:t>
      </w:r>
      <w:r w:rsidRPr="005B0796">
        <w:t xml:space="preserve"> Medical vs Other: OR 4.3, 95% CI 3.7, 5.3</w:t>
      </w:r>
    </w:p>
    <w:p w:rsidR="0019239D" w:rsidRPr="005B0796" w:rsidRDefault="0019239D" w:rsidP="0019239D">
      <w:pPr>
        <w:pStyle w:val="TableNotes"/>
      </w:pPr>
      <w:r w:rsidRPr="005B0796">
        <w:rPr>
          <w:vertAlign w:val="superscript"/>
        </w:rPr>
        <w:t>b</w:t>
      </w:r>
      <w:r w:rsidRPr="005B0796">
        <w:t xml:space="preserve"> Medical vs Other: OR 3.9, 95% CI 3.2, 4.8</w:t>
      </w:r>
    </w:p>
    <w:p w:rsidR="0019239D" w:rsidRPr="005B0796" w:rsidRDefault="0019239D" w:rsidP="0019239D">
      <w:pPr>
        <w:pStyle w:val="TableNotes"/>
      </w:pPr>
      <w:r w:rsidRPr="005B0796">
        <w:rPr>
          <w:vertAlign w:val="superscript"/>
        </w:rPr>
        <w:t>c</w:t>
      </w:r>
      <w:r w:rsidRPr="005B0796">
        <w:t xml:space="preserve"> Medical vs Other: OR 5.3, 95% CI 4.0, 7.1</w:t>
      </w:r>
    </w:p>
    <w:p w:rsidR="0019239D" w:rsidRPr="005B0796" w:rsidRDefault="0019239D" w:rsidP="0019239D">
      <w:pPr>
        <w:pStyle w:val="TableNotes"/>
      </w:pPr>
      <w:r w:rsidRPr="005B0796">
        <w:rPr>
          <w:vertAlign w:val="superscript"/>
        </w:rPr>
        <w:t>d</w:t>
      </w:r>
      <w:r w:rsidRPr="005B0796">
        <w:t xml:space="preserve"> Medical vs Other: OR 7.7, 95% CI 4.4, 14.3</w:t>
      </w:r>
    </w:p>
    <w:p w:rsidR="0019239D" w:rsidRPr="005B0796" w:rsidRDefault="0019239D" w:rsidP="0019239D">
      <w:pPr>
        <w:pStyle w:val="TableNotes"/>
      </w:pPr>
      <w:r w:rsidRPr="005B0796">
        <w:rPr>
          <w:vertAlign w:val="superscript"/>
        </w:rPr>
        <w:t>e</w:t>
      </w:r>
      <w:r w:rsidRPr="005B0796">
        <w:t xml:space="preserve"> Medical vs Other: OR 3.9, 95% CI 3.2, 4.8</w:t>
      </w:r>
    </w:p>
    <w:p w:rsidR="0019239D" w:rsidRPr="001B0335" w:rsidRDefault="0019239D" w:rsidP="0019239D">
      <w:pPr>
        <w:pStyle w:val="TableNotes"/>
        <w:rPr>
          <w:rFonts w:cs="@헤드라인A"/>
        </w:rPr>
      </w:pPr>
      <w:r w:rsidRPr="001B0335">
        <w:t xml:space="preserve">* </w:t>
      </w:r>
      <w:r w:rsidRPr="001B0335">
        <w:rPr>
          <w:rFonts w:cs="@헤드라인A"/>
        </w:rPr>
        <w:t xml:space="preserve">Calculated as yes to </w:t>
      </w:r>
      <w:r w:rsidR="001B0335">
        <w:rPr>
          <w:rFonts w:cs="@헤드라인A"/>
        </w:rPr>
        <w:t>‘</w:t>
      </w:r>
      <w:r w:rsidR="00F773A8" w:rsidRPr="001B0335">
        <w:rPr>
          <w:rFonts w:cs="@헤드라인A"/>
        </w:rPr>
        <w:t xml:space="preserve">felt </w:t>
      </w:r>
      <w:r w:rsidRPr="001B0335">
        <w:rPr>
          <w:rFonts w:cs="@헤드라인A"/>
        </w:rPr>
        <w:t>so low thought about committing suicide</w:t>
      </w:r>
      <w:r w:rsidR="001B0335">
        <w:rPr>
          <w:rFonts w:cs="@헤드라인A"/>
        </w:rPr>
        <w:t>’</w:t>
      </w:r>
      <w:r w:rsidRPr="001B0335">
        <w:rPr>
          <w:rFonts w:cs="@헤드라인A"/>
        </w:rPr>
        <w:t xml:space="preserve">, </w:t>
      </w:r>
      <w:r w:rsidR="001B0335">
        <w:rPr>
          <w:rFonts w:cs="@헤드라인A"/>
        </w:rPr>
        <w:t>‘</w:t>
      </w:r>
      <w:r w:rsidR="00F773A8" w:rsidRPr="001B0335">
        <w:rPr>
          <w:rFonts w:cs="@헤드라인A"/>
        </w:rPr>
        <w:t xml:space="preserve">made </w:t>
      </w:r>
      <w:r w:rsidRPr="001B0335">
        <w:rPr>
          <w:rFonts w:cs="@헤드라인A"/>
        </w:rPr>
        <w:t>a suicide plan</w:t>
      </w:r>
      <w:r w:rsidR="001B0335">
        <w:rPr>
          <w:rFonts w:cs="@헤드라인A"/>
        </w:rPr>
        <w:t>’</w:t>
      </w:r>
      <w:r w:rsidRPr="001B0335">
        <w:rPr>
          <w:rFonts w:cs="@헤드라인A"/>
        </w:rPr>
        <w:t xml:space="preserve">, or </w:t>
      </w:r>
      <w:r w:rsidR="001B0335">
        <w:rPr>
          <w:rFonts w:cs="@헤드라인A"/>
        </w:rPr>
        <w:t>‘</w:t>
      </w:r>
      <w:r w:rsidR="00F773A8" w:rsidRPr="001B0335">
        <w:rPr>
          <w:rFonts w:cs="@헤드라인A"/>
        </w:rPr>
        <w:t xml:space="preserve">attempted </w:t>
      </w:r>
      <w:r w:rsidRPr="001B0335">
        <w:rPr>
          <w:rFonts w:cs="@헤드라인A"/>
        </w:rPr>
        <w:t>suicide</w:t>
      </w:r>
      <w:r w:rsidR="001B0335">
        <w:rPr>
          <w:rFonts w:cs="@헤드라인A"/>
        </w:rPr>
        <w:t>’</w:t>
      </w:r>
    </w:p>
    <w:p w:rsidR="0019239D" w:rsidRPr="005B0796" w:rsidRDefault="0019239D" w:rsidP="0019239D">
      <w:pPr>
        <w:pStyle w:val="TableNotes"/>
        <w:rPr>
          <w:rFonts w:cs="Calibri"/>
          <w:bCs/>
        </w:rPr>
      </w:pPr>
      <w:r w:rsidRPr="005B0796">
        <w:rPr>
          <w:rFonts w:cs="Calibri"/>
          <w:bCs/>
        </w:rPr>
        <w:t>Note</w:t>
      </w:r>
      <w:r w:rsidR="008C2520" w:rsidRPr="005B0796">
        <w:rPr>
          <w:rFonts w:cs="Calibri"/>
          <w:bCs/>
        </w:rPr>
        <w:t>s</w:t>
      </w:r>
      <w:r w:rsidRPr="005B0796">
        <w:rPr>
          <w:rFonts w:cs="Calibri"/>
          <w:bCs/>
        </w:rPr>
        <w:t>:</w:t>
      </w:r>
      <w:r w:rsidR="008C2520" w:rsidRPr="005B0796">
        <w:rPr>
          <w:rFonts w:cs="Calibri"/>
          <w:bCs/>
        </w:rPr>
        <w:br/>
      </w:r>
      <w:r w:rsidRPr="005B0796">
        <w:rPr>
          <w:rFonts w:cs="Calibri"/>
          <w:bCs/>
        </w:rPr>
        <w:t xml:space="preserve">95% CI: 95% </w:t>
      </w:r>
      <w:r w:rsidR="00564689" w:rsidRPr="005B0796">
        <w:rPr>
          <w:rFonts w:cs="Calibri"/>
          <w:bCs/>
        </w:rPr>
        <w:t>confidence interval</w:t>
      </w:r>
    </w:p>
    <w:p w:rsidR="0019239D" w:rsidRPr="005B0796" w:rsidRDefault="0019239D" w:rsidP="0019239D">
      <w:pPr>
        <w:pStyle w:val="TableNotes"/>
        <w:rPr>
          <w:color w:val="000000" w:themeColor="text1"/>
        </w:rPr>
      </w:pPr>
      <w:r w:rsidRPr="005B0796">
        <w:rPr>
          <w:color w:val="000000" w:themeColor="text1"/>
        </w:rPr>
        <w:t xml:space="preserve">This terminology reflects the standardised survey item used in this study – however, it should be noted that this is no longer considered an appropriate description, and the term </w:t>
      </w:r>
      <w:r w:rsidR="00462A0C" w:rsidRPr="005B0796">
        <w:rPr>
          <w:color w:val="000000" w:themeColor="text1"/>
        </w:rPr>
        <w:t>‘</w:t>
      </w:r>
      <w:r w:rsidR="001B0335">
        <w:rPr>
          <w:color w:val="000000" w:themeColor="text1"/>
        </w:rPr>
        <w:t xml:space="preserve">thought about </w:t>
      </w:r>
      <w:r w:rsidRPr="005B0796">
        <w:rPr>
          <w:color w:val="000000" w:themeColor="text1"/>
        </w:rPr>
        <w:t>committing suicide</w:t>
      </w:r>
      <w:r w:rsidR="00462A0C" w:rsidRPr="005B0796">
        <w:rPr>
          <w:color w:val="000000" w:themeColor="text1"/>
        </w:rPr>
        <w:t>’</w:t>
      </w:r>
      <w:r w:rsidRPr="005B0796">
        <w:rPr>
          <w:color w:val="000000" w:themeColor="text1"/>
        </w:rPr>
        <w:t xml:space="preserve"> should be replaced with </w:t>
      </w:r>
      <w:r w:rsidR="00462A0C" w:rsidRPr="005B0796">
        <w:rPr>
          <w:color w:val="000000" w:themeColor="text1"/>
        </w:rPr>
        <w:t>‘</w:t>
      </w:r>
      <w:r w:rsidRPr="005B0796">
        <w:rPr>
          <w:color w:val="000000" w:themeColor="text1"/>
        </w:rPr>
        <w:t>thought about taking their own life</w:t>
      </w:r>
      <w:r w:rsidR="00462A0C" w:rsidRPr="005B0796">
        <w:rPr>
          <w:color w:val="000000" w:themeColor="text1"/>
        </w:rPr>
        <w:t>’</w:t>
      </w:r>
    </w:p>
    <w:p w:rsidR="0019239D" w:rsidRPr="005B0796" w:rsidRDefault="0019239D" w:rsidP="0019239D">
      <w:pPr>
        <w:pStyle w:val="FigureName"/>
      </w:pPr>
      <w:bookmarkStart w:id="854" w:name="_Ref494281931"/>
      <w:bookmarkStart w:id="855" w:name="_Toc51190055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41</w:t>
      </w:r>
      <w:r w:rsidR="00D30A3C">
        <w:rPr>
          <w:noProof/>
        </w:rPr>
        <w:fldChar w:fldCharType="end"/>
      </w:r>
      <w:bookmarkEnd w:id="852"/>
      <w:bookmarkEnd w:id="854"/>
      <w:r w:rsidRPr="005B0796">
        <w:tab/>
        <w:t>Estimated prevalence of suicidality in Transitioned ADF members</w:t>
      </w:r>
      <w:r w:rsidR="001B0335">
        <w:t>,</w:t>
      </w:r>
      <w:r w:rsidRPr="005B0796">
        <w:t xml:space="preserve"> by medical vs other reason for discharge</w:t>
      </w:r>
      <w:bookmarkEnd w:id="853"/>
      <w:bookmarkEnd w:id="855"/>
    </w:p>
    <w:tbl>
      <w:tblPr>
        <w:tblW w:w="5000" w:type="pct"/>
        <w:tblLayout w:type="fixed"/>
        <w:tblCellMar>
          <w:left w:w="115" w:type="dxa"/>
          <w:right w:w="115" w:type="dxa"/>
        </w:tblCellMar>
        <w:tblLook w:val="04A0" w:firstRow="1" w:lastRow="0" w:firstColumn="1" w:lastColumn="0" w:noHBand="0" w:noVBand="1"/>
      </w:tblPr>
      <w:tblGrid>
        <w:gridCol w:w="7329"/>
      </w:tblGrid>
      <w:tr w:rsidR="0019239D" w:rsidRPr="005B0796" w:rsidTr="004F40E4">
        <w:trPr>
          <w:cantSplit/>
        </w:trPr>
        <w:tc>
          <w:tcPr>
            <w:tcW w:w="7315" w:type="dxa"/>
          </w:tcPr>
          <w:p w:rsidR="0019239D" w:rsidRPr="005B0796" w:rsidRDefault="0019239D" w:rsidP="004F40E4">
            <w:pPr>
              <w:keepNext/>
            </w:pPr>
            <w:r w:rsidRPr="005B0796">
              <w:rPr>
                <w:noProof/>
                <w:lang w:eastAsia="en-AU"/>
              </w:rPr>
              <w:drawing>
                <wp:inline distT="0" distB="0" distL="0" distR="0" wp14:anchorId="7BA49A29" wp14:editId="74BB1F90">
                  <wp:extent cx="4572000" cy="2743200"/>
                  <wp:effectExtent l="0" t="0" r="0" b="0"/>
                  <wp:docPr id="101" name="Chart 101" descr="Figure 4.41 Estimated prevalence of suicidality in Transitioned ADF members by medical vs other reason for disch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bl>
    <w:p w:rsidR="0019239D" w:rsidRPr="005B0796" w:rsidRDefault="0019239D" w:rsidP="004F40E4">
      <w:pPr>
        <w:pStyle w:val="TableNotes"/>
        <w:keepNext/>
      </w:pPr>
      <w:r w:rsidRPr="005B0796">
        <w:t>Suicide ideation Q1: Medical vs Other: OR 4.3, 95% CI 3.7, 5.3</w:t>
      </w:r>
    </w:p>
    <w:p w:rsidR="0019239D" w:rsidRPr="005B0796" w:rsidRDefault="0019239D" w:rsidP="004F40E4">
      <w:pPr>
        <w:pStyle w:val="TableNotes"/>
        <w:keepNext/>
      </w:pPr>
      <w:r w:rsidRPr="005B0796">
        <w:t>Suicide ideation Q2: Medical vs Other: OR 3.9, 95% CI 3.2, 4.8</w:t>
      </w:r>
    </w:p>
    <w:p w:rsidR="0019239D" w:rsidRPr="005B0796" w:rsidRDefault="0019239D" w:rsidP="004F40E4">
      <w:pPr>
        <w:pStyle w:val="TableNotes"/>
        <w:keepNext/>
      </w:pPr>
      <w:r w:rsidRPr="005B0796">
        <w:t>Suicide plan: Medical vs Other: OR 5.3, 95% CI 4.0, 7.1</w:t>
      </w:r>
    </w:p>
    <w:p w:rsidR="0019239D" w:rsidRPr="005B0796" w:rsidRDefault="0019239D" w:rsidP="004F40E4">
      <w:pPr>
        <w:pStyle w:val="TableNotes"/>
        <w:keepNext/>
      </w:pPr>
      <w:r w:rsidRPr="005B0796">
        <w:t>Suicide attempt: OR 7.7, 95% CI 4.4, 14.3</w:t>
      </w:r>
    </w:p>
    <w:p w:rsidR="0019239D" w:rsidRPr="005B0796" w:rsidRDefault="0019239D" w:rsidP="0019239D">
      <w:pPr>
        <w:pStyle w:val="TableNotes"/>
      </w:pPr>
      <w:r w:rsidRPr="005B0796">
        <w:t xml:space="preserve">Any suicidality: </w:t>
      </w:r>
      <w:bookmarkStart w:id="856" w:name="_Ref484520309"/>
      <w:bookmarkStart w:id="857" w:name="_Toc482023851"/>
      <w:r w:rsidRPr="005B0796">
        <w:t>medical versus Other: OR 3.9, 95% CI 3.2, 4.8</w:t>
      </w:r>
    </w:p>
    <w:bookmarkEnd w:id="856"/>
    <w:bookmarkEnd w:id="857"/>
    <w:p w:rsidR="0019239D" w:rsidRPr="005B0796" w:rsidRDefault="0019239D" w:rsidP="00BF795F">
      <w:pPr>
        <w:pStyle w:val="Heading4"/>
      </w:pPr>
      <w:r w:rsidRPr="005B0796">
        <w:t>DVA status</w:t>
      </w:r>
    </w:p>
    <w:p w:rsidR="0019239D" w:rsidRPr="005B0796" w:rsidRDefault="009E72D3" w:rsidP="004F40E4">
      <w:r w:rsidRPr="005B0796">
        <w:t>Table 4.50</w:t>
      </w:r>
      <w:r w:rsidR="0019239D" w:rsidRPr="005B0796">
        <w:t xml:space="preserve"> and </w:t>
      </w:r>
      <w:r w:rsidRPr="005B0796">
        <w:t>Figure 4.42</w:t>
      </w:r>
      <w:r w:rsidR="0019239D" w:rsidRPr="005B0796">
        <w:t xml:space="preserve"> show that </w:t>
      </w:r>
      <w:r w:rsidR="00462A0C" w:rsidRPr="005B0796">
        <w:t>‘</w:t>
      </w:r>
      <w:r w:rsidR="0019239D" w:rsidRPr="005B0796">
        <w:t>any 12-month suicidality</w:t>
      </w:r>
      <w:r w:rsidR="00462A0C" w:rsidRPr="005B0796">
        <w:t>’</w:t>
      </w:r>
      <w:r w:rsidR="0019239D" w:rsidRPr="005B0796">
        <w:t xml:space="preserve"> was significantly higher among Transitioned ADF who were DVA clients compared with those who were not (OR 1.9, 95% CI 1.6, 2.4). More than one-third (36.4%) of DVA clients (95% CI 34.1, 38.9) reported feeling life was not worth living in the last 12 months compared to 21.8% (95% CI 19.3, 24.5) who were not DVA clients (OR 2.1, 95% CI 1.7, 2.5). A similar pattern was observed for the item </w:t>
      </w:r>
      <w:r w:rsidR="00462A0C" w:rsidRPr="005B0796">
        <w:t>‘</w:t>
      </w:r>
      <w:r w:rsidR="0019239D" w:rsidRPr="005B0796">
        <w:t>felt so low they thought about committing suicide</w:t>
      </w:r>
      <w:r w:rsidR="00462A0C" w:rsidRPr="005B0796">
        <w:t>’</w:t>
      </w:r>
      <w:r w:rsidR="0019239D" w:rsidRPr="005B0796">
        <w:t>, with a significantly greater estimated prevalence (27.0%) among DVA clients (95% CI 24.8, 29.3) in contrast to 15.9% (95% CI 13.7, 18.4) of those who were not DVA clients (OR 1.9, 95% CI 1.6, 2.4). Suicide plans (OR 2.6, 95% CI 1.9, 3.7) and attempts (OR 2.3, 95% CI 1.2, 4.5) showed the same pattern. They were significantly higher among DVA clients (11.3% and 2.8% respectively) compared to those who were non DVA clients (4.6% and 1.2% respectively).</w:t>
      </w:r>
    </w:p>
    <w:p w:rsidR="0019239D" w:rsidRPr="005B0796" w:rsidRDefault="0019239D" w:rsidP="0019239D">
      <w:pPr>
        <w:pStyle w:val="TableName"/>
        <w:rPr>
          <w:szCs w:val="22"/>
        </w:rPr>
      </w:pPr>
      <w:bookmarkStart w:id="858" w:name="_Ref484520272"/>
      <w:bookmarkStart w:id="859" w:name="_Toc482023814"/>
      <w:bookmarkStart w:id="860" w:name="_Toc487014301"/>
      <w:bookmarkStart w:id="861" w:name="_Toc492995604"/>
      <w:bookmarkStart w:id="862" w:name="_Toc51190045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50</w:t>
      </w:r>
      <w:r w:rsidR="00D30A3C">
        <w:rPr>
          <w:noProof/>
        </w:rPr>
        <w:fldChar w:fldCharType="end"/>
      </w:r>
      <w:bookmarkEnd w:id="858"/>
      <w:r w:rsidRPr="005B0796">
        <w:tab/>
      </w:r>
      <w:bookmarkEnd w:id="859"/>
      <w:r w:rsidRPr="005B0796">
        <w:t>Estimated prevalence of suicidality in Transitioned ADF members</w:t>
      </w:r>
      <w:r w:rsidR="001B0335">
        <w:t>,</w:t>
      </w:r>
      <w:r w:rsidRPr="005B0796">
        <w:t xml:space="preserve"> by DVA status</w:t>
      </w:r>
      <w:bookmarkEnd w:id="860"/>
      <w:bookmarkEnd w:id="861"/>
      <w:bookmarkEnd w:id="862"/>
    </w:p>
    <w:tbl>
      <w:tblPr>
        <w:tblStyle w:val="TWRPTable"/>
        <w:tblW w:w="5000" w:type="pct"/>
        <w:tblLayout w:type="fixed"/>
        <w:tblLook w:val="04A0" w:firstRow="1" w:lastRow="0" w:firstColumn="1" w:lastColumn="0" w:noHBand="0" w:noVBand="1"/>
        <w:tblDescription w:val="Table 4.50 Estimated prevalence of suicidality in Transitioned ADF members by DVA status"/>
      </w:tblPr>
      <w:tblGrid>
        <w:gridCol w:w="1818"/>
        <w:gridCol w:w="916"/>
        <w:gridCol w:w="916"/>
        <w:gridCol w:w="916"/>
        <w:gridCol w:w="916"/>
        <w:gridCol w:w="916"/>
        <w:gridCol w:w="917"/>
      </w:tblGrid>
      <w:tr w:rsidR="0019239D" w:rsidRPr="005B0796" w:rsidTr="004F40E4">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4" w:space="0" w:color="000000"/>
              <w:bottom w:val="nil"/>
            </w:tcBorders>
            <w:hideMark/>
          </w:tcPr>
          <w:p w:rsidR="0019239D" w:rsidRPr="005B0796" w:rsidRDefault="0019239D" w:rsidP="004F40E4">
            <w:pPr>
              <w:pStyle w:val="TableText"/>
              <w:rPr>
                <w:lang w:eastAsia="en-AU"/>
              </w:rPr>
            </w:pPr>
          </w:p>
        </w:tc>
        <w:tc>
          <w:tcPr>
            <w:tcW w:w="2748" w:type="dxa"/>
            <w:gridSpan w:val="3"/>
            <w:noWrap/>
            <w:hideMark/>
          </w:tcPr>
          <w:p w:rsidR="0019239D" w:rsidRPr="005B0796" w:rsidRDefault="0019239D" w:rsidP="004F40E4">
            <w:pPr>
              <w:pStyle w:val="TableText"/>
              <w:jc w:val="center"/>
              <w:rPr>
                <w:lang w:eastAsia="en-AU"/>
              </w:rPr>
            </w:pPr>
            <w:r w:rsidRPr="005B0796">
              <w:rPr>
                <w:lang w:eastAsia="en-AU"/>
              </w:rPr>
              <w:t>No (n = 15,605)</w:t>
            </w:r>
          </w:p>
        </w:tc>
        <w:tc>
          <w:tcPr>
            <w:tcW w:w="2749" w:type="dxa"/>
            <w:gridSpan w:val="3"/>
            <w:noWrap/>
            <w:hideMark/>
          </w:tcPr>
          <w:p w:rsidR="0019239D" w:rsidRPr="005B0796" w:rsidRDefault="0019239D" w:rsidP="004F40E4">
            <w:pPr>
              <w:pStyle w:val="TableText"/>
              <w:jc w:val="center"/>
              <w:rPr>
                <w:lang w:eastAsia="en-AU"/>
              </w:rPr>
            </w:pPr>
            <w:r w:rsidRPr="005B0796">
              <w:rPr>
                <w:lang w:eastAsia="en-AU"/>
              </w:rPr>
              <w:t>Yes (n = 8774)</w:t>
            </w:r>
          </w:p>
        </w:tc>
      </w:tr>
      <w:tr w:rsidR="0019239D" w:rsidRPr="005B0796" w:rsidTr="004F40E4">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noWrap/>
            <w:hideMark/>
          </w:tcPr>
          <w:p w:rsidR="0019239D" w:rsidRPr="005B0796" w:rsidRDefault="0019239D" w:rsidP="004F40E4">
            <w:pPr>
              <w:pStyle w:val="TableText"/>
              <w:rPr>
                <w:lang w:eastAsia="en-AU"/>
              </w:rPr>
            </w:pPr>
          </w:p>
        </w:tc>
        <w:tc>
          <w:tcPr>
            <w:tcW w:w="916" w:type="dxa"/>
            <w:noWrap/>
            <w:hideMark/>
          </w:tcPr>
          <w:p w:rsidR="0019239D" w:rsidRPr="005B0796" w:rsidRDefault="0019239D" w:rsidP="004F40E4">
            <w:pPr>
              <w:pStyle w:val="TableText"/>
              <w:jc w:val="right"/>
              <w:rPr>
                <w:lang w:eastAsia="en-AU"/>
              </w:rPr>
            </w:pPr>
            <w:r w:rsidRPr="005B0796">
              <w:rPr>
                <w:lang w:eastAsia="en-AU"/>
              </w:rPr>
              <w:t>Weighted n</w:t>
            </w:r>
          </w:p>
        </w:tc>
        <w:tc>
          <w:tcPr>
            <w:tcW w:w="916" w:type="dxa"/>
            <w:hideMark/>
          </w:tcPr>
          <w:p w:rsidR="0019239D" w:rsidRPr="005B0796" w:rsidRDefault="0019239D" w:rsidP="004F40E4">
            <w:pPr>
              <w:pStyle w:val="TableText"/>
              <w:jc w:val="right"/>
              <w:rPr>
                <w:lang w:eastAsia="en-AU"/>
              </w:rPr>
            </w:pPr>
            <w:r w:rsidRPr="005B0796">
              <w:t>%</w:t>
            </w:r>
          </w:p>
        </w:tc>
        <w:tc>
          <w:tcPr>
            <w:tcW w:w="916" w:type="dxa"/>
            <w:hideMark/>
          </w:tcPr>
          <w:p w:rsidR="0019239D" w:rsidRPr="005B0796" w:rsidRDefault="0019239D" w:rsidP="004F40E4">
            <w:pPr>
              <w:pStyle w:val="TableText"/>
              <w:jc w:val="right"/>
              <w:rPr>
                <w:lang w:eastAsia="en-AU"/>
              </w:rPr>
            </w:pPr>
            <w:r w:rsidRPr="005B0796">
              <w:t>95% CI</w:t>
            </w:r>
          </w:p>
        </w:tc>
        <w:tc>
          <w:tcPr>
            <w:tcW w:w="916" w:type="dxa"/>
            <w:noWrap/>
            <w:hideMark/>
          </w:tcPr>
          <w:p w:rsidR="0019239D" w:rsidRPr="005B0796" w:rsidRDefault="0019239D" w:rsidP="004F40E4">
            <w:pPr>
              <w:pStyle w:val="TableText"/>
              <w:jc w:val="right"/>
              <w:rPr>
                <w:lang w:eastAsia="en-AU"/>
              </w:rPr>
            </w:pPr>
            <w:r w:rsidRPr="005B0796">
              <w:rPr>
                <w:lang w:eastAsia="en-AU"/>
              </w:rPr>
              <w:t>Weighted n</w:t>
            </w:r>
          </w:p>
        </w:tc>
        <w:tc>
          <w:tcPr>
            <w:tcW w:w="916" w:type="dxa"/>
            <w:hideMark/>
          </w:tcPr>
          <w:p w:rsidR="0019239D" w:rsidRPr="005B0796" w:rsidRDefault="0019239D" w:rsidP="004F40E4">
            <w:pPr>
              <w:pStyle w:val="TableText"/>
              <w:jc w:val="right"/>
              <w:rPr>
                <w:lang w:eastAsia="en-AU"/>
              </w:rPr>
            </w:pPr>
            <w:r w:rsidRPr="005B0796">
              <w:rPr>
                <w:lang w:eastAsia="en-AU"/>
              </w:rPr>
              <w:t>%</w:t>
            </w:r>
          </w:p>
        </w:tc>
        <w:tc>
          <w:tcPr>
            <w:tcW w:w="917" w:type="dxa"/>
            <w:hideMark/>
          </w:tcPr>
          <w:p w:rsidR="0019239D" w:rsidRPr="005B0796" w:rsidRDefault="0019239D" w:rsidP="004F40E4">
            <w:pPr>
              <w:pStyle w:val="TableText"/>
              <w:jc w:val="right"/>
              <w:rPr>
                <w:lang w:eastAsia="en-AU"/>
              </w:rPr>
            </w:pPr>
            <w:r w:rsidRPr="005B0796">
              <w:rPr>
                <w:lang w:eastAsia="en-AU"/>
              </w:rPr>
              <w:t>95% CI</w:t>
            </w:r>
          </w:p>
        </w:tc>
      </w:tr>
      <w:tr w:rsidR="0019239D" w:rsidRPr="005B0796" w:rsidTr="004F40E4">
        <w:trPr>
          <w:cnfStyle w:val="000000100000" w:firstRow="0" w:lastRow="0" w:firstColumn="0" w:lastColumn="0" w:oddVBand="0" w:evenVBand="0" w:oddHBand="1" w:evenHBand="0" w:firstRowFirstColumn="0" w:firstRowLastColumn="0" w:lastRowFirstColumn="0" w:lastRowLastColumn="0"/>
        </w:trPr>
        <w:tc>
          <w:tcPr>
            <w:tcW w:w="1818" w:type="dxa"/>
            <w:hideMark/>
          </w:tcPr>
          <w:p w:rsidR="0019239D" w:rsidRPr="005B0796" w:rsidRDefault="0019239D" w:rsidP="004F40E4">
            <w:pPr>
              <w:pStyle w:val="TableText"/>
              <w:rPr>
                <w:lang w:eastAsia="en-AU"/>
              </w:rPr>
            </w:pPr>
            <w:r w:rsidRPr="005B0796">
              <w:t>Felt life not worth living</w:t>
            </w:r>
            <w:r w:rsidRPr="005B0796">
              <w:rPr>
                <w:vertAlign w:val="superscript"/>
              </w:rPr>
              <w:t>a</w:t>
            </w:r>
          </w:p>
        </w:tc>
        <w:tc>
          <w:tcPr>
            <w:tcW w:w="916" w:type="dxa"/>
            <w:noWrap/>
            <w:hideMark/>
          </w:tcPr>
          <w:p w:rsidR="0019239D" w:rsidRPr="005B0796" w:rsidRDefault="0019239D" w:rsidP="004F40E4">
            <w:pPr>
              <w:pStyle w:val="TableText"/>
              <w:jc w:val="right"/>
              <w:rPr>
                <w:lang w:eastAsia="en-AU"/>
              </w:rPr>
            </w:pPr>
            <w:r w:rsidRPr="005B0796">
              <w:t>3400</w:t>
            </w:r>
          </w:p>
        </w:tc>
        <w:tc>
          <w:tcPr>
            <w:tcW w:w="916" w:type="dxa"/>
            <w:hideMark/>
          </w:tcPr>
          <w:p w:rsidR="0019239D" w:rsidRPr="005B0796" w:rsidRDefault="0019239D" w:rsidP="004F40E4">
            <w:pPr>
              <w:pStyle w:val="TableText"/>
              <w:jc w:val="right"/>
              <w:rPr>
                <w:lang w:eastAsia="en-AU"/>
              </w:rPr>
            </w:pPr>
            <w:r w:rsidRPr="005B0796">
              <w:t>21.8</w:t>
            </w:r>
          </w:p>
        </w:tc>
        <w:tc>
          <w:tcPr>
            <w:tcW w:w="916" w:type="dxa"/>
            <w:hideMark/>
          </w:tcPr>
          <w:p w:rsidR="0019239D" w:rsidRPr="005B0796" w:rsidRDefault="0019239D" w:rsidP="004F40E4">
            <w:pPr>
              <w:pStyle w:val="TableText"/>
              <w:jc w:val="right"/>
              <w:rPr>
                <w:lang w:eastAsia="en-AU"/>
              </w:rPr>
            </w:pPr>
            <w:r w:rsidRPr="005B0796">
              <w:t>19.3, 24.5</w:t>
            </w:r>
          </w:p>
        </w:tc>
        <w:tc>
          <w:tcPr>
            <w:tcW w:w="916" w:type="dxa"/>
            <w:noWrap/>
            <w:hideMark/>
          </w:tcPr>
          <w:p w:rsidR="0019239D" w:rsidRPr="005B0796" w:rsidRDefault="0019239D" w:rsidP="004F40E4">
            <w:pPr>
              <w:pStyle w:val="TableText"/>
              <w:jc w:val="right"/>
              <w:rPr>
                <w:lang w:eastAsia="en-AU"/>
              </w:rPr>
            </w:pPr>
            <w:r w:rsidRPr="005B0796">
              <w:t>3197</w:t>
            </w:r>
          </w:p>
        </w:tc>
        <w:tc>
          <w:tcPr>
            <w:tcW w:w="916" w:type="dxa"/>
            <w:hideMark/>
          </w:tcPr>
          <w:p w:rsidR="0019239D" w:rsidRPr="005B0796" w:rsidRDefault="0019239D" w:rsidP="004F40E4">
            <w:pPr>
              <w:pStyle w:val="TableText"/>
              <w:jc w:val="right"/>
              <w:rPr>
                <w:lang w:eastAsia="en-AU"/>
              </w:rPr>
            </w:pPr>
            <w:r w:rsidRPr="005B0796">
              <w:t>36.4</w:t>
            </w:r>
          </w:p>
        </w:tc>
        <w:tc>
          <w:tcPr>
            <w:tcW w:w="917" w:type="dxa"/>
            <w:hideMark/>
          </w:tcPr>
          <w:p w:rsidR="0019239D" w:rsidRPr="005B0796" w:rsidRDefault="0019239D" w:rsidP="004F40E4">
            <w:pPr>
              <w:pStyle w:val="TableText"/>
              <w:jc w:val="right"/>
              <w:rPr>
                <w:lang w:eastAsia="en-AU"/>
              </w:rPr>
            </w:pPr>
            <w:r w:rsidRPr="005B0796">
              <w:t>34.1, 38.9</w:t>
            </w:r>
          </w:p>
        </w:tc>
      </w:tr>
      <w:tr w:rsidR="0019239D" w:rsidRPr="005B0796" w:rsidTr="004F40E4">
        <w:tc>
          <w:tcPr>
            <w:tcW w:w="1818" w:type="dxa"/>
            <w:hideMark/>
          </w:tcPr>
          <w:p w:rsidR="0019239D" w:rsidRPr="005B0796" w:rsidRDefault="0019239D" w:rsidP="004F40E4">
            <w:pPr>
              <w:pStyle w:val="TableText"/>
              <w:rPr>
                <w:lang w:eastAsia="en-AU"/>
              </w:rPr>
            </w:pPr>
            <w:r w:rsidRPr="005B0796">
              <w:t>Felt so low thought about committing suicide</w:t>
            </w:r>
            <w:r w:rsidRPr="005B0796">
              <w:rPr>
                <w:vertAlign w:val="superscript"/>
              </w:rPr>
              <w:t>b</w:t>
            </w:r>
          </w:p>
        </w:tc>
        <w:tc>
          <w:tcPr>
            <w:tcW w:w="916" w:type="dxa"/>
            <w:noWrap/>
            <w:hideMark/>
          </w:tcPr>
          <w:p w:rsidR="0019239D" w:rsidRPr="005B0796" w:rsidRDefault="0019239D" w:rsidP="004F40E4">
            <w:pPr>
              <w:pStyle w:val="TableText"/>
              <w:jc w:val="right"/>
              <w:rPr>
                <w:lang w:eastAsia="en-AU"/>
              </w:rPr>
            </w:pPr>
            <w:r w:rsidRPr="005B0796">
              <w:t>2481</w:t>
            </w:r>
          </w:p>
        </w:tc>
        <w:tc>
          <w:tcPr>
            <w:tcW w:w="916" w:type="dxa"/>
            <w:hideMark/>
          </w:tcPr>
          <w:p w:rsidR="0019239D" w:rsidRPr="005B0796" w:rsidRDefault="0019239D" w:rsidP="004F40E4">
            <w:pPr>
              <w:pStyle w:val="TableText"/>
              <w:jc w:val="right"/>
              <w:rPr>
                <w:lang w:eastAsia="en-AU"/>
              </w:rPr>
            </w:pPr>
            <w:r w:rsidRPr="005B0796">
              <w:t>15.9</w:t>
            </w:r>
          </w:p>
        </w:tc>
        <w:tc>
          <w:tcPr>
            <w:tcW w:w="916" w:type="dxa"/>
            <w:hideMark/>
          </w:tcPr>
          <w:p w:rsidR="0019239D" w:rsidRPr="005B0796" w:rsidRDefault="0019239D" w:rsidP="004F40E4">
            <w:pPr>
              <w:pStyle w:val="TableText"/>
              <w:jc w:val="right"/>
              <w:rPr>
                <w:lang w:eastAsia="en-AU"/>
              </w:rPr>
            </w:pPr>
            <w:r w:rsidRPr="005B0796">
              <w:t>13.7, 18.4</w:t>
            </w:r>
          </w:p>
        </w:tc>
        <w:tc>
          <w:tcPr>
            <w:tcW w:w="916" w:type="dxa"/>
            <w:noWrap/>
            <w:hideMark/>
          </w:tcPr>
          <w:p w:rsidR="0019239D" w:rsidRPr="005B0796" w:rsidRDefault="0019239D" w:rsidP="004F40E4">
            <w:pPr>
              <w:pStyle w:val="TableText"/>
              <w:jc w:val="right"/>
              <w:rPr>
                <w:lang w:eastAsia="en-AU"/>
              </w:rPr>
            </w:pPr>
            <w:r w:rsidRPr="005B0796">
              <w:t>2370</w:t>
            </w:r>
          </w:p>
        </w:tc>
        <w:tc>
          <w:tcPr>
            <w:tcW w:w="916" w:type="dxa"/>
            <w:hideMark/>
          </w:tcPr>
          <w:p w:rsidR="0019239D" w:rsidRPr="005B0796" w:rsidRDefault="0019239D" w:rsidP="004F40E4">
            <w:pPr>
              <w:pStyle w:val="TableText"/>
              <w:jc w:val="right"/>
              <w:rPr>
                <w:lang w:eastAsia="en-AU"/>
              </w:rPr>
            </w:pPr>
            <w:r w:rsidRPr="005B0796">
              <w:t>27.0</w:t>
            </w:r>
          </w:p>
        </w:tc>
        <w:tc>
          <w:tcPr>
            <w:tcW w:w="917" w:type="dxa"/>
            <w:hideMark/>
          </w:tcPr>
          <w:p w:rsidR="0019239D" w:rsidRPr="005B0796" w:rsidRDefault="0019239D" w:rsidP="004F40E4">
            <w:pPr>
              <w:pStyle w:val="TableText"/>
              <w:jc w:val="right"/>
              <w:rPr>
                <w:lang w:eastAsia="en-AU"/>
              </w:rPr>
            </w:pPr>
            <w:r w:rsidRPr="005B0796">
              <w:t>24.8, 29.3</w:t>
            </w:r>
          </w:p>
        </w:tc>
      </w:tr>
      <w:tr w:rsidR="0019239D" w:rsidRPr="005B0796" w:rsidTr="004F40E4">
        <w:trPr>
          <w:cnfStyle w:val="000000100000" w:firstRow="0" w:lastRow="0" w:firstColumn="0" w:lastColumn="0" w:oddVBand="0" w:evenVBand="0" w:oddHBand="1" w:evenHBand="0" w:firstRowFirstColumn="0" w:firstRowLastColumn="0" w:lastRowFirstColumn="0" w:lastRowLastColumn="0"/>
        </w:trPr>
        <w:tc>
          <w:tcPr>
            <w:tcW w:w="1818" w:type="dxa"/>
            <w:hideMark/>
          </w:tcPr>
          <w:p w:rsidR="0019239D" w:rsidRPr="005B0796" w:rsidRDefault="0019239D" w:rsidP="004F40E4">
            <w:pPr>
              <w:pStyle w:val="TableText"/>
              <w:rPr>
                <w:lang w:eastAsia="en-AU"/>
              </w:rPr>
            </w:pPr>
            <w:r w:rsidRPr="005B0796">
              <w:t>Made a suicide plan</w:t>
            </w:r>
            <w:r w:rsidRPr="005B0796">
              <w:rPr>
                <w:vertAlign w:val="superscript"/>
              </w:rPr>
              <w:t>c</w:t>
            </w:r>
          </w:p>
        </w:tc>
        <w:tc>
          <w:tcPr>
            <w:tcW w:w="916" w:type="dxa"/>
            <w:noWrap/>
            <w:hideMark/>
          </w:tcPr>
          <w:p w:rsidR="0019239D" w:rsidRPr="005B0796" w:rsidRDefault="0019239D" w:rsidP="004F40E4">
            <w:pPr>
              <w:pStyle w:val="TableText"/>
              <w:jc w:val="right"/>
              <w:rPr>
                <w:lang w:eastAsia="en-AU"/>
              </w:rPr>
            </w:pPr>
            <w:r w:rsidRPr="005B0796">
              <w:t>723</w:t>
            </w:r>
          </w:p>
        </w:tc>
        <w:tc>
          <w:tcPr>
            <w:tcW w:w="916" w:type="dxa"/>
            <w:hideMark/>
          </w:tcPr>
          <w:p w:rsidR="0019239D" w:rsidRPr="005B0796" w:rsidRDefault="0019239D" w:rsidP="004F40E4">
            <w:pPr>
              <w:pStyle w:val="TableText"/>
              <w:jc w:val="right"/>
              <w:rPr>
                <w:lang w:eastAsia="en-AU"/>
              </w:rPr>
            </w:pPr>
            <w:r w:rsidRPr="005B0796">
              <w:t>4.6</w:t>
            </w:r>
          </w:p>
        </w:tc>
        <w:tc>
          <w:tcPr>
            <w:tcW w:w="916" w:type="dxa"/>
            <w:hideMark/>
          </w:tcPr>
          <w:p w:rsidR="0019239D" w:rsidRPr="005B0796" w:rsidRDefault="0019239D" w:rsidP="004F40E4">
            <w:pPr>
              <w:pStyle w:val="TableText"/>
              <w:jc w:val="right"/>
              <w:rPr>
                <w:lang w:eastAsia="en-AU"/>
              </w:rPr>
            </w:pPr>
            <w:r w:rsidRPr="005B0796">
              <w:t>3.4, 6.2</w:t>
            </w:r>
          </w:p>
        </w:tc>
        <w:tc>
          <w:tcPr>
            <w:tcW w:w="916" w:type="dxa"/>
            <w:noWrap/>
            <w:hideMark/>
          </w:tcPr>
          <w:p w:rsidR="0019239D" w:rsidRPr="005B0796" w:rsidRDefault="0019239D" w:rsidP="004F40E4">
            <w:pPr>
              <w:pStyle w:val="TableText"/>
              <w:jc w:val="right"/>
              <w:rPr>
                <w:lang w:eastAsia="en-AU"/>
              </w:rPr>
            </w:pPr>
            <w:r w:rsidRPr="005B0796">
              <w:t>988</w:t>
            </w:r>
          </w:p>
        </w:tc>
        <w:tc>
          <w:tcPr>
            <w:tcW w:w="916" w:type="dxa"/>
            <w:hideMark/>
          </w:tcPr>
          <w:p w:rsidR="0019239D" w:rsidRPr="005B0796" w:rsidRDefault="0019239D" w:rsidP="004F40E4">
            <w:pPr>
              <w:pStyle w:val="TableText"/>
              <w:jc w:val="right"/>
              <w:rPr>
                <w:lang w:eastAsia="en-AU"/>
              </w:rPr>
            </w:pPr>
            <w:r w:rsidRPr="005B0796">
              <w:t>11.3</w:t>
            </w:r>
          </w:p>
        </w:tc>
        <w:tc>
          <w:tcPr>
            <w:tcW w:w="917" w:type="dxa"/>
            <w:hideMark/>
          </w:tcPr>
          <w:p w:rsidR="0019239D" w:rsidRPr="005B0796" w:rsidRDefault="0019239D" w:rsidP="004F40E4">
            <w:pPr>
              <w:pStyle w:val="TableText"/>
              <w:jc w:val="right"/>
              <w:rPr>
                <w:lang w:eastAsia="en-AU"/>
              </w:rPr>
            </w:pPr>
            <w:r w:rsidRPr="005B0796">
              <w:t>9.8, 12.9</w:t>
            </w:r>
          </w:p>
        </w:tc>
      </w:tr>
      <w:tr w:rsidR="0019239D" w:rsidRPr="005B0796" w:rsidTr="004F40E4">
        <w:tc>
          <w:tcPr>
            <w:tcW w:w="1818" w:type="dxa"/>
            <w:noWrap/>
            <w:hideMark/>
          </w:tcPr>
          <w:p w:rsidR="0019239D" w:rsidRPr="005B0796" w:rsidRDefault="0019239D" w:rsidP="004F40E4">
            <w:pPr>
              <w:pStyle w:val="TableText"/>
              <w:rPr>
                <w:lang w:eastAsia="en-AU"/>
              </w:rPr>
            </w:pPr>
            <w:r w:rsidRPr="005B0796">
              <w:t>Attempted suicide</w:t>
            </w:r>
            <w:r w:rsidRPr="005B0796">
              <w:rPr>
                <w:vertAlign w:val="superscript"/>
              </w:rPr>
              <w:t>d</w:t>
            </w:r>
          </w:p>
        </w:tc>
        <w:tc>
          <w:tcPr>
            <w:tcW w:w="916" w:type="dxa"/>
            <w:noWrap/>
            <w:hideMark/>
          </w:tcPr>
          <w:p w:rsidR="0019239D" w:rsidRPr="005B0796" w:rsidRDefault="0019239D" w:rsidP="004F40E4">
            <w:pPr>
              <w:pStyle w:val="TableText"/>
              <w:jc w:val="right"/>
              <w:rPr>
                <w:lang w:eastAsia="en-AU"/>
              </w:rPr>
            </w:pPr>
            <w:r w:rsidRPr="005B0796">
              <w:t>194</w:t>
            </w:r>
          </w:p>
        </w:tc>
        <w:tc>
          <w:tcPr>
            <w:tcW w:w="916" w:type="dxa"/>
            <w:hideMark/>
          </w:tcPr>
          <w:p w:rsidR="0019239D" w:rsidRPr="005B0796" w:rsidRDefault="0019239D" w:rsidP="004F40E4">
            <w:pPr>
              <w:pStyle w:val="TableText"/>
              <w:jc w:val="right"/>
              <w:rPr>
                <w:lang w:eastAsia="en-AU"/>
              </w:rPr>
            </w:pPr>
            <w:r w:rsidRPr="005B0796">
              <w:t>1.2</w:t>
            </w:r>
          </w:p>
        </w:tc>
        <w:tc>
          <w:tcPr>
            <w:tcW w:w="916" w:type="dxa"/>
            <w:hideMark/>
          </w:tcPr>
          <w:p w:rsidR="0019239D" w:rsidRPr="005B0796" w:rsidRDefault="0019239D" w:rsidP="004F40E4">
            <w:pPr>
              <w:pStyle w:val="TableText"/>
              <w:jc w:val="right"/>
              <w:rPr>
                <w:lang w:eastAsia="en-AU"/>
              </w:rPr>
            </w:pPr>
            <w:r w:rsidRPr="005B0796">
              <w:t>0.7, 2.2</w:t>
            </w:r>
          </w:p>
        </w:tc>
        <w:tc>
          <w:tcPr>
            <w:tcW w:w="916" w:type="dxa"/>
            <w:noWrap/>
            <w:hideMark/>
          </w:tcPr>
          <w:p w:rsidR="0019239D" w:rsidRPr="005B0796" w:rsidRDefault="0019239D" w:rsidP="004F40E4">
            <w:pPr>
              <w:pStyle w:val="TableText"/>
              <w:jc w:val="right"/>
              <w:rPr>
                <w:lang w:eastAsia="en-AU"/>
              </w:rPr>
            </w:pPr>
            <w:r w:rsidRPr="005B0796">
              <w:t>244</w:t>
            </w:r>
          </w:p>
        </w:tc>
        <w:tc>
          <w:tcPr>
            <w:tcW w:w="916" w:type="dxa"/>
            <w:hideMark/>
          </w:tcPr>
          <w:p w:rsidR="0019239D" w:rsidRPr="005B0796" w:rsidRDefault="0019239D" w:rsidP="004F40E4">
            <w:pPr>
              <w:pStyle w:val="TableText"/>
              <w:jc w:val="right"/>
              <w:rPr>
                <w:lang w:eastAsia="en-AU"/>
              </w:rPr>
            </w:pPr>
            <w:r w:rsidRPr="005B0796">
              <w:t>2.8</w:t>
            </w:r>
          </w:p>
        </w:tc>
        <w:tc>
          <w:tcPr>
            <w:tcW w:w="917" w:type="dxa"/>
            <w:hideMark/>
          </w:tcPr>
          <w:p w:rsidR="0019239D" w:rsidRPr="005B0796" w:rsidRDefault="0019239D" w:rsidP="004F40E4">
            <w:pPr>
              <w:pStyle w:val="TableText"/>
              <w:jc w:val="right"/>
              <w:rPr>
                <w:lang w:eastAsia="en-AU"/>
              </w:rPr>
            </w:pPr>
            <w:r w:rsidRPr="005B0796">
              <w:t>2.1, 3.8</w:t>
            </w:r>
          </w:p>
        </w:tc>
      </w:tr>
      <w:tr w:rsidR="0019239D" w:rsidRPr="005B0796" w:rsidTr="004F40E4">
        <w:trPr>
          <w:cnfStyle w:val="000000100000" w:firstRow="0" w:lastRow="0" w:firstColumn="0" w:lastColumn="0" w:oddVBand="0" w:evenVBand="0" w:oddHBand="1" w:evenHBand="0" w:firstRowFirstColumn="0" w:firstRowLastColumn="0" w:lastRowFirstColumn="0" w:lastRowLastColumn="0"/>
        </w:trPr>
        <w:tc>
          <w:tcPr>
            <w:tcW w:w="1818" w:type="dxa"/>
            <w:noWrap/>
            <w:hideMark/>
          </w:tcPr>
          <w:p w:rsidR="0019239D" w:rsidRPr="005B0796" w:rsidRDefault="0019239D" w:rsidP="004F40E4">
            <w:pPr>
              <w:pStyle w:val="TableText"/>
              <w:rPr>
                <w:lang w:eastAsia="en-AU"/>
              </w:rPr>
            </w:pPr>
            <w:r w:rsidRPr="005B0796">
              <w:t>Any suicidality</w:t>
            </w:r>
            <w:r w:rsidRPr="005B0796">
              <w:rPr>
                <w:vertAlign w:val="superscript"/>
              </w:rPr>
              <w:t>e</w:t>
            </w:r>
            <w:r w:rsidRPr="005B0796">
              <w:t>*</w:t>
            </w:r>
          </w:p>
        </w:tc>
        <w:tc>
          <w:tcPr>
            <w:tcW w:w="916" w:type="dxa"/>
            <w:noWrap/>
            <w:hideMark/>
          </w:tcPr>
          <w:p w:rsidR="0019239D" w:rsidRPr="005B0796" w:rsidRDefault="0019239D" w:rsidP="004F40E4">
            <w:pPr>
              <w:pStyle w:val="TableText"/>
              <w:jc w:val="right"/>
              <w:rPr>
                <w:lang w:eastAsia="en-AU"/>
              </w:rPr>
            </w:pPr>
            <w:r w:rsidRPr="005B0796">
              <w:t>2497</w:t>
            </w:r>
          </w:p>
        </w:tc>
        <w:tc>
          <w:tcPr>
            <w:tcW w:w="916" w:type="dxa"/>
            <w:hideMark/>
          </w:tcPr>
          <w:p w:rsidR="0019239D" w:rsidRPr="005B0796" w:rsidRDefault="0019239D" w:rsidP="004F40E4">
            <w:pPr>
              <w:pStyle w:val="TableText"/>
              <w:jc w:val="right"/>
              <w:rPr>
                <w:lang w:eastAsia="en-AU"/>
              </w:rPr>
            </w:pPr>
            <w:r w:rsidRPr="005B0796">
              <w:t>16.0</w:t>
            </w:r>
          </w:p>
        </w:tc>
        <w:tc>
          <w:tcPr>
            <w:tcW w:w="916" w:type="dxa"/>
            <w:hideMark/>
          </w:tcPr>
          <w:p w:rsidR="0019239D" w:rsidRPr="005B0796" w:rsidRDefault="0019239D" w:rsidP="004F40E4">
            <w:pPr>
              <w:pStyle w:val="TableText"/>
              <w:jc w:val="right"/>
              <w:rPr>
                <w:lang w:eastAsia="en-AU"/>
              </w:rPr>
            </w:pPr>
            <w:r w:rsidRPr="005B0796">
              <w:t>13.8, 18.5</w:t>
            </w:r>
          </w:p>
        </w:tc>
        <w:tc>
          <w:tcPr>
            <w:tcW w:w="916" w:type="dxa"/>
            <w:noWrap/>
            <w:hideMark/>
          </w:tcPr>
          <w:p w:rsidR="0019239D" w:rsidRPr="005B0796" w:rsidRDefault="0019239D" w:rsidP="004F40E4">
            <w:pPr>
              <w:pStyle w:val="TableText"/>
              <w:jc w:val="right"/>
              <w:rPr>
                <w:lang w:eastAsia="en-AU"/>
              </w:rPr>
            </w:pPr>
            <w:r w:rsidRPr="005B0796">
              <w:t>2393</w:t>
            </w:r>
          </w:p>
        </w:tc>
        <w:tc>
          <w:tcPr>
            <w:tcW w:w="916" w:type="dxa"/>
            <w:hideMark/>
          </w:tcPr>
          <w:p w:rsidR="0019239D" w:rsidRPr="005B0796" w:rsidRDefault="0019239D" w:rsidP="004F40E4">
            <w:pPr>
              <w:pStyle w:val="TableText"/>
              <w:jc w:val="right"/>
              <w:rPr>
                <w:lang w:eastAsia="en-AU"/>
              </w:rPr>
            </w:pPr>
            <w:r w:rsidRPr="005B0796">
              <w:t>27.3</w:t>
            </w:r>
          </w:p>
        </w:tc>
        <w:tc>
          <w:tcPr>
            <w:tcW w:w="917" w:type="dxa"/>
            <w:hideMark/>
          </w:tcPr>
          <w:p w:rsidR="0019239D" w:rsidRPr="005B0796" w:rsidRDefault="0019239D" w:rsidP="004F40E4">
            <w:pPr>
              <w:pStyle w:val="TableText"/>
              <w:jc w:val="right"/>
              <w:rPr>
                <w:lang w:eastAsia="en-AU"/>
              </w:rPr>
            </w:pPr>
            <w:r w:rsidRPr="005B0796">
              <w:t>25.1, 29.6</w:t>
            </w:r>
          </w:p>
        </w:tc>
      </w:tr>
    </w:tbl>
    <w:p w:rsidR="0019239D" w:rsidRPr="005B0796" w:rsidRDefault="0019239D" w:rsidP="0019239D">
      <w:pPr>
        <w:pStyle w:val="TableNotes"/>
      </w:pPr>
      <w:bookmarkStart w:id="863" w:name="_Ref484520299"/>
      <w:bookmarkStart w:id="864" w:name="_Toc482023852"/>
      <w:bookmarkStart w:id="865" w:name="_Toc487014390"/>
      <w:r w:rsidRPr="005B0796">
        <w:t xml:space="preserve">a DVA client vs not: OR 2.1, 95% CI 1.7, 2.5; </w:t>
      </w:r>
    </w:p>
    <w:p w:rsidR="0019239D" w:rsidRPr="005B0796" w:rsidRDefault="0019239D" w:rsidP="0019239D">
      <w:pPr>
        <w:pStyle w:val="TableNotes"/>
      </w:pPr>
      <w:r w:rsidRPr="005B0796">
        <w:t xml:space="preserve">b DVA client vs not: OR 1.9 95% CI 1.6, 2.4; </w:t>
      </w:r>
    </w:p>
    <w:p w:rsidR="0019239D" w:rsidRPr="005B0796" w:rsidRDefault="0019239D" w:rsidP="0019239D">
      <w:pPr>
        <w:pStyle w:val="TableNotes"/>
      </w:pPr>
      <w:r w:rsidRPr="005B0796">
        <w:t>c DVA client vs not: OR 2.6 95% CI 1.9, 3.7;</w:t>
      </w:r>
    </w:p>
    <w:p w:rsidR="0019239D" w:rsidRPr="005B0796" w:rsidRDefault="0019239D" w:rsidP="0019239D">
      <w:pPr>
        <w:pStyle w:val="TableNotes"/>
      </w:pPr>
      <w:r w:rsidRPr="005B0796">
        <w:t>d DVA client vs not: OR 2.3 95% CI 1.2, 4.5</w:t>
      </w:r>
    </w:p>
    <w:p w:rsidR="0019239D" w:rsidRPr="005B0796" w:rsidRDefault="0019239D" w:rsidP="0019239D">
      <w:pPr>
        <w:pStyle w:val="TableNotes"/>
      </w:pPr>
      <w:r w:rsidRPr="005B0796">
        <w:t>e DVA client vs not: OR 1.9 95% CI 1.6, 2.4.</w:t>
      </w:r>
    </w:p>
    <w:p w:rsidR="0019239D" w:rsidRPr="001B0335" w:rsidRDefault="0019239D" w:rsidP="0019239D">
      <w:pPr>
        <w:pStyle w:val="TableNotes"/>
        <w:rPr>
          <w:rFonts w:cs="@헤드라인A"/>
        </w:rPr>
      </w:pPr>
      <w:r w:rsidRPr="001B0335">
        <w:t xml:space="preserve">* Calculated as yes to </w:t>
      </w:r>
      <w:r w:rsidR="001B0335">
        <w:t>‘</w:t>
      </w:r>
      <w:r w:rsidR="00F773A8" w:rsidRPr="001B0335">
        <w:t xml:space="preserve">felt </w:t>
      </w:r>
      <w:r w:rsidRPr="001B0335">
        <w:t>so low thought</w:t>
      </w:r>
      <w:r w:rsidRPr="001B0335">
        <w:rPr>
          <w:rFonts w:cs="@헤드라인A"/>
        </w:rPr>
        <w:t xml:space="preserve"> about committing suicide</w:t>
      </w:r>
      <w:r w:rsidR="001B0335">
        <w:rPr>
          <w:rFonts w:cs="@헤드라인A"/>
        </w:rPr>
        <w:t>’</w:t>
      </w:r>
      <w:r w:rsidRPr="001B0335">
        <w:rPr>
          <w:rFonts w:cs="@헤드라인A"/>
        </w:rPr>
        <w:t xml:space="preserve">, </w:t>
      </w:r>
      <w:r w:rsidR="001B0335">
        <w:rPr>
          <w:rFonts w:cs="@헤드라인A"/>
        </w:rPr>
        <w:t>‘</w:t>
      </w:r>
      <w:r w:rsidR="00F773A8" w:rsidRPr="001B0335">
        <w:rPr>
          <w:rFonts w:cs="@헤드라인A"/>
        </w:rPr>
        <w:t xml:space="preserve">made </w:t>
      </w:r>
      <w:r w:rsidRPr="001B0335">
        <w:rPr>
          <w:rFonts w:cs="@헤드라인A"/>
        </w:rPr>
        <w:t>a suicide plan</w:t>
      </w:r>
      <w:r w:rsidR="001B0335">
        <w:rPr>
          <w:rFonts w:cs="@헤드라인A"/>
        </w:rPr>
        <w:t>’</w:t>
      </w:r>
      <w:r w:rsidRPr="001B0335">
        <w:rPr>
          <w:rFonts w:cs="@헤드라인A"/>
        </w:rPr>
        <w:t xml:space="preserve">, or </w:t>
      </w:r>
      <w:r w:rsidR="001B0335">
        <w:rPr>
          <w:rFonts w:cs="@헤드라인A"/>
        </w:rPr>
        <w:t>‘</w:t>
      </w:r>
      <w:r w:rsidR="00F773A8" w:rsidRPr="001B0335">
        <w:rPr>
          <w:rFonts w:cs="@헤드라인A"/>
        </w:rPr>
        <w:t xml:space="preserve">attempted </w:t>
      </w:r>
      <w:r w:rsidRPr="001B0335">
        <w:rPr>
          <w:rFonts w:cs="@헤드라인A"/>
        </w:rPr>
        <w:t>suicide</w:t>
      </w:r>
      <w:r w:rsidR="001B0335">
        <w:rPr>
          <w:rFonts w:cs="@헤드라인A"/>
        </w:rPr>
        <w:t>’</w:t>
      </w:r>
    </w:p>
    <w:p w:rsidR="0019239D" w:rsidRPr="005B0796" w:rsidRDefault="0019239D" w:rsidP="0019239D">
      <w:pPr>
        <w:pStyle w:val="TableNotes"/>
        <w:rPr>
          <w:bCs/>
        </w:rPr>
      </w:pPr>
      <w:r w:rsidRPr="005B0796">
        <w:rPr>
          <w:bCs/>
        </w:rPr>
        <w:t>Note</w:t>
      </w:r>
      <w:r w:rsidR="008C2520" w:rsidRPr="005B0796">
        <w:rPr>
          <w:bCs/>
        </w:rPr>
        <w:t>s:</w:t>
      </w:r>
      <w:r w:rsidR="008C2520" w:rsidRPr="005B0796">
        <w:rPr>
          <w:bCs/>
        </w:rPr>
        <w:br/>
      </w:r>
      <w:r w:rsidRPr="005B0796">
        <w:rPr>
          <w:bCs/>
        </w:rPr>
        <w:t xml:space="preserve">95%CI: 95% </w:t>
      </w:r>
      <w:r w:rsidR="00564689" w:rsidRPr="005B0796">
        <w:rPr>
          <w:bCs/>
        </w:rPr>
        <w:t>confidence interval</w:t>
      </w:r>
    </w:p>
    <w:p w:rsidR="0019239D" w:rsidRPr="005B0796" w:rsidRDefault="0019239D" w:rsidP="0019239D">
      <w:pPr>
        <w:pStyle w:val="TableNotes"/>
        <w:rPr>
          <w:color w:val="000000" w:themeColor="text1"/>
        </w:rPr>
      </w:pPr>
      <w:r w:rsidRPr="005B0796">
        <w:rPr>
          <w:color w:val="000000" w:themeColor="text1"/>
        </w:rPr>
        <w:t xml:space="preserve">This terminology reflects the standardised survey item used in this study </w:t>
      </w:r>
      <w:r w:rsidRPr="005B0796">
        <w:rPr>
          <w:rFonts w:asciiTheme="minorHAnsi" w:hAnsiTheme="minorHAnsi"/>
          <w:color w:val="000000" w:themeColor="text1"/>
        </w:rPr>
        <w:t xml:space="preserve">– however, </w:t>
      </w:r>
      <w:r w:rsidRPr="005B0796">
        <w:rPr>
          <w:color w:val="000000" w:themeColor="text1"/>
        </w:rPr>
        <w:t xml:space="preserve">it should be noted that this is no longer considered an appropriate description, and the term </w:t>
      </w:r>
      <w:r w:rsidR="00462A0C" w:rsidRPr="005B0796">
        <w:rPr>
          <w:color w:val="000000" w:themeColor="text1"/>
        </w:rPr>
        <w:t>‘</w:t>
      </w:r>
      <w:r w:rsidR="001B0335">
        <w:rPr>
          <w:color w:val="000000" w:themeColor="text1"/>
        </w:rPr>
        <w:t xml:space="preserve">thought about </w:t>
      </w:r>
      <w:r w:rsidRPr="005B0796">
        <w:rPr>
          <w:color w:val="000000" w:themeColor="text1"/>
        </w:rPr>
        <w:t>committing suicide</w:t>
      </w:r>
      <w:r w:rsidR="00462A0C" w:rsidRPr="005B0796">
        <w:rPr>
          <w:color w:val="000000" w:themeColor="text1"/>
        </w:rPr>
        <w:t>’</w:t>
      </w:r>
      <w:r w:rsidRPr="005B0796">
        <w:rPr>
          <w:color w:val="000000" w:themeColor="text1"/>
        </w:rPr>
        <w:t xml:space="preserve"> should be replaced with </w:t>
      </w:r>
      <w:r w:rsidR="00462A0C" w:rsidRPr="005B0796">
        <w:rPr>
          <w:color w:val="000000" w:themeColor="text1"/>
        </w:rPr>
        <w:t>‘</w:t>
      </w:r>
      <w:r w:rsidRPr="005B0796">
        <w:rPr>
          <w:color w:val="000000" w:themeColor="text1"/>
        </w:rPr>
        <w:t>thought about taking their own life</w:t>
      </w:r>
      <w:r w:rsidR="00462A0C" w:rsidRPr="005B0796">
        <w:rPr>
          <w:color w:val="000000" w:themeColor="text1"/>
        </w:rPr>
        <w:t>’</w:t>
      </w:r>
    </w:p>
    <w:p w:rsidR="0019239D" w:rsidRPr="005B0796" w:rsidRDefault="0019239D" w:rsidP="0019239D">
      <w:pPr>
        <w:pStyle w:val="FigureName"/>
      </w:pPr>
      <w:bookmarkStart w:id="866" w:name="_Ref494282020"/>
      <w:bookmarkStart w:id="867" w:name="_Toc51190055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4</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42</w:t>
      </w:r>
      <w:r w:rsidR="00D30A3C">
        <w:rPr>
          <w:noProof/>
        </w:rPr>
        <w:fldChar w:fldCharType="end"/>
      </w:r>
      <w:bookmarkEnd w:id="863"/>
      <w:bookmarkEnd w:id="866"/>
      <w:r w:rsidRPr="005B0796">
        <w:tab/>
        <w:t>Estimated prevalence of suicidality in Transitioned ADF members</w:t>
      </w:r>
      <w:r w:rsidR="001B0335">
        <w:t>,</w:t>
      </w:r>
      <w:r w:rsidRPr="005B0796">
        <w:t xml:space="preserve"> by DVA status</w:t>
      </w:r>
      <w:bookmarkEnd w:id="864"/>
      <w:bookmarkEnd w:id="865"/>
      <w:bookmarkEnd w:id="867"/>
    </w:p>
    <w:tbl>
      <w:tblPr>
        <w:tblW w:w="5000" w:type="pct"/>
        <w:tblLayout w:type="fixed"/>
        <w:tblCellMar>
          <w:left w:w="115" w:type="dxa"/>
          <w:right w:w="115" w:type="dxa"/>
        </w:tblCellMar>
        <w:tblLook w:val="04A0" w:firstRow="1" w:lastRow="0" w:firstColumn="1" w:lastColumn="0" w:noHBand="0" w:noVBand="1"/>
      </w:tblPr>
      <w:tblGrid>
        <w:gridCol w:w="7329"/>
      </w:tblGrid>
      <w:tr w:rsidR="0019239D" w:rsidRPr="005B0796" w:rsidTr="00904E4A">
        <w:trPr>
          <w:cantSplit/>
        </w:trPr>
        <w:tc>
          <w:tcPr>
            <w:tcW w:w="9010" w:type="dxa"/>
            <w:tcBorders>
              <w:top w:val="nil"/>
              <w:left w:val="nil"/>
              <w:bottom w:val="nil"/>
              <w:right w:val="nil"/>
            </w:tcBorders>
          </w:tcPr>
          <w:p w:rsidR="0019239D" w:rsidRPr="005B0796" w:rsidRDefault="0019239D" w:rsidP="00904E4A">
            <w:pPr>
              <w:keepNext/>
            </w:pPr>
            <w:r w:rsidRPr="005B0796">
              <w:rPr>
                <w:noProof/>
                <w:lang w:eastAsia="en-AU"/>
              </w:rPr>
              <w:drawing>
                <wp:inline distT="0" distB="0" distL="0" distR="0" wp14:anchorId="49B6BD24" wp14:editId="0282E23A">
                  <wp:extent cx="4572000" cy="2743200"/>
                  <wp:effectExtent l="0" t="0" r="0" b="0"/>
                  <wp:docPr id="102" name="Chart 102" descr="Figure 4.42 Estimated prevalence of suicidality in Transitioned ADF members by DVA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bl>
    <w:p w:rsidR="0019239D" w:rsidRPr="005B0796" w:rsidRDefault="0019239D" w:rsidP="0019239D">
      <w:pPr>
        <w:pStyle w:val="TableNotes"/>
      </w:pPr>
      <w:r w:rsidRPr="005B0796">
        <w:t>Suicide ideation Q1: DVA client vs not: OR 2.1, 95% CI 1.7, 2.5</w:t>
      </w:r>
    </w:p>
    <w:p w:rsidR="0019239D" w:rsidRPr="005B0796" w:rsidRDefault="0019239D" w:rsidP="0019239D">
      <w:pPr>
        <w:pStyle w:val="TableNotes"/>
      </w:pPr>
      <w:r w:rsidRPr="005B0796">
        <w:t>Suicide ideation Q2: DVA client vs not: OR 1.9</w:t>
      </w:r>
      <w:r w:rsidR="001B0335">
        <w:t>,</w:t>
      </w:r>
      <w:r w:rsidRPr="005B0796">
        <w:t xml:space="preserve"> 95% CI 1.6, 2.4 </w:t>
      </w:r>
    </w:p>
    <w:p w:rsidR="0019239D" w:rsidRPr="005B0796" w:rsidRDefault="0019239D" w:rsidP="0019239D">
      <w:pPr>
        <w:pStyle w:val="TableNotes"/>
      </w:pPr>
      <w:r w:rsidRPr="005B0796">
        <w:t>Suicide plan: DVA client vs not: OR 2.6</w:t>
      </w:r>
      <w:r w:rsidR="001B0335">
        <w:t>,</w:t>
      </w:r>
      <w:r w:rsidRPr="005B0796">
        <w:t xml:space="preserve"> 95% CI 1.9, 3.7</w:t>
      </w:r>
    </w:p>
    <w:p w:rsidR="0019239D" w:rsidRPr="005B0796" w:rsidRDefault="0019239D" w:rsidP="0019239D">
      <w:pPr>
        <w:pStyle w:val="TableNotes"/>
      </w:pPr>
      <w:r w:rsidRPr="005B0796">
        <w:t>Suicide attempt: DVA client vs not: OR 2.3</w:t>
      </w:r>
      <w:r w:rsidR="001B0335">
        <w:t>,</w:t>
      </w:r>
      <w:r w:rsidRPr="005B0796">
        <w:t xml:space="preserve"> 95% CI 1.2, 4.5</w:t>
      </w:r>
    </w:p>
    <w:p w:rsidR="0019239D" w:rsidRPr="005B0796" w:rsidRDefault="0019239D" w:rsidP="0019239D">
      <w:pPr>
        <w:pStyle w:val="TableNotes"/>
      </w:pPr>
      <w:r w:rsidRPr="005B0796">
        <w:t>Any suicidality: DVA client vs not: OR 1.9</w:t>
      </w:r>
      <w:r w:rsidR="001B0335">
        <w:t>,</w:t>
      </w:r>
      <w:r w:rsidRPr="005B0796">
        <w:t xml:space="preserve"> 95% CI 1.6, 2.4</w:t>
      </w:r>
    </w:p>
    <w:p w:rsidR="0019239D" w:rsidRPr="005B0796" w:rsidRDefault="0019239D" w:rsidP="00D123CA"/>
    <w:p w:rsidR="0019239D" w:rsidRPr="005B0796" w:rsidRDefault="0019239D" w:rsidP="00D123CA">
      <w:pPr>
        <w:sectPr w:rsidR="0019239D" w:rsidRPr="005B0796" w:rsidSect="00BE5E98">
          <w:footerReference w:type="even" r:id="rId170"/>
          <w:footerReference w:type="default" r:id="rId171"/>
          <w:pgSz w:w="9979" w:h="14170" w:code="243"/>
          <w:pgMar w:top="1440" w:right="1152" w:bottom="1440" w:left="1728" w:header="576" w:footer="576" w:gutter="0"/>
          <w:cols w:space="708"/>
          <w:docGrid w:linePitch="360"/>
        </w:sectPr>
      </w:pPr>
    </w:p>
    <w:p w:rsidR="0019239D" w:rsidRPr="005B0796" w:rsidRDefault="00497778" w:rsidP="00497778">
      <w:pPr>
        <w:pStyle w:val="Heading1"/>
      </w:pPr>
      <w:bookmarkStart w:id="868" w:name="_Toc494449732"/>
      <w:bookmarkStart w:id="869" w:name="_Toc511900314"/>
      <w:r w:rsidRPr="005B0796">
        <w:t>Self-reported current mental health symptoms, and trauma exposure among Transitioned ADF and 2015 Regular ADF members</w:t>
      </w:r>
      <w:bookmarkEnd w:id="868"/>
      <w:bookmarkEnd w:id="869"/>
    </w:p>
    <w:p w:rsidR="0064122F" w:rsidRPr="005B0796" w:rsidRDefault="0064122F" w:rsidP="0064122F">
      <w:pPr>
        <w:pStyle w:val="ShadedBullet"/>
      </w:pPr>
      <w:r w:rsidRPr="005B0796">
        <w:t>Little is known about the similarities and differences in the mental health of recently transitioned and current serving Regular ADF members and how symptoms change and develop in ADF members once they transition.</w:t>
      </w:r>
    </w:p>
    <w:p w:rsidR="0064122F" w:rsidRPr="005B0796" w:rsidRDefault="0064122F" w:rsidP="0064122F">
      <w:pPr>
        <w:pStyle w:val="ShadedBullet"/>
      </w:pPr>
      <w:r w:rsidRPr="005B0796">
        <w:t>While structured diagnostic interviews such as the World Mental Health Survey Initiative Version of the World Health Organization Composite International Diagnostic Interview – version 3.0 (CIDI) are considered the gold standard for establishing prevalence estimates of mental disorder</w:t>
      </w:r>
      <w:r w:rsidR="001B0335">
        <w:t>s</w:t>
      </w:r>
      <w:r w:rsidRPr="005B0796">
        <w:t xml:space="preserve"> (especially 12-month disorder</w:t>
      </w:r>
      <w:r w:rsidR="001B0335">
        <w:t>s</w:t>
      </w:r>
      <w:r w:rsidRPr="005B0796">
        <w:t>), self-report measures of mental health can provide valuable additional information on the severity and nature of current symptomatology.</w:t>
      </w:r>
    </w:p>
    <w:p w:rsidR="0064122F" w:rsidRPr="005B0796" w:rsidRDefault="0064122F" w:rsidP="0064122F">
      <w:pPr>
        <w:pStyle w:val="ShadedBullet"/>
      </w:pPr>
      <w:r w:rsidRPr="005B0796">
        <w:t>Chapter 5 therefore extends the findings from chapter 4 by using weighted estimates of self-reported mental health outcomes to:</w:t>
      </w:r>
    </w:p>
    <w:p w:rsidR="0064122F" w:rsidRPr="005B0796" w:rsidRDefault="0064122F" w:rsidP="0064122F">
      <w:pPr>
        <w:pStyle w:val="ShadedDash"/>
      </w:pPr>
      <w:r w:rsidRPr="005B0796">
        <w:tab/>
        <w:t>–</w:t>
      </w:r>
      <w:r w:rsidRPr="005B0796">
        <w:tab/>
        <w:t>examine the severity of psychological distress, problem drinking, posttraumatic stress symptoms (PTSD), anger, depression, generalised anxiety, suicidality and illicit drug use in ADF members who transitioned from the Regular ADF between 2010 and 2014 (Transitioned ADF) compared with the 2015 Regular ADF</w:t>
      </w:r>
    </w:p>
    <w:p w:rsidR="0064122F" w:rsidRPr="005B0796" w:rsidRDefault="0064122F" w:rsidP="0064122F">
      <w:pPr>
        <w:pStyle w:val="ShadedDash"/>
      </w:pPr>
      <w:r w:rsidRPr="005B0796">
        <w:tab/>
        <w:t>–</w:t>
      </w:r>
      <w:r w:rsidRPr="005B0796">
        <w:tab/>
        <w:t>provide a summary of changes in the severity of psychological distress, problem drinking, PTSD, anger, depression and suicidality in the Regular ADF between 2010 (using results from the 2010 ADF Mental Health Prevalence and Wellbeing Study (MHPWS)) and 2015</w:t>
      </w:r>
    </w:p>
    <w:p w:rsidR="0064122F" w:rsidRPr="005B0796" w:rsidRDefault="0064122F" w:rsidP="0064122F">
      <w:pPr>
        <w:pStyle w:val="ShadedDash"/>
      </w:pPr>
      <w:r w:rsidRPr="005B0796">
        <w:tab/>
        <w:t>–</w:t>
      </w:r>
      <w:r w:rsidRPr="005B0796">
        <w:tab/>
        <w:t xml:space="preserve">compare the severity of psychological distress, problem alcohol use, PTSD, anger, depression, generalised anxiety, suicidality and illicit drug use in Transitioned ADF, according to years since transition and transition status (Ex-Serving, Inactive Reservists, Active Reservists). </w:t>
      </w:r>
    </w:p>
    <w:p w:rsidR="0064122F" w:rsidRPr="005B0796" w:rsidRDefault="0064122F" w:rsidP="0064122F">
      <w:pPr>
        <w:pStyle w:val="ShadedBullet"/>
        <w:keepLines/>
      </w:pPr>
      <w:r w:rsidRPr="005B0796">
        <w:t>Finally, chapter 5 will provide a detailed summary of the estimated prevalence of self-reported lifetime deployment exposures and trauma exposure in the Transitioned ADF and 2015 Regular ADF, to provide details of the background morbidity (in terms of risk and protective factors for poor mental health) in these two populations.</w:t>
      </w:r>
    </w:p>
    <w:p w:rsidR="0064122F" w:rsidRPr="005B0796" w:rsidRDefault="0064122F" w:rsidP="0064122F">
      <w:pPr>
        <w:pStyle w:val="ShadedBoxText"/>
      </w:pPr>
      <w:r w:rsidRPr="005B0796">
        <w:rPr>
          <w:b/>
        </w:rPr>
        <w:t>Glossary:</w:t>
      </w:r>
      <w:r w:rsidRPr="005B0796">
        <w:t xml:space="preserve"> refer to the Glossary of terms for definitions of key terms in this section.</w:t>
      </w:r>
    </w:p>
    <w:p w:rsidR="00497778" w:rsidRPr="005B0796" w:rsidRDefault="00497778" w:rsidP="00730DF8">
      <w:pPr>
        <w:keepLines/>
      </w:pPr>
      <w:r w:rsidRPr="005B0796">
        <w:t>Little is known about the similarities and differences in the mental health of recently transitioned and current serving Regular ADF members. Although a comprehensive assessment is conducted to review a member</w:t>
      </w:r>
      <w:r w:rsidR="00462A0C" w:rsidRPr="005B0796">
        <w:t>’</w:t>
      </w:r>
      <w:r w:rsidRPr="005B0796">
        <w:t>s health status when they leave the ADF, how symptoms change and develop in the first five years after transition, and later, is largely unknown.</w:t>
      </w:r>
    </w:p>
    <w:p w:rsidR="00497778" w:rsidRPr="005B0796" w:rsidRDefault="00497778" w:rsidP="0064122F">
      <w:r w:rsidRPr="005B0796">
        <w:t xml:space="preserve">The 2010 ADF Mental Health Prevalence and Wellbeing Study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w:t>
      </w:r>
      <w:r w:rsidR="001B0335">
        <w:t> </w:t>
      </w:r>
      <w:r w:rsidRPr="005B0796">
        <w:t>al., 2011)</w:t>
      </w:r>
      <w:r w:rsidRPr="005B0796">
        <w:fldChar w:fldCharType="end"/>
      </w:r>
      <w:r w:rsidRPr="005B0796">
        <w:t xml:space="preserve"> indicated that 3% of the Regular ADF scored in the very high range on the Kessler Psychological Distress Scale (K10) and Posttraumatic Stress Disorder Checklist (PCL), and 1.4% scored in Band 4 (with scores suggesting the need for diagnostic evaluation and treatment) on the Alcohol Use Disorders Identification Test (AUDIT) in 2010. Scores in these ranges are highly indicative of 30-day mental disorder, and are well above the suggested epidemiological cut-offs for 30-day International Statistical Classification of Diseases and Related Health Problems – Tenth Revision</w:t>
      </w:r>
      <w:r w:rsidRPr="005B0796">
        <w:rPr>
          <w:rFonts w:eastAsia="MS ??" w:cs="Calibri"/>
        </w:rPr>
        <w:t xml:space="preserve"> (</w:t>
      </w:r>
      <w:r w:rsidRPr="005B0796">
        <w:t xml:space="preserve">ICD-10). The comparability of these findings with rates of self-reported mental health symptoms in both 2015 Regular ADF and recently Transitioned (last </w:t>
      </w:r>
      <w:r w:rsidR="00EC5C6F">
        <w:t>five</w:t>
      </w:r>
      <w:r w:rsidRPr="005B0796">
        <w:t xml:space="preserve"> years) ADF members are important to Defence. They are important because not only do they provide critical information on the stability of mental health in the entire ADF workforce over time, but also valuable insight into the relationship between transition and mental health more broadly. </w:t>
      </w:r>
    </w:p>
    <w:p w:rsidR="00497778" w:rsidRPr="005B0796" w:rsidRDefault="00497778" w:rsidP="0064122F">
      <w:r w:rsidRPr="005B0796">
        <w:t>This section provides a detailed summary of the patterns of current self-reported psychological distress, drinking problems, PTSD, anger, generalised anxiety, suicidality, depression and illicit drug use among ADF members who transitioned from the Regular ADF between 2010 and 2014 compared to the 2015 Regular ADF. Additionally, it will give an indication of changes in self-reported mental health symptoms in the Regular ADF between 2010 (using results from the 2010 MHPWS) and 2015. As these two samples cannot be considered independently, between-group differences should be interpreted with caution. However, it should also be noted that some members of the 2015 Regular ADF sample are also represented in the 2010 Regular ADF sample. The issue of individual change in symptoms and disorder over time in this group will be addressed in a later Programme report. Finally, this section will provide a detailed summary of the estimated prevalence of self-reported lifetime deployment exposures and trauma exposure in the Transitioned ADF and 2015 Regular ADF. These potentially adverse events may or may not have impacted the physical or mental health of deployed ADF members, but are included in this report to provide details of the background morbidity (in terms of risk and protective factors) in these two populations.</w:t>
      </w:r>
    </w:p>
    <w:p w:rsidR="00497778" w:rsidRPr="005B0796" w:rsidRDefault="00497778" w:rsidP="00730DF8">
      <w:pPr>
        <w:keepNext/>
      </w:pPr>
      <w:r w:rsidRPr="005B0796">
        <w:t xml:space="preserve">The seven key self-report mental health measures used in this section are: </w:t>
      </w:r>
    </w:p>
    <w:p w:rsidR="00497778" w:rsidRPr="005B0796" w:rsidRDefault="00497778" w:rsidP="0064122F">
      <w:pPr>
        <w:pStyle w:val="Bullet"/>
      </w:pPr>
      <w:r w:rsidRPr="005B0796">
        <w:rPr>
          <w:rFonts w:eastAsia="Times"/>
          <w:b/>
        </w:rPr>
        <w:t>Psychological distress:</w:t>
      </w:r>
      <w:r w:rsidRPr="005B0796">
        <w:rPr>
          <w:rFonts w:eastAsia="Times"/>
        </w:rPr>
        <w:t xml:space="preserve"> </w:t>
      </w:r>
      <w:r w:rsidRPr="005B0796">
        <w:t xml:space="preserve">Kessler Psychological Distress Scale (K10) </w:t>
      </w:r>
      <w:r w:rsidRPr="005B0796">
        <w:fldChar w:fldCharType="begin"/>
      </w:r>
      <w:r w:rsidRPr="005B0796">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5B0796">
        <w:fldChar w:fldCharType="separate"/>
      </w:r>
      <w:r w:rsidRPr="005B0796">
        <w:t>(Kessler et al., 2002)</w:t>
      </w:r>
      <w:r w:rsidRPr="005B0796">
        <w:fldChar w:fldCharType="end"/>
      </w:r>
      <w:r w:rsidRPr="005B0796">
        <w:t>, a short</w:t>
      </w:r>
      <w:r w:rsidR="00EC5C6F">
        <w:t>,</w:t>
      </w:r>
      <w:r w:rsidRPr="005B0796">
        <w:t xml:space="preserve"> easily administered screening instrument for psychological distress</w:t>
      </w:r>
    </w:p>
    <w:p w:rsidR="00497778" w:rsidRPr="005B0796" w:rsidRDefault="00497778" w:rsidP="0064122F">
      <w:pPr>
        <w:pStyle w:val="Bullet"/>
        <w:rPr>
          <w:rFonts w:cs="Cambria Math"/>
        </w:rPr>
      </w:pPr>
      <w:r w:rsidRPr="005B0796">
        <w:rPr>
          <w:b/>
        </w:rPr>
        <w:t>Posttraumatic stress symptoms:</w:t>
      </w:r>
      <w:r w:rsidRPr="005B0796">
        <w:t xml:space="preserve"> Posttraumatic Stress Disorder Checklist (PCL) </w:t>
      </w:r>
      <w:r w:rsidRPr="005B0796">
        <w:fldChar w:fldCharType="begin"/>
      </w:r>
      <w:r w:rsidRPr="005B0796">
        <w:instrText xml:space="preserve"> ADDIN EN.CITE &lt;EndNote&gt;&lt;Cite&gt;&lt;Author&gt;Weathers&lt;/Author&gt;&lt;Year&gt;1993&lt;/Year&gt;&lt;RecNum&gt;452&lt;/RecNum&gt;&lt;DisplayText&gt;(Weathers, 1993)&lt;/DisplayText&gt;&lt;record&gt;&lt;rec-number&gt;452&lt;/rec-number&gt;&lt;foreign-keys&gt;&lt;key app="EN" db-id="arwdrezp9sdawxevtfyxtfw10exvr5exxfed" timestamp="1478238811"&gt;452&lt;/key&gt;&lt;/foreign-keys&gt;&lt;ref-type name="Conference Paper"&gt;47&lt;/ref-type&gt;&lt;contributors&gt;&lt;authors&gt;&lt;author&gt;Weathers, F. W., Litz, B. T., Herman, D. S., Huska, J. A., &amp;amp; Keane, T. M&lt;/author&gt;&lt;/authors&gt;&lt;/contributors&gt;&lt;titles&gt;&lt;title&gt;The PTSD Checklist (PCL): Reliability, validity, and diagnostic utility.&lt;/title&gt;&lt;secondary-title&gt;Paper presented at the 9th Annual Conference of the ISTSS&lt;/secondary-title&gt;&lt;/titles&gt;&lt;dates&gt;&lt;year&gt;1993&lt;/year&gt;&lt;/dates&gt;&lt;pub-location&gt;San Antonio, TX.&lt;/pub-location&gt;&lt;urls&gt;&lt;/urls&gt;&lt;/record&gt;&lt;/Cite&gt;&lt;/EndNote&gt;</w:instrText>
      </w:r>
      <w:r w:rsidRPr="005B0796">
        <w:fldChar w:fldCharType="separate"/>
      </w:r>
      <w:r w:rsidRPr="005B0796">
        <w:t>(Weathers, 1993)</w:t>
      </w:r>
      <w:r w:rsidRPr="005B0796">
        <w:fldChar w:fldCharType="end"/>
      </w:r>
      <w:r w:rsidRPr="005B0796">
        <w:t xml:space="preserve">, </w:t>
      </w:r>
      <w:r w:rsidRPr="005B0796">
        <w:rPr>
          <w:rFonts w:cs="Cambria Math"/>
        </w:rPr>
        <w:t>a 17-item scale for measuring PTSD symptoms</w:t>
      </w:r>
    </w:p>
    <w:p w:rsidR="00497778" w:rsidRPr="005B0796" w:rsidRDefault="00497778" w:rsidP="0064122F">
      <w:pPr>
        <w:pStyle w:val="Bullet"/>
      </w:pPr>
      <w:r w:rsidRPr="005B0796">
        <w:rPr>
          <w:rFonts w:eastAsia="Times"/>
          <w:b/>
        </w:rPr>
        <w:t>Alcohol use:</w:t>
      </w:r>
      <w:r w:rsidRPr="005B0796">
        <w:rPr>
          <w:rFonts w:eastAsia="Times"/>
        </w:rPr>
        <w:t xml:space="preserve"> Alcohol Use Disorders Identification Test</w:t>
      </w:r>
      <w:r w:rsidRPr="005B0796">
        <w:t xml:space="preserve"> (AUDIT) </w:t>
      </w:r>
      <w:r w:rsidRPr="005B0796">
        <w:fldChar w:fldCharType="begin"/>
      </w:r>
      <w:r w:rsidRPr="005B0796">
        <w:instrText xml:space="preserve"> ADDIN EN.CITE &lt;EndNote&gt;&lt;Cite&gt;&lt;Author&gt;Babor&lt;/Author&gt;&lt;Year&gt;2001&lt;/Year&gt;&lt;RecNum&gt;505&lt;/RecNum&gt;&lt;DisplayText&gt;(Babor et al., 2001)&lt;/DisplayText&gt;&lt;record&gt;&lt;rec-number&gt;505&lt;/rec-number&gt;&lt;foreign-keys&gt;&lt;key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5B0796">
        <w:fldChar w:fldCharType="separate"/>
      </w:r>
      <w:r w:rsidRPr="005B0796">
        <w:t>(Babor et al., 2001)</w:t>
      </w:r>
      <w:r w:rsidRPr="005B0796">
        <w:fldChar w:fldCharType="end"/>
      </w:r>
      <w:r w:rsidRPr="005B0796">
        <w:t xml:space="preserve">, a brief self-report instrument that is widely used in epidemiological and clinical practice for defining at risk patterns of drinking </w:t>
      </w:r>
    </w:p>
    <w:p w:rsidR="00497778" w:rsidRPr="005B0796" w:rsidRDefault="00497778" w:rsidP="0064122F">
      <w:pPr>
        <w:pStyle w:val="Bullet"/>
        <w:rPr>
          <w:rFonts w:cs="Cambria Math"/>
        </w:rPr>
      </w:pPr>
      <w:r w:rsidRPr="005B0796">
        <w:rPr>
          <w:b/>
        </w:rPr>
        <w:t>Depressive symptoms:</w:t>
      </w:r>
      <w:r w:rsidRPr="005B0796">
        <w:t xml:space="preserve"> The Patient Health Questionnaire-9 (PHQ-9) </w:t>
      </w:r>
      <w:r w:rsidRPr="005B0796">
        <w:fldChar w:fldCharType="begin"/>
      </w:r>
      <w:r w:rsidRPr="005B0796">
        <w:instrText xml:space="preserve"> ADDIN EN.CITE &lt;EndNote&gt;&lt;Cite&gt;&lt;Author&gt;Kroenke&lt;/Author&gt;&lt;Year&gt;2001&lt;/Year&gt;&lt;RecNum&gt;418&lt;/RecNum&gt;&lt;DisplayText&gt;(Kroenke et al., 2001)&lt;/DisplayText&gt;&lt;record&gt;&lt;rec-number&gt;418&lt;/rec-number&gt;&lt;foreign-keys&gt;&lt;key app="EN" db-id="arwdrezp9sdawxevtfyxtfw10exvr5exxfed" timestamp="1478232442"&gt;418&lt;/key&gt;&lt;/foreign-keys&gt;&lt;ref-type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Med&lt;/secondary-title&gt;&lt;alt-title&gt;Journal of general internal medicine&lt;/alt-title&gt;&lt;/titles&gt;&lt;periodical&gt;&lt;full-title&gt;J Gen Intern Med&lt;/full-title&gt;&lt;/periodical&gt;&lt;pages&gt;606-13&lt;/pages&gt;&lt;volume&gt;16&lt;/volume&gt;&lt;number&gt;9&lt;/number&gt;&lt;edition&gt;2001/09/15&lt;/edition&gt;&lt;keywords&gt;&lt;keyword&gt;Adult&lt;/keyword&gt;&lt;keyword&gt;Depression/*diagnosis&lt;/keyword&gt;&lt;keyword&gt;Female&lt;/keyword&gt;&lt;keyword&gt;Humans&lt;/keyword&gt;&lt;keyword&gt;Male&lt;/keyword&gt;&lt;keyword&gt;Middle Aged&lt;/keyword&gt;&lt;keyword&gt;Psychological Tests&lt;/keyword&gt;&lt;keyword&gt;*Questionnaires&lt;/keyword&gt;&lt;keyword&gt;Reproducibility of Results&lt;/keyword&gt;&lt;keyword&gt;*Severity of Illness Index&lt;/keyword&gt;&lt;/keywords&gt;&lt;dates&gt;&lt;year&gt;2001&lt;/year&gt;&lt;pub-dates&gt;&lt;date&gt;Sep&lt;/date&gt;&lt;/pub-dates&gt;&lt;/dates&gt;&lt;isbn&gt;0884-8734 (Print)&amp;#xD;0884-8734 (Linking)&lt;/isbn&gt;&lt;accession-num&gt;11556941&lt;/accession-num&gt;&lt;work-type&gt;Research Support, Non-U.S. Gov&amp;apos;t&amp;#xD;Validation Studies&lt;/work-type&gt;&lt;urls&gt;&lt;related-urls&gt;&lt;url&gt;http://www.ncbi.nlm.nih.gov/pubmed/11556941&lt;/url&gt;&lt;/related-urls&gt;&lt;/urls&gt;&lt;custom2&gt;1495268&lt;/custom2&gt;&lt;language&gt;eng&lt;/language&gt;&lt;/record&gt;&lt;/Cite&gt;&lt;/EndNote&gt;</w:instrText>
      </w:r>
      <w:r w:rsidRPr="005B0796">
        <w:fldChar w:fldCharType="separate"/>
      </w:r>
      <w:r w:rsidRPr="005B0796">
        <w:t>(Kroenke et</w:t>
      </w:r>
      <w:r w:rsidR="00EC5C6F">
        <w:t> </w:t>
      </w:r>
      <w:r w:rsidRPr="005B0796">
        <w:t>al., 2001)</w:t>
      </w:r>
      <w:r w:rsidRPr="005B0796">
        <w:fldChar w:fldCharType="end"/>
      </w:r>
      <w:r w:rsidRPr="005B0796">
        <w:t xml:space="preserve">, a </w:t>
      </w:r>
      <w:r w:rsidR="00EC5C6F">
        <w:t>nine</w:t>
      </w:r>
      <w:r w:rsidRPr="005B0796">
        <w:t>-item depression module of the PHQ</w:t>
      </w:r>
    </w:p>
    <w:p w:rsidR="00497778" w:rsidRPr="005B0796" w:rsidRDefault="00497778" w:rsidP="0064122F">
      <w:pPr>
        <w:pStyle w:val="Bullet"/>
        <w:rPr>
          <w:rFonts w:cs="Cambria Math"/>
        </w:rPr>
      </w:pPr>
      <w:r w:rsidRPr="005B0796">
        <w:rPr>
          <w:b/>
        </w:rPr>
        <w:t>Anger:</w:t>
      </w:r>
      <w:r w:rsidRPr="005B0796">
        <w:t xml:space="preserve"> Dimensions of Anger Reactions Scale (DAR-5) </w: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 </w:instrTex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EN.CITE.DATA </w:instrText>
      </w:r>
      <w:r w:rsidRPr="005B0796">
        <w:fldChar w:fldCharType="end"/>
      </w:r>
      <w:r w:rsidRPr="005B0796">
        <w:fldChar w:fldCharType="separate"/>
      </w:r>
      <w:r w:rsidRPr="005B0796">
        <w:t>(Forbes et al., 2004)</w:t>
      </w:r>
      <w:r w:rsidRPr="005B0796">
        <w:fldChar w:fldCharType="end"/>
      </w:r>
      <w:r w:rsidRPr="005B0796">
        <w:t>, a five-item scale assessing anger frequency, intensity and duration, and anger</w:t>
      </w:r>
      <w:r w:rsidR="00462A0C" w:rsidRPr="005B0796">
        <w:t>’</w:t>
      </w:r>
      <w:r w:rsidRPr="005B0796">
        <w:t>s perceived negative impact on social relationships</w:t>
      </w:r>
    </w:p>
    <w:p w:rsidR="00497778" w:rsidRPr="005B0796" w:rsidRDefault="00497778" w:rsidP="0064122F">
      <w:pPr>
        <w:pStyle w:val="Bullet"/>
        <w:rPr>
          <w:rFonts w:cs="Cambria Math"/>
        </w:rPr>
      </w:pPr>
      <w:r w:rsidRPr="005B0796">
        <w:rPr>
          <w:b/>
        </w:rPr>
        <w:t>Suicidality:</w:t>
      </w:r>
      <w:r w:rsidRPr="005B0796">
        <w:t xml:space="preserve"> A short four-item measure examining suicidal thoughts, plans and attempts, adapted from the National Survey of Mental Health and Wellbeing (NSMHW) </w:t>
      </w:r>
      <w:r w:rsidRPr="005B0796">
        <w:fldChar w:fldCharType="begin"/>
      </w:r>
      <w:r w:rsidRPr="005B0796">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5B0796">
        <w:fldChar w:fldCharType="separate"/>
      </w:r>
      <w:r w:rsidRPr="005B0796">
        <w:t>(Australian Bureau of Statistics, 2008)</w:t>
      </w:r>
      <w:r w:rsidRPr="005B0796">
        <w:fldChar w:fldCharType="end"/>
      </w:r>
    </w:p>
    <w:p w:rsidR="00497778" w:rsidRPr="005B0796" w:rsidRDefault="00497778" w:rsidP="0064122F">
      <w:pPr>
        <w:pStyle w:val="Bullet"/>
        <w:rPr>
          <w:rFonts w:cs="Cambria Math"/>
        </w:rPr>
      </w:pPr>
      <w:r w:rsidRPr="005B0796">
        <w:rPr>
          <w:b/>
        </w:rPr>
        <w:t>Drug Use:</w:t>
      </w:r>
      <w:r w:rsidRPr="005B0796">
        <w:t xml:space="preserve"> A subset of questions modified from the 2013 National Drug Strategy Household Survey on drug use </w:t>
      </w:r>
      <w:r w:rsidRPr="005B0796">
        <w:fldChar w:fldCharType="begin"/>
      </w:r>
      <w:r w:rsidRPr="005B0796">
        <w:instrText xml:space="preserve"> ADDIN EN.CITE &lt;EndNote&gt;&lt;Cite&gt;&lt;Author&gt;Australian Institute of Health and Welfare&lt;/Author&gt;&lt;Year&gt;2013&lt;/Year&gt;&lt;RecNum&gt;507&lt;/RecNum&gt;&lt;DisplayText&gt;(Australian Institute of Health and Welfare, 2013)&lt;/DisplayText&gt;&lt;record&gt;&lt;rec-number&gt;507&lt;/rec-number&gt;&lt;foreign-keys&gt;&lt;key app="EN" db-id="arwdrezp9sdawxevtfyxtfw10exvr5exxfed" timestamp="1478575076"&gt;507&lt;/key&gt;&lt;/foreign-keys&gt;&lt;ref-type name="Electronic Article"&gt;43&lt;/ref-type&gt;&lt;contributors&gt;&lt;authors&gt;&lt;author&gt;Australian Institute of Health and Welfare,&lt;/author&gt;&lt;/authors&gt;&lt;/contributors&gt;&lt;titles&gt;&lt;title&gt;2013 National Drug Strategy Household Survey&lt;/title&gt;&lt;/titles&gt;&lt;number&gt;8.11.16&lt;/number&gt;&lt;dates&gt;&lt;year&gt;2013&lt;/year&gt;&lt;/dates&gt;&lt;urls&gt;&lt;related-urls&gt;&lt;url&gt;&lt;style face="underline" font="default" size="100%"&gt;http://www.aihw.gov.au/WorkArea/DownloadAsset.aspx?id=60129548125&lt;/style&gt;&lt;/url&gt;&lt;/related-urls&gt;&lt;/urls&gt;&lt;/record&gt;&lt;/Cite&gt;&lt;/EndNote&gt;</w:instrText>
      </w:r>
      <w:r w:rsidRPr="005B0796">
        <w:fldChar w:fldCharType="separate"/>
      </w:r>
      <w:r w:rsidRPr="005B0796">
        <w:t>(Australian Institute of Health and Welfare, 2013)</w:t>
      </w:r>
      <w:r w:rsidRPr="005B0796">
        <w:fldChar w:fldCharType="end"/>
      </w:r>
      <w:r w:rsidRPr="005B0796">
        <w:t xml:space="preserve"> </w:t>
      </w:r>
    </w:p>
    <w:p w:rsidR="00497778" w:rsidRPr="005B0796" w:rsidRDefault="00497778" w:rsidP="0064122F">
      <w:pPr>
        <w:pStyle w:val="Bullet"/>
      </w:pPr>
      <w:r w:rsidRPr="005B0796">
        <w:rPr>
          <w:b/>
        </w:rPr>
        <w:t>Generalised anxiety:</w:t>
      </w:r>
      <w:r w:rsidRPr="005B0796">
        <w:t xml:space="preserve"> Generalised Anxiety Disorder 7-item Scale (GAD-7) </w:t>
      </w:r>
      <w:r w:rsidRPr="005B0796">
        <w:fldChar w:fldCharType="begin"/>
      </w:r>
      <w:r w:rsidRPr="005B0796">
        <w:instrText xml:space="preserve"> ADDIN EN.CITE &lt;EndNote&gt;&lt;Cite&gt;&lt;Author&gt;Spitzer&lt;/Author&gt;&lt;Year&gt;2006&lt;/Year&gt;&lt;RecNum&gt;450&lt;/RecNum&gt;&lt;DisplayText&gt;(Spitzer, 2006)&lt;/DisplayText&gt;&lt;record&gt;&lt;rec-number&gt;450&lt;/rec-number&gt;&lt;foreign-keys&gt;&lt;key app="EN" db-id="arwdrezp9sdawxevtfyxtfw10exvr5exxfed" timestamp="1478238710"&gt;450&lt;/key&gt;&lt;/foreign-keys&gt;&lt;ref-type name="Journal Article"&gt;17&lt;/ref-type&gt;&lt;contributors&gt;&lt;authors&gt;&lt;author&gt;Spitzer, Rl, Kroenke K. Williams J. W. Löwe B.&lt;/author&gt;&lt;/authors&gt;&lt;/contributors&gt;&lt;titles&gt;&lt;title&gt;A brief measure for assessing generalized anxiety disorder: The GAD-7&lt;/title&gt;&lt;secondary-title&gt;Archives of Internal Medicine&lt;/secondary-title&gt;&lt;/titles&gt;&lt;periodical&gt;&lt;full-title&gt;Archives of Internal Medicine&lt;/full-title&gt;&lt;abbr-1&gt;Archives of internal medicine&lt;/abbr-1&gt;&lt;/periodical&gt;&lt;pages&gt;1092-1097&lt;/pages&gt;&lt;volume&gt;166&lt;/volume&gt;&lt;number&gt;10&lt;/number&gt;&lt;dates&gt;&lt;year&gt;2006&lt;/year&gt;&lt;/dates&gt;&lt;isbn&gt;0003-9926&lt;/isbn&gt;&lt;urls&gt;&lt;related-urls&gt;&lt;url&gt;http://dx.doi.org/10.1001/archinte.166.10.1092&lt;/url&gt;&lt;url&gt;http://archinte.jamanetwork.com/data/Journals/INTEMED/5536/ioi60000.pdf&lt;/url&gt;&lt;/related-urls&gt;&lt;/urls&gt;&lt;electronic-resource-num&gt;10.1001/archinte.166.10.1092&lt;/electronic-resource-num&gt;&lt;/record&gt;&lt;/Cite&gt;&lt;/EndNote&gt;</w:instrText>
      </w:r>
      <w:r w:rsidRPr="005B0796">
        <w:fldChar w:fldCharType="separate"/>
      </w:r>
      <w:r w:rsidRPr="005B0796">
        <w:t>(Spitzer, 2006)</w:t>
      </w:r>
      <w:r w:rsidRPr="005B0796">
        <w:fldChar w:fldCharType="end"/>
      </w:r>
      <w:r w:rsidRPr="005B0796">
        <w:t>.</w:t>
      </w:r>
    </w:p>
    <w:p w:rsidR="00497778" w:rsidRPr="005B0796" w:rsidRDefault="00497778" w:rsidP="0064122F">
      <w:r w:rsidRPr="005B0796">
        <w:t xml:space="preserve">Further details about how these measures are scored are provided in the relevant subsections that follow. </w:t>
      </w:r>
    </w:p>
    <w:p w:rsidR="00497778" w:rsidRPr="005B0796" w:rsidRDefault="00497778" w:rsidP="0064122F">
      <w:r w:rsidRPr="005B0796">
        <w:t xml:space="preserve">Three of these measures – the K10, PCL and AUDIT – are commonly used in mental health screening in the ADF. The ADF provides a continuum of mental health screening, which enables the provision of psycho-education, early identification and intervention, as well as surveillance to monitor trends in mental health over time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ADF screening practices generally include administration of screening instruments and, where required, a brief screening interview and/or preliminary assessment by a mental health professional. </w:t>
      </w:r>
    </w:p>
    <w:p w:rsidR="00497778" w:rsidRPr="005B0796" w:rsidRDefault="00497778" w:rsidP="0064122F">
      <w:r w:rsidRPr="005B0796">
        <w:t xml:space="preserve">Two sets of cut-offs on the K10, PCL and AUDIT were developed as part of the 2010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epidemiological and screening. The epidemiological cut-offs give the </w:t>
      </w:r>
      <w:r w:rsidR="00462A0C" w:rsidRPr="005B0796">
        <w:t>‘</w:t>
      </w:r>
      <w:r w:rsidRPr="005B0796">
        <w:t>closest estimate of the true prevalence of 30-day ICD-10 disorder as measured by the CIDI</w:t>
      </w:r>
      <w:r w:rsidR="00462A0C" w:rsidRPr="005B0796">
        <w:t>’</w:t>
      </w:r>
      <w:r w:rsidRPr="005B0796">
        <w:t xml:space="preserve"> (</w:t>
      </w:r>
      <w:r w:rsidRPr="005B0796">
        <w:fldChar w:fldCharType="begin"/>
      </w:r>
      <w:r w:rsidRPr="005B0796">
        <w:instrText xml:space="preserve"> ADDIN EN.CITE &lt;EndNote&gt;&lt;Cite AuthorYear="1"&gt;&lt;Author&gt;McFarlane&lt;/Author&gt;&lt;Year&gt;2011&lt;/Year&gt;&lt;RecNum&gt;260&lt;/RecNum&gt;&lt;DisplayText&gt;McFarlane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p. 103). The screening cut-offs reflect a broader spectrum of moderate to severe symptoms (including sub</w:t>
      </w:r>
      <w:r w:rsidR="00520FC8" w:rsidRPr="005B0796">
        <w:t>-</w:t>
      </w:r>
      <w:r w:rsidRPr="005B0796">
        <w:t xml:space="preserve">syndromal symptoms) rather than diagnosable disorders, allowing for potential early intervention. These screening cut-offs maximise potential identification of true cases, but include a larger proportion of </w:t>
      </w:r>
      <w:r w:rsidR="00462A0C" w:rsidRPr="005B0796">
        <w:t>‘</w:t>
      </w:r>
      <w:r w:rsidRPr="005B0796">
        <w:t>false positives</w:t>
      </w:r>
      <w:r w:rsidR="00462A0C" w:rsidRPr="005B0796">
        <w:t>’</w:t>
      </w:r>
      <w:r w:rsidRPr="005B0796">
        <w:t xml:space="preserve"> than the epidemiological cut-offs. To gain an indication of the rates of sub</w:t>
      </w:r>
      <w:r w:rsidR="00520FC8" w:rsidRPr="005B0796">
        <w:t>-</w:t>
      </w:r>
      <w:r w:rsidRPr="005B0796">
        <w:t>syndromal symptomatology in this population, screening cut-offs are reported in this section.</w:t>
      </w:r>
    </w:p>
    <w:p w:rsidR="00497778" w:rsidRPr="005B0796" w:rsidRDefault="00497778" w:rsidP="0064122F">
      <w:r w:rsidRPr="005B0796">
        <w:t>In addition to comparing the self-reported mental health between Transitioned ADF, and the 2010 and 2015 Regular ADF, this chapter also provides the estimated rates of self-reported mental health problems by transition-related factors in the Transitioned ADF only:</w:t>
      </w:r>
    </w:p>
    <w:p w:rsidR="00497778" w:rsidRPr="005B0796" w:rsidRDefault="00497778" w:rsidP="0064122F">
      <w:pPr>
        <w:pStyle w:val="Bullet"/>
        <w:rPr>
          <w:rFonts w:cstheme="minorBidi"/>
        </w:rPr>
      </w:pPr>
      <w:r w:rsidRPr="005B0796">
        <w:t>Transition status:</w:t>
      </w:r>
    </w:p>
    <w:p w:rsidR="00497778" w:rsidRPr="005B0796" w:rsidRDefault="00497778" w:rsidP="0064122F">
      <w:pPr>
        <w:pStyle w:val="Dash"/>
      </w:pPr>
      <w:r w:rsidRPr="005B0796">
        <w:rPr>
          <w:b/>
        </w:rPr>
        <w:t>Ex-Serving:</w:t>
      </w:r>
      <w:r w:rsidRPr="005B0796">
        <w:t xml:space="preserve"> individuals who were full-time Regular ADF members before 2010, who transitioned from the Regular ADF between 2010 and 2014, and are not in the Reserves. These individuals are classified as discharged from the ADF. Discharge may have occurred for medical or administrative reasons, or they may have reached compulsory retirement age</w:t>
      </w:r>
    </w:p>
    <w:p w:rsidR="00497778" w:rsidRPr="005B0796" w:rsidRDefault="00497778" w:rsidP="0064122F">
      <w:pPr>
        <w:pStyle w:val="Dash"/>
      </w:pPr>
      <w:r w:rsidRPr="005B0796">
        <w:rPr>
          <w:b/>
        </w:rPr>
        <w:t>Active Reservists:</w:t>
      </w:r>
      <w:r w:rsidRPr="005B0796">
        <w:t xml:space="preserve"> individuals who were Regular ADF members before 2010, and have transitioned into the Active Reserves. As Active Reservists, they must complete a minimum number of service days per year</w:t>
      </w:r>
    </w:p>
    <w:p w:rsidR="00497778" w:rsidRPr="005B0796" w:rsidRDefault="00497778" w:rsidP="0064122F">
      <w:pPr>
        <w:pStyle w:val="Dash"/>
      </w:pPr>
      <w:r w:rsidRPr="005B0796">
        <w:rPr>
          <w:b/>
        </w:rPr>
        <w:t>Inactive Reservists:</w:t>
      </w:r>
      <w:r w:rsidRPr="005B0796">
        <w:t xml:space="preserve"> individuals who were Regular ADF members before 2010, and transitioned into an Inactive Reservist role. They represent a latent capability Service Chiefs can call upon as required to provide voluntary service or a specific task</w:t>
      </w:r>
    </w:p>
    <w:p w:rsidR="00497778" w:rsidRPr="005B0796" w:rsidRDefault="00497778" w:rsidP="0064122F">
      <w:pPr>
        <w:pStyle w:val="Bullet"/>
      </w:pPr>
      <w:r w:rsidRPr="005B0796">
        <w:t>Years since transition: zero (less than one year), one, two, three, four and five years.</w:t>
      </w:r>
    </w:p>
    <w:p w:rsidR="00497778" w:rsidRPr="005B0796" w:rsidRDefault="00497778" w:rsidP="0064122F">
      <w:r w:rsidRPr="005B0796">
        <w:t xml:space="preserve">In this chapter, weighted estimates of self-reported mental health outcomes are reported for the Transitioned ADF and the 2015 Regular ADF. These rates are statistically compared and all tests of statistical significance (odds ratios) are adjusted for age, sex, Service and rank. The 2010 Regular ADF refers to the population included in the 2010 MHPWS, and results included in this chapter are reproduced directly from the MHPWS report. Weighted estimates of self-reported mental health outcomes for the 2015 Regular ADF are compared to these results, using simple </w:t>
      </w:r>
      <w:r w:rsidR="0064122F" w:rsidRPr="005B0796">
        <w:t>mean or proportion comparisons.</w:t>
      </w:r>
    </w:p>
    <w:p w:rsidR="00497778" w:rsidRPr="005B0796" w:rsidRDefault="00497778" w:rsidP="0064122F">
      <w:r w:rsidRPr="005B0796">
        <w:t>Finally, this chapter further extends the findings in chapter 4, by providing valuable additional information on the severity and nature of current mental health symptomatology, above and beyond the dichotomous diagnoses provided by the CIDI.</w:t>
      </w:r>
    </w:p>
    <w:p w:rsidR="00497778" w:rsidRPr="005B0796" w:rsidRDefault="00497778" w:rsidP="0064122F">
      <w:pPr>
        <w:pStyle w:val="Heading2"/>
      </w:pPr>
      <w:bookmarkStart w:id="870" w:name="_Toc482021365"/>
      <w:bookmarkStart w:id="871" w:name="_Toc482024455"/>
      <w:bookmarkStart w:id="872" w:name="_Toc487011213"/>
      <w:bookmarkStart w:id="873" w:name="_Toc494449733"/>
      <w:bookmarkStart w:id="874" w:name="_Toc511900315"/>
      <w:r w:rsidRPr="005B0796">
        <w:t>Psychological distress – (K10)</w:t>
      </w:r>
      <w:bookmarkEnd w:id="870"/>
      <w:bookmarkEnd w:id="871"/>
      <w:bookmarkEnd w:id="872"/>
      <w:bookmarkEnd w:id="873"/>
      <w:bookmarkEnd w:id="874"/>
    </w:p>
    <w:p w:rsidR="00AD2254" w:rsidRPr="005B0796" w:rsidRDefault="00AD2254" w:rsidP="00AD2254">
      <w:pPr>
        <w:pStyle w:val="ShadedBullet"/>
      </w:pPr>
      <w:r w:rsidRPr="005B0796">
        <w:t xml:space="preserve">An estimated 33.1% of the Transitioned ADF were in the high to very high category for psychological distress compared to an estimated 18.7% of the 2015 Regular ADF and 12.9% of the 2010 Regular ADF. </w:t>
      </w:r>
    </w:p>
    <w:p w:rsidR="00AD2254" w:rsidRPr="005B0796" w:rsidRDefault="00AD2254" w:rsidP="00AD2254">
      <w:pPr>
        <w:pStyle w:val="ShadedBullet"/>
      </w:pPr>
      <w:r w:rsidRPr="005B0796">
        <w:t>Members of the Transitioned ADF reported significantly higher psychological distress than members of the 2015 Regular ADF.</w:t>
      </w:r>
    </w:p>
    <w:p w:rsidR="00AD2254" w:rsidRPr="005B0796" w:rsidRDefault="00AD2254" w:rsidP="00AD2254">
      <w:pPr>
        <w:pStyle w:val="ShadedBullet"/>
      </w:pPr>
      <w:r w:rsidRPr="005B0796">
        <w:t>The 2015 Regular ADF sample reported significantly higher psychological distress compared to the 2010 Regular ADF sample.</w:t>
      </w:r>
    </w:p>
    <w:p w:rsidR="00AD2254" w:rsidRPr="005B0796" w:rsidRDefault="00AD2254" w:rsidP="00AD2254">
      <w:pPr>
        <w:pStyle w:val="ShadedBullet"/>
      </w:pPr>
      <w:r w:rsidRPr="005B0796">
        <w:t>Ex-Serving ADF members were significantly more likely to report psychological distress than Reservists.</w:t>
      </w:r>
    </w:p>
    <w:p w:rsidR="00AD2254" w:rsidRPr="005B0796" w:rsidRDefault="00AD2254" w:rsidP="00AD2254">
      <w:pPr>
        <w:pStyle w:val="ShadedBullet"/>
      </w:pPr>
      <w:r w:rsidRPr="005B0796">
        <w:t>There was no significant difference between Transitioned ADF members who were Active Reservists and Inactive Reservists, in the proportion reporting psychological distress.</w:t>
      </w:r>
    </w:p>
    <w:p w:rsidR="00AD2254" w:rsidRPr="005B0796" w:rsidRDefault="00AD2254" w:rsidP="00AD2254">
      <w:pPr>
        <w:pStyle w:val="ShadedBullet"/>
      </w:pPr>
      <w:r w:rsidRPr="005B0796">
        <w:t xml:space="preserve">ADF members who transitioned less than one year ago reported the lowest level of psychological distress, with the greatest increase in symptoms observed at one year post-transition. </w:t>
      </w:r>
    </w:p>
    <w:p w:rsidR="00AD2254" w:rsidRPr="005B0796" w:rsidRDefault="00AD2254" w:rsidP="00AD2254">
      <w:pPr>
        <w:pStyle w:val="ShadedBoxText"/>
      </w:pPr>
      <w:r w:rsidRPr="005B0796">
        <w:rPr>
          <w:b/>
        </w:rPr>
        <w:t xml:space="preserve">Glossary: </w:t>
      </w:r>
      <w:r w:rsidRPr="005B0796">
        <w:t>refer to the Glossary of terms for definitions of key terms in this section.</w:t>
      </w:r>
    </w:p>
    <w:p w:rsidR="00497778" w:rsidRPr="005B0796" w:rsidRDefault="00497778" w:rsidP="00AD2254">
      <w:r w:rsidRPr="005B0796">
        <w:t>This section provides a detailed summary of the pattern of self-reported psychological distress reported by ADF members who transitioned from the Regular ADF between 2010 and 2014 (Transitioned ADF) compared to the ADF in 2010 (2010 Regular ADF) and 2015 (2015 Regular ADF).</w:t>
      </w:r>
    </w:p>
    <w:p w:rsidR="00497778" w:rsidRPr="005B0796" w:rsidRDefault="00497778" w:rsidP="00AD2254">
      <w:r w:rsidRPr="005B0796">
        <w:t>The distribution of psychological distress in the Transitioned ADF compared to the 2010 and 2015 Regular ADF will be reported first. The comparisons between the 2010 and 2015 populations do not include any estimate of covariance between the two. Many respondents who participated in the 2010 survey also participated in the 2015 survey, and a longitudinal examination of change in mental health over time will be undertaken in a later Programme report.</w:t>
      </w:r>
    </w:p>
    <w:p w:rsidR="00497778" w:rsidRPr="005B0796" w:rsidRDefault="00497778" w:rsidP="00AD2254">
      <w:r w:rsidRPr="005B0796">
        <w:t xml:space="preserve">The report will also examine the distribution of psychological distress in the Transitioned ADF population by the categories of transition status (Ex-Serving, Inactive Reservist, Active Reservist) and years since transition. </w:t>
      </w:r>
    </w:p>
    <w:p w:rsidR="00497778" w:rsidRPr="005B0796" w:rsidRDefault="00497778" w:rsidP="00AD2254">
      <w:r w:rsidRPr="005B0796">
        <w:t xml:space="preserve">The K10 is a 10-item screening questionnaire for psychological distress that was developed for use in the United States National Health Interview Survey (US-NHIS) </w:t>
      </w:r>
      <w:r w:rsidRPr="005B0796">
        <w:fldChar w:fldCharType="begin"/>
      </w:r>
      <w:r w:rsidRPr="005B0796">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5B0796">
        <w:fldChar w:fldCharType="separate"/>
      </w:r>
      <w:r w:rsidRPr="005B0796">
        <w:t>(Kessler et al., 2002)</w:t>
      </w:r>
      <w:r w:rsidRPr="005B0796">
        <w:fldChar w:fldCharType="end"/>
      </w:r>
      <w:r w:rsidRPr="005B0796">
        <w:t>. Originally designed as a short, easily administered screen for psychological distress, the K10 is typically used to inform and complement clinical interviews, and to quantify levels of distress in those who need treatment. The ADF uses it for mental health screening.</w:t>
      </w:r>
    </w:p>
    <w:p w:rsidR="00497778" w:rsidRPr="005B0796" w:rsidRDefault="00497778" w:rsidP="00AD2254">
      <w:r w:rsidRPr="005B0796">
        <w:t xml:space="preserve">Respondents were instructed to rate the amount of time they had experienced one of 10 emotional states during the last previous four weeks (for example, being tired for no good reason, feeling nervous, hopeless or depressed). The 10 questions are scored 1–5, and the respondent must indicate how often they have felt that way, using the following response options: </w:t>
      </w:r>
      <w:r w:rsidR="00462A0C" w:rsidRPr="005B0796">
        <w:t>‘</w:t>
      </w:r>
      <w:r w:rsidRPr="005B0796">
        <w:t>all of the time</w:t>
      </w:r>
      <w:r w:rsidR="00462A0C" w:rsidRPr="005B0796">
        <w:t>’</w:t>
      </w:r>
      <w:r w:rsidRPr="005B0796">
        <w:t xml:space="preserve"> (5), </w:t>
      </w:r>
      <w:r w:rsidR="00462A0C" w:rsidRPr="005B0796">
        <w:t>‘</w:t>
      </w:r>
      <w:r w:rsidRPr="005B0796">
        <w:t>most of the time</w:t>
      </w:r>
      <w:r w:rsidR="00462A0C" w:rsidRPr="005B0796">
        <w:t>’</w:t>
      </w:r>
      <w:r w:rsidRPr="005B0796">
        <w:t xml:space="preserve"> (4), </w:t>
      </w:r>
      <w:r w:rsidR="00462A0C" w:rsidRPr="005B0796">
        <w:t>‘</w:t>
      </w:r>
      <w:r w:rsidRPr="005B0796">
        <w:t>some of the time</w:t>
      </w:r>
      <w:r w:rsidR="00462A0C" w:rsidRPr="005B0796">
        <w:t>’</w:t>
      </w:r>
      <w:r w:rsidRPr="005B0796">
        <w:t xml:space="preserve"> (3), </w:t>
      </w:r>
      <w:r w:rsidR="00462A0C" w:rsidRPr="005B0796">
        <w:t>‘</w:t>
      </w:r>
      <w:r w:rsidRPr="005B0796">
        <w:t>a little of the time</w:t>
      </w:r>
      <w:r w:rsidR="00462A0C" w:rsidRPr="005B0796">
        <w:t>’</w:t>
      </w:r>
      <w:r w:rsidRPr="005B0796">
        <w:t xml:space="preserve"> (2) or </w:t>
      </w:r>
      <w:r w:rsidR="00462A0C" w:rsidRPr="005B0796">
        <w:t>‘</w:t>
      </w:r>
      <w:r w:rsidRPr="005B0796">
        <w:t>none of the time</w:t>
      </w:r>
      <w:r w:rsidR="00462A0C" w:rsidRPr="005B0796">
        <w:t>’</w:t>
      </w:r>
      <w:r w:rsidRPr="005B0796">
        <w:t xml:space="preserve"> (1). Scores for the 10 questions are then added up to give a total score of 10–50. </w:t>
      </w:r>
    </w:p>
    <w:p w:rsidR="00497778" w:rsidRPr="005B0796" w:rsidRDefault="00497778" w:rsidP="00AD2254">
      <w:r w:rsidRPr="005B0796">
        <w:t>The four scoring bands – low (10–15), moderate (16–21), high (22–29) and very high (30–50) –</w:t>
      </w:r>
      <w:r w:rsidR="00EC5C6F">
        <w:t xml:space="preserve"> </w:t>
      </w:r>
      <w:r w:rsidRPr="005B0796">
        <w:t xml:space="preserve">in this report are derived from the K10 cut-offs used in the NSMHW </w:t>
      </w:r>
      <w:r w:rsidRPr="005B0796">
        <w:fldChar w:fldCharType="begin">
          <w:fldData xml:space="preserve">PEVuZE5vdGU+PENpdGU+PEF1dGhvcj5BdXN0cmFsaWFuIEJ1cmVhdSBvZiBTdGF0aXN0aWNzPC9B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</w:fldData>
        </w:fldChar>
      </w:r>
      <w:r w:rsidRPr="005B0796">
        <w:instrText xml:space="preserve"> ADDIN EN.CITE </w:instrText>
      </w:r>
      <w:r w:rsidRPr="005B0796">
        <w:fldChar w:fldCharType="begin">
          <w:fldData xml:space="preserve">PEVuZE5vdGU+PENpdGU+PEF1dGhvcj5BdXN0cmFsaWFuIEJ1cmVhdSBvZiBTdGF0aXN0aWNzPC9B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</w:fldData>
        </w:fldChar>
      </w:r>
      <w:r w:rsidRPr="005B0796">
        <w:instrText xml:space="preserve"> ADDIN EN.CITE.DATA </w:instrText>
      </w:r>
      <w:r w:rsidRPr="005B0796">
        <w:fldChar w:fldCharType="end"/>
      </w:r>
      <w:r w:rsidRPr="005B0796">
        <w:fldChar w:fldCharType="separate"/>
      </w:r>
      <w:r w:rsidRPr="005B0796">
        <w:t>(Australian Bureau of Statistics, 2008; Slade et al., 2009)</w:t>
      </w:r>
      <w:r w:rsidRPr="005B0796">
        <w:fldChar w:fldCharType="end"/>
      </w:r>
      <w:r w:rsidRPr="005B0796">
        <w:t xml:space="preserve">. The bands were also used to identify levels of psychological distress in the 2010 MHPWS. </w:t>
      </w:r>
    </w:p>
    <w:p w:rsidR="00497778" w:rsidRPr="005B0796" w:rsidRDefault="00497778" w:rsidP="00AD2254">
      <w:r w:rsidRPr="005B0796">
        <w:t xml:space="preserve">Finally, the ADF also used an optimal screening cut-off of 19. This cut-off was derived from the 2010 MHPWS and is the value that maximises the sum of the sensitivity and specificity (the proportion of those with and without an anxiety or an affective disorder who are correctly classified). This cut-off can be used to identify individuals who might need care, and is designed to be more inclusive than a more stringent epidemiological cut-off. </w:t>
      </w:r>
    </w:p>
    <w:p w:rsidR="00497778" w:rsidRPr="005B0796" w:rsidRDefault="00497778" w:rsidP="00AD2254">
      <w:pPr>
        <w:pStyle w:val="Heading3"/>
      </w:pPr>
      <w:bookmarkStart w:id="875" w:name="_Toc494449734"/>
      <w:bookmarkStart w:id="876" w:name="_Toc511900316"/>
      <w:bookmarkStart w:id="877" w:name="_Toc482021366"/>
      <w:bookmarkStart w:id="878" w:name="_Toc482024456"/>
      <w:bookmarkStart w:id="879" w:name="_Toc487011214"/>
      <w:r w:rsidRPr="005B0796">
        <w:t>Psychological distress in Transitioned ADF compared to entire 2010 and 2015 Regular ADF</w:t>
      </w:r>
      <w:bookmarkEnd w:id="875"/>
      <w:bookmarkEnd w:id="876"/>
      <w:r w:rsidRPr="005B0796">
        <w:t xml:space="preserve"> </w:t>
      </w:r>
      <w:bookmarkEnd w:id="877"/>
      <w:bookmarkEnd w:id="878"/>
      <w:bookmarkEnd w:id="879"/>
    </w:p>
    <w:p w:rsidR="00497778" w:rsidRPr="005B0796" w:rsidRDefault="009E72D3" w:rsidP="00AD2254">
      <w:r w:rsidRPr="005B0796">
        <w:t>Table 5.1</w:t>
      </w:r>
      <w:r w:rsidR="00497778" w:rsidRPr="005B0796">
        <w:t xml:space="preserve"> and Figure 5.1 show psychological distress as measured by the K10 scoring bands in Transitioned ADF and 2015 Regular ADF.</w:t>
      </w:r>
    </w:p>
    <w:p w:rsidR="00497778" w:rsidRPr="005B0796" w:rsidRDefault="00497778" w:rsidP="00AD2254">
      <w:r w:rsidRPr="005B0796">
        <w:t>Overall, an estimated 19.6% of the Transitioned ADF scored in the very high range on the K10; 13.5% scored in the high range; and 17.8% scored in the moderate range.</w:t>
      </w:r>
    </w:p>
    <w:p w:rsidR="00497778" w:rsidRPr="005B0796" w:rsidRDefault="00497778" w:rsidP="00AD2254">
      <w:r w:rsidRPr="005B0796">
        <w:t>The mean K10 score for the Transitioned ADF was 19.9 (SE 0.2) (95% CI 19.6, 20.4), with 40.6% (weighted n = 10,130, 95% CI 38.9, 42.4) scoring equal to or above the ADF screening cut-off of 19.</w:t>
      </w:r>
    </w:p>
    <w:p w:rsidR="00AD2254" w:rsidRPr="005B0796" w:rsidRDefault="00AD2254" w:rsidP="00AD2254">
      <w:pPr>
        <w:pStyle w:val="TableName"/>
      </w:pPr>
      <w:bookmarkStart w:id="880" w:name="_Ref484523461"/>
      <w:bookmarkStart w:id="881" w:name="_Toc492995605"/>
      <w:bookmarkStart w:id="882" w:name="_Toc487014302"/>
      <w:bookmarkStart w:id="883" w:name="_Toc51190045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w:t>
      </w:r>
      <w:r w:rsidR="00D30A3C">
        <w:rPr>
          <w:noProof/>
        </w:rPr>
        <w:fldChar w:fldCharType="end"/>
      </w:r>
      <w:bookmarkEnd w:id="880"/>
      <w:r w:rsidRPr="005B0796">
        <w:tab/>
        <w:t>Estimated proportions o</w:t>
      </w:r>
      <w:r w:rsidR="00EC5C6F">
        <w:t>f</w:t>
      </w:r>
      <w:r w:rsidRPr="005B0796">
        <w:t xml:space="preserve"> Transitioned ADF, and 2010 and 2015 Regular ADF in each of the four K10 scoring bands for psychological distress</w:t>
      </w:r>
      <w:bookmarkEnd w:id="881"/>
      <w:bookmarkEnd w:id="882"/>
      <w:bookmarkEnd w:id="883"/>
    </w:p>
    <w:tbl>
      <w:tblPr>
        <w:tblStyle w:val="TWRPTable"/>
        <w:tblW w:w="5000" w:type="pct"/>
        <w:tblLayout w:type="fixed"/>
        <w:tblLook w:val="01E0" w:firstRow="1" w:lastRow="1" w:firstColumn="1" w:lastColumn="1" w:noHBand="0" w:noVBand="0"/>
        <w:tblDescription w:val="Table 5.1 Estimated proportions for Transitioned ADF, and 2010 and 2015 Regular ADF in each of the four K10 scoring bands for psychological distress"/>
      </w:tblPr>
      <w:tblGrid>
        <w:gridCol w:w="828"/>
        <w:gridCol w:w="810"/>
        <w:gridCol w:w="540"/>
        <w:gridCol w:w="812"/>
        <w:gridCol w:w="808"/>
        <w:gridCol w:w="540"/>
        <w:gridCol w:w="814"/>
        <w:gridCol w:w="806"/>
        <w:gridCol w:w="540"/>
        <w:gridCol w:w="817"/>
      </w:tblGrid>
      <w:tr w:rsidR="00AD2254" w:rsidRPr="005B0796" w:rsidTr="00AD2254">
        <w:trPr>
          <w:cnfStyle w:val="100000000000" w:firstRow="1" w:lastRow="0" w:firstColumn="0" w:lastColumn="0" w:oddVBand="0" w:evenVBand="0" w:oddHBand="0" w:evenHBand="0" w:firstRowFirstColumn="0" w:firstRowLastColumn="0" w:lastRowFirstColumn="0" w:lastRowLastColumn="0"/>
          <w:tblHeader/>
        </w:trPr>
        <w:tc>
          <w:tcPr>
            <w:tcW w:w="828" w:type="dxa"/>
            <w:vMerge w:val="restart"/>
            <w:hideMark/>
          </w:tcPr>
          <w:p w:rsidR="00AD2254" w:rsidRPr="005B0796" w:rsidRDefault="00AD2254" w:rsidP="00AD2254">
            <w:pPr>
              <w:pStyle w:val="TableText"/>
              <w:rPr>
                <w:rFonts w:eastAsia="Times New Roman"/>
                <w:lang w:eastAsia="en-AU"/>
              </w:rPr>
            </w:pPr>
            <w:r w:rsidRPr="005B0796">
              <w:rPr>
                <w:lang w:eastAsia="en-AU"/>
              </w:rPr>
              <w:t>K10 scoring bands</w:t>
            </w:r>
          </w:p>
        </w:tc>
        <w:tc>
          <w:tcPr>
            <w:tcW w:w="2162" w:type="dxa"/>
            <w:gridSpan w:val="3"/>
            <w:hideMark/>
          </w:tcPr>
          <w:p w:rsidR="00AD2254" w:rsidRPr="005B0796" w:rsidRDefault="00AD2254" w:rsidP="00AD2254">
            <w:pPr>
              <w:pStyle w:val="TableText"/>
              <w:jc w:val="center"/>
              <w:rPr>
                <w:lang w:eastAsia="en-AU"/>
              </w:rPr>
            </w:pPr>
            <w:r w:rsidRPr="005B0796">
              <w:rPr>
                <w:bCs/>
                <w:lang w:eastAsia="en-AU"/>
              </w:rPr>
              <w:t>Transitioned ADF</w:t>
            </w:r>
            <w:r w:rsidRPr="005B0796">
              <w:rPr>
                <w:bCs/>
                <w:lang w:eastAsia="en-AU"/>
              </w:rPr>
              <w:br/>
              <w:t>(n = 24,932)</w:t>
            </w:r>
          </w:p>
        </w:tc>
        <w:tc>
          <w:tcPr>
            <w:tcW w:w="2162" w:type="dxa"/>
            <w:gridSpan w:val="3"/>
            <w:hideMark/>
          </w:tcPr>
          <w:p w:rsidR="00AD2254" w:rsidRPr="005B0796" w:rsidRDefault="00AD2254" w:rsidP="00AD2254">
            <w:pPr>
              <w:pStyle w:val="TableText"/>
              <w:jc w:val="center"/>
              <w:rPr>
                <w:lang w:eastAsia="en-AU"/>
              </w:rPr>
            </w:pPr>
            <w:r w:rsidRPr="005B0796">
              <w:rPr>
                <w:bCs/>
                <w:lang w:eastAsia="en-AU"/>
              </w:rPr>
              <w:t>2015 Regular ADF</w:t>
            </w:r>
            <w:r w:rsidRPr="005B0796">
              <w:rPr>
                <w:bCs/>
                <w:lang w:eastAsia="en-AU"/>
              </w:rPr>
              <w:br/>
              <w:t>(n = 52,500)</w:t>
            </w:r>
          </w:p>
        </w:tc>
        <w:tc>
          <w:tcPr>
            <w:tcW w:w="2163" w:type="dxa"/>
            <w:gridSpan w:val="3"/>
            <w:hideMark/>
          </w:tcPr>
          <w:p w:rsidR="00AD2254" w:rsidRPr="005B0796" w:rsidRDefault="00AD2254" w:rsidP="00AD2254">
            <w:pPr>
              <w:pStyle w:val="TableText"/>
              <w:jc w:val="center"/>
              <w:rPr>
                <w:bCs/>
                <w:lang w:eastAsia="en-AU"/>
              </w:rPr>
            </w:pPr>
            <w:r w:rsidRPr="005B0796">
              <w:rPr>
                <w:bCs/>
                <w:lang w:eastAsia="en-AU"/>
              </w:rPr>
              <w:t>2010 Regular ADF*</w:t>
            </w:r>
            <w:r w:rsidRPr="005B0796">
              <w:rPr>
                <w:bCs/>
                <w:lang w:eastAsia="en-AU"/>
              </w:rPr>
              <w:br/>
              <w:t>(n = 50,049)</w:t>
            </w:r>
          </w:p>
        </w:tc>
      </w:tr>
      <w:tr w:rsidR="00AD2254" w:rsidRPr="005B0796" w:rsidTr="00AD2254">
        <w:trPr>
          <w:cnfStyle w:val="100000000000" w:firstRow="1" w:lastRow="0" w:firstColumn="0" w:lastColumn="0" w:oddVBand="0" w:evenVBand="0" w:oddHBand="0" w:evenHBand="0" w:firstRowFirstColumn="0" w:firstRowLastColumn="0" w:lastRowFirstColumn="0" w:lastRowLastColumn="0"/>
          <w:tblHeader/>
        </w:trPr>
        <w:tc>
          <w:tcPr>
            <w:tcW w:w="828" w:type="dxa"/>
            <w:vMerge/>
          </w:tcPr>
          <w:p w:rsidR="00AD2254" w:rsidRPr="005B0796" w:rsidRDefault="00AD2254" w:rsidP="00AD2254">
            <w:pPr>
              <w:pStyle w:val="TableText"/>
              <w:rPr>
                <w:rFonts w:eastAsia="GillSans"/>
                <w:lang w:eastAsia="en-AU"/>
              </w:rPr>
            </w:pPr>
          </w:p>
        </w:tc>
        <w:tc>
          <w:tcPr>
            <w:tcW w:w="810" w:type="dxa"/>
            <w:hideMark/>
          </w:tcPr>
          <w:p w:rsidR="00AD2254" w:rsidRPr="005B0796" w:rsidRDefault="00AD2254" w:rsidP="00AD2254">
            <w:pPr>
              <w:pStyle w:val="TableText"/>
              <w:jc w:val="right"/>
              <w:rPr>
                <w:rFonts w:eastAsia="Times New Roman"/>
                <w:lang w:eastAsia="en-AU"/>
              </w:rPr>
            </w:pPr>
            <w:r w:rsidRPr="005B0796">
              <w:rPr>
                <w:lang w:eastAsia="en-AU"/>
              </w:rPr>
              <w:t>Weighted n</w:t>
            </w:r>
          </w:p>
        </w:tc>
        <w:tc>
          <w:tcPr>
            <w:tcW w:w="540" w:type="dxa"/>
            <w:hideMark/>
          </w:tcPr>
          <w:p w:rsidR="00AD2254" w:rsidRPr="005B0796" w:rsidRDefault="00AD2254" w:rsidP="00AD2254">
            <w:pPr>
              <w:pStyle w:val="TableText"/>
              <w:jc w:val="right"/>
              <w:rPr>
                <w:rFonts w:eastAsia="Times New Roman"/>
                <w:lang w:eastAsia="en-AU"/>
              </w:rPr>
            </w:pPr>
            <w:r w:rsidRPr="005B0796">
              <w:rPr>
                <w:lang w:eastAsia="en-AU"/>
              </w:rPr>
              <w:t>%</w:t>
            </w:r>
          </w:p>
        </w:tc>
        <w:tc>
          <w:tcPr>
            <w:tcW w:w="812" w:type="dxa"/>
            <w:hideMark/>
          </w:tcPr>
          <w:p w:rsidR="00AD2254" w:rsidRPr="005B0796" w:rsidRDefault="00AD2254" w:rsidP="00AD2254">
            <w:pPr>
              <w:pStyle w:val="TableText"/>
              <w:jc w:val="right"/>
              <w:rPr>
                <w:lang w:eastAsia="en-AU"/>
              </w:rPr>
            </w:pPr>
            <w:r w:rsidRPr="005B0796">
              <w:rPr>
                <w:lang w:eastAsia="en-AU"/>
              </w:rPr>
              <w:t xml:space="preserve"> 95% CI</w:t>
            </w:r>
          </w:p>
        </w:tc>
        <w:tc>
          <w:tcPr>
            <w:tcW w:w="808" w:type="dxa"/>
            <w:hideMark/>
          </w:tcPr>
          <w:p w:rsidR="00AD2254" w:rsidRPr="005B0796" w:rsidRDefault="00AD2254" w:rsidP="00AD2254">
            <w:pPr>
              <w:pStyle w:val="TableText"/>
              <w:jc w:val="right"/>
              <w:rPr>
                <w:lang w:eastAsia="en-AU"/>
              </w:rPr>
            </w:pPr>
            <w:r w:rsidRPr="005B0796">
              <w:rPr>
                <w:lang w:eastAsia="en-AU"/>
              </w:rPr>
              <w:t>Weighted n</w:t>
            </w:r>
          </w:p>
        </w:tc>
        <w:tc>
          <w:tcPr>
            <w:tcW w:w="540" w:type="dxa"/>
            <w:hideMark/>
          </w:tcPr>
          <w:p w:rsidR="00AD2254" w:rsidRPr="005B0796" w:rsidRDefault="00AD2254" w:rsidP="00AD2254">
            <w:pPr>
              <w:pStyle w:val="TableText"/>
              <w:jc w:val="right"/>
              <w:rPr>
                <w:lang w:eastAsia="en-AU"/>
              </w:rPr>
            </w:pPr>
            <w:r w:rsidRPr="005B0796">
              <w:rPr>
                <w:lang w:eastAsia="en-AU"/>
              </w:rPr>
              <w:t>%</w:t>
            </w:r>
          </w:p>
        </w:tc>
        <w:tc>
          <w:tcPr>
            <w:tcW w:w="814" w:type="dxa"/>
            <w:hideMark/>
          </w:tcPr>
          <w:p w:rsidR="00AD2254" w:rsidRPr="005B0796" w:rsidRDefault="00AD2254" w:rsidP="00AD2254">
            <w:pPr>
              <w:pStyle w:val="TableText"/>
              <w:jc w:val="right"/>
              <w:rPr>
                <w:lang w:eastAsia="en-AU"/>
              </w:rPr>
            </w:pPr>
            <w:r w:rsidRPr="005B0796">
              <w:rPr>
                <w:lang w:eastAsia="en-AU"/>
              </w:rPr>
              <w:t xml:space="preserve"> 95% CI</w:t>
            </w:r>
          </w:p>
        </w:tc>
        <w:tc>
          <w:tcPr>
            <w:tcW w:w="806" w:type="dxa"/>
            <w:hideMark/>
          </w:tcPr>
          <w:p w:rsidR="00AD2254" w:rsidRPr="005B0796" w:rsidRDefault="00AD2254" w:rsidP="00AD2254">
            <w:pPr>
              <w:pStyle w:val="TableText"/>
              <w:jc w:val="right"/>
              <w:rPr>
                <w:lang w:eastAsia="en-AU"/>
              </w:rPr>
            </w:pPr>
            <w:r w:rsidRPr="005B0796">
              <w:rPr>
                <w:lang w:eastAsia="en-AU"/>
              </w:rPr>
              <w:t>Weighted n</w:t>
            </w:r>
          </w:p>
        </w:tc>
        <w:tc>
          <w:tcPr>
            <w:tcW w:w="540" w:type="dxa"/>
            <w:hideMark/>
          </w:tcPr>
          <w:p w:rsidR="00AD2254" w:rsidRPr="005B0796" w:rsidRDefault="00AD2254" w:rsidP="00AD2254">
            <w:pPr>
              <w:pStyle w:val="TableText"/>
              <w:jc w:val="right"/>
              <w:rPr>
                <w:lang w:eastAsia="en-AU"/>
              </w:rPr>
            </w:pPr>
            <w:r w:rsidRPr="005B0796">
              <w:rPr>
                <w:lang w:eastAsia="en-AU"/>
              </w:rPr>
              <w:t>%</w:t>
            </w:r>
          </w:p>
        </w:tc>
        <w:tc>
          <w:tcPr>
            <w:tcW w:w="817" w:type="dxa"/>
            <w:hideMark/>
          </w:tcPr>
          <w:p w:rsidR="00AD2254" w:rsidRPr="005B0796" w:rsidRDefault="00AD2254" w:rsidP="00AD2254">
            <w:pPr>
              <w:pStyle w:val="TableText"/>
              <w:jc w:val="right"/>
              <w:rPr>
                <w:lang w:eastAsia="en-AU"/>
              </w:rPr>
            </w:pPr>
            <w:r w:rsidRPr="005B0796">
              <w:rPr>
                <w:lang w:eastAsia="en-AU"/>
              </w:rPr>
              <w:t xml:space="preserve"> 95% CI</w:t>
            </w:r>
          </w:p>
        </w:tc>
      </w:tr>
      <w:tr w:rsidR="00AD2254" w:rsidRPr="005B0796" w:rsidTr="00AD2254">
        <w:trPr>
          <w:cnfStyle w:val="000000100000" w:firstRow="0" w:lastRow="0" w:firstColumn="0" w:lastColumn="0" w:oddVBand="0" w:evenVBand="0" w:oddHBand="1" w:evenHBand="0" w:firstRowFirstColumn="0" w:firstRowLastColumn="0" w:lastRowFirstColumn="0" w:lastRowLastColumn="0"/>
        </w:trPr>
        <w:tc>
          <w:tcPr>
            <w:tcW w:w="828" w:type="dxa"/>
            <w:hideMark/>
          </w:tcPr>
          <w:p w:rsidR="00497778" w:rsidRPr="005B0796" w:rsidRDefault="00497778" w:rsidP="00AD2254">
            <w:pPr>
              <w:pStyle w:val="TableText"/>
              <w:rPr>
                <w:rFonts w:eastAsia="Times New Roman"/>
                <w:lang w:eastAsia="en-AU"/>
              </w:rPr>
            </w:pPr>
            <w:r w:rsidRPr="005B0796">
              <w:rPr>
                <w:lang w:eastAsia="en-AU"/>
              </w:rPr>
              <w:t>Low</w:t>
            </w:r>
            <w:r w:rsidR="00AD2254" w:rsidRPr="005B0796">
              <w:rPr>
                <w:lang w:eastAsia="en-AU"/>
              </w:rPr>
              <w:br/>
            </w:r>
            <w:r w:rsidRPr="005B0796">
              <w:rPr>
                <w:lang w:eastAsia="en-AU"/>
              </w:rPr>
              <w:t>(10–15)</w:t>
            </w:r>
          </w:p>
        </w:tc>
        <w:tc>
          <w:tcPr>
            <w:tcW w:w="810" w:type="dxa"/>
            <w:hideMark/>
          </w:tcPr>
          <w:p w:rsidR="00497778" w:rsidRPr="005B0796" w:rsidRDefault="00497778" w:rsidP="00AD2254">
            <w:pPr>
              <w:pStyle w:val="TableText"/>
              <w:jc w:val="right"/>
              <w:rPr>
                <w:rFonts w:eastAsia="Times New Roman"/>
                <w:lang w:eastAsia="en-AU"/>
              </w:rPr>
            </w:pPr>
            <w:r w:rsidRPr="005B0796">
              <w:rPr>
                <w:lang w:eastAsia="en-AU"/>
              </w:rPr>
              <w:t>11,904</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47.7</w:t>
            </w:r>
          </w:p>
        </w:tc>
        <w:tc>
          <w:tcPr>
            <w:tcW w:w="812" w:type="dxa"/>
            <w:hideMark/>
          </w:tcPr>
          <w:p w:rsidR="00497778" w:rsidRPr="005B0796" w:rsidRDefault="00497778" w:rsidP="00AD2254">
            <w:pPr>
              <w:pStyle w:val="TableText"/>
              <w:jc w:val="right"/>
              <w:rPr>
                <w:rFonts w:eastAsia="Times New Roman"/>
                <w:lang w:eastAsia="en-AU"/>
              </w:rPr>
            </w:pPr>
            <w:r w:rsidRPr="005B0796">
              <w:rPr>
                <w:lang w:eastAsia="en-AU"/>
              </w:rPr>
              <w:t>45.9, 49.6</w:t>
            </w:r>
          </w:p>
        </w:tc>
        <w:tc>
          <w:tcPr>
            <w:tcW w:w="808" w:type="dxa"/>
            <w:hideMark/>
          </w:tcPr>
          <w:p w:rsidR="00497778" w:rsidRPr="005B0796" w:rsidRDefault="00497778" w:rsidP="00AD2254">
            <w:pPr>
              <w:pStyle w:val="TableText"/>
              <w:jc w:val="right"/>
              <w:rPr>
                <w:rFonts w:eastAsia="Times New Roman"/>
                <w:lang w:eastAsia="en-AU"/>
              </w:rPr>
            </w:pPr>
            <w:r w:rsidRPr="005B0796">
              <w:rPr>
                <w:lang w:eastAsia="en-AU"/>
              </w:rPr>
              <w:t>33,015</w:t>
            </w:r>
          </w:p>
        </w:tc>
        <w:tc>
          <w:tcPr>
            <w:tcW w:w="540" w:type="dxa"/>
            <w:hideMark/>
          </w:tcPr>
          <w:p w:rsidR="00497778" w:rsidRPr="005B0796" w:rsidRDefault="00497778" w:rsidP="00AD2254">
            <w:pPr>
              <w:pStyle w:val="TableText"/>
              <w:jc w:val="right"/>
              <w:rPr>
                <w:lang w:eastAsia="en-AU"/>
              </w:rPr>
            </w:pPr>
            <w:r w:rsidRPr="005B0796">
              <w:rPr>
                <w:lang w:eastAsia="en-AU"/>
              </w:rPr>
              <w:t>62.9</w:t>
            </w:r>
          </w:p>
        </w:tc>
        <w:tc>
          <w:tcPr>
            <w:tcW w:w="814" w:type="dxa"/>
            <w:hideMark/>
          </w:tcPr>
          <w:p w:rsidR="00497778" w:rsidRPr="005B0796" w:rsidRDefault="00497778" w:rsidP="00AD2254">
            <w:pPr>
              <w:pStyle w:val="TableText"/>
              <w:jc w:val="right"/>
              <w:rPr>
                <w:rFonts w:eastAsia="Times New Roman"/>
                <w:lang w:eastAsia="en-AU"/>
              </w:rPr>
            </w:pPr>
            <w:r w:rsidRPr="005B0796">
              <w:rPr>
                <w:lang w:eastAsia="en-AU"/>
              </w:rPr>
              <w:t>59.3, 66.4</w:t>
            </w:r>
          </w:p>
        </w:tc>
        <w:tc>
          <w:tcPr>
            <w:tcW w:w="806" w:type="dxa"/>
            <w:hideMark/>
          </w:tcPr>
          <w:p w:rsidR="00497778" w:rsidRPr="005B0796" w:rsidRDefault="00497778" w:rsidP="00AD2254">
            <w:pPr>
              <w:pStyle w:val="TableText"/>
              <w:jc w:val="right"/>
              <w:rPr>
                <w:rFonts w:eastAsia="Times New Roman"/>
                <w:lang w:eastAsia="en-AU"/>
              </w:rPr>
            </w:pPr>
            <w:r w:rsidRPr="005B0796">
              <w:rPr>
                <w:lang w:eastAsia="en-AU"/>
              </w:rPr>
              <w:t>32,380</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64.7</w:t>
            </w:r>
          </w:p>
        </w:tc>
        <w:tc>
          <w:tcPr>
            <w:tcW w:w="817" w:type="dxa"/>
            <w:hideMark/>
          </w:tcPr>
          <w:p w:rsidR="00497778" w:rsidRPr="005B0796" w:rsidRDefault="00497778" w:rsidP="00AD2254">
            <w:pPr>
              <w:pStyle w:val="TableText"/>
              <w:jc w:val="right"/>
              <w:rPr>
                <w:rFonts w:eastAsia="Times New Roman"/>
                <w:lang w:eastAsia="en-AU"/>
              </w:rPr>
            </w:pPr>
            <w:r w:rsidRPr="005B0796">
              <w:rPr>
                <w:lang w:eastAsia="en-AU"/>
              </w:rPr>
              <w:t>64.1, 65.3</w:t>
            </w:r>
          </w:p>
        </w:tc>
      </w:tr>
      <w:tr w:rsidR="00AD2254" w:rsidRPr="005B0796" w:rsidTr="00AD2254">
        <w:tc>
          <w:tcPr>
            <w:tcW w:w="828" w:type="dxa"/>
            <w:hideMark/>
          </w:tcPr>
          <w:p w:rsidR="00497778" w:rsidRPr="005B0796" w:rsidRDefault="00497778" w:rsidP="00AD2254">
            <w:pPr>
              <w:pStyle w:val="TableText"/>
              <w:rPr>
                <w:rFonts w:eastAsia="GillSans"/>
                <w:lang w:eastAsia="en-AU"/>
              </w:rPr>
            </w:pPr>
            <w:r w:rsidRPr="005B0796">
              <w:rPr>
                <w:lang w:eastAsia="en-AU"/>
              </w:rPr>
              <w:t>Moderate (16–21)</w:t>
            </w:r>
          </w:p>
        </w:tc>
        <w:tc>
          <w:tcPr>
            <w:tcW w:w="810" w:type="dxa"/>
            <w:hideMark/>
          </w:tcPr>
          <w:p w:rsidR="00497778" w:rsidRPr="005B0796" w:rsidRDefault="00497778" w:rsidP="00AD2254">
            <w:pPr>
              <w:pStyle w:val="TableText"/>
              <w:jc w:val="right"/>
              <w:rPr>
                <w:rFonts w:eastAsia="Times New Roman"/>
                <w:lang w:eastAsia="en-AU"/>
              </w:rPr>
            </w:pPr>
            <w:r w:rsidRPr="005B0796">
              <w:rPr>
                <w:lang w:eastAsia="en-AU"/>
              </w:rPr>
              <w:t>4438</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17.8</w:t>
            </w:r>
          </w:p>
        </w:tc>
        <w:tc>
          <w:tcPr>
            <w:tcW w:w="812" w:type="dxa"/>
            <w:hideMark/>
          </w:tcPr>
          <w:p w:rsidR="00497778" w:rsidRPr="005B0796" w:rsidRDefault="00497778" w:rsidP="00AD2254">
            <w:pPr>
              <w:pStyle w:val="TableText"/>
              <w:jc w:val="right"/>
              <w:rPr>
                <w:rFonts w:eastAsia="Times New Roman"/>
                <w:lang w:eastAsia="en-AU"/>
              </w:rPr>
            </w:pPr>
            <w:r w:rsidRPr="005B0796">
              <w:rPr>
                <w:lang w:eastAsia="en-AU"/>
              </w:rPr>
              <w:t>16.4, 19.3</w:t>
            </w:r>
          </w:p>
        </w:tc>
        <w:tc>
          <w:tcPr>
            <w:tcW w:w="808" w:type="dxa"/>
            <w:hideMark/>
          </w:tcPr>
          <w:p w:rsidR="00497778" w:rsidRPr="005B0796" w:rsidRDefault="00497778" w:rsidP="00AD2254">
            <w:pPr>
              <w:pStyle w:val="TableText"/>
              <w:jc w:val="right"/>
              <w:rPr>
                <w:rFonts w:eastAsia="Times New Roman"/>
                <w:lang w:eastAsia="en-AU"/>
              </w:rPr>
            </w:pPr>
            <w:r w:rsidRPr="005B0796">
              <w:rPr>
                <w:lang w:eastAsia="en-AU"/>
              </w:rPr>
              <w:t>8278</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15.8</w:t>
            </w:r>
          </w:p>
        </w:tc>
        <w:tc>
          <w:tcPr>
            <w:tcW w:w="814" w:type="dxa"/>
            <w:hideMark/>
          </w:tcPr>
          <w:p w:rsidR="00497778" w:rsidRPr="005B0796" w:rsidRDefault="00497778" w:rsidP="00AD2254">
            <w:pPr>
              <w:pStyle w:val="TableText"/>
              <w:jc w:val="right"/>
              <w:rPr>
                <w:rFonts w:eastAsia="Times New Roman"/>
                <w:lang w:eastAsia="en-AU"/>
              </w:rPr>
            </w:pPr>
            <w:r w:rsidRPr="005B0796">
              <w:rPr>
                <w:lang w:eastAsia="en-AU"/>
              </w:rPr>
              <w:t>13.5, 18.4</w:t>
            </w:r>
          </w:p>
        </w:tc>
        <w:tc>
          <w:tcPr>
            <w:tcW w:w="806" w:type="dxa"/>
            <w:hideMark/>
          </w:tcPr>
          <w:p w:rsidR="00497778" w:rsidRPr="005B0796" w:rsidRDefault="00497778" w:rsidP="00AD2254">
            <w:pPr>
              <w:pStyle w:val="TableText"/>
              <w:jc w:val="right"/>
              <w:rPr>
                <w:rFonts w:eastAsia="Times New Roman"/>
                <w:lang w:eastAsia="en-AU"/>
              </w:rPr>
            </w:pPr>
            <w:r w:rsidRPr="005B0796">
              <w:rPr>
                <w:lang w:eastAsia="en-AU"/>
              </w:rPr>
              <w:t>11,237</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22.5</w:t>
            </w:r>
          </w:p>
        </w:tc>
        <w:tc>
          <w:tcPr>
            <w:tcW w:w="817" w:type="dxa"/>
            <w:hideMark/>
          </w:tcPr>
          <w:p w:rsidR="00497778" w:rsidRPr="005B0796" w:rsidRDefault="00497778" w:rsidP="00AD2254">
            <w:pPr>
              <w:pStyle w:val="TableText"/>
              <w:jc w:val="right"/>
              <w:rPr>
                <w:rFonts w:eastAsia="Times New Roman"/>
                <w:lang w:eastAsia="en-AU"/>
              </w:rPr>
            </w:pPr>
            <w:r w:rsidRPr="005B0796">
              <w:rPr>
                <w:lang w:eastAsia="en-AU"/>
              </w:rPr>
              <w:t>22.0, 22.9</w:t>
            </w:r>
          </w:p>
        </w:tc>
      </w:tr>
      <w:tr w:rsidR="00AD2254" w:rsidRPr="005B0796" w:rsidTr="00AD2254">
        <w:trPr>
          <w:cnfStyle w:val="000000100000" w:firstRow="0" w:lastRow="0" w:firstColumn="0" w:lastColumn="0" w:oddVBand="0" w:evenVBand="0" w:oddHBand="1" w:evenHBand="0" w:firstRowFirstColumn="0" w:firstRowLastColumn="0" w:lastRowFirstColumn="0" w:lastRowLastColumn="0"/>
        </w:trPr>
        <w:tc>
          <w:tcPr>
            <w:tcW w:w="828" w:type="dxa"/>
            <w:hideMark/>
          </w:tcPr>
          <w:p w:rsidR="00497778" w:rsidRPr="005B0796" w:rsidRDefault="00497778" w:rsidP="00AD2254">
            <w:pPr>
              <w:pStyle w:val="TableText"/>
              <w:rPr>
                <w:rFonts w:eastAsia="GillSans"/>
                <w:lang w:eastAsia="en-AU"/>
              </w:rPr>
            </w:pPr>
            <w:r w:rsidRPr="005B0796">
              <w:rPr>
                <w:lang w:eastAsia="en-AU"/>
              </w:rPr>
              <w:t>High</w:t>
            </w:r>
            <w:r w:rsidR="00AD2254" w:rsidRPr="005B0796">
              <w:rPr>
                <w:lang w:eastAsia="en-AU"/>
              </w:rPr>
              <w:br/>
            </w:r>
            <w:r w:rsidRPr="005B0796">
              <w:rPr>
                <w:lang w:eastAsia="en-AU"/>
              </w:rPr>
              <w:t>(22–29)</w:t>
            </w:r>
          </w:p>
        </w:tc>
        <w:tc>
          <w:tcPr>
            <w:tcW w:w="810" w:type="dxa"/>
            <w:hideMark/>
          </w:tcPr>
          <w:p w:rsidR="00497778" w:rsidRPr="005B0796" w:rsidRDefault="00497778" w:rsidP="00AD2254">
            <w:pPr>
              <w:pStyle w:val="TableText"/>
              <w:jc w:val="right"/>
              <w:rPr>
                <w:rFonts w:eastAsia="Times New Roman"/>
                <w:lang w:eastAsia="en-AU"/>
              </w:rPr>
            </w:pPr>
            <w:r w:rsidRPr="005B0796">
              <w:rPr>
                <w:lang w:eastAsia="en-AU"/>
              </w:rPr>
              <w:t>3371</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13.5</w:t>
            </w:r>
          </w:p>
        </w:tc>
        <w:tc>
          <w:tcPr>
            <w:tcW w:w="812" w:type="dxa"/>
            <w:hideMark/>
          </w:tcPr>
          <w:p w:rsidR="00497778" w:rsidRPr="005B0796" w:rsidRDefault="00497778" w:rsidP="00AD2254">
            <w:pPr>
              <w:pStyle w:val="TableText"/>
              <w:jc w:val="right"/>
              <w:rPr>
                <w:rFonts w:eastAsia="Times New Roman"/>
                <w:lang w:eastAsia="en-AU"/>
              </w:rPr>
            </w:pPr>
            <w:r w:rsidRPr="005B0796">
              <w:rPr>
                <w:lang w:eastAsia="en-AU"/>
              </w:rPr>
              <w:t>12.3, 14.8</w:t>
            </w:r>
          </w:p>
        </w:tc>
        <w:tc>
          <w:tcPr>
            <w:tcW w:w="808" w:type="dxa"/>
            <w:hideMark/>
          </w:tcPr>
          <w:p w:rsidR="00497778" w:rsidRPr="005B0796" w:rsidRDefault="00497778" w:rsidP="00AD2254">
            <w:pPr>
              <w:pStyle w:val="TableText"/>
              <w:jc w:val="right"/>
              <w:rPr>
                <w:rFonts w:eastAsia="Times New Roman"/>
                <w:lang w:eastAsia="en-AU"/>
              </w:rPr>
            </w:pPr>
            <w:r w:rsidRPr="005B0796">
              <w:rPr>
                <w:lang w:eastAsia="en-AU"/>
              </w:rPr>
              <w:t>4179</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7.9</w:t>
            </w:r>
          </w:p>
        </w:tc>
        <w:tc>
          <w:tcPr>
            <w:tcW w:w="814" w:type="dxa"/>
            <w:hideMark/>
          </w:tcPr>
          <w:p w:rsidR="00497778" w:rsidRPr="005B0796" w:rsidRDefault="00497778" w:rsidP="00AD2254">
            <w:pPr>
              <w:pStyle w:val="TableText"/>
              <w:jc w:val="right"/>
              <w:rPr>
                <w:rFonts w:eastAsia="Times New Roman"/>
                <w:lang w:eastAsia="en-AU"/>
              </w:rPr>
            </w:pPr>
            <w:r w:rsidRPr="005B0796">
              <w:rPr>
                <w:lang w:eastAsia="en-AU"/>
              </w:rPr>
              <w:t xml:space="preserve">6.4, 9.9 </w:t>
            </w:r>
          </w:p>
        </w:tc>
        <w:tc>
          <w:tcPr>
            <w:tcW w:w="806" w:type="dxa"/>
            <w:hideMark/>
          </w:tcPr>
          <w:p w:rsidR="00497778" w:rsidRPr="005B0796" w:rsidRDefault="00497778" w:rsidP="00AD2254">
            <w:pPr>
              <w:pStyle w:val="TableText"/>
              <w:jc w:val="right"/>
              <w:rPr>
                <w:rFonts w:eastAsia="Times New Roman"/>
                <w:lang w:eastAsia="en-AU"/>
              </w:rPr>
            </w:pPr>
            <w:r w:rsidRPr="005B0796">
              <w:rPr>
                <w:lang w:eastAsia="en-AU"/>
              </w:rPr>
              <w:t>4655</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9.3</w:t>
            </w:r>
          </w:p>
        </w:tc>
        <w:tc>
          <w:tcPr>
            <w:tcW w:w="817" w:type="dxa"/>
            <w:hideMark/>
          </w:tcPr>
          <w:p w:rsidR="00497778" w:rsidRPr="005B0796" w:rsidRDefault="00497778" w:rsidP="00AD2254">
            <w:pPr>
              <w:pStyle w:val="TableText"/>
              <w:jc w:val="right"/>
              <w:rPr>
                <w:rFonts w:eastAsia="Times New Roman"/>
                <w:lang w:eastAsia="en-AU"/>
              </w:rPr>
            </w:pPr>
            <w:r w:rsidRPr="005B0796">
              <w:rPr>
                <w:lang w:eastAsia="en-AU"/>
              </w:rPr>
              <w:t>9.0, 9.6</w:t>
            </w:r>
          </w:p>
        </w:tc>
      </w:tr>
      <w:tr w:rsidR="00AD2254" w:rsidRPr="005B0796" w:rsidTr="00AD2254">
        <w:trPr>
          <w:cnfStyle w:val="010000000000" w:firstRow="0" w:lastRow="1" w:firstColumn="0" w:lastColumn="0" w:oddVBand="0" w:evenVBand="0" w:oddHBand="0" w:evenHBand="0" w:firstRowFirstColumn="0" w:firstRowLastColumn="0" w:lastRowFirstColumn="0" w:lastRowLastColumn="0"/>
        </w:trPr>
        <w:tc>
          <w:tcPr>
            <w:tcW w:w="828" w:type="dxa"/>
            <w:hideMark/>
          </w:tcPr>
          <w:p w:rsidR="00497778" w:rsidRPr="005B0796" w:rsidRDefault="00497778" w:rsidP="00AD2254">
            <w:pPr>
              <w:pStyle w:val="TableText"/>
              <w:rPr>
                <w:rFonts w:eastAsia="Times New Roman"/>
                <w:lang w:eastAsia="en-AU"/>
              </w:rPr>
            </w:pPr>
            <w:r w:rsidRPr="005B0796">
              <w:rPr>
                <w:lang w:eastAsia="en-AU"/>
              </w:rPr>
              <w:t>Very high (30–50)</w:t>
            </w:r>
          </w:p>
        </w:tc>
        <w:tc>
          <w:tcPr>
            <w:tcW w:w="810" w:type="dxa"/>
            <w:hideMark/>
          </w:tcPr>
          <w:p w:rsidR="00497778" w:rsidRPr="005B0796" w:rsidRDefault="00497778" w:rsidP="00AD2254">
            <w:pPr>
              <w:pStyle w:val="TableText"/>
              <w:jc w:val="right"/>
              <w:rPr>
                <w:rFonts w:eastAsia="Times New Roman"/>
                <w:lang w:eastAsia="en-AU"/>
              </w:rPr>
            </w:pPr>
            <w:r w:rsidRPr="005B0796">
              <w:rPr>
                <w:lang w:eastAsia="en-AU"/>
              </w:rPr>
              <w:t>4884</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19.6</w:t>
            </w:r>
          </w:p>
        </w:tc>
        <w:tc>
          <w:tcPr>
            <w:tcW w:w="812" w:type="dxa"/>
            <w:hideMark/>
          </w:tcPr>
          <w:p w:rsidR="00497778" w:rsidRPr="005B0796" w:rsidRDefault="00497778" w:rsidP="00AD2254">
            <w:pPr>
              <w:pStyle w:val="TableText"/>
              <w:jc w:val="right"/>
              <w:rPr>
                <w:rFonts w:eastAsia="Times New Roman"/>
                <w:lang w:eastAsia="en-AU"/>
              </w:rPr>
            </w:pPr>
            <w:r w:rsidRPr="005B0796">
              <w:rPr>
                <w:lang w:eastAsia="en-AU"/>
              </w:rPr>
              <w:t>18.2, 21.1</w:t>
            </w:r>
          </w:p>
        </w:tc>
        <w:tc>
          <w:tcPr>
            <w:tcW w:w="808" w:type="dxa"/>
            <w:hideMark/>
          </w:tcPr>
          <w:p w:rsidR="00497778" w:rsidRPr="005B0796" w:rsidRDefault="00497778" w:rsidP="00AD2254">
            <w:pPr>
              <w:pStyle w:val="TableText"/>
              <w:jc w:val="right"/>
              <w:rPr>
                <w:rFonts w:eastAsia="Times New Roman"/>
                <w:lang w:eastAsia="en-AU"/>
              </w:rPr>
            </w:pPr>
            <w:r w:rsidRPr="005B0796">
              <w:rPr>
                <w:lang w:eastAsia="en-AU"/>
              </w:rPr>
              <w:t>5644</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10.8</w:t>
            </w:r>
          </w:p>
        </w:tc>
        <w:tc>
          <w:tcPr>
            <w:tcW w:w="814" w:type="dxa"/>
            <w:hideMark/>
          </w:tcPr>
          <w:p w:rsidR="00497778" w:rsidRPr="005B0796" w:rsidRDefault="00497778" w:rsidP="00AD2254">
            <w:pPr>
              <w:pStyle w:val="TableText"/>
              <w:jc w:val="right"/>
              <w:rPr>
                <w:rFonts w:eastAsia="Times New Roman"/>
                <w:lang w:eastAsia="en-AU"/>
              </w:rPr>
            </w:pPr>
            <w:r w:rsidRPr="005B0796">
              <w:rPr>
                <w:lang w:eastAsia="en-AU"/>
              </w:rPr>
              <w:t>8.4, 13.7</w:t>
            </w:r>
          </w:p>
        </w:tc>
        <w:tc>
          <w:tcPr>
            <w:tcW w:w="806" w:type="dxa"/>
            <w:hideMark/>
          </w:tcPr>
          <w:p w:rsidR="00497778" w:rsidRPr="005B0796" w:rsidRDefault="00497778" w:rsidP="00AD2254">
            <w:pPr>
              <w:pStyle w:val="TableText"/>
              <w:jc w:val="right"/>
              <w:rPr>
                <w:rFonts w:eastAsia="Times New Roman"/>
                <w:lang w:eastAsia="en-AU"/>
              </w:rPr>
            </w:pPr>
            <w:r w:rsidRPr="005B0796">
              <w:rPr>
                <w:lang w:eastAsia="en-AU"/>
              </w:rPr>
              <w:t>1778</w:t>
            </w:r>
          </w:p>
        </w:tc>
        <w:tc>
          <w:tcPr>
            <w:tcW w:w="540" w:type="dxa"/>
            <w:hideMark/>
          </w:tcPr>
          <w:p w:rsidR="00497778" w:rsidRPr="005B0796" w:rsidRDefault="00497778" w:rsidP="00AD2254">
            <w:pPr>
              <w:pStyle w:val="TableText"/>
              <w:jc w:val="right"/>
              <w:rPr>
                <w:rFonts w:eastAsia="Times New Roman"/>
                <w:lang w:eastAsia="en-AU"/>
              </w:rPr>
            </w:pPr>
            <w:r w:rsidRPr="005B0796">
              <w:rPr>
                <w:lang w:eastAsia="en-AU"/>
              </w:rPr>
              <w:t>3.6</w:t>
            </w:r>
          </w:p>
        </w:tc>
        <w:tc>
          <w:tcPr>
            <w:tcW w:w="817" w:type="dxa"/>
            <w:hideMark/>
          </w:tcPr>
          <w:p w:rsidR="00497778" w:rsidRPr="005B0796" w:rsidRDefault="00497778" w:rsidP="00AD2254">
            <w:pPr>
              <w:pStyle w:val="TableText"/>
              <w:jc w:val="right"/>
              <w:rPr>
                <w:rFonts w:eastAsia="Times New Roman"/>
                <w:lang w:eastAsia="en-AU"/>
              </w:rPr>
            </w:pPr>
            <w:r w:rsidRPr="005B0796">
              <w:rPr>
                <w:lang w:eastAsia="en-AU"/>
              </w:rPr>
              <w:t>3.3,3.8</w:t>
            </w:r>
          </w:p>
        </w:tc>
      </w:tr>
    </w:tbl>
    <w:p w:rsidR="00AD2254" w:rsidRPr="005B0796" w:rsidRDefault="00AD2254" w:rsidP="00AD2254">
      <w:pPr>
        <w:pStyle w:val="TableNotes"/>
      </w:pPr>
      <w:r w:rsidRPr="005B0796">
        <w:t>* From the 2010 ADF Mental Health Prevalence and Wellbeing Study</w:t>
      </w:r>
    </w:p>
    <w:p w:rsidR="00AD2254" w:rsidRPr="005B0796" w:rsidRDefault="00AD2254" w:rsidP="00AD2254">
      <w:pPr>
        <w:pStyle w:val="TableNotes"/>
      </w:pPr>
      <w:r w:rsidRPr="005B0796">
        <w:t xml:space="preserve">Note: 95% CI: 95% </w:t>
      </w:r>
      <w:r w:rsidR="00564689" w:rsidRPr="005B0796">
        <w:t>confidence interval</w:t>
      </w:r>
    </w:p>
    <w:p w:rsidR="00497778" w:rsidRPr="005B0796" w:rsidRDefault="00497778" w:rsidP="00AD2254">
      <w:r w:rsidRPr="005B0796">
        <w:t>In 2015, the Transitioned ADF reported the highest levels of psychological distress, followed by the 2015 Regular ADF and the 2010 Regular ADF. Transitioned ADF members reported significantly greater levels of psychological distress (mean K10 (SE 19.9) (0.2)) compared to the entire 2015 Regular ADF (mean K10 (SE 17.0)</w:t>
      </w:r>
      <w:r w:rsidR="00EC5C6F">
        <w:t>)</w:t>
      </w:r>
      <w:r w:rsidRPr="005B0796">
        <w:t xml:space="preserve"> (mean difference 2.4, 95% CI 1.3, 3.4, p &lt; 0.001). For this report, a statistical comparison was also made between members serving in the 2010 and 2015 Regular ADF. Using the mean K10 scores from the 2010 MHPWS, the 2015 Regular ADF cohort (mean K10 (SE 17.0) (0.4)) reported significantly higher K10 total scores compared to the 2010 Regular ADF cohort (mean K10 (SE 15.4) (0.03)</w:t>
      </w:r>
      <w:r w:rsidR="00EC5C6F">
        <w:t>)</w:t>
      </w:r>
      <w:r w:rsidRPr="005B0796">
        <w:t xml:space="preserve"> (mean difference 1.6, 95% CI 0.9, 2.4, p &lt; 0.001), with the 2015 cohort having proportionally more very high scorers and fewer moderate scorers. However, it should be noted that this comparison does not include any estimate of covariance between the two populations. </w:t>
      </w:r>
    </w:p>
    <w:p w:rsidR="00497778" w:rsidRPr="005B0796" w:rsidRDefault="00497778" w:rsidP="00AD2254">
      <w:r w:rsidRPr="005B0796">
        <w:t xml:space="preserve">A further detailed analysis of the change in levels of psychological distress from 2010 to 2015 will be addressed more formally in later reports. </w:t>
      </w:r>
    </w:p>
    <w:p w:rsidR="00AD2254" w:rsidRPr="005B0796" w:rsidRDefault="00AD2254" w:rsidP="00AD2254">
      <w:pPr>
        <w:pStyle w:val="FigureName"/>
      </w:pPr>
      <w:bookmarkStart w:id="884" w:name="_Toc487014391"/>
      <w:bookmarkStart w:id="885" w:name="_Toc51190056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w:t>
      </w:r>
      <w:r w:rsidR="00D30A3C">
        <w:rPr>
          <w:noProof/>
        </w:rPr>
        <w:fldChar w:fldCharType="end"/>
      </w:r>
      <w:r w:rsidR="00EC5C6F">
        <w:tab/>
        <w:t xml:space="preserve">Estimated proportions </w:t>
      </w:r>
      <w:r w:rsidRPr="005B0796">
        <w:t>o</w:t>
      </w:r>
      <w:r w:rsidR="00EC5C6F">
        <w:t>f</w:t>
      </w:r>
      <w:r w:rsidRPr="005B0796">
        <w:t xml:space="preserve"> Transitioned ADF, and 2010 and 2015 Regular ADF in each of the four K10 scoring bands for psychological distress</w:t>
      </w:r>
      <w:bookmarkEnd w:id="884"/>
      <w:bookmarkEnd w:id="885"/>
    </w:p>
    <w:tbl>
      <w:tblPr>
        <w:tblW w:w="5000" w:type="pct"/>
        <w:tblLayout w:type="fixed"/>
        <w:tblCellMar>
          <w:left w:w="115" w:type="dxa"/>
          <w:right w:w="115" w:type="dxa"/>
        </w:tblCellMar>
        <w:tblLook w:val="04A0" w:firstRow="1" w:lastRow="0" w:firstColumn="1" w:lastColumn="0" w:noHBand="0" w:noVBand="1"/>
      </w:tblPr>
      <w:tblGrid>
        <w:gridCol w:w="7329"/>
      </w:tblGrid>
      <w:tr w:rsidR="00497778" w:rsidRPr="005B0796" w:rsidTr="00AD2254">
        <w:trPr>
          <w:cantSplit/>
        </w:trPr>
        <w:tc>
          <w:tcPr>
            <w:tcW w:w="7315" w:type="dxa"/>
          </w:tcPr>
          <w:p w:rsidR="00497778" w:rsidRPr="005B0796" w:rsidRDefault="00497778" w:rsidP="00855912">
            <w:r w:rsidRPr="005B0796">
              <w:rPr>
                <w:noProof/>
                <w:lang w:eastAsia="en-AU"/>
              </w:rPr>
              <w:drawing>
                <wp:inline distT="0" distB="0" distL="0" distR="0" wp14:anchorId="722D7DDE" wp14:editId="5642B3B2">
                  <wp:extent cx="4572000" cy="2743200"/>
                  <wp:effectExtent l="0" t="0" r="0" b="0"/>
                  <wp:docPr id="12" name="Chart 12" descr="Figure 5.1 Estimated proportions for Transitioned ADF, and 2010 and 2015 Regular ADF in each of the four K10 scoring bands for psychological distr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rsidR="00497778" w:rsidRPr="005B0796" w:rsidRDefault="00497778" w:rsidP="00AD2254">
      <w:pPr>
        <w:pStyle w:val="Heading3"/>
      </w:pPr>
      <w:bookmarkStart w:id="886" w:name="_Toc482021367"/>
      <w:bookmarkStart w:id="887" w:name="_Toc482024457"/>
      <w:bookmarkStart w:id="888" w:name="_Toc487011215"/>
      <w:bookmarkStart w:id="889" w:name="_Toc494449735"/>
      <w:bookmarkStart w:id="890" w:name="_Toc511900317"/>
      <w:r w:rsidRPr="005B0796">
        <w:t>Psychological distress in different transition population subgroups</w:t>
      </w:r>
      <w:bookmarkEnd w:id="886"/>
      <w:bookmarkEnd w:id="887"/>
      <w:bookmarkEnd w:id="888"/>
      <w:bookmarkEnd w:id="889"/>
      <w:bookmarkEnd w:id="890"/>
    </w:p>
    <w:p w:rsidR="00497778" w:rsidRPr="005B0796" w:rsidRDefault="00497778" w:rsidP="00AD2254">
      <w:pPr>
        <w:pStyle w:val="Heading4"/>
      </w:pPr>
      <w:r w:rsidRPr="005B0796">
        <w:t>Psychological distress in Transitioned ADF, by transition status</w:t>
      </w:r>
    </w:p>
    <w:p w:rsidR="00497778" w:rsidRPr="005B0796" w:rsidRDefault="009E72D3" w:rsidP="00AD2254">
      <w:r w:rsidRPr="005B0796">
        <w:t>Table 5.2</w:t>
      </w:r>
      <w:r w:rsidR="00497778" w:rsidRPr="005B0796">
        <w:t xml:space="preserve"> and Figure 5.2 compares the K10 scoring bands in Ex-Serving, Inactive</w:t>
      </w:r>
      <w:r w:rsidR="00462A0C" w:rsidRPr="005B0796">
        <w:t xml:space="preserve"> </w:t>
      </w:r>
      <w:r w:rsidR="00497778" w:rsidRPr="005B0796">
        <w:t>Reservists and Active Reservists who transitioned from the Regular ADF between 2010</w:t>
      </w:r>
      <w:r w:rsidR="00462A0C" w:rsidRPr="005B0796">
        <w:t xml:space="preserve"> </w:t>
      </w:r>
      <w:r w:rsidR="00497778" w:rsidRPr="005B0796">
        <w:t>and 2014.</w:t>
      </w:r>
    </w:p>
    <w:p w:rsidR="00497778" w:rsidRPr="005B0796" w:rsidRDefault="00497778" w:rsidP="00AD2254">
      <w:r w:rsidRPr="005B0796">
        <w:t>Ex-Serving Transitioned ADF members are significantly more likely to score equal to or above the K10 screening cut-off of 19 (not shown) than Transitioned ADF members who were in the Inactive Reserves (OR 2.5, 95% CI 2.0, 3.0) or Active Reserves (OR 2.6, 95% CI 2.1, 3.2) in 2015. There was no significant difference between Transitioned ADF members who were Active Reservists and Inactive Reservists in the proportion of individuals scoring equal to or above the K10 screening cut-off o</w:t>
      </w:r>
      <w:r w:rsidR="00AD2254" w:rsidRPr="005B0796">
        <w:t>f 19.</w:t>
      </w:r>
    </w:p>
    <w:p w:rsidR="00F938E0" w:rsidRPr="005B0796" w:rsidRDefault="00F938E0" w:rsidP="002A5555">
      <w:pPr>
        <w:pStyle w:val="Heading4"/>
      </w:pPr>
      <w:bookmarkStart w:id="891" w:name="_Ref484523462"/>
      <w:bookmarkStart w:id="892" w:name="_Toc487014303"/>
      <w:bookmarkStart w:id="893" w:name="_Toc492995606"/>
      <w:r w:rsidRPr="005B0796">
        <w:t>Psychological distress in Transitioned ADF</w:t>
      </w:r>
      <w:r w:rsidR="00EC5C6F">
        <w:t>,</w:t>
      </w:r>
      <w:r w:rsidRPr="005B0796">
        <w:t xml:space="preserve"> by years since transition</w:t>
      </w:r>
    </w:p>
    <w:p w:rsidR="00F938E0" w:rsidRPr="005B0796" w:rsidRDefault="00F938E0" w:rsidP="002A5555">
      <w:r w:rsidRPr="005B0796">
        <w:t>Table 5.3 and Figure 5.3 compare the K10 scoring bands for psychological distress in the Transitioned ADF, by years since transition.</w:t>
      </w:r>
    </w:p>
    <w:p w:rsidR="00F938E0" w:rsidRPr="005B0796" w:rsidRDefault="00F938E0" w:rsidP="002A5555">
      <w:r w:rsidRPr="005B0796">
        <w:t>Overall, psychological distress appears to increase with years since transition, with an average increase in scoring for psychological distress of 0.2 per year. However, this association is not completely linear, and so it is not statistically significant. ADF members who transitioned less than one year ago reported the lowest levels of psychological distress. Those who transitioned 1–5 years ago reported significantly higher levels of psychological distress, with the greatest increase in symptoms observed at one year post-transition (p &lt; 0.001).</w:t>
      </w:r>
    </w:p>
    <w:p w:rsidR="00AD2254" w:rsidRPr="005B0796" w:rsidRDefault="00AD2254" w:rsidP="00AD2254">
      <w:pPr>
        <w:pStyle w:val="TableName"/>
      </w:pPr>
      <w:bookmarkStart w:id="894" w:name="_Toc51190045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w:t>
      </w:r>
      <w:r w:rsidR="00D30A3C">
        <w:rPr>
          <w:noProof/>
        </w:rPr>
        <w:fldChar w:fldCharType="end"/>
      </w:r>
      <w:bookmarkEnd w:id="891"/>
      <w:r w:rsidRPr="005B0796">
        <w:tab/>
        <w:t>Estimated proportions o</w:t>
      </w:r>
      <w:r w:rsidR="00EC5C6F">
        <w:t>f</w:t>
      </w:r>
      <w:r w:rsidRPr="005B0796">
        <w:t xml:space="preserve"> Transitioned ADF scoring in each of the K10 bands for psychological distress</w:t>
      </w:r>
      <w:r w:rsidR="00EC5C6F">
        <w:t>,</w:t>
      </w:r>
      <w:r w:rsidRPr="005B0796">
        <w:t xml:space="preserve"> by transition status</w:t>
      </w:r>
      <w:bookmarkEnd w:id="892"/>
      <w:bookmarkEnd w:id="893"/>
      <w:bookmarkEnd w:id="894"/>
    </w:p>
    <w:tbl>
      <w:tblPr>
        <w:tblStyle w:val="TWRPTable"/>
        <w:tblW w:w="5000" w:type="pct"/>
        <w:tblLayout w:type="fixed"/>
        <w:tblLook w:val="01E0" w:firstRow="1" w:lastRow="1" w:firstColumn="1" w:lastColumn="1" w:noHBand="0" w:noVBand="0"/>
        <w:tblDescription w:val="Table 5.2 Estimated proportions for Transitioned ADF scoring in each of the K10 bands for psychological distress by transition status"/>
      </w:tblPr>
      <w:tblGrid>
        <w:gridCol w:w="918"/>
        <w:gridCol w:w="810"/>
        <w:gridCol w:w="611"/>
        <w:gridCol w:w="711"/>
        <w:gridCol w:w="838"/>
        <w:gridCol w:w="583"/>
        <w:gridCol w:w="711"/>
        <w:gridCol w:w="866"/>
        <w:gridCol w:w="556"/>
        <w:gridCol w:w="711"/>
      </w:tblGrid>
      <w:tr w:rsidR="00AD2254" w:rsidRPr="005B0796" w:rsidTr="002A5555">
        <w:trPr>
          <w:cnfStyle w:val="100000000000" w:firstRow="1" w:lastRow="0" w:firstColumn="0" w:lastColumn="0" w:oddVBand="0" w:evenVBand="0" w:oddHBand="0" w:evenHBand="0" w:firstRowFirstColumn="0" w:firstRowLastColumn="0" w:lastRowFirstColumn="0" w:lastRowLastColumn="0"/>
          <w:tblHeader/>
        </w:trPr>
        <w:tc>
          <w:tcPr>
            <w:tcW w:w="918" w:type="dxa"/>
            <w:vMerge w:val="restart"/>
            <w:hideMark/>
          </w:tcPr>
          <w:p w:rsidR="00AD2254" w:rsidRPr="005B0796" w:rsidRDefault="00AD2254" w:rsidP="00AD2254">
            <w:pPr>
              <w:pStyle w:val="TableText"/>
              <w:rPr>
                <w:rFonts w:eastAsia="Times New Roman"/>
                <w:lang w:eastAsia="en-AU"/>
              </w:rPr>
            </w:pPr>
            <w:r w:rsidRPr="005B0796">
              <w:rPr>
                <w:lang w:eastAsia="en-AU"/>
              </w:rPr>
              <w:t>K10 scoring bands</w:t>
            </w:r>
          </w:p>
        </w:tc>
        <w:tc>
          <w:tcPr>
            <w:tcW w:w="2132" w:type="dxa"/>
            <w:gridSpan w:val="3"/>
            <w:hideMark/>
          </w:tcPr>
          <w:p w:rsidR="00AD2254" w:rsidRPr="005B0796" w:rsidRDefault="00AD2254" w:rsidP="00AD2254">
            <w:pPr>
              <w:pStyle w:val="TableText"/>
              <w:jc w:val="center"/>
              <w:rPr>
                <w:lang w:eastAsia="en-AU"/>
              </w:rPr>
            </w:pPr>
            <w:r w:rsidRPr="005B0796">
              <w:rPr>
                <w:bCs/>
                <w:lang w:eastAsia="en-AU"/>
              </w:rPr>
              <w:t>Ex-Serving</w:t>
            </w:r>
            <w:r w:rsidRPr="005B0796">
              <w:rPr>
                <w:bCs/>
                <w:lang w:eastAsia="en-AU"/>
              </w:rPr>
              <w:br/>
              <w:t>(n = 11,440)</w:t>
            </w:r>
          </w:p>
        </w:tc>
        <w:tc>
          <w:tcPr>
            <w:tcW w:w="2132" w:type="dxa"/>
            <w:gridSpan w:val="3"/>
            <w:hideMark/>
          </w:tcPr>
          <w:p w:rsidR="00AD2254" w:rsidRPr="005B0796" w:rsidRDefault="00AD2254" w:rsidP="00AD2254">
            <w:pPr>
              <w:pStyle w:val="TableText"/>
              <w:jc w:val="center"/>
              <w:rPr>
                <w:lang w:eastAsia="en-AU"/>
              </w:rPr>
            </w:pPr>
            <w:r w:rsidRPr="005B0796">
              <w:rPr>
                <w:bCs/>
                <w:lang w:eastAsia="en-AU"/>
              </w:rPr>
              <w:t>Inactive Reservists</w:t>
            </w:r>
            <w:r w:rsidRPr="005B0796">
              <w:rPr>
                <w:bCs/>
                <w:lang w:eastAsia="en-AU"/>
              </w:rPr>
              <w:br/>
              <w:t>(n = 6447)</w:t>
            </w:r>
          </w:p>
        </w:tc>
        <w:tc>
          <w:tcPr>
            <w:tcW w:w="2133" w:type="dxa"/>
            <w:gridSpan w:val="3"/>
            <w:hideMark/>
          </w:tcPr>
          <w:p w:rsidR="00AD2254" w:rsidRPr="005B0796" w:rsidRDefault="00AD2254" w:rsidP="00AD2254">
            <w:pPr>
              <w:pStyle w:val="TableText"/>
              <w:jc w:val="center"/>
              <w:rPr>
                <w:bCs/>
                <w:lang w:eastAsia="en-AU"/>
              </w:rPr>
            </w:pPr>
            <w:r w:rsidRPr="005B0796">
              <w:rPr>
                <w:bCs/>
                <w:lang w:eastAsia="en-AU"/>
              </w:rPr>
              <w:t>Active Reservists</w:t>
            </w:r>
            <w:r w:rsidRPr="005B0796">
              <w:rPr>
                <w:bCs/>
                <w:lang w:eastAsia="en-AU"/>
              </w:rPr>
              <w:br/>
              <w:t>(n = 6968)</w:t>
            </w:r>
          </w:p>
        </w:tc>
      </w:tr>
      <w:tr w:rsidR="00AD2254" w:rsidRPr="005B0796" w:rsidTr="002A5555">
        <w:trPr>
          <w:cnfStyle w:val="100000000000" w:firstRow="1" w:lastRow="0" w:firstColumn="0" w:lastColumn="0" w:oddVBand="0" w:evenVBand="0" w:oddHBand="0" w:evenHBand="0" w:firstRowFirstColumn="0" w:firstRowLastColumn="0" w:lastRowFirstColumn="0" w:lastRowLastColumn="0"/>
          <w:tblHeader/>
        </w:trPr>
        <w:tc>
          <w:tcPr>
            <w:tcW w:w="918" w:type="dxa"/>
            <w:vMerge/>
          </w:tcPr>
          <w:p w:rsidR="00AD2254" w:rsidRPr="005B0796" w:rsidRDefault="00AD2254" w:rsidP="00AD2254">
            <w:pPr>
              <w:pStyle w:val="TableText"/>
              <w:rPr>
                <w:rFonts w:eastAsia="GillSans"/>
                <w:lang w:eastAsia="en-AU"/>
              </w:rPr>
            </w:pPr>
          </w:p>
        </w:tc>
        <w:tc>
          <w:tcPr>
            <w:tcW w:w="810" w:type="dxa"/>
            <w:hideMark/>
          </w:tcPr>
          <w:p w:rsidR="00AD2254" w:rsidRPr="005B0796" w:rsidRDefault="00AD2254" w:rsidP="00AD2254">
            <w:pPr>
              <w:pStyle w:val="TableText"/>
              <w:jc w:val="right"/>
              <w:rPr>
                <w:rFonts w:eastAsia="Times New Roman"/>
                <w:lang w:eastAsia="en-AU"/>
              </w:rPr>
            </w:pPr>
            <w:r w:rsidRPr="005B0796">
              <w:rPr>
                <w:lang w:eastAsia="en-AU"/>
              </w:rPr>
              <w:t>Weighted n</w:t>
            </w:r>
          </w:p>
        </w:tc>
        <w:tc>
          <w:tcPr>
            <w:tcW w:w="611" w:type="dxa"/>
            <w:hideMark/>
          </w:tcPr>
          <w:p w:rsidR="00AD2254" w:rsidRPr="005B0796" w:rsidRDefault="00AD2254" w:rsidP="00AD2254">
            <w:pPr>
              <w:pStyle w:val="TableText"/>
              <w:jc w:val="right"/>
              <w:rPr>
                <w:lang w:eastAsia="en-AU"/>
              </w:rPr>
            </w:pPr>
            <w:r w:rsidRPr="005B0796">
              <w:rPr>
                <w:lang w:eastAsia="en-AU"/>
              </w:rPr>
              <w:t>%</w:t>
            </w:r>
          </w:p>
        </w:tc>
        <w:tc>
          <w:tcPr>
            <w:tcW w:w="711" w:type="dxa"/>
            <w:hideMark/>
          </w:tcPr>
          <w:p w:rsidR="00AD2254" w:rsidRPr="005B0796" w:rsidRDefault="00AD2254" w:rsidP="00AD2254">
            <w:pPr>
              <w:pStyle w:val="TableText"/>
              <w:jc w:val="right"/>
              <w:rPr>
                <w:lang w:eastAsia="en-AU"/>
              </w:rPr>
            </w:pPr>
            <w:r w:rsidRPr="005B0796">
              <w:rPr>
                <w:lang w:eastAsia="en-AU"/>
              </w:rPr>
              <w:t>95% CI</w:t>
            </w:r>
          </w:p>
        </w:tc>
        <w:tc>
          <w:tcPr>
            <w:tcW w:w="838" w:type="dxa"/>
            <w:hideMark/>
          </w:tcPr>
          <w:p w:rsidR="00AD2254" w:rsidRPr="005B0796" w:rsidRDefault="00AD2254" w:rsidP="00AD2254">
            <w:pPr>
              <w:pStyle w:val="TableText"/>
              <w:jc w:val="right"/>
              <w:rPr>
                <w:lang w:eastAsia="en-AU"/>
              </w:rPr>
            </w:pPr>
            <w:r w:rsidRPr="005B0796">
              <w:rPr>
                <w:lang w:eastAsia="en-AU"/>
              </w:rPr>
              <w:t>Weighted n</w:t>
            </w:r>
          </w:p>
        </w:tc>
        <w:tc>
          <w:tcPr>
            <w:tcW w:w="583" w:type="dxa"/>
            <w:hideMark/>
          </w:tcPr>
          <w:p w:rsidR="00AD2254" w:rsidRPr="005B0796" w:rsidRDefault="00AD2254" w:rsidP="00AD2254">
            <w:pPr>
              <w:pStyle w:val="TableText"/>
              <w:jc w:val="right"/>
              <w:rPr>
                <w:lang w:eastAsia="en-AU"/>
              </w:rPr>
            </w:pPr>
            <w:r w:rsidRPr="005B0796">
              <w:rPr>
                <w:lang w:eastAsia="en-AU"/>
              </w:rPr>
              <w:t>%</w:t>
            </w:r>
          </w:p>
        </w:tc>
        <w:tc>
          <w:tcPr>
            <w:tcW w:w="711" w:type="dxa"/>
            <w:hideMark/>
          </w:tcPr>
          <w:p w:rsidR="00AD2254" w:rsidRPr="005B0796" w:rsidRDefault="00AD2254" w:rsidP="00AD2254">
            <w:pPr>
              <w:pStyle w:val="TableText"/>
              <w:jc w:val="right"/>
              <w:rPr>
                <w:lang w:eastAsia="en-AU"/>
              </w:rPr>
            </w:pPr>
            <w:r w:rsidRPr="005B0796">
              <w:rPr>
                <w:lang w:eastAsia="en-AU"/>
              </w:rPr>
              <w:t xml:space="preserve"> 95% CI</w:t>
            </w:r>
          </w:p>
        </w:tc>
        <w:tc>
          <w:tcPr>
            <w:tcW w:w="866" w:type="dxa"/>
            <w:hideMark/>
          </w:tcPr>
          <w:p w:rsidR="00AD2254" w:rsidRPr="005B0796" w:rsidRDefault="00AD2254" w:rsidP="00AD2254">
            <w:pPr>
              <w:pStyle w:val="TableText"/>
              <w:jc w:val="right"/>
              <w:rPr>
                <w:lang w:eastAsia="en-AU"/>
              </w:rPr>
            </w:pPr>
            <w:r w:rsidRPr="005B0796">
              <w:rPr>
                <w:lang w:eastAsia="en-AU"/>
              </w:rPr>
              <w:t>Weighted n</w:t>
            </w:r>
          </w:p>
        </w:tc>
        <w:tc>
          <w:tcPr>
            <w:tcW w:w="556" w:type="dxa"/>
            <w:hideMark/>
          </w:tcPr>
          <w:p w:rsidR="00AD2254" w:rsidRPr="005B0796" w:rsidRDefault="00AD2254" w:rsidP="00AD2254">
            <w:pPr>
              <w:pStyle w:val="TableText"/>
              <w:jc w:val="right"/>
              <w:rPr>
                <w:lang w:eastAsia="en-AU"/>
              </w:rPr>
            </w:pPr>
            <w:r w:rsidRPr="005B0796">
              <w:rPr>
                <w:lang w:eastAsia="en-AU"/>
              </w:rPr>
              <w:t>%</w:t>
            </w:r>
          </w:p>
        </w:tc>
        <w:tc>
          <w:tcPr>
            <w:tcW w:w="711" w:type="dxa"/>
            <w:hideMark/>
          </w:tcPr>
          <w:p w:rsidR="00AD2254" w:rsidRPr="005B0796" w:rsidRDefault="00AD2254" w:rsidP="00AD2254">
            <w:pPr>
              <w:pStyle w:val="TableText"/>
              <w:jc w:val="right"/>
              <w:rPr>
                <w:lang w:eastAsia="en-AU"/>
              </w:rPr>
            </w:pPr>
            <w:r w:rsidRPr="005B0796">
              <w:rPr>
                <w:lang w:eastAsia="en-AU"/>
              </w:rPr>
              <w:t xml:space="preserve"> 95% CI</w:t>
            </w:r>
          </w:p>
        </w:tc>
      </w:tr>
      <w:tr w:rsidR="00AD2254" w:rsidRPr="005B0796" w:rsidTr="002A5555">
        <w:trPr>
          <w:cnfStyle w:val="000000100000" w:firstRow="0" w:lastRow="0" w:firstColumn="0" w:lastColumn="0" w:oddVBand="0" w:evenVBand="0" w:oddHBand="1" w:evenHBand="0" w:firstRowFirstColumn="0" w:firstRowLastColumn="0" w:lastRowFirstColumn="0" w:lastRowLastColumn="0"/>
        </w:trPr>
        <w:tc>
          <w:tcPr>
            <w:tcW w:w="918" w:type="dxa"/>
            <w:hideMark/>
          </w:tcPr>
          <w:p w:rsidR="00497778" w:rsidRPr="005B0796" w:rsidRDefault="00497778" w:rsidP="00AD2254">
            <w:pPr>
              <w:pStyle w:val="TableText"/>
              <w:rPr>
                <w:rFonts w:eastAsia="Times New Roman"/>
                <w:lang w:eastAsia="en-AU"/>
              </w:rPr>
            </w:pPr>
            <w:r w:rsidRPr="005B0796">
              <w:rPr>
                <w:lang w:eastAsia="en-AU"/>
              </w:rPr>
              <w:t>Low</w:t>
            </w:r>
            <w:r w:rsidR="00AD2254" w:rsidRPr="005B0796">
              <w:rPr>
                <w:lang w:eastAsia="en-AU"/>
              </w:rPr>
              <w:br/>
            </w:r>
            <w:r w:rsidRPr="005B0796">
              <w:rPr>
                <w:lang w:eastAsia="en-AU"/>
              </w:rPr>
              <w:t>(10–15)</w:t>
            </w:r>
          </w:p>
        </w:tc>
        <w:tc>
          <w:tcPr>
            <w:tcW w:w="810" w:type="dxa"/>
            <w:hideMark/>
          </w:tcPr>
          <w:p w:rsidR="00497778" w:rsidRPr="005B0796" w:rsidRDefault="00497778" w:rsidP="00AD2254">
            <w:pPr>
              <w:pStyle w:val="TableText"/>
              <w:jc w:val="right"/>
              <w:rPr>
                <w:lang w:eastAsia="en-AU"/>
              </w:rPr>
            </w:pPr>
            <w:r w:rsidRPr="005B0796">
              <w:rPr>
                <w:lang w:eastAsia="en-AU"/>
              </w:rPr>
              <w:t>4378</w:t>
            </w:r>
          </w:p>
        </w:tc>
        <w:tc>
          <w:tcPr>
            <w:tcW w:w="611" w:type="dxa"/>
            <w:hideMark/>
          </w:tcPr>
          <w:p w:rsidR="00497778" w:rsidRPr="005B0796" w:rsidRDefault="00497778" w:rsidP="00AD2254">
            <w:pPr>
              <w:pStyle w:val="TableText"/>
              <w:jc w:val="right"/>
              <w:rPr>
                <w:lang w:eastAsia="en-AU"/>
              </w:rPr>
            </w:pPr>
            <w:r w:rsidRPr="005B0796">
              <w:rPr>
                <w:lang w:eastAsia="en-AU"/>
              </w:rPr>
              <w:t>38.3</w:t>
            </w:r>
          </w:p>
        </w:tc>
        <w:tc>
          <w:tcPr>
            <w:tcW w:w="711" w:type="dxa"/>
            <w:hideMark/>
          </w:tcPr>
          <w:p w:rsidR="00497778" w:rsidRPr="005B0796" w:rsidRDefault="00497778" w:rsidP="00AD2254">
            <w:pPr>
              <w:pStyle w:val="TableText"/>
              <w:jc w:val="right"/>
              <w:rPr>
                <w:lang w:eastAsia="en-AU"/>
              </w:rPr>
            </w:pPr>
            <w:r w:rsidRPr="005B0796">
              <w:rPr>
                <w:lang w:eastAsia="en-AU"/>
              </w:rPr>
              <w:t>35.4, 41.2</w:t>
            </w:r>
          </w:p>
        </w:tc>
        <w:tc>
          <w:tcPr>
            <w:tcW w:w="838" w:type="dxa"/>
            <w:hideMark/>
          </w:tcPr>
          <w:p w:rsidR="00497778" w:rsidRPr="005B0796" w:rsidRDefault="00497778" w:rsidP="00AD2254">
            <w:pPr>
              <w:pStyle w:val="TableText"/>
              <w:jc w:val="right"/>
              <w:rPr>
                <w:lang w:eastAsia="en-AU"/>
              </w:rPr>
            </w:pPr>
            <w:r w:rsidRPr="005B0796">
              <w:rPr>
                <w:lang w:eastAsia="en-AU"/>
              </w:rPr>
              <w:t>3449</w:t>
            </w:r>
          </w:p>
        </w:tc>
        <w:tc>
          <w:tcPr>
            <w:tcW w:w="583" w:type="dxa"/>
            <w:hideMark/>
          </w:tcPr>
          <w:p w:rsidR="00497778" w:rsidRPr="005B0796" w:rsidRDefault="00497778" w:rsidP="00AD2254">
            <w:pPr>
              <w:pStyle w:val="TableText"/>
              <w:jc w:val="right"/>
              <w:rPr>
                <w:lang w:eastAsia="en-AU"/>
              </w:rPr>
            </w:pPr>
            <w:r w:rsidRPr="005B0796">
              <w:rPr>
                <w:lang w:eastAsia="en-AU"/>
              </w:rPr>
              <w:t>53.5</w:t>
            </w:r>
          </w:p>
        </w:tc>
        <w:tc>
          <w:tcPr>
            <w:tcW w:w="711" w:type="dxa"/>
            <w:hideMark/>
          </w:tcPr>
          <w:p w:rsidR="00497778" w:rsidRPr="005B0796" w:rsidRDefault="00497778" w:rsidP="00AD2254">
            <w:pPr>
              <w:pStyle w:val="TableText"/>
              <w:jc w:val="right"/>
              <w:rPr>
                <w:lang w:eastAsia="en-AU"/>
              </w:rPr>
            </w:pPr>
            <w:r w:rsidRPr="005B0796">
              <w:rPr>
                <w:lang w:eastAsia="en-AU"/>
              </w:rPr>
              <w:t>49.9, 57.1</w:t>
            </w:r>
          </w:p>
        </w:tc>
        <w:tc>
          <w:tcPr>
            <w:tcW w:w="866" w:type="dxa"/>
            <w:hideMark/>
          </w:tcPr>
          <w:p w:rsidR="00497778" w:rsidRPr="005B0796" w:rsidRDefault="00497778" w:rsidP="00AD2254">
            <w:pPr>
              <w:pStyle w:val="TableText"/>
              <w:jc w:val="right"/>
              <w:rPr>
                <w:lang w:eastAsia="en-AU"/>
              </w:rPr>
            </w:pPr>
            <w:r w:rsidRPr="005B0796">
              <w:rPr>
                <w:lang w:eastAsia="en-AU"/>
              </w:rPr>
              <w:t>4002</w:t>
            </w:r>
          </w:p>
        </w:tc>
        <w:tc>
          <w:tcPr>
            <w:tcW w:w="556" w:type="dxa"/>
            <w:hideMark/>
          </w:tcPr>
          <w:p w:rsidR="00497778" w:rsidRPr="005B0796" w:rsidRDefault="00497778" w:rsidP="00AD2254">
            <w:pPr>
              <w:pStyle w:val="TableText"/>
              <w:jc w:val="right"/>
              <w:rPr>
                <w:lang w:eastAsia="en-AU"/>
              </w:rPr>
            </w:pPr>
            <w:r w:rsidRPr="005B0796">
              <w:rPr>
                <w:lang w:eastAsia="en-AU"/>
              </w:rPr>
              <w:t>57.4</w:t>
            </w:r>
          </w:p>
        </w:tc>
        <w:tc>
          <w:tcPr>
            <w:tcW w:w="711" w:type="dxa"/>
            <w:hideMark/>
          </w:tcPr>
          <w:p w:rsidR="00497778" w:rsidRPr="005B0796" w:rsidRDefault="00497778" w:rsidP="00AD2254">
            <w:pPr>
              <w:pStyle w:val="TableText"/>
              <w:jc w:val="right"/>
              <w:rPr>
                <w:lang w:eastAsia="en-AU"/>
              </w:rPr>
            </w:pPr>
            <w:r w:rsidRPr="005B0796">
              <w:rPr>
                <w:lang w:eastAsia="en-AU"/>
              </w:rPr>
              <w:t>54.3, 60.5</w:t>
            </w:r>
          </w:p>
        </w:tc>
      </w:tr>
      <w:tr w:rsidR="00AD2254" w:rsidRPr="005B0796" w:rsidTr="002A5555">
        <w:tc>
          <w:tcPr>
            <w:tcW w:w="918" w:type="dxa"/>
            <w:hideMark/>
          </w:tcPr>
          <w:p w:rsidR="00497778" w:rsidRPr="005B0796" w:rsidRDefault="00497778" w:rsidP="00AD2254">
            <w:pPr>
              <w:pStyle w:val="TableText"/>
              <w:rPr>
                <w:rFonts w:eastAsia="GillSans"/>
                <w:lang w:eastAsia="en-AU"/>
              </w:rPr>
            </w:pPr>
            <w:r w:rsidRPr="005B0796">
              <w:rPr>
                <w:lang w:eastAsia="en-AU"/>
              </w:rPr>
              <w:t xml:space="preserve">Moderate </w:t>
            </w:r>
            <w:r w:rsidRPr="005B0796">
              <w:rPr>
                <w:lang w:eastAsia="en-AU"/>
              </w:rPr>
              <w:br/>
              <w:t>(16–21)</w:t>
            </w:r>
          </w:p>
        </w:tc>
        <w:tc>
          <w:tcPr>
            <w:tcW w:w="810" w:type="dxa"/>
            <w:hideMark/>
          </w:tcPr>
          <w:p w:rsidR="00497778" w:rsidRPr="005B0796" w:rsidRDefault="00497778" w:rsidP="00AD2254">
            <w:pPr>
              <w:pStyle w:val="TableText"/>
              <w:jc w:val="right"/>
              <w:rPr>
                <w:rFonts w:eastAsia="Times New Roman"/>
                <w:lang w:eastAsia="en-AU"/>
              </w:rPr>
            </w:pPr>
            <w:r w:rsidRPr="005B0796">
              <w:rPr>
                <w:lang w:eastAsia="en-AU"/>
              </w:rPr>
              <w:t>1682</w:t>
            </w:r>
          </w:p>
        </w:tc>
        <w:tc>
          <w:tcPr>
            <w:tcW w:w="611" w:type="dxa"/>
            <w:hideMark/>
          </w:tcPr>
          <w:p w:rsidR="00497778" w:rsidRPr="005B0796" w:rsidRDefault="00497778" w:rsidP="00AD2254">
            <w:pPr>
              <w:pStyle w:val="TableText"/>
              <w:jc w:val="right"/>
              <w:rPr>
                <w:lang w:eastAsia="en-AU"/>
              </w:rPr>
            </w:pPr>
            <w:r w:rsidRPr="005B0796">
              <w:rPr>
                <w:lang w:eastAsia="en-AU"/>
              </w:rPr>
              <w:t>14.7</w:t>
            </w:r>
          </w:p>
        </w:tc>
        <w:tc>
          <w:tcPr>
            <w:tcW w:w="711" w:type="dxa"/>
            <w:hideMark/>
          </w:tcPr>
          <w:p w:rsidR="00497778" w:rsidRPr="005B0796" w:rsidRDefault="00497778" w:rsidP="00AD2254">
            <w:pPr>
              <w:pStyle w:val="TableText"/>
              <w:jc w:val="right"/>
              <w:rPr>
                <w:lang w:eastAsia="en-AU"/>
              </w:rPr>
            </w:pPr>
            <w:r w:rsidRPr="005B0796">
              <w:rPr>
                <w:lang w:eastAsia="en-AU"/>
              </w:rPr>
              <w:t>12.7, 16.9</w:t>
            </w:r>
          </w:p>
        </w:tc>
        <w:tc>
          <w:tcPr>
            <w:tcW w:w="838" w:type="dxa"/>
            <w:hideMark/>
          </w:tcPr>
          <w:p w:rsidR="00497778" w:rsidRPr="005B0796" w:rsidRDefault="00497778" w:rsidP="00AD2254">
            <w:pPr>
              <w:pStyle w:val="TableText"/>
              <w:jc w:val="right"/>
              <w:rPr>
                <w:lang w:eastAsia="en-AU"/>
              </w:rPr>
            </w:pPr>
            <w:r w:rsidRPr="005B0796">
              <w:rPr>
                <w:lang w:eastAsia="en-AU"/>
              </w:rPr>
              <w:t>1327</w:t>
            </w:r>
          </w:p>
        </w:tc>
        <w:tc>
          <w:tcPr>
            <w:tcW w:w="583" w:type="dxa"/>
            <w:hideMark/>
          </w:tcPr>
          <w:p w:rsidR="00497778" w:rsidRPr="005B0796" w:rsidRDefault="00497778" w:rsidP="00AD2254">
            <w:pPr>
              <w:pStyle w:val="TableText"/>
              <w:jc w:val="right"/>
              <w:rPr>
                <w:lang w:eastAsia="en-AU"/>
              </w:rPr>
            </w:pPr>
            <w:r w:rsidRPr="005B0796">
              <w:rPr>
                <w:lang w:eastAsia="en-AU"/>
              </w:rPr>
              <w:t>20.6</w:t>
            </w:r>
          </w:p>
        </w:tc>
        <w:tc>
          <w:tcPr>
            <w:tcW w:w="711" w:type="dxa"/>
            <w:hideMark/>
          </w:tcPr>
          <w:p w:rsidR="00497778" w:rsidRPr="005B0796" w:rsidRDefault="00497778" w:rsidP="00AD2254">
            <w:pPr>
              <w:pStyle w:val="TableText"/>
              <w:jc w:val="right"/>
              <w:rPr>
                <w:lang w:eastAsia="en-AU"/>
              </w:rPr>
            </w:pPr>
            <w:r w:rsidRPr="005B0796">
              <w:rPr>
                <w:lang w:eastAsia="en-AU"/>
              </w:rPr>
              <w:t>17.8, 23.7</w:t>
            </w:r>
          </w:p>
        </w:tc>
        <w:tc>
          <w:tcPr>
            <w:tcW w:w="866" w:type="dxa"/>
            <w:hideMark/>
          </w:tcPr>
          <w:p w:rsidR="00497778" w:rsidRPr="005B0796" w:rsidRDefault="00497778" w:rsidP="00AD2254">
            <w:pPr>
              <w:pStyle w:val="TableText"/>
              <w:jc w:val="right"/>
              <w:rPr>
                <w:lang w:eastAsia="en-AU"/>
              </w:rPr>
            </w:pPr>
            <w:r w:rsidRPr="005B0796">
              <w:rPr>
                <w:lang w:eastAsia="en-AU"/>
              </w:rPr>
              <w:t>1378</w:t>
            </w:r>
          </w:p>
        </w:tc>
        <w:tc>
          <w:tcPr>
            <w:tcW w:w="556" w:type="dxa"/>
            <w:hideMark/>
          </w:tcPr>
          <w:p w:rsidR="00497778" w:rsidRPr="005B0796" w:rsidRDefault="00497778" w:rsidP="00AD2254">
            <w:pPr>
              <w:pStyle w:val="TableText"/>
              <w:jc w:val="right"/>
              <w:rPr>
                <w:lang w:eastAsia="en-AU"/>
              </w:rPr>
            </w:pPr>
            <w:r w:rsidRPr="005B0796">
              <w:rPr>
                <w:lang w:eastAsia="en-AU"/>
              </w:rPr>
              <w:t>19.8</w:t>
            </w:r>
          </w:p>
        </w:tc>
        <w:tc>
          <w:tcPr>
            <w:tcW w:w="711" w:type="dxa"/>
            <w:hideMark/>
          </w:tcPr>
          <w:p w:rsidR="00497778" w:rsidRPr="005B0796" w:rsidRDefault="00497778" w:rsidP="00AD2254">
            <w:pPr>
              <w:pStyle w:val="TableText"/>
              <w:jc w:val="right"/>
              <w:rPr>
                <w:lang w:eastAsia="en-AU"/>
              </w:rPr>
            </w:pPr>
            <w:r w:rsidRPr="005B0796">
              <w:rPr>
                <w:lang w:eastAsia="en-AU"/>
              </w:rPr>
              <w:t>17.5, 22.3</w:t>
            </w:r>
          </w:p>
        </w:tc>
      </w:tr>
      <w:tr w:rsidR="00AD2254" w:rsidRPr="005B0796" w:rsidTr="002A5555">
        <w:trPr>
          <w:cnfStyle w:val="000000100000" w:firstRow="0" w:lastRow="0" w:firstColumn="0" w:lastColumn="0" w:oddVBand="0" w:evenVBand="0" w:oddHBand="1" w:evenHBand="0" w:firstRowFirstColumn="0" w:firstRowLastColumn="0" w:lastRowFirstColumn="0" w:lastRowLastColumn="0"/>
        </w:trPr>
        <w:tc>
          <w:tcPr>
            <w:tcW w:w="918" w:type="dxa"/>
            <w:hideMark/>
          </w:tcPr>
          <w:p w:rsidR="00497778" w:rsidRPr="005B0796" w:rsidRDefault="00497778" w:rsidP="00AD2254">
            <w:pPr>
              <w:pStyle w:val="TableText"/>
              <w:rPr>
                <w:rFonts w:eastAsia="GillSans"/>
                <w:lang w:eastAsia="en-AU"/>
              </w:rPr>
            </w:pPr>
            <w:r w:rsidRPr="005B0796">
              <w:rPr>
                <w:lang w:eastAsia="en-AU"/>
              </w:rPr>
              <w:t>High</w:t>
            </w:r>
            <w:r w:rsidR="00AD2254" w:rsidRPr="005B0796">
              <w:rPr>
                <w:lang w:eastAsia="en-AU"/>
              </w:rPr>
              <w:br/>
            </w:r>
            <w:r w:rsidRPr="005B0796">
              <w:rPr>
                <w:lang w:eastAsia="en-AU"/>
              </w:rPr>
              <w:t>(22–29)</w:t>
            </w:r>
          </w:p>
        </w:tc>
        <w:tc>
          <w:tcPr>
            <w:tcW w:w="810" w:type="dxa"/>
            <w:hideMark/>
          </w:tcPr>
          <w:p w:rsidR="00497778" w:rsidRPr="005B0796" w:rsidRDefault="00497778" w:rsidP="00AD2254">
            <w:pPr>
              <w:pStyle w:val="TableText"/>
              <w:jc w:val="right"/>
              <w:rPr>
                <w:rFonts w:eastAsia="Times New Roman"/>
                <w:lang w:eastAsia="en-AU"/>
              </w:rPr>
            </w:pPr>
            <w:r w:rsidRPr="005B0796">
              <w:rPr>
                <w:lang w:eastAsia="en-AU"/>
              </w:rPr>
              <w:t>1834</w:t>
            </w:r>
          </w:p>
        </w:tc>
        <w:tc>
          <w:tcPr>
            <w:tcW w:w="611" w:type="dxa"/>
            <w:hideMark/>
          </w:tcPr>
          <w:p w:rsidR="00497778" w:rsidRPr="005B0796" w:rsidRDefault="00497778" w:rsidP="00AD2254">
            <w:pPr>
              <w:pStyle w:val="TableText"/>
              <w:jc w:val="right"/>
              <w:rPr>
                <w:lang w:eastAsia="en-AU"/>
              </w:rPr>
            </w:pPr>
            <w:r w:rsidRPr="005B0796">
              <w:rPr>
                <w:lang w:eastAsia="en-AU"/>
              </w:rPr>
              <w:t>16.0</w:t>
            </w:r>
          </w:p>
        </w:tc>
        <w:tc>
          <w:tcPr>
            <w:tcW w:w="711" w:type="dxa"/>
            <w:hideMark/>
          </w:tcPr>
          <w:p w:rsidR="00497778" w:rsidRPr="005B0796" w:rsidRDefault="00497778" w:rsidP="00AD2254">
            <w:pPr>
              <w:pStyle w:val="TableText"/>
              <w:jc w:val="right"/>
              <w:rPr>
                <w:lang w:eastAsia="en-AU"/>
              </w:rPr>
            </w:pPr>
            <w:r w:rsidRPr="005B0796">
              <w:rPr>
                <w:lang w:eastAsia="en-AU"/>
              </w:rPr>
              <w:t>14.1, 18.2</w:t>
            </w:r>
          </w:p>
        </w:tc>
        <w:tc>
          <w:tcPr>
            <w:tcW w:w="838" w:type="dxa"/>
            <w:hideMark/>
          </w:tcPr>
          <w:p w:rsidR="00497778" w:rsidRPr="005B0796" w:rsidRDefault="00497778" w:rsidP="00AD2254">
            <w:pPr>
              <w:pStyle w:val="TableText"/>
              <w:jc w:val="right"/>
              <w:rPr>
                <w:lang w:eastAsia="en-AU"/>
              </w:rPr>
            </w:pPr>
            <w:r w:rsidRPr="005B0796">
              <w:rPr>
                <w:lang w:eastAsia="en-AU"/>
              </w:rPr>
              <w:t>790</w:t>
            </w:r>
          </w:p>
        </w:tc>
        <w:tc>
          <w:tcPr>
            <w:tcW w:w="583" w:type="dxa"/>
            <w:hideMark/>
          </w:tcPr>
          <w:p w:rsidR="00497778" w:rsidRPr="005B0796" w:rsidRDefault="00497778" w:rsidP="00AD2254">
            <w:pPr>
              <w:pStyle w:val="TableText"/>
              <w:jc w:val="right"/>
              <w:rPr>
                <w:lang w:eastAsia="en-AU"/>
              </w:rPr>
            </w:pPr>
            <w:r w:rsidRPr="005B0796">
              <w:rPr>
                <w:lang w:eastAsia="en-AU"/>
              </w:rPr>
              <w:t>12.3</w:t>
            </w:r>
          </w:p>
        </w:tc>
        <w:tc>
          <w:tcPr>
            <w:tcW w:w="711" w:type="dxa"/>
            <w:hideMark/>
          </w:tcPr>
          <w:p w:rsidR="00497778" w:rsidRPr="005B0796" w:rsidRDefault="00497778" w:rsidP="00AD2254">
            <w:pPr>
              <w:pStyle w:val="TableText"/>
              <w:jc w:val="right"/>
              <w:rPr>
                <w:lang w:eastAsia="en-AU"/>
              </w:rPr>
            </w:pPr>
            <w:r w:rsidRPr="005B0796">
              <w:rPr>
                <w:lang w:eastAsia="en-AU"/>
              </w:rPr>
              <w:t>10.1, 14.8</w:t>
            </w:r>
          </w:p>
        </w:tc>
        <w:tc>
          <w:tcPr>
            <w:tcW w:w="866" w:type="dxa"/>
            <w:hideMark/>
          </w:tcPr>
          <w:p w:rsidR="00497778" w:rsidRPr="005B0796" w:rsidRDefault="00497778" w:rsidP="00AD2254">
            <w:pPr>
              <w:pStyle w:val="TableText"/>
              <w:jc w:val="right"/>
              <w:rPr>
                <w:lang w:eastAsia="en-AU"/>
              </w:rPr>
            </w:pPr>
            <w:r w:rsidRPr="005B0796">
              <w:rPr>
                <w:lang w:eastAsia="en-AU"/>
              </w:rPr>
              <w:t>727</w:t>
            </w:r>
          </w:p>
        </w:tc>
        <w:tc>
          <w:tcPr>
            <w:tcW w:w="556" w:type="dxa"/>
            <w:hideMark/>
          </w:tcPr>
          <w:p w:rsidR="00497778" w:rsidRPr="005B0796" w:rsidRDefault="00497778" w:rsidP="00AD2254">
            <w:pPr>
              <w:pStyle w:val="TableText"/>
              <w:jc w:val="right"/>
              <w:rPr>
                <w:lang w:eastAsia="en-AU"/>
              </w:rPr>
            </w:pPr>
            <w:r w:rsidRPr="005B0796">
              <w:rPr>
                <w:lang w:eastAsia="en-AU"/>
              </w:rPr>
              <w:t>10.4</w:t>
            </w:r>
          </w:p>
        </w:tc>
        <w:tc>
          <w:tcPr>
            <w:tcW w:w="711" w:type="dxa"/>
            <w:hideMark/>
          </w:tcPr>
          <w:p w:rsidR="00497778" w:rsidRPr="005B0796" w:rsidRDefault="00497778" w:rsidP="00AD2254">
            <w:pPr>
              <w:pStyle w:val="TableText"/>
              <w:jc w:val="right"/>
              <w:rPr>
                <w:lang w:eastAsia="en-AU"/>
              </w:rPr>
            </w:pPr>
            <w:r w:rsidRPr="005B0796">
              <w:rPr>
                <w:lang w:eastAsia="en-AU"/>
              </w:rPr>
              <w:t>8.5, 12.7</w:t>
            </w:r>
          </w:p>
        </w:tc>
      </w:tr>
      <w:tr w:rsidR="002A5555" w:rsidRPr="005B0796" w:rsidTr="002A5555">
        <w:trPr>
          <w:cnfStyle w:val="010000000000" w:firstRow="0" w:lastRow="1" w:firstColumn="0" w:lastColumn="0" w:oddVBand="0" w:evenVBand="0" w:oddHBand="0" w:evenHBand="0" w:firstRowFirstColumn="0" w:firstRowLastColumn="0" w:lastRowFirstColumn="0" w:lastRowLastColumn="0"/>
        </w:trPr>
        <w:tc>
          <w:tcPr>
            <w:tcW w:w="918" w:type="dxa"/>
            <w:hideMark/>
          </w:tcPr>
          <w:p w:rsidR="00497778" w:rsidRPr="005B0796" w:rsidRDefault="00497778" w:rsidP="00AD2254">
            <w:pPr>
              <w:pStyle w:val="TableText"/>
              <w:rPr>
                <w:rFonts w:eastAsia="Times New Roman"/>
                <w:lang w:eastAsia="en-AU"/>
              </w:rPr>
            </w:pPr>
            <w:r w:rsidRPr="005B0796">
              <w:rPr>
                <w:lang w:eastAsia="en-AU"/>
              </w:rPr>
              <w:t>Very high</w:t>
            </w:r>
            <w:r w:rsidRPr="005B0796">
              <w:rPr>
                <w:lang w:eastAsia="en-AU"/>
              </w:rPr>
              <w:br/>
              <w:t xml:space="preserve">(30–50) </w:t>
            </w:r>
          </w:p>
        </w:tc>
        <w:tc>
          <w:tcPr>
            <w:tcW w:w="810" w:type="dxa"/>
            <w:hideMark/>
          </w:tcPr>
          <w:p w:rsidR="00497778" w:rsidRPr="005B0796" w:rsidRDefault="00497778" w:rsidP="00AD2254">
            <w:pPr>
              <w:pStyle w:val="TableText"/>
              <w:jc w:val="right"/>
              <w:rPr>
                <w:lang w:eastAsia="en-AU"/>
              </w:rPr>
            </w:pPr>
            <w:r w:rsidRPr="005B0796">
              <w:rPr>
                <w:lang w:eastAsia="en-AU"/>
              </w:rPr>
              <w:t>3383</w:t>
            </w:r>
          </w:p>
        </w:tc>
        <w:tc>
          <w:tcPr>
            <w:tcW w:w="611" w:type="dxa"/>
            <w:hideMark/>
          </w:tcPr>
          <w:p w:rsidR="00497778" w:rsidRPr="005B0796" w:rsidRDefault="00497778" w:rsidP="00AD2254">
            <w:pPr>
              <w:pStyle w:val="TableText"/>
              <w:jc w:val="right"/>
              <w:rPr>
                <w:lang w:eastAsia="en-AU"/>
              </w:rPr>
            </w:pPr>
            <w:r w:rsidRPr="005B0796">
              <w:rPr>
                <w:lang w:eastAsia="en-AU"/>
              </w:rPr>
              <w:t>29.6</w:t>
            </w:r>
          </w:p>
        </w:tc>
        <w:tc>
          <w:tcPr>
            <w:tcW w:w="711" w:type="dxa"/>
            <w:hideMark/>
          </w:tcPr>
          <w:p w:rsidR="00497778" w:rsidRPr="005B0796" w:rsidRDefault="00497778" w:rsidP="00AD2254">
            <w:pPr>
              <w:pStyle w:val="TableText"/>
              <w:jc w:val="right"/>
              <w:rPr>
                <w:lang w:eastAsia="en-AU"/>
              </w:rPr>
            </w:pPr>
            <w:r w:rsidRPr="005B0796">
              <w:rPr>
                <w:lang w:eastAsia="en-AU"/>
              </w:rPr>
              <w:t>27.0, 32.2</w:t>
            </w:r>
          </w:p>
        </w:tc>
        <w:tc>
          <w:tcPr>
            <w:tcW w:w="838" w:type="dxa"/>
            <w:hideMark/>
          </w:tcPr>
          <w:p w:rsidR="00497778" w:rsidRPr="005B0796" w:rsidRDefault="00497778" w:rsidP="00AD2254">
            <w:pPr>
              <w:pStyle w:val="TableText"/>
              <w:jc w:val="right"/>
              <w:rPr>
                <w:lang w:eastAsia="en-AU"/>
              </w:rPr>
            </w:pPr>
            <w:r w:rsidRPr="005B0796">
              <w:rPr>
                <w:lang w:eastAsia="en-AU"/>
              </w:rPr>
              <w:t>768</w:t>
            </w:r>
          </w:p>
        </w:tc>
        <w:tc>
          <w:tcPr>
            <w:tcW w:w="583" w:type="dxa"/>
            <w:hideMark/>
          </w:tcPr>
          <w:p w:rsidR="00497778" w:rsidRPr="005B0796" w:rsidRDefault="00497778" w:rsidP="00AD2254">
            <w:pPr>
              <w:pStyle w:val="TableText"/>
              <w:jc w:val="right"/>
              <w:rPr>
                <w:lang w:eastAsia="en-AU"/>
              </w:rPr>
            </w:pPr>
            <w:r w:rsidRPr="005B0796">
              <w:rPr>
                <w:lang w:eastAsia="en-AU"/>
              </w:rPr>
              <w:t>11.9</w:t>
            </w:r>
          </w:p>
        </w:tc>
        <w:tc>
          <w:tcPr>
            <w:tcW w:w="711" w:type="dxa"/>
            <w:hideMark/>
          </w:tcPr>
          <w:p w:rsidR="00497778" w:rsidRPr="005B0796" w:rsidRDefault="00497778" w:rsidP="00AD2254">
            <w:pPr>
              <w:pStyle w:val="TableText"/>
              <w:jc w:val="right"/>
              <w:rPr>
                <w:lang w:eastAsia="en-AU"/>
              </w:rPr>
            </w:pPr>
            <w:r w:rsidRPr="005B0796">
              <w:rPr>
                <w:lang w:eastAsia="en-AU"/>
              </w:rPr>
              <w:t>9.8, 14.4</w:t>
            </w:r>
          </w:p>
        </w:tc>
        <w:tc>
          <w:tcPr>
            <w:tcW w:w="866" w:type="dxa"/>
            <w:hideMark/>
          </w:tcPr>
          <w:p w:rsidR="00497778" w:rsidRPr="005B0796" w:rsidRDefault="00497778" w:rsidP="00AD2254">
            <w:pPr>
              <w:pStyle w:val="TableText"/>
              <w:jc w:val="right"/>
              <w:rPr>
                <w:lang w:eastAsia="en-AU"/>
              </w:rPr>
            </w:pPr>
            <w:r w:rsidRPr="005B0796">
              <w:rPr>
                <w:lang w:eastAsia="en-AU"/>
              </w:rPr>
              <w:t>810</w:t>
            </w:r>
          </w:p>
        </w:tc>
        <w:tc>
          <w:tcPr>
            <w:tcW w:w="556" w:type="dxa"/>
            <w:hideMark/>
          </w:tcPr>
          <w:p w:rsidR="00497778" w:rsidRPr="005B0796" w:rsidRDefault="00497778" w:rsidP="00AD2254">
            <w:pPr>
              <w:pStyle w:val="TableText"/>
              <w:jc w:val="right"/>
              <w:rPr>
                <w:lang w:eastAsia="en-AU"/>
              </w:rPr>
            </w:pPr>
            <w:r w:rsidRPr="005B0796">
              <w:rPr>
                <w:lang w:eastAsia="en-AU"/>
              </w:rPr>
              <w:t>11.6</w:t>
            </w:r>
          </w:p>
        </w:tc>
        <w:tc>
          <w:tcPr>
            <w:tcW w:w="711" w:type="dxa"/>
            <w:hideMark/>
          </w:tcPr>
          <w:p w:rsidR="00497778" w:rsidRPr="005B0796" w:rsidRDefault="00497778" w:rsidP="00AD2254">
            <w:pPr>
              <w:pStyle w:val="TableText"/>
              <w:jc w:val="right"/>
              <w:rPr>
                <w:lang w:eastAsia="en-AU"/>
              </w:rPr>
            </w:pPr>
            <w:r w:rsidRPr="005B0796">
              <w:rPr>
                <w:lang w:eastAsia="en-AU"/>
              </w:rPr>
              <w:t>9.6, 13.9</w:t>
            </w:r>
          </w:p>
        </w:tc>
      </w:tr>
    </w:tbl>
    <w:p w:rsidR="00AD2254" w:rsidRPr="005B0796" w:rsidRDefault="00AD2254" w:rsidP="00AD2254">
      <w:pPr>
        <w:pStyle w:val="TableNotes"/>
      </w:pPr>
      <w:r w:rsidRPr="005B0796">
        <w:t xml:space="preserve">Note: 95% CI: 95% </w:t>
      </w:r>
      <w:r w:rsidR="00564689" w:rsidRPr="005B0796">
        <w:t>confidence interval</w:t>
      </w:r>
    </w:p>
    <w:p w:rsidR="00497778" w:rsidRPr="005B0796" w:rsidRDefault="002A5555" w:rsidP="002A5555">
      <w:pPr>
        <w:pStyle w:val="FigureName"/>
      </w:pPr>
      <w:bookmarkStart w:id="895" w:name="_Toc487014392"/>
      <w:bookmarkStart w:id="896" w:name="_Toc51190056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w:t>
      </w:r>
      <w:r w:rsidR="00D30A3C">
        <w:rPr>
          <w:noProof/>
        </w:rPr>
        <w:fldChar w:fldCharType="end"/>
      </w:r>
      <w:r w:rsidR="00EC5C6F">
        <w:tab/>
        <w:t xml:space="preserve">Estimated proportions </w:t>
      </w:r>
      <w:r w:rsidRPr="005B0796">
        <w:t>o</w:t>
      </w:r>
      <w:r w:rsidR="00EC5C6F">
        <w:t>f</w:t>
      </w:r>
      <w:r w:rsidRPr="005B0796">
        <w:t xml:space="preserve"> Transitioned ADF scoring in each of the K10 bands for psychological distress</w:t>
      </w:r>
      <w:r w:rsidR="00EC5C6F">
        <w:t>,</w:t>
      </w:r>
      <w:r w:rsidRPr="005B0796">
        <w:t xml:space="preserve"> by transition status</w:t>
      </w:r>
      <w:bookmarkEnd w:id="895"/>
      <w:bookmarkEnd w:id="896"/>
    </w:p>
    <w:tbl>
      <w:tblPr>
        <w:tblW w:w="0" w:type="auto"/>
        <w:tblLook w:val="04A0" w:firstRow="1" w:lastRow="0" w:firstColumn="1" w:lastColumn="0" w:noHBand="0" w:noVBand="1"/>
      </w:tblPr>
      <w:tblGrid>
        <w:gridCol w:w="7315"/>
      </w:tblGrid>
      <w:tr w:rsidR="00497778" w:rsidRPr="005B0796" w:rsidTr="002A5555">
        <w:tc>
          <w:tcPr>
            <w:tcW w:w="7315" w:type="dxa"/>
          </w:tcPr>
          <w:p w:rsidR="00497778" w:rsidRPr="005B0796" w:rsidRDefault="00497778" w:rsidP="00855912">
            <w:r w:rsidRPr="005B0796">
              <w:rPr>
                <w:noProof/>
                <w:lang w:eastAsia="en-AU"/>
              </w:rPr>
              <w:drawing>
                <wp:inline distT="0" distB="0" distL="0" distR="0" wp14:anchorId="57F4A2C8" wp14:editId="5F15BACE">
                  <wp:extent cx="4572000" cy="2743200"/>
                  <wp:effectExtent l="0" t="0" r="0" b="0"/>
                  <wp:docPr id="13" name="Chart 13" descr="Figure 5.2 Estimated proportions for Transitioned ADF scoring in each of the K10 bands for psychological distress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bl>
    <w:p w:rsidR="00497778" w:rsidRPr="005B0796" w:rsidRDefault="00497778" w:rsidP="00497778"/>
    <w:p w:rsidR="005A477D" w:rsidRPr="005B0796" w:rsidRDefault="005A477D" w:rsidP="005A477D">
      <w:pPr>
        <w:sectPr w:rsidR="005A477D" w:rsidRPr="005B0796" w:rsidSect="00377F82">
          <w:footerReference w:type="even" r:id="rId174"/>
          <w:footerReference w:type="default" r:id="rId175"/>
          <w:type w:val="oddPage"/>
          <w:pgSz w:w="9979" w:h="14170" w:code="243"/>
          <w:pgMar w:top="1440" w:right="1152" w:bottom="1440" w:left="1728" w:header="576" w:footer="576" w:gutter="0"/>
          <w:cols w:space="708"/>
          <w:docGrid w:linePitch="360"/>
        </w:sectPr>
      </w:pPr>
    </w:p>
    <w:p w:rsidR="002A5555" w:rsidRPr="005B0796" w:rsidRDefault="002A5555" w:rsidP="002A5555">
      <w:pPr>
        <w:pStyle w:val="TableName"/>
      </w:pPr>
      <w:bookmarkStart w:id="897" w:name="_Toc511900456"/>
      <w:bookmarkStart w:id="898" w:name="_Ref484523463"/>
      <w:bookmarkStart w:id="899" w:name="_Toc487014304"/>
      <w:bookmarkStart w:id="900" w:name="_Toc49299560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w:t>
      </w:r>
      <w:r w:rsidR="00D30A3C">
        <w:rPr>
          <w:noProof/>
        </w:rPr>
        <w:fldChar w:fldCharType="end"/>
      </w:r>
      <w:r w:rsidR="00EC5C6F">
        <w:tab/>
        <w:t xml:space="preserve">Estimated proportions </w:t>
      </w:r>
      <w:r w:rsidRPr="005B0796">
        <w:t>o</w:t>
      </w:r>
      <w:r w:rsidR="00EC5C6F">
        <w:t>f</w:t>
      </w:r>
      <w:r w:rsidRPr="005B0796">
        <w:t xml:space="preserve"> Transitioned ADF members in each year of transition, scoring in each of the four K10 bands for psychological distress</w:t>
      </w:r>
      <w:bookmarkEnd w:id="897"/>
    </w:p>
    <w:tbl>
      <w:tblPr>
        <w:tblStyle w:val="TWRPTable"/>
        <w:tblW w:w="5000" w:type="pct"/>
        <w:tblLayout w:type="fixed"/>
        <w:tblLook w:val="04A0" w:firstRow="1" w:lastRow="0" w:firstColumn="1" w:lastColumn="0" w:noHBand="0" w:noVBand="1"/>
        <w:tblDescription w:val="Table 5.3 Estimated proportions for Transitioned ADF members in each year of transition, scoring in each of the four K10 bands for psychological distress"/>
      </w:tblPr>
      <w:tblGrid>
        <w:gridCol w:w="1386"/>
        <w:gridCol w:w="1124"/>
        <w:gridCol w:w="1124"/>
        <w:gridCol w:w="1124"/>
        <w:gridCol w:w="1124"/>
        <w:gridCol w:w="1126"/>
        <w:gridCol w:w="1124"/>
        <w:gridCol w:w="1124"/>
        <w:gridCol w:w="1124"/>
        <w:gridCol w:w="1126"/>
      </w:tblGrid>
      <w:tr w:rsidR="00CE42B1" w:rsidRPr="005B0796" w:rsidTr="00CE42B1">
        <w:trPr>
          <w:cnfStyle w:val="100000000000" w:firstRow="1" w:lastRow="0" w:firstColumn="0" w:lastColumn="0" w:oddVBand="0" w:evenVBand="0" w:oddHBand="0" w:evenHBand="0" w:firstRowFirstColumn="0" w:firstRowLastColumn="0" w:lastRowFirstColumn="0" w:lastRowLastColumn="0"/>
          <w:cantSplit/>
          <w:tblHeader/>
        </w:trPr>
        <w:tc>
          <w:tcPr>
            <w:tcW w:w="738" w:type="dxa"/>
            <w:vMerge w:val="restart"/>
          </w:tcPr>
          <w:bookmarkEnd w:id="898"/>
          <w:bookmarkEnd w:id="899"/>
          <w:bookmarkEnd w:id="900"/>
          <w:p w:rsidR="00CE42B1" w:rsidRPr="005B0796" w:rsidRDefault="00CE42B1" w:rsidP="002A5555">
            <w:pPr>
              <w:pStyle w:val="TableText"/>
              <w:rPr>
                <w:szCs w:val="14"/>
              </w:rPr>
            </w:pPr>
            <w:r w:rsidRPr="005B0796">
              <w:rPr>
                <w:szCs w:val="14"/>
              </w:rPr>
              <w:t>K10 scoring bands</w:t>
            </w:r>
          </w:p>
        </w:tc>
        <w:tc>
          <w:tcPr>
            <w:tcW w:w="1794" w:type="dxa"/>
            <w:gridSpan w:val="3"/>
            <w:hideMark/>
          </w:tcPr>
          <w:p w:rsidR="00CE42B1" w:rsidRPr="005B0796" w:rsidRDefault="00CE42B1" w:rsidP="00986BE4">
            <w:pPr>
              <w:pStyle w:val="TableText"/>
              <w:jc w:val="center"/>
              <w:rPr>
                <w:szCs w:val="14"/>
              </w:rPr>
            </w:pPr>
            <w:r w:rsidRPr="005B0796">
              <w:rPr>
                <w:szCs w:val="14"/>
              </w:rPr>
              <w:t>0 (1–11 months)</w:t>
            </w:r>
            <w:r w:rsidRPr="005B0796">
              <w:rPr>
                <w:szCs w:val="14"/>
              </w:rPr>
              <w:br/>
              <w:t>(n = 1945)</w:t>
            </w:r>
          </w:p>
        </w:tc>
        <w:tc>
          <w:tcPr>
            <w:tcW w:w="1795" w:type="dxa"/>
            <w:gridSpan w:val="3"/>
            <w:hideMark/>
          </w:tcPr>
          <w:p w:rsidR="00CE42B1" w:rsidRPr="005B0796" w:rsidRDefault="00CE42B1" w:rsidP="00986BE4">
            <w:pPr>
              <w:pStyle w:val="TableText"/>
              <w:jc w:val="center"/>
              <w:rPr>
                <w:szCs w:val="14"/>
              </w:rPr>
            </w:pPr>
            <w:r w:rsidRPr="005B0796">
              <w:rPr>
                <w:szCs w:val="14"/>
              </w:rPr>
              <w:t>1 year</w:t>
            </w:r>
            <w:r w:rsidRPr="005B0796">
              <w:rPr>
                <w:szCs w:val="14"/>
              </w:rPr>
              <w:br/>
              <w:t>(n = 4874)</w:t>
            </w:r>
          </w:p>
        </w:tc>
        <w:tc>
          <w:tcPr>
            <w:tcW w:w="1795" w:type="dxa"/>
            <w:gridSpan w:val="3"/>
            <w:hideMark/>
          </w:tcPr>
          <w:p w:rsidR="00CE42B1" w:rsidRPr="005B0796" w:rsidRDefault="00CE42B1" w:rsidP="00986BE4">
            <w:pPr>
              <w:pStyle w:val="TableText"/>
              <w:jc w:val="center"/>
              <w:rPr>
                <w:szCs w:val="14"/>
              </w:rPr>
            </w:pPr>
            <w:r w:rsidRPr="005B0796">
              <w:rPr>
                <w:szCs w:val="14"/>
              </w:rPr>
              <w:t>2 years</w:t>
            </w:r>
            <w:r w:rsidRPr="005B0796">
              <w:rPr>
                <w:szCs w:val="14"/>
              </w:rPr>
              <w:br/>
              <w:t>(n = 4944)</w:t>
            </w:r>
          </w:p>
        </w:tc>
      </w:tr>
      <w:tr w:rsidR="00CE42B1" w:rsidRPr="005B0796" w:rsidTr="00CE42B1">
        <w:trPr>
          <w:cnfStyle w:val="100000000000" w:firstRow="1" w:lastRow="0" w:firstColumn="0" w:lastColumn="0" w:oddVBand="0" w:evenVBand="0" w:oddHBand="0" w:evenHBand="0" w:firstRowFirstColumn="0" w:firstRowLastColumn="0" w:lastRowFirstColumn="0" w:lastRowLastColumn="0"/>
          <w:cantSplit/>
          <w:tblHeader/>
        </w:trPr>
        <w:tc>
          <w:tcPr>
            <w:tcW w:w="738" w:type="dxa"/>
            <w:vMerge/>
            <w:hideMark/>
          </w:tcPr>
          <w:p w:rsidR="00CE42B1" w:rsidRPr="005B0796" w:rsidRDefault="00CE42B1" w:rsidP="002A5555">
            <w:pPr>
              <w:pStyle w:val="TableText"/>
              <w:rPr>
                <w:szCs w:val="14"/>
              </w:rPr>
            </w:pPr>
          </w:p>
        </w:tc>
        <w:tc>
          <w:tcPr>
            <w:tcW w:w="598" w:type="dxa"/>
            <w:hideMark/>
          </w:tcPr>
          <w:p w:rsidR="00CE42B1" w:rsidRPr="005B0796" w:rsidRDefault="00CE42B1" w:rsidP="00986BE4">
            <w:pPr>
              <w:pStyle w:val="TableText"/>
              <w:jc w:val="right"/>
              <w:rPr>
                <w:szCs w:val="14"/>
              </w:rPr>
            </w:pPr>
            <w:r w:rsidRPr="005B0796">
              <w:rPr>
                <w:szCs w:val="14"/>
              </w:rPr>
              <w:t>Weighted n</w:t>
            </w:r>
          </w:p>
        </w:tc>
        <w:tc>
          <w:tcPr>
            <w:tcW w:w="598" w:type="dxa"/>
            <w:hideMark/>
          </w:tcPr>
          <w:p w:rsidR="00CE42B1" w:rsidRPr="005B0796" w:rsidRDefault="00CE42B1" w:rsidP="00986BE4">
            <w:pPr>
              <w:pStyle w:val="TableText"/>
              <w:jc w:val="right"/>
              <w:rPr>
                <w:szCs w:val="14"/>
              </w:rPr>
            </w:pPr>
            <w:r w:rsidRPr="005B0796">
              <w:rPr>
                <w:szCs w:val="14"/>
              </w:rPr>
              <w:t>%</w:t>
            </w:r>
          </w:p>
        </w:tc>
        <w:tc>
          <w:tcPr>
            <w:tcW w:w="598" w:type="dxa"/>
            <w:hideMark/>
          </w:tcPr>
          <w:p w:rsidR="00CE42B1" w:rsidRPr="005B0796" w:rsidRDefault="00CE42B1" w:rsidP="00986BE4">
            <w:pPr>
              <w:pStyle w:val="TableText"/>
              <w:jc w:val="right"/>
              <w:rPr>
                <w:szCs w:val="14"/>
              </w:rPr>
            </w:pPr>
            <w:r w:rsidRPr="005B0796">
              <w:rPr>
                <w:szCs w:val="14"/>
              </w:rPr>
              <w:t>95% CI</w:t>
            </w:r>
          </w:p>
        </w:tc>
        <w:tc>
          <w:tcPr>
            <w:tcW w:w="598" w:type="dxa"/>
            <w:hideMark/>
          </w:tcPr>
          <w:p w:rsidR="00CE42B1" w:rsidRPr="005B0796" w:rsidRDefault="00CE42B1" w:rsidP="00986BE4">
            <w:pPr>
              <w:pStyle w:val="TableText"/>
              <w:jc w:val="right"/>
              <w:rPr>
                <w:szCs w:val="14"/>
              </w:rPr>
            </w:pPr>
            <w:r w:rsidRPr="005B0796">
              <w:rPr>
                <w:szCs w:val="14"/>
              </w:rPr>
              <w:t>Weighted n</w:t>
            </w:r>
          </w:p>
        </w:tc>
        <w:tc>
          <w:tcPr>
            <w:tcW w:w="599" w:type="dxa"/>
            <w:hideMark/>
          </w:tcPr>
          <w:p w:rsidR="00CE42B1" w:rsidRPr="005B0796" w:rsidRDefault="00CE42B1" w:rsidP="00986BE4">
            <w:pPr>
              <w:pStyle w:val="TableText"/>
              <w:jc w:val="right"/>
              <w:rPr>
                <w:szCs w:val="14"/>
              </w:rPr>
            </w:pPr>
            <w:r w:rsidRPr="005B0796">
              <w:rPr>
                <w:szCs w:val="14"/>
              </w:rPr>
              <w:t>%</w:t>
            </w:r>
          </w:p>
        </w:tc>
        <w:tc>
          <w:tcPr>
            <w:tcW w:w="598" w:type="dxa"/>
            <w:hideMark/>
          </w:tcPr>
          <w:p w:rsidR="00CE42B1" w:rsidRPr="005B0796" w:rsidRDefault="00CE42B1" w:rsidP="00986BE4">
            <w:pPr>
              <w:pStyle w:val="TableText"/>
              <w:jc w:val="right"/>
              <w:rPr>
                <w:szCs w:val="14"/>
              </w:rPr>
            </w:pPr>
            <w:r w:rsidRPr="005B0796">
              <w:rPr>
                <w:szCs w:val="14"/>
              </w:rPr>
              <w:t>95% CI</w:t>
            </w:r>
          </w:p>
        </w:tc>
        <w:tc>
          <w:tcPr>
            <w:tcW w:w="598" w:type="dxa"/>
            <w:hideMark/>
          </w:tcPr>
          <w:p w:rsidR="00CE42B1" w:rsidRPr="005B0796" w:rsidRDefault="00CE42B1" w:rsidP="00986BE4">
            <w:pPr>
              <w:pStyle w:val="TableText"/>
              <w:jc w:val="right"/>
              <w:rPr>
                <w:szCs w:val="14"/>
              </w:rPr>
            </w:pPr>
            <w:r w:rsidRPr="005B0796">
              <w:rPr>
                <w:szCs w:val="14"/>
              </w:rPr>
              <w:t>Weighted n</w:t>
            </w:r>
          </w:p>
        </w:tc>
        <w:tc>
          <w:tcPr>
            <w:tcW w:w="598" w:type="dxa"/>
            <w:hideMark/>
          </w:tcPr>
          <w:p w:rsidR="00CE42B1" w:rsidRPr="005B0796" w:rsidRDefault="00CE42B1" w:rsidP="00986BE4">
            <w:pPr>
              <w:pStyle w:val="TableText"/>
              <w:jc w:val="right"/>
              <w:rPr>
                <w:szCs w:val="14"/>
              </w:rPr>
            </w:pPr>
            <w:r w:rsidRPr="005B0796">
              <w:rPr>
                <w:szCs w:val="14"/>
              </w:rPr>
              <w:t>%</w:t>
            </w:r>
          </w:p>
        </w:tc>
        <w:tc>
          <w:tcPr>
            <w:tcW w:w="599" w:type="dxa"/>
            <w:hideMark/>
          </w:tcPr>
          <w:p w:rsidR="00CE42B1" w:rsidRPr="005B0796" w:rsidRDefault="00CE42B1" w:rsidP="00986BE4">
            <w:pPr>
              <w:pStyle w:val="TableText"/>
              <w:jc w:val="right"/>
              <w:rPr>
                <w:szCs w:val="14"/>
              </w:rPr>
            </w:pPr>
            <w:r w:rsidRPr="005B0796">
              <w:rPr>
                <w:szCs w:val="14"/>
              </w:rPr>
              <w:t>95% CI</w:t>
            </w:r>
          </w:p>
        </w:tc>
      </w:tr>
      <w:tr w:rsidR="00CE42B1" w:rsidRPr="005B0796" w:rsidTr="00CE42B1">
        <w:trPr>
          <w:cnfStyle w:val="000000100000" w:firstRow="0" w:lastRow="0" w:firstColumn="0" w:lastColumn="0" w:oddVBand="0" w:evenVBand="0" w:oddHBand="1" w:evenHBand="0" w:firstRowFirstColumn="0" w:firstRowLastColumn="0" w:lastRowFirstColumn="0" w:lastRowLastColumn="0"/>
          <w:cantSplit/>
        </w:trPr>
        <w:tc>
          <w:tcPr>
            <w:tcW w:w="738" w:type="dxa"/>
            <w:hideMark/>
          </w:tcPr>
          <w:p w:rsidR="00CE42B1" w:rsidRPr="005B0796" w:rsidRDefault="00CE42B1" w:rsidP="00CE42B1">
            <w:pPr>
              <w:pStyle w:val="TableText"/>
              <w:rPr>
                <w:szCs w:val="14"/>
              </w:rPr>
            </w:pPr>
            <w:r w:rsidRPr="005B0796">
              <w:rPr>
                <w:szCs w:val="14"/>
              </w:rPr>
              <w:t>Low (10–15)</w:t>
            </w:r>
          </w:p>
        </w:tc>
        <w:tc>
          <w:tcPr>
            <w:tcW w:w="598" w:type="dxa"/>
            <w:hideMark/>
          </w:tcPr>
          <w:p w:rsidR="00CE42B1" w:rsidRPr="005B0796" w:rsidRDefault="00CE42B1" w:rsidP="00986BE4">
            <w:pPr>
              <w:pStyle w:val="TableText"/>
              <w:jc w:val="right"/>
              <w:rPr>
                <w:szCs w:val="14"/>
              </w:rPr>
            </w:pPr>
            <w:r w:rsidRPr="005B0796">
              <w:rPr>
                <w:rFonts w:eastAsia="Times New Roman"/>
                <w:szCs w:val="14"/>
              </w:rPr>
              <w:t>1069</w:t>
            </w:r>
          </w:p>
        </w:tc>
        <w:tc>
          <w:tcPr>
            <w:tcW w:w="598" w:type="dxa"/>
            <w:hideMark/>
          </w:tcPr>
          <w:p w:rsidR="00CE42B1" w:rsidRPr="005B0796" w:rsidRDefault="00CE42B1" w:rsidP="00986BE4">
            <w:pPr>
              <w:pStyle w:val="TableText"/>
              <w:jc w:val="right"/>
              <w:rPr>
                <w:szCs w:val="14"/>
              </w:rPr>
            </w:pPr>
            <w:r w:rsidRPr="005B0796">
              <w:rPr>
                <w:rFonts w:eastAsia="Times New Roman"/>
                <w:szCs w:val="14"/>
              </w:rPr>
              <w:t>54.9</w:t>
            </w:r>
          </w:p>
        </w:tc>
        <w:tc>
          <w:tcPr>
            <w:tcW w:w="598" w:type="dxa"/>
            <w:hideMark/>
          </w:tcPr>
          <w:p w:rsidR="00CE42B1" w:rsidRPr="005B0796" w:rsidRDefault="00CE42B1" w:rsidP="00986BE4">
            <w:pPr>
              <w:pStyle w:val="TableText"/>
              <w:jc w:val="right"/>
              <w:rPr>
                <w:szCs w:val="14"/>
              </w:rPr>
            </w:pPr>
            <w:r w:rsidRPr="005B0796">
              <w:rPr>
                <w:rFonts w:eastAsia="Times New Roman"/>
                <w:szCs w:val="14"/>
              </w:rPr>
              <w:t>48.7, 61.1</w:t>
            </w:r>
          </w:p>
        </w:tc>
        <w:tc>
          <w:tcPr>
            <w:tcW w:w="598" w:type="dxa"/>
            <w:hideMark/>
          </w:tcPr>
          <w:p w:rsidR="00CE42B1" w:rsidRPr="005B0796" w:rsidRDefault="00CE42B1" w:rsidP="00986BE4">
            <w:pPr>
              <w:pStyle w:val="TableText"/>
              <w:jc w:val="right"/>
              <w:rPr>
                <w:szCs w:val="14"/>
              </w:rPr>
            </w:pPr>
            <w:r w:rsidRPr="005B0796">
              <w:rPr>
                <w:rFonts w:eastAsia="Times New Roman"/>
                <w:szCs w:val="14"/>
              </w:rPr>
              <w:t>2381</w:t>
            </w:r>
          </w:p>
        </w:tc>
        <w:tc>
          <w:tcPr>
            <w:tcW w:w="599" w:type="dxa"/>
            <w:hideMark/>
          </w:tcPr>
          <w:p w:rsidR="00CE42B1" w:rsidRPr="005B0796" w:rsidRDefault="00CE42B1" w:rsidP="00986BE4">
            <w:pPr>
              <w:pStyle w:val="TableText"/>
              <w:jc w:val="right"/>
              <w:rPr>
                <w:szCs w:val="14"/>
              </w:rPr>
            </w:pPr>
            <w:r w:rsidRPr="005B0796">
              <w:rPr>
                <w:rFonts w:eastAsia="Times New Roman"/>
                <w:szCs w:val="14"/>
              </w:rPr>
              <w:t>48.9</w:t>
            </w:r>
          </w:p>
        </w:tc>
        <w:tc>
          <w:tcPr>
            <w:tcW w:w="598" w:type="dxa"/>
            <w:hideMark/>
          </w:tcPr>
          <w:p w:rsidR="00CE42B1" w:rsidRPr="005B0796" w:rsidRDefault="00CE42B1" w:rsidP="00986BE4">
            <w:pPr>
              <w:pStyle w:val="TableText"/>
              <w:jc w:val="right"/>
              <w:rPr>
                <w:szCs w:val="14"/>
              </w:rPr>
            </w:pPr>
            <w:r w:rsidRPr="005B0796">
              <w:rPr>
                <w:rFonts w:eastAsia="Times New Roman"/>
                <w:szCs w:val="14"/>
              </w:rPr>
              <w:t>44.7, 53.0</w:t>
            </w:r>
          </w:p>
        </w:tc>
        <w:tc>
          <w:tcPr>
            <w:tcW w:w="598" w:type="dxa"/>
            <w:hideMark/>
          </w:tcPr>
          <w:p w:rsidR="00CE42B1" w:rsidRPr="005B0796" w:rsidRDefault="00CE42B1" w:rsidP="00986BE4">
            <w:pPr>
              <w:pStyle w:val="TableText"/>
              <w:jc w:val="right"/>
              <w:rPr>
                <w:szCs w:val="14"/>
              </w:rPr>
            </w:pPr>
            <w:r w:rsidRPr="005B0796">
              <w:rPr>
                <w:rFonts w:eastAsia="Times New Roman"/>
                <w:szCs w:val="14"/>
              </w:rPr>
              <w:t>2414</w:t>
            </w:r>
          </w:p>
        </w:tc>
        <w:tc>
          <w:tcPr>
            <w:tcW w:w="598" w:type="dxa"/>
            <w:hideMark/>
          </w:tcPr>
          <w:p w:rsidR="00CE42B1" w:rsidRPr="005B0796" w:rsidRDefault="00CE42B1" w:rsidP="00986BE4">
            <w:pPr>
              <w:pStyle w:val="TableText"/>
              <w:jc w:val="right"/>
              <w:rPr>
                <w:szCs w:val="14"/>
              </w:rPr>
            </w:pPr>
            <w:r w:rsidRPr="005B0796">
              <w:rPr>
                <w:rFonts w:eastAsia="Times New Roman"/>
                <w:szCs w:val="14"/>
              </w:rPr>
              <w:t>48.8</w:t>
            </w:r>
          </w:p>
        </w:tc>
        <w:tc>
          <w:tcPr>
            <w:tcW w:w="599" w:type="dxa"/>
            <w:hideMark/>
          </w:tcPr>
          <w:p w:rsidR="00CE42B1" w:rsidRPr="005B0796" w:rsidRDefault="00CE42B1" w:rsidP="00986BE4">
            <w:pPr>
              <w:pStyle w:val="TableText"/>
              <w:jc w:val="right"/>
              <w:rPr>
                <w:szCs w:val="14"/>
              </w:rPr>
            </w:pPr>
            <w:r w:rsidRPr="005B0796">
              <w:rPr>
                <w:rFonts w:eastAsia="Times New Roman"/>
                <w:szCs w:val="14"/>
              </w:rPr>
              <w:t>44.5, 53.1</w:t>
            </w:r>
          </w:p>
        </w:tc>
      </w:tr>
      <w:tr w:rsidR="00CE42B1" w:rsidRPr="005B0796" w:rsidTr="00CE42B1">
        <w:trPr>
          <w:cantSplit/>
        </w:trPr>
        <w:tc>
          <w:tcPr>
            <w:tcW w:w="738" w:type="dxa"/>
            <w:hideMark/>
          </w:tcPr>
          <w:p w:rsidR="00CE42B1" w:rsidRPr="005B0796" w:rsidRDefault="00CE42B1" w:rsidP="002A5555">
            <w:pPr>
              <w:pStyle w:val="TableText"/>
              <w:rPr>
                <w:b/>
                <w:color w:val="000000" w:themeColor="text1"/>
                <w:szCs w:val="14"/>
              </w:rPr>
            </w:pPr>
            <w:r w:rsidRPr="005B0796">
              <w:rPr>
                <w:color w:val="000000" w:themeColor="text1"/>
                <w:szCs w:val="14"/>
              </w:rPr>
              <w:t>Moderate (16</w:t>
            </w:r>
            <w:r w:rsidRPr="005B0796">
              <w:rPr>
                <w:szCs w:val="14"/>
              </w:rPr>
              <w:t>–</w:t>
            </w:r>
            <w:r w:rsidRPr="005B0796">
              <w:rPr>
                <w:color w:val="000000" w:themeColor="text1"/>
                <w:szCs w:val="14"/>
              </w:rPr>
              <w:t>21)</w:t>
            </w:r>
          </w:p>
        </w:tc>
        <w:tc>
          <w:tcPr>
            <w:tcW w:w="598" w:type="dxa"/>
            <w:hideMark/>
          </w:tcPr>
          <w:p w:rsidR="00CE42B1" w:rsidRPr="005B0796" w:rsidRDefault="00CE42B1" w:rsidP="00986BE4">
            <w:pPr>
              <w:pStyle w:val="TableText"/>
              <w:jc w:val="right"/>
              <w:rPr>
                <w:szCs w:val="14"/>
              </w:rPr>
            </w:pPr>
            <w:r w:rsidRPr="005B0796">
              <w:rPr>
                <w:rFonts w:eastAsia="Times New Roman"/>
                <w:szCs w:val="14"/>
              </w:rPr>
              <w:t>406</w:t>
            </w:r>
          </w:p>
        </w:tc>
        <w:tc>
          <w:tcPr>
            <w:tcW w:w="598" w:type="dxa"/>
            <w:hideMark/>
          </w:tcPr>
          <w:p w:rsidR="00CE42B1" w:rsidRPr="005B0796" w:rsidRDefault="00CE42B1" w:rsidP="00986BE4">
            <w:pPr>
              <w:pStyle w:val="TableText"/>
              <w:jc w:val="right"/>
              <w:rPr>
                <w:szCs w:val="14"/>
              </w:rPr>
            </w:pPr>
            <w:r w:rsidRPr="005B0796">
              <w:rPr>
                <w:rFonts w:eastAsia="Times New Roman"/>
                <w:szCs w:val="14"/>
              </w:rPr>
              <w:t>20.9</w:t>
            </w:r>
          </w:p>
        </w:tc>
        <w:tc>
          <w:tcPr>
            <w:tcW w:w="598" w:type="dxa"/>
            <w:hideMark/>
          </w:tcPr>
          <w:p w:rsidR="00CE42B1" w:rsidRPr="005B0796" w:rsidRDefault="00CE42B1" w:rsidP="00986BE4">
            <w:pPr>
              <w:pStyle w:val="TableText"/>
              <w:jc w:val="right"/>
              <w:rPr>
                <w:szCs w:val="14"/>
              </w:rPr>
            </w:pPr>
            <w:r w:rsidRPr="005B0796">
              <w:rPr>
                <w:rFonts w:eastAsia="Times New Roman"/>
                <w:szCs w:val="14"/>
              </w:rPr>
              <w:t>15.7, 27.2</w:t>
            </w:r>
          </w:p>
        </w:tc>
        <w:tc>
          <w:tcPr>
            <w:tcW w:w="598" w:type="dxa"/>
            <w:hideMark/>
          </w:tcPr>
          <w:p w:rsidR="00CE42B1" w:rsidRPr="005B0796" w:rsidRDefault="00CE42B1" w:rsidP="00986BE4">
            <w:pPr>
              <w:pStyle w:val="TableText"/>
              <w:jc w:val="right"/>
              <w:rPr>
                <w:szCs w:val="14"/>
              </w:rPr>
            </w:pPr>
            <w:r w:rsidRPr="005B0796">
              <w:rPr>
                <w:rFonts w:eastAsia="Times New Roman"/>
                <w:szCs w:val="14"/>
              </w:rPr>
              <w:t>791</w:t>
            </w:r>
          </w:p>
        </w:tc>
        <w:tc>
          <w:tcPr>
            <w:tcW w:w="599" w:type="dxa"/>
            <w:hideMark/>
          </w:tcPr>
          <w:p w:rsidR="00CE42B1" w:rsidRPr="005B0796" w:rsidRDefault="00CE42B1" w:rsidP="00986BE4">
            <w:pPr>
              <w:pStyle w:val="TableText"/>
              <w:jc w:val="right"/>
              <w:rPr>
                <w:szCs w:val="14"/>
              </w:rPr>
            </w:pPr>
            <w:r w:rsidRPr="005B0796">
              <w:rPr>
                <w:rFonts w:eastAsia="Times New Roman"/>
                <w:szCs w:val="14"/>
              </w:rPr>
              <w:t>16.2</w:t>
            </w:r>
          </w:p>
        </w:tc>
        <w:tc>
          <w:tcPr>
            <w:tcW w:w="598" w:type="dxa"/>
            <w:hideMark/>
          </w:tcPr>
          <w:p w:rsidR="00CE42B1" w:rsidRPr="005B0796" w:rsidRDefault="00CE42B1" w:rsidP="00986BE4">
            <w:pPr>
              <w:pStyle w:val="TableText"/>
              <w:jc w:val="right"/>
              <w:rPr>
                <w:szCs w:val="14"/>
              </w:rPr>
            </w:pPr>
            <w:r w:rsidRPr="005B0796">
              <w:rPr>
                <w:rFonts w:eastAsia="Times New Roman"/>
                <w:szCs w:val="14"/>
              </w:rPr>
              <w:t>13.4, 19.6</w:t>
            </w:r>
          </w:p>
        </w:tc>
        <w:tc>
          <w:tcPr>
            <w:tcW w:w="598" w:type="dxa"/>
            <w:hideMark/>
          </w:tcPr>
          <w:p w:rsidR="00CE42B1" w:rsidRPr="005B0796" w:rsidRDefault="00CE42B1" w:rsidP="00986BE4">
            <w:pPr>
              <w:pStyle w:val="TableText"/>
              <w:jc w:val="right"/>
              <w:rPr>
                <w:szCs w:val="14"/>
              </w:rPr>
            </w:pPr>
            <w:r w:rsidRPr="005B0796">
              <w:rPr>
                <w:rFonts w:eastAsia="Times New Roman"/>
                <w:szCs w:val="14"/>
              </w:rPr>
              <w:t>889</w:t>
            </w:r>
          </w:p>
        </w:tc>
        <w:tc>
          <w:tcPr>
            <w:tcW w:w="598" w:type="dxa"/>
            <w:hideMark/>
          </w:tcPr>
          <w:p w:rsidR="00CE42B1" w:rsidRPr="005B0796" w:rsidRDefault="00CE42B1" w:rsidP="00986BE4">
            <w:pPr>
              <w:pStyle w:val="TableText"/>
              <w:jc w:val="right"/>
              <w:rPr>
                <w:szCs w:val="14"/>
              </w:rPr>
            </w:pPr>
            <w:r w:rsidRPr="005B0796">
              <w:rPr>
                <w:rFonts w:eastAsia="Times New Roman"/>
                <w:szCs w:val="14"/>
              </w:rPr>
              <w:t>17.9</w:t>
            </w:r>
          </w:p>
        </w:tc>
        <w:tc>
          <w:tcPr>
            <w:tcW w:w="599" w:type="dxa"/>
            <w:hideMark/>
          </w:tcPr>
          <w:p w:rsidR="00CE42B1" w:rsidRPr="005B0796" w:rsidRDefault="00CE42B1" w:rsidP="00986BE4">
            <w:pPr>
              <w:pStyle w:val="TableText"/>
              <w:jc w:val="right"/>
              <w:rPr>
                <w:szCs w:val="14"/>
              </w:rPr>
            </w:pPr>
            <w:r w:rsidRPr="005B0796">
              <w:rPr>
                <w:rFonts w:eastAsia="Times New Roman"/>
                <w:szCs w:val="14"/>
              </w:rPr>
              <w:t>14.9, 21.6</w:t>
            </w:r>
          </w:p>
        </w:tc>
      </w:tr>
      <w:tr w:rsidR="00CE42B1" w:rsidRPr="005B0796" w:rsidTr="00CE42B1">
        <w:trPr>
          <w:cnfStyle w:val="000000100000" w:firstRow="0" w:lastRow="0" w:firstColumn="0" w:lastColumn="0" w:oddVBand="0" w:evenVBand="0" w:oddHBand="1" w:evenHBand="0" w:firstRowFirstColumn="0" w:firstRowLastColumn="0" w:lastRowFirstColumn="0" w:lastRowLastColumn="0"/>
          <w:cantSplit/>
        </w:trPr>
        <w:tc>
          <w:tcPr>
            <w:tcW w:w="738" w:type="dxa"/>
            <w:hideMark/>
          </w:tcPr>
          <w:p w:rsidR="00CE42B1" w:rsidRPr="005B0796" w:rsidRDefault="00CE42B1" w:rsidP="00CE42B1">
            <w:pPr>
              <w:pStyle w:val="TableText"/>
              <w:rPr>
                <w:b/>
                <w:color w:val="000000" w:themeColor="text1"/>
                <w:szCs w:val="14"/>
              </w:rPr>
            </w:pPr>
            <w:r w:rsidRPr="005B0796">
              <w:rPr>
                <w:color w:val="000000" w:themeColor="text1"/>
                <w:szCs w:val="14"/>
              </w:rPr>
              <w:t>High (22</w:t>
            </w:r>
            <w:r w:rsidRPr="005B0796">
              <w:rPr>
                <w:szCs w:val="14"/>
              </w:rPr>
              <w:t>–</w:t>
            </w:r>
            <w:r w:rsidRPr="005B0796">
              <w:rPr>
                <w:color w:val="000000" w:themeColor="text1"/>
                <w:szCs w:val="14"/>
              </w:rPr>
              <w:t>29)</w:t>
            </w:r>
          </w:p>
        </w:tc>
        <w:tc>
          <w:tcPr>
            <w:tcW w:w="598" w:type="dxa"/>
            <w:hideMark/>
          </w:tcPr>
          <w:p w:rsidR="00CE42B1" w:rsidRPr="005B0796" w:rsidRDefault="00CE42B1" w:rsidP="00986BE4">
            <w:pPr>
              <w:pStyle w:val="TableText"/>
              <w:jc w:val="right"/>
              <w:rPr>
                <w:szCs w:val="14"/>
              </w:rPr>
            </w:pPr>
            <w:r w:rsidRPr="005B0796">
              <w:rPr>
                <w:rFonts w:eastAsia="Times New Roman"/>
                <w:szCs w:val="14"/>
              </w:rPr>
              <w:t>258</w:t>
            </w:r>
          </w:p>
        </w:tc>
        <w:tc>
          <w:tcPr>
            <w:tcW w:w="598" w:type="dxa"/>
            <w:hideMark/>
          </w:tcPr>
          <w:p w:rsidR="00CE42B1" w:rsidRPr="005B0796" w:rsidRDefault="00CE42B1" w:rsidP="00986BE4">
            <w:pPr>
              <w:pStyle w:val="TableText"/>
              <w:jc w:val="right"/>
              <w:rPr>
                <w:szCs w:val="14"/>
              </w:rPr>
            </w:pPr>
            <w:r w:rsidRPr="005B0796">
              <w:rPr>
                <w:rFonts w:eastAsia="Times New Roman"/>
                <w:szCs w:val="14"/>
              </w:rPr>
              <w:t>13.3</w:t>
            </w:r>
          </w:p>
        </w:tc>
        <w:tc>
          <w:tcPr>
            <w:tcW w:w="598" w:type="dxa"/>
            <w:hideMark/>
          </w:tcPr>
          <w:p w:rsidR="00CE42B1" w:rsidRPr="005B0796" w:rsidRDefault="00CE42B1" w:rsidP="00986BE4">
            <w:pPr>
              <w:pStyle w:val="TableText"/>
              <w:jc w:val="right"/>
              <w:rPr>
                <w:szCs w:val="14"/>
              </w:rPr>
            </w:pPr>
            <w:r w:rsidRPr="005B0796">
              <w:rPr>
                <w:rFonts w:eastAsia="Times New Roman"/>
                <w:szCs w:val="14"/>
              </w:rPr>
              <w:t>9.6, 18.0</w:t>
            </w:r>
          </w:p>
        </w:tc>
        <w:tc>
          <w:tcPr>
            <w:tcW w:w="598" w:type="dxa"/>
            <w:hideMark/>
          </w:tcPr>
          <w:p w:rsidR="00CE42B1" w:rsidRPr="005B0796" w:rsidRDefault="00CE42B1" w:rsidP="00986BE4">
            <w:pPr>
              <w:pStyle w:val="TableText"/>
              <w:jc w:val="right"/>
              <w:rPr>
                <w:szCs w:val="14"/>
              </w:rPr>
            </w:pPr>
            <w:r w:rsidRPr="005B0796">
              <w:rPr>
                <w:rFonts w:eastAsia="Times New Roman"/>
                <w:szCs w:val="14"/>
              </w:rPr>
              <w:t>579</w:t>
            </w:r>
          </w:p>
        </w:tc>
        <w:tc>
          <w:tcPr>
            <w:tcW w:w="599" w:type="dxa"/>
            <w:hideMark/>
          </w:tcPr>
          <w:p w:rsidR="00CE42B1" w:rsidRPr="005B0796" w:rsidRDefault="00CE42B1" w:rsidP="00986BE4">
            <w:pPr>
              <w:pStyle w:val="TableText"/>
              <w:jc w:val="right"/>
              <w:rPr>
                <w:szCs w:val="14"/>
              </w:rPr>
            </w:pPr>
            <w:r w:rsidRPr="005B0796">
              <w:rPr>
                <w:rFonts w:eastAsia="Times New Roman"/>
                <w:szCs w:val="14"/>
              </w:rPr>
              <w:t>11.9</w:t>
            </w:r>
          </w:p>
        </w:tc>
        <w:tc>
          <w:tcPr>
            <w:tcW w:w="598" w:type="dxa"/>
            <w:hideMark/>
          </w:tcPr>
          <w:p w:rsidR="00CE42B1" w:rsidRPr="005B0796" w:rsidRDefault="00CE42B1" w:rsidP="00986BE4">
            <w:pPr>
              <w:pStyle w:val="TableText"/>
              <w:jc w:val="right"/>
              <w:rPr>
                <w:szCs w:val="14"/>
              </w:rPr>
            </w:pPr>
            <w:r w:rsidRPr="005B0796">
              <w:rPr>
                <w:rFonts w:eastAsia="Times New Roman"/>
                <w:szCs w:val="14"/>
              </w:rPr>
              <w:t>9.5, 14.9</w:t>
            </w:r>
          </w:p>
        </w:tc>
        <w:tc>
          <w:tcPr>
            <w:tcW w:w="598" w:type="dxa"/>
            <w:hideMark/>
          </w:tcPr>
          <w:p w:rsidR="00CE42B1" w:rsidRPr="005B0796" w:rsidRDefault="00CE42B1" w:rsidP="00986BE4">
            <w:pPr>
              <w:pStyle w:val="TableText"/>
              <w:jc w:val="right"/>
              <w:rPr>
                <w:szCs w:val="14"/>
              </w:rPr>
            </w:pPr>
            <w:r w:rsidRPr="005B0796">
              <w:rPr>
                <w:rFonts w:eastAsia="Times New Roman"/>
                <w:szCs w:val="14"/>
              </w:rPr>
              <w:t>554</w:t>
            </w:r>
          </w:p>
        </w:tc>
        <w:tc>
          <w:tcPr>
            <w:tcW w:w="598" w:type="dxa"/>
            <w:hideMark/>
          </w:tcPr>
          <w:p w:rsidR="00CE42B1" w:rsidRPr="005B0796" w:rsidRDefault="00CE42B1" w:rsidP="00986BE4">
            <w:pPr>
              <w:pStyle w:val="TableText"/>
              <w:jc w:val="right"/>
              <w:rPr>
                <w:szCs w:val="14"/>
              </w:rPr>
            </w:pPr>
            <w:r w:rsidRPr="005B0796">
              <w:rPr>
                <w:rFonts w:eastAsia="Times New Roman"/>
                <w:szCs w:val="14"/>
              </w:rPr>
              <w:t>11.2</w:t>
            </w:r>
          </w:p>
        </w:tc>
        <w:tc>
          <w:tcPr>
            <w:tcW w:w="599" w:type="dxa"/>
            <w:hideMark/>
          </w:tcPr>
          <w:p w:rsidR="00CE42B1" w:rsidRPr="005B0796" w:rsidRDefault="00CE42B1" w:rsidP="00986BE4">
            <w:pPr>
              <w:pStyle w:val="TableText"/>
              <w:jc w:val="right"/>
              <w:rPr>
                <w:szCs w:val="14"/>
              </w:rPr>
            </w:pPr>
            <w:r w:rsidRPr="005B0796">
              <w:rPr>
                <w:rFonts w:eastAsia="Times New Roman"/>
                <w:szCs w:val="14"/>
              </w:rPr>
              <w:t>8.8, 14.1</w:t>
            </w:r>
          </w:p>
        </w:tc>
      </w:tr>
      <w:tr w:rsidR="00CE42B1" w:rsidRPr="005B0796" w:rsidTr="00CE42B1">
        <w:trPr>
          <w:cantSplit/>
        </w:trPr>
        <w:tc>
          <w:tcPr>
            <w:tcW w:w="738" w:type="dxa"/>
            <w:hideMark/>
          </w:tcPr>
          <w:p w:rsidR="00CE42B1" w:rsidRPr="005B0796" w:rsidRDefault="00CE42B1" w:rsidP="002A5555">
            <w:pPr>
              <w:pStyle w:val="TableText"/>
              <w:rPr>
                <w:szCs w:val="14"/>
              </w:rPr>
            </w:pPr>
            <w:r w:rsidRPr="005B0796">
              <w:rPr>
                <w:szCs w:val="14"/>
              </w:rPr>
              <w:t>Very high (30–50)</w:t>
            </w:r>
          </w:p>
        </w:tc>
        <w:tc>
          <w:tcPr>
            <w:tcW w:w="598" w:type="dxa"/>
            <w:hideMark/>
          </w:tcPr>
          <w:p w:rsidR="00CE42B1" w:rsidRPr="005B0796" w:rsidRDefault="00CE42B1" w:rsidP="00986BE4">
            <w:pPr>
              <w:pStyle w:val="TableText"/>
              <w:jc w:val="right"/>
              <w:rPr>
                <w:szCs w:val="14"/>
              </w:rPr>
            </w:pPr>
            <w:r w:rsidRPr="005B0796">
              <w:rPr>
                <w:rFonts w:eastAsia="Times New Roman"/>
                <w:szCs w:val="14"/>
              </w:rPr>
              <w:t>183</w:t>
            </w:r>
          </w:p>
        </w:tc>
        <w:tc>
          <w:tcPr>
            <w:tcW w:w="598" w:type="dxa"/>
            <w:hideMark/>
          </w:tcPr>
          <w:p w:rsidR="00CE42B1" w:rsidRPr="005B0796" w:rsidRDefault="00CE42B1" w:rsidP="00986BE4">
            <w:pPr>
              <w:pStyle w:val="TableText"/>
              <w:jc w:val="right"/>
              <w:rPr>
                <w:szCs w:val="14"/>
              </w:rPr>
            </w:pPr>
            <w:r w:rsidRPr="005B0796">
              <w:rPr>
                <w:rFonts w:eastAsia="Times New Roman"/>
                <w:szCs w:val="14"/>
              </w:rPr>
              <w:t>9.4</w:t>
            </w:r>
          </w:p>
        </w:tc>
        <w:tc>
          <w:tcPr>
            <w:tcW w:w="598" w:type="dxa"/>
            <w:hideMark/>
          </w:tcPr>
          <w:p w:rsidR="00CE42B1" w:rsidRPr="005B0796" w:rsidRDefault="00CE42B1" w:rsidP="00986BE4">
            <w:pPr>
              <w:pStyle w:val="TableText"/>
              <w:jc w:val="right"/>
              <w:rPr>
                <w:szCs w:val="14"/>
              </w:rPr>
            </w:pPr>
            <w:r w:rsidRPr="005B0796">
              <w:rPr>
                <w:rFonts w:eastAsia="Times New Roman"/>
                <w:szCs w:val="14"/>
              </w:rPr>
              <w:t>6.9, 12.6</w:t>
            </w:r>
          </w:p>
        </w:tc>
        <w:tc>
          <w:tcPr>
            <w:tcW w:w="598" w:type="dxa"/>
            <w:hideMark/>
          </w:tcPr>
          <w:p w:rsidR="00CE42B1" w:rsidRPr="005B0796" w:rsidRDefault="00CE42B1" w:rsidP="00986BE4">
            <w:pPr>
              <w:pStyle w:val="TableText"/>
              <w:jc w:val="right"/>
              <w:rPr>
                <w:szCs w:val="14"/>
              </w:rPr>
            </w:pPr>
            <w:r w:rsidRPr="005B0796">
              <w:rPr>
                <w:rFonts w:eastAsia="Times New Roman"/>
                <w:szCs w:val="14"/>
              </w:rPr>
              <w:t>1067</w:t>
            </w:r>
          </w:p>
        </w:tc>
        <w:tc>
          <w:tcPr>
            <w:tcW w:w="599" w:type="dxa"/>
            <w:hideMark/>
          </w:tcPr>
          <w:p w:rsidR="00CE42B1" w:rsidRPr="005B0796" w:rsidRDefault="00CE42B1" w:rsidP="00986BE4">
            <w:pPr>
              <w:pStyle w:val="TableText"/>
              <w:jc w:val="right"/>
              <w:rPr>
                <w:szCs w:val="14"/>
              </w:rPr>
            </w:pPr>
            <w:r w:rsidRPr="005B0796">
              <w:rPr>
                <w:rFonts w:eastAsia="Times New Roman"/>
                <w:szCs w:val="14"/>
              </w:rPr>
              <w:t>21.9</w:t>
            </w:r>
          </w:p>
        </w:tc>
        <w:tc>
          <w:tcPr>
            <w:tcW w:w="598" w:type="dxa"/>
            <w:hideMark/>
          </w:tcPr>
          <w:p w:rsidR="00CE42B1" w:rsidRPr="005B0796" w:rsidRDefault="00CE42B1" w:rsidP="00986BE4">
            <w:pPr>
              <w:pStyle w:val="TableText"/>
              <w:jc w:val="right"/>
              <w:rPr>
                <w:szCs w:val="14"/>
              </w:rPr>
            </w:pPr>
            <w:r w:rsidRPr="005B0796">
              <w:rPr>
                <w:rFonts w:eastAsia="Times New Roman"/>
                <w:szCs w:val="14"/>
              </w:rPr>
              <w:t>18.8, 25.4</w:t>
            </w:r>
          </w:p>
        </w:tc>
        <w:tc>
          <w:tcPr>
            <w:tcW w:w="598" w:type="dxa"/>
            <w:hideMark/>
          </w:tcPr>
          <w:p w:rsidR="00CE42B1" w:rsidRPr="005B0796" w:rsidRDefault="00CE42B1" w:rsidP="00986BE4">
            <w:pPr>
              <w:pStyle w:val="TableText"/>
              <w:jc w:val="right"/>
              <w:rPr>
                <w:szCs w:val="14"/>
              </w:rPr>
            </w:pPr>
            <w:r w:rsidRPr="005B0796">
              <w:rPr>
                <w:rFonts w:eastAsia="Times New Roman"/>
                <w:szCs w:val="14"/>
              </w:rPr>
              <w:t>1047</w:t>
            </w:r>
          </w:p>
        </w:tc>
        <w:tc>
          <w:tcPr>
            <w:tcW w:w="598" w:type="dxa"/>
            <w:hideMark/>
          </w:tcPr>
          <w:p w:rsidR="00CE42B1" w:rsidRPr="005B0796" w:rsidRDefault="00CE42B1" w:rsidP="00986BE4">
            <w:pPr>
              <w:pStyle w:val="TableText"/>
              <w:jc w:val="right"/>
              <w:rPr>
                <w:szCs w:val="14"/>
              </w:rPr>
            </w:pPr>
            <w:r w:rsidRPr="005B0796">
              <w:rPr>
                <w:rFonts w:eastAsia="Times New Roman"/>
                <w:szCs w:val="14"/>
              </w:rPr>
              <w:t>21.2</w:t>
            </w:r>
          </w:p>
        </w:tc>
        <w:tc>
          <w:tcPr>
            <w:tcW w:w="599" w:type="dxa"/>
            <w:hideMark/>
          </w:tcPr>
          <w:p w:rsidR="00CE42B1" w:rsidRPr="005B0796" w:rsidRDefault="00CE42B1" w:rsidP="00986BE4">
            <w:pPr>
              <w:pStyle w:val="TableText"/>
              <w:jc w:val="right"/>
              <w:rPr>
                <w:szCs w:val="14"/>
              </w:rPr>
            </w:pPr>
            <w:r w:rsidRPr="005B0796">
              <w:rPr>
                <w:rFonts w:eastAsia="Times New Roman"/>
                <w:szCs w:val="14"/>
              </w:rPr>
              <w:t>17.9, 24.8</w:t>
            </w:r>
          </w:p>
        </w:tc>
      </w:tr>
    </w:tbl>
    <w:p w:rsidR="0032007D" w:rsidRPr="005B0796" w:rsidRDefault="0032007D" w:rsidP="0032007D">
      <w:pPr>
        <w:pStyle w:val="TableText"/>
      </w:pPr>
    </w:p>
    <w:tbl>
      <w:tblPr>
        <w:tblStyle w:val="TWRPTable"/>
        <w:tblW w:w="5000" w:type="pct"/>
        <w:tblLayout w:type="fixed"/>
        <w:tblLook w:val="04A0" w:firstRow="1" w:lastRow="0" w:firstColumn="1" w:lastColumn="0" w:noHBand="0" w:noVBand="1"/>
        <w:tblDescription w:val="Table 5.3 (cont) Estimated proportions for Transitioned ADF members in each year of transition, scoring in each of the four K10 bands for psychological distress"/>
      </w:tblPr>
      <w:tblGrid>
        <w:gridCol w:w="1386"/>
        <w:gridCol w:w="1124"/>
        <w:gridCol w:w="1124"/>
        <w:gridCol w:w="1124"/>
        <w:gridCol w:w="1124"/>
        <w:gridCol w:w="1126"/>
        <w:gridCol w:w="1124"/>
        <w:gridCol w:w="1124"/>
        <w:gridCol w:w="1124"/>
        <w:gridCol w:w="1126"/>
      </w:tblGrid>
      <w:tr w:rsidR="00CE42B1" w:rsidRPr="005B0796" w:rsidTr="00CE42B1">
        <w:trPr>
          <w:cnfStyle w:val="100000000000" w:firstRow="1" w:lastRow="0" w:firstColumn="0" w:lastColumn="0" w:oddVBand="0" w:evenVBand="0" w:oddHBand="0" w:evenHBand="0" w:firstRowFirstColumn="0" w:firstRowLastColumn="0" w:lastRowFirstColumn="0" w:lastRowLastColumn="0"/>
          <w:cantSplit/>
          <w:tblHeader/>
        </w:trPr>
        <w:tc>
          <w:tcPr>
            <w:tcW w:w="738" w:type="dxa"/>
            <w:vMerge w:val="restart"/>
          </w:tcPr>
          <w:p w:rsidR="00CE42B1" w:rsidRPr="005B0796" w:rsidRDefault="00CE42B1" w:rsidP="0032007D">
            <w:pPr>
              <w:pStyle w:val="TableText"/>
              <w:rPr>
                <w:szCs w:val="14"/>
              </w:rPr>
            </w:pPr>
            <w:r w:rsidRPr="005B0796">
              <w:rPr>
                <w:szCs w:val="14"/>
              </w:rPr>
              <w:t>K10 scoring bands</w:t>
            </w:r>
          </w:p>
        </w:tc>
        <w:tc>
          <w:tcPr>
            <w:tcW w:w="1794" w:type="dxa"/>
            <w:gridSpan w:val="3"/>
            <w:hideMark/>
          </w:tcPr>
          <w:p w:rsidR="00CE42B1" w:rsidRPr="005B0796" w:rsidRDefault="00CE42B1" w:rsidP="0032007D">
            <w:pPr>
              <w:pStyle w:val="TableText"/>
              <w:jc w:val="center"/>
              <w:rPr>
                <w:szCs w:val="14"/>
              </w:rPr>
            </w:pPr>
            <w:r w:rsidRPr="005B0796">
              <w:rPr>
                <w:szCs w:val="14"/>
              </w:rPr>
              <w:t>3 years</w:t>
            </w:r>
            <w:r w:rsidRPr="005B0796">
              <w:rPr>
                <w:szCs w:val="14"/>
              </w:rPr>
              <w:br/>
              <w:t>(n = 5234)</w:t>
            </w:r>
          </w:p>
        </w:tc>
        <w:tc>
          <w:tcPr>
            <w:tcW w:w="1795" w:type="dxa"/>
            <w:gridSpan w:val="3"/>
            <w:hideMark/>
          </w:tcPr>
          <w:p w:rsidR="00CE42B1" w:rsidRPr="005B0796" w:rsidRDefault="00CE42B1" w:rsidP="0032007D">
            <w:pPr>
              <w:pStyle w:val="TableText"/>
              <w:jc w:val="center"/>
              <w:rPr>
                <w:szCs w:val="14"/>
              </w:rPr>
            </w:pPr>
            <w:r w:rsidRPr="005B0796">
              <w:rPr>
                <w:szCs w:val="14"/>
              </w:rPr>
              <w:t>4 years</w:t>
            </w:r>
            <w:r w:rsidRPr="005B0796">
              <w:rPr>
                <w:szCs w:val="14"/>
              </w:rPr>
              <w:br/>
              <w:t>(n = 3582)</w:t>
            </w:r>
          </w:p>
        </w:tc>
        <w:tc>
          <w:tcPr>
            <w:tcW w:w="1795" w:type="dxa"/>
            <w:gridSpan w:val="3"/>
            <w:hideMark/>
          </w:tcPr>
          <w:p w:rsidR="00CE42B1" w:rsidRPr="005B0796" w:rsidRDefault="00CE42B1" w:rsidP="0032007D">
            <w:pPr>
              <w:pStyle w:val="TableText"/>
              <w:jc w:val="center"/>
              <w:rPr>
                <w:szCs w:val="14"/>
              </w:rPr>
            </w:pPr>
            <w:r w:rsidRPr="005B0796">
              <w:rPr>
                <w:szCs w:val="14"/>
              </w:rPr>
              <w:t>5+ years</w:t>
            </w:r>
            <w:r w:rsidRPr="005B0796">
              <w:rPr>
                <w:szCs w:val="14"/>
              </w:rPr>
              <w:br/>
              <w:t>(n = 2785)</w:t>
            </w:r>
          </w:p>
        </w:tc>
      </w:tr>
      <w:tr w:rsidR="00CE42B1" w:rsidRPr="005B0796" w:rsidTr="00CE42B1">
        <w:trPr>
          <w:cnfStyle w:val="100000000000" w:firstRow="1" w:lastRow="0" w:firstColumn="0" w:lastColumn="0" w:oddVBand="0" w:evenVBand="0" w:oddHBand="0" w:evenHBand="0" w:firstRowFirstColumn="0" w:firstRowLastColumn="0" w:lastRowFirstColumn="0" w:lastRowLastColumn="0"/>
          <w:cantSplit/>
          <w:tblHeader/>
        </w:trPr>
        <w:tc>
          <w:tcPr>
            <w:tcW w:w="738" w:type="dxa"/>
            <w:vMerge/>
            <w:hideMark/>
          </w:tcPr>
          <w:p w:rsidR="00CE42B1" w:rsidRPr="005B0796" w:rsidRDefault="00CE42B1" w:rsidP="0032007D">
            <w:pPr>
              <w:pStyle w:val="TableText"/>
              <w:rPr>
                <w:szCs w:val="14"/>
              </w:rPr>
            </w:pPr>
          </w:p>
        </w:tc>
        <w:tc>
          <w:tcPr>
            <w:tcW w:w="598" w:type="dxa"/>
            <w:hideMark/>
          </w:tcPr>
          <w:p w:rsidR="00CE42B1" w:rsidRPr="005B0796" w:rsidRDefault="00CE42B1" w:rsidP="0032007D">
            <w:pPr>
              <w:pStyle w:val="TableText"/>
              <w:jc w:val="right"/>
              <w:rPr>
                <w:szCs w:val="14"/>
              </w:rPr>
            </w:pPr>
            <w:r w:rsidRPr="005B0796">
              <w:rPr>
                <w:szCs w:val="14"/>
              </w:rPr>
              <w:t>Weighted n</w:t>
            </w:r>
          </w:p>
        </w:tc>
        <w:tc>
          <w:tcPr>
            <w:tcW w:w="598" w:type="dxa"/>
            <w:hideMark/>
          </w:tcPr>
          <w:p w:rsidR="00CE42B1" w:rsidRPr="005B0796" w:rsidRDefault="00CE42B1" w:rsidP="0032007D">
            <w:pPr>
              <w:pStyle w:val="TableText"/>
              <w:jc w:val="right"/>
              <w:rPr>
                <w:szCs w:val="14"/>
              </w:rPr>
            </w:pPr>
            <w:r w:rsidRPr="005B0796">
              <w:rPr>
                <w:szCs w:val="14"/>
              </w:rPr>
              <w:t>%</w:t>
            </w:r>
          </w:p>
        </w:tc>
        <w:tc>
          <w:tcPr>
            <w:tcW w:w="598" w:type="dxa"/>
            <w:hideMark/>
          </w:tcPr>
          <w:p w:rsidR="00CE42B1" w:rsidRPr="005B0796" w:rsidRDefault="00CE42B1" w:rsidP="0032007D">
            <w:pPr>
              <w:pStyle w:val="TableText"/>
              <w:jc w:val="right"/>
              <w:rPr>
                <w:szCs w:val="14"/>
              </w:rPr>
            </w:pPr>
            <w:r w:rsidRPr="005B0796">
              <w:rPr>
                <w:szCs w:val="14"/>
              </w:rPr>
              <w:t>95% CI</w:t>
            </w:r>
          </w:p>
        </w:tc>
        <w:tc>
          <w:tcPr>
            <w:tcW w:w="598" w:type="dxa"/>
            <w:hideMark/>
          </w:tcPr>
          <w:p w:rsidR="00CE42B1" w:rsidRPr="005B0796" w:rsidRDefault="00CE42B1" w:rsidP="0032007D">
            <w:pPr>
              <w:pStyle w:val="TableText"/>
              <w:jc w:val="right"/>
              <w:rPr>
                <w:szCs w:val="14"/>
              </w:rPr>
            </w:pPr>
            <w:r w:rsidRPr="005B0796">
              <w:rPr>
                <w:szCs w:val="14"/>
              </w:rPr>
              <w:t>Weighted n</w:t>
            </w:r>
          </w:p>
        </w:tc>
        <w:tc>
          <w:tcPr>
            <w:tcW w:w="599" w:type="dxa"/>
            <w:hideMark/>
          </w:tcPr>
          <w:p w:rsidR="00CE42B1" w:rsidRPr="005B0796" w:rsidRDefault="00CE42B1" w:rsidP="0032007D">
            <w:pPr>
              <w:pStyle w:val="TableText"/>
              <w:jc w:val="right"/>
              <w:rPr>
                <w:szCs w:val="14"/>
              </w:rPr>
            </w:pPr>
            <w:r w:rsidRPr="005B0796">
              <w:rPr>
                <w:szCs w:val="14"/>
              </w:rPr>
              <w:t>%</w:t>
            </w:r>
          </w:p>
        </w:tc>
        <w:tc>
          <w:tcPr>
            <w:tcW w:w="598" w:type="dxa"/>
            <w:hideMark/>
          </w:tcPr>
          <w:p w:rsidR="00CE42B1" w:rsidRPr="005B0796" w:rsidRDefault="00CE42B1" w:rsidP="0032007D">
            <w:pPr>
              <w:pStyle w:val="TableText"/>
              <w:jc w:val="right"/>
              <w:rPr>
                <w:szCs w:val="14"/>
              </w:rPr>
            </w:pPr>
            <w:r w:rsidRPr="005B0796">
              <w:rPr>
                <w:szCs w:val="14"/>
              </w:rPr>
              <w:t>95% CI</w:t>
            </w:r>
          </w:p>
        </w:tc>
        <w:tc>
          <w:tcPr>
            <w:tcW w:w="598" w:type="dxa"/>
            <w:hideMark/>
          </w:tcPr>
          <w:p w:rsidR="00CE42B1" w:rsidRPr="005B0796" w:rsidRDefault="00CE42B1" w:rsidP="0032007D">
            <w:pPr>
              <w:pStyle w:val="TableText"/>
              <w:jc w:val="right"/>
              <w:rPr>
                <w:szCs w:val="14"/>
              </w:rPr>
            </w:pPr>
            <w:r w:rsidRPr="005B0796">
              <w:rPr>
                <w:szCs w:val="14"/>
              </w:rPr>
              <w:t>Weighted n</w:t>
            </w:r>
          </w:p>
        </w:tc>
        <w:tc>
          <w:tcPr>
            <w:tcW w:w="598" w:type="dxa"/>
            <w:hideMark/>
          </w:tcPr>
          <w:p w:rsidR="00CE42B1" w:rsidRPr="005B0796" w:rsidRDefault="00CE42B1" w:rsidP="0032007D">
            <w:pPr>
              <w:pStyle w:val="TableText"/>
              <w:jc w:val="right"/>
              <w:rPr>
                <w:szCs w:val="14"/>
              </w:rPr>
            </w:pPr>
            <w:r w:rsidRPr="005B0796">
              <w:rPr>
                <w:szCs w:val="14"/>
              </w:rPr>
              <w:t>%</w:t>
            </w:r>
          </w:p>
        </w:tc>
        <w:tc>
          <w:tcPr>
            <w:tcW w:w="599" w:type="dxa"/>
            <w:hideMark/>
          </w:tcPr>
          <w:p w:rsidR="00CE42B1" w:rsidRPr="005B0796" w:rsidRDefault="00CE42B1" w:rsidP="0032007D">
            <w:pPr>
              <w:pStyle w:val="TableText"/>
              <w:jc w:val="right"/>
              <w:rPr>
                <w:szCs w:val="14"/>
              </w:rPr>
            </w:pPr>
            <w:r w:rsidRPr="005B0796">
              <w:rPr>
                <w:szCs w:val="14"/>
              </w:rPr>
              <w:t>95% CI</w:t>
            </w:r>
          </w:p>
        </w:tc>
      </w:tr>
      <w:tr w:rsidR="00CE42B1" w:rsidRPr="005B0796" w:rsidTr="00CE42B1">
        <w:trPr>
          <w:cnfStyle w:val="000000100000" w:firstRow="0" w:lastRow="0" w:firstColumn="0" w:lastColumn="0" w:oddVBand="0" w:evenVBand="0" w:oddHBand="1" w:evenHBand="0" w:firstRowFirstColumn="0" w:firstRowLastColumn="0" w:lastRowFirstColumn="0" w:lastRowLastColumn="0"/>
          <w:cantSplit/>
        </w:trPr>
        <w:tc>
          <w:tcPr>
            <w:tcW w:w="738" w:type="dxa"/>
            <w:hideMark/>
          </w:tcPr>
          <w:p w:rsidR="00CE42B1" w:rsidRPr="005B0796" w:rsidRDefault="00CE42B1" w:rsidP="00CE42B1">
            <w:pPr>
              <w:pStyle w:val="TableText"/>
              <w:rPr>
                <w:szCs w:val="14"/>
              </w:rPr>
            </w:pPr>
            <w:r w:rsidRPr="005B0796">
              <w:rPr>
                <w:szCs w:val="14"/>
              </w:rPr>
              <w:t>Low (10–15)</w:t>
            </w:r>
          </w:p>
        </w:tc>
        <w:tc>
          <w:tcPr>
            <w:tcW w:w="598" w:type="dxa"/>
            <w:hideMark/>
          </w:tcPr>
          <w:p w:rsidR="00CE42B1" w:rsidRPr="005B0796" w:rsidRDefault="00CE42B1" w:rsidP="0032007D">
            <w:pPr>
              <w:pStyle w:val="TableText"/>
              <w:jc w:val="right"/>
              <w:rPr>
                <w:szCs w:val="14"/>
              </w:rPr>
            </w:pPr>
            <w:r w:rsidRPr="005B0796">
              <w:rPr>
                <w:rFonts w:eastAsia="Times New Roman"/>
                <w:szCs w:val="14"/>
              </w:rPr>
              <w:t>2423</w:t>
            </w:r>
          </w:p>
        </w:tc>
        <w:tc>
          <w:tcPr>
            <w:tcW w:w="598" w:type="dxa"/>
            <w:hideMark/>
          </w:tcPr>
          <w:p w:rsidR="00CE42B1" w:rsidRPr="005B0796" w:rsidRDefault="00CE42B1" w:rsidP="0032007D">
            <w:pPr>
              <w:pStyle w:val="TableText"/>
              <w:jc w:val="right"/>
              <w:rPr>
                <w:szCs w:val="14"/>
              </w:rPr>
            </w:pPr>
            <w:r w:rsidRPr="005B0796">
              <w:rPr>
                <w:rFonts w:eastAsia="Times New Roman"/>
                <w:szCs w:val="14"/>
              </w:rPr>
              <w:t>46.3</w:t>
            </w:r>
          </w:p>
        </w:tc>
        <w:tc>
          <w:tcPr>
            <w:tcW w:w="598" w:type="dxa"/>
            <w:hideMark/>
          </w:tcPr>
          <w:p w:rsidR="00CE42B1" w:rsidRPr="005B0796" w:rsidRDefault="00CE42B1" w:rsidP="0032007D">
            <w:pPr>
              <w:pStyle w:val="TableText"/>
              <w:jc w:val="right"/>
              <w:rPr>
                <w:szCs w:val="14"/>
              </w:rPr>
            </w:pPr>
            <w:r w:rsidRPr="005B0796">
              <w:rPr>
                <w:rFonts w:eastAsia="Times New Roman"/>
                <w:szCs w:val="14"/>
              </w:rPr>
              <w:t>42.3, 50.4</w:t>
            </w:r>
          </w:p>
        </w:tc>
        <w:tc>
          <w:tcPr>
            <w:tcW w:w="598" w:type="dxa"/>
            <w:hideMark/>
          </w:tcPr>
          <w:p w:rsidR="00CE42B1" w:rsidRPr="005B0796" w:rsidRDefault="00CE42B1" w:rsidP="0032007D">
            <w:pPr>
              <w:pStyle w:val="TableText"/>
              <w:jc w:val="right"/>
              <w:rPr>
                <w:szCs w:val="14"/>
              </w:rPr>
            </w:pPr>
            <w:r w:rsidRPr="005B0796">
              <w:rPr>
                <w:rFonts w:eastAsia="Times New Roman"/>
                <w:szCs w:val="14"/>
              </w:rPr>
              <w:t>1617</w:t>
            </w:r>
          </w:p>
        </w:tc>
        <w:tc>
          <w:tcPr>
            <w:tcW w:w="599" w:type="dxa"/>
            <w:hideMark/>
          </w:tcPr>
          <w:p w:rsidR="00CE42B1" w:rsidRPr="005B0796" w:rsidRDefault="00CE42B1" w:rsidP="0032007D">
            <w:pPr>
              <w:pStyle w:val="TableText"/>
              <w:jc w:val="right"/>
              <w:rPr>
                <w:szCs w:val="14"/>
              </w:rPr>
            </w:pPr>
            <w:r w:rsidRPr="005B0796">
              <w:rPr>
                <w:rFonts w:eastAsia="Times New Roman"/>
                <w:szCs w:val="14"/>
              </w:rPr>
              <w:t>45.1</w:t>
            </w:r>
          </w:p>
        </w:tc>
        <w:tc>
          <w:tcPr>
            <w:tcW w:w="598" w:type="dxa"/>
            <w:hideMark/>
          </w:tcPr>
          <w:p w:rsidR="00CE42B1" w:rsidRPr="005B0796" w:rsidRDefault="00CE42B1" w:rsidP="0032007D">
            <w:pPr>
              <w:pStyle w:val="TableText"/>
              <w:jc w:val="right"/>
              <w:rPr>
                <w:szCs w:val="14"/>
              </w:rPr>
            </w:pPr>
            <w:r w:rsidRPr="005B0796">
              <w:rPr>
                <w:rFonts w:eastAsia="Times New Roman"/>
                <w:szCs w:val="14"/>
              </w:rPr>
              <w:t>40.6, 49.8</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1617</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45.1</w:t>
            </w:r>
          </w:p>
        </w:tc>
        <w:tc>
          <w:tcPr>
            <w:tcW w:w="599" w:type="dxa"/>
            <w:hideMark/>
          </w:tcPr>
          <w:p w:rsidR="00CE42B1" w:rsidRPr="005B0796" w:rsidRDefault="00CE42B1" w:rsidP="0032007D">
            <w:pPr>
              <w:pStyle w:val="TableText"/>
              <w:jc w:val="right"/>
              <w:rPr>
                <w:rFonts w:eastAsia="Times New Roman"/>
                <w:szCs w:val="14"/>
              </w:rPr>
            </w:pPr>
            <w:r w:rsidRPr="005B0796">
              <w:rPr>
                <w:rFonts w:eastAsia="Times New Roman"/>
                <w:szCs w:val="14"/>
              </w:rPr>
              <w:t>40.6, 49.8</w:t>
            </w:r>
          </w:p>
        </w:tc>
      </w:tr>
      <w:tr w:rsidR="00CE42B1" w:rsidRPr="005B0796" w:rsidTr="00CE42B1">
        <w:trPr>
          <w:cantSplit/>
        </w:trPr>
        <w:tc>
          <w:tcPr>
            <w:tcW w:w="738" w:type="dxa"/>
            <w:hideMark/>
          </w:tcPr>
          <w:p w:rsidR="00CE42B1" w:rsidRPr="005B0796" w:rsidRDefault="00CE42B1" w:rsidP="0032007D">
            <w:pPr>
              <w:pStyle w:val="TableText"/>
              <w:rPr>
                <w:b/>
                <w:color w:val="000000" w:themeColor="text1"/>
                <w:szCs w:val="14"/>
              </w:rPr>
            </w:pPr>
            <w:r w:rsidRPr="005B0796">
              <w:rPr>
                <w:color w:val="000000" w:themeColor="text1"/>
                <w:szCs w:val="14"/>
              </w:rPr>
              <w:t>Moderate (16</w:t>
            </w:r>
            <w:r w:rsidRPr="005B0796">
              <w:rPr>
                <w:szCs w:val="14"/>
              </w:rPr>
              <w:t>–</w:t>
            </w:r>
            <w:r w:rsidRPr="005B0796">
              <w:rPr>
                <w:color w:val="000000" w:themeColor="text1"/>
                <w:szCs w:val="14"/>
              </w:rPr>
              <w:t>21)</w:t>
            </w:r>
          </w:p>
        </w:tc>
        <w:tc>
          <w:tcPr>
            <w:tcW w:w="598" w:type="dxa"/>
            <w:hideMark/>
          </w:tcPr>
          <w:p w:rsidR="00CE42B1" w:rsidRPr="005B0796" w:rsidRDefault="00CE42B1" w:rsidP="0032007D">
            <w:pPr>
              <w:pStyle w:val="TableText"/>
              <w:jc w:val="right"/>
              <w:rPr>
                <w:szCs w:val="14"/>
              </w:rPr>
            </w:pPr>
            <w:r w:rsidRPr="005B0796">
              <w:rPr>
                <w:rFonts w:eastAsia="Times New Roman"/>
                <w:szCs w:val="14"/>
              </w:rPr>
              <w:t>796</w:t>
            </w:r>
          </w:p>
        </w:tc>
        <w:tc>
          <w:tcPr>
            <w:tcW w:w="598" w:type="dxa"/>
            <w:hideMark/>
          </w:tcPr>
          <w:p w:rsidR="00CE42B1" w:rsidRPr="005B0796" w:rsidRDefault="00CE42B1" w:rsidP="0032007D">
            <w:pPr>
              <w:pStyle w:val="TableText"/>
              <w:jc w:val="right"/>
              <w:rPr>
                <w:szCs w:val="14"/>
              </w:rPr>
            </w:pPr>
            <w:r w:rsidRPr="005B0796">
              <w:rPr>
                <w:rFonts w:eastAsia="Times New Roman"/>
                <w:szCs w:val="14"/>
              </w:rPr>
              <w:t>15.2</w:t>
            </w:r>
          </w:p>
        </w:tc>
        <w:tc>
          <w:tcPr>
            <w:tcW w:w="598" w:type="dxa"/>
            <w:hideMark/>
          </w:tcPr>
          <w:p w:rsidR="00CE42B1" w:rsidRPr="005B0796" w:rsidRDefault="00CE42B1" w:rsidP="0032007D">
            <w:pPr>
              <w:pStyle w:val="TableText"/>
              <w:jc w:val="right"/>
              <w:rPr>
                <w:szCs w:val="14"/>
              </w:rPr>
            </w:pPr>
            <w:r w:rsidRPr="005B0796">
              <w:rPr>
                <w:rFonts w:eastAsia="Times New Roman"/>
                <w:szCs w:val="14"/>
              </w:rPr>
              <w:t>12.7, 18.1</w:t>
            </w:r>
          </w:p>
        </w:tc>
        <w:tc>
          <w:tcPr>
            <w:tcW w:w="598" w:type="dxa"/>
            <w:hideMark/>
          </w:tcPr>
          <w:p w:rsidR="00CE42B1" w:rsidRPr="005B0796" w:rsidRDefault="00CE42B1" w:rsidP="0032007D">
            <w:pPr>
              <w:pStyle w:val="TableText"/>
              <w:jc w:val="right"/>
              <w:rPr>
                <w:szCs w:val="14"/>
              </w:rPr>
            </w:pPr>
            <w:r w:rsidRPr="005B0796">
              <w:rPr>
                <w:rFonts w:eastAsia="Times New Roman"/>
                <w:szCs w:val="14"/>
              </w:rPr>
              <w:t>727</w:t>
            </w:r>
          </w:p>
        </w:tc>
        <w:tc>
          <w:tcPr>
            <w:tcW w:w="599" w:type="dxa"/>
            <w:hideMark/>
          </w:tcPr>
          <w:p w:rsidR="00CE42B1" w:rsidRPr="005B0796" w:rsidRDefault="00CE42B1" w:rsidP="0032007D">
            <w:pPr>
              <w:pStyle w:val="TableText"/>
              <w:jc w:val="right"/>
              <w:rPr>
                <w:szCs w:val="14"/>
              </w:rPr>
            </w:pPr>
            <w:r w:rsidRPr="005B0796">
              <w:rPr>
                <w:rFonts w:eastAsia="Times New Roman"/>
                <w:szCs w:val="14"/>
              </w:rPr>
              <w:t>20.3</w:t>
            </w:r>
          </w:p>
        </w:tc>
        <w:tc>
          <w:tcPr>
            <w:tcW w:w="598" w:type="dxa"/>
            <w:hideMark/>
          </w:tcPr>
          <w:p w:rsidR="00CE42B1" w:rsidRPr="005B0796" w:rsidRDefault="00CE42B1" w:rsidP="0032007D">
            <w:pPr>
              <w:pStyle w:val="TableText"/>
              <w:jc w:val="right"/>
              <w:rPr>
                <w:szCs w:val="14"/>
              </w:rPr>
            </w:pPr>
            <w:r w:rsidRPr="005B0796">
              <w:rPr>
                <w:rFonts w:eastAsia="Times New Roman"/>
                <w:szCs w:val="14"/>
              </w:rPr>
              <w:t>16.8, 24.3</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727</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20.3</w:t>
            </w:r>
          </w:p>
        </w:tc>
        <w:tc>
          <w:tcPr>
            <w:tcW w:w="599" w:type="dxa"/>
            <w:hideMark/>
          </w:tcPr>
          <w:p w:rsidR="00CE42B1" w:rsidRPr="005B0796" w:rsidRDefault="00CE42B1" w:rsidP="0032007D">
            <w:pPr>
              <w:pStyle w:val="TableText"/>
              <w:jc w:val="right"/>
              <w:rPr>
                <w:rFonts w:eastAsia="Times New Roman"/>
                <w:szCs w:val="14"/>
              </w:rPr>
            </w:pPr>
            <w:r w:rsidRPr="005B0796">
              <w:rPr>
                <w:rFonts w:eastAsia="Times New Roman"/>
                <w:szCs w:val="14"/>
              </w:rPr>
              <w:t>16.8, 24.3</w:t>
            </w:r>
          </w:p>
        </w:tc>
      </w:tr>
      <w:tr w:rsidR="00CE42B1" w:rsidRPr="005B0796" w:rsidTr="00CE42B1">
        <w:trPr>
          <w:cnfStyle w:val="000000100000" w:firstRow="0" w:lastRow="0" w:firstColumn="0" w:lastColumn="0" w:oddVBand="0" w:evenVBand="0" w:oddHBand="1" w:evenHBand="0" w:firstRowFirstColumn="0" w:firstRowLastColumn="0" w:lastRowFirstColumn="0" w:lastRowLastColumn="0"/>
          <w:cantSplit/>
        </w:trPr>
        <w:tc>
          <w:tcPr>
            <w:tcW w:w="738" w:type="dxa"/>
            <w:hideMark/>
          </w:tcPr>
          <w:p w:rsidR="00CE42B1" w:rsidRPr="005B0796" w:rsidRDefault="00CE42B1" w:rsidP="00CE42B1">
            <w:pPr>
              <w:pStyle w:val="TableText"/>
              <w:rPr>
                <w:b/>
                <w:color w:val="000000" w:themeColor="text1"/>
                <w:szCs w:val="14"/>
              </w:rPr>
            </w:pPr>
            <w:r w:rsidRPr="005B0796">
              <w:rPr>
                <w:color w:val="000000" w:themeColor="text1"/>
                <w:szCs w:val="14"/>
              </w:rPr>
              <w:t>High (22</w:t>
            </w:r>
            <w:r w:rsidRPr="005B0796">
              <w:rPr>
                <w:szCs w:val="14"/>
              </w:rPr>
              <w:t>–</w:t>
            </w:r>
            <w:r w:rsidRPr="005B0796">
              <w:rPr>
                <w:color w:val="000000" w:themeColor="text1"/>
                <w:szCs w:val="14"/>
              </w:rPr>
              <w:t>29)</w:t>
            </w:r>
          </w:p>
        </w:tc>
        <w:tc>
          <w:tcPr>
            <w:tcW w:w="598" w:type="dxa"/>
            <w:hideMark/>
          </w:tcPr>
          <w:p w:rsidR="00CE42B1" w:rsidRPr="005B0796" w:rsidRDefault="00CE42B1" w:rsidP="0032007D">
            <w:pPr>
              <w:pStyle w:val="TableText"/>
              <w:jc w:val="right"/>
              <w:rPr>
                <w:szCs w:val="14"/>
              </w:rPr>
            </w:pPr>
            <w:r w:rsidRPr="005B0796">
              <w:rPr>
                <w:rFonts w:eastAsia="Times New Roman"/>
                <w:szCs w:val="14"/>
              </w:rPr>
              <w:t>857</w:t>
            </w:r>
          </w:p>
        </w:tc>
        <w:tc>
          <w:tcPr>
            <w:tcW w:w="598" w:type="dxa"/>
            <w:hideMark/>
          </w:tcPr>
          <w:p w:rsidR="00CE42B1" w:rsidRPr="005B0796" w:rsidRDefault="00CE42B1" w:rsidP="0032007D">
            <w:pPr>
              <w:pStyle w:val="TableText"/>
              <w:jc w:val="right"/>
              <w:rPr>
                <w:szCs w:val="14"/>
              </w:rPr>
            </w:pPr>
            <w:r w:rsidRPr="005B0796">
              <w:rPr>
                <w:rFonts w:eastAsia="Times New Roman"/>
                <w:szCs w:val="14"/>
              </w:rPr>
              <w:t>16.4</w:t>
            </w:r>
          </w:p>
        </w:tc>
        <w:tc>
          <w:tcPr>
            <w:tcW w:w="598" w:type="dxa"/>
            <w:hideMark/>
          </w:tcPr>
          <w:p w:rsidR="00CE42B1" w:rsidRPr="005B0796" w:rsidRDefault="00CE42B1" w:rsidP="0032007D">
            <w:pPr>
              <w:pStyle w:val="TableText"/>
              <w:jc w:val="right"/>
              <w:rPr>
                <w:szCs w:val="14"/>
              </w:rPr>
            </w:pPr>
            <w:r w:rsidRPr="005B0796">
              <w:rPr>
                <w:rFonts w:eastAsia="Times New Roman"/>
                <w:szCs w:val="14"/>
              </w:rPr>
              <w:t>13.5, 19.8</w:t>
            </w:r>
          </w:p>
        </w:tc>
        <w:tc>
          <w:tcPr>
            <w:tcW w:w="598" w:type="dxa"/>
            <w:hideMark/>
          </w:tcPr>
          <w:p w:rsidR="00CE42B1" w:rsidRPr="005B0796" w:rsidRDefault="00CE42B1" w:rsidP="0032007D">
            <w:pPr>
              <w:pStyle w:val="TableText"/>
              <w:jc w:val="right"/>
              <w:rPr>
                <w:szCs w:val="14"/>
              </w:rPr>
            </w:pPr>
            <w:r w:rsidRPr="005B0796">
              <w:rPr>
                <w:rFonts w:eastAsia="Times New Roman"/>
                <w:szCs w:val="14"/>
              </w:rPr>
              <w:t>515</w:t>
            </w:r>
          </w:p>
        </w:tc>
        <w:tc>
          <w:tcPr>
            <w:tcW w:w="599" w:type="dxa"/>
            <w:hideMark/>
          </w:tcPr>
          <w:p w:rsidR="00CE42B1" w:rsidRPr="005B0796" w:rsidRDefault="00CE42B1" w:rsidP="0032007D">
            <w:pPr>
              <w:pStyle w:val="TableText"/>
              <w:jc w:val="right"/>
              <w:rPr>
                <w:szCs w:val="14"/>
              </w:rPr>
            </w:pPr>
            <w:r w:rsidRPr="005B0796">
              <w:rPr>
                <w:rFonts w:eastAsia="Times New Roman"/>
                <w:szCs w:val="14"/>
              </w:rPr>
              <w:t>14.4</w:t>
            </w:r>
          </w:p>
        </w:tc>
        <w:tc>
          <w:tcPr>
            <w:tcW w:w="598" w:type="dxa"/>
            <w:hideMark/>
          </w:tcPr>
          <w:p w:rsidR="00CE42B1" w:rsidRPr="005B0796" w:rsidRDefault="00CE42B1" w:rsidP="0032007D">
            <w:pPr>
              <w:pStyle w:val="TableText"/>
              <w:jc w:val="right"/>
              <w:rPr>
                <w:szCs w:val="14"/>
              </w:rPr>
            </w:pPr>
            <w:r w:rsidRPr="005B0796">
              <w:rPr>
                <w:rFonts w:eastAsia="Times New Roman"/>
                <w:szCs w:val="14"/>
              </w:rPr>
              <w:t>11.4, 18.1</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515</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14.4</w:t>
            </w:r>
          </w:p>
        </w:tc>
        <w:tc>
          <w:tcPr>
            <w:tcW w:w="599" w:type="dxa"/>
            <w:hideMark/>
          </w:tcPr>
          <w:p w:rsidR="00CE42B1" w:rsidRPr="005B0796" w:rsidRDefault="00CE42B1" w:rsidP="0032007D">
            <w:pPr>
              <w:pStyle w:val="TableText"/>
              <w:jc w:val="right"/>
              <w:rPr>
                <w:rFonts w:eastAsia="Times New Roman"/>
                <w:szCs w:val="14"/>
              </w:rPr>
            </w:pPr>
            <w:r w:rsidRPr="005B0796">
              <w:rPr>
                <w:rFonts w:eastAsia="Times New Roman"/>
                <w:szCs w:val="14"/>
              </w:rPr>
              <w:t>11.4, 18.1</w:t>
            </w:r>
          </w:p>
        </w:tc>
      </w:tr>
      <w:tr w:rsidR="00CE42B1" w:rsidRPr="005B0796" w:rsidTr="00CE42B1">
        <w:trPr>
          <w:cantSplit/>
        </w:trPr>
        <w:tc>
          <w:tcPr>
            <w:tcW w:w="738" w:type="dxa"/>
            <w:hideMark/>
          </w:tcPr>
          <w:p w:rsidR="00CE42B1" w:rsidRPr="005B0796" w:rsidRDefault="00CE42B1" w:rsidP="0032007D">
            <w:pPr>
              <w:pStyle w:val="TableText"/>
              <w:rPr>
                <w:szCs w:val="14"/>
              </w:rPr>
            </w:pPr>
            <w:r w:rsidRPr="005B0796">
              <w:rPr>
                <w:szCs w:val="14"/>
              </w:rPr>
              <w:t>Very high (30–50)</w:t>
            </w:r>
          </w:p>
        </w:tc>
        <w:tc>
          <w:tcPr>
            <w:tcW w:w="598" w:type="dxa"/>
            <w:hideMark/>
          </w:tcPr>
          <w:p w:rsidR="00CE42B1" w:rsidRPr="005B0796" w:rsidRDefault="00CE42B1" w:rsidP="0032007D">
            <w:pPr>
              <w:pStyle w:val="TableText"/>
              <w:jc w:val="right"/>
              <w:rPr>
                <w:szCs w:val="14"/>
              </w:rPr>
            </w:pPr>
            <w:r w:rsidRPr="005B0796">
              <w:rPr>
                <w:rFonts w:eastAsia="Times New Roman"/>
                <w:szCs w:val="14"/>
              </w:rPr>
              <w:t>1111</w:t>
            </w:r>
          </w:p>
        </w:tc>
        <w:tc>
          <w:tcPr>
            <w:tcW w:w="598" w:type="dxa"/>
            <w:hideMark/>
          </w:tcPr>
          <w:p w:rsidR="00CE42B1" w:rsidRPr="005B0796" w:rsidRDefault="00CE42B1" w:rsidP="0032007D">
            <w:pPr>
              <w:pStyle w:val="TableText"/>
              <w:jc w:val="right"/>
              <w:rPr>
                <w:szCs w:val="14"/>
              </w:rPr>
            </w:pPr>
            <w:r w:rsidRPr="005B0796">
              <w:rPr>
                <w:rFonts w:eastAsia="Times New Roman"/>
                <w:szCs w:val="14"/>
              </w:rPr>
              <w:t>21.2</w:t>
            </w:r>
          </w:p>
        </w:tc>
        <w:tc>
          <w:tcPr>
            <w:tcW w:w="598" w:type="dxa"/>
            <w:hideMark/>
          </w:tcPr>
          <w:p w:rsidR="00CE42B1" w:rsidRPr="005B0796" w:rsidRDefault="00CE42B1" w:rsidP="0032007D">
            <w:pPr>
              <w:pStyle w:val="TableText"/>
              <w:jc w:val="right"/>
              <w:rPr>
                <w:szCs w:val="14"/>
              </w:rPr>
            </w:pPr>
            <w:r w:rsidRPr="005B0796">
              <w:rPr>
                <w:rFonts w:eastAsia="Times New Roman"/>
                <w:szCs w:val="14"/>
              </w:rPr>
              <w:t>17.9, 25.0</w:t>
            </w:r>
          </w:p>
        </w:tc>
        <w:tc>
          <w:tcPr>
            <w:tcW w:w="598" w:type="dxa"/>
            <w:hideMark/>
          </w:tcPr>
          <w:p w:rsidR="00CE42B1" w:rsidRPr="005B0796" w:rsidRDefault="00CE42B1" w:rsidP="0032007D">
            <w:pPr>
              <w:pStyle w:val="TableText"/>
              <w:jc w:val="right"/>
              <w:rPr>
                <w:szCs w:val="14"/>
              </w:rPr>
            </w:pPr>
            <w:r w:rsidRPr="005B0796">
              <w:rPr>
                <w:rFonts w:eastAsia="Times New Roman"/>
                <w:szCs w:val="14"/>
              </w:rPr>
              <w:t>663</w:t>
            </w:r>
          </w:p>
        </w:tc>
        <w:tc>
          <w:tcPr>
            <w:tcW w:w="599" w:type="dxa"/>
            <w:hideMark/>
          </w:tcPr>
          <w:p w:rsidR="00CE42B1" w:rsidRPr="005B0796" w:rsidRDefault="00CE42B1" w:rsidP="0032007D">
            <w:pPr>
              <w:pStyle w:val="TableText"/>
              <w:jc w:val="right"/>
              <w:rPr>
                <w:szCs w:val="14"/>
              </w:rPr>
            </w:pPr>
            <w:r w:rsidRPr="005B0796">
              <w:rPr>
                <w:rFonts w:eastAsia="Times New Roman"/>
                <w:szCs w:val="14"/>
              </w:rPr>
              <w:t>18.5</w:t>
            </w:r>
          </w:p>
        </w:tc>
        <w:tc>
          <w:tcPr>
            <w:tcW w:w="598" w:type="dxa"/>
            <w:hideMark/>
          </w:tcPr>
          <w:p w:rsidR="00CE42B1" w:rsidRPr="005B0796" w:rsidRDefault="00CE42B1" w:rsidP="0032007D">
            <w:pPr>
              <w:pStyle w:val="TableText"/>
              <w:jc w:val="right"/>
              <w:rPr>
                <w:szCs w:val="14"/>
              </w:rPr>
            </w:pPr>
            <w:r w:rsidRPr="005B0796">
              <w:rPr>
                <w:rFonts w:eastAsia="Times New Roman"/>
                <w:szCs w:val="14"/>
              </w:rPr>
              <w:t>15.2, 22.4</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663</w:t>
            </w:r>
          </w:p>
        </w:tc>
        <w:tc>
          <w:tcPr>
            <w:tcW w:w="598" w:type="dxa"/>
            <w:hideMark/>
          </w:tcPr>
          <w:p w:rsidR="00CE42B1" w:rsidRPr="005B0796" w:rsidRDefault="00CE42B1" w:rsidP="0032007D">
            <w:pPr>
              <w:pStyle w:val="TableText"/>
              <w:jc w:val="right"/>
              <w:rPr>
                <w:rFonts w:eastAsia="Times New Roman"/>
                <w:szCs w:val="14"/>
              </w:rPr>
            </w:pPr>
            <w:r w:rsidRPr="005B0796">
              <w:rPr>
                <w:rFonts w:eastAsia="Times New Roman"/>
                <w:szCs w:val="14"/>
              </w:rPr>
              <w:t>18.5</w:t>
            </w:r>
          </w:p>
        </w:tc>
        <w:tc>
          <w:tcPr>
            <w:tcW w:w="599" w:type="dxa"/>
            <w:hideMark/>
          </w:tcPr>
          <w:p w:rsidR="00CE42B1" w:rsidRPr="005B0796" w:rsidRDefault="00CE42B1" w:rsidP="0032007D">
            <w:pPr>
              <w:pStyle w:val="TableText"/>
              <w:jc w:val="right"/>
              <w:rPr>
                <w:rFonts w:eastAsia="Times New Roman"/>
                <w:szCs w:val="14"/>
              </w:rPr>
            </w:pPr>
            <w:r w:rsidRPr="005B0796">
              <w:rPr>
                <w:rFonts w:eastAsia="Times New Roman"/>
                <w:szCs w:val="14"/>
              </w:rPr>
              <w:t>15.2, 22.4</w:t>
            </w:r>
          </w:p>
        </w:tc>
      </w:tr>
    </w:tbl>
    <w:p w:rsidR="002A5555" w:rsidRPr="005B0796" w:rsidRDefault="002A5555" w:rsidP="002A5555">
      <w:pPr>
        <w:pStyle w:val="TableNotes"/>
      </w:pPr>
      <w:r w:rsidRPr="005B0796">
        <w:t xml:space="preserve">Note: 95% CI: 95% </w:t>
      </w:r>
      <w:r w:rsidR="00564689" w:rsidRPr="005B0796">
        <w:t>confidence interval</w:t>
      </w:r>
    </w:p>
    <w:p w:rsidR="005A477D" w:rsidRPr="005B0796" w:rsidRDefault="005A477D" w:rsidP="005A477D"/>
    <w:p w:rsidR="005A477D" w:rsidRPr="005B0796" w:rsidRDefault="005A477D" w:rsidP="005A477D">
      <w:pPr>
        <w:sectPr w:rsidR="005A477D" w:rsidRPr="005B0796" w:rsidSect="00BE66A5">
          <w:headerReference w:type="even" r:id="rId176"/>
          <w:headerReference w:type="default" r:id="rId177"/>
          <w:footerReference w:type="even" r:id="rId178"/>
          <w:footerReference w:type="default" r:id="rId179"/>
          <w:pgSz w:w="14170" w:h="9979" w:orient="landscape" w:code="243"/>
          <w:pgMar w:top="1872" w:right="1440" w:bottom="1152" w:left="1440" w:header="576" w:footer="576" w:gutter="0"/>
          <w:cols w:space="708"/>
          <w:docGrid w:linePitch="360"/>
        </w:sectPr>
      </w:pPr>
    </w:p>
    <w:p w:rsidR="005A477D" w:rsidRPr="005B0796" w:rsidRDefault="00986BE4" w:rsidP="00986BE4">
      <w:pPr>
        <w:pStyle w:val="FigureName"/>
      </w:pPr>
      <w:bookmarkStart w:id="901" w:name="_Toc487014393"/>
      <w:bookmarkStart w:id="902" w:name="_Toc51190056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w:t>
      </w:r>
      <w:r w:rsidR="00D30A3C">
        <w:rPr>
          <w:noProof/>
        </w:rPr>
        <w:fldChar w:fldCharType="end"/>
      </w:r>
      <w:r w:rsidRPr="005B0796">
        <w:tab/>
        <w:t>Estimated proportions o</w:t>
      </w:r>
      <w:r w:rsidR="00EC5C6F">
        <w:t>f</w:t>
      </w:r>
      <w:r w:rsidRPr="005B0796">
        <w:t xml:space="preserve"> Transitioned ADF members in each year of transition, scoring in each of the four K10 bands for psychological distress</w:t>
      </w:r>
      <w:bookmarkEnd w:id="901"/>
      <w:bookmarkEnd w:id="902"/>
    </w:p>
    <w:tbl>
      <w:tblPr>
        <w:tblW w:w="0" w:type="auto"/>
        <w:tblLook w:val="04A0" w:firstRow="1" w:lastRow="0" w:firstColumn="1" w:lastColumn="0" w:noHBand="0" w:noVBand="1"/>
      </w:tblPr>
      <w:tblGrid>
        <w:gridCol w:w="7315"/>
      </w:tblGrid>
      <w:tr w:rsidR="005A477D" w:rsidRPr="005B0796" w:rsidTr="00986BE4">
        <w:tc>
          <w:tcPr>
            <w:tcW w:w="7315" w:type="dxa"/>
          </w:tcPr>
          <w:p w:rsidR="005A477D" w:rsidRPr="005B0796" w:rsidRDefault="005A477D" w:rsidP="00855912">
            <w:r w:rsidRPr="005B0796">
              <w:rPr>
                <w:noProof/>
                <w:lang w:eastAsia="en-AU"/>
              </w:rPr>
              <w:drawing>
                <wp:inline distT="0" distB="0" distL="0" distR="0" wp14:anchorId="5FAC5D1B" wp14:editId="727CC0B4">
                  <wp:extent cx="4572000" cy="2743200"/>
                  <wp:effectExtent l="0" t="0" r="0" b="0"/>
                  <wp:docPr id="290" name="Chart 290" descr="Figure 5.3 Estimated proportions for Transitioned ADF members in each year of transition, scoring in each of the four K10 bands for psychological distr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rsidR="005A477D" w:rsidRPr="005B0796" w:rsidRDefault="005A477D" w:rsidP="00986BE4">
      <w:pPr>
        <w:pStyle w:val="Heading2"/>
      </w:pPr>
      <w:bookmarkStart w:id="903" w:name="_Toc482021368"/>
      <w:bookmarkStart w:id="904" w:name="_Toc482024458"/>
      <w:bookmarkStart w:id="905" w:name="_Toc487011216"/>
      <w:bookmarkStart w:id="906" w:name="_Toc494449736"/>
      <w:bookmarkStart w:id="907" w:name="_Toc511900318"/>
      <w:r w:rsidRPr="005B0796">
        <w:t>Posttraumatic stress symptoms (PCL)</w:t>
      </w:r>
      <w:bookmarkEnd w:id="903"/>
      <w:bookmarkEnd w:id="904"/>
      <w:bookmarkEnd w:id="905"/>
      <w:bookmarkEnd w:id="906"/>
      <w:bookmarkEnd w:id="907"/>
    </w:p>
    <w:p w:rsidR="00986BE4" w:rsidRPr="005B0796" w:rsidRDefault="00986BE4" w:rsidP="00986BE4">
      <w:pPr>
        <w:pStyle w:val="ShadedBullet"/>
      </w:pPr>
      <w:r w:rsidRPr="005B0796">
        <w:t xml:space="preserve">An estimated 24.3% of the Transitioned ADF were in the high to very high risk category for posttraumatic stress compared to 8.7% of the 2015 Regular ADF and 6.7% of the 2010 Regular ADF. </w:t>
      </w:r>
    </w:p>
    <w:p w:rsidR="00986BE4" w:rsidRPr="005B0796" w:rsidRDefault="00986BE4" w:rsidP="00986BE4">
      <w:pPr>
        <w:pStyle w:val="ShadedBullet"/>
      </w:pPr>
      <w:r w:rsidRPr="005B0796">
        <w:t>Members of the Transitioned ADF reported significantly higher posttraumatic stress symptom total scores than members of the 2015 Regular ADF.</w:t>
      </w:r>
    </w:p>
    <w:p w:rsidR="00986BE4" w:rsidRPr="005B0796" w:rsidRDefault="00986BE4" w:rsidP="00986BE4">
      <w:pPr>
        <w:pStyle w:val="ShadedBullet"/>
      </w:pPr>
      <w:r w:rsidRPr="005B0796">
        <w:t>The 2015 Regular ADF cohort reported significantly higher posttraumatic stress symptom total scores compared to the 2010 Regular ADF cohort.</w:t>
      </w:r>
    </w:p>
    <w:p w:rsidR="00986BE4" w:rsidRPr="005B0796" w:rsidRDefault="00986BE4" w:rsidP="007B7052">
      <w:pPr>
        <w:pStyle w:val="ShadedBullet"/>
        <w:spacing w:after="120"/>
      </w:pPr>
      <w:r w:rsidRPr="005B0796">
        <w:t>In the Transitioned ADF:</w:t>
      </w:r>
    </w:p>
    <w:p w:rsidR="00986BE4" w:rsidRPr="005B0796" w:rsidRDefault="00986BE4" w:rsidP="007B7052">
      <w:pPr>
        <w:pStyle w:val="ShadedDash"/>
        <w:spacing w:after="120"/>
        <w:rPr>
          <w:bCs/>
        </w:rPr>
      </w:pPr>
      <w:r w:rsidRPr="005B0796">
        <w:tab/>
        <w:t>–</w:t>
      </w:r>
      <w:r w:rsidRPr="005B0796">
        <w:tab/>
        <w:t>Ex-Serving ADF members were significantly more likely to report posttraumatic stress symptoms than Active or Inactive Reservists.</w:t>
      </w:r>
    </w:p>
    <w:p w:rsidR="00986BE4" w:rsidRPr="005B0796" w:rsidRDefault="00986BE4" w:rsidP="007B7052">
      <w:pPr>
        <w:pStyle w:val="ShadedDash"/>
        <w:spacing w:after="120"/>
      </w:pPr>
      <w:r w:rsidRPr="005B0796">
        <w:tab/>
        <w:t>–</w:t>
      </w:r>
      <w:r w:rsidRPr="005B0796">
        <w:tab/>
        <w:t>Inactive Reservists were significantly more likely report posttraumatic stress symptoms compared to Active Reservists.</w:t>
      </w:r>
    </w:p>
    <w:p w:rsidR="00986BE4" w:rsidRPr="005B0796" w:rsidRDefault="00986BE4" w:rsidP="00986BE4">
      <w:pPr>
        <w:pStyle w:val="ShadedDash"/>
      </w:pPr>
      <w:r w:rsidRPr="005B0796">
        <w:tab/>
        <w:t>–</w:t>
      </w:r>
      <w:r w:rsidRPr="005B0796">
        <w:tab/>
        <w:t>ADF members who transitioned up to two years ago reported the lowest level of posttraumatic stress, with the greatest increase in symptoms observed at three years post-transition.</w:t>
      </w:r>
    </w:p>
    <w:p w:rsidR="00986BE4" w:rsidRPr="005B0796" w:rsidRDefault="00986BE4" w:rsidP="00986BE4">
      <w:pPr>
        <w:pStyle w:val="ShadedBoxText"/>
      </w:pPr>
      <w:r w:rsidRPr="005B0796">
        <w:rPr>
          <w:b/>
        </w:rPr>
        <w:t xml:space="preserve">Glossary: </w:t>
      </w:r>
      <w:r w:rsidRPr="005B0796">
        <w:t>refer to the Glossary of terms for definitions of key terms in this section.</w:t>
      </w:r>
    </w:p>
    <w:p w:rsidR="005A477D" w:rsidRPr="005B0796" w:rsidRDefault="005A477D" w:rsidP="00986BE4">
      <w:r w:rsidRPr="005B0796">
        <w:t xml:space="preserve">This section provides a detailed summary of the pattern of posttraumatic stress symptoms reported by members who transitioned from the Regular ADF between 2010 and 2014 (Transitioned ADF) compared to 2010 and 2015 Regular ADF members. </w:t>
      </w:r>
    </w:p>
    <w:p w:rsidR="005A477D" w:rsidRPr="005B0796" w:rsidRDefault="005A477D" w:rsidP="00986BE4">
      <w:r w:rsidRPr="005B0796">
        <w:t>The distribution of posttraumatic stress symptoms in the Transitioned ADF compared to the 2010 and 2015 Regular ADF will be reported first. Next, the distribution of posttraumatic stress symptoms in the Transitioned ADF, by the categories of transition status (Ex-Serving, Active Reservist, Inactive Reservist) and years since transition, will be presented.</w:t>
      </w:r>
    </w:p>
    <w:p w:rsidR="005A477D" w:rsidRPr="005B0796" w:rsidRDefault="005A477D" w:rsidP="00986BE4">
      <w:r w:rsidRPr="005B0796">
        <w:t xml:space="preserve">The 17 questions of the Posttraumatic Stress Disorder Checklist (PCL) are scored 1–5 and added up to give a total score from 17–85. </w:t>
      </w:r>
    </w:p>
    <w:p w:rsidR="005A477D" w:rsidRPr="005B0796" w:rsidRDefault="005A477D" w:rsidP="00986BE4">
      <w:r w:rsidRPr="005B0796">
        <w:t xml:space="preserve">Respondents were instructed to indicate how much they were bothered by each symptom in the previous month, using one of the following response options: </w:t>
      </w:r>
      <w:r w:rsidR="00462A0C" w:rsidRPr="005B0796">
        <w:t>‘</w:t>
      </w:r>
      <w:r w:rsidRPr="005B0796">
        <w:t>not at all</w:t>
      </w:r>
      <w:r w:rsidR="00462A0C" w:rsidRPr="005B0796">
        <w:t>’</w:t>
      </w:r>
      <w:r w:rsidRPr="005B0796">
        <w:t xml:space="preserve"> (1), </w:t>
      </w:r>
      <w:r w:rsidR="00462A0C" w:rsidRPr="005B0796">
        <w:t>‘</w:t>
      </w:r>
      <w:r w:rsidRPr="005B0796">
        <w:t>a little bit</w:t>
      </w:r>
      <w:r w:rsidR="00462A0C" w:rsidRPr="005B0796">
        <w:t>’</w:t>
      </w:r>
      <w:r w:rsidRPr="005B0796">
        <w:t xml:space="preserve"> (2), </w:t>
      </w:r>
      <w:r w:rsidR="00462A0C" w:rsidRPr="005B0796">
        <w:t>‘</w:t>
      </w:r>
      <w:r w:rsidRPr="005B0796">
        <w:t>moderately</w:t>
      </w:r>
      <w:r w:rsidR="00462A0C" w:rsidRPr="005B0796">
        <w:t>’</w:t>
      </w:r>
      <w:r w:rsidRPr="005B0796">
        <w:t xml:space="preserve"> (3), </w:t>
      </w:r>
      <w:r w:rsidR="00462A0C" w:rsidRPr="005B0796">
        <w:t>‘</w:t>
      </w:r>
      <w:r w:rsidRPr="005B0796">
        <w:t>quite a bit</w:t>
      </w:r>
      <w:r w:rsidR="00462A0C" w:rsidRPr="005B0796">
        <w:t>’</w:t>
      </w:r>
      <w:r w:rsidRPr="005B0796">
        <w:t xml:space="preserve"> (4), </w:t>
      </w:r>
      <w:r w:rsidR="00462A0C" w:rsidRPr="005B0796">
        <w:t>‘</w:t>
      </w:r>
      <w:r w:rsidRPr="005B0796">
        <w:t>extremely</w:t>
      </w:r>
      <w:r w:rsidR="00462A0C" w:rsidRPr="005B0796">
        <w:t>’</w:t>
      </w:r>
      <w:r w:rsidRPr="005B0796">
        <w:t xml:space="preserve"> (5). The 17–item PCL was used instead of the PCL-5 (from the </w:t>
      </w:r>
      <w:r w:rsidRPr="005B0796">
        <w:rPr>
          <w:i/>
        </w:rPr>
        <w:t>Diagnostic and Statistical Manual of Mental Disorders, Fifth Edition</w:t>
      </w:r>
      <w:r w:rsidRPr="005B0796">
        <w:t xml:space="preserve"> (PCL for DSM-5)), to allow comparisons with the 2010 Regular ADF cohort. Additional questions relating to DSM-5 PTSD were included in the survey, but will not be addressed in this section. </w:t>
      </w:r>
    </w:p>
    <w:p w:rsidR="005A477D" w:rsidRPr="005B0796" w:rsidRDefault="005A477D" w:rsidP="00986BE4">
      <w:r w:rsidRPr="005B0796">
        <w:t xml:space="preserve">To allow comparison with the broader military literature, the PCL scores were grouped into four bands: low (17–29), moderate (30–39), high (40–49) and very high (50–85). These bands represent the risk for PTSD. The ADF uses these same risk groupings in post-operational screening surveillance reports </w:t>
      </w:r>
      <w:r w:rsidRPr="005B0796">
        <w:fldChar w:fldCharType="begin"/>
      </w:r>
      <w:r w:rsidRPr="005B0796">
        <w:instrText xml:space="preserve"> ADDIN EN.CITE &lt;EndNote&gt;&lt;Cite&gt;&lt;Author&gt;Weathers&lt;/Author&gt;&lt;Year&gt;1993&lt;/Year&gt;&lt;RecNum&gt;452&lt;/RecNum&gt;&lt;DisplayText&gt;(Weathers, 1993)&lt;/DisplayText&gt;&lt;record&gt;&lt;rec-number&gt;452&lt;/rec-number&gt;&lt;foreign-keys&gt;&lt;key app="EN" db-id="arwdrezp9sdawxevtfyxtfw10exvr5exxfed" timestamp="1478238811"&gt;452&lt;/key&gt;&lt;/foreign-keys&gt;&lt;ref-type name="Conference Paper"&gt;47&lt;/ref-type&gt;&lt;contributors&gt;&lt;authors&gt;&lt;author&gt;Weathers, F. W., Litz, B. T., Herman, D. S., Huska, J. A., &amp;amp; Keane, T. M&lt;/author&gt;&lt;/authors&gt;&lt;/contributors&gt;&lt;titles&gt;&lt;title&gt;The PTSD Checklist (PCL): Reliability, validity, and diagnostic utility.&lt;/title&gt;&lt;secondary-title&gt;Paper presented at the 9th Annual Conference of the ISTSS&lt;/secondary-title&gt;&lt;/titles&gt;&lt;dates&gt;&lt;year&gt;1993&lt;/year&gt;&lt;/dates&gt;&lt;pub-location&gt;San Antonio, TX.&lt;/pub-location&gt;&lt;urls&gt;&lt;/urls&gt;&lt;/record&gt;&lt;/Cite&gt;&lt;/EndNote&gt;</w:instrText>
      </w:r>
      <w:r w:rsidRPr="005B0796">
        <w:fldChar w:fldCharType="separate"/>
      </w:r>
      <w:r w:rsidRPr="005B0796">
        <w:t>(Weathers, 1993)</w:t>
      </w:r>
      <w:r w:rsidRPr="005B0796">
        <w:fldChar w:fldCharType="end"/>
      </w:r>
      <w:r w:rsidRPr="005B0796">
        <w:t xml:space="preserve">. The groupings were also used in the 2010 MHPWS. </w:t>
      </w:r>
    </w:p>
    <w:p w:rsidR="005A477D" w:rsidRPr="005B0796" w:rsidRDefault="005A477D" w:rsidP="00986BE4">
      <w:r w:rsidRPr="005B0796">
        <w:t>Finally, the ADF</w:t>
      </w:r>
      <w:r w:rsidR="00462A0C" w:rsidRPr="005B0796">
        <w:t>’</w:t>
      </w:r>
      <w:r w:rsidRPr="005B0796">
        <w:t xml:space="preserve">s optimal screening cut-off of 29 was used. This cut-off was derived from the 2010 MHPWS, and maximises the sum of sensitivity and specificity (the proportion of those with and without PTSD who are correctly classified). The cut-off can be used to identify individuals with possible posttraumatic stress symptoms. </w:t>
      </w:r>
    </w:p>
    <w:p w:rsidR="005A477D" w:rsidRPr="005B0796" w:rsidRDefault="005A477D" w:rsidP="00986BE4">
      <w:pPr>
        <w:pStyle w:val="Heading3"/>
      </w:pPr>
      <w:bookmarkStart w:id="908" w:name="_Toc482021369"/>
      <w:bookmarkStart w:id="909" w:name="_Toc482024459"/>
      <w:bookmarkStart w:id="910" w:name="_Toc487011217"/>
      <w:bookmarkStart w:id="911" w:name="_Toc494449737"/>
      <w:bookmarkStart w:id="912" w:name="_Toc511900319"/>
      <w:r w:rsidRPr="005B0796">
        <w:t>Posttraumatic stress symptoms in Transitioned ADF members compared to the entire ADF in 2010 and 2015</w:t>
      </w:r>
      <w:bookmarkEnd w:id="908"/>
      <w:bookmarkEnd w:id="909"/>
      <w:bookmarkEnd w:id="910"/>
      <w:bookmarkEnd w:id="911"/>
      <w:bookmarkEnd w:id="912"/>
    </w:p>
    <w:p w:rsidR="005A477D" w:rsidRPr="005B0796" w:rsidRDefault="009E72D3" w:rsidP="00986BE4">
      <w:r w:rsidRPr="005B0796">
        <w:t>Table 5.4</w:t>
      </w:r>
      <w:r w:rsidR="005A477D" w:rsidRPr="005B0796">
        <w:t xml:space="preserve"> and Figure 5.4 compares posttraumatic stress symptoms as measured by the PCL scoring bands in Transitioned ADF and the 2010 and 2015 Regular ADF.</w:t>
      </w:r>
    </w:p>
    <w:p w:rsidR="005A477D" w:rsidRPr="005B0796" w:rsidRDefault="005A477D" w:rsidP="00986BE4">
      <w:r w:rsidRPr="005B0796">
        <w:t>Overall, an estimated 16.1% of the Transitioned ADF scored in the very high range for posttraumatic stress symptoms, 8.2% scored in the high range and 13.7% scored in the moderate range. The mean posttraumatic stress symptoms total score for the Transitioned ADF was 31.2 (SE 0.3) (95% CI 30.6, 31.8), with 39.9% (weighted n = 9944, 95% CI 38.1, 41.7) scoring equal to or above the ADF screening cut-off of 29.</w:t>
      </w:r>
    </w:p>
    <w:p w:rsidR="005A477D" w:rsidRPr="005B0796" w:rsidRDefault="005A477D" w:rsidP="00986BE4">
      <w:r w:rsidRPr="005B0796">
        <w:t>The Transitioned ADF reported the highest levels of posttraumatic stress, followed by the 2015 Regular ADF and the 2010 Regular ADF. Transitioned ADF members reported significantly greater levels of posttraumatic stress (mean PCL (SE 31.2) (0.3)) compared to the 2015 Regular ADF (mean PCL (SE 24.2) (0.4) (mean difference 6.3, 95% CI 5.1, 7.5, p &lt; 0.001). For this report, a statistical comparison was also made between the 2010 and 2015 Regular ADF. Using the mean PCL values from the 2010 MHPWS, the 2015 Regular ADF cohort (mean PCL (SE 24.2) (0.4)) reported significantly higher PCL total scores compared to the 2010 Regular ADF cohort (mean PCL (SE 22.7) (0.1) (mean difference 1.5, 95% CI 0.7, 2.3, p &lt; 0.001). The 2015 cohort also had proportionally fewer low scorers and more moderate scorers. However, it should be noted that this comparison does not include any estimate of covariance between the two populations.</w:t>
      </w:r>
    </w:p>
    <w:p w:rsidR="005A477D" w:rsidRPr="005B0796" w:rsidRDefault="005A477D" w:rsidP="00986BE4">
      <w:r w:rsidRPr="005B0796">
        <w:t>A further detailed analysis of the change in levels of posttraumatic stress symptoms from 2010 to 2015 will be addressed more formally in later reports.</w:t>
      </w:r>
    </w:p>
    <w:p w:rsidR="005A477D" w:rsidRPr="005B0796" w:rsidRDefault="00986BE4" w:rsidP="00986BE4">
      <w:pPr>
        <w:pStyle w:val="TableName"/>
        <w:rPr>
          <w:szCs w:val="22"/>
        </w:rPr>
      </w:pPr>
      <w:bookmarkStart w:id="913" w:name="_Ref484523464"/>
      <w:bookmarkStart w:id="914" w:name="_Toc487014305"/>
      <w:bookmarkStart w:id="915" w:name="_Toc492995608"/>
      <w:bookmarkStart w:id="916" w:name="_Toc51190045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w:t>
      </w:r>
      <w:r w:rsidR="00D30A3C">
        <w:rPr>
          <w:noProof/>
        </w:rPr>
        <w:fldChar w:fldCharType="end"/>
      </w:r>
      <w:bookmarkEnd w:id="913"/>
      <w:r w:rsidR="00EC5C6F">
        <w:tab/>
        <w:t xml:space="preserve">Estimated proportions </w:t>
      </w:r>
      <w:r w:rsidRPr="005B0796">
        <w:t>o</w:t>
      </w:r>
      <w:r w:rsidR="00EC5C6F">
        <w:t>f</w:t>
      </w:r>
      <w:r w:rsidRPr="005B0796">
        <w:t xml:space="preserve"> Transitioned ADF, and 2010 and 2015 Regular ADF members in each of the four PCL bands for posttraumatic stress</w:t>
      </w:r>
      <w:bookmarkEnd w:id="914"/>
      <w:bookmarkEnd w:id="915"/>
      <w:bookmarkEnd w:id="916"/>
    </w:p>
    <w:tbl>
      <w:tblPr>
        <w:tblStyle w:val="TWRPTable"/>
        <w:tblW w:w="5000" w:type="pct"/>
        <w:tblLayout w:type="fixed"/>
        <w:tblLook w:val="01E0" w:firstRow="1" w:lastRow="1" w:firstColumn="1" w:lastColumn="1" w:noHBand="0" w:noVBand="0"/>
        <w:tblDescription w:val="Table 5.4 Estimated proportions for Transitioned ADF, and 2010 and 2015 Regular ADF members in each of the four PCL bands for posttraumatic stress"/>
      </w:tblPr>
      <w:tblGrid>
        <w:gridCol w:w="828"/>
        <w:gridCol w:w="810"/>
        <w:gridCol w:w="540"/>
        <w:gridCol w:w="812"/>
        <w:gridCol w:w="808"/>
        <w:gridCol w:w="540"/>
        <w:gridCol w:w="814"/>
        <w:gridCol w:w="806"/>
        <w:gridCol w:w="540"/>
        <w:gridCol w:w="817"/>
      </w:tblGrid>
      <w:tr w:rsidR="00E4744F" w:rsidRPr="005B0796" w:rsidTr="00CE42B1">
        <w:trPr>
          <w:cnfStyle w:val="100000000000" w:firstRow="1" w:lastRow="0" w:firstColumn="0" w:lastColumn="0" w:oddVBand="0" w:evenVBand="0" w:oddHBand="0" w:evenHBand="0" w:firstRowFirstColumn="0" w:firstRowLastColumn="0" w:lastRowFirstColumn="0" w:lastRowLastColumn="0"/>
          <w:cantSplit/>
          <w:tblHeader/>
        </w:trPr>
        <w:tc>
          <w:tcPr>
            <w:tcW w:w="828" w:type="dxa"/>
            <w:vMerge w:val="restart"/>
          </w:tcPr>
          <w:p w:rsidR="00E4744F" w:rsidRPr="005B0796" w:rsidRDefault="00E4744F" w:rsidP="00E4744F">
            <w:pPr>
              <w:pStyle w:val="TableText"/>
              <w:rPr>
                <w:lang w:eastAsia="en-AU"/>
              </w:rPr>
            </w:pPr>
          </w:p>
        </w:tc>
        <w:tc>
          <w:tcPr>
            <w:tcW w:w="2162" w:type="dxa"/>
            <w:gridSpan w:val="3"/>
            <w:hideMark/>
          </w:tcPr>
          <w:p w:rsidR="00E4744F" w:rsidRPr="005B0796" w:rsidRDefault="00E4744F" w:rsidP="00E4744F">
            <w:pPr>
              <w:pStyle w:val="TableText"/>
              <w:jc w:val="center"/>
              <w:rPr>
                <w:lang w:eastAsia="en-AU"/>
              </w:rPr>
            </w:pPr>
            <w:r w:rsidRPr="005B0796">
              <w:rPr>
                <w:bCs/>
                <w:lang w:eastAsia="en-AU"/>
              </w:rPr>
              <w:t>Transitioned ADF</w:t>
            </w:r>
            <w:r w:rsidRPr="005B0796">
              <w:rPr>
                <w:bCs/>
                <w:lang w:eastAsia="en-AU"/>
              </w:rPr>
              <w:br/>
              <w:t>(n = 24,932)</w:t>
            </w:r>
          </w:p>
        </w:tc>
        <w:tc>
          <w:tcPr>
            <w:tcW w:w="2162" w:type="dxa"/>
            <w:gridSpan w:val="3"/>
            <w:hideMark/>
          </w:tcPr>
          <w:p w:rsidR="00E4744F" w:rsidRPr="005B0796" w:rsidRDefault="00E4744F" w:rsidP="00E4744F">
            <w:pPr>
              <w:pStyle w:val="TableText"/>
              <w:jc w:val="center"/>
              <w:rPr>
                <w:bCs/>
                <w:lang w:eastAsia="en-AU"/>
              </w:rPr>
            </w:pPr>
            <w:r w:rsidRPr="005B0796">
              <w:rPr>
                <w:bCs/>
                <w:lang w:eastAsia="en-AU"/>
              </w:rPr>
              <w:t>2015 Regular ADF</w:t>
            </w:r>
            <w:r w:rsidRPr="005B0796">
              <w:rPr>
                <w:bCs/>
                <w:lang w:eastAsia="en-AU"/>
              </w:rPr>
              <w:br/>
              <w:t>(n = 52,500)</w:t>
            </w:r>
          </w:p>
        </w:tc>
        <w:tc>
          <w:tcPr>
            <w:tcW w:w="2163" w:type="dxa"/>
            <w:gridSpan w:val="3"/>
            <w:hideMark/>
          </w:tcPr>
          <w:p w:rsidR="00E4744F" w:rsidRPr="005B0796" w:rsidRDefault="00E4744F" w:rsidP="00E4744F">
            <w:pPr>
              <w:pStyle w:val="TableText"/>
              <w:jc w:val="center"/>
              <w:rPr>
                <w:bCs/>
                <w:lang w:eastAsia="en-AU"/>
              </w:rPr>
            </w:pPr>
            <w:r w:rsidRPr="005B0796">
              <w:rPr>
                <w:bCs/>
                <w:lang w:eastAsia="en-AU"/>
              </w:rPr>
              <w:t xml:space="preserve">2010 Regular ADF </w:t>
            </w:r>
            <w:r w:rsidRPr="005B0796">
              <w:rPr>
                <w:bCs/>
                <w:lang w:eastAsia="en-AU"/>
              </w:rPr>
              <w:br/>
              <w:t>(n = 50,049)*</w:t>
            </w:r>
          </w:p>
        </w:tc>
      </w:tr>
      <w:tr w:rsidR="00E4744F" w:rsidRPr="005B0796" w:rsidTr="00CE42B1">
        <w:trPr>
          <w:cnfStyle w:val="100000000000" w:firstRow="1" w:lastRow="0" w:firstColumn="0" w:lastColumn="0" w:oddVBand="0" w:evenVBand="0" w:oddHBand="0" w:evenHBand="0" w:firstRowFirstColumn="0" w:firstRowLastColumn="0" w:lastRowFirstColumn="0" w:lastRowLastColumn="0"/>
          <w:cantSplit/>
          <w:tblHeader/>
        </w:trPr>
        <w:tc>
          <w:tcPr>
            <w:tcW w:w="828" w:type="dxa"/>
            <w:vMerge/>
          </w:tcPr>
          <w:p w:rsidR="00E4744F" w:rsidRPr="005B0796" w:rsidRDefault="00E4744F" w:rsidP="00E4744F">
            <w:pPr>
              <w:pStyle w:val="TableText"/>
              <w:rPr>
                <w:rFonts w:eastAsia="GillSans"/>
                <w:lang w:eastAsia="en-AU"/>
              </w:rPr>
            </w:pPr>
          </w:p>
        </w:tc>
        <w:tc>
          <w:tcPr>
            <w:tcW w:w="810" w:type="dxa"/>
            <w:hideMark/>
          </w:tcPr>
          <w:p w:rsidR="00E4744F" w:rsidRPr="005B0796" w:rsidRDefault="00E4744F" w:rsidP="00E4744F">
            <w:pPr>
              <w:pStyle w:val="TableText"/>
              <w:jc w:val="right"/>
              <w:rPr>
                <w:rFonts w:eastAsia="Times New Roman"/>
                <w:lang w:eastAsia="en-AU"/>
              </w:rPr>
            </w:pPr>
            <w:r w:rsidRPr="005B0796">
              <w:rPr>
                <w:lang w:eastAsia="en-AU"/>
              </w:rPr>
              <w:t>Weighted n</w:t>
            </w:r>
          </w:p>
        </w:tc>
        <w:tc>
          <w:tcPr>
            <w:tcW w:w="540" w:type="dxa"/>
            <w:hideMark/>
          </w:tcPr>
          <w:p w:rsidR="00E4744F" w:rsidRPr="005B0796" w:rsidRDefault="00E4744F" w:rsidP="00E4744F">
            <w:pPr>
              <w:pStyle w:val="TableText"/>
              <w:jc w:val="right"/>
              <w:rPr>
                <w:rFonts w:eastAsia="Times New Roman"/>
                <w:lang w:eastAsia="en-AU"/>
              </w:rPr>
            </w:pPr>
            <w:r w:rsidRPr="005B0796">
              <w:rPr>
                <w:lang w:eastAsia="en-AU"/>
              </w:rPr>
              <w:t>%</w:t>
            </w:r>
          </w:p>
        </w:tc>
        <w:tc>
          <w:tcPr>
            <w:tcW w:w="812" w:type="dxa"/>
            <w:hideMark/>
          </w:tcPr>
          <w:p w:rsidR="00E4744F" w:rsidRPr="005B0796" w:rsidRDefault="00E4744F" w:rsidP="00E4744F">
            <w:pPr>
              <w:pStyle w:val="TableText"/>
              <w:jc w:val="right"/>
              <w:rPr>
                <w:rFonts w:eastAsia="Times New Roman"/>
                <w:lang w:eastAsia="en-AU"/>
              </w:rPr>
            </w:pPr>
            <w:r w:rsidRPr="005B0796">
              <w:rPr>
                <w:lang w:eastAsia="en-AU"/>
              </w:rPr>
              <w:t>95% CI</w:t>
            </w:r>
          </w:p>
        </w:tc>
        <w:tc>
          <w:tcPr>
            <w:tcW w:w="808" w:type="dxa"/>
            <w:hideMark/>
          </w:tcPr>
          <w:p w:rsidR="00E4744F" w:rsidRPr="005B0796" w:rsidRDefault="00E4744F" w:rsidP="00E4744F">
            <w:pPr>
              <w:pStyle w:val="TableText"/>
              <w:jc w:val="right"/>
              <w:rPr>
                <w:rFonts w:eastAsia="Times New Roman"/>
                <w:lang w:eastAsia="en-AU"/>
              </w:rPr>
            </w:pPr>
            <w:r w:rsidRPr="005B0796">
              <w:rPr>
                <w:lang w:eastAsia="en-AU"/>
              </w:rPr>
              <w:t>Weighted n</w:t>
            </w:r>
          </w:p>
        </w:tc>
        <w:tc>
          <w:tcPr>
            <w:tcW w:w="540" w:type="dxa"/>
            <w:hideMark/>
          </w:tcPr>
          <w:p w:rsidR="00E4744F" w:rsidRPr="005B0796" w:rsidRDefault="00E4744F" w:rsidP="00E4744F">
            <w:pPr>
              <w:pStyle w:val="TableText"/>
              <w:jc w:val="right"/>
              <w:rPr>
                <w:rFonts w:eastAsia="Times New Roman"/>
                <w:lang w:eastAsia="en-AU"/>
              </w:rPr>
            </w:pPr>
            <w:r w:rsidRPr="005B0796">
              <w:rPr>
                <w:bCs/>
                <w:lang w:eastAsia="en-AU"/>
              </w:rPr>
              <w:t>%</w:t>
            </w:r>
          </w:p>
        </w:tc>
        <w:tc>
          <w:tcPr>
            <w:tcW w:w="814" w:type="dxa"/>
            <w:hideMark/>
          </w:tcPr>
          <w:p w:rsidR="00E4744F" w:rsidRPr="005B0796" w:rsidRDefault="00E4744F" w:rsidP="00E4744F">
            <w:pPr>
              <w:pStyle w:val="TableText"/>
              <w:jc w:val="right"/>
              <w:rPr>
                <w:rFonts w:eastAsia="Times New Roman"/>
                <w:lang w:eastAsia="en-AU"/>
              </w:rPr>
            </w:pPr>
            <w:r w:rsidRPr="005B0796">
              <w:rPr>
                <w:bCs/>
                <w:lang w:eastAsia="en-AU"/>
              </w:rPr>
              <w:t>95% CI</w:t>
            </w:r>
          </w:p>
        </w:tc>
        <w:tc>
          <w:tcPr>
            <w:tcW w:w="806" w:type="dxa"/>
            <w:hideMark/>
          </w:tcPr>
          <w:p w:rsidR="00E4744F" w:rsidRPr="005B0796" w:rsidRDefault="00E4744F" w:rsidP="00E4744F">
            <w:pPr>
              <w:pStyle w:val="TableText"/>
              <w:jc w:val="right"/>
              <w:rPr>
                <w:rFonts w:eastAsia="Times New Roman"/>
                <w:lang w:eastAsia="en-AU"/>
              </w:rPr>
            </w:pPr>
            <w:r w:rsidRPr="005B0796">
              <w:rPr>
                <w:lang w:eastAsia="en-AU"/>
              </w:rPr>
              <w:t>Weighted n</w:t>
            </w:r>
          </w:p>
        </w:tc>
        <w:tc>
          <w:tcPr>
            <w:tcW w:w="540" w:type="dxa"/>
            <w:hideMark/>
          </w:tcPr>
          <w:p w:rsidR="00E4744F" w:rsidRPr="005B0796" w:rsidRDefault="00E4744F" w:rsidP="00E4744F">
            <w:pPr>
              <w:pStyle w:val="TableText"/>
              <w:jc w:val="right"/>
              <w:rPr>
                <w:rFonts w:eastAsia="Times New Roman"/>
                <w:lang w:eastAsia="en-AU"/>
              </w:rPr>
            </w:pPr>
            <w:r w:rsidRPr="005B0796">
              <w:rPr>
                <w:bCs/>
                <w:lang w:eastAsia="en-AU"/>
              </w:rPr>
              <w:t>%</w:t>
            </w:r>
          </w:p>
        </w:tc>
        <w:tc>
          <w:tcPr>
            <w:tcW w:w="817" w:type="dxa"/>
            <w:hideMark/>
          </w:tcPr>
          <w:p w:rsidR="00E4744F" w:rsidRPr="005B0796" w:rsidRDefault="00E4744F" w:rsidP="00E4744F">
            <w:pPr>
              <w:pStyle w:val="TableText"/>
              <w:jc w:val="right"/>
              <w:rPr>
                <w:rFonts w:eastAsia="Times New Roman"/>
                <w:lang w:eastAsia="en-AU"/>
              </w:rPr>
            </w:pPr>
            <w:r w:rsidRPr="005B0796">
              <w:rPr>
                <w:bCs/>
                <w:lang w:eastAsia="en-AU"/>
              </w:rPr>
              <w:t xml:space="preserve"> 95% CI</w:t>
            </w:r>
          </w:p>
        </w:tc>
      </w:tr>
      <w:tr w:rsidR="00E4744F" w:rsidRPr="005B0796" w:rsidTr="00CE42B1">
        <w:trPr>
          <w:cnfStyle w:val="000000100000" w:firstRow="0" w:lastRow="0" w:firstColumn="0" w:lastColumn="0" w:oddVBand="0" w:evenVBand="0" w:oddHBand="1" w:evenHBand="0" w:firstRowFirstColumn="0" w:firstRowLastColumn="0" w:lastRowFirstColumn="0" w:lastRowLastColumn="0"/>
          <w:cantSplit/>
        </w:trPr>
        <w:tc>
          <w:tcPr>
            <w:tcW w:w="828" w:type="dxa"/>
            <w:hideMark/>
          </w:tcPr>
          <w:p w:rsidR="005A477D" w:rsidRPr="005B0796" w:rsidRDefault="005A477D" w:rsidP="00CE42B1">
            <w:pPr>
              <w:pStyle w:val="TableText"/>
              <w:rPr>
                <w:rFonts w:eastAsia="GillSans"/>
                <w:lang w:eastAsia="en-AU"/>
              </w:rPr>
            </w:pPr>
            <w:r w:rsidRPr="005B0796">
              <w:rPr>
                <w:lang w:eastAsia="en-AU"/>
              </w:rPr>
              <w:t>Low</w:t>
            </w:r>
            <w:r w:rsidR="00CE42B1" w:rsidRPr="005B0796">
              <w:rPr>
                <w:lang w:eastAsia="en-AU"/>
              </w:rPr>
              <w:br/>
            </w:r>
            <w:r w:rsidRPr="005B0796">
              <w:rPr>
                <w:lang w:eastAsia="en-AU"/>
              </w:rPr>
              <w:t>(17–29)</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14,879</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59.7</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57.9, 61.5</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41,432</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78.9</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75.6, 81.9</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42,363</w:t>
            </w:r>
          </w:p>
        </w:tc>
        <w:tc>
          <w:tcPr>
            <w:tcW w:w="540" w:type="dxa"/>
            <w:hideMark/>
          </w:tcPr>
          <w:p w:rsidR="005A477D" w:rsidRPr="005B0796" w:rsidRDefault="005A477D" w:rsidP="00E4744F">
            <w:pPr>
              <w:pStyle w:val="TableText"/>
              <w:jc w:val="right"/>
              <w:rPr>
                <w:lang w:eastAsia="en-AU"/>
              </w:rPr>
            </w:pPr>
            <w:r w:rsidRPr="005B0796">
              <w:rPr>
                <w:lang w:eastAsia="en-AU"/>
              </w:rPr>
              <w:t>84.6</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84.3, 85.0</w:t>
            </w:r>
          </w:p>
        </w:tc>
      </w:tr>
      <w:tr w:rsidR="00E4744F" w:rsidRPr="005B0796" w:rsidTr="00CE42B1">
        <w:trPr>
          <w:cantSplit/>
        </w:trPr>
        <w:tc>
          <w:tcPr>
            <w:tcW w:w="828" w:type="dxa"/>
            <w:hideMark/>
          </w:tcPr>
          <w:p w:rsidR="005A477D" w:rsidRPr="005B0796" w:rsidRDefault="005A477D" w:rsidP="00E4744F">
            <w:pPr>
              <w:pStyle w:val="TableText"/>
              <w:rPr>
                <w:rFonts w:eastAsia="GillSans"/>
                <w:lang w:eastAsia="en-AU"/>
              </w:rPr>
            </w:pPr>
            <w:r w:rsidRPr="005B0796">
              <w:rPr>
                <w:lang w:eastAsia="en-AU"/>
              </w:rPr>
              <w:t>Moderate (30–39)</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3426</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13.7</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12.5, 15.1</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6013</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11.5</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9.3, 14.1</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4360</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8.7</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8.4 ,9.0</w:t>
            </w:r>
          </w:p>
        </w:tc>
      </w:tr>
      <w:tr w:rsidR="00E4744F" w:rsidRPr="005B0796" w:rsidTr="00CE42B1">
        <w:trPr>
          <w:cnfStyle w:val="000000100000" w:firstRow="0" w:lastRow="0" w:firstColumn="0" w:lastColumn="0" w:oddVBand="0" w:evenVBand="0" w:oddHBand="1" w:evenHBand="0" w:firstRowFirstColumn="0" w:firstRowLastColumn="0" w:lastRowFirstColumn="0" w:lastRowLastColumn="0"/>
          <w:cantSplit/>
        </w:trPr>
        <w:tc>
          <w:tcPr>
            <w:tcW w:w="828" w:type="dxa"/>
            <w:hideMark/>
          </w:tcPr>
          <w:p w:rsidR="005A477D" w:rsidRPr="005B0796" w:rsidRDefault="005A477D" w:rsidP="00CE42B1">
            <w:pPr>
              <w:pStyle w:val="TableText"/>
              <w:rPr>
                <w:rFonts w:eastAsia="GillSans"/>
                <w:lang w:eastAsia="en-AU"/>
              </w:rPr>
            </w:pPr>
            <w:r w:rsidRPr="005B0796">
              <w:rPr>
                <w:lang w:eastAsia="en-AU"/>
              </w:rPr>
              <w:t>High</w:t>
            </w:r>
            <w:r w:rsidR="00CE42B1" w:rsidRPr="005B0796">
              <w:rPr>
                <w:lang w:eastAsia="en-AU"/>
              </w:rPr>
              <w:br/>
            </w:r>
            <w:r w:rsidRPr="005B0796">
              <w:rPr>
                <w:lang w:eastAsia="en-AU"/>
              </w:rPr>
              <w:t>(40–49)</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2032</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8.2</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7.2, 9.2</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2605</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5.0</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3.4, 7.3</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1849</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3.7</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3.5, 3.9</w:t>
            </w:r>
          </w:p>
        </w:tc>
      </w:tr>
      <w:tr w:rsidR="00E4744F" w:rsidRPr="005B0796" w:rsidTr="00CE42B1">
        <w:trPr>
          <w:cnfStyle w:val="010000000000" w:firstRow="0" w:lastRow="1" w:firstColumn="0" w:lastColumn="0" w:oddVBand="0" w:evenVBand="0" w:oddHBand="0" w:evenHBand="0" w:firstRowFirstColumn="0" w:firstRowLastColumn="0" w:lastRowFirstColumn="0" w:lastRowLastColumn="0"/>
          <w:cantSplit/>
        </w:trPr>
        <w:tc>
          <w:tcPr>
            <w:tcW w:w="828" w:type="dxa"/>
            <w:hideMark/>
          </w:tcPr>
          <w:p w:rsidR="005A477D" w:rsidRPr="005B0796" w:rsidRDefault="005A477D" w:rsidP="00E4744F">
            <w:pPr>
              <w:pStyle w:val="TableText"/>
              <w:rPr>
                <w:rFonts w:eastAsia="Times New Roman"/>
                <w:lang w:eastAsia="en-AU"/>
              </w:rPr>
            </w:pPr>
            <w:r w:rsidRPr="005B0796">
              <w:rPr>
                <w:lang w:eastAsia="en-AU"/>
              </w:rPr>
              <w:t>Very high (50–85)</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4003</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16.1</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14.8, 17.5</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1957</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3.7</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2.6, 5.4</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1477</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3.0</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2.8 ,3.1</w:t>
            </w:r>
          </w:p>
        </w:tc>
      </w:tr>
    </w:tbl>
    <w:p w:rsidR="00986BE4" w:rsidRPr="005B0796" w:rsidRDefault="00986BE4" w:rsidP="00986BE4">
      <w:pPr>
        <w:pStyle w:val="TableNotes"/>
      </w:pPr>
      <w:r w:rsidRPr="005B0796">
        <w:t>* From the 2010 ADF Mental Health Prevalence and Wellbeing Study</w:t>
      </w:r>
    </w:p>
    <w:p w:rsidR="00986BE4" w:rsidRPr="005B0796" w:rsidRDefault="00986BE4" w:rsidP="00986BE4">
      <w:pPr>
        <w:pStyle w:val="TableNotes"/>
      </w:pPr>
      <w:r w:rsidRPr="005B0796">
        <w:t xml:space="preserve">Note: 95% CI: 95% </w:t>
      </w:r>
      <w:r w:rsidR="00564689" w:rsidRPr="005B0796">
        <w:t>confidence interval</w:t>
      </w:r>
    </w:p>
    <w:p w:rsidR="005A477D" w:rsidRPr="005B0796" w:rsidRDefault="00E4744F" w:rsidP="00E4744F">
      <w:pPr>
        <w:pStyle w:val="FigureName"/>
      </w:pPr>
      <w:bookmarkStart w:id="917" w:name="_Toc487014394"/>
      <w:bookmarkStart w:id="918" w:name="_Toc51190056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4</w:t>
      </w:r>
      <w:r w:rsidR="00D30A3C">
        <w:rPr>
          <w:noProof/>
        </w:rPr>
        <w:fldChar w:fldCharType="end"/>
      </w:r>
      <w:r w:rsidR="00EC5C6F">
        <w:tab/>
        <w:t xml:space="preserve">Estimated proportions </w:t>
      </w:r>
      <w:r w:rsidRPr="005B0796">
        <w:t>o</w:t>
      </w:r>
      <w:r w:rsidR="00EC5C6F">
        <w:t>f</w:t>
      </w:r>
      <w:r w:rsidRPr="005B0796">
        <w:t xml:space="preserve"> Transitioned ADF, and 2010 and 2015 Regular ADF members in each of the four PCL scoring bands for posttraumatic stress</w:t>
      </w:r>
      <w:bookmarkEnd w:id="917"/>
      <w:bookmarkEnd w:id="918"/>
    </w:p>
    <w:tbl>
      <w:tblPr>
        <w:tblW w:w="0" w:type="auto"/>
        <w:tblLook w:val="04A0" w:firstRow="1" w:lastRow="0" w:firstColumn="1" w:lastColumn="0" w:noHBand="0" w:noVBand="1"/>
      </w:tblPr>
      <w:tblGrid>
        <w:gridCol w:w="7315"/>
      </w:tblGrid>
      <w:tr w:rsidR="005A477D" w:rsidRPr="005B0796" w:rsidTr="00E4744F">
        <w:tc>
          <w:tcPr>
            <w:tcW w:w="7315" w:type="dxa"/>
          </w:tcPr>
          <w:p w:rsidR="005A477D" w:rsidRPr="005B0796" w:rsidRDefault="005A477D" w:rsidP="00855912">
            <w:r w:rsidRPr="005B0796">
              <w:rPr>
                <w:noProof/>
                <w:lang w:eastAsia="en-AU"/>
              </w:rPr>
              <w:drawing>
                <wp:inline distT="0" distB="0" distL="0" distR="0" wp14:anchorId="36F9A8CF" wp14:editId="22CDEAF0">
                  <wp:extent cx="4572000" cy="2743200"/>
                  <wp:effectExtent l="0" t="0" r="0" b="0"/>
                  <wp:docPr id="291" name="Chart 291" descr="Figure 5.4 Estimated proportions for Transitioned ADF, and 2010 and 2015 Regular ADF members in each of the four PCL scoring bands for posttraumatic str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bl>
    <w:p w:rsidR="005A477D" w:rsidRPr="005B0796" w:rsidRDefault="005A477D" w:rsidP="00E4744F">
      <w:pPr>
        <w:pStyle w:val="Heading3"/>
      </w:pPr>
      <w:bookmarkStart w:id="919" w:name="_Toc482021370"/>
      <w:bookmarkStart w:id="920" w:name="_Toc482024460"/>
      <w:bookmarkStart w:id="921" w:name="_Toc487011218"/>
      <w:bookmarkStart w:id="922" w:name="_Toc494449738"/>
      <w:bookmarkStart w:id="923" w:name="_Toc511900320"/>
      <w:r w:rsidRPr="005B0796">
        <w:t>Posttraumatic symptoms in different transition population subgroups</w:t>
      </w:r>
      <w:bookmarkEnd w:id="919"/>
      <w:bookmarkEnd w:id="920"/>
      <w:bookmarkEnd w:id="921"/>
      <w:bookmarkEnd w:id="922"/>
      <w:bookmarkEnd w:id="923"/>
    </w:p>
    <w:p w:rsidR="005A477D" w:rsidRPr="005B0796" w:rsidRDefault="005A477D" w:rsidP="00E4744F">
      <w:pPr>
        <w:pStyle w:val="Heading4"/>
      </w:pPr>
      <w:r w:rsidRPr="005B0796">
        <w:t>Posttraumatic symptoms in Transitioned ADF</w:t>
      </w:r>
      <w:r w:rsidR="00EC5C6F">
        <w:t>,</w:t>
      </w:r>
      <w:r w:rsidRPr="005B0796">
        <w:t xml:space="preserve"> by transition status</w:t>
      </w:r>
    </w:p>
    <w:p w:rsidR="005A477D" w:rsidRPr="005B0796" w:rsidRDefault="009E72D3" w:rsidP="00E4744F">
      <w:r w:rsidRPr="005B0796">
        <w:t>Table 5.5</w:t>
      </w:r>
      <w:r w:rsidR="005A477D" w:rsidRPr="005B0796">
        <w:t xml:space="preserve"> compares the PCL scoring bands in Ex-Serving, Inactive Reservists and Active Reservists who transitioned from the Regular ADF between 2010 and 2014.</w:t>
      </w:r>
    </w:p>
    <w:p w:rsidR="005A477D" w:rsidRPr="005B0796" w:rsidRDefault="005A477D" w:rsidP="00E4744F">
      <w:r w:rsidRPr="005B0796">
        <w:t>A comparison of Transitioned Ex-Serving and Reservists showed Ex-Serving ADF members are significantly more likely to score equal to or above the PCL screening cut-off of 29 (not shown) than ADF members who were Inactive Reservists (OR 2.1, 95% CI 1.7, 2.6) or Active Reservists (OR 2.7, 95% CI 2.2, 3.3). Inactive Reservists were significantly more likely to score equal to or above the screening cut-off of 29 for posttraumatic stress compared to Active Reserv</w:t>
      </w:r>
      <w:r w:rsidR="00E4744F" w:rsidRPr="005B0796">
        <w:t>ists (OR 1.3, 95% CI 1.0, 1.6).</w:t>
      </w:r>
    </w:p>
    <w:p w:rsidR="00577C92" w:rsidRPr="005B0796" w:rsidRDefault="00577C92" w:rsidP="00E4744F">
      <w:pPr>
        <w:pStyle w:val="Heading4"/>
      </w:pPr>
      <w:bookmarkStart w:id="924" w:name="_Ref484523465"/>
      <w:bookmarkStart w:id="925" w:name="_Toc487014306"/>
      <w:bookmarkStart w:id="926" w:name="_Toc492995609"/>
      <w:r w:rsidRPr="005B0796">
        <w:t>Posttraumatic stress symptoms in Transitioned ADF members</w:t>
      </w:r>
      <w:r w:rsidR="00EC5C6F">
        <w:t>,</w:t>
      </w:r>
      <w:r w:rsidRPr="005B0796">
        <w:t xml:space="preserve"> by years since transition</w:t>
      </w:r>
    </w:p>
    <w:p w:rsidR="00577C92" w:rsidRPr="005B0796" w:rsidRDefault="00577C92" w:rsidP="00E4744F">
      <w:r w:rsidRPr="005B0796">
        <w:t>Table 5.6 presents a comparison of the PCL scoring bands among Transitioned ADF members, by years since transition. Overall, posttraumatic stress symptoms increase with years since transition, with an average increase in PCL mean (not shown) of 0.6 per year (p &lt; 0.007). ADF members who transitioned up to two years ago reported the lowest levels of posttraumatic stress symptoms. Those who transitioned 3–5 years ago reported significantly higher levels of posttraumatic stress symptoms, with the greatest increase in symptoms observed at three years post-transition (p &lt; 0.001). Figure 5.6 clearly illustrates this, showing a smaller proportion of low scorers among those who transitioned 3–5 years ago.</w:t>
      </w:r>
    </w:p>
    <w:p w:rsidR="00E4744F" w:rsidRPr="005B0796" w:rsidRDefault="00E4744F" w:rsidP="00E4744F">
      <w:pPr>
        <w:pStyle w:val="TableName"/>
      </w:pPr>
      <w:bookmarkStart w:id="927" w:name="_Toc51190045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5</w:t>
      </w:r>
      <w:r w:rsidR="00D30A3C">
        <w:rPr>
          <w:noProof/>
        </w:rPr>
        <w:fldChar w:fldCharType="end"/>
      </w:r>
      <w:bookmarkEnd w:id="924"/>
      <w:r w:rsidRPr="005B0796">
        <w:tab/>
        <w:t>Estimated proportions o</w:t>
      </w:r>
      <w:r w:rsidR="00EC5C6F">
        <w:t>f</w:t>
      </w:r>
      <w:r w:rsidRPr="005B0796">
        <w:t xml:space="preserve"> Transitioned ADF scoring in each of the PCL bands for posttraumatic stress</w:t>
      </w:r>
      <w:r w:rsidR="00EC5C6F">
        <w:t>,</w:t>
      </w:r>
      <w:r w:rsidRPr="005B0796">
        <w:t xml:space="preserve"> by transition status</w:t>
      </w:r>
      <w:bookmarkEnd w:id="925"/>
      <w:bookmarkEnd w:id="926"/>
      <w:bookmarkEnd w:id="927"/>
    </w:p>
    <w:tbl>
      <w:tblPr>
        <w:tblStyle w:val="TWRPTable"/>
        <w:tblW w:w="5000" w:type="pct"/>
        <w:tblLayout w:type="fixed"/>
        <w:tblLook w:val="01E0" w:firstRow="1" w:lastRow="1" w:firstColumn="1" w:lastColumn="1" w:noHBand="0" w:noVBand="0"/>
        <w:tblDescription w:val="Table 5.5 Estimated proportions for Transitioned ADF scoring in each of the PCL bands for posttraumatic stress by transition status"/>
      </w:tblPr>
      <w:tblGrid>
        <w:gridCol w:w="828"/>
        <w:gridCol w:w="810"/>
        <w:gridCol w:w="540"/>
        <w:gridCol w:w="812"/>
        <w:gridCol w:w="808"/>
        <w:gridCol w:w="540"/>
        <w:gridCol w:w="814"/>
        <w:gridCol w:w="806"/>
        <w:gridCol w:w="540"/>
        <w:gridCol w:w="817"/>
      </w:tblGrid>
      <w:tr w:rsidR="00E4744F" w:rsidRPr="005B0796" w:rsidTr="00E4744F">
        <w:trPr>
          <w:cnfStyle w:val="100000000000" w:firstRow="1" w:lastRow="0" w:firstColumn="0" w:lastColumn="0" w:oddVBand="0" w:evenVBand="0" w:oddHBand="0" w:evenHBand="0" w:firstRowFirstColumn="0" w:firstRowLastColumn="0" w:lastRowFirstColumn="0" w:lastRowLastColumn="0"/>
          <w:tblHeader/>
        </w:trPr>
        <w:tc>
          <w:tcPr>
            <w:tcW w:w="828" w:type="dxa"/>
            <w:vMerge w:val="restart"/>
          </w:tcPr>
          <w:p w:rsidR="00E4744F" w:rsidRPr="005B0796" w:rsidRDefault="00E4744F" w:rsidP="00E4744F">
            <w:pPr>
              <w:pStyle w:val="TableText"/>
              <w:rPr>
                <w:lang w:eastAsia="en-AU"/>
              </w:rPr>
            </w:pPr>
          </w:p>
        </w:tc>
        <w:tc>
          <w:tcPr>
            <w:tcW w:w="2162" w:type="dxa"/>
            <w:gridSpan w:val="3"/>
          </w:tcPr>
          <w:p w:rsidR="00E4744F" w:rsidRPr="005B0796" w:rsidRDefault="00E4744F" w:rsidP="00E4744F">
            <w:pPr>
              <w:pStyle w:val="TableText"/>
              <w:jc w:val="center"/>
              <w:rPr>
                <w:bCs/>
                <w:lang w:eastAsia="en-AU"/>
              </w:rPr>
            </w:pPr>
            <w:r w:rsidRPr="005B0796">
              <w:rPr>
                <w:bCs/>
                <w:lang w:eastAsia="en-AU"/>
              </w:rPr>
              <w:t xml:space="preserve">Ex-Serving </w:t>
            </w:r>
            <w:r w:rsidRPr="005B0796">
              <w:rPr>
                <w:bCs/>
                <w:lang w:eastAsia="en-AU"/>
              </w:rPr>
              <w:br/>
              <w:t>(n = 11,440)</w:t>
            </w:r>
          </w:p>
        </w:tc>
        <w:tc>
          <w:tcPr>
            <w:tcW w:w="2162" w:type="dxa"/>
            <w:gridSpan w:val="3"/>
          </w:tcPr>
          <w:p w:rsidR="00E4744F" w:rsidRPr="005B0796" w:rsidRDefault="00E4744F" w:rsidP="00E4744F">
            <w:pPr>
              <w:pStyle w:val="TableText"/>
              <w:jc w:val="center"/>
              <w:rPr>
                <w:bCs/>
                <w:lang w:eastAsia="en-AU"/>
              </w:rPr>
            </w:pPr>
            <w:r w:rsidRPr="005B0796">
              <w:rPr>
                <w:bCs/>
                <w:lang w:eastAsia="en-AU"/>
              </w:rPr>
              <w:t xml:space="preserve">Inactive Reservist </w:t>
            </w:r>
            <w:r w:rsidRPr="005B0796">
              <w:rPr>
                <w:bCs/>
                <w:lang w:eastAsia="en-AU"/>
              </w:rPr>
              <w:br/>
              <w:t>(n = 6447)</w:t>
            </w:r>
          </w:p>
        </w:tc>
        <w:tc>
          <w:tcPr>
            <w:tcW w:w="2163" w:type="dxa"/>
            <w:gridSpan w:val="3"/>
          </w:tcPr>
          <w:p w:rsidR="00E4744F" w:rsidRPr="005B0796" w:rsidRDefault="00E4744F" w:rsidP="00E4744F">
            <w:pPr>
              <w:pStyle w:val="TableText"/>
              <w:jc w:val="center"/>
              <w:rPr>
                <w:bCs/>
                <w:lang w:eastAsia="en-AU"/>
              </w:rPr>
            </w:pPr>
            <w:r w:rsidRPr="005B0796">
              <w:rPr>
                <w:bCs/>
                <w:lang w:eastAsia="en-AU"/>
              </w:rPr>
              <w:t xml:space="preserve">Active Reservist </w:t>
            </w:r>
            <w:r w:rsidRPr="005B0796">
              <w:rPr>
                <w:bCs/>
                <w:lang w:eastAsia="en-AU"/>
              </w:rPr>
              <w:br/>
              <w:t>(n = 6968)</w:t>
            </w:r>
          </w:p>
        </w:tc>
      </w:tr>
      <w:tr w:rsidR="00E4744F" w:rsidRPr="005B0796" w:rsidTr="00577C92">
        <w:trPr>
          <w:cnfStyle w:val="100000000000" w:firstRow="1" w:lastRow="0" w:firstColumn="0" w:lastColumn="0" w:oddVBand="0" w:evenVBand="0" w:oddHBand="0" w:evenHBand="0" w:firstRowFirstColumn="0" w:firstRowLastColumn="0" w:lastRowFirstColumn="0" w:lastRowLastColumn="0"/>
          <w:tblHeader/>
        </w:trPr>
        <w:tc>
          <w:tcPr>
            <w:tcW w:w="828" w:type="dxa"/>
            <w:vMerge/>
          </w:tcPr>
          <w:p w:rsidR="00E4744F" w:rsidRPr="005B0796" w:rsidRDefault="00E4744F" w:rsidP="00E4744F">
            <w:pPr>
              <w:pStyle w:val="TableText"/>
              <w:rPr>
                <w:rFonts w:eastAsia="GillSans"/>
                <w:lang w:eastAsia="en-AU"/>
              </w:rPr>
            </w:pPr>
          </w:p>
        </w:tc>
        <w:tc>
          <w:tcPr>
            <w:tcW w:w="810" w:type="dxa"/>
            <w:hideMark/>
          </w:tcPr>
          <w:p w:rsidR="00E4744F" w:rsidRPr="005B0796" w:rsidRDefault="00E4744F" w:rsidP="00E4744F">
            <w:pPr>
              <w:pStyle w:val="TableText"/>
              <w:jc w:val="right"/>
              <w:rPr>
                <w:rFonts w:eastAsia="Times New Roman"/>
                <w:lang w:eastAsia="en-AU"/>
              </w:rPr>
            </w:pPr>
            <w:r w:rsidRPr="005B0796">
              <w:rPr>
                <w:lang w:eastAsia="en-AU"/>
              </w:rPr>
              <w:t>Weighted n</w:t>
            </w:r>
          </w:p>
        </w:tc>
        <w:tc>
          <w:tcPr>
            <w:tcW w:w="540" w:type="dxa"/>
            <w:hideMark/>
          </w:tcPr>
          <w:p w:rsidR="00E4744F" w:rsidRPr="005B0796" w:rsidRDefault="00E4744F" w:rsidP="00E4744F">
            <w:pPr>
              <w:pStyle w:val="TableText"/>
              <w:jc w:val="right"/>
              <w:rPr>
                <w:rFonts w:eastAsia="Times New Roman"/>
                <w:lang w:eastAsia="en-AU"/>
              </w:rPr>
            </w:pPr>
            <w:r w:rsidRPr="005B0796">
              <w:rPr>
                <w:lang w:eastAsia="en-AU"/>
              </w:rPr>
              <w:t>%</w:t>
            </w:r>
          </w:p>
        </w:tc>
        <w:tc>
          <w:tcPr>
            <w:tcW w:w="812" w:type="dxa"/>
            <w:hideMark/>
          </w:tcPr>
          <w:p w:rsidR="00E4744F" w:rsidRPr="005B0796" w:rsidRDefault="00E4744F" w:rsidP="00E4744F">
            <w:pPr>
              <w:pStyle w:val="TableText"/>
              <w:jc w:val="right"/>
              <w:rPr>
                <w:lang w:eastAsia="en-AU"/>
              </w:rPr>
            </w:pPr>
            <w:r w:rsidRPr="005B0796">
              <w:rPr>
                <w:lang w:eastAsia="en-AU"/>
              </w:rPr>
              <w:t xml:space="preserve"> 95% CI</w:t>
            </w:r>
          </w:p>
        </w:tc>
        <w:tc>
          <w:tcPr>
            <w:tcW w:w="808" w:type="dxa"/>
            <w:hideMark/>
          </w:tcPr>
          <w:p w:rsidR="00E4744F" w:rsidRPr="005B0796" w:rsidRDefault="00E4744F" w:rsidP="00E4744F">
            <w:pPr>
              <w:pStyle w:val="TableText"/>
              <w:jc w:val="right"/>
              <w:rPr>
                <w:lang w:eastAsia="en-AU"/>
              </w:rPr>
            </w:pPr>
            <w:r w:rsidRPr="005B0796">
              <w:rPr>
                <w:lang w:eastAsia="en-AU"/>
              </w:rPr>
              <w:t>Weighted n</w:t>
            </w:r>
          </w:p>
        </w:tc>
        <w:tc>
          <w:tcPr>
            <w:tcW w:w="540" w:type="dxa"/>
            <w:hideMark/>
          </w:tcPr>
          <w:p w:rsidR="00E4744F" w:rsidRPr="005B0796" w:rsidRDefault="00E4744F" w:rsidP="00E4744F">
            <w:pPr>
              <w:pStyle w:val="TableText"/>
              <w:jc w:val="right"/>
              <w:rPr>
                <w:lang w:eastAsia="en-AU"/>
              </w:rPr>
            </w:pPr>
            <w:r w:rsidRPr="005B0796">
              <w:rPr>
                <w:lang w:eastAsia="en-AU"/>
              </w:rPr>
              <w:t>%</w:t>
            </w:r>
          </w:p>
        </w:tc>
        <w:tc>
          <w:tcPr>
            <w:tcW w:w="814" w:type="dxa"/>
            <w:hideMark/>
          </w:tcPr>
          <w:p w:rsidR="00E4744F" w:rsidRPr="005B0796" w:rsidRDefault="00E4744F" w:rsidP="00E4744F">
            <w:pPr>
              <w:pStyle w:val="TableText"/>
              <w:jc w:val="right"/>
              <w:rPr>
                <w:lang w:eastAsia="en-AU"/>
              </w:rPr>
            </w:pPr>
            <w:r w:rsidRPr="005B0796">
              <w:rPr>
                <w:lang w:eastAsia="en-AU"/>
              </w:rPr>
              <w:t xml:space="preserve"> 95% CI</w:t>
            </w:r>
          </w:p>
        </w:tc>
        <w:tc>
          <w:tcPr>
            <w:tcW w:w="806" w:type="dxa"/>
            <w:hideMark/>
          </w:tcPr>
          <w:p w:rsidR="00E4744F" w:rsidRPr="005B0796" w:rsidRDefault="00E4744F" w:rsidP="00E4744F">
            <w:pPr>
              <w:pStyle w:val="TableText"/>
              <w:jc w:val="right"/>
              <w:rPr>
                <w:lang w:eastAsia="en-AU"/>
              </w:rPr>
            </w:pPr>
            <w:r w:rsidRPr="005B0796">
              <w:rPr>
                <w:lang w:eastAsia="en-AU"/>
              </w:rPr>
              <w:t>Weighted n</w:t>
            </w:r>
          </w:p>
        </w:tc>
        <w:tc>
          <w:tcPr>
            <w:tcW w:w="540" w:type="dxa"/>
            <w:hideMark/>
          </w:tcPr>
          <w:p w:rsidR="00E4744F" w:rsidRPr="005B0796" w:rsidRDefault="00E4744F" w:rsidP="00E4744F">
            <w:pPr>
              <w:pStyle w:val="TableText"/>
              <w:jc w:val="right"/>
              <w:rPr>
                <w:lang w:eastAsia="en-AU"/>
              </w:rPr>
            </w:pPr>
            <w:r w:rsidRPr="005B0796">
              <w:rPr>
                <w:lang w:eastAsia="en-AU"/>
              </w:rPr>
              <w:t>%</w:t>
            </w:r>
          </w:p>
        </w:tc>
        <w:tc>
          <w:tcPr>
            <w:tcW w:w="817" w:type="dxa"/>
            <w:hideMark/>
          </w:tcPr>
          <w:p w:rsidR="00E4744F" w:rsidRPr="005B0796" w:rsidRDefault="00E4744F" w:rsidP="00E4744F">
            <w:pPr>
              <w:pStyle w:val="TableText"/>
              <w:jc w:val="right"/>
              <w:rPr>
                <w:lang w:eastAsia="en-AU"/>
              </w:rPr>
            </w:pPr>
            <w:r w:rsidRPr="005B0796">
              <w:rPr>
                <w:lang w:eastAsia="en-AU"/>
              </w:rPr>
              <w:t xml:space="preserve"> 95% CI</w:t>
            </w:r>
          </w:p>
        </w:tc>
      </w:tr>
      <w:tr w:rsidR="00700D82" w:rsidRPr="005B0796" w:rsidTr="00577C92">
        <w:trPr>
          <w:cnfStyle w:val="000000100000" w:firstRow="0" w:lastRow="0" w:firstColumn="0" w:lastColumn="0" w:oddVBand="0" w:evenVBand="0" w:oddHBand="1" w:evenHBand="0" w:firstRowFirstColumn="0" w:firstRowLastColumn="0" w:lastRowFirstColumn="0" w:lastRowLastColumn="0"/>
        </w:trPr>
        <w:tc>
          <w:tcPr>
            <w:tcW w:w="828" w:type="dxa"/>
            <w:hideMark/>
          </w:tcPr>
          <w:p w:rsidR="005A477D" w:rsidRPr="005B0796" w:rsidRDefault="005A477D" w:rsidP="00E4744F">
            <w:pPr>
              <w:pStyle w:val="TableText"/>
              <w:rPr>
                <w:rFonts w:eastAsia="Times New Roman"/>
                <w:lang w:eastAsia="en-AU"/>
              </w:rPr>
            </w:pPr>
            <w:r w:rsidRPr="005B0796">
              <w:rPr>
                <w:lang w:eastAsia="en-AU"/>
              </w:rPr>
              <w:t>Low</w:t>
            </w:r>
            <w:r w:rsidR="00E4744F" w:rsidRPr="005B0796">
              <w:rPr>
                <w:lang w:eastAsia="en-AU"/>
              </w:rPr>
              <w:br/>
            </w:r>
            <w:r w:rsidRPr="005B0796">
              <w:rPr>
                <w:lang w:eastAsia="en-AU"/>
              </w:rPr>
              <w:t>(17–29)</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5451</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47.7</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44.7, 50.6</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4270</w:t>
            </w:r>
          </w:p>
        </w:tc>
        <w:tc>
          <w:tcPr>
            <w:tcW w:w="540" w:type="dxa"/>
            <w:hideMark/>
          </w:tcPr>
          <w:p w:rsidR="005A477D" w:rsidRPr="005B0796" w:rsidRDefault="005A477D" w:rsidP="00E4744F">
            <w:pPr>
              <w:pStyle w:val="TableText"/>
              <w:jc w:val="right"/>
              <w:rPr>
                <w:lang w:eastAsia="en-AU"/>
              </w:rPr>
            </w:pPr>
            <w:r w:rsidRPr="005B0796">
              <w:rPr>
                <w:lang w:eastAsia="en-AU"/>
              </w:rPr>
              <w:t>66.3</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62.7, 69.7</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5039</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72.3</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69.3, 75.1</w:t>
            </w:r>
          </w:p>
        </w:tc>
      </w:tr>
      <w:tr w:rsidR="00E4744F" w:rsidRPr="005B0796" w:rsidTr="00577C92">
        <w:tc>
          <w:tcPr>
            <w:tcW w:w="828" w:type="dxa"/>
            <w:hideMark/>
          </w:tcPr>
          <w:p w:rsidR="005A477D" w:rsidRPr="005B0796" w:rsidRDefault="005A477D" w:rsidP="00E4744F">
            <w:pPr>
              <w:pStyle w:val="TableText"/>
              <w:rPr>
                <w:rFonts w:eastAsia="GillSans"/>
                <w:lang w:eastAsia="en-AU"/>
              </w:rPr>
            </w:pPr>
            <w:r w:rsidRPr="005B0796">
              <w:rPr>
                <w:lang w:eastAsia="en-AU"/>
              </w:rPr>
              <w:t>Moderate</w:t>
            </w:r>
            <w:r w:rsidRPr="005B0796">
              <w:rPr>
                <w:lang w:eastAsia="en-AU"/>
              </w:rPr>
              <w:br/>
              <w:t>(30–39)</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1611</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14.1</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12.1, 16.3</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893</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13.9</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11.5, 16.7</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906</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13.0</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10.9, 15.5</w:t>
            </w:r>
          </w:p>
        </w:tc>
      </w:tr>
      <w:tr w:rsidR="00700D82" w:rsidRPr="005B0796" w:rsidTr="00577C92">
        <w:trPr>
          <w:cnfStyle w:val="000000100000" w:firstRow="0" w:lastRow="0" w:firstColumn="0" w:lastColumn="0" w:oddVBand="0" w:evenVBand="0" w:oddHBand="1" w:evenHBand="0" w:firstRowFirstColumn="0" w:firstRowLastColumn="0" w:lastRowFirstColumn="0" w:lastRowLastColumn="0"/>
        </w:trPr>
        <w:tc>
          <w:tcPr>
            <w:tcW w:w="828" w:type="dxa"/>
            <w:hideMark/>
          </w:tcPr>
          <w:p w:rsidR="005A477D" w:rsidRPr="005B0796" w:rsidRDefault="005A477D" w:rsidP="00E4744F">
            <w:pPr>
              <w:pStyle w:val="TableText"/>
              <w:rPr>
                <w:rFonts w:eastAsia="GillSans"/>
                <w:lang w:eastAsia="en-AU"/>
              </w:rPr>
            </w:pPr>
            <w:r w:rsidRPr="005B0796">
              <w:rPr>
                <w:lang w:eastAsia="en-AU"/>
              </w:rPr>
              <w:t>High</w:t>
            </w:r>
            <w:r w:rsidR="00E4744F" w:rsidRPr="005B0796">
              <w:rPr>
                <w:lang w:eastAsia="en-AU"/>
              </w:rPr>
              <w:br/>
            </w:r>
            <w:r w:rsidRPr="005B0796">
              <w:rPr>
                <w:lang w:eastAsia="en-AU"/>
              </w:rPr>
              <w:t>(40–49)</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1246</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10.9</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9.2, 12.8</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456</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7.1</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5.4, 9.2</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345</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4.9</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3.9, 6.4</w:t>
            </w:r>
          </w:p>
        </w:tc>
      </w:tr>
      <w:tr w:rsidR="00E4744F" w:rsidRPr="005B0796" w:rsidTr="00577C92">
        <w:trPr>
          <w:cnfStyle w:val="010000000000" w:firstRow="0" w:lastRow="1" w:firstColumn="0" w:lastColumn="0" w:oddVBand="0" w:evenVBand="0" w:oddHBand="0" w:evenHBand="0" w:firstRowFirstColumn="0" w:firstRowLastColumn="0" w:lastRowFirstColumn="0" w:lastRowLastColumn="0"/>
        </w:trPr>
        <w:tc>
          <w:tcPr>
            <w:tcW w:w="828" w:type="dxa"/>
            <w:hideMark/>
          </w:tcPr>
          <w:p w:rsidR="005A477D" w:rsidRPr="005B0796" w:rsidRDefault="005A477D" w:rsidP="00E4744F">
            <w:pPr>
              <w:pStyle w:val="TableText"/>
              <w:rPr>
                <w:rFonts w:eastAsia="Times New Roman"/>
                <w:lang w:eastAsia="en-AU"/>
              </w:rPr>
            </w:pPr>
            <w:r w:rsidRPr="005B0796">
              <w:rPr>
                <w:lang w:eastAsia="en-AU"/>
              </w:rPr>
              <w:t xml:space="preserve">Very </w:t>
            </w:r>
            <w:r w:rsidR="00E4744F" w:rsidRPr="005B0796">
              <w:rPr>
                <w:lang w:eastAsia="en-AU"/>
              </w:rPr>
              <w:t>high</w:t>
            </w:r>
            <w:r w:rsidRPr="005B0796">
              <w:rPr>
                <w:lang w:eastAsia="en-AU"/>
              </w:rPr>
              <w:br/>
              <w:t>(50–85)</w:t>
            </w:r>
          </w:p>
        </w:tc>
        <w:tc>
          <w:tcPr>
            <w:tcW w:w="810" w:type="dxa"/>
            <w:hideMark/>
          </w:tcPr>
          <w:p w:rsidR="005A477D" w:rsidRPr="005B0796" w:rsidRDefault="005A477D" w:rsidP="00E4744F">
            <w:pPr>
              <w:pStyle w:val="TableText"/>
              <w:jc w:val="right"/>
              <w:rPr>
                <w:rFonts w:eastAsia="Times New Roman"/>
                <w:lang w:eastAsia="en-AU"/>
              </w:rPr>
            </w:pPr>
            <w:r w:rsidRPr="005B0796">
              <w:rPr>
                <w:lang w:eastAsia="en-AU"/>
              </w:rPr>
              <w:t>2869</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25.1</w:t>
            </w:r>
          </w:p>
        </w:tc>
        <w:tc>
          <w:tcPr>
            <w:tcW w:w="812" w:type="dxa"/>
            <w:hideMark/>
          </w:tcPr>
          <w:p w:rsidR="005A477D" w:rsidRPr="005B0796" w:rsidRDefault="005A477D" w:rsidP="00E4744F">
            <w:pPr>
              <w:pStyle w:val="TableText"/>
              <w:jc w:val="right"/>
              <w:rPr>
                <w:rFonts w:eastAsia="Times New Roman"/>
                <w:lang w:eastAsia="en-AU"/>
              </w:rPr>
            </w:pPr>
            <w:r w:rsidRPr="005B0796">
              <w:rPr>
                <w:lang w:eastAsia="en-AU"/>
              </w:rPr>
              <w:t>22.7, 27.6</w:t>
            </w:r>
          </w:p>
        </w:tc>
        <w:tc>
          <w:tcPr>
            <w:tcW w:w="808" w:type="dxa"/>
            <w:hideMark/>
          </w:tcPr>
          <w:p w:rsidR="005A477D" w:rsidRPr="005B0796" w:rsidRDefault="005A477D" w:rsidP="00E4744F">
            <w:pPr>
              <w:pStyle w:val="TableText"/>
              <w:jc w:val="right"/>
              <w:rPr>
                <w:rFonts w:eastAsia="Times New Roman"/>
                <w:lang w:eastAsia="en-AU"/>
              </w:rPr>
            </w:pPr>
            <w:r w:rsidRPr="005B0796">
              <w:rPr>
                <w:lang w:eastAsia="en-AU"/>
              </w:rPr>
              <w:t>644</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9.9</w:t>
            </w:r>
          </w:p>
        </w:tc>
        <w:tc>
          <w:tcPr>
            <w:tcW w:w="814" w:type="dxa"/>
            <w:hideMark/>
          </w:tcPr>
          <w:p w:rsidR="005A477D" w:rsidRPr="005B0796" w:rsidRDefault="005A477D" w:rsidP="00E4744F">
            <w:pPr>
              <w:pStyle w:val="TableText"/>
              <w:jc w:val="right"/>
              <w:rPr>
                <w:rFonts w:eastAsia="Times New Roman"/>
                <w:lang w:eastAsia="en-AU"/>
              </w:rPr>
            </w:pPr>
            <w:r w:rsidRPr="005B0796">
              <w:rPr>
                <w:lang w:eastAsia="en-AU"/>
              </w:rPr>
              <w:t>7.9, 12.4</w:t>
            </w:r>
          </w:p>
        </w:tc>
        <w:tc>
          <w:tcPr>
            <w:tcW w:w="806" w:type="dxa"/>
            <w:hideMark/>
          </w:tcPr>
          <w:p w:rsidR="005A477D" w:rsidRPr="005B0796" w:rsidRDefault="005A477D" w:rsidP="00E4744F">
            <w:pPr>
              <w:pStyle w:val="TableText"/>
              <w:jc w:val="right"/>
              <w:rPr>
                <w:rFonts w:eastAsia="Times New Roman"/>
                <w:lang w:eastAsia="en-AU"/>
              </w:rPr>
            </w:pPr>
            <w:r w:rsidRPr="005B0796">
              <w:rPr>
                <w:lang w:eastAsia="en-AU"/>
              </w:rPr>
              <w:t>541</w:t>
            </w:r>
          </w:p>
        </w:tc>
        <w:tc>
          <w:tcPr>
            <w:tcW w:w="540" w:type="dxa"/>
            <w:hideMark/>
          </w:tcPr>
          <w:p w:rsidR="005A477D" w:rsidRPr="005B0796" w:rsidRDefault="005A477D" w:rsidP="00E4744F">
            <w:pPr>
              <w:pStyle w:val="TableText"/>
              <w:jc w:val="right"/>
              <w:rPr>
                <w:rFonts w:eastAsia="Times New Roman"/>
                <w:lang w:eastAsia="en-AU"/>
              </w:rPr>
            </w:pPr>
            <w:r w:rsidRPr="005B0796">
              <w:rPr>
                <w:lang w:eastAsia="en-AU"/>
              </w:rPr>
              <w:t>7.8</w:t>
            </w:r>
          </w:p>
        </w:tc>
        <w:tc>
          <w:tcPr>
            <w:tcW w:w="817" w:type="dxa"/>
            <w:hideMark/>
          </w:tcPr>
          <w:p w:rsidR="005A477D" w:rsidRPr="005B0796" w:rsidRDefault="005A477D" w:rsidP="00E4744F">
            <w:pPr>
              <w:pStyle w:val="TableText"/>
              <w:jc w:val="right"/>
              <w:rPr>
                <w:rFonts w:eastAsia="Times New Roman"/>
                <w:lang w:eastAsia="en-AU"/>
              </w:rPr>
            </w:pPr>
            <w:r w:rsidRPr="005B0796">
              <w:rPr>
                <w:lang w:eastAsia="en-AU"/>
              </w:rPr>
              <w:t>6.1, 9.8</w:t>
            </w:r>
          </w:p>
        </w:tc>
      </w:tr>
    </w:tbl>
    <w:p w:rsidR="00E4744F" w:rsidRPr="005B0796" w:rsidRDefault="00E4744F" w:rsidP="00E4744F">
      <w:pPr>
        <w:pStyle w:val="TableNotes"/>
      </w:pPr>
      <w:bookmarkStart w:id="928" w:name="_Toc487014395"/>
      <w:r w:rsidRPr="005B0796">
        <w:t xml:space="preserve">Note: 95% CI: 95% </w:t>
      </w:r>
      <w:r w:rsidR="00564689" w:rsidRPr="005B0796">
        <w:t>confidence interval</w:t>
      </w:r>
    </w:p>
    <w:p w:rsidR="00E4744F" w:rsidRPr="005B0796" w:rsidRDefault="00E4744F" w:rsidP="00E4744F">
      <w:pPr>
        <w:pStyle w:val="FigureName"/>
      </w:pPr>
      <w:bookmarkStart w:id="929" w:name="_Toc51190056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5</w:t>
      </w:r>
      <w:r w:rsidR="00D30A3C">
        <w:rPr>
          <w:noProof/>
        </w:rPr>
        <w:fldChar w:fldCharType="end"/>
      </w:r>
      <w:r w:rsidR="00EC5C6F">
        <w:tab/>
        <w:t xml:space="preserve">Estimated proportions </w:t>
      </w:r>
      <w:r w:rsidRPr="005B0796">
        <w:t>o</w:t>
      </w:r>
      <w:r w:rsidR="00EC5C6F">
        <w:t>f</w:t>
      </w:r>
      <w:r w:rsidRPr="005B0796">
        <w:t xml:space="preserve"> Transitioned ADF scoring in each of the PCL bands for posttraumatic stress</w:t>
      </w:r>
      <w:r w:rsidR="00C01061">
        <w:t>,</w:t>
      </w:r>
      <w:r w:rsidRPr="005B0796">
        <w:t xml:space="preserve"> by transition status</w:t>
      </w:r>
      <w:bookmarkEnd w:id="928"/>
      <w:bookmarkEnd w:id="929"/>
    </w:p>
    <w:tbl>
      <w:tblPr>
        <w:tblStyle w:val="TWRPTabl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15"/>
      </w:tblGrid>
      <w:tr w:rsidR="00002629" w:rsidRPr="005B0796" w:rsidTr="00002629">
        <w:trPr>
          <w:cnfStyle w:val="100000000000" w:firstRow="1" w:lastRow="0" w:firstColumn="0" w:lastColumn="0" w:oddVBand="0" w:evenVBand="0" w:oddHBand="0" w:evenHBand="0" w:firstRowFirstColumn="0" w:firstRowLastColumn="0" w:lastRowFirstColumn="0" w:lastRowLastColumn="0"/>
        </w:trPr>
        <w:tc>
          <w:tcPr>
            <w:tcW w:w="7315" w:type="dxa"/>
            <w:tcBorders>
              <w:bottom w:val="none" w:sz="0" w:space="0" w:color="auto"/>
            </w:tcBorders>
          </w:tcPr>
          <w:p w:rsidR="00002629" w:rsidRPr="005B0796" w:rsidRDefault="00002629" w:rsidP="00BE5E98">
            <w:pPr>
              <w:rPr>
                <w:noProof/>
                <w:lang w:eastAsia="en-AU"/>
              </w:rPr>
            </w:pPr>
            <w:r w:rsidRPr="005B0796">
              <w:rPr>
                <w:noProof/>
                <w:lang w:eastAsia="en-AU"/>
              </w:rPr>
              <w:drawing>
                <wp:inline distT="0" distB="0" distL="0" distR="0" wp14:anchorId="50BAB594" wp14:editId="25D4D80B">
                  <wp:extent cx="4572000" cy="2743200"/>
                  <wp:effectExtent l="0" t="0" r="0" b="0"/>
                  <wp:docPr id="292" name="Chart 292" descr="Figure 5.5 Estimated proportions for Transitioned ADF scoring in each of the PCL bands for posttraumatic stress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bl>
    <w:p w:rsidR="00497778" w:rsidRPr="005B0796" w:rsidRDefault="00497778" w:rsidP="00497778"/>
    <w:p w:rsidR="005A477D" w:rsidRPr="005B0796" w:rsidRDefault="005A477D" w:rsidP="005A477D">
      <w:pPr>
        <w:sectPr w:rsidR="005A477D" w:rsidRPr="005B0796" w:rsidSect="005A477D">
          <w:footerReference w:type="even" r:id="rId183"/>
          <w:footerReference w:type="default" r:id="rId184"/>
          <w:pgSz w:w="9979" w:h="14170" w:code="243"/>
          <w:pgMar w:top="1440" w:right="1152" w:bottom="1440" w:left="1728" w:header="576" w:footer="576" w:gutter="0"/>
          <w:cols w:space="708"/>
          <w:docGrid w:linePitch="360"/>
        </w:sectPr>
      </w:pPr>
    </w:p>
    <w:p w:rsidR="00627FEE" w:rsidRPr="005B0796" w:rsidRDefault="00627FEE" w:rsidP="00627FEE">
      <w:pPr>
        <w:pStyle w:val="TableName"/>
      </w:pPr>
      <w:bookmarkStart w:id="930" w:name="_Toc511900459"/>
      <w:bookmarkStart w:id="931" w:name="_Ref484523466"/>
      <w:bookmarkStart w:id="932" w:name="_Toc487014307"/>
      <w:bookmarkStart w:id="933" w:name="_Toc49299561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6</w:t>
      </w:r>
      <w:r w:rsidR="00D30A3C">
        <w:rPr>
          <w:noProof/>
        </w:rPr>
        <w:fldChar w:fldCharType="end"/>
      </w:r>
      <w:r w:rsidR="00C01061">
        <w:tab/>
        <w:t xml:space="preserve">Estimated proportions </w:t>
      </w:r>
      <w:r w:rsidRPr="005B0796">
        <w:t>o</w:t>
      </w:r>
      <w:r w:rsidR="00C01061">
        <w:t>f</w:t>
      </w:r>
      <w:r w:rsidRPr="005B0796">
        <w:t xml:space="preserve"> Transitioned ADF members scoring in each of the four PCL bands for posttraumatic stress</w:t>
      </w:r>
      <w:r w:rsidR="00C01061">
        <w:t>,</w:t>
      </w:r>
      <w:r w:rsidRPr="005B0796">
        <w:t xml:space="preserve"> by years since transition</w:t>
      </w:r>
      <w:bookmarkEnd w:id="930"/>
    </w:p>
    <w:bookmarkEnd w:id="931"/>
    <w:bookmarkEnd w:id="932"/>
    <w:bookmarkEnd w:id="933"/>
    <w:tbl>
      <w:tblPr>
        <w:tblStyle w:val="TWRPTable"/>
        <w:tblW w:w="5000" w:type="pct"/>
        <w:tblLayout w:type="fixed"/>
        <w:tblLook w:val="04A0" w:firstRow="1" w:lastRow="0" w:firstColumn="1" w:lastColumn="0" w:noHBand="0" w:noVBand="1"/>
        <w:tblDescription w:val="Table 5.6 Estimated proportions for Transitioned ADF members scoring in each of the four PCL bands for posttraumatic stress by years since transition"/>
      </w:tblPr>
      <w:tblGrid>
        <w:gridCol w:w="1386"/>
        <w:gridCol w:w="1124"/>
        <w:gridCol w:w="1124"/>
        <w:gridCol w:w="1124"/>
        <w:gridCol w:w="1124"/>
        <w:gridCol w:w="1126"/>
        <w:gridCol w:w="1124"/>
        <w:gridCol w:w="1124"/>
        <w:gridCol w:w="1124"/>
        <w:gridCol w:w="1126"/>
      </w:tblGrid>
      <w:tr w:rsidR="00577C92" w:rsidRPr="005B0796" w:rsidTr="00577C92">
        <w:trPr>
          <w:cnfStyle w:val="100000000000" w:firstRow="1" w:lastRow="0" w:firstColumn="0" w:lastColumn="0" w:oddVBand="0" w:evenVBand="0" w:oddHBand="0" w:evenHBand="0" w:firstRowFirstColumn="0" w:firstRowLastColumn="0" w:lastRowFirstColumn="0" w:lastRowLastColumn="0"/>
          <w:tblHeader/>
        </w:trPr>
        <w:tc>
          <w:tcPr>
            <w:tcW w:w="738" w:type="dxa"/>
            <w:vMerge w:val="restart"/>
          </w:tcPr>
          <w:p w:rsidR="00577C92" w:rsidRPr="005B0796" w:rsidRDefault="00577C92" w:rsidP="00627FEE">
            <w:pPr>
              <w:pStyle w:val="TableText"/>
            </w:pPr>
          </w:p>
        </w:tc>
        <w:tc>
          <w:tcPr>
            <w:tcW w:w="1794" w:type="dxa"/>
            <w:gridSpan w:val="3"/>
            <w:hideMark/>
          </w:tcPr>
          <w:p w:rsidR="00577C92" w:rsidRPr="005B0796" w:rsidRDefault="00577C92" w:rsidP="00627FEE">
            <w:pPr>
              <w:pStyle w:val="TableText"/>
              <w:jc w:val="center"/>
            </w:pPr>
            <w:r w:rsidRPr="005B0796">
              <w:t>0 (1–11months)</w:t>
            </w:r>
            <w:r w:rsidRPr="005B0796">
              <w:br/>
              <w:t>(n = 1945)</w:t>
            </w:r>
          </w:p>
        </w:tc>
        <w:tc>
          <w:tcPr>
            <w:tcW w:w="1795" w:type="dxa"/>
            <w:gridSpan w:val="3"/>
            <w:hideMark/>
          </w:tcPr>
          <w:p w:rsidR="00577C92" w:rsidRPr="005B0796" w:rsidRDefault="00577C92" w:rsidP="00627FEE">
            <w:pPr>
              <w:pStyle w:val="TableText"/>
              <w:jc w:val="center"/>
            </w:pPr>
            <w:r w:rsidRPr="005B0796">
              <w:t>1 year</w:t>
            </w:r>
            <w:r w:rsidRPr="005B0796">
              <w:br/>
              <w:t>(n = 4874)</w:t>
            </w:r>
          </w:p>
        </w:tc>
        <w:tc>
          <w:tcPr>
            <w:tcW w:w="1795" w:type="dxa"/>
            <w:gridSpan w:val="3"/>
            <w:hideMark/>
          </w:tcPr>
          <w:p w:rsidR="00577C92" w:rsidRPr="005B0796" w:rsidRDefault="00577C92" w:rsidP="00627FEE">
            <w:pPr>
              <w:pStyle w:val="TableText"/>
              <w:jc w:val="center"/>
            </w:pPr>
            <w:r w:rsidRPr="005B0796">
              <w:t>2 years</w:t>
            </w:r>
            <w:r w:rsidRPr="005B0796">
              <w:br/>
              <w:t>(n = 4944)</w:t>
            </w:r>
          </w:p>
        </w:tc>
      </w:tr>
      <w:tr w:rsidR="00577C92" w:rsidRPr="005B0796" w:rsidTr="00577C92">
        <w:trPr>
          <w:cnfStyle w:val="100000000000" w:firstRow="1" w:lastRow="0" w:firstColumn="0" w:lastColumn="0" w:oddVBand="0" w:evenVBand="0" w:oddHBand="0" w:evenHBand="0" w:firstRowFirstColumn="0" w:firstRowLastColumn="0" w:lastRowFirstColumn="0" w:lastRowLastColumn="0"/>
          <w:tblHeader/>
        </w:trPr>
        <w:tc>
          <w:tcPr>
            <w:tcW w:w="738" w:type="dxa"/>
            <w:vMerge/>
          </w:tcPr>
          <w:p w:rsidR="00577C92" w:rsidRPr="005B0796" w:rsidRDefault="00577C92" w:rsidP="00627FEE">
            <w:pPr>
              <w:pStyle w:val="TableText"/>
            </w:pPr>
          </w:p>
        </w:tc>
        <w:tc>
          <w:tcPr>
            <w:tcW w:w="598" w:type="dxa"/>
            <w:hideMark/>
          </w:tcPr>
          <w:p w:rsidR="00577C92" w:rsidRPr="005B0796" w:rsidRDefault="00577C92" w:rsidP="00627FEE">
            <w:pPr>
              <w:pStyle w:val="TableText"/>
              <w:jc w:val="right"/>
            </w:pPr>
            <w:r w:rsidRPr="005B0796">
              <w:t>Weighted n</w:t>
            </w:r>
          </w:p>
        </w:tc>
        <w:tc>
          <w:tcPr>
            <w:tcW w:w="598" w:type="dxa"/>
            <w:hideMark/>
          </w:tcPr>
          <w:p w:rsidR="00577C92" w:rsidRPr="005B0796" w:rsidRDefault="00577C92" w:rsidP="00627FEE">
            <w:pPr>
              <w:pStyle w:val="TableText"/>
              <w:jc w:val="right"/>
            </w:pPr>
            <w:r w:rsidRPr="005B0796">
              <w:t>%</w:t>
            </w:r>
          </w:p>
        </w:tc>
        <w:tc>
          <w:tcPr>
            <w:tcW w:w="598" w:type="dxa"/>
            <w:hideMark/>
          </w:tcPr>
          <w:p w:rsidR="00577C92" w:rsidRPr="005B0796" w:rsidRDefault="00577C92" w:rsidP="00627FEE">
            <w:pPr>
              <w:pStyle w:val="TableText"/>
              <w:jc w:val="right"/>
            </w:pPr>
            <w:r w:rsidRPr="005B0796">
              <w:t>95% CI</w:t>
            </w:r>
          </w:p>
        </w:tc>
        <w:tc>
          <w:tcPr>
            <w:tcW w:w="598" w:type="dxa"/>
            <w:hideMark/>
          </w:tcPr>
          <w:p w:rsidR="00577C92" w:rsidRPr="005B0796" w:rsidRDefault="00577C92" w:rsidP="00627FEE">
            <w:pPr>
              <w:pStyle w:val="TableText"/>
              <w:jc w:val="right"/>
            </w:pPr>
            <w:r w:rsidRPr="005B0796">
              <w:t>Weighted n</w:t>
            </w:r>
          </w:p>
        </w:tc>
        <w:tc>
          <w:tcPr>
            <w:tcW w:w="599" w:type="dxa"/>
            <w:hideMark/>
          </w:tcPr>
          <w:p w:rsidR="00577C92" w:rsidRPr="005B0796" w:rsidRDefault="00577C92" w:rsidP="00627FEE">
            <w:pPr>
              <w:pStyle w:val="TableText"/>
              <w:jc w:val="right"/>
            </w:pPr>
            <w:r w:rsidRPr="005B0796">
              <w:t>%</w:t>
            </w:r>
          </w:p>
        </w:tc>
        <w:tc>
          <w:tcPr>
            <w:tcW w:w="598" w:type="dxa"/>
            <w:hideMark/>
          </w:tcPr>
          <w:p w:rsidR="00577C92" w:rsidRPr="005B0796" w:rsidRDefault="00577C92" w:rsidP="00627FEE">
            <w:pPr>
              <w:pStyle w:val="TableText"/>
              <w:jc w:val="right"/>
            </w:pPr>
            <w:r w:rsidRPr="005B0796">
              <w:t>95% CI</w:t>
            </w:r>
          </w:p>
        </w:tc>
        <w:tc>
          <w:tcPr>
            <w:tcW w:w="598" w:type="dxa"/>
            <w:hideMark/>
          </w:tcPr>
          <w:p w:rsidR="00577C92" w:rsidRPr="005B0796" w:rsidRDefault="00577C92" w:rsidP="00627FEE">
            <w:pPr>
              <w:pStyle w:val="TableText"/>
              <w:jc w:val="right"/>
            </w:pPr>
            <w:r w:rsidRPr="005B0796">
              <w:t>Weighted n</w:t>
            </w:r>
          </w:p>
        </w:tc>
        <w:tc>
          <w:tcPr>
            <w:tcW w:w="598" w:type="dxa"/>
            <w:hideMark/>
          </w:tcPr>
          <w:p w:rsidR="00577C92" w:rsidRPr="005B0796" w:rsidRDefault="00577C92" w:rsidP="00627FEE">
            <w:pPr>
              <w:pStyle w:val="TableText"/>
              <w:jc w:val="right"/>
            </w:pPr>
            <w:r w:rsidRPr="005B0796">
              <w:t>%</w:t>
            </w:r>
          </w:p>
        </w:tc>
        <w:tc>
          <w:tcPr>
            <w:tcW w:w="599" w:type="dxa"/>
            <w:hideMark/>
          </w:tcPr>
          <w:p w:rsidR="00577C92" w:rsidRPr="005B0796" w:rsidRDefault="00577C92" w:rsidP="00627FEE">
            <w:pPr>
              <w:pStyle w:val="TableText"/>
              <w:jc w:val="right"/>
            </w:pPr>
            <w:r w:rsidRPr="005B0796">
              <w:t>95% CI</w:t>
            </w:r>
          </w:p>
        </w:tc>
      </w:tr>
      <w:tr w:rsidR="00577C92" w:rsidRPr="005B0796" w:rsidTr="00577C92">
        <w:trPr>
          <w:cnfStyle w:val="000000100000" w:firstRow="0" w:lastRow="0" w:firstColumn="0" w:lastColumn="0" w:oddVBand="0" w:evenVBand="0" w:oddHBand="1" w:evenHBand="0" w:firstRowFirstColumn="0" w:firstRowLastColumn="0" w:lastRowFirstColumn="0" w:lastRowLastColumn="0"/>
        </w:trPr>
        <w:tc>
          <w:tcPr>
            <w:tcW w:w="738" w:type="dxa"/>
            <w:hideMark/>
          </w:tcPr>
          <w:p w:rsidR="00577C92" w:rsidRPr="005B0796" w:rsidRDefault="00577C92" w:rsidP="00577C92">
            <w:pPr>
              <w:pStyle w:val="TableText"/>
            </w:pPr>
            <w:r w:rsidRPr="005B0796">
              <w:t>Low (17–29)</w:t>
            </w:r>
          </w:p>
        </w:tc>
        <w:tc>
          <w:tcPr>
            <w:tcW w:w="598" w:type="dxa"/>
            <w:hideMark/>
          </w:tcPr>
          <w:p w:rsidR="00577C92" w:rsidRPr="005B0796" w:rsidRDefault="00577C92" w:rsidP="00627FEE">
            <w:pPr>
              <w:pStyle w:val="TableText"/>
              <w:jc w:val="right"/>
            </w:pPr>
            <w:r w:rsidRPr="005B0796">
              <w:t>1234</w:t>
            </w:r>
          </w:p>
        </w:tc>
        <w:tc>
          <w:tcPr>
            <w:tcW w:w="598" w:type="dxa"/>
            <w:hideMark/>
          </w:tcPr>
          <w:p w:rsidR="00577C92" w:rsidRPr="005B0796" w:rsidRDefault="00577C92" w:rsidP="00627FEE">
            <w:pPr>
              <w:pStyle w:val="TableText"/>
              <w:jc w:val="right"/>
            </w:pPr>
            <w:r w:rsidRPr="005B0796">
              <w:t>63.5</w:t>
            </w:r>
          </w:p>
        </w:tc>
        <w:tc>
          <w:tcPr>
            <w:tcW w:w="598" w:type="dxa"/>
            <w:hideMark/>
          </w:tcPr>
          <w:p w:rsidR="00577C92" w:rsidRPr="005B0796" w:rsidRDefault="00577C92" w:rsidP="00627FEE">
            <w:pPr>
              <w:pStyle w:val="TableText"/>
              <w:jc w:val="right"/>
            </w:pPr>
            <w:r w:rsidRPr="005B0796">
              <w:t>57.1, 69.4</w:t>
            </w:r>
          </w:p>
        </w:tc>
        <w:tc>
          <w:tcPr>
            <w:tcW w:w="598" w:type="dxa"/>
            <w:hideMark/>
          </w:tcPr>
          <w:p w:rsidR="00577C92" w:rsidRPr="005B0796" w:rsidRDefault="00577C92" w:rsidP="00627FEE">
            <w:pPr>
              <w:pStyle w:val="TableText"/>
              <w:jc w:val="right"/>
            </w:pPr>
            <w:r w:rsidRPr="005B0796">
              <w:t>3122</w:t>
            </w:r>
          </w:p>
        </w:tc>
        <w:tc>
          <w:tcPr>
            <w:tcW w:w="599" w:type="dxa"/>
            <w:hideMark/>
          </w:tcPr>
          <w:p w:rsidR="00577C92" w:rsidRPr="005B0796" w:rsidRDefault="00577C92" w:rsidP="00627FEE">
            <w:pPr>
              <w:pStyle w:val="TableText"/>
              <w:jc w:val="right"/>
            </w:pPr>
            <w:r w:rsidRPr="005B0796">
              <w:t>64.1</w:t>
            </w:r>
          </w:p>
        </w:tc>
        <w:tc>
          <w:tcPr>
            <w:tcW w:w="598" w:type="dxa"/>
            <w:hideMark/>
          </w:tcPr>
          <w:p w:rsidR="00577C92" w:rsidRPr="005B0796" w:rsidRDefault="00577C92" w:rsidP="00627FEE">
            <w:pPr>
              <w:pStyle w:val="TableText"/>
              <w:jc w:val="right"/>
            </w:pPr>
            <w:r w:rsidRPr="005B0796">
              <w:t>60.1, 67.8</w:t>
            </w:r>
          </w:p>
        </w:tc>
        <w:tc>
          <w:tcPr>
            <w:tcW w:w="598" w:type="dxa"/>
            <w:hideMark/>
          </w:tcPr>
          <w:p w:rsidR="00577C92" w:rsidRPr="005B0796" w:rsidRDefault="00577C92" w:rsidP="00627FEE">
            <w:pPr>
              <w:pStyle w:val="TableText"/>
              <w:jc w:val="right"/>
            </w:pPr>
            <w:r w:rsidRPr="005B0796">
              <w:t>3059</w:t>
            </w:r>
          </w:p>
        </w:tc>
        <w:tc>
          <w:tcPr>
            <w:tcW w:w="598" w:type="dxa"/>
            <w:hideMark/>
          </w:tcPr>
          <w:p w:rsidR="00577C92" w:rsidRPr="005B0796" w:rsidRDefault="00577C92" w:rsidP="00627FEE">
            <w:pPr>
              <w:pStyle w:val="TableText"/>
              <w:jc w:val="right"/>
            </w:pPr>
            <w:r w:rsidRPr="005B0796">
              <w:t>61.9</w:t>
            </w:r>
          </w:p>
        </w:tc>
        <w:tc>
          <w:tcPr>
            <w:tcW w:w="599" w:type="dxa"/>
            <w:hideMark/>
          </w:tcPr>
          <w:p w:rsidR="00577C92" w:rsidRPr="005B0796" w:rsidRDefault="00577C92" w:rsidP="00627FEE">
            <w:pPr>
              <w:pStyle w:val="TableText"/>
              <w:jc w:val="right"/>
            </w:pPr>
            <w:r w:rsidRPr="005B0796">
              <w:t>57.6, 65.9</w:t>
            </w:r>
          </w:p>
        </w:tc>
      </w:tr>
      <w:tr w:rsidR="00577C92" w:rsidRPr="005B0796" w:rsidTr="00577C92">
        <w:tc>
          <w:tcPr>
            <w:tcW w:w="738" w:type="dxa"/>
            <w:hideMark/>
          </w:tcPr>
          <w:p w:rsidR="00577C92" w:rsidRPr="005B0796" w:rsidRDefault="00577C92" w:rsidP="00577C92">
            <w:pPr>
              <w:pStyle w:val="TableText"/>
            </w:pPr>
            <w:r w:rsidRPr="005B0796">
              <w:t>Moderate (30–39)</w:t>
            </w:r>
          </w:p>
        </w:tc>
        <w:tc>
          <w:tcPr>
            <w:tcW w:w="598" w:type="dxa"/>
            <w:hideMark/>
          </w:tcPr>
          <w:p w:rsidR="00577C92" w:rsidRPr="005B0796" w:rsidRDefault="00577C92" w:rsidP="00627FEE">
            <w:pPr>
              <w:pStyle w:val="TableText"/>
              <w:jc w:val="right"/>
            </w:pPr>
            <w:r w:rsidRPr="005B0796">
              <w:t>350</w:t>
            </w:r>
          </w:p>
        </w:tc>
        <w:tc>
          <w:tcPr>
            <w:tcW w:w="598" w:type="dxa"/>
            <w:hideMark/>
          </w:tcPr>
          <w:p w:rsidR="00577C92" w:rsidRPr="005B0796" w:rsidRDefault="00577C92" w:rsidP="00627FEE">
            <w:pPr>
              <w:pStyle w:val="TableText"/>
              <w:jc w:val="right"/>
            </w:pPr>
            <w:r w:rsidRPr="005B0796">
              <w:t>17.9</w:t>
            </w:r>
          </w:p>
        </w:tc>
        <w:tc>
          <w:tcPr>
            <w:tcW w:w="598" w:type="dxa"/>
            <w:hideMark/>
          </w:tcPr>
          <w:p w:rsidR="00577C92" w:rsidRPr="005B0796" w:rsidRDefault="00577C92" w:rsidP="00627FEE">
            <w:pPr>
              <w:pStyle w:val="TableText"/>
              <w:jc w:val="right"/>
            </w:pPr>
            <w:r w:rsidRPr="005B0796">
              <w:t>13.2, 24.0</w:t>
            </w:r>
          </w:p>
        </w:tc>
        <w:tc>
          <w:tcPr>
            <w:tcW w:w="598" w:type="dxa"/>
            <w:hideMark/>
          </w:tcPr>
          <w:p w:rsidR="00577C92" w:rsidRPr="005B0796" w:rsidRDefault="00577C92" w:rsidP="00627FEE">
            <w:pPr>
              <w:pStyle w:val="TableText"/>
              <w:jc w:val="right"/>
            </w:pPr>
            <w:r w:rsidRPr="005B0796">
              <w:t>568</w:t>
            </w:r>
          </w:p>
        </w:tc>
        <w:tc>
          <w:tcPr>
            <w:tcW w:w="599" w:type="dxa"/>
            <w:hideMark/>
          </w:tcPr>
          <w:p w:rsidR="00577C92" w:rsidRPr="005B0796" w:rsidRDefault="00577C92" w:rsidP="00627FEE">
            <w:pPr>
              <w:pStyle w:val="TableText"/>
              <w:jc w:val="right"/>
            </w:pPr>
            <w:r w:rsidRPr="005B0796">
              <w:t>11.7</w:t>
            </w:r>
          </w:p>
        </w:tc>
        <w:tc>
          <w:tcPr>
            <w:tcW w:w="598" w:type="dxa"/>
            <w:hideMark/>
          </w:tcPr>
          <w:p w:rsidR="00577C92" w:rsidRPr="005B0796" w:rsidRDefault="00577C92" w:rsidP="00627FEE">
            <w:pPr>
              <w:pStyle w:val="TableText"/>
              <w:jc w:val="right"/>
            </w:pPr>
            <w:r w:rsidRPr="005B0796">
              <w:t>9.3, 14.5</w:t>
            </w:r>
          </w:p>
        </w:tc>
        <w:tc>
          <w:tcPr>
            <w:tcW w:w="598" w:type="dxa"/>
            <w:hideMark/>
          </w:tcPr>
          <w:p w:rsidR="00577C92" w:rsidRPr="005B0796" w:rsidRDefault="00577C92" w:rsidP="00627FEE">
            <w:pPr>
              <w:pStyle w:val="TableText"/>
              <w:jc w:val="right"/>
            </w:pPr>
            <w:r w:rsidRPr="005B0796">
              <w:t>570</w:t>
            </w:r>
          </w:p>
        </w:tc>
        <w:tc>
          <w:tcPr>
            <w:tcW w:w="598" w:type="dxa"/>
            <w:hideMark/>
          </w:tcPr>
          <w:p w:rsidR="00577C92" w:rsidRPr="005B0796" w:rsidRDefault="00577C92" w:rsidP="00627FEE">
            <w:pPr>
              <w:pStyle w:val="TableText"/>
              <w:jc w:val="right"/>
            </w:pPr>
            <w:r w:rsidRPr="005B0796">
              <w:t>11.5</w:t>
            </w:r>
          </w:p>
        </w:tc>
        <w:tc>
          <w:tcPr>
            <w:tcW w:w="599" w:type="dxa"/>
            <w:hideMark/>
          </w:tcPr>
          <w:p w:rsidR="00577C92" w:rsidRPr="005B0796" w:rsidRDefault="00577C92" w:rsidP="00627FEE">
            <w:pPr>
              <w:pStyle w:val="TableText"/>
              <w:jc w:val="right"/>
            </w:pPr>
            <w:r w:rsidRPr="005B0796">
              <w:t>8.9, 14.7</w:t>
            </w:r>
          </w:p>
        </w:tc>
      </w:tr>
      <w:tr w:rsidR="00577C92" w:rsidRPr="005B0796" w:rsidTr="00577C92">
        <w:trPr>
          <w:cnfStyle w:val="000000100000" w:firstRow="0" w:lastRow="0" w:firstColumn="0" w:lastColumn="0" w:oddVBand="0" w:evenVBand="0" w:oddHBand="1" w:evenHBand="0" w:firstRowFirstColumn="0" w:firstRowLastColumn="0" w:lastRowFirstColumn="0" w:lastRowLastColumn="0"/>
        </w:trPr>
        <w:tc>
          <w:tcPr>
            <w:tcW w:w="738" w:type="dxa"/>
            <w:hideMark/>
          </w:tcPr>
          <w:p w:rsidR="00577C92" w:rsidRPr="005B0796" w:rsidRDefault="00577C92" w:rsidP="00577C92">
            <w:pPr>
              <w:pStyle w:val="TableText"/>
            </w:pPr>
            <w:r w:rsidRPr="005B0796">
              <w:t>High (40–49)</w:t>
            </w:r>
          </w:p>
        </w:tc>
        <w:tc>
          <w:tcPr>
            <w:tcW w:w="598" w:type="dxa"/>
            <w:hideMark/>
          </w:tcPr>
          <w:p w:rsidR="00577C92" w:rsidRPr="005B0796" w:rsidRDefault="00577C92" w:rsidP="00627FEE">
            <w:pPr>
              <w:pStyle w:val="TableText"/>
              <w:jc w:val="right"/>
            </w:pPr>
            <w:r w:rsidRPr="005B0796">
              <w:t>112</w:t>
            </w:r>
          </w:p>
        </w:tc>
        <w:tc>
          <w:tcPr>
            <w:tcW w:w="598" w:type="dxa"/>
            <w:hideMark/>
          </w:tcPr>
          <w:p w:rsidR="00577C92" w:rsidRPr="005B0796" w:rsidRDefault="00577C92" w:rsidP="00627FEE">
            <w:pPr>
              <w:pStyle w:val="TableText"/>
              <w:jc w:val="right"/>
            </w:pPr>
            <w:r w:rsidRPr="005B0796">
              <w:t>5.8</w:t>
            </w:r>
          </w:p>
        </w:tc>
        <w:tc>
          <w:tcPr>
            <w:tcW w:w="598" w:type="dxa"/>
            <w:hideMark/>
          </w:tcPr>
          <w:p w:rsidR="00577C92" w:rsidRPr="005B0796" w:rsidRDefault="00577C92" w:rsidP="00627FEE">
            <w:pPr>
              <w:pStyle w:val="TableText"/>
              <w:jc w:val="right"/>
            </w:pPr>
            <w:r w:rsidRPr="005B0796">
              <w:t>3.5, 9.5</w:t>
            </w:r>
          </w:p>
        </w:tc>
        <w:tc>
          <w:tcPr>
            <w:tcW w:w="598" w:type="dxa"/>
            <w:hideMark/>
          </w:tcPr>
          <w:p w:rsidR="00577C92" w:rsidRPr="005B0796" w:rsidRDefault="00577C92" w:rsidP="00627FEE">
            <w:pPr>
              <w:pStyle w:val="TableText"/>
              <w:jc w:val="right"/>
            </w:pPr>
            <w:r w:rsidRPr="005B0796">
              <w:t>239</w:t>
            </w:r>
          </w:p>
        </w:tc>
        <w:tc>
          <w:tcPr>
            <w:tcW w:w="599" w:type="dxa"/>
            <w:hideMark/>
          </w:tcPr>
          <w:p w:rsidR="00577C92" w:rsidRPr="005B0796" w:rsidRDefault="00577C92" w:rsidP="00627FEE">
            <w:pPr>
              <w:pStyle w:val="TableText"/>
              <w:jc w:val="right"/>
            </w:pPr>
            <w:r w:rsidRPr="005B0796">
              <w:t>4.9</w:t>
            </w:r>
          </w:p>
        </w:tc>
        <w:tc>
          <w:tcPr>
            <w:tcW w:w="598" w:type="dxa"/>
            <w:hideMark/>
          </w:tcPr>
          <w:p w:rsidR="00577C92" w:rsidRPr="005B0796" w:rsidRDefault="00577C92" w:rsidP="00627FEE">
            <w:pPr>
              <w:pStyle w:val="TableText"/>
              <w:jc w:val="right"/>
            </w:pPr>
            <w:r w:rsidRPr="005B0796">
              <w:t>3.7, 6.6</w:t>
            </w:r>
          </w:p>
        </w:tc>
        <w:tc>
          <w:tcPr>
            <w:tcW w:w="598" w:type="dxa"/>
            <w:hideMark/>
          </w:tcPr>
          <w:p w:rsidR="00577C92" w:rsidRPr="005B0796" w:rsidRDefault="00577C92" w:rsidP="00627FEE">
            <w:pPr>
              <w:pStyle w:val="TableText"/>
              <w:jc w:val="right"/>
            </w:pPr>
            <w:r w:rsidRPr="005B0796">
              <w:t>454</w:t>
            </w:r>
          </w:p>
        </w:tc>
        <w:tc>
          <w:tcPr>
            <w:tcW w:w="598" w:type="dxa"/>
            <w:hideMark/>
          </w:tcPr>
          <w:p w:rsidR="00577C92" w:rsidRPr="005B0796" w:rsidRDefault="00577C92" w:rsidP="00627FEE">
            <w:pPr>
              <w:pStyle w:val="TableText"/>
              <w:jc w:val="right"/>
            </w:pPr>
            <w:r w:rsidRPr="005B0796">
              <w:t>9.2</w:t>
            </w:r>
          </w:p>
        </w:tc>
        <w:tc>
          <w:tcPr>
            <w:tcW w:w="599" w:type="dxa"/>
            <w:hideMark/>
          </w:tcPr>
          <w:p w:rsidR="00577C92" w:rsidRPr="005B0796" w:rsidRDefault="00577C92" w:rsidP="00627FEE">
            <w:pPr>
              <w:pStyle w:val="TableText"/>
              <w:jc w:val="right"/>
            </w:pPr>
            <w:r w:rsidRPr="005B0796">
              <w:t>6.9, 12.1</w:t>
            </w:r>
          </w:p>
        </w:tc>
      </w:tr>
      <w:tr w:rsidR="00577C92" w:rsidRPr="005B0796" w:rsidTr="00577C92">
        <w:tc>
          <w:tcPr>
            <w:tcW w:w="738" w:type="dxa"/>
            <w:hideMark/>
          </w:tcPr>
          <w:p w:rsidR="00577C92" w:rsidRPr="005B0796" w:rsidRDefault="00577C92" w:rsidP="00577C92">
            <w:pPr>
              <w:pStyle w:val="TableText"/>
            </w:pPr>
            <w:r w:rsidRPr="005B0796">
              <w:t>Very high (50–85)</w:t>
            </w:r>
          </w:p>
        </w:tc>
        <w:tc>
          <w:tcPr>
            <w:tcW w:w="598" w:type="dxa"/>
            <w:hideMark/>
          </w:tcPr>
          <w:p w:rsidR="00577C92" w:rsidRPr="005B0796" w:rsidRDefault="00577C92" w:rsidP="00627FEE">
            <w:pPr>
              <w:pStyle w:val="TableText"/>
              <w:jc w:val="right"/>
            </w:pPr>
            <w:r w:rsidRPr="005B0796">
              <w:t>212</w:t>
            </w:r>
          </w:p>
        </w:tc>
        <w:tc>
          <w:tcPr>
            <w:tcW w:w="598" w:type="dxa"/>
            <w:hideMark/>
          </w:tcPr>
          <w:p w:rsidR="00577C92" w:rsidRPr="005B0796" w:rsidRDefault="00577C92" w:rsidP="00627FEE">
            <w:pPr>
              <w:pStyle w:val="TableText"/>
              <w:jc w:val="right"/>
            </w:pPr>
            <w:r w:rsidRPr="005B0796">
              <w:t>10.9</w:t>
            </w:r>
          </w:p>
        </w:tc>
        <w:tc>
          <w:tcPr>
            <w:tcW w:w="598" w:type="dxa"/>
            <w:hideMark/>
          </w:tcPr>
          <w:p w:rsidR="00577C92" w:rsidRPr="005B0796" w:rsidRDefault="00577C92" w:rsidP="00627FEE">
            <w:pPr>
              <w:pStyle w:val="TableText"/>
              <w:jc w:val="right"/>
            </w:pPr>
            <w:r w:rsidRPr="005B0796">
              <w:t>7.9, 14.9</w:t>
            </w:r>
          </w:p>
        </w:tc>
        <w:tc>
          <w:tcPr>
            <w:tcW w:w="598" w:type="dxa"/>
            <w:hideMark/>
          </w:tcPr>
          <w:p w:rsidR="00577C92" w:rsidRPr="005B0796" w:rsidRDefault="00577C92" w:rsidP="00627FEE">
            <w:pPr>
              <w:pStyle w:val="TableText"/>
              <w:jc w:val="right"/>
            </w:pPr>
            <w:r w:rsidRPr="005B0796">
              <w:t>840</w:t>
            </w:r>
          </w:p>
        </w:tc>
        <w:tc>
          <w:tcPr>
            <w:tcW w:w="599" w:type="dxa"/>
            <w:hideMark/>
          </w:tcPr>
          <w:p w:rsidR="00577C92" w:rsidRPr="005B0796" w:rsidRDefault="00577C92" w:rsidP="00627FEE">
            <w:pPr>
              <w:pStyle w:val="TableText"/>
              <w:jc w:val="right"/>
            </w:pPr>
            <w:r w:rsidRPr="005B0796">
              <w:t>17.2</w:t>
            </w:r>
          </w:p>
        </w:tc>
        <w:tc>
          <w:tcPr>
            <w:tcW w:w="598" w:type="dxa"/>
            <w:hideMark/>
          </w:tcPr>
          <w:p w:rsidR="00577C92" w:rsidRPr="005B0796" w:rsidRDefault="00577C92" w:rsidP="00627FEE">
            <w:pPr>
              <w:pStyle w:val="TableText"/>
              <w:jc w:val="right"/>
            </w:pPr>
            <w:r w:rsidRPr="005B0796">
              <w:t>14.4, 20.5</w:t>
            </w:r>
          </w:p>
        </w:tc>
        <w:tc>
          <w:tcPr>
            <w:tcW w:w="598" w:type="dxa"/>
            <w:hideMark/>
          </w:tcPr>
          <w:p w:rsidR="00577C92" w:rsidRPr="005B0796" w:rsidRDefault="00577C92" w:rsidP="00627FEE">
            <w:pPr>
              <w:pStyle w:val="TableText"/>
              <w:jc w:val="right"/>
            </w:pPr>
            <w:r w:rsidRPr="005B0796">
              <w:t>790</w:t>
            </w:r>
          </w:p>
        </w:tc>
        <w:tc>
          <w:tcPr>
            <w:tcW w:w="598" w:type="dxa"/>
            <w:hideMark/>
          </w:tcPr>
          <w:p w:rsidR="00577C92" w:rsidRPr="005B0796" w:rsidRDefault="00577C92" w:rsidP="00627FEE">
            <w:pPr>
              <w:pStyle w:val="TableText"/>
              <w:jc w:val="right"/>
            </w:pPr>
            <w:r w:rsidRPr="005B0796">
              <w:t>15.9</w:t>
            </w:r>
          </w:p>
        </w:tc>
        <w:tc>
          <w:tcPr>
            <w:tcW w:w="599" w:type="dxa"/>
            <w:hideMark/>
          </w:tcPr>
          <w:p w:rsidR="00577C92" w:rsidRPr="005B0796" w:rsidRDefault="00577C92" w:rsidP="00627FEE">
            <w:pPr>
              <w:pStyle w:val="TableText"/>
              <w:jc w:val="right"/>
            </w:pPr>
            <w:r w:rsidRPr="005B0796">
              <w:t>13.2, 19.2</w:t>
            </w:r>
          </w:p>
        </w:tc>
      </w:tr>
    </w:tbl>
    <w:p w:rsidR="00577C92" w:rsidRPr="005B0796" w:rsidRDefault="00577C92" w:rsidP="00577C92">
      <w:pPr>
        <w:pStyle w:val="TableText"/>
      </w:pPr>
    </w:p>
    <w:tbl>
      <w:tblPr>
        <w:tblStyle w:val="TWRPTable"/>
        <w:tblW w:w="5000" w:type="pct"/>
        <w:tblLayout w:type="fixed"/>
        <w:tblLook w:val="04A0" w:firstRow="1" w:lastRow="0" w:firstColumn="1" w:lastColumn="0" w:noHBand="0" w:noVBand="1"/>
        <w:tblDescription w:val="Table 5.6 (cont) Estimated proportions for Transitioned ADF members scoring in each of the four PCL bands for posttraumatic stress by years since transition"/>
      </w:tblPr>
      <w:tblGrid>
        <w:gridCol w:w="1386"/>
        <w:gridCol w:w="1124"/>
        <w:gridCol w:w="1124"/>
        <w:gridCol w:w="1124"/>
        <w:gridCol w:w="1124"/>
        <w:gridCol w:w="1126"/>
        <w:gridCol w:w="1124"/>
        <w:gridCol w:w="1124"/>
        <w:gridCol w:w="1124"/>
        <w:gridCol w:w="1126"/>
      </w:tblGrid>
      <w:tr w:rsidR="00577C92" w:rsidRPr="005B0796" w:rsidTr="00577C92">
        <w:trPr>
          <w:cnfStyle w:val="100000000000" w:firstRow="1" w:lastRow="0" w:firstColumn="0" w:lastColumn="0" w:oddVBand="0" w:evenVBand="0" w:oddHBand="0" w:evenHBand="0" w:firstRowFirstColumn="0" w:firstRowLastColumn="0" w:lastRowFirstColumn="0" w:lastRowLastColumn="0"/>
          <w:tblHeader/>
        </w:trPr>
        <w:tc>
          <w:tcPr>
            <w:tcW w:w="738" w:type="dxa"/>
            <w:vMerge w:val="restart"/>
          </w:tcPr>
          <w:p w:rsidR="00577C92" w:rsidRPr="005B0796" w:rsidRDefault="00577C92" w:rsidP="00846642">
            <w:pPr>
              <w:pStyle w:val="TableText"/>
            </w:pPr>
          </w:p>
        </w:tc>
        <w:tc>
          <w:tcPr>
            <w:tcW w:w="1794" w:type="dxa"/>
            <w:gridSpan w:val="3"/>
            <w:hideMark/>
          </w:tcPr>
          <w:p w:rsidR="00577C92" w:rsidRPr="005B0796" w:rsidRDefault="00577C92" w:rsidP="00846642">
            <w:pPr>
              <w:pStyle w:val="TableText"/>
              <w:jc w:val="center"/>
            </w:pPr>
            <w:r w:rsidRPr="005B0796">
              <w:t>3 years</w:t>
            </w:r>
            <w:r w:rsidRPr="005B0796">
              <w:br/>
              <w:t>(n = 5234)</w:t>
            </w:r>
          </w:p>
        </w:tc>
        <w:tc>
          <w:tcPr>
            <w:tcW w:w="1795" w:type="dxa"/>
            <w:gridSpan w:val="3"/>
            <w:hideMark/>
          </w:tcPr>
          <w:p w:rsidR="00577C92" w:rsidRPr="005B0796" w:rsidRDefault="00577C92" w:rsidP="00846642">
            <w:pPr>
              <w:pStyle w:val="TableText"/>
              <w:jc w:val="center"/>
            </w:pPr>
            <w:r w:rsidRPr="005B0796">
              <w:t>4 years</w:t>
            </w:r>
            <w:r w:rsidRPr="005B0796">
              <w:br/>
              <w:t>(n = 3582)</w:t>
            </w:r>
          </w:p>
        </w:tc>
        <w:tc>
          <w:tcPr>
            <w:tcW w:w="1795" w:type="dxa"/>
            <w:gridSpan w:val="3"/>
            <w:hideMark/>
          </w:tcPr>
          <w:p w:rsidR="00577C92" w:rsidRPr="005B0796" w:rsidRDefault="00577C92" w:rsidP="00846642">
            <w:pPr>
              <w:pStyle w:val="TableText"/>
              <w:jc w:val="center"/>
            </w:pPr>
            <w:r w:rsidRPr="005B0796">
              <w:t>5+ years</w:t>
            </w:r>
            <w:r w:rsidRPr="005B0796">
              <w:rPr>
                <w:b w:val="0"/>
              </w:rPr>
              <w:br/>
            </w:r>
            <w:r w:rsidRPr="005B0796">
              <w:t>(n = 2785)</w:t>
            </w:r>
          </w:p>
        </w:tc>
      </w:tr>
      <w:tr w:rsidR="00577C92" w:rsidRPr="005B0796" w:rsidTr="00577C92">
        <w:trPr>
          <w:cnfStyle w:val="100000000000" w:firstRow="1" w:lastRow="0" w:firstColumn="0" w:lastColumn="0" w:oddVBand="0" w:evenVBand="0" w:oddHBand="0" w:evenHBand="0" w:firstRowFirstColumn="0" w:firstRowLastColumn="0" w:lastRowFirstColumn="0" w:lastRowLastColumn="0"/>
          <w:tblHeader/>
        </w:trPr>
        <w:tc>
          <w:tcPr>
            <w:tcW w:w="738" w:type="dxa"/>
            <w:vMerge/>
          </w:tcPr>
          <w:p w:rsidR="00577C92" w:rsidRPr="005B0796" w:rsidRDefault="00577C92" w:rsidP="00846642">
            <w:pPr>
              <w:pStyle w:val="TableText"/>
            </w:pPr>
          </w:p>
        </w:tc>
        <w:tc>
          <w:tcPr>
            <w:tcW w:w="598" w:type="dxa"/>
            <w:hideMark/>
          </w:tcPr>
          <w:p w:rsidR="00577C92" w:rsidRPr="005B0796" w:rsidRDefault="00577C92" w:rsidP="00846642">
            <w:pPr>
              <w:pStyle w:val="TableText"/>
              <w:jc w:val="right"/>
            </w:pPr>
            <w:r w:rsidRPr="005B0796">
              <w:t>Weighted n</w:t>
            </w:r>
          </w:p>
        </w:tc>
        <w:tc>
          <w:tcPr>
            <w:tcW w:w="598" w:type="dxa"/>
            <w:hideMark/>
          </w:tcPr>
          <w:p w:rsidR="00577C92" w:rsidRPr="005B0796" w:rsidRDefault="00577C92" w:rsidP="00846642">
            <w:pPr>
              <w:pStyle w:val="TableText"/>
              <w:jc w:val="right"/>
            </w:pPr>
            <w:r w:rsidRPr="005B0796">
              <w:t>%</w:t>
            </w:r>
          </w:p>
        </w:tc>
        <w:tc>
          <w:tcPr>
            <w:tcW w:w="598" w:type="dxa"/>
            <w:hideMark/>
          </w:tcPr>
          <w:p w:rsidR="00577C92" w:rsidRPr="005B0796" w:rsidRDefault="00577C92" w:rsidP="00846642">
            <w:pPr>
              <w:pStyle w:val="TableText"/>
              <w:jc w:val="right"/>
            </w:pPr>
            <w:r w:rsidRPr="005B0796">
              <w:t>95% CI</w:t>
            </w:r>
          </w:p>
        </w:tc>
        <w:tc>
          <w:tcPr>
            <w:tcW w:w="598" w:type="dxa"/>
            <w:hideMark/>
          </w:tcPr>
          <w:p w:rsidR="00577C92" w:rsidRPr="005B0796" w:rsidRDefault="00577C92" w:rsidP="00846642">
            <w:pPr>
              <w:pStyle w:val="TableText"/>
              <w:jc w:val="right"/>
            </w:pPr>
            <w:r w:rsidRPr="005B0796">
              <w:t>Weighted n</w:t>
            </w:r>
          </w:p>
        </w:tc>
        <w:tc>
          <w:tcPr>
            <w:tcW w:w="599" w:type="dxa"/>
            <w:hideMark/>
          </w:tcPr>
          <w:p w:rsidR="00577C92" w:rsidRPr="005B0796" w:rsidRDefault="00577C92" w:rsidP="00846642">
            <w:pPr>
              <w:pStyle w:val="TableText"/>
              <w:jc w:val="right"/>
            </w:pPr>
            <w:r w:rsidRPr="005B0796">
              <w:t>%</w:t>
            </w:r>
          </w:p>
        </w:tc>
        <w:tc>
          <w:tcPr>
            <w:tcW w:w="598" w:type="dxa"/>
            <w:hideMark/>
          </w:tcPr>
          <w:p w:rsidR="00577C92" w:rsidRPr="005B0796" w:rsidRDefault="00577C92" w:rsidP="00846642">
            <w:pPr>
              <w:pStyle w:val="TableText"/>
              <w:jc w:val="right"/>
            </w:pPr>
            <w:r w:rsidRPr="005B0796">
              <w:t>95% CI</w:t>
            </w:r>
          </w:p>
        </w:tc>
        <w:tc>
          <w:tcPr>
            <w:tcW w:w="598" w:type="dxa"/>
            <w:hideMark/>
          </w:tcPr>
          <w:p w:rsidR="00577C92" w:rsidRPr="005B0796" w:rsidRDefault="00577C92" w:rsidP="00846642">
            <w:pPr>
              <w:pStyle w:val="TableText"/>
              <w:jc w:val="right"/>
            </w:pPr>
            <w:r w:rsidRPr="005B0796">
              <w:t>Weighted n</w:t>
            </w:r>
          </w:p>
        </w:tc>
        <w:tc>
          <w:tcPr>
            <w:tcW w:w="598" w:type="dxa"/>
            <w:hideMark/>
          </w:tcPr>
          <w:p w:rsidR="00577C92" w:rsidRPr="005B0796" w:rsidRDefault="00577C92" w:rsidP="00846642">
            <w:pPr>
              <w:pStyle w:val="TableText"/>
              <w:jc w:val="right"/>
            </w:pPr>
            <w:r w:rsidRPr="005B0796">
              <w:t>%</w:t>
            </w:r>
          </w:p>
        </w:tc>
        <w:tc>
          <w:tcPr>
            <w:tcW w:w="599" w:type="dxa"/>
            <w:hideMark/>
          </w:tcPr>
          <w:p w:rsidR="00577C92" w:rsidRPr="005B0796" w:rsidRDefault="00577C92" w:rsidP="00846642">
            <w:pPr>
              <w:pStyle w:val="TableText"/>
              <w:jc w:val="right"/>
            </w:pPr>
            <w:r w:rsidRPr="005B0796">
              <w:t>95% CI</w:t>
            </w:r>
          </w:p>
        </w:tc>
      </w:tr>
      <w:tr w:rsidR="00577C92" w:rsidRPr="005B0796" w:rsidTr="00577C92">
        <w:trPr>
          <w:cnfStyle w:val="000000100000" w:firstRow="0" w:lastRow="0" w:firstColumn="0" w:lastColumn="0" w:oddVBand="0" w:evenVBand="0" w:oddHBand="1" w:evenHBand="0" w:firstRowFirstColumn="0" w:firstRowLastColumn="0" w:lastRowFirstColumn="0" w:lastRowLastColumn="0"/>
        </w:trPr>
        <w:tc>
          <w:tcPr>
            <w:tcW w:w="738" w:type="dxa"/>
            <w:hideMark/>
          </w:tcPr>
          <w:p w:rsidR="00577C92" w:rsidRPr="005B0796" w:rsidRDefault="00577C92" w:rsidP="00846642">
            <w:pPr>
              <w:pStyle w:val="TableText"/>
            </w:pPr>
            <w:r w:rsidRPr="005B0796">
              <w:t>Low (17–29)</w:t>
            </w:r>
          </w:p>
        </w:tc>
        <w:tc>
          <w:tcPr>
            <w:tcW w:w="598" w:type="dxa"/>
            <w:hideMark/>
          </w:tcPr>
          <w:p w:rsidR="00577C92" w:rsidRPr="005B0796" w:rsidRDefault="00577C92" w:rsidP="00846642">
            <w:pPr>
              <w:pStyle w:val="TableText"/>
              <w:jc w:val="right"/>
            </w:pPr>
            <w:r w:rsidRPr="005B0796">
              <w:t>2820</w:t>
            </w:r>
          </w:p>
        </w:tc>
        <w:tc>
          <w:tcPr>
            <w:tcW w:w="598" w:type="dxa"/>
            <w:hideMark/>
          </w:tcPr>
          <w:p w:rsidR="00577C92" w:rsidRPr="005B0796" w:rsidRDefault="00577C92" w:rsidP="00846642">
            <w:pPr>
              <w:pStyle w:val="TableText"/>
              <w:jc w:val="right"/>
            </w:pPr>
            <w:r w:rsidRPr="005B0796">
              <w:t>53.9</w:t>
            </w:r>
          </w:p>
        </w:tc>
        <w:tc>
          <w:tcPr>
            <w:tcW w:w="598" w:type="dxa"/>
            <w:hideMark/>
          </w:tcPr>
          <w:p w:rsidR="00577C92" w:rsidRPr="005B0796" w:rsidRDefault="00577C92" w:rsidP="00846642">
            <w:pPr>
              <w:pStyle w:val="TableText"/>
              <w:jc w:val="right"/>
            </w:pPr>
            <w:r w:rsidRPr="005B0796">
              <w:t xml:space="preserve">49.6, 58.1 </w:t>
            </w:r>
          </w:p>
        </w:tc>
        <w:tc>
          <w:tcPr>
            <w:tcW w:w="598" w:type="dxa"/>
            <w:hideMark/>
          </w:tcPr>
          <w:p w:rsidR="00577C92" w:rsidRPr="005B0796" w:rsidRDefault="00577C92" w:rsidP="00846642">
            <w:pPr>
              <w:pStyle w:val="TableText"/>
              <w:jc w:val="right"/>
            </w:pPr>
            <w:r w:rsidRPr="005B0796">
              <w:t>2087</w:t>
            </w:r>
          </w:p>
        </w:tc>
        <w:tc>
          <w:tcPr>
            <w:tcW w:w="599" w:type="dxa"/>
            <w:hideMark/>
          </w:tcPr>
          <w:p w:rsidR="00577C92" w:rsidRPr="005B0796" w:rsidRDefault="00577C92" w:rsidP="00846642">
            <w:pPr>
              <w:pStyle w:val="TableText"/>
              <w:jc w:val="right"/>
            </w:pPr>
            <w:r w:rsidRPr="005B0796">
              <w:t>58.3</w:t>
            </w:r>
          </w:p>
        </w:tc>
        <w:tc>
          <w:tcPr>
            <w:tcW w:w="598" w:type="dxa"/>
            <w:hideMark/>
          </w:tcPr>
          <w:p w:rsidR="00577C92" w:rsidRPr="005B0796" w:rsidRDefault="00577C92" w:rsidP="00846642">
            <w:pPr>
              <w:pStyle w:val="TableText"/>
              <w:jc w:val="right"/>
            </w:pPr>
            <w:r w:rsidRPr="005B0796">
              <w:t>53.5, 62.8</w:t>
            </w:r>
          </w:p>
        </w:tc>
        <w:tc>
          <w:tcPr>
            <w:tcW w:w="598" w:type="dxa"/>
            <w:hideMark/>
          </w:tcPr>
          <w:p w:rsidR="00577C92" w:rsidRPr="005B0796" w:rsidRDefault="00577C92" w:rsidP="00846642">
            <w:pPr>
              <w:pStyle w:val="TableText"/>
              <w:jc w:val="right"/>
            </w:pPr>
            <w:r w:rsidRPr="005B0796">
              <w:t>1570</w:t>
            </w:r>
          </w:p>
        </w:tc>
        <w:tc>
          <w:tcPr>
            <w:tcW w:w="598" w:type="dxa"/>
            <w:hideMark/>
          </w:tcPr>
          <w:p w:rsidR="00577C92" w:rsidRPr="005B0796" w:rsidRDefault="00577C92" w:rsidP="00846642">
            <w:pPr>
              <w:pStyle w:val="TableText"/>
              <w:jc w:val="right"/>
            </w:pPr>
            <w:r w:rsidRPr="005B0796">
              <w:t>56.4</w:t>
            </w:r>
          </w:p>
        </w:tc>
        <w:tc>
          <w:tcPr>
            <w:tcW w:w="599" w:type="dxa"/>
            <w:hideMark/>
          </w:tcPr>
          <w:p w:rsidR="00577C92" w:rsidRPr="005B0796" w:rsidRDefault="00577C92" w:rsidP="00846642">
            <w:pPr>
              <w:pStyle w:val="TableText"/>
              <w:jc w:val="right"/>
            </w:pPr>
            <w:r w:rsidRPr="005B0796">
              <w:t xml:space="preserve">50.8, 61.8 </w:t>
            </w:r>
          </w:p>
        </w:tc>
      </w:tr>
      <w:tr w:rsidR="00577C92" w:rsidRPr="005B0796" w:rsidTr="00577C92">
        <w:tc>
          <w:tcPr>
            <w:tcW w:w="738" w:type="dxa"/>
            <w:hideMark/>
          </w:tcPr>
          <w:p w:rsidR="00577C92" w:rsidRPr="005B0796" w:rsidRDefault="00577C92" w:rsidP="00846642">
            <w:pPr>
              <w:pStyle w:val="TableText"/>
            </w:pPr>
            <w:r w:rsidRPr="005B0796">
              <w:t>Moderate (30–39)</w:t>
            </w:r>
          </w:p>
        </w:tc>
        <w:tc>
          <w:tcPr>
            <w:tcW w:w="598" w:type="dxa"/>
            <w:hideMark/>
          </w:tcPr>
          <w:p w:rsidR="00577C92" w:rsidRPr="005B0796" w:rsidRDefault="00577C92" w:rsidP="00846642">
            <w:pPr>
              <w:pStyle w:val="TableText"/>
              <w:jc w:val="right"/>
            </w:pPr>
            <w:r w:rsidRPr="005B0796">
              <w:t>778</w:t>
            </w:r>
          </w:p>
        </w:tc>
        <w:tc>
          <w:tcPr>
            <w:tcW w:w="598" w:type="dxa"/>
            <w:hideMark/>
          </w:tcPr>
          <w:p w:rsidR="00577C92" w:rsidRPr="005B0796" w:rsidRDefault="00577C92" w:rsidP="00846642">
            <w:pPr>
              <w:pStyle w:val="TableText"/>
              <w:jc w:val="right"/>
            </w:pPr>
            <w:r w:rsidRPr="005B0796">
              <w:t>14.9</w:t>
            </w:r>
          </w:p>
        </w:tc>
        <w:tc>
          <w:tcPr>
            <w:tcW w:w="598" w:type="dxa"/>
            <w:hideMark/>
          </w:tcPr>
          <w:p w:rsidR="00577C92" w:rsidRPr="005B0796" w:rsidRDefault="00577C92" w:rsidP="00846642">
            <w:pPr>
              <w:pStyle w:val="TableText"/>
              <w:jc w:val="right"/>
            </w:pPr>
            <w:r w:rsidRPr="005B0796">
              <w:t>11.9, 18.4</w:t>
            </w:r>
          </w:p>
        </w:tc>
        <w:tc>
          <w:tcPr>
            <w:tcW w:w="598" w:type="dxa"/>
            <w:hideMark/>
          </w:tcPr>
          <w:p w:rsidR="00577C92" w:rsidRPr="005B0796" w:rsidRDefault="00577C92" w:rsidP="00846642">
            <w:pPr>
              <w:pStyle w:val="TableText"/>
              <w:jc w:val="right"/>
            </w:pPr>
            <w:r w:rsidRPr="005B0796">
              <w:t>558</w:t>
            </w:r>
          </w:p>
        </w:tc>
        <w:tc>
          <w:tcPr>
            <w:tcW w:w="599" w:type="dxa"/>
            <w:hideMark/>
          </w:tcPr>
          <w:p w:rsidR="00577C92" w:rsidRPr="005B0796" w:rsidRDefault="00577C92" w:rsidP="00846642">
            <w:pPr>
              <w:pStyle w:val="TableText"/>
              <w:jc w:val="right"/>
            </w:pPr>
            <w:r w:rsidRPr="005B0796">
              <w:t>15.6</w:t>
            </w:r>
          </w:p>
        </w:tc>
        <w:tc>
          <w:tcPr>
            <w:tcW w:w="598" w:type="dxa"/>
            <w:hideMark/>
          </w:tcPr>
          <w:p w:rsidR="00577C92" w:rsidRPr="005B0796" w:rsidRDefault="00577C92" w:rsidP="00846642">
            <w:pPr>
              <w:pStyle w:val="TableText"/>
              <w:jc w:val="right"/>
            </w:pPr>
            <w:r w:rsidRPr="005B0796">
              <w:t>12.3, 19.5</w:t>
            </w:r>
          </w:p>
        </w:tc>
        <w:tc>
          <w:tcPr>
            <w:tcW w:w="598" w:type="dxa"/>
            <w:hideMark/>
          </w:tcPr>
          <w:p w:rsidR="00577C92" w:rsidRPr="005B0796" w:rsidRDefault="00577C92" w:rsidP="00846642">
            <w:pPr>
              <w:pStyle w:val="TableText"/>
              <w:jc w:val="right"/>
            </w:pPr>
            <w:r w:rsidRPr="005B0796">
              <w:t>413</w:t>
            </w:r>
          </w:p>
        </w:tc>
        <w:tc>
          <w:tcPr>
            <w:tcW w:w="598" w:type="dxa"/>
            <w:hideMark/>
          </w:tcPr>
          <w:p w:rsidR="00577C92" w:rsidRPr="005B0796" w:rsidRDefault="00577C92" w:rsidP="00846642">
            <w:pPr>
              <w:pStyle w:val="TableText"/>
              <w:jc w:val="right"/>
            </w:pPr>
            <w:r w:rsidRPr="005B0796">
              <w:t>14.8</w:t>
            </w:r>
          </w:p>
        </w:tc>
        <w:tc>
          <w:tcPr>
            <w:tcW w:w="599" w:type="dxa"/>
            <w:hideMark/>
          </w:tcPr>
          <w:p w:rsidR="00577C92" w:rsidRPr="005B0796" w:rsidRDefault="00577C92" w:rsidP="00846642">
            <w:pPr>
              <w:pStyle w:val="TableText"/>
              <w:jc w:val="right"/>
            </w:pPr>
            <w:r w:rsidRPr="005B0796">
              <w:t>11.3, 19.2</w:t>
            </w:r>
          </w:p>
        </w:tc>
      </w:tr>
      <w:tr w:rsidR="00577C92" w:rsidRPr="005B0796" w:rsidTr="00577C92">
        <w:trPr>
          <w:cnfStyle w:val="000000100000" w:firstRow="0" w:lastRow="0" w:firstColumn="0" w:lastColumn="0" w:oddVBand="0" w:evenVBand="0" w:oddHBand="1" w:evenHBand="0" w:firstRowFirstColumn="0" w:firstRowLastColumn="0" w:lastRowFirstColumn="0" w:lastRowLastColumn="0"/>
        </w:trPr>
        <w:tc>
          <w:tcPr>
            <w:tcW w:w="738" w:type="dxa"/>
            <w:hideMark/>
          </w:tcPr>
          <w:p w:rsidR="00577C92" w:rsidRPr="005B0796" w:rsidRDefault="00577C92" w:rsidP="00846642">
            <w:pPr>
              <w:pStyle w:val="TableText"/>
            </w:pPr>
            <w:r w:rsidRPr="005B0796">
              <w:t>High (40–49)</w:t>
            </w:r>
          </w:p>
        </w:tc>
        <w:tc>
          <w:tcPr>
            <w:tcW w:w="598" w:type="dxa"/>
            <w:hideMark/>
          </w:tcPr>
          <w:p w:rsidR="00577C92" w:rsidRPr="005B0796" w:rsidRDefault="00577C92" w:rsidP="00846642">
            <w:pPr>
              <w:pStyle w:val="TableText"/>
              <w:jc w:val="right"/>
            </w:pPr>
            <w:r w:rsidRPr="005B0796">
              <w:t>537</w:t>
            </w:r>
          </w:p>
        </w:tc>
        <w:tc>
          <w:tcPr>
            <w:tcW w:w="598" w:type="dxa"/>
            <w:hideMark/>
          </w:tcPr>
          <w:p w:rsidR="00577C92" w:rsidRPr="005B0796" w:rsidRDefault="00577C92" w:rsidP="00846642">
            <w:pPr>
              <w:pStyle w:val="TableText"/>
              <w:jc w:val="right"/>
            </w:pPr>
            <w:r w:rsidRPr="005B0796">
              <w:t>10.3</w:t>
            </w:r>
          </w:p>
        </w:tc>
        <w:tc>
          <w:tcPr>
            <w:tcW w:w="598" w:type="dxa"/>
            <w:hideMark/>
          </w:tcPr>
          <w:p w:rsidR="00577C92" w:rsidRPr="005B0796" w:rsidRDefault="00577C92" w:rsidP="00846642">
            <w:pPr>
              <w:pStyle w:val="TableText"/>
              <w:jc w:val="right"/>
            </w:pPr>
            <w:r w:rsidRPr="005B0796">
              <w:t>7.9, 13.3</w:t>
            </w:r>
          </w:p>
        </w:tc>
        <w:tc>
          <w:tcPr>
            <w:tcW w:w="598" w:type="dxa"/>
            <w:hideMark/>
          </w:tcPr>
          <w:p w:rsidR="00577C92" w:rsidRPr="005B0796" w:rsidRDefault="00577C92" w:rsidP="00846642">
            <w:pPr>
              <w:pStyle w:val="TableText"/>
              <w:jc w:val="right"/>
            </w:pPr>
            <w:r w:rsidRPr="005B0796">
              <w:t>323</w:t>
            </w:r>
          </w:p>
        </w:tc>
        <w:tc>
          <w:tcPr>
            <w:tcW w:w="599" w:type="dxa"/>
            <w:hideMark/>
          </w:tcPr>
          <w:p w:rsidR="00577C92" w:rsidRPr="005B0796" w:rsidRDefault="00577C92" w:rsidP="00846642">
            <w:pPr>
              <w:pStyle w:val="TableText"/>
              <w:jc w:val="right"/>
            </w:pPr>
            <w:r w:rsidRPr="005B0796">
              <w:t>9.0</w:t>
            </w:r>
          </w:p>
        </w:tc>
        <w:tc>
          <w:tcPr>
            <w:tcW w:w="598" w:type="dxa"/>
            <w:hideMark/>
          </w:tcPr>
          <w:p w:rsidR="00577C92" w:rsidRPr="005B0796" w:rsidRDefault="00577C92" w:rsidP="00846642">
            <w:pPr>
              <w:pStyle w:val="TableText"/>
              <w:jc w:val="right"/>
            </w:pPr>
            <w:r w:rsidRPr="005B0796">
              <w:t>6.8, 11.9</w:t>
            </w:r>
          </w:p>
        </w:tc>
        <w:tc>
          <w:tcPr>
            <w:tcW w:w="598" w:type="dxa"/>
            <w:hideMark/>
          </w:tcPr>
          <w:p w:rsidR="00577C92" w:rsidRPr="005B0796" w:rsidRDefault="00577C92" w:rsidP="00846642">
            <w:pPr>
              <w:pStyle w:val="TableText"/>
              <w:jc w:val="right"/>
            </w:pPr>
            <w:r w:rsidRPr="005B0796">
              <w:t>263</w:t>
            </w:r>
          </w:p>
        </w:tc>
        <w:tc>
          <w:tcPr>
            <w:tcW w:w="598" w:type="dxa"/>
            <w:hideMark/>
          </w:tcPr>
          <w:p w:rsidR="00577C92" w:rsidRPr="005B0796" w:rsidRDefault="00577C92" w:rsidP="00846642">
            <w:pPr>
              <w:pStyle w:val="TableText"/>
              <w:jc w:val="right"/>
            </w:pPr>
            <w:r w:rsidRPr="005B0796">
              <w:t>9.4</w:t>
            </w:r>
          </w:p>
        </w:tc>
        <w:tc>
          <w:tcPr>
            <w:tcW w:w="599" w:type="dxa"/>
            <w:hideMark/>
          </w:tcPr>
          <w:p w:rsidR="00577C92" w:rsidRPr="005B0796" w:rsidRDefault="00577C92" w:rsidP="00846642">
            <w:pPr>
              <w:pStyle w:val="TableText"/>
              <w:jc w:val="right"/>
            </w:pPr>
            <w:r w:rsidRPr="005B0796">
              <w:t>6.8, 13.0</w:t>
            </w:r>
          </w:p>
        </w:tc>
      </w:tr>
      <w:tr w:rsidR="00577C92" w:rsidRPr="005B0796" w:rsidTr="00577C92">
        <w:tc>
          <w:tcPr>
            <w:tcW w:w="738" w:type="dxa"/>
            <w:hideMark/>
          </w:tcPr>
          <w:p w:rsidR="00577C92" w:rsidRPr="005B0796" w:rsidRDefault="00577C92" w:rsidP="00846642">
            <w:pPr>
              <w:pStyle w:val="TableText"/>
            </w:pPr>
            <w:r w:rsidRPr="005B0796">
              <w:t>Very high (50–85)</w:t>
            </w:r>
          </w:p>
        </w:tc>
        <w:tc>
          <w:tcPr>
            <w:tcW w:w="598" w:type="dxa"/>
            <w:hideMark/>
          </w:tcPr>
          <w:p w:rsidR="00577C92" w:rsidRPr="005B0796" w:rsidRDefault="00577C92" w:rsidP="00846642">
            <w:pPr>
              <w:pStyle w:val="TableText"/>
              <w:jc w:val="right"/>
            </w:pPr>
            <w:r w:rsidRPr="005B0796">
              <w:t>934</w:t>
            </w:r>
          </w:p>
        </w:tc>
        <w:tc>
          <w:tcPr>
            <w:tcW w:w="598" w:type="dxa"/>
            <w:hideMark/>
          </w:tcPr>
          <w:p w:rsidR="00577C92" w:rsidRPr="005B0796" w:rsidRDefault="00577C92" w:rsidP="00846642">
            <w:pPr>
              <w:pStyle w:val="TableText"/>
              <w:jc w:val="right"/>
            </w:pPr>
            <w:r w:rsidRPr="005B0796">
              <w:t>17.8</w:t>
            </w:r>
          </w:p>
        </w:tc>
        <w:tc>
          <w:tcPr>
            <w:tcW w:w="598" w:type="dxa"/>
            <w:hideMark/>
          </w:tcPr>
          <w:p w:rsidR="00577C92" w:rsidRPr="005B0796" w:rsidRDefault="00577C92" w:rsidP="00846642">
            <w:pPr>
              <w:pStyle w:val="TableText"/>
              <w:jc w:val="right"/>
            </w:pPr>
            <w:r w:rsidRPr="005B0796">
              <w:t>14.8, 21.4</w:t>
            </w:r>
          </w:p>
        </w:tc>
        <w:tc>
          <w:tcPr>
            <w:tcW w:w="598" w:type="dxa"/>
            <w:hideMark/>
          </w:tcPr>
          <w:p w:rsidR="00577C92" w:rsidRPr="005B0796" w:rsidRDefault="00577C92" w:rsidP="00846642">
            <w:pPr>
              <w:pStyle w:val="TableText"/>
              <w:jc w:val="right"/>
            </w:pPr>
            <w:r w:rsidRPr="005B0796">
              <w:t>524</w:t>
            </w:r>
          </w:p>
        </w:tc>
        <w:tc>
          <w:tcPr>
            <w:tcW w:w="599" w:type="dxa"/>
            <w:hideMark/>
          </w:tcPr>
          <w:p w:rsidR="00577C92" w:rsidRPr="005B0796" w:rsidRDefault="00577C92" w:rsidP="00846642">
            <w:pPr>
              <w:pStyle w:val="TableText"/>
              <w:jc w:val="right"/>
            </w:pPr>
            <w:r w:rsidRPr="005B0796">
              <w:t>14.6</w:t>
            </w:r>
          </w:p>
        </w:tc>
        <w:tc>
          <w:tcPr>
            <w:tcW w:w="598" w:type="dxa"/>
            <w:hideMark/>
          </w:tcPr>
          <w:p w:rsidR="00577C92" w:rsidRPr="005B0796" w:rsidRDefault="00577C92" w:rsidP="00846642">
            <w:pPr>
              <w:pStyle w:val="TableText"/>
              <w:jc w:val="right"/>
            </w:pPr>
            <w:r w:rsidRPr="005B0796">
              <w:t>11.7, 18.2</w:t>
            </w:r>
          </w:p>
        </w:tc>
        <w:tc>
          <w:tcPr>
            <w:tcW w:w="598" w:type="dxa"/>
            <w:hideMark/>
          </w:tcPr>
          <w:p w:rsidR="00577C92" w:rsidRPr="005B0796" w:rsidRDefault="00577C92" w:rsidP="00846642">
            <w:pPr>
              <w:pStyle w:val="TableText"/>
              <w:jc w:val="right"/>
            </w:pPr>
            <w:r w:rsidRPr="005B0796">
              <w:t>456</w:t>
            </w:r>
          </w:p>
        </w:tc>
        <w:tc>
          <w:tcPr>
            <w:tcW w:w="598" w:type="dxa"/>
            <w:hideMark/>
          </w:tcPr>
          <w:p w:rsidR="00577C92" w:rsidRPr="005B0796" w:rsidRDefault="00577C92" w:rsidP="00846642">
            <w:pPr>
              <w:pStyle w:val="TableText"/>
              <w:jc w:val="right"/>
            </w:pPr>
            <w:r w:rsidRPr="005B0796">
              <w:t>16.4</w:t>
            </w:r>
          </w:p>
        </w:tc>
        <w:tc>
          <w:tcPr>
            <w:tcW w:w="599" w:type="dxa"/>
            <w:hideMark/>
          </w:tcPr>
          <w:p w:rsidR="00577C92" w:rsidRPr="005B0796" w:rsidRDefault="00577C92" w:rsidP="00846642">
            <w:pPr>
              <w:pStyle w:val="TableText"/>
              <w:jc w:val="right"/>
            </w:pPr>
            <w:r w:rsidRPr="005B0796">
              <w:t>12.6, 21.1</w:t>
            </w:r>
          </w:p>
        </w:tc>
      </w:tr>
    </w:tbl>
    <w:p w:rsidR="00627FEE" w:rsidRPr="005B0796" w:rsidRDefault="00627FEE" w:rsidP="00627FEE">
      <w:pPr>
        <w:pStyle w:val="TableNotes"/>
      </w:pPr>
      <w:r w:rsidRPr="005B0796">
        <w:t xml:space="preserve">Note: 95% CI: 95% </w:t>
      </w:r>
      <w:r w:rsidR="00564689" w:rsidRPr="005B0796">
        <w:t>confidence interval</w:t>
      </w:r>
    </w:p>
    <w:p w:rsidR="005A477D" w:rsidRPr="005B0796" w:rsidRDefault="005A477D" w:rsidP="005A477D"/>
    <w:p w:rsidR="005A477D" w:rsidRPr="005B0796" w:rsidRDefault="005A477D" w:rsidP="005A477D">
      <w:pPr>
        <w:sectPr w:rsidR="005A477D" w:rsidRPr="005B0796" w:rsidSect="00BE66A5">
          <w:headerReference w:type="even" r:id="rId185"/>
          <w:headerReference w:type="default" r:id="rId186"/>
          <w:footerReference w:type="even" r:id="rId187"/>
          <w:footerReference w:type="default" r:id="rId188"/>
          <w:pgSz w:w="14170" w:h="9979" w:orient="landscape" w:code="243"/>
          <w:pgMar w:top="1872" w:right="1440" w:bottom="1152" w:left="1440" w:header="576" w:footer="576" w:gutter="0"/>
          <w:cols w:space="708"/>
          <w:docGrid w:linePitch="360"/>
        </w:sectPr>
      </w:pPr>
    </w:p>
    <w:p w:rsidR="005A477D" w:rsidRPr="005B0796" w:rsidRDefault="00627FEE" w:rsidP="00627FEE">
      <w:pPr>
        <w:pStyle w:val="FigureName"/>
      </w:pPr>
      <w:bookmarkStart w:id="934" w:name="_Toc487014396"/>
      <w:bookmarkStart w:id="935" w:name="_Toc51190056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6</w:t>
      </w:r>
      <w:r w:rsidR="00D30A3C">
        <w:rPr>
          <w:noProof/>
        </w:rPr>
        <w:fldChar w:fldCharType="end"/>
      </w:r>
      <w:r w:rsidR="00C01061">
        <w:tab/>
        <w:t xml:space="preserve">Estimated proportions </w:t>
      </w:r>
      <w:r w:rsidRPr="005B0796">
        <w:t>o</w:t>
      </w:r>
      <w:r w:rsidR="00C01061">
        <w:t>f</w:t>
      </w:r>
      <w:r w:rsidRPr="005B0796">
        <w:t xml:space="preserve"> Transitioned ADF members scoring in each of the four PCL bands for posttraumatic stress, by years since transition</w:t>
      </w:r>
      <w:bookmarkEnd w:id="934"/>
      <w:bookmarkEnd w:id="935"/>
    </w:p>
    <w:tbl>
      <w:tblPr>
        <w:tblW w:w="0" w:type="auto"/>
        <w:tblLook w:val="04A0" w:firstRow="1" w:lastRow="0" w:firstColumn="1" w:lastColumn="0" w:noHBand="0" w:noVBand="1"/>
      </w:tblPr>
      <w:tblGrid>
        <w:gridCol w:w="7315"/>
      </w:tblGrid>
      <w:tr w:rsidR="005A477D" w:rsidRPr="005B0796" w:rsidTr="00627FEE">
        <w:tc>
          <w:tcPr>
            <w:tcW w:w="7315" w:type="dxa"/>
          </w:tcPr>
          <w:p w:rsidR="005A477D" w:rsidRPr="005B0796" w:rsidRDefault="005A477D" w:rsidP="00855912">
            <w:r w:rsidRPr="005B0796">
              <w:rPr>
                <w:noProof/>
                <w:lang w:eastAsia="en-AU"/>
              </w:rPr>
              <w:drawing>
                <wp:inline distT="0" distB="0" distL="0" distR="0" wp14:anchorId="7170D956" wp14:editId="114EB30E">
                  <wp:extent cx="4572000" cy="2743200"/>
                  <wp:effectExtent l="0" t="0" r="0" b="0"/>
                  <wp:docPr id="295" name="Chart 295" descr="Figure 5.6 Estimated proportions for Transitioned ADF members scoring in each of the four PCL bands for posttraumatic stress,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bl>
    <w:p w:rsidR="005A477D" w:rsidRPr="005B0796" w:rsidRDefault="005A477D" w:rsidP="00627FEE">
      <w:pPr>
        <w:pStyle w:val="Heading2"/>
      </w:pPr>
      <w:bookmarkStart w:id="936" w:name="_Toc482021371"/>
      <w:bookmarkStart w:id="937" w:name="_Toc482024461"/>
      <w:bookmarkStart w:id="938" w:name="_Toc487011219"/>
      <w:bookmarkStart w:id="939" w:name="_Toc494449739"/>
      <w:bookmarkStart w:id="940" w:name="_Toc511900321"/>
      <w:r w:rsidRPr="005B0796">
        <w:t>Alcohol use and problem drinking (AUDIT)</w:t>
      </w:r>
      <w:bookmarkEnd w:id="936"/>
      <w:bookmarkEnd w:id="937"/>
      <w:bookmarkEnd w:id="938"/>
      <w:bookmarkEnd w:id="939"/>
      <w:bookmarkEnd w:id="940"/>
    </w:p>
    <w:p w:rsidR="00B0763D" w:rsidRPr="005B0796" w:rsidRDefault="00B0763D" w:rsidP="00B0763D">
      <w:pPr>
        <w:pStyle w:val="ShadedBullet"/>
      </w:pPr>
      <w:r w:rsidRPr="005B0796">
        <w:t>An estimated 6.5% of the Transitioned ADF were in the highest scoring band (Band 4) on the AUDIT compared to 1.4% of the 2015 Regular ADF and 1.4% of the 2010 Regular ADF. This suggests the need for diagnostic evaluation and treatment for Transitioned ADF members.</w:t>
      </w:r>
    </w:p>
    <w:p w:rsidR="00B0763D" w:rsidRPr="005B0796" w:rsidRDefault="00B0763D" w:rsidP="00B0763D">
      <w:pPr>
        <w:pStyle w:val="ShadedBullet"/>
      </w:pPr>
      <w:r w:rsidRPr="005B0796">
        <w:t>Compared to members of the 2015 Regular ADF, Transitioned ADF members reported significantly higher AUDIT total scores; were significantly more likely to drink more frequently (that is, four or more times per week); drink more standard drinks on a typical day; report a problem with drinking (possible or definite drinking problem); and anticipate it would be fairly or very difficult to cut down or stop drinking in the next three months.</w:t>
      </w:r>
    </w:p>
    <w:p w:rsidR="00B0763D" w:rsidRPr="005B0796" w:rsidRDefault="00B0763D" w:rsidP="00B0763D">
      <w:pPr>
        <w:pStyle w:val="ShadedBullet"/>
      </w:pPr>
      <w:r w:rsidRPr="005B0796">
        <w:t xml:space="preserve">Alcohol use significantly decreased in the Regular ADF from 2010 to 2015, in relation to AUDIT total scores, frequency of alcohol consumption, quantity of drinks consumed, and self-reported difficulties reducing alcohol consumption in the next three months. </w:t>
      </w:r>
    </w:p>
    <w:p w:rsidR="00B0763D" w:rsidRPr="005B0796" w:rsidRDefault="00B0763D" w:rsidP="00B0763D">
      <w:pPr>
        <w:pStyle w:val="ShadedBullet"/>
      </w:pPr>
      <w:r w:rsidRPr="005B0796">
        <w:t>In the Transitioned ADF:</w:t>
      </w:r>
    </w:p>
    <w:p w:rsidR="00B0763D" w:rsidRPr="005B0796" w:rsidRDefault="00B0763D" w:rsidP="00B0763D">
      <w:pPr>
        <w:pStyle w:val="ShadedDash"/>
        <w:rPr>
          <w:bCs/>
        </w:rPr>
      </w:pPr>
      <w:r w:rsidRPr="005B0796">
        <w:tab/>
        <w:t>–</w:t>
      </w:r>
      <w:r w:rsidRPr="005B0796">
        <w:tab/>
      </w:r>
      <w:r w:rsidR="00C01061" w:rsidRPr="005B0796">
        <w:t xml:space="preserve">Almost </w:t>
      </w:r>
      <w:r w:rsidRPr="005B0796">
        <w:t>10.0% of members reported a possible or definite problem with drinking, and more than 8.0% thought they would have difficulty reducing their alcohol consumption</w:t>
      </w:r>
      <w:r w:rsidR="00C01061">
        <w:t>.</w:t>
      </w:r>
    </w:p>
    <w:p w:rsidR="00B0763D" w:rsidRPr="005B0796" w:rsidRDefault="00C01061" w:rsidP="00B0763D">
      <w:pPr>
        <w:pStyle w:val="ShadedDash"/>
      </w:pPr>
      <w:r w:rsidRPr="005B0796">
        <w:tab/>
      </w:r>
      <w:r w:rsidR="00B0763D" w:rsidRPr="005B0796">
        <w:t>–</w:t>
      </w:r>
      <w:r w:rsidR="00B0763D" w:rsidRPr="005B0796">
        <w:tab/>
      </w:r>
      <w:r w:rsidRPr="005B0796">
        <w:t xml:space="preserve">A </w:t>
      </w:r>
      <w:r w:rsidR="00B0763D" w:rsidRPr="005B0796">
        <w:t>comparison of Transitioned Ex-Serving with Transitioned Reservists showed the lowest rates of self-reported alcohol use in those who remained most engaged w</w:t>
      </w:r>
      <w:r>
        <w:t>ith Defence (Active Reservists).</w:t>
      </w:r>
    </w:p>
    <w:p w:rsidR="00B0763D" w:rsidRPr="005B0796" w:rsidRDefault="00B0763D" w:rsidP="00B0763D">
      <w:pPr>
        <w:pStyle w:val="ShadedDash"/>
      </w:pPr>
      <w:r w:rsidRPr="005B0796">
        <w:tab/>
        <w:t>–</w:t>
      </w:r>
      <w:r w:rsidRPr="005B0796">
        <w:tab/>
      </w:r>
      <w:r w:rsidR="00C01061" w:rsidRPr="005B0796">
        <w:t>Overall</w:t>
      </w:r>
      <w:r w:rsidRPr="005B0796">
        <w:t>, alcohol use and problem drinking showed no association with years since transition.</w:t>
      </w:r>
    </w:p>
    <w:p w:rsidR="00B0763D" w:rsidRPr="005B0796" w:rsidRDefault="00B0763D" w:rsidP="00B0763D">
      <w:pPr>
        <w:pStyle w:val="ShadedBoxText"/>
      </w:pPr>
      <w:r w:rsidRPr="005B0796">
        <w:rPr>
          <w:b/>
        </w:rPr>
        <w:t xml:space="preserve">Glossary: </w:t>
      </w:r>
      <w:r w:rsidRPr="005B0796">
        <w:t>refer to the Glossary of terms for definitions of key terms in this section.</w:t>
      </w:r>
    </w:p>
    <w:p w:rsidR="005A477D" w:rsidRPr="005B0796" w:rsidRDefault="005A477D" w:rsidP="00B0763D">
      <w:r w:rsidRPr="005B0796">
        <w:t xml:space="preserve">This section provides a detailed summary of self-reported alcohol use and problem drinking among ADF members who transitioned from the Regular ADF between 2010 and 2014 (Transitioned ADF) compared to 2010 and 2015 Regular ADF members. </w:t>
      </w:r>
    </w:p>
    <w:p w:rsidR="005A477D" w:rsidRPr="005B0796" w:rsidRDefault="005A477D" w:rsidP="00B0763D">
      <w:r w:rsidRPr="005B0796">
        <w:t xml:space="preserve">The distribution of alcohol use and problem drinking in the Transitioned ADF compared to the 2010 and 2015 Regular ADF will be reported first. Next, the distribution of alcohol use and problem drinking in the Transitioned ADF, by the categories of transition status (Ex-Serving, Active Reservist, Inactive Reservist) and years since transition, will be examined. </w:t>
      </w:r>
    </w:p>
    <w:p w:rsidR="005A477D" w:rsidRPr="005B0796" w:rsidRDefault="005A477D" w:rsidP="00B0763D">
      <w:r w:rsidRPr="005B0796">
        <w:t xml:space="preserve">AUDIT </w:t>
      </w:r>
      <w:r w:rsidRPr="005B0796">
        <w:fldChar w:fldCharType="begin"/>
      </w:r>
      <w:r w:rsidRPr="005B0796">
        <w:instrText xml:space="preserve"> ADDIN EN.CITE &lt;EndNote&gt;&lt;Cite&gt;&lt;Author&gt;Saunders&lt;/Author&gt;&lt;Year&gt;1993&lt;/Year&gt;&lt;RecNum&gt;444&lt;/RecNum&gt;&lt;DisplayText&gt;(Saunders et al., 1993)&lt;/DisplayText&gt;&lt;record&gt;&lt;rec-number&gt;444&lt;/rec-number&gt;&lt;foreign-keys&gt;&lt;key app="EN" db-id="arwdrezp9sdawxevtfyxtfw10exvr5exxfed" timestamp="1478237290"&gt;444&lt;/key&gt;&lt;/foreign-keys&gt;&lt;ref-type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(Linking)&lt;/isbn&gt;&lt;accession-num&gt;8329970&lt;/accession-num&gt;&lt;urls&gt;&lt;related-urls&gt;&lt;url&gt;http://www.ncbi.nlm.nih.gov/pubmed/8329970&lt;/url&gt;&lt;/related-urls&gt;&lt;/urls&gt;&lt;/record&gt;&lt;/Cite&gt;&lt;/EndNote&gt;</w:instrText>
      </w:r>
      <w:r w:rsidRPr="005B0796">
        <w:fldChar w:fldCharType="separate"/>
      </w:r>
      <w:r w:rsidRPr="005B0796">
        <w:t>(Saunders et al., 1993)</w:t>
      </w:r>
      <w:r w:rsidRPr="005B0796">
        <w:fldChar w:fldCharType="end"/>
      </w:r>
      <w:r w:rsidRPr="005B0796">
        <w:t xml:space="preserve"> is a brief self-report instrument widely used in epidemiological and clinical practice for defining at-risk patterns of drinking. The World Health Organization (WHO) developed AUDIT for primary care settings after conducting an extensive six-nation validation trial that included Australia </w:t>
      </w:r>
      <w:r w:rsidRPr="005B0796">
        <w:fldChar w:fldCharType="begin"/>
      </w:r>
      <w:r w:rsidRPr="005B0796">
        <w:instrText xml:space="preserve"> ADDIN EN.CITE &lt;EndNote&gt;&lt;Cite&gt;&lt;Author&gt;Babor&lt;/Author&gt;&lt;Year&gt;2001&lt;/Year&gt;&lt;RecNum&gt;505&lt;/RecNum&gt;&lt;DisplayText&gt;(Babor et al., 2001)&lt;/DisplayText&gt;&lt;record&gt;&lt;rec-number&gt;505&lt;/rec-number&gt;&lt;foreign-keys&gt;&lt;key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5B0796">
        <w:fldChar w:fldCharType="separate"/>
      </w:r>
      <w:r w:rsidRPr="005B0796">
        <w:t>(Babor et al., 2001)</w:t>
      </w:r>
      <w:r w:rsidRPr="005B0796">
        <w:fldChar w:fldCharType="end"/>
      </w:r>
      <w:r w:rsidRPr="005B0796">
        <w:t>.</w:t>
      </w:r>
    </w:p>
    <w:p w:rsidR="005A477D" w:rsidRPr="005B0796" w:rsidRDefault="005A477D" w:rsidP="00B0763D">
      <w:r w:rsidRPr="005B0796">
        <w:t xml:space="preserve">AUDIT examines the quantity and frequency of alcohol consumption, possible symptoms of dependence, and reactions or problems related to alcohol. The first eight questions use a five-item continuous scale (scored 0–4), while the last two questions use a three-item scale (scored 0, 2 or 4). A final score is reached by adding up all 10 questions. </w:t>
      </w:r>
    </w:p>
    <w:p w:rsidR="005A477D" w:rsidRPr="005B0796" w:rsidRDefault="005A477D" w:rsidP="00B0763D">
      <w:r w:rsidRPr="005B0796">
        <w:t xml:space="preserve">The ADF has used AUDIT as an educational, epidemiological and clinical tool since it launched the ADF Mental Health Strategy. AUDIT was officially recognised as a tool to </w:t>
      </w:r>
      <w:r w:rsidR="00462A0C" w:rsidRPr="005B0796">
        <w:t>‘</w:t>
      </w:r>
      <w:r w:rsidRPr="005B0796">
        <w:t>… identify people whose drinking may pose a risk to their health, or who are already experiencing alcohol-related problems, including dependence</w:t>
      </w:r>
      <w:r w:rsidR="00462A0C" w:rsidRPr="005B0796">
        <w:t>’</w:t>
      </w:r>
      <w:r w:rsidRPr="005B0796">
        <w:t xml:space="preserve"> in ADF Health Bulletin Number 15/2003 </w:t>
      </w:r>
      <w:r w:rsidRPr="005B0796">
        <w:fldChar w:fldCharType="begin"/>
      </w:r>
      <w:r w:rsidRPr="005B0796">
        <w:instrText xml:space="preserve"> ADDIN EN.CITE &lt;EndNote&gt;&lt;Cite ExcludeYear="1"&gt;&lt;Author&gt;Defence Health Bulletin (15/03)&lt;/Author&gt;&lt;RecNum&gt;608&lt;/RecNum&gt;&lt;DisplayText&gt;(Defence Health Bulletin (15/03))&lt;/DisplayText&gt;&lt;record&gt;&lt;rec-number&gt;608&lt;/rec-number&gt;&lt;foreign-keys&gt;&lt;key app="EN" db-id="arwdrezp9sdawxevtfyxtfw10exvr5exxfed" timestamp="1479360121"&gt;608&lt;/key&gt;&lt;/foreign-keys&gt;&lt;ref-type name="Book"&gt;6&lt;/ref-type&gt;&lt;contributors&gt;&lt;authors&gt;&lt;author&gt;Defence Health Bulletin (15/03),&lt;/author&gt;&lt;/authors&gt;&lt;/contributors&gt;&lt;titles&gt;&lt;title&gt;Alcohol Use disorders Identification Test&lt;/title&gt;&lt;/titles&gt;&lt;dates&gt;&lt;/dates&gt;&lt;publisher&gt;Defence Health Services, Department of Defence.&lt;/publisher&gt;&lt;urls&gt;&lt;/urls&gt;&lt;/record&gt;&lt;/Cite&gt;&lt;/EndNote&gt;</w:instrText>
      </w:r>
      <w:r w:rsidRPr="005B0796">
        <w:fldChar w:fldCharType="separate"/>
      </w:r>
      <w:r w:rsidRPr="005B0796">
        <w:t>(Defence Health Bulletin (15/03))</w:t>
      </w:r>
      <w:r w:rsidRPr="005B0796">
        <w:fldChar w:fldCharType="end"/>
      </w:r>
      <w:r w:rsidRPr="005B0796">
        <w:t xml:space="preserve">. It has been part of the Post Operational Psychological Screen process since its introduction in 1999 </w:t>
      </w:r>
      <w:r w:rsidRPr="005B0796">
        <w:fldChar w:fldCharType="begin"/>
      </w:r>
      <w:r w:rsidRPr="005B0796">
        <w:instrText xml:space="preserve"> ADDIN EN.CITE &lt;EndNote&gt;&lt;Cite&gt;&lt;Author&gt;Steele&lt;/Author&gt;&lt;Year&gt;2006&lt;/Year&gt;&lt;RecNum&gt;611&lt;/RecNum&gt;&lt;DisplayText&gt;(Steele &amp;amp; Goodman, 2006)&lt;/DisplayText&gt;&lt;record&gt;&lt;rec-number&gt;611&lt;/rec-number&gt;&lt;foreign-keys&gt;&lt;key app="EN" db-id="arwdrezp9sdawxevtfyxtfw10exvr5exxfed" timestamp="1479363188"&gt;611&lt;/key&gt;&lt;/foreign-keys&gt;&lt;ref-type name="Book"&gt;6&lt;/ref-type&gt;&lt;contributors&gt;&lt;authors&gt;&lt;author&gt;Steele, N.&lt;/author&gt;&lt;author&gt;Goodman, M.&lt;/author&gt;&lt;/authors&gt;&lt;/contributors&gt;&lt;titles&gt;&lt;title&gt;History of ADF Mental Health Screening 1999-2005.&lt;/title&gt;&lt;/titles&gt;&lt;dates&gt;&lt;year&gt;2006&lt;/year&gt;&lt;/dates&gt;&lt;pub-location&gt;In PRTG TECHNICAL BRIEF 4/2006 (ed). Canberra:&lt;/pub-location&gt;&lt;publisher&gt;Defence Force Psychology Organisation, Department of Defence.&lt;/publisher&gt;&lt;urls&gt;&lt;/urls&gt;&lt;/record&gt;&lt;/Cite&gt;&lt;/EndNote&gt;</w:instrText>
      </w:r>
      <w:r w:rsidRPr="005B0796">
        <w:fldChar w:fldCharType="separate"/>
      </w:r>
      <w:r w:rsidRPr="005B0796">
        <w:t>(Steele &amp; Goodman, 2006)</w:t>
      </w:r>
      <w:r w:rsidRPr="005B0796">
        <w:fldChar w:fldCharType="end"/>
      </w:r>
      <w:r w:rsidRPr="005B0796">
        <w:t>. In 2010, it was used in the ADF Mental Health Prevalence and Wellbeing Study to examine self-reported alcohol use and problems in the entire ADF.</w:t>
      </w:r>
    </w:p>
    <w:p w:rsidR="005A477D" w:rsidRPr="005B0796" w:rsidRDefault="005A477D" w:rsidP="00611FDB">
      <w:pPr>
        <w:keepNext/>
      </w:pPr>
      <w:r w:rsidRPr="005B0796">
        <w:t>Currently, the ADF uses the recommended WHO risk categories; therefore, it is also using the scoring categories in this study. This process identifies four bands of risk:</w:t>
      </w:r>
    </w:p>
    <w:p w:rsidR="005A477D" w:rsidRPr="005B0796" w:rsidRDefault="005A477D" w:rsidP="00611FDB">
      <w:pPr>
        <w:pStyle w:val="Bullet"/>
        <w:keepNext/>
      </w:pPr>
      <w:r w:rsidRPr="005B0796">
        <w:rPr>
          <w:b/>
        </w:rPr>
        <w:t>Band 1:</w:t>
      </w:r>
      <w:r w:rsidRPr="005B0796">
        <w:t xml:space="preserve"> (scores of 0–7) would benefit from alcohol education </w:t>
      </w:r>
    </w:p>
    <w:p w:rsidR="005A477D" w:rsidRPr="005B0796" w:rsidRDefault="005A477D" w:rsidP="005A477D">
      <w:pPr>
        <w:pStyle w:val="Bullet"/>
      </w:pPr>
      <w:r w:rsidRPr="005B0796">
        <w:rPr>
          <w:b/>
        </w:rPr>
        <w:t>Band 2</w:t>
      </w:r>
      <w:r w:rsidRPr="005B0796">
        <w:t xml:space="preserve"> (scores of 8–15) likely to require simple advice</w:t>
      </w:r>
    </w:p>
    <w:p w:rsidR="005A477D" w:rsidRPr="005B0796" w:rsidRDefault="005A477D" w:rsidP="005A477D">
      <w:pPr>
        <w:pStyle w:val="Bullet"/>
      </w:pPr>
      <w:r w:rsidRPr="005B0796">
        <w:rPr>
          <w:b/>
        </w:rPr>
        <w:t>Band 3</w:t>
      </w:r>
      <w:r w:rsidRPr="005B0796">
        <w:t xml:space="preserve"> (scores of 16–9) counselling and continued monitoring are recommended</w:t>
      </w:r>
    </w:p>
    <w:p w:rsidR="005A477D" w:rsidRPr="005B0796" w:rsidRDefault="005A477D" w:rsidP="005A477D">
      <w:pPr>
        <w:pStyle w:val="Bullet"/>
      </w:pPr>
      <w:r w:rsidRPr="005B0796">
        <w:rPr>
          <w:b/>
        </w:rPr>
        <w:t>Band 4</w:t>
      </w:r>
      <w:r w:rsidRPr="005B0796">
        <w:t xml:space="preserve"> (Scores of 20–40) requires diagnostic evaluation and treatment, including counselling and monitoring </w:t>
      </w:r>
      <w:r w:rsidRPr="005B0796">
        <w:fldChar w:fldCharType="begin"/>
      </w:r>
      <w:r w:rsidRPr="005B0796">
        <w:instrText xml:space="preserve"> ADDIN EN.CITE &lt;EndNote&gt;&lt;Cite&gt;&lt;Author&gt;Babor&lt;/Author&gt;&lt;Year&gt;1989&lt;/Year&gt;&lt;RecNum&gt;607&lt;/RecNum&gt;&lt;DisplayText&gt;(Babor et al., 1989; Babor et al., 2001)&lt;/DisplayText&gt;&lt;record&gt;&lt;rec-number&gt;607&lt;/rec-number&gt;&lt;foreign-keys&gt;&lt;key app="EN" db-id="arwdrezp9sdawxevtfyxtfw10exvr5exxfed" timestamp="1479359602"&gt;607&lt;/key&gt;&lt;/foreign-keys&gt;&lt;ref-type name="Book"&gt;6&lt;/ref-type&gt;&lt;contributors&gt;&lt;authors&gt;&lt;author&gt;Babor, E.&lt;/author&gt;&lt;author&gt;Fuente, J.&lt;/author&gt;&lt;author&gt;Saunders, J.&lt;/author&gt;&lt;author&gt;Grant, M.  &lt;/author&gt;&lt;/authors&gt;&lt;/contributors&gt;&lt;titles&gt;&lt;title&gt;The Alcohol Use Disorder Identification Test : Guidelines for use in primary health care&lt;/title&gt;&lt;/titles&gt;&lt;dates&gt;&lt;year&gt;1989&lt;/year&gt;&lt;/dates&gt;&lt;pub-location&gt;Geneva&lt;/pub-location&gt;&lt;publisher&gt;World Health Organisation, Division of Mental Health &lt;/publisher&gt;&lt;urls&gt;&lt;/urls&gt;&lt;/record&gt;&lt;/Cite&gt;&lt;Cite&gt;&lt;Author&gt;Babor&lt;/Author&gt;&lt;Year&gt;2001&lt;/Year&gt;&lt;RecNum&gt;505&lt;/RecNum&gt;&lt;record&gt;&lt;rec-number&gt;505&lt;/rec-number&gt;&lt;foreign-keys&gt;&lt;key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5B0796">
        <w:fldChar w:fldCharType="separate"/>
      </w:r>
      <w:r w:rsidRPr="005B0796">
        <w:t>(Babor et al., 1989; Babor et al., 2001)</w:t>
      </w:r>
      <w:r w:rsidRPr="005B0796">
        <w:fldChar w:fldCharType="end"/>
      </w:r>
      <w:r w:rsidRPr="005B0796">
        <w:t>.</w:t>
      </w:r>
    </w:p>
    <w:p w:rsidR="005A477D" w:rsidRPr="005B0796" w:rsidRDefault="005A477D" w:rsidP="00B0763D">
      <w:r w:rsidRPr="005B0796">
        <w:t xml:space="preserve">Finally, the ADF optimal screening cut-offs of 8 was also used. This cut-off was derived from the 2010 MHPWS, and maximises the sum of the sensitivity and specificity (the proportion of those with and without an alcohol disorder who are correctly classified). This cut-off can be used to identify individuals who might need care, and is designed to be more inclusive. </w:t>
      </w:r>
    </w:p>
    <w:p w:rsidR="005A477D" w:rsidRPr="005B0796" w:rsidRDefault="005A477D" w:rsidP="00B0763D">
      <w:r w:rsidRPr="005B0796">
        <w:t>In addition to AUDIT, four more questions were also asked, examining the frequency of alcohol consumption, number</w:t>
      </w:r>
      <w:r w:rsidR="00462A0C" w:rsidRPr="005B0796">
        <w:t xml:space="preserve"> </w:t>
      </w:r>
      <w:r w:rsidRPr="005B0796">
        <w:t>of standard drinks consumed on a typical day, self-reported problems with drinking and self</w:t>
      </w:r>
      <w:r w:rsidRPr="005B0796">
        <w:noBreakHyphen/>
        <w:t>reported anticipated difficulties reducing alcohol intake over the next three months. Findings are summarised in this section.</w:t>
      </w:r>
    </w:p>
    <w:p w:rsidR="005A477D" w:rsidRPr="005B0796" w:rsidRDefault="005A477D" w:rsidP="00B0763D">
      <w:pPr>
        <w:pStyle w:val="Heading3"/>
      </w:pPr>
      <w:bookmarkStart w:id="941" w:name="_Toc482021372"/>
      <w:bookmarkStart w:id="942" w:name="_Toc482024462"/>
      <w:bookmarkStart w:id="943" w:name="_Toc487011220"/>
      <w:bookmarkStart w:id="944" w:name="_Toc494449740"/>
      <w:bookmarkStart w:id="945" w:name="_Toc511900322"/>
      <w:r w:rsidRPr="005B0796">
        <w:t>Alcohol use and problem drinking in Transitioned ADF members compared to entire 2010 and 2015 Regular ADF</w:t>
      </w:r>
      <w:bookmarkEnd w:id="941"/>
      <w:bookmarkEnd w:id="942"/>
      <w:bookmarkEnd w:id="943"/>
      <w:bookmarkEnd w:id="944"/>
      <w:bookmarkEnd w:id="945"/>
    </w:p>
    <w:p w:rsidR="005A477D" w:rsidRPr="005B0796" w:rsidRDefault="009E72D3" w:rsidP="00B0763D">
      <w:r w:rsidRPr="005B0796">
        <w:t>Table 5.7</w:t>
      </w:r>
      <w:r w:rsidR="005A477D" w:rsidRPr="005B0796">
        <w:t xml:space="preserve"> and Figure 5.7 compare alcohol use and problem drinking among members of the Transitioned ADF, and the 2010 and 2015 Regular ADF, as measured by AUDIT scoring bands.</w:t>
      </w:r>
    </w:p>
    <w:p w:rsidR="005A477D" w:rsidRPr="005B0796" w:rsidRDefault="005A477D" w:rsidP="00B0763D">
      <w:r w:rsidRPr="005B0796">
        <w:t xml:space="preserve">Overall, Transitioned ADF members had the highest levels of self-reported alcohol use and problem drinking, followed by the 2010 Regular ADF and the 2015 Regular ADF. Overall, Transitioned ADF members (mean AUDIT (SE 7.2) (0.1)) reported significantly greater levels of alcohol use and problem drinking than the 2015 Regular ADF (mean AUDIT (SE 5.3) (0.2)) (mean difference = 1.9 (0.2), p &lt; 0.001). Alcohol use significantly decreased in the Regular ADF from 2010 to 2015 (mean difference = -0.7 (0.2), p &lt; 0.001). However, it should be noted that this comparison does not include any estimate of covariance between the two populations. </w:t>
      </w:r>
    </w:p>
    <w:p w:rsidR="005A477D" w:rsidRPr="005B0796" w:rsidRDefault="005A477D" w:rsidP="00B0763D">
      <w:r w:rsidRPr="005B0796">
        <w:t xml:space="preserve">A further detailed analysis of the change in levels of self-reported alcohol use and problem drinking from 2010 to 2015 will be addressed more formally in later reports. </w:t>
      </w:r>
    </w:p>
    <w:p w:rsidR="00B0763D" w:rsidRPr="005B0796" w:rsidRDefault="00B0763D" w:rsidP="00B0763D">
      <w:pPr>
        <w:pStyle w:val="TableName"/>
      </w:pPr>
      <w:bookmarkStart w:id="946" w:name="_Ref484523467"/>
      <w:bookmarkStart w:id="947" w:name="_Toc487014308"/>
      <w:bookmarkStart w:id="948" w:name="_Toc492995611"/>
      <w:bookmarkStart w:id="949" w:name="_Toc51190046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7</w:t>
      </w:r>
      <w:r w:rsidR="00D30A3C">
        <w:rPr>
          <w:noProof/>
        </w:rPr>
        <w:fldChar w:fldCharType="end"/>
      </w:r>
      <w:bookmarkEnd w:id="946"/>
      <w:r w:rsidRPr="005B0796">
        <w:tab/>
        <w:t>Estimated proportions o</w:t>
      </w:r>
      <w:r w:rsidR="00C01061">
        <w:t>f</w:t>
      </w:r>
      <w:r w:rsidRPr="005B0796">
        <w:t xml:space="preserve"> Transitioned ADF, and 2010 and 2015 Regular ADF members in each of the four AUDIT scoring bands for problem alcohol use</w:t>
      </w:r>
      <w:bookmarkEnd w:id="947"/>
      <w:bookmarkEnd w:id="948"/>
      <w:bookmarkEnd w:id="949"/>
    </w:p>
    <w:tbl>
      <w:tblPr>
        <w:tblStyle w:val="TWRPTable"/>
        <w:tblW w:w="5000" w:type="pct"/>
        <w:tblLayout w:type="fixed"/>
        <w:tblLook w:val="01E0" w:firstRow="1" w:lastRow="1" w:firstColumn="1" w:lastColumn="1" w:noHBand="0" w:noVBand="0"/>
        <w:tblDescription w:val="Table 5.7 Estimated proportions for Transitioned ADF, and 2010 and 2015 Regular ADF members in each of the four AUDIT scoring bands for problem alcohol use"/>
      </w:tblPr>
      <w:tblGrid>
        <w:gridCol w:w="1160"/>
        <w:gridCol w:w="748"/>
        <w:gridCol w:w="540"/>
        <w:gridCol w:w="763"/>
        <w:gridCol w:w="767"/>
        <w:gridCol w:w="540"/>
        <w:gridCol w:w="745"/>
        <w:gridCol w:w="785"/>
        <w:gridCol w:w="450"/>
        <w:gridCol w:w="817"/>
      </w:tblGrid>
      <w:tr w:rsidR="005A477D" w:rsidRPr="005B0796" w:rsidTr="006E384B">
        <w:trPr>
          <w:cnfStyle w:val="100000000000" w:firstRow="1" w:lastRow="0" w:firstColumn="0" w:lastColumn="0" w:oddVBand="0" w:evenVBand="0" w:oddHBand="0" w:evenHBand="0" w:firstRowFirstColumn="0" w:firstRowLastColumn="0" w:lastRowFirstColumn="0" w:lastRowLastColumn="0"/>
          <w:tblHeader/>
        </w:trPr>
        <w:tc>
          <w:tcPr>
            <w:tcW w:w="1160" w:type="dxa"/>
            <w:tcBorders>
              <w:top w:val="single" w:sz="4" w:space="0" w:color="000000"/>
              <w:bottom w:val="nil"/>
            </w:tcBorders>
          </w:tcPr>
          <w:p w:rsidR="005A477D" w:rsidRPr="005B0796" w:rsidRDefault="005A477D" w:rsidP="006E384B">
            <w:pPr>
              <w:pStyle w:val="TableText"/>
              <w:rPr>
                <w:lang w:eastAsia="en-AU"/>
              </w:rPr>
            </w:pPr>
          </w:p>
        </w:tc>
        <w:tc>
          <w:tcPr>
            <w:tcW w:w="2051" w:type="dxa"/>
            <w:gridSpan w:val="3"/>
          </w:tcPr>
          <w:p w:rsidR="005A477D" w:rsidRPr="005B0796" w:rsidRDefault="00B0763D" w:rsidP="006E384B">
            <w:pPr>
              <w:pStyle w:val="TableText"/>
              <w:jc w:val="center"/>
              <w:rPr>
                <w:bCs/>
                <w:lang w:eastAsia="en-AU"/>
              </w:rPr>
            </w:pPr>
            <w:r w:rsidRPr="005B0796">
              <w:rPr>
                <w:bCs/>
                <w:lang w:eastAsia="en-AU"/>
              </w:rPr>
              <w:t>Transitioned ADF</w:t>
            </w:r>
            <w:r w:rsidRPr="005B0796">
              <w:rPr>
                <w:bCs/>
                <w:lang w:eastAsia="en-AU"/>
              </w:rPr>
              <w:br/>
              <w:t>(n = 24,932)</w:t>
            </w:r>
          </w:p>
        </w:tc>
        <w:tc>
          <w:tcPr>
            <w:tcW w:w="2052" w:type="dxa"/>
            <w:gridSpan w:val="3"/>
          </w:tcPr>
          <w:p w:rsidR="005A477D" w:rsidRPr="005B0796" w:rsidRDefault="005A477D" w:rsidP="006E384B">
            <w:pPr>
              <w:pStyle w:val="TableText"/>
              <w:jc w:val="center"/>
              <w:rPr>
                <w:lang w:eastAsia="en-AU"/>
              </w:rPr>
            </w:pPr>
            <w:r w:rsidRPr="005B0796">
              <w:rPr>
                <w:bCs/>
                <w:lang w:eastAsia="en-AU"/>
              </w:rPr>
              <w:t>2015 Regular ADF</w:t>
            </w:r>
            <w:r w:rsidR="00B0763D" w:rsidRPr="005B0796">
              <w:rPr>
                <w:bCs/>
                <w:lang w:eastAsia="en-AU"/>
              </w:rPr>
              <w:br/>
            </w:r>
            <w:r w:rsidRPr="005B0796">
              <w:rPr>
                <w:bCs/>
                <w:lang w:eastAsia="en-AU"/>
              </w:rPr>
              <w:t>(n = 52,500)</w:t>
            </w:r>
          </w:p>
        </w:tc>
        <w:tc>
          <w:tcPr>
            <w:tcW w:w="2052" w:type="dxa"/>
            <w:gridSpan w:val="3"/>
          </w:tcPr>
          <w:p w:rsidR="005A477D" w:rsidRPr="005B0796" w:rsidRDefault="005A477D" w:rsidP="006E384B">
            <w:pPr>
              <w:pStyle w:val="TableText"/>
              <w:jc w:val="center"/>
              <w:rPr>
                <w:bCs/>
                <w:lang w:eastAsia="en-AU"/>
              </w:rPr>
            </w:pPr>
            <w:r w:rsidRPr="005B0796">
              <w:rPr>
                <w:bCs/>
                <w:lang w:eastAsia="en-AU"/>
              </w:rPr>
              <w:t>2010 Regular ADF*</w:t>
            </w:r>
            <w:r w:rsidR="00B0763D" w:rsidRPr="005B0796">
              <w:rPr>
                <w:bCs/>
                <w:lang w:eastAsia="en-AU"/>
              </w:rPr>
              <w:br/>
            </w:r>
            <w:r w:rsidRPr="005B0796">
              <w:rPr>
                <w:bCs/>
                <w:lang w:eastAsia="en-AU"/>
              </w:rPr>
              <w:t>(n = 50,049)</w:t>
            </w:r>
          </w:p>
        </w:tc>
      </w:tr>
      <w:tr w:rsidR="006E384B" w:rsidRPr="005B0796" w:rsidTr="006E384B">
        <w:trPr>
          <w:cnfStyle w:val="100000000000" w:firstRow="1" w:lastRow="0" w:firstColumn="0" w:lastColumn="0" w:oddVBand="0" w:evenVBand="0" w:oddHBand="0" w:evenHBand="0" w:firstRowFirstColumn="0" w:firstRowLastColumn="0" w:lastRowFirstColumn="0" w:lastRowLastColumn="0"/>
          <w:tblHeader/>
        </w:trPr>
        <w:tc>
          <w:tcPr>
            <w:tcW w:w="1160" w:type="dxa"/>
            <w:tcBorders>
              <w:top w:val="nil"/>
            </w:tcBorders>
          </w:tcPr>
          <w:p w:rsidR="005A477D" w:rsidRPr="005B0796" w:rsidRDefault="005A477D" w:rsidP="006E384B">
            <w:pPr>
              <w:pStyle w:val="TableText"/>
              <w:rPr>
                <w:rFonts w:eastAsia="GillSans"/>
                <w:lang w:eastAsia="en-AU"/>
              </w:rPr>
            </w:pPr>
          </w:p>
        </w:tc>
        <w:tc>
          <w:tcPr>
            <w:tcW w:w="748" w:type="dxa"/>
            <w:hideMark/>
          </w:tcPr>
          <w:p w:rsidR="005A477D" w:rsidRPr="005B0796" w:rsidRDefault="005A477D" w:rsidP="006E384B">
            <w:pPr>
              <w:pStyle w:val="TableText"/>
              <w:jc w:val="right"/>
              <w:rPr>
                <w:lang w:eastAsia="en-AU"/>
              </w:rPr>
            </w:pPr>
            <w:r w:rsidRPr="005B0796">
              <w:rPr>
                <w:lang w:eastAsia="en-AU"/>
              </w:rPr>
              <w:t>Weighted n</w:t>
            </w:r>
          </w:p>
        </w:tc>
        <w:tc>
          <w:tcPr>
            <w:tcW w:w="540" w:type="dxa"/>
            <w:hideMark/>
          </w:tcPr>
          <w:p w:rsidR="005A477D" w:rsidRPr="005B0796" w:rsidRDefault="005A477D" w:rsidP="006E384B">
            <w:pPr>
              <w:pStyle w:val="TableText"/>
              <w:jc w:val="right"/>
              <w:rPr>
                <w:lang w:eastAsia="en-AU"/>
              </w:rPr>
            </w:pPr>
            <w:r w:rsidRPr="005B0796">
              <w:rPr>
                <w:lang w:eastAsia="en-AU"/>
              </w:rPr>
              <w:t>%</w:t>
            </w:r>
          </w:p>
        </w:tc>
        <w:tc>
          <w:tcPr>
            <w:tcW w:w="763" w:type="dxa"/>
            <w:hideMark/>
          </w:tcPr>
          <w:p w:rsidR="005A477D" w:rsidRPr="005B0796" w:rsidRDefault="005A477D" w:rsidP="006E384B">
            <w:pPr>
              <w:pStyle w:val="TableText"/>
              <w:jc w:val="right"/>
              <w:rPr>
                <w:lang w:eastAsia="en-AU"/>
              </w:rPr>
            </w:pPr>
            <w:r w:rsidRPr="005B0796">
              <w:rPr>
                <w:lang w:eastAsia="en-AU"/>
              </w:rPr>
              <w:t>95% CI</w:t>
            </w:r>
          </w:p>
        </w:tc>
        <w:tc>
          <w:tcPr>
            <w:tcW w:w="767" w:type="dxa"/>
            <w:hideMark/>
          </w:tcPr>
          <w:p w:rsidR="005A477D" w:rsidRPr="005B0796" w:rsidRDefault="005A477D" w:rsidP="006E384B">
            <w:pPr>
              <w:pStyle w:val="TableText"/>
              <w:jc w:val="right"/>
              <w:rPr>
                <w:lang w:eastAsia="en-AU"/>
              </w:rPr>
            </w:pPr>
            <w:r w:rsidRPr="005B0796">
              <w:rPr>
                <w:lang w:eastAsia="en-AU"/>
              </w:rPr>
              <w:t>Weighted n</w:t>
            </w:r>
          </w:p>
        </w:tc>
        <w:tc>
          <w:tcPr>
            <w:tcW w:w="540" w:type="dxa"/>
            <w:hideMark/>
          </w:tcPr>
          <w:p w:rsidR="005A477D" w:rsidRPr="005B0796" w:rsidRDefault="005A477D" w:rsidP="006E384B">
            <w:pPr>
              <w:pStyle w:val="TableText"/>
              <w:jc w:val="right"/>
              <w:rPr>
                <w:lang w:eastAsia="en-AU"/>
              </w:rPr>
            </w:pPr>
            <w:r w:rsidRPr="005B0796">
              <w:rPr>
                <w:lang w:eastAsia="en-AU"/>
              </w:rPr>
              <w:t>%</w:t>
            </w:r>
          </w:p>
        </w:tc>
        <w:tc>
          <w:tcPr>
            <w:tcW w:w="745" w:type="dxa"/>
            <w:hideMark/>
          </w:tcPr>
          <w:p w:rsidR="005A477D" w:rsidRPr="005B0796" w:rsidRDefault="005A477D" w:rsidP="006E384B">
            <w:pPr>
              <w:pStyle w:val="TableText"/>
              <w:jc w:val="right"/>
              <w:rPr>
                <w:lang w:eastAsia="en-AU"/>
              </w:rPr>
            </w:pPr>
            <w:r w:rsidRPr="005B0796">
              <w:rPr>
                <w:lang w:eastAsia="en-AU"/>
              </w:rPr>
              <w:t>95% CI</w:t>
            </w:r>
          </w:p>
        </w:tc>
        <w:tc>
          <w:tcPr>
            <w:tcW w:w="785" w:type="dxa"/>
            <w:hideMark/>
          </w:tcPr>
          <w:p w:rsidR="005A477D" w:rsidRPr="005B0796" w:rsidRDefault="005A477D" w:rsidP="006E384B">
            <w:pPr>
              <w:pStyle w:val="TableText"/>
              <w:jc w:val="right"/>
              <w:rPr>
                <w:lang w:eastAsia="en-AU"/>
              </w:rPr>
            </w:pPr>
            <w:r w:rsidRPr="005B0796">
              <w:rPr>
                <w:lang w:eastAsia="en-AU"/>
              </w:rPr>
              <w:t>Weighted n</w:t>
            </w:r>
          </w:p>
        </w:tc>
        <w:tc>
          <w:tcPr>
            <w:tcW w:w="450" w:type="dxa"/>
            <w:hideMark/>
          </w:tcPr>
          <w:p w:rsidR="005A477D" w:rsidRPr="005B0796" w:rsidRDefault="005A477D" w:rsidP="006E384B">
            <w:pPr>
              <w:pStyle w:val="TableText"/>
              <w:jc w:val="right"/>
              <w:rPr>
                <w:lang w:eastAsia="en-AU"/>
              </w:rPr>
            </w:pPr>
            <w:r w:rsidRPr="005B0796">
              <w:rPr>
                <w:lang w:eastAsia="en-AU"/>
              </w:rPr>
              <w:t>%</w:t>
            </w:r>
          </w:p>
        </w:tc>
        <w:tc>
          <w:tcPr>
            <w:tcW w:w="817" w:type="dxa"/>
            <w:hideMark/>
          </w:tcPr>
          <w:p w:rsidR="005A477D" w:rsidRPr="005B0796" w:rsidRDefault="005A477D" w:rsidP="006E384B">
            <w:pPr>
              <w:pStyle w:val="TableText"/>
              <w:jc w:val="right"/>
              <w:rPr>
                <w:lang w:eastAsia="en-AU"/>
              </w:rPr>
            </w:pPr>
            <w:r w:rsidRPr="005B0796">
              <w:rPr>
                <w:lang w:eastAsia="en-AU"/>
              </w:rPr>
              <w:t>95% CI</w:t>
            </w:r>
          </w:p>
        </w:tc>
      </w:tr>
      <w:tr w:rsidR="006E384B" w:rsidRPr="005B0796" w:rsidTr="006E384B">
        <w:trPr>
          <w:cnfStyle w:val="000000100000" w:firstRow="0" w:lastRow="0" w:firstColumn="0" w:lastColumn="0" w:oddVBand="0" w:evenVBand="0" w:oddHBand="1" w:evenHBand="0" w:firstRowFirstColumn="0" w:firstRowLastColumn="0" w:lastRowFirstColumn="0" w:lastRowLastColumn="0"/>
        </w:trPr>
        <w:tc>
          <w:tcPr>
            <w:tcW w:w="1160" w:type="dxa"/>
            <w:hideMark/>
          </w:tcPr>
          <w:p w:rsidR="005A477D" w:rsidRPr="005B0796" w:rsidRDefault="005A477D" w:rsidP="006E384B">
            <w:pPr>
              <w:pStyle w:val="TableText"/>
              <w:rPr>
                <w:lang w:eastAsia="en-AU"/>
              </w:rPr>
            </w:pPr>
            <w:r w:rsidRPr="005B0796">
              <w:rPr>
                <w:lang w:eastAsia="en-AU"/>
              </w:rPr>
              <w:t>Band I (0–7)</w:t>
            </w:r>
          </w:p>
        </w:tc>
        <w:tc>
          <w:tcPr>
            <w:tcW w:w="748" w:type="dxa"/>
            <w:hideMark/>
          </w:tcPr>
          <w:p w:rsidR="005A477D" w:rsidRPr="005B0796" w:rsidRDefault="005A477D" w:rsidP="006E384B">
            <w:pPr>
              <w:pStyle w:val="TableText"/>
              <w:jc w:val="right"/>
              <w:rPr>
                <w:lang w:eastAsia="en-AU"/>
              </w:rPr>
            </w:pPr>
            <w:r w:rsidRPr="005B0796">
              <w:rPr>
                <w:lang w:eastAsia="en-AU"/>
              </w:rPr>
              <w:t>16,236</w:t>
            </w:r>
          </w:p>
        </w:tc>
        <w:tc>
          <w:tcPr>
            <w:tcW w:w="540" w:type="dxa"/>
            <w:hideMark/>
          </w:tcPr>
          <w:p w:rsidR="005A477D" w:rsidRPr="005B0796" w:rsidRDefault="005A477D" w:rsidP="006E384B">
            <w:pPr>
              <w:pStyle w:val="TableText"/>
              <w:jc w:val="right"/>
              <w:rPr>
                <w:lang w:eastAsia="en-AU"/>
              </w:rPr>
            </w:pPr>
            <w:r w:rsidRPr="005B0796">
              <w:rPr>
                <w:lang w:eastAsia="en-AU"/>
              </w:rPr>
              <w:t>65.1</w:t>
            </w:r>
          </w:p>
        </w:tc>
        <w:tc>
          <w:tcPr>
            <w:tcW w:w="763" w:type="dxa"/>
            <w:hideMark/>
          </w:tcPr>
          <w:p w:rsidR="005A477D" w:rsidRPr="005B0796" w:rsidRDefault="005A477D" w:rsidP="006E384B">
            <w:pPr>
              <w:pStyle w:val="TableText"/>
              <w:jc w:val="right"/>
              <w:rPr>
                <w:lang w:eastAsia="en-AU"/>
              </w:rPr>
            </w:pPr>
            <w:r w:rsidRPr="005B0796">
              <w:rPr>
                <w:lang w:eastAsia="en-AU"/>
              </w:rPr>
              <w:t>63.2, 66.9</w:t>
            </w:r>
          </w:p>
        </w:tc>
        <w:tc>
          <w:tcPr>
            <w:tcW w:w="767" w:type="dxa"/>
            <w:hideMark/>
          </w:tcPr>
          <w:p w:rsidR="005A477D" w:rsidRPr="005B0796" w:rsidRDefault="005A477D" w:rsidP="006E384B">
            <w:pPr>
              <w:pStyle w:val="TableText"/>
              <w:jc w:val="right"/>
              <w:rPr>
                <w:lang w:eastAsia="en-AU"/>
              </w:rPr>
            </w:pPr>
            <w:r w:rsidRPr="005B0796">
              <w:rPr>
                <w:lang w:eastAsia="en-AU"/>
              </w:rPr>
              <w:t>41,430</w:t>
            </w:r>
          </w:p>
        </w:tc>
        <w:tc>
          <w:tcPr>
            <w:tcW w:w="540" w:type="dxa"/>
            <w:hideMark/>
          </w:tcPr>
          <w:p w:rsidR="005A477D" w:rsidRPr="005B0796" w:rsidRDefault="005A477D" w:rsidP="006E384B">
            <w:pPr>
              <w:pStyle w:val="TableText"/>
              <w:jc w:val="right"/>
              <w:rPr>
                <w:lang w:eastAsia="en-AU"/>
              </w:rPr>
            </w:pPr>
            <w:r w:rsidRPr="005B0796">
              <w:rPr>
                <w:lang w:eastAsia="en-AU"/>
              </w:rPr>
              <w:t>78.9</w:t>
            </w:r>
          </w:p>
        </w:tc>
        <w:tc>
          <w:tcPr>
            <w:tcW w:w="745" w:type="dxa"/>
            <w:hideMark/>
          </w:tcPr>
          <w:p w:rsidR="005A477D" w:rsidRPr="005B0796" w:rsidRDefault="005A477D" w:rsidP="006E384B">
            <w:pPr>
              <w:pStyle w:val="TableText"/>
              <w:jc w:val="right"/>
              <w:rPr>
                <w:lang w:eastAsia="en-AU"/>
              </w:rPr>
            </w:pPr>
            <w:r w:rsidRPr="005B0796">
              <w:rPr>
                <w:lang w:eastAsia="en-AU"/>
              </w:rPr>
              <w:t>75.6, 81.9</w:t>
            </w:r>
          </w:p>
        </w:tc>
        <w:tc>
          <w:tcPr>
            <w:tcW w:w="785" w:type="dxa"/>
            <w:hideMark/>
          </w:tcPr>
          <w:p w:rsidR="005A477D" w:rsidRPr="005B0796" w:rsidRDefault="005A477D" w:rsidP="006E384B">
            <w:pPr>
              <w:pStyle w:val="TableText"/>
              <w:jc w:val="right"/>
              <w:rPr>
                <w:lang w:eastAsia="en-AU"/>
              </w:rPr>
            </w:pPr>
            <w:r w:rsidRPr="005B0796">
              <w:rPr>
                <w:lang w:eastAsia="en-AU"/>
              </w:rPr>
              <w:t>36848</w:t>
            </w:r>
          </w:p>
        </w:tc>
        <w:tc>
          <w:tcPr>
            <w:tcW w:w="450" w:type="dxa"/>
            <w:hideMark/>
          </w:tcPr>
          <w:p w:rsidR="005A477D" w:rsidRPr="005B0796" w:rsidRDefault="005A477D" w:rsidP="006E384B">
            <w:pPr>
              <w:pStyle w:val="TableText"/>
              <w:jc w:val="right"/>
              <w:rPr>
                <w:lang w:eastAsia="en-AU"/>
              </w:rPr>
            </w:pPr>
            <w:r w:rsidRPr="005B0796">
              <w:rPr>
                <w:lang w:eastAsia="en-AU"/>
              </w:rPr>
              <w:t>73.6</w:t>
            </w:r>
          </w:p>
        </w:tc>
        <w:tc>
          <w:tcPr>
            <w:tcW w:w="817" w:type="dxa"/>
            <w:hideMark/>
          </w:tcPr>
          <w:p w:rsidR="005A477D" w:rsidRPr="005B0796" w:rsidRDefault="005A477D" w:rsidP="006E384B">
            <w:pPr>
              <w:pStyle w:val="TableText"/>
              <w:jc w:val="right"/>
              <w:rPr>
                <w:lang w:eastAsia="en-AU"/>
              </w:rPr>
            </w:pPr>
            <w:r w:rsidRPr="005B0796">
              <w:rPr>
                <w:lang w:eastAsia="en-AU"/>
              </w:rPr>
              <w:t>73.1, 74.2</w:t>
            </w:r>
          </w:p>
        </w:tc>
      </w:tr>
      <w:tr w:rsidR="006E384B" w:rsidRPr="005B0796" w:rsidTr="006E384B">
        <w:tc>
          <w:tcPr>
            <w:tcW w:w="1160" w:type="dxa"/>
            <w:hideMark/>
          </w:tcPr>
          <w:p w:rsidR="005A477D" w:rsidRPr="005B0796" w:rsidRDefault="005A477D" w:rsidP="006E384B">
            <w:pPr>
              <w:pStyle w:val="TableText"/>
              <w:rPr>
                <w:rFonts w:eastAsia="GillSans"/>
                <w:lang w:eastAsia="en-AU"/>
              </w:rPr>
            </w:pPr>
            <w:r w:rsidRPr="005B0796">
              <w:rPr>
                <w:lang w:eastAsia="en-AU"/>
              </w:rPr>
              <w:t>Band 2 (8–15)</w:t>
            </w:r>
          </w:p>
        </w:tc>
        <w:tc>
          <w:tcPr>
            <w:tcW w:w="748" w:type="dxa"/>
            <w:hideMark/>
          </w:tcPr>
          <w:p w:rsidR="005A477D" w:rsidRPr="005B0796" w:rsidRDefault="005A477D" w:rsidP="006E384B">
            <w:pPr>
              <w:pStyle w:val="TableText"/>
              <w:jc w:val="right"/>
              <w:rPr>
                <w:lang w:eastAsia="en-AU"/>
              </w:rPr>
            </w:pPr>
            <w:r w:rsidRPr="005B0796">
              <w:rPr>
                <w:lang w:eastAsia="en-AU"/>
              </w:rPr>
              <w:t>5574</w:t>
            </w:r>
          </w:p>
        </w:tc>
        <w:tc>
          <w:tcPr>
            <w:tcW w:w="540" w:type="dxa"/>
            <w:hideMark/>
          </w:tcPr>
          <w:p w:rsidR="005A477D" w:rsidRPr="005B0796" w:rsidRDefault="005A477D" w:rsidP="006E384B">
            <w:pPr>
              <w:pStyle w:val="TableText"/>
              <w:jc w:val="right"/>
              <w:rPr>
                <w:lang w:eastAsia="en-AU"/>
              </w:rPr>
            </w:pPr>
            <w:r w:rsidRPr="005B0796">
              <w:rPr>
                <w:lang w:eastAsia="en-AU"/>
              </w:rPr>
              <w:t>22.4</w:t>
            </w:r>
          </w:p>
        </w:tc>
        <w:tc>
          <w:tcPr>
            <w:tcW w:w="763" w:type="dxa"/>
            <w:hideMark/>
          </w:tcPr>
          <w:p w:rsidR="005A477D" w:rsidRPr="005B0796" w:rsidRDefault="005A477D" w:rsidP="006E384B">
            <w:pPr>
              <w:pStyle w:val="TableText"/>
              <w:jc w:val="right"/>
              <w:rPr>
                <w:lang w:eastAsia="en-AU"/>
              </w:rPr>
            </w:pPr>
            <w:r w:rsidRPr="005B0796">
              <w:rPr>
                <w:lang w:eastAsia="en-AU"/>
              </w:rPr>
              <w:t>20.8, 24.1</w:t>
            </w:r>
          </w:p>
        </w:tc>
        <w:tc>
          <w:tcPr>
            <w:tcW w:w="767" w:type="dxa"/>
            <w:hideMark/>
          </w:tcPr>
          <w:p w:rsidR="005A477D" w:rsidRPr="005B0796" w:rsidRDefault="005A477D" w:rsidP="006E384B">
            <w:pPr>
              <w:pStyle w:val="TableText"/>
              <w:jc w:val="right"/>
              <w:rPr>
                <w:lang w:eastAsia="en-AU"/>
              </w:rPr>
            </w:pPr>
            <w:r w:rsidRPr="005B0796">
              <w:rPr>
                <w:lang w:eastAsia="en-AU"/>
              </w:rPr>
              <w:t>9151</w:t>
            </w:r>
          </w:p>
        </w:tc>
        <w:tc>
          <w:tcPr>
            <w:tcW w:w="540" w:type="dxa"/>
            <w:hideMark/>
          </w:tcPr>
          <w:p w:rsidR="005A477D" w:rsidRPr="005B0796" w:rsidRDefault="005A477D" w:rsidP="006E384B">
            <w:pPr>
              <w:pStyle w:val="TableText"/>
              <w:jc w:val="right"/>
              <w:rPr>
                <w:lang w:eastAsia="en-AU"/>
              </w:rPr>
            </w:pPr>
            <w:r w:rsidRPr="005B0796">
              <w:rPr>
                <w:lang w:eastAsia="en-AU"/>
              </w:rPr>
              <w:t>17.4</w:t>
            </w:r>
          </w:p>
        </w:tc>
        <w:tc>
          <w:tcPr>
            <w:tcW w:w="745" w:type="dxa"/>
            <w:hideMark/>
          </w:tcPr>
          <w:p w:rsidR="005A477D" w:rsidRPr="005B0796" w:rsidRDefault="005A477D" w:rsidP="006E384B">
            <w:pPr>
              <w:pStyle w:val="TableText"/>
              <w:jc w:val="right"/>
              <w:rPr>
                <w:lang w:eastAsia="en-AU"/>
              </w:rPr>
            </w:pPr>
            <w:r w:rsidRPr="005B0796">
              <w:rPr>
                <w:lang w:eastAsia="en-AU"/>
              </w:rPr>
              <w:t>14.7, 20.5</w:t>
            </w:r>
          </w:p>
        </w:tc>
        <w:tc>
          <w:tcPr>
            <w:tcW w:w="785" w:type="dxa"/>
            <w:hideMark/>
          </w:tcPr>
          <w:p w:rsidR="005A477D" w:rsidRPr="005B0796" w:rsidRDefault="005A477D" w:rsidP="006E384B">
            <w:pPr>
              <w:pStyle w:val="TableText"/>
              <w:jc w:val="right"/>
              <w:rPr>
                <w:lang w:eastAsia="en-AU"/>
              </w:rPr>
            </w:pPr>
            <w:r w:rsidRPr="005B0796">
              <w:rPr>
                <w:lang w:eastAsia="en-AU"/>
              </w:rPr>
              <w:t>11,345</w:t>
            </w:r>
          </w:p>
        </w:tc>
        <w:tc>
          <w:tcPr>
            <w:tcW w:w="450" w:type="dxa"/>
            <w:hideMark/>
          </w:tcPr>
          <w:p w:rsidR="005A477D" w:rsidRPr="005B0796" w:rsidRDefault="005A477D" w:rsidP="006E384B">
            <w:pPr>
              <w:pStyle w:val="TableText"/>
              <w:jc w:val="right"/>
              <w:rPr>
                <w:lang w:eastAsia="en-AU"/>
              </w:rPr>
            </w:pPr>
            <w:r w:rsidRPr="005B0796">
              <w:rPr>
                <w:lang w:eastAsia="en-AU"/>
              </w:rPr>
              <w:t>22.7</w:t>
            </w:r>
          </w:p>
        </w:tc>
        <w:tc>
          <w:tcPr>
            <w:tcW w:w="817" w:type="dxa"/>
            <w:hideMark/>
          </w:tcPr>
          <w:p w:rsidR="005A477D" w:rsidRPr="005B0796" w:rsidRDefault="005A477D" w:rsidP="006E384B">
            <w:pPr>
              <w:pStyle w:val="TableText"/>
              <w:jc w:val="right"/>
              <w:rPr>
                <w:lang w:eastAsia="en-AU"/>
              </w:rPr>
            </w:pPr>
            <w:r w:rsidRPr="005B0796">
              <w:rPr>
                <w:lang w:eastAsia="en-AU"/>
              </w:rPr>
              <w:t>22.2, 23.2</w:t>
            </w:r>
          </w:p>
        </w:tc>
      </w:tr>
      <w:tr w:rsidR="006E384B" w:rsidRPr="005B0796" w:rsidTr="006E384B">
        <w:trPr>
          <w:cnfStyle w:val="000000100000" w:firstRow="0" w:lastRow="0" w:firstColumn="0" w:lastColumn="0" w:oddVBand="0" w:evenVBand="0" w:oddHBand="1" w:evenHBand="0" w:firstRowFirstColumn="0" w:firstRowLastColumn="0" w:lastRowFirstColumn="0" w:lastRowLastColumn="0"/>
        </w:trPr>
        <w:tc>
          <w:tcPr>
            <w:tcW w:w="1160" w:type="dxa"/>
            <w:hideMark/>
          </w:tcPr>
          <w:p w:rsidR="005A477D" w:rsidRPr="005B0796" w:rsidRDefault="005A477D" w:rsidP="006E384B">
            <w:pPr>
              <w:pStyle w:val="TableText"/>
              <w:rPr>
                <w:rFonts w:eastAsia="GillSans"/>
                <w:lang w:eastAsia="en-AU"/>
              </w:rPr>
            </w:pPr>
            <w:r w:rsidRPr="005B0796">
              <w:rPr>
                <w:lang w:eastAsia="en-AU"/>
              </w:rPr>
              <w:t>Band 3 (16–19)</w:t>
            </w:r>
          </w:p>
        </w:tc>
        <w:tc>
          <w:tcPr>
            <w:tcW w:w="748" w:type="dxa"/>
            <w:hideMark/>
          </w:tcPr>
          <w:p w:rsidR="005A477D" w:rsidRPr="005B0796" w:rsidRDefault="005A477D" w:rsidP="006E384B">
            <w:pPr>
              <w:pStyle w:val="TableText"/>
              <w:jc w:val="right"/>
              <w:rPr>
                <w:lang w:eastAsia="en-AU"/>
              </w:rPr>
            </w:pPr>
            <w:r w:rsidRPr="005B0796">
              <w:rPr>
                <w:lang w:eastAsia="en-AU"/>
              </w:rPr>
              <w:t>1169</w:t>
            </w:r>
          </w:p>
        </w:tc>
        <w:tc>
          <w:tcPr>
            <w:tcW w:w="540" w:type="dxa"/>
            <w:hideMark/>
          </w:tcPr>
          <w:p w:rsidR="005A477D" w:rsidRPr="005B0796" w:rsidRDefault="005A477D" w:rsidP="006E384B">
            <w:pPr>
              <w:pStyle w:val="TableText"/>
              <w:jc w:val="right"/>
              <w:rPr>
                <w:lang w:eastAsia="en-AU"/>
              </w:rPr>
            </w:pPr>
            <w:r w:rsidRPr="005B0796">
              <w:rPr>
                <w:lang w:eastAsia="en-AU"/>
              </w:rPr>
              <w:t>4.7</w:t>
            </w:r>
          </w:p>
        </w:tc>
        <w:tc>
          <w:tcPr>
            <w:tcW w:w="763" w:type="dxa"/>
            <w:hideMark/>
          </w:tcPr>
          <w:p w:rsidR="005A477D" w:rsidRPr="005B0796" w:rsidRDefault="005A477D" w:rsidP="006E384B">
            <w:pPr>
              <w:pStyle w:val="TableText"/>
              <w:jc w:val="right"/>
              <w:rPr>
                <w:lang w:eastAsia="en-AU"/>
              </w:rPr>
            </w:pPr>
            <w:r w:rsidRPr="005B0796">
              <w:rPr>
                <w:lang w:eastAsia="en-AU"/>
              </w:rPr>
              <w:t>3.9, 5.6</w:t>
            </w:r>
          </w:p>
        </w:tc>
        <w:tc>
          <w:tcPr>
            <w:tcW w:w="767" w:type="dxa"/>
            <w:hideMark/>
          </w:tcPr>
          <w:p w:rsidR="005A477D" w:rsidRPr="005B0796" w:rsidRDefault="005A477D" w:rsidP="006E384B">
            <w:pPr>
              <w:pStyle w:val="TableText"/>
              <w:jc w:val="right"/>
              <w:rPr>
                <w:lang w:eastAsia="en-AU"/>
              </w:rPr>
            </w:pPr>
            <w:r w:rsidRPr="005B0796">
              <w:rPr>
                <w:lang w:eastAsia="en-AU"/>
              </w:rPr>
              <w:t>988</w:t>
            </w:r>
          </w:p>
        </w:tc>
        <w:tc>
          <w:tcPr>
            <w:tcW w:w="540" w:type="dxa"/>
            <w:hideMark/>
          </w:tcPr>
          <w:p w:rsidR="005A477D" w:rsidRPr="005B0796" w:rsidRDefault="005A477D" w:rsidP="006E384B">
            <w:pPr>
              <w:pStyle w:val="TableText"/>
              <w:jc w:val="right"/>
              <w:rPr>
                <w:lang w:eastAsia="en-AU"/>
              </w:rPr>
            </w:pPr>
            <w:r w:rsidRPr="005B0796">
              <w:rPr>
                <w:lang w:eastAsia="en-AU"/>
              </w:rPr>
              <w:t>1.9</w:t>
            </w:r>
          </w:p>
        </w:tc>
        <w:tc>
          <w:tcPr>
            <w:tcW w:w="745" w:type="dxa"/>
            <w:hideMark/>
          </w:tcPr>
          <w:p w:rsidR="005A477D" w:rsidRPr="005B0796" w:rsidRDefault="005A477D" w:rsidP="006E384B">
            <w:pPr>
              <w:pStyle w:val="TableText"/>
              <w:jc w:val="right"/>
              <w:rPr>
                <w:lang w:eastAsia="en-AU"/>
              </w:rPr>
            </w:pPr>
            <w:r w:rsidRPr="005B0796">
              <w:rPr>
                <w:lang w:eastAsia="en-AU"/>
              </w:rPr>
              <w:t>1.1, 3.3</w:t>
            </w:r>
          </w:p>
        </w:tc>
        <w:tc>
          <w:tcPr>
            <w:tcW w:w="785" w:type="dxa"/>
            <w:hideMark/>
          </w:tcPr>
          <w:p w:rsidR="005A477D" w:rsidRPr="005B0796" w:rsidRDefault="005A477D" w:rsidP="006E384B">
            <w:pPr>
              <w:pStyle w:val="TableText"/>
              <w:jc w:val="right"/>
              <w:rPr>
                <w:lang w:eastAsia="en-AU"/>
              </w:rPr>
            </w:pPr>
            <w:r w:rsidRPr="005B0796">
              <w:rPr>
                <w:lang w:eastAsia="en-AU"/>
              </w:rPr>
              <w:t>1172</w:t>
            </w:r>
          </w:p>
        </w:tc>
        <w:tc>
          <w:tcPr>
            <w:tcW w:w="450" w:type="dxa"/>
            <w:hideMark/>
          </w:tcPr>
          <w:p w:rsidR="005A477D" w:rsidRPr="005B0796" w:rsidRDefault="005A477D" w:rsidP="006E384B">
            <w:pPr>
              <w:pStyle w:val="TableText"/>
              <w:jc w:val="right"/>
              <w:rPr>
                <w:lang w:eastAsia="en-AU"/>
              </w:rPr>
            </w:pPr>
            <w:r w:rsidRPr="005B0796">
              <w:rPr>
                <w:lang w:eastAsia="en-AU"/>
              </w:rPr>
              <w:t>2.3</w:t>
            </w:r>
          </w:p>
        </w:tc>
        <w:tc>
          <w:tcPr>
            <w:tcW w:w="817" w:type="dxa"/>
            <w:hideMark/>
          </w:tcPr>
          <w:p w:rsidR="005A477D" w:rsidRPr="005B0796" w:rsidRDefault="005A477D" w:rsidP="006E384B">
            <w:pPr>
              <w:pStyle w:val="TableText"/>
              <w:jc w:val="right"/>
              <w:rPr>
                <w:lang w:eastAsia="en-AU"/>
              </w:rPr>
            </w:pPr>
            <w:r w:rsidRPr="005B0796">
              <w:rPr>
                <w:lang w:eastAsia="en-AU"/>
              </w:rPr>
              <w:t>2.1, 2.5</w:t>
            </w:r>
          </w:p>
        </w:tc>
      </w:tr>
      <w:tr w:rsidR="006E384B" w:rsidRPr="005B0796" w:rsidTr="006E384B">
        <w:trPr>
          <w:cnfStyle w:val="010000000000" w:firstRow="0" w:lastRow="1" w:firstColumn="0" w:lastColumn="0" w:oddVBand="0" w:evenVBand="0" w:oddHBand="0" w:evenHBand="0" w:firstRowFirstColumn="0" w:firstRowLastColumn="0" w:lastRowFirstColumn="0" w:lastRowLastColumn="0"/>
        </w:trPr>
        <w:tc>
          <w:tcPr>
            <w:tcW w:w="1160" w:type="dxa"/>
            <w:hideMark/>
          </w:tcPr>
          <w:p w:rsidR="005A477D" w:rsidRPr="005B0796" w:rsidRDefault="005A477D" w:rsidP="00C95E4A">
            <w:pPr>
              <w:pStyle w:val="TableText"/>
              <w:rPr>
                <w:lang w:eastAsia="en-AU"/>
              </w:rPr>
            </w:pPr>
            <w:r w:rsidRPr="005B0796">
              <w:rPr>
                <w:lang w:eastAsia="en-AU"/>
              </w:rPr>
              <w:t>Band 4 (20</w:t>
            </w:r>
            <w:r w:rsidR="00C95E4A" w:rsidRPr="005B0796">
              <w:rPr>
                <w:lang w:eastAsia="en-AU"/>
              </w:rPr>
              <w:t>–</w:t>
            </w:r>
            <w:r w:rsidRPr="005B0796">
              <w:rPr>
                <w:lang w:eastAsia="en-AU"/>
              </w:rPr>
              <w:t>40)</w:t>
            </w:r>
          </w:p>
        </w:tc>
        <w:tc>
          <w:tcPr>
            <w:tcW w:w="748" w:type="dxa"/>
            <w:hideMark/>
          </w:tcPr>
          <w:p w:rsidR="005A477D" w:rsidRPr="005B0796" w:rsidRDefault="005A477D" w:rsidP="006E384B">
            <w:pPr>
              <w:pStyle w:val="TableText"/>
              <w:jc w:val="right"/>
              <w:rPr>
                <w:lang w:eastAsia="en-AU"/>
              </w:rPr>
            </w:pPr>
            <w:r w:rsidRPr="005B0796">
              <w:rPr>
                <w:lang w:eastAsia="en-AU"/>
              </w:rPr>
              <w:t>1616</w:t>
            </w:r>
          </w:p>
        </w:tc>
        <w:tc>
          <w:tcPr>
            <w:tcW w:w="540" w:type="dxa"/>
            <w:hideMark/>
          </w:tcPr>
          <w:p w:rsidR="005A477D" w:rsidRPr="005B0796" w:rsidRDefault="005A477D" w:rsidP="006E384B">
            <w:pPr>
              <w:pStyle w:val="TableText"/>
              <w:jc w:val="right"/>
              <w:rPr>
                <w:lang w:eastAsia="en-AU"/>
              </w:rPr>
            </w:pPr>
            <w:r w:rsidRPr="005B0796">
              <w:rPr>
                <w:lang w:eastAsia="en-AU"/>
              </w:rPr>
              <w:t>6.5</w:t>
            </w:r>
          </w:p>
        </w:tc>
        <w:tc>
          <w:tcPr>
            <w:tcW w:w="763" w:type="dxa"/>
            <w:hideMark/>
          </w:tcPr>
          <w:p w:rsidR="005A477D" w:rsidRPr="005B0796" w:rsidRDefault="005A477D" w:rsidP="006E384B">
            <w:pPr>
              <w:pStyle w:val="TableText"/>
              <w:jc w:val="right"/>
              <w:rPr>
                <w:lang w:eastAsia="en-AU"/>
              </w:rPr>
            </w:pPr>
            <w:r w:rsidRPr="005B0796">
              <w:rPr>
                <w:lang w:eastAsia="en-AU"/>
              </w:rPr>
              <w:t>5.6, 7.5</w:t>
            </w:r>
          </w:p>
        </w:tc>
        <w:tc>
          <w:tcPr>
            <w:tcW w:w="767" w:type="dxa"/>
            <w:hideMark/>
          </w:tcPr>
          <w:p w:rsidR="005A477D" w:rsidRPr="005B0796" w:rsidRDefault="005A477D" w:rsidP="006E384B">
            <w:pPr>
              <w:pStyle w:val="TableText"/>
              <w:jc w:val="right"/>
              <w:rPr>
                <w:lang w:eastAsia="en-AU"/>
              </w:rPr>
            </w:pPr>
            <w:r w:rsidRPr="005B0796">
              <w:rPr>
                <w:lang w:eastAsia="en-AU"/>
              </w:rPr>
              <w:t>726</w:t>
            </w:r>
          </w:p>
        </w:tc>
        <w:tc>
          <w:tcPr>
            <w:tcW w:w="540" w:type="dxa"/>
            <w:hideMark/>
          </w:tcPr>
          <w:p w:rsidR="005A477D" w:rsidRPr="005B0796" w:rsidRDefault="005A477D" w:rsidP="006E384B">
            <w:pPr>
              <w:pStyle w:val="TableText"/>
              <w:jc w:val="right"/>
              <w:rPr>
                <w:lang w:eastAsia="en-AU"/>
              </w:rPr>
            </w:pPr>
            <w:r w:rsidRPr="005B0796">
              <w:rPr>
                <w:lang w:eastAsia="en-AU"/>
              </w:rPr>
              <w:t>1.4</w:t>
            </w:r>
          </w:p>
        </w:tc>
        <w:tc>
          <w:tcPr>
            <w:tcW w:w="745" w:type="dxa"/>
            <w:hideMark/>
          </w:tcPr>
          <w:p w:rsidR="005A477D" w:rsidRPr="005B0796" w:rsidRDefault="005A477D" w:rsidP="006E384B">
            <w:pPr>
              <w:pStyle w:val="TableText"/>
              <w:jc w:val="right"/>
              <w:rPr>
                <w:lang w:eastAsia="en-AU"/>
              </w:rPr>
            </w:pPr>
            <w:r w:rsidRPr="005B0796">
              <w:rPr>
                <w:lang w:eastAsia="en-AU"/>
              </w:rPr>
              <w:t>0.6, 3.1</w:t>
            </w:r>
          </w:p>
        </w:tc>
        <w:tc>
          <w:tcPr>
            <w:tcW w:w="785" w:type="dxa"/>
            <w:hideMark/>
          </w:tcPr>
          <w:p w:rsidR="005A477D" w:rsidRPr="005B0796" w:rsidRDefault="005A477D" w:rsidP="006E384B">
            <w:pPr>
              <w:pStyle w:val="TableText"/>
              <w:jc w:val="right"/>
              <w:rPr>
                <w:lang w:eastAsia="en-AU"/>
              </w:rPr>
            </w:pPr>
            <w:r w:rsidRPr="005B0796">
              <w:rPr>
                <w:lang w:eastAsia="en-AU"/>
              </w:rPr>
              <w:t>684</w:t>
            </w:r>
          </w:p>
        </w:tc>
        <w:tc>
          <w:tcPr>
            <w:tcW w:w="450" w:type="dxa"/>
            <w:hideMark/>
          </w:tcPr>
          <w:p w:rsidR="005A477D" w:rsidRPr="005B0796" w:rsidRDefault="005A477D" w:rsidP="006E384B">
            <w:pPr>
              <w:pStyle w:val="TableText"/>
              <w:jc w:val="right"/>
              <w:rPr>
                <w:lang w:eastAsia="en-AU"/>
              </w:rPr>
            </w:pPr>
            <w:r w:rsidRPr="005B0796">
              <w:rPr>
                <w:lang w:eastAsia="en-AU"/>
              </w:rPr>
              <w:t>1.4</w:t>
            </w:r>
          </w:p>
        </w:tc>
        <w:tc>
          <w:tcPr>
            <w:tcW w:w="817" w:type="dxa"/>
            <w:hideMark/>
          </w:tcPr>
          <w:p w:rsidR="005A477D" w:rsidRPr="005B0796" w:rsidRDefault="005A477D" w:rsidP="006E384B">
            <w:pPr>
              <w:pStyle w:val="TableText"/>
              <w:jc w:val="right"/>
              <w:rPr>
                <w:lang w:eastAsia="en-AU"/>
              </w:rPr>
            </w:pPr>
            <w:r w:rsidRPr="005B0796">
              <w:rPr>
                <w:lang w:eastAsia="en-AU"/>
              </w:rPr>
              <w:t>1.2, 1.5</w:t>
            </w:r>
          </w:p>
        </w:tc>
      </w:tr>
    </w:tbl>
    <w:p w:rsidR="008A1658" w:rsidRPr="005B0796" w:rsidRDefault="008A1658" w:rsidP="008A1658">
      <w:pPr>
        <w:pStyle w:val="TableNotes"/>
      </w:pPr>
      <w:r w:rsidRPr="005B0796">
        <w:t>* From the 2010 ADF Mental Health Prevalence and Wellbeing Study</w:t>
      </w:r>
    </w:p>
    <w:p w:rsidR="008A1658" w:rsidRPr="005B0796" w:rsidRDefault="008A1658" w:rsidP="008A1658">
      <w:pPr>
        <w:pStyle w:val="TableNotes"/>
        <w:rPr>
          <w:rFonts w:cs="Calibri"/>
          <w:bCs/>
        </w:rPr>
      </w:pPr>
      <w:r w:rsidRPr="005B0796">
        <w:rPr>
          <w:rFonts w:cs="Calibri"/>
          <w:bCs/>
        </w:rPr>
        <w:t xml:space="preserve">Note: 95% CI: 95% </w:t>
      </w:r>
      <w:r w:rsidR="00564689" w:rsidRPr="005B0796">
        <w:rPr>
          <w:rFonts w:cs="Calibri"/>
          <w:bCs/>
        </w:rPr>
        <w:t>confidence interval</w:t>
      </w:r>
    </w:p>
    <w:p w:rsidR="005A477D" w:rsidRPr="005B0796" w:rsidRDefault="00C95E4A" w:rsidP="00C95E4A">
      <w:pPr>
        <w:pStyle w:val="FigureName"/>
      </w:pPr>
      <w:bookmarkStart w:id="950" w:name="_Toc487014397"/>
      <w:bookmarkStart w:id="951" w:name="_Toc51190056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7</w:t>
      </w:r>
      <w:r w:rsidR="00D30A3C">
        <w:rPr>
          <w:noProof/>
        </w:rPr>
        <w:fldChar w:fldCharType="end"/>
      </w:r>
      <w:r w:rsidR="00C01061">
        <w:tab/>
        <w:t xml:space="preserve">Estimated proportions </w:t>
      </w:r>
      <w:r w:rsidRPr="005B0796">
        <w:t>o</w:t>
      </w:r>
      <w:r w:rsidR="00C01061">
        <w:t>f</w:t>
      </w:r>
      <w:r w:rsidRPr="005B0796">
        <w:t xml:space="preserve"> Transitioned ADF, and 2010 and 2015 Regular ADF members in each of the four AUDIT scoring bands for problem alcohol use</w:t>
      </w:r>
      <w:bookmarkEnd w:id="950"/>
      <w:bookmarkEnd w:id="951"/>
    </w:p>
    <w:tbl>
      <w:tblPr>
        <w:tblW w:w="5000" w:type="pct"/>
        <w:tblLayout w:type="fixed"/>
        <w:tblCellMar>
          <w:left w:w="115" w:type="dxa"/>
          <w:right w:w="115" w:type="dxa"/>
        </w:tblCellMar>
        <w:tblLook w:val="04A0" w:firstRow="1" w:lastRow="0" w:firstColumn="1" w:lastColumn="0" w:noHBand="0" w:noVBand="1"/>
      </w:tblPr>
      <w:tblGrid>
        <w:gridCol w:w="7329"/>
      </w:tblGrid>
      <w:tr w:rsidR="005A477D" w:rsidRPr="005B0796" w:rsidTr="00C95E4A">
        <w:trPr>
          <w:cantSplit/>
        </w:trPr>
        <w:tc>
          <w:tcPr>
            <w:tcW w:w="7315" w:type="dxa"/>
          </w:tcPr>
          <w:p w:rsidR="005A477D" w:rsidRPr="005B0796" w:rsidRDefault="005A477D" w:rsidP="00855912">
            <w:r w:rsidRPr="005B0796">
              <w:rPr>
                <w:noProof/>
                <w:lang w:eastAsia="en-AU"/>
              </w:rPr>
              <w:drawing>
                <wp:inline distT="0" distB="0" distL="0" distR="0" wp14:anchorId="1337C87A" wp14:editId="5E12A020">
                  <wp:extent cx="4572000" cy="2743200"/>
                  <wp:effectExtent l="0" t="0" r="0" b="0"/>
                  <wp:docPr id="66" name="Chart 66" descr="Figure 5.7 Estimated proportions for Transitioned ADF, and 2010 and 2015 Regular ADF members in each of the four AUDIT scoring bands for problem alcohol u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r>
    </w:tbl>
    <w:p w:rsidR="005A477D" w:rsidRPr="005B0796" w:rsidRDefault="005A477D" w:rsidP="00C95E4A">
      <w:pPr>
        <w:pStyle w:val="Heading3"/>
      </w:pPr>
      <w:bookmarkStart w:id="952" w:name="_Toc482021373"/>
      <w:bookmarkStart w:id="953" w:name="_Toc482024463"/>
      <w:bookmarkStart w:id="954" w:name="_Toc487011221"/>
      <w:bookmarkStart w:id="955" w:name="_Toc494449741"/>
      <w:bookmarkStart w:id="956" w:name="_Toc511900323"/>
      <w:r w:rsidRPr="005B0796">
        <w:t>Frequency of alcohol consumption</w:t>
      </w:r>
      <w:bookmarkEnd w:id="952"/>
      <w:bookmarkEnd w:id="953"/>
      <w:bookmarkEnd w:id="954"/>
      <w:bookmarkEnd w:id="955"/>
      <w:bookmarkEnd w:id="956"/>
    </w:p>
    <w:p w:rsidR="005A477D" w:rsidRPr="005B0796" w:rsidRDefault="009E72D3" w:rsidP="00C95E4A">
      <w:r w:rsidRPr="005B0796">
        <w:t>Table 5.8</w:t>
      </w:r>
      <w:r w:rsidR="005A477D" w:rsidRPr="005B0796">
        <w:t xml:space="preserve"> and Figure 5.8 compare the frequency with which members of the Transitioned ADF and the 2010 and 2015 Regular ADF consume alcohol.</w:t>
      </w:r>
    </w:p>
    <w:p w:rsidR="005A477D" w:rsidRPr="005B0796" w:rsidRDefault="005A477D" w:rsidP="00C95E4A">
      <w:r w:rsidRPr="005B0796">
        <w:t>As can be seen in Table 5.8, 25.1% of Transitioned ADF members consume alcohol once a week or once a fortnight; 23.4% consume alcohol two to three times a week; and 22.5% consume alcohol on average monthly or less. One-fifth of the Transitioned ADF consume alcohol four or more times per week, and only a small proportion never consume alcohol (8.5%).</w:t>
      </w:r>
    </w:p>
    <w:p w:rsidR="005A477D" w:rsidRPr="005B0796" w:rsidRDefault="005A477D" w:rsidP="00C95E4A">
      <w:r w:rsidRPr="005B0796">
        <w:t>Frequency of alcohol consumption was relatively similar across the Transitioned ADF and the Regular ADF. Most members of the Transitioned ADF (25.1%), 2015 Regular ADF (28.77%) and 2010 Regular ADF (34.4%) consume alcohol on average two to four times a month. A slightly lower proportion of each group consumes alcohol two to three times a week (23.4% of the Transitioned ADF, 28.9% of the 2010 Regular ADF), or monthly or less (21.3% of the 2010 Regular ADF and 25.4% of the 2015 Regular ADF). The largest discrepancy between the groups was observed in those who consumed alcohol four or more times a week, with members of the Transitioned ADF (20.4%) significantly more likely than the 2015 Regular ADF (11.6%) to report drinking at this frequency. Compared to members of the 2010 Regular ADF, the 2015 Regular ADF were significantly less likely to drink two to four times a month (mean difference = -5.6 (1.7), 95% CI -9.0, -2.2) and significantly more likely to not drink at all (mean difference = 4.4 (1.3), 95% CI -1.9, 6.9). However, it should be noted that this comparison does not include any estimate of covariance between the two populations.</w:t>
      </w:r>
    </w:p>
    <w:p w:rsidR="005A477D" w:rsidRPr="005B0796" w:rsidRDefault="005A477D" w:rsidP="00C95E4A">
      <w:r w:rsidRPr="005B0796">
        <w:t xml:space="preserve">A further detailed analysis of the change in levels of self-reported alcohol use and problem drinking from 2010 to 2015 will be addressed more formally in later reports. </w:t>
      </w:r>
    </w:p>
    <w:p w:rsidR="00C95E4A" w:rsidRPr="005B0796" w:rsidRDefault="00C95E4A" w:rsidP="00D21AC7">
      <w:pPr>
        <w:pStyle w:val="TableName"/>
      </w:pPr>
      <w:bookmarkStart w:id="957" w:name="_Ref484523468"/>
      <w:bookmarkStart w:id="958" w:name="_Toc487014309"/>
      <w:bookmarkStart w:id="959" w:name="_Toc492995612"/>
      <w:bookmarkStart w:id="960" w:name="_Toc51190046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8</w:t>
      </w:r>
      <w:r w:rsidR="00D30A3C">
        <w:rPr>
          <w:noProof/>
        </w:rPr>
        <w:fldChar w:fldCharType="end"/>
      </w:r>
      <w:bookmarkEnd w:id="957"/>
      <w:r w:rsidRPr="005B0796">
        <w:tab/>
        <w:t>Estimated proportions o</w:t>
      </w:r>
      <w:r w:rsidR="00C01061">
        <w:t>f</w:t>
      </w:r>
      <w:r w:rsidRPr="005B0796">
        <w:t xml:space="preserve"> members of Transitioned ADF, and 2010 and 2015 Regular ADF, by AUDIT, for frequency of alcohol consumption</w:t>
      </w:r>
      <w:bookmarkEnd w:id="958"/>
      <w:bookmarkEnd w:id="959"/>
      <w:bookmarkEnd w:id="960"/>
    </w:p>
    <w:tbl>
      <w:tblPr>
        <w:tblStyle w:val="TWRPTable"/>
        <w:tblW w:w="5000" w:type="pct"/>
        <w:tblLayout w:type="fixed"/>
        <w:tblLook w:val="01E0" w:firstRow="1" w:lastRow="1" w:firstColumn="1" w:lastColumn="1" w:noHBand="0" w:noVBand="0"/>
        <w:tblDescription w:val="Table 5.8 Estimated proportions for members of Transitioned ADF, and 2010 and 2015 Regular ADF, by AUDIT, for frequency of alcohol consumption"/>
      </w:tblPr>
      <w:tblGrid>
        <w:gridCol w:w="1098"/>
        <w:gridCol w:w="810"/>
        <w:gridCol w:w="450"/>
        <w:gridCol w:w="812"/>
        <w:gridCol w:w="808"/>
        <w:gridCol w:w="450"/>
        <w:gridCol w:w="814"/>
        <w:gridCol w:w="806"/>
        <w:gridCol w:w="450"/>
        <w:gridCol w:w="817"/>
      </w:tblGrid>
      <w:tr w:rsidR="005A477D" w:rsidRPr="005B0796" w:rsidTr="00C95E4A">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single" w:sz="4" w:space="0" w:color="000000"/>
              <w:bottom w:val="nil"/>
            </w:tcBorders>
            <w:hideMark/>
          </w:tcPr>
          <w:p w:rsidR="005A477D" w:rsidRPr="005B0796" w:rsidRDefault="005A477D" w:rsidP="00C95E4A">
            <w:pPr>
              <w:pStyle w:val="TableText"/>
              <w:rPr>
                <w:lang w:eastAsia="en-AU"/>
              </w:rPr>
            </w:pPr>
          </w:p>
        </w:tc>
        <w:tc>
          <w:tcPr>
            <w:tcW w:w="2072" w:type="dxa"/>
            <w:gridSpan w:val="3"/>
          </w:tcPr>
          <w:p w:rsidR="005A477D" w:rsidRPr="005B0796" w:rsidRDefault="00C95E4A" w:rsidP="00C95E4A">
            <w:pPr>
              <w:pStyle w:val="TableText"/>
              <w:jc w:val="center"/>
              <w:rPr>
                <w:bCs/>
                <w:lang w:eastAsia="en-AU"/>
              </w:rPr>
            </w:pPr>
            <w:r w:rsidRPr="005B0796">
              <w:rPr>
                <w:bCs/>
                <w:lang w:eastAsia="en-AU"/>
              </w:rPr>
              <w:t>Transitioned ADF (n = 24,932)</w:t>
            </w:r>
          </w:p>
        </w:tc>
        <w:tc>
          <w:tcPr>
            <w:tcW w:w="2072" w:type="dxa"/>
            <w:gridSpan w:val="3"/>
          </w:tcPr>
          <w:p w:rsidR="005A477D" w:rsidRPr="005B0796" w:rsidRDefault="00C95E4A" w:rsidP="00C95E4A">
            <w:pPr>
              <w:pStyle w:val="TableText"/>
              <w:jc w:val="center"/>
              <w:rPr>
                <w:bCs/>
                <w:lang w:eastAsia="en-AU"/>
              </w:rPr>
            </w:pPr>
            <w:r w:rsidRPr="005B0796">
              <w:rPr>
                <w:bCs/>
                <w:lang w:eastAsia="en-AU"/>
              </w:rPr>
              <w:t xml:space="preserve">2015 Regular ADF </w:t>
            </w:r>
            <w:r w:rsidRPr="005B0796">
              <w:rPr>
                <w:bCs/>
                <w:lang w:eastAsia="en-AU"/>
              </w:rPr>
              <w:br/>
              <w:t>(n = 52,500)</w:t>
            </w:r>
          </w:p>
        </w:tc>
        <w:tc>
          <w:tcPr>
            <w:tcW w:w="2073" w:type="dxa"/>
            <w:gridSpan w:val="3"/>
          </w:tcPr>
          <w:p w:rsidR="005A477D" w:rsidRPr="005B0796" w:rsidRDefault="00C95E4A" w:rsidP="00C95E4A">
            <w:pPr>
              <w:pStyle w:val="TableText"/>
              <w:jc w:val="center"/>
              <w:rPr>
                <w:bCs/>
                <w:lang w:eastAsia="en-AU"/>
              </w:rPr>
            </w:pPr>
            <w:r w:rsidRPr="005B0796">
              <w:rPr>
                <w:bCs/>
                <w:lang w:eastAsia="en-AU"/>
              </w:rPr>
              <w:t>2010 Regular ADF* (n = 50,049)</w:t>
            </w:r>
          </w:p>
        </w:tc>
      </w:tr>
      <w:tr w:rsidR="00C95E4A" w:rsidRPr="005B0796" w:rsidTr="00C95E4A">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nil"/>
            </w:tcBorders>
          </w:tcPr>
          <w:p w:rsidR="005A477D" w:rsidRPr="005B0796" w:rsidRDefault="00C95E4A" w:rsidP="00C95E4A">
            <w:pPr>
              <w:pStyle w:val="TableText"/>
              <w:rPr>
                <w:rFonts w:eastAsia="GillSans"/>
                <w:lang w:eastAsia="en-AU"/>
              </w:rPr>
            </w:pPr>
            <w:r w:rsidRPr="005B0796">
              <w:rPr>
                <w:lang w:eastAsia="en-AU"/>
              </w:rPr>
              <w:t>Frequency of consumption</w:t>
            </w:r>
          </w:p>
        </w:tc>
        <w:tc>
          <w:tcPr>
            <w:tcW w:w="810" w:type="dxa"/>
            <w:hideMark/>
          </w:tcPr>
          <w:p w:rsidR="005A477D" w:rsidRPr="005B0796" w:rsidRDefault="005A477D" w:rsidP="00C95E4A">
            <w:pPr>
              <w:pStyle w:val="TableText"/>
              <w:jc w:val="right"/>
              <w:rPr>
                <w:lang w:eastAsia="en-AU"/>
              </w:rPr>
            </w:pPr>
            <w:r w:rsidRPr="005B0796">
              <w:rPr>
                <w:lang w:eastAsia="en-AU"/>
              </w:rPr>
              <w:t>Weighted n</w:t>
            </w:r>
          </w:p>
        </w:tc>
        <w:tc>
          <w:tcPr>
            <w:tcW w:w="450" w:type="dxa"/>
            <w:hideMark/>
          </w:tcPr>
          <w:p w:rsidR="005A477D" w:rsidRPr="005B0796" w:rsidRDefault="005A477D" w:rsidP="00C95E4A">
            <w:pPr>
              <w:pStyle w:val="TableText"/>
              <w:jc w:val="right"/>
              <w:rPr>
                <w:lang w:eastAsia="en-AU"/>
              </w:rPr>
            </w:pPr>
            <w:r w:rsidRPr="005B0796">
              <w:rPr>
                <w:lang w:eastAsia="en-AU"/>
              </w:rPr>
              <w:t>%</w:t>
            </w:r>
          </w:p>
        </w:tc>
        <w:tc>
          <w:tcPr>
            <w:tcW w:w="812" w:type="dxa"/>
            <w:hideMark/>
          </w:tcPr>
          <w:p w:rsidR="005A477D" w:rsidRPr="005B0796" w:rsidRDefault="005A477D" w:rsidP="00C95E4A">
            <w:pPr>
              <w:pStyle w:val="TableText"/>
              <w:jc w:val="right"/>
              <w:rPr>
                <w:lang w:eastAsia="en-AU"/>
              </w:rPr>
            </w:pPr>
            <w:r w:rsidRPr="005B0796">
              <w:rPr>
                <w:lang w:eastAsia="en-AU"/>
              </w:rPr>
              <w:t xml:space="preserve"> 95% CI</w:t>
            </w:r>
          </w:p>
        </w:tc>
        <w:tc>
          <w:tcPr>
            <w:tcW w:w="808" w:type="dxa"/>
            <w:hideMark/>
          </w:tcPr>
          <w:p w:rsidR="005A477D" w:rsidRPr="005B0796" w:rsidRDefault="005A477D" w:rsidP="00C95E4A">
            <w:pPr>
              <w:pStyle w:val="TableText"/>
              <w:jc w:val="right"/>
              <w:rPr>
                <w:lang w:eastAsia="en-AU"/>
              </w:rPr>
            </w:pPr>
            <w:r w:rsidRPr="005B0796">
              <w:rPr>
                <w:lang w:eastAsia="en-AU"/>
              </w:rPr>
              <w:t>Weighted n</w:t>
            </w:r>
          </w:p>
        </w:tc>
        <w:tc>
          <w:tcPr>
            <w:tcW w:w="450" w:type="dxa"/>
            <w:hideMark/>
          </w:tcPr>
          <w:p w:rsidR="005A477D" w:rsidRPr="005B0796" w:rsidRDefault="005A477D" w:rsidP="00C95E4A">
            <w:pPr>
              <w:pStyle w:val="TableText"/>
              <w:jc w:val="right"/>
              <w:rPr>
                <w:lang w:eastAsia="en-AU"/>
              </w:rPr>
            </w:pPr>
            <w:r w:rsidRPr="005B0796">
              <w:rPr>
                <w:lang w:eastAsia="en-AU"/>
              </w:rPr>
              <w:t>%</w:t>
            </w:r>
          </w:p>
        </w:tc>
        <w:tc>
          <w:tcPr>
            <w:tcW w:w="814" w:type="dxa"/>
            <w:hideMark/>
          </w:tcPr>
          <w:p w:rsidR="005A477D" w:rsidRPr="005B0796" w:rsidRDefault="005A477D" w:rsidP="00C95E4A">
            <w:pPr>
              <w:pStyle w:val="TableText"/>
              <w:jc w:val="right"/>
              <w:rPr>
                <w:lang w:eastAsia="en-AU"/>
              </w:rPr>
            </w:pPr>
            <w:r w:rsidRPr="005B0796">
              <w:rPr>
                <w:lang w:eastAsia="en-AU"/>
              </w:rPr>
              <w:t xml:space="preserve"> 95% CI</w:t>
            </w:r>
          </w:p>
        </w:tc>
        <w:tc>
          <w:tcPr>
            <w:tcW w:w="806" w:type="dxa"/>
            <w:hideMark/>
          </w:tcPr>
          <w:p w:rsidR="005A477D" w:rsidRPr="005B0796" w:rsidRDefault="005A477D" w:rsidP="00C95E4A">
            <w:pPr>
              <w:pStyle w:val="TableText"/>
              <w:jc w:val="right"/>
              <w:rPr>
                <w:lang w:eastAsia="en-AU"/>
              </w:rPr>
            </w:pPr>
            <w:r w:rsidRPr="005B0796">
              <w:rPr>
                <w:lang w:eastAsia="en-AU"/>
              </w:rPr>
              <w:t>Weighted n</w:t>
            </w:r>
          </w:p>
        </w:tc>
        <w:tc>
          <w:tcPr>
            <w:tcW w:w="450" w:type="dxa"/>
            <w:hideMark/>
          </w:tcPr>
          <w:p w:rsidR="005A477D" w:rsidRPr="005B0796" w:rsidRDefault="005A477D" w:rsidP="00C95E4A">
            <w:pPr>
              <w:pStyle w:val="TableText"/>
              <w:jc w:val="right"/>
              <w:rPr>
                <w:lang w:eastAsia="en-AU"/>
              </w:rPr>
            </w:pPr>
            <w:r w:rsidRPr="005B0796">
              <w:rPr>
                <w:lang w:eastAsia="en-AU"/>
              </w:rPr>
              <w:t>%</w:t>
            </w:r>
          </w:p>
        </w:tc>
        <w:tc>
          <w:tcPr>
            <w:tcW w:w="817" w:type="dxa"/>
            <w:hideMark/>
          </w:tcPr>
          <w:p w:rsidR="005A477D" w:rsidRPr="005B0796" w:rsidRDefault="005A477D" w:rsidP="00C95E4A">
            <w:pPr>
              <w:pStyle w:val="TableText"/>
              <w:jc w:val="right"/>
              <w:rPr>
                <w:lang w:eastAsia="en-AU"/>
              </w:rPr>
            </w:pPr>
            <w:r w:rsidRPr="005B0796">
              <w:rPr>
                <w:lang w:eastAsia="en-AU"/>
              </w:rPr>
              <w:t xml:space="preserve"> 95% CI</w:t>
            </w:r>
          </w:p>
        </w:tc>
      </w:tr>
      <w:tr w:rsidR="00C95E4A" w:rsidRPr="005B0796" w:rsidTr="00C95E4A">
        <w:trPr>
          <w:cnfStyle w:val="000000100000" w:firstRow="0" w:lastRow="0" w:firstColumn="0" w:lastColumn="0" w:oddVBand="0" w:evenVBand="0" w:oddHBand="1" w:evenHBand="0" w:firstRowFirstColumn="0" w:firstRowLastColumn="0" w:lastRowFirstColumn="0" w:lastRowLastColumn="0"/>
        </w:trPr>
        <w:tc>
          <w:tcPr>
            <w:tcW w:w="1098" w:type="dxa"/>
            <w:hideMark/>
          </w:tcPr>
          <w:p w:rsidR="005A477D" w:rsidRPr="005B0796" w:rsidRDefault="005A477D" w:rsidP="00C95E4A">
            <w:pPr>
              <w:pStyle w:val="TableText"/>
              <w:rPr>
                <w:lang w:eastAsia="en-AU"/>
              </w:rPr>
            </w:pPr>
            <w:r w:rsidRPr="005B0796">
              <w:rPr>
                <w:lang w:eastAsia="en-AU"/>
              </w:rPr>
              <w:t>Never</w:t>
            </w:r>
          </w:p>
        </w:tc>
        <w:tc>
          <w:tcPr>
            <w:tcW w:w="810" w:type="dxa"/>
            <w:hideMark/>
          </w:tcPr>
          <w:p w:rsidR="005A477D" w:rsidRPr="005B0796" w:rsidRDefault="005A477D" w:rsidP="00C95E4A">
            <w:pPr>
              <w:pStyle w:val="TableText"/>
              <w:jc w:val="right"/>
              <w:rPr>
                <w:lang w:eastAsia="en-AU"/>
              </w:rPr>
            </w:pPr>
            <w:r w:rsidRPr="005B0796">
              <w:rPr>
                <w:lang w:eastAsia="en-AU"/>
              </w:rPr>
              <w:t>2109</w:t>
            </w:r>
          </w:p>
        </w:tc>
        <w:tc>
          <w:tcPr>
            <w:tcW w:w="450" w:type="dxa"/>
            <w:hideMark/>
          </w:tcPr>
          <w:p w:rsidR="005A477D" w:rsidRPr="005B0796" w:rsidRDefault="005A477D" w:rsidP="00C95E4A">
            <w:pPr>
              <w:pStyle w:val="TableText"/>
              <w:jc w:val="right"/>
              <w:rPr>
                <w:lang w:eastAsia="en-AU"/>
              </w:rPr>
            </w:pPr>
            <w:r w:rsidRPr="005B0796">
              <w:rPr>
                <w:lang w:eastAsia="en-AU"/>
              </w:rPr>
              <w:t>8.5</w:t>
            </w:r>
          </w:p>
        </w:tc>
        <w:tc>
          <w:tcPr>
            <w:tcW w:w="812" w:type="dxa"/>
            <w:hideMark/>
          </w:tcPr>
          <w:p w:rsidR="005A477D" w:rsidRPr="005B0796" w:rsidRDefault="005A477D" w:rsidP="00C95E4A">
            <w:pPr>
              <w:pStyle w:val="TableText"/>
              <w:jc w:val="right"/>
              <w:rPr>
                <w:lang w:eastAsia="en-AU"/>
              </w:rPr>
            </w:pPr>
            <w:r w:rsidRPr="005B0796">
              <w:rPr>
                <w:lang w:eastAsia="en-AU"/>
              </w:rPr>
              <w:t>7.4, 9.6</w:t>
            </w:r>
          </w:p>
        </w:tc>
        <w:tc>
          <w:tcPr>
            <w:tcW w:w="808" w:type="dxa"/>
            <w:hideMark/>
          </w:tcPr>
          <w:p w:rsidR="005A477D" w:rsidRPr="005B0796" w:rsidRDefault="005A477D" w:rsidP="00C95E4A">
            <w:pPr>
              <w:pStyle w:val="TableText"/>
              <w:jc w:val="right"/>
              <w:rPr>
                <w:lang w:eastAsia="en-AU"/>
              </w:rPr>
            </w:pPr>
            <w:r w:rsidRPr="005B0796">
              <w:rPr>
                <w:lang w:eastAsia="en-AU"/>
              </w:rPr>
              <w:t>4601</w:t>
            </w:r>
          </w:p>
        </w:tc>
        <w:tc>
          <w:tcPr>
            <w:tcW w:w="450" w:type="dxa"/>
            <w:hideMark/>
          </w:tcPr>
          <w:p w:rsidR="005A477D" w:rsidRPr="005B0796" w:rsidRDefault="005A477D" w:rsidP="00C95E4A">
            <w:pPr>
              <w:pStyle w:val="TableText"/>
              <w:jc w:val="right"/>
              <w:rPr>
                <w:lang w:eastAsia="en-AU"/>
              </w:rPr>
            </w:pPr>
            <w:r w:rsidRPr="005B0796">
              <w:rPr>
                <w:lang w:eastAsia="en-AU"/>
              </w:rPr>
              <w:t>8.8</w:t>
            </w:r>
          </w:p>
        </w:tc>
        <w:tc>
          <w:tcPr>
            <w:tcW w:w="814" w:type="dxa"/>
            <w:hideMark/>
          </w:tcPr>
          <w:p w:rsidR="005A477D" w:rsidRPr="005B0796" w:rsidRDefault="005A477D" w:rsidP="00C95E4A">
            <w:pPr>
              <w:pStyle w:val="TableText"/>
              <w:jc w:val="right"/>
              <w:rPr>
                <w:lang w:eastAsia="en-AU"/>
              </w:rPr>
            </w:pPr>
            <w:r w:rsidRPr="005B0796">
              <w:rPr>
                <w:lang w:eastAsia="en-AU"/>
              </w:rPr>
              <w:t>6.5, 11.6</w:t>
            </w:r>
          </w:p>
        </w:tc>
        <w:tc>
          <w:tcPr>
            <w:tcW w:w="806" w:type="dxa"/>
            <w:hideMark/>
          </w:tcPr>
          <w:p w:rsidR="005A477D" w:rsidRPr="005B0796" w:rsidRDefault="005A477D" w:rsidP="00C95E4A">
            <w:pPr>
              <w:pStyle w:val="TableText"/>
              <w:jc w:val="right"/>
              <w:rPr>
                <w:lang w:eastAsia="en-AU"/>
              </w:rPr>
            </w:pPr>
            <w:r w:rsidRPr="005B0796">
              <w:rPr>
                <w:lang w:eastAsia="en-AU"/>
              </w:rPr>
              <w:t>2187</w:t>
            </w:r>
          </w:p>
        </w:tc>
        <w:tc>
          <w:tcPr>
            <w:tcW w:w="450" w:type="dxa"/>
            <w:hideMark/>
          </w:tcPr>
          <w:p w:rsidR="005A477D" w:rsidRPr="005B0796" w:rsidRDefault="005A477D" w:rsidP="00C95E4A">
            <w:pPr>
              <w:pStyle w:val="TableText"/>
              <w:jc w:val="right"/>
              <w:rPr>
                <w:lang w:eastAsia="en-AU"/>
              </w:rPr>
            </w:pPr>
            <w:r w:rsidRPr="005B0796">
              <w:rPr>
                <w:lang w:eastAsia="en-AU"/>
              </w:rPr>
              <w:t>4.4</w:t>
            </w:r>
          </w:p>
        </w:tc>
        <w:tc>
          <w:tcPr>
            <w:tcW w:w="817" w:type="dxa"/>
            <w:hideMark/>
          </w:tcPr>
          <w:p w:rsidR="005A477D" w:rsidRPr="005B0796" w:rsidRDefault="005A477D" w:rsidP="00C95E4A">
            <w:pPr>
              <w:pStyle w:val="TableText"/>
              <w:jc w:val="right"/>
              <w:rPr>
                <w:lang w:eastAsia="en-AU"/>
              </w:rPr>
            </w:pPr>
            <w:r w:rsidRPr="005B0796">
              <w:rPr>
                <w:lang w:eastAsia="en-AU"/>
              </w:rPr>
              <w:t>4.1, 4.6</w:t>
            </w:r>
          </w:p>
        </w:tc>
      </w:tr>
      <w:tr w:rsidR="00C95E4A" w:rsidRPr="005B0796" w:rsidTr="00C95E4A">
        <w:tc>
          <w:tcPr>
            <w:tcW w:w="1098" w:type="dxa"/>
            <w:hideMark/>
          </w:tcPr>
          <w:p w:rsidR="005A477D" w:rsidRPr="005B0796" w:rsidRDefault="005A477D" w:rsidP="00C95E4A">
            <w:pPr>
              <w:pStyle w:val="TableText"/>
              <w:rPr>
                <w:rFonts w:eastAsia="GillSans"/>
                <w:lang w:eastAsia="en-AU"/>
              </w:rPr>
            </w:pPr>
            <w:r w:rsidRPr="005B0796">
              <w:rPr>
                <w:lang w:eastAsia="en-AU"/>
              </w:rPr>
              <w:t>Monthly or less</w:t>
            </w:r>
          </w:p>
        </w:tc>
        <w:tc>
          <w:tcPr>
            <w:tcW w:w="810" w:type="dxa"/>
            <w:hideMark/>
          </w:tcPr>
          <w:p w:rsidR="005A477D" w:rsidRPr="005B0796" w:rsidRDefault="005A477D" w:rsidP="00C95E4A">
            <w:pPr>
              <w:pStyle w:val="TableText"/>
              <w:jc w:val="right"/>
              <w:rPr>
                <w:lang w:eastAsia="en-AU"/>
              </w:rPr>
            </w:pPr>
            <w:r w:rsidRPr="005B0796">
              <w:rPr>
                <w:lang w:eastAsia="en-AU"/>
              </w:rPr>
              <w:t>5604</w:t>
            </w:r>
          </w:p>
        </w:tc>
        <w:tc>
          <w:tcPr>
            <w:tcW w:w="450" w:type="dxa"/>
            <w:hideMark/>
          </w:tcPr>
          <w:p w:rsidR="005A477D" w:rsidRPr="005B0796" w:rsidRDefault="005A477D" w:rsidP="00C95E4A">
            <w:pPr>
              <w:pStyle w:val="TableText"/>
              <w:jc w:val="right"/>
              <w:rPr>
                <w:lang w:eastAsia="en-AU"/>
              </w:rPr>
            </w:pPr>
            <w:r w:rsidRPr="005B0796">
              <w:rPr>
                <w:lang w:eastAsia="en-AU"/>
              </w:rPr>
              <w:t>22.5</w:t>
            </w:r>
          </w:p>
        </w:tc>
        <w:tc>
          <w:tcPr>
            <w:tcW w:w="812" w:type="dxa"/>
            <w:hideMark/>
          </w:tcPr>
          <w:p w:rsidR="005A477D" w:rsidRPr="005B0796" w:rsidRDefault="005A477D" w:rsidP="00C95E4A">
            <w:pPr>
              <w:pStyle w:val="TableText"/>
              <w:jc w:val="right"/>
              <w:rPr>
                <w:lang w:eastAsia="en-AU"/>
              </w:rPr>
            </w:pPr>
            <w:r w:rsidRPr="005B0796">
              <w:rPr>
                <w:lang w:eastAsia="en-AU"/>
              </w:rPr>
              <w:t>20.9, 24.2</w:t>
            </w:r>
          </w:p>
        </w:tc>
        <w:tc>
          <w:tcPr>
            <w:tcW w:w="808" w:type="dxa"/>
            <w:hideMark/>
          </w:tcPr>
          <w:p w:rsidR="005A477D" w:rsidRPr="005B0796" w:rsidRDefault="005A477D" w:rsidP="00C95E4A">
            <w:pPr>
              <w:pStyle w:val="TableText"/>
              <w:jc w:val="right"/>
              <w:rPr>
                <w:lang w:eastAsia="en-AU"/>
              </w:rPr>
            </w:pPr>
            <w:r w:rsidRPr="005B0796">
              <w:rPr>
                <w:lang w:eastAsia="en-AU"/>
              </w:rPr>
              <w:t>13,348</w:t>
            </w:r>
          </w:p>
        </w:tc>
        <w:tc>
          <w:tcPr>
            <w:tcW w:w="450" w:type="dxa"/>
            <w:hideMark/>
          </w:tcPr>
          <w:p w:rsidR="005A477D" w:rsidRPr="005B0796" w:rsidRDefault="005A477D" w:rsidP="00C95E4A">
            <w:pPr>
              <w:pStyle w:val="TableText"/>
              <w:jc w:val="right"/>
              <w:rPr>
                <w:lang w:eastAsia="en-AU"/>
              </w:rPr>
            </w:pPr>
            <w:r w:rsidRPr="005B0796">
              <w:rPr>
                <w:lang w:eastAsia="en-AU"/>
              </w:rPr>
              <w:t>25.4</w:t>
            </w:r>
          </w:p>
        </w:tc>
        <w:tc>
          <w:tcPr>
            <w:tcW w:w="814" w:type="dxa"/>
            <w:hideMark/>
          </w:tcPr>
          <w:p w:rsidR="005A477D" w:rsidRPr="005B0796" w:rsidRDefault="005A477D" w:rsidP="00C95E4A">
            <w:pPr>
              <w:pStyle w:val="TableText"/>
              <w:jc w:val="right"/>
              <w:rPr>
                <w:lang w:eastAsia="en-AU"/>
              </w:rPr>
            </w:pPr>
            <w:r w:rsidRPr="005B0796">
              <w:rPr>
                <w:lang w:eastAsia="en-AU"/>
              </w:rPr>
              <w:t>22.2, 28.9</w:t>
            </w:r>
          </w:p>
        </w:tc>
        <w:tc>
          <w:tcPr>
            <w:tcW w:w="806" w:type="dxa"/>
            <w:hideMark/>
          </w:tcPr>
          <w:p w:rsidR="005A477D" w:rsidRPr="005B0796" w:rsidRDefault="005A477D" w:rsidP="00C95E4A">
            <w:pPr>
              <w:pStyle w:val="TableText"/>
              <w:jc w:val="right"/>
              <w:rPr>
                <w:lang w:eastAsia="en-AU"/>
              </w:rPr>
            </w:pPr>
            <w:r w:rsidRPr="005B0796">
              <w:rPr>
                <w:lang w:eastAsia="en-AU"/>
              </w:rPr>
              <w:t>10,648</w:t>
            </w:r>
          </w:p>
        </w:tc>
        <w:tc>
          <w:tcPr>
            <w:tcW w:w="450" w:type="dxa"/>
            <w:hideMark/>
          </w:tcPr>
          <w:p w:rsidR="005A477D" w:rsidRPr="005B0796" w:rsidRDefault="005A477D" w:rsidP="00C95E4A">
            <w:pPr>
              <w:pStyle w:val="TableText"/>
              <w:jc w:val="right"/>
              <w:rPr>
                <w:lang w:eastAsia="en-AU"/>
              </w:rPr>
            </w:pPr>
            <w:r w:rsidRPr="005B0796">
              <w:rPr>
                <w:lang w:eastAsia="en-AU"/>
              </w:rPr>
              <w:t>21.3</w:t>
            </w:r>
          </w:p>
        </w:tc>
        <w:tc>
          <w:tcPr>
            <w:tcW w:w="817" w:type="dxa"/>
            <w:hideMark/>
          </w:tcPr>
          <w:p w:rsidR="005A477D" w:rsidRPr="005B0796" w:rsidRDefault="005A477D" w:rsidP="00C95E4A">
            <w:pPr>
              <w:pStyle w:val="TableText"/>
              <w:jc w:val="right"/>
              <w:rPr>
                <w:lang w:eastAsia="en-AU"/>
              </w:rPr>
            </w:pPr>
            <w:r w:rsidRPr="005B0796">
              <w:rPr>
                <w:lang w:eastAsia="en-AU"/>
              </w:rPr>
              <w:t>20.8, 21.8</w:t>
            </w:r>
          </w:p>
        </w:tc>
      </w:tr>
      <w:tr w:rsidR="00C95E4A" w:rsidRPr="005B0796" w:rsidTr="00C95E4A">
        <w:trPr>
          <w:cnfStyle w:val="000000100000" w:firstRow="0" w:lastRow="0" w:firstColumn="0" w:lastColumn="0" w:oddVBand="0" w:evenVBand="0" w:oddHBand="1" w:evenHBand="0" w:firstRowFirstColumn="0" w:firstRowLastColumn="0" w:lastRowFirstColumn="0" w:lastRowLastColumn="0"/>
        </w:trPr>
        <w:tc>
          <w:tcPr>
            <w:tcW w:w="1098" w:type="dxa"/>
            <w:hideMark/>
          </w:tcPr>
          <w:p w:rsidR="005A477D" w:rsidRPr="005B0796" w:rsidRDefault="005A477D" w:rsidP="00C95E4A">
            <w:pPr>
              <w:pStyle w:val="TableText"/>
              <w:rPr>
                <w:rFonts w:eastAsia="GillSans"/>
                <w:lang w:eastAsia="en-AU"/>
              </w:rPr>
            </w:pPr>
            <w:r w:rsidRPr="005B0796">
              <w:rPr>
                <w:lang w:eastAsia="en-AU"/>
              </w:rPr>
              <w:t>2 to 4 times per month</w:t>
            </w:r>
          </w:p>
        </w:tc>
        <w:tc>
          <w:tcPr>
            <w:tcW w:w="810" w:type="dxa"/>
            <w:hideMark/>
          </w:tcPr>
          <w:p w:rsidR="005A477D" w:rsidRPr="005B0796" w:rsidRDefault="005A477D" w:rsidP="00C95E4A">
            <w:pPr>
              <w:pStyle w:val="TableText"/>
              <w:jc w:val="right"/>
              <w:rPr>
                <w:lang w:eastAsia="en-AU"/>
              </w:rPr>
            </w:pPr>
            <w:r w:rsidRPr="005B0796">
              <w:rPr>
                <w:lang w:eastAsia="en-AU"/>
              </w:rPr>
              <w:t>6259</w:t>
            </w:r>
          </w:p>
        </w:tc>
        <w:tc>
          <w:tcPr>
            <w:tcW w:w="450" w:type="dxa"/>
            <w:hideMark/>
          </w:tcPr>
          <w:p w:rsidR="005A477D" w:rsidRPr="005B0796" w:rsidRDefault="005A477D" w:rsidP="00C95E4A">
            <w:pPr>
              <w:pStyle w:val="TableText"/>
              <w:jc w:val="right"/>
              <w:rPr>
                <w:lang w:eastAsia="en-AU"/>
              </w:rPr>
            </w:pPr>
            <w:r w:rsidRPr="005B0796">
              <w:rPr>
                <w:lang w:eastAsia="en-AU"/>
              </w:rPr>
              <w:t>25.1</w:t>
            </w:r>
          </w:p>
        </w:tc>
        <w:tc>
          <w:tcPr>
            <w:tcW w:w="812" w:type="dxa"/>
            <w:hideMark/>
          </w:tcPr>
          <w:p w:rsidR="005A477D" w:rsidRPr="005B0796" w:rsidRDefault="005A477D" w:rsidP="00C95E4A">
            <w:pPr>
              <w:pStyle w:val="TableText"/>
              <w:jc w:val="right"/>
              <w:rPr>
                <w:lang w:eastAsia="en-AU"/>
              </w:rPr>
            </w:pPr>
            <w:r w:rsidRPr="005B0796">
              <w:rPr>
                <w:lang w:eastAsia="en-AU"/>
              </w:rPr>
              <w:t>23.4, 26.9</w:t>
            </w:r>
          </w:p>
        </w:tc>
        <w:tc>
          <w:tcPr>
            <w:tcW w:w="808" w:type="dxa"/>
            <w:hideMark/>
          </w:tcPr>
          <w:p w:rsidR="005A477D" w:rsidRPr="005B0796" w:rsidRDefault="005A477D" w:rsidP="00C95E4A">
            <w:pPr>
              <w:pStyle w:val="TableText"/>
              <w:jc w:val="right"/>
              <w:rPr>
                <w:lang w:eastAsia="en-AU"/>
              </w:rPr>
            </w:pPr>
            <w:r w:rsidRPr="005B0796">
              <w:rPr>
                <w:lang w:eastAsia="en-AU"/>
              </w:rPr>
              <w:t>15,105</w:t>
            </w:r>
          </w:p>
        </w:tc>
        <w:tc>
          <w:tcPr>
            <w:tcW w:w="450" w:type="dxa"/>
            <w:hideMark/>
          </w:tcPr>
          <w:p w:rsidR="005A477D" w:rsidRPr="005B0796" w:rsidRDefault="005A477D" w:rsidP="00C95E4A">
            <w:pPr>
              <w:pStyle w:val="TableText"/>
              <w:jc w:val="right"/>
              <w:rPr>
                <w:lang w:eastAsia="en-AU"/>
              </w:rPr>
            </w:pPr>
            <w:r w:rsidRPr="005B0796">
              <w:rPr>
                <w:lang w:eastAsia="en-AU"/>
              </w:rPr>
              <w:t>28.8</w:t>
            </w:r>
          </w:p>
        </w:tc>
        <w:tc>
          <w:tcPr>
            <w:tcW w:w="814" w:type="dxa"/>
            <w:hideMark/>
          </w:tcPr>
          <w:p w:rsidR="005A477D" w:rsidRPr="005B0796" w:rsidRDefault="005A477D" w:rsidP="00C95E4A">
            <w:pPr>
              <w:pStyle w:val="TableText"/>
              <w:jc w:val="right"/>
              <w:rPr>
                <w:lang w:eastAsia="en-AU"/>
              </w:rPr>
            </w:pPr>
            <w:r w:rsidRPr="005B0796">
              <w:rPr>
                <w:lang w:eastAsia="en-AU"/>
              </w:rPr>
              <w:t>25.5, 32.2</w:t>
            </w:r>
          </w:p>
        </w:tc>
        <w:tc>
          <w:tcPr>
            <w:tcW w:w="806" w:type="dxa"/>
            <w:hideMark/>
          </w:tcPr>
          <w:p w:rsidR="005A477D" w:rsidRPr="005B0796" w:rsidRDefault="005A477D" w:rsidP="00C95E4A">
            <w:pPr>
              <w:pStyle w:val="TableText"/>
              <w:jc w:val="right"/>
              <w:rPr>
                <w:lang w:eastAsia="en-AU"/>
              </w:rPr>
            </w:pPr>
            <w:r w:rsidRPr="005B0796">
              <w:rPr>
                <w:lang w:eastAsia="en-AU"/>
              </w:rPr>
              <w:t>17,208</w:t>
            </w:r>
          </w:p>
        </w:tc>
        <w:tc>
          <w:tcPr>
            <w:tcW w:w="450" w:type="dxa"/>
            <w:hideMark/>
          </w:tcPr>
          <w:p w:rsidR="005A477D" w:rsidRPr="005B0796" w:rsidRDefault="005A477D" w:rsidP="00C95E4A">
            <w:pPr>
              <w:pStyle w:val="TableText"/>
              <w:jc w:val="right"/>
              <w:rPr>
                <w:lang w:eastAsia="en-AU"/>
              </w:rPr>
            </w:pPr>
            <w:r w:rsidRPr="005B0796">
              <w:rPr>
                <w:lang w:eastAsia="en-AU"/>
              </w:rPr>
              <w:t>34.4</w:t>
            </w:r>
          </w:p>
        </w:tc>
        <w:tc>
          <w:tcPr>
            <w:tcW w:w="817" w:type="dxa"/>
            <w:hideMark/>
          </w:tcPr>
          <w:p w:rsidR="005A477D" w:rsidRPr="005B0796" w:rsidRDefault="005A477D" w:rsidP="00C95E4A">
            <w:pPr>
              <w:pStyle w:val="TableText"/>
              <w:jc w:val="right"/>
              <w:rPr>
                <w:lang w:eastAsia="en-AU"/>
              </w:rPr>
            </w:pPr>
            <w:r w:rsidRPr="005B0796">
              <w:rPr>
                <w:lang w:eastAsia="en-AU"/>
              </w:rPr>
              <w:t>33.8, 34.9</w:t>
            </w:r>
          </w:p>
        </w:tc>
      </w:tr>
      <w:tr w:rsidR="00C95E4A" w:rsidRPr="005B0796" w:rsidTr="00C95E4A">
        <w:tc>
          <w:tcPr>
            <w:tcW w:w="1098" w:type="dxa"/>
            <w:hideMark/>
          </w:tcPr>
          <w:p w:rsidR="005A477D" w:rsidRPr="005B0796" w:rsidRDefault="005A477D" w:rsidP="00C95E4A">
            <w:pPr>
              <w:pStyle w:val="TableText"/>
              <w:rPr>
                <w:lang w:eastAsia="en-AU"/>
              </w:rPr>
            </w:pPr>
            <w:r w:rsidRPr="005B0796">
              <w:rPr>
                <w:lang w:eastAsia="en-AU"/>
              </w:rPr>
              <w:t>2 to 3 times a week</w:t>
            </w:r>
          </w:p>
        </w:tc>
        <w:tc>
          <w:tcPr>
            <w:tcW w:w="810" w:type="dxa"/>
            <w:hideMark/>
          </w:tcPr>
          <w:p w:rsidR="005A477D" w:rsidRPr="005B0796" w:rsidRDefault="005A477D" w:rsidP="00C95E4A">
            <w:pPr>
              <w:pStyle w:val="TableText"/>
              <w:jc w:val="right"/>
              <w:rPr>
                <w:lang w:eastAsia="en-AU"/>
              </w:rPr>
            </w:pPr>
            <w:r w:rsidRPr="005B0796">
              <w:rPr>
                <w:lang w:eastAsia="en-AU"/>
              </w:rPr>
              <w:t>5833</w:t>
            </w:r>
          </w:p>
        </w:tc>
        <w:tc>
          <w:tcPr>
            <w:tcW w:w="450" w:type="dxa"/>
            <w:hideMark/>
          </w:tcPr>
          <w:p w:rsidR="005A477D" w:rsidRPr="005B0796" w:rsidRDefault="005A477D" w:rsidP="00C95E4A">
            <w:pPr>
              <w:pStyle w:val="TableText"/>
              <w:jc w:val="right"/>
              <w:rPr>
                <w:lang w:eastAsia="en-AU"/>
              </w:rPr>
            </w:pPr>
            <w:r w:rsidRPr="005B0796">
              <w:rPr>
                <w:lang w:eastAsia="en-AU"/>
              </w:rPr>
              <w:t>23.4</w:t>
            </w:r>
          </w:p>
        </w:tc>
        <w:tc>
          <w:tcPr>
            <w:tcW w:w="812" w:type="dxa"/>
            <w:hideMark/>
          </w:tcPr>
          <w:p w:rsidR="005A477D" w:rsidRPr="005B0796" w:rsidRDefault="005A477D" w:rsidP="00C95E4A">
            <w:pPr>
              <w:pStyle w:val="TableText"/>
              <w:jc w:val="right"/>
              <w:rPr>
                <w:lang w:eastAsia="en-AU"/>
              </w:rPr>
            </w:pPr>
            <w:r w:rsidRPr="005B0796">
              <w:rPr>
                <w:lang w:eastAsia="en-AU"/>
              </w:rPr>
              <w:t>21.8, 25.1</w:t>
            </w:r>
          </w:p>
        </w:tc>
        <w:tc>
          <w:tcPr>
            <w:tcW w:w="808" w:type="dxa"/>
            <w:hideMark/>
          </w:tcPr>
          <w:p w:rsidR="005A477D" w:rsidRPr="005B0796" w:rsidRDefault="005A477D" w:rsidP="00C95E4A">
            <w:pPr>
              <w:pStyle w:val="TableText"/>
              <w:jc w:val="right"/>
              <w:rPr>
                <w:lang w:eastAsia="en-AU"/>
              </w:rPr>
            </w:pPr>
            <w:r w:rsidRPr="005B0796">
              <w:rPr>
                <w:lang w:eastAsia="en-AU"/>
              </w:rPr>
              <w:t>13,339</w:t>
            </w:r>
          </w:p>
        </w:tc>
        <w:tc>
          <w:tcPr>
            <w:tcW w:w="450" w:type="dxa"/>
            <w:hideMark/>
          </w:tcPr>
          <w:p w:rsidR="005A477D" w:rsidRPr="005B0796" w:rsidRDefault="005A477D" w:rsidP="00C95E4A">
            <w:pPr>
              <w:pStyle w:val="TableText"/>
              <w:jc w:val="right"/>
              <w:rPr>
                <w:lang w:eastAsia="en-AU"/>
              </w:rPr>
            </w:pPr>
            <w:r w:rsidRPr="005B0796">
              <w:rPr>
                <w:lang w:eastAsia="en-AU"/>
              </w:rPr>
              <w:t>25.4</w:t>
            </w:r>
          </w:p>
        </w:tc>
        <w:tc>
          <w:tcPr>
            <w:tcW w:w="814" w:type="dxa"/>
            <w:hideMark/>
          </w:tcPr>
          <w:p w:rsidR="005A477D" w:rsidRPr="005B0796" w:rsidRDefault="005A477D" w:rsidP="00C95E4A">
            <w:pPr>
              <w:pStyle w:val="TableText"/>
              <w:jc w:val="right"/>
              <w:rPr>
                <w:lang w:eastAsia="en-AU"/>
              </w:rPr>
            </w:pPr>
            <w:r w:rsidRPr="005B0796">
              <w:rPr>
                <w:lang w:eastAsia="en-AU"/>
              </w:rPr>
              <w:t>22.5, 28.5</w:t>
            </w:r>
          </w:p>
        </w:tc>
        <w:tc>
          <w:tcPr>
            <w:tcW w:w="806" w:type="dxa"/>
            <w:hideMark/>
          </w:tcPr>
          <w:p w:rsidR="005A477D" w:rsidRPr="005B0796" w:rsidRDefault="005A477D" w:rsidP="00C95E4A">
            <w:pPr>
              <w:pStyle w:val="TableText"/>
              <w:jc w:val="right"/>
              <w:rPr>
                <w:lang w:eastAsia="en-AU"/>
              </w:rPr>
            </w:pPr>
            <w:r w:rsidRPr="005B0796">
              <w:rPr>
                <w:lang w:eastAsia="en-AU"/>
              </w:rPr>
              <w:t>14,477</w:t>
            </w:r>
          </w:p>
        </w:tc>
        <w:tc>
          <w:tcPr>
            <w:tcW w:w="450" w:type="dxa"/>
            <w:hideMark/>
          </w:tcPr>
          <w:p w:rsidR="005A477D" w:rsidRPr="005B0796" w:rsidRDefault="005A477D" w:rsidP="00C95E4A">
            <w:pPr>
              <w:pStyle w:val="TableText"/>
              <w:jc w:val="right"/>
              <w:rPr>
                <w:lang w:eastAsia="en-AU"/>
              </w:rPr>
            </w:pPr>
            <w:r w:rsidRPr="005B0796">
              <w:rPr>
                <w:lang w:eastAsia="en-AU"/>
              </w:rPr>
              <w:t>28.9</w:t>
            </w:r>
          </w:p>
        </w:tc>
        <w:tc>
          <w:tcPr>
            <w:tcW w:w="817" w:type="dxa"/>
            <w:hideMark/>
          </w:tcPr>
          <w:p w:rsidR="005A477D" w:rsidRPr="005B0796" w:rsidRDefault="005A477D" w:rsidP="00C95E4A">
            <w:pPr>
              <w:pStyle w:val="TableText"/>
              <w:jc w:val="right"/>
              <w:rPr>
                <w:lang w:eastAsia="en-AU"/>
              </w:rPr>
            </w:pPr>
            <w:r w:rsidRPr="005B0796">
              <w:rPr>
                <w:lang w:eastAsia="en-AU"/>
              </w:rPr>
              <w:t>28.4, 29.5</w:t>
            </w:r>
          </w:p>
        </w:tc>
      </w:tr>
      <w:tr w:rsidR="00C95E4A" w:rsidRPr="005B0796" w:rsidTr="00C95E4A">
        <w:trPr>
          <w:cnfStyle w:val="010000000000" w:firstRow="0" w:lastRow="1" w:firstColumn="0" w:lastColumn="0" w:oddVBand="0" w:evenVBand="0" w:oddHBand="0" w:evenHBand="0" w:firstRowFirstColumn="0" w:firstRowLastColumn="0" w:lastRowFirstColumn="0" w:lastRowLastColumn="0"/>
        </w:trPr>
        <w:tc>
          <w:tcPr>
            <w:tcW w:w="1098" w:type="dxa"/>
          </w:tcPr>
          <w:p w:rsidR="005A477D" w:rsidRPr="005B0796" w:rsidRDefault="005A477D" w:rsidP="00C95E4A">
            <w:pPr>
              <w:pStyle w:val="TableText"/>
              <w:rPr>
                <w:lang w:eastAsia="en-AU"/>
              </w:rPr>
            </w:pPr>
            <w:r w:rsidRPr="005B0796">
              <w:rPr>
                <w:lang w:eastAsia="en-AU"/>
              </w:rPr>
              <w:t>4 or more times per week</w:t>
            </w:r>
          </w:p>
        </w:tc>
        <w:tc>
          <w:tcPr>
            <w:tcW w:w="810" w:type="dxa"/>
            <w:hideMark/>
          </w:tcPr>
          <w:p w:rsidR="005A477D" w:rsidRPr="005B0796" w:rsidRDefault="005A477D" w:rsidP="00C95E4A">
            <w:pPr>
              <w:pStyle w:val="TableText"/>
              <w:jc w:val="right"/>
              <w:rPr>
                <w:lang w:eastAsia="en-AU"/>
              </w:rPr>
            </w:pPr>
            <w:r w:rsidRPr="005B0796">
              <w:rPr>
                <w:lang w:eastAsia="en-AU"/>
              </w:rPr>
              <w:t>5097</w:t>
            </w:r>
          </w:p>
        </w:tc>
        <w:tc>
          <w:tcPr>
            <w:tcW w:w="450" w:type="dxa"/>
            <w:hideMark/>
          </w:tcPr>
          <w:p w:rsidR="005A477D" w:rsidRPr="005B0796" w:rsidRDefault="005A477D" w:rsidP="00C95E4A">
            <w:pPr>
              <w:pStyle w:val="TableText"/>
              <w:jc w:val="right"/>
              <w:rPr>
                <w:lang w:eastAsia="en-AU"/>
              </w:rPr>
            </w:pPr>
            <w:r w:rsidRPr="005B0796">
              <w:rPr>
                <w:lang w:eastAsia="en-AU"/>
              </w:rPr>
              <w:t>20.4</w:t>
            </w:r>
          </w:p>
        </w:tc>
        <w:tc>
          <w:tcPr>
            <w:tcW w:w="812" w:type="dxa"/>
            <w:hideMark/>
          </w:tcPr>
          <w:p w:rsidR="005A477D" w:rsidRPr="005B0796" w:rsidRDefault="005A477D" w:rsidP="00C95E4A">
            <w:pPr>
              <w:pStyle w:val="TableText"/>
              <w:jc w:val="right"/>
              <w:rPr>
                <w:lang w:eastAsia="en-AU"/>
              </w:rPr>
            </w:pPr>
            <w:r w:rsidRPr="005B0796">
              <w:rPr>
                <w:lang w:eastAsia="en-AU"/>
              </w:rPr>
              <w:t>19.0, 21.9</w:t>
            </w:r>
          </w:p>
        </w:tc>
        <w:tc>
          <w:tcPr>
            <w:tcW w:w="808" w:type="dxa"/>
            <w:hideMark/>
          </w:tcPr>
          <w:p w:rsidR="005A477D" w:rsidRPr="005B0796" w:rsidRDefault="005A477D" w:rsidP="00C95E4A">
            <w:pPr>
              <w:pStyle w:val="TableText"/>
              <w:jc w:val="right"/>
              <w:rPr>
                <w:lang w:eastAsia="en-AU"/>
              </w:rPr>
            </w:pPr>
            <w:r w:rsidRPr="005B0796">
              <w:rPr>
                <w:lang w:eastAsia="en-AU"/>
              </w:rPr>
              <w:t>6094</w:t>
            </w:r>
          </w:p>
        </w:tc>
        <w:tc>
          <w:tcPr>
            <w:tcW w:w="450" w:type="dxa"/>
            <w:hideMark/>
          </w:tcPr>
          <w:p w:rsidR="005A477D" w:rsidRPr="005B0796" w:rsidRDefault="005A477D" w:rsidP="00C95E4A">
            <w:pPr>
              <w:pStyle w:val="TableText"/>
              <w:jc w:val="right"/>
              <w:rPr>
                <w:lang w:eastAsia="en-AU"/>
              </w:rPr>
            </w:pPr>
            <w:r w:rsidRPr="005B0796">
              <w:rPr>
                <w:lang w:eastAsia="en-AU"/>
              </w:rPr>
              <w:t>11.6</w:t>
            </w:r>
          </w:p>
        </w:tc>
        <w:tc>
          <w:tcPr>
            <w:tcW w:w="814" w:type="dxa"/>
            <w:hideMark/>
          </w:tcPr>
          <w:p w:rsidR="005A477D" w:rsidRPr="005B0796" w:rsidRDefault="005A477D" w:rsidP="00C95E4A">
            <w:pPr>
              <w:pStyle w:val="TableText"/>
              <w:jc w:val="right"/>
              <w:rPr>
                <w:lang w:eastAsia="en-AU"/>
              </w:rPr>
            </w:pPr>
            <w:r w:rsidRPr="005B0796">
              <w:rPr>
                <w:lang w:eastAsia="en-AU"/>
              </w:rPr>
              <w:t>9.6, 13.9</w:t>
            </w:r>
          </w:p>
        </w:tc>
        <w:tc>
          <w:tcPr>
            <w:tcW w:w="806" w:type="dxa"/>
            <w:hideMark/>
          </w:tcPr>
          <w:p w:rsidR="005A477D" w:rsidRPr="005B0796" w:rsidRDefault="005A477D" w:rsidP="00C95E4A">
            <w:pPr>
              <w:pStyle w:val="TableText"/>
              <w:jc w:val="right"/>
              <w:rPr>
                <w:lang w:eastAsia="en-AU"/>
              </w:rPr>
            </w:pPr>
            <w:r w:rsidRPr="005B0796">
              <w:rPr>
                <w:lang w:eastAsia="en-AU"/>
              </w:rPr>
              <w:t>5529</w:t>
            </w:r>
          </w:p>
        </w:tc>
        <w:tc>
          <w:tcPr>
            <w:tcW w:w="450" w:type="dxa"/>
            <w:hideMark/>
          </w:tcPr>
          <w:p w:rsidR="005A477D" w:rsidRPr="005B0796" w:rsidRDefault="005A477D" w:rsidP="00C95E4A">
            <w:pPr>
              <w:pStyle w:val="TableText"/>
              <w:jc w:val="right"/>
              <w:rPr>
                <w:lang w:eastAsia="en-AU"/>
              </w:rPr>
            </w:pPr>
            <w:r w:rsidRPr="005B0796">
              <w:rPr>
                <w:lang w:eastAsia="en-AU"/>
              </w:rPr>
              <w:t>11.0</w:t>
            </w:r>
          </w:p>
        </w:tc>
        <w:tc>
          <w:tcPr>
            <w:tcW w:w="817" w:type="dxa"/>
            <w:hideMark/>
          </w:tcPr>
          <w:p w:rsidR="005A477D" w:rsidRPr="005B0796" w:rsidRDefault="005A477D" w:rsidP="00C95E4A">
            <w:pPr>
              <w:pStyle w:val="TableText"/>
              <w:jc w:val="right"/>
              <w:rPr>
                <w:lang w:eastAsia="en-AU"/>
              </w:rPr>
            </w:pPr>
            <w:r w:rsidRPr="005B0796">
              <w:rPr>
                <w:lang w:eastAsia="en-AU"/>
              </w:rPr>
              <w:t>10.7, 11.4</w:t>
            </w:r>
          </w:p>
        </w:tc>
      </w:tr>
    </w:tbl>
    <w:p w:rsidR="00C95E4A" w:rsidRPr="005B0796" w:rsidRDefault="00C95E4A" w:rsidP="00C95E4A">
      <w:pPr>
        <w:pStyle w:val="TableNotes"/>
      </w:pPr>
      <w:r w:rsidRPr="005B0796">
        <w:t>* From the 2010 ADF Mental Health Prevalence and Wellbeing Study</w:t>
      </w:r>
    </w:p>
    <w:p w:rsidR="005A477D" w:rsidRPr="005B0796" w:rsidRDefault="00C95E4A" w:rsidP="00C95E4A">
      <w:pPr>
        <w:pStyle w:val="TableNotes"/>
      </w:pPr>
      <w:r w:rsidRPr="005B0796">
        <w:t xml:space="preserve">Note: 95% CI: 95% </w:t>
      </w:r>
      <w:r w:rsidR="00564689" w:rsidRPr="005B0796">
        <w:t>confidence interval</w:t>
      </w:r>
    </w:p>
    <w:p w:rsidR="005A477D" w:rsidRPr="005B0796" w:rsidRDefault="00C95E4A" w:rsidP="00C95E4A">
      <w:pPr>
        <w:pStyle w:val="FigureName"/>
      </w:pPr>
      <w:bookmarkStart w:id="961" w:name="_Toc487014398"/>
      <w:bookmarkStart w:id="962" w:name="_Toc51190056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8</w:t>
      </w:r>
      <w:r w:rsidR="00D30A3C">
        <w:rPr>
          <w:noProof/>
        </w:rPr>
        <w:fldChar w:fldCharType="end"/>
      </w:r>
      <w:r w:rsidRPr="005B0796">
        <w:tab/>
        <w:t>Estimated proportions o</w:t>
      </w:r>
      <w:r w:rsidR="00C01061">
        <w:t>f</w:t>
      </w:r>
      <w:r w:rsidRPr="005B0796">
        <w:t xml:space="preserve"> members of Transitioned ADF, and 2010 and 2015 Regular ADF, by AUDIT, for frequency of alcohol consumption</w:t>
      </w:r>
      <w:bookmarkEnd w:id="961"/>
      <w:bookmarkEnd w:id="962"/>
    </w:p>
    <w:tbl>
      <w:tblPr>
        <w:tblW w:w="5000" w:type="pct"/>
        <w:tblLayout w:type="fixed"/>
        <w:tblCellMar>
          <w:left w:w="115" w:type="dxa"/>
          <w:right w:w="115" w:type="dxa"/>
        </w:tblCellMar>
        <w:tblLook w:val="04A0" w:firstRow="1" w:lastRow="0" w:firstColumn="1" w:lastColumn="0" w:noHBand="0" w:noVBand="1"/>
      </w:tblPr>
      <w:tblGrid>
        <w:gridCol w:w="7329"/>
      </w:tblGrid>
      <w:tr w:rsidR="005A477D" w:rsidRPr="005B0796" w:rsidTr="00C95E4A">
        <w:trPr>
          <w:cantSplit/>
        </w:trPr>
        <w:tc>
          <w:tcPr>
            <w:tcW w:w="7315" w:type="dxa"/>
          </w:tcPr>
          <w:p w:rsidR="005A477D" w:rsidRPr="005B0796" w:rsidRDefault="005A477D" w:rsidP="00855912">
            <w:r w:rsidRPr="005B0796">
              <w:rPr>
                <w:noProof/>
                <w:lang w:eastAsia="en-AU"/>
              </w:rPr>
              <w:drawing>
                <wp:inline distT="0" distB="0" distL="0" distR="0" wp14:anchorId="0B95C11F" wp14:editId="0B1E7F68">
                  <wp:extent cx="4572000" cy="2743200"/>
                  <wp:effectExtent l="0" t="0" r="0" b="0"/>
                  <wp:docPr id="68" name="Chart 68" descr="Figure 5.8 Estimated proportions for members of Transitioned ADF, and 2010 and 2015 Regular ADF, by AUDIT, for frequency of alcohol consump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bl>
    <w:p w:rsidR="005A477D" w:rsidRPr="005B0796" w:rsidRDefault="005A477D" w:rsidP="00C95E4A">
      <w:pPr>
        <w:pStyle w:val="Heading3"/>
      </w:pPr>
      <w:bookmarkStart w:id="963" w:name="_Toc482021374"/>
      <w:bookmarkStart w:id="964" w:name="_Toc482024464"/>
      <w:bookmarkStart w:id="965" w:name="_Toc487011222"/>
      <w:bookmarkStart w:id="966" w:name="_Toc494449742"/>
      <w:bookmarkStart w:id="967" w:name="_Toc511900324"/>
      <w:r w:rsidRPr="005B0796">
        <w:t>Quantity of alcohol consumed</w:t>
      </w:r>
      <w:bookmarkEnd w:id="963"/>
      <w:bookmarkEnd w:id="964"/>
      <w:bookmarkEnd w:id="965"/>
      <w:bookmarkEnd w:id="966"/>
      <w:bookmarkEnd w:id="967"/>
    </w:p>
    <w:p w:rsidR="005A477D" w:rsidRPr="005B0796" w:rsidRDefault="009E72D3" w:rsidP="00C95E4A">
      <w:r w:rsidRPr="005B0796">
        <w:t>Table 5.9</w:t>
      </w:r>
      <w:r w:rsidR="005A477D" w:rsidRPr="005B0796">
        <w:t xml:space="preserve"> and Figure 5.9 compare the quantity of alcohol members of the Transitioned ADF and the 2010 and 2015 Regular ADF consume on a typical day.</w:t>
      </w:r>
    </w:p>
    <w:p w:rsidR="005A477D" w:rsidRPr="005B0796" w:rsidRDefault="005A477D" w:rsidP="00C95E4A">
      <w:r w:rsidRPr="005B0796">
        <w:t>The data refer to those who report monthly alcohol consumption. On a typical day, most Transitioned ADF members consume one or two standard alcoholic drinks, 29.5% consume three or four, 15.9% of the Transitioned ADF consume five or six standard drinks, and approximately 7% consume 7–10 or more standard drinks on a typical day.</w:t>
      </w:r>
    </w:p>
    <w:p w:rsidR="005A477D" w:rsidRPr="005B0796" w:rsidRDefault="005A477D" w:rsidP="00C95E4A">
      <w:r w:rsidRPr="005B0796">
        <w:t>Overall, the 2015 Regular ADF reported drinking fewer standard drinks on a typical day, with the majority of this population (71.5%) drinking 1–4 standard drinks compared to 65.2% of the 2010 Regular ADF and 60.7% of the Transitioned ADF. Overall, Transitioned ADF members were significantly more likely to have more standard drinks on a typical day than the 2015 Regular ADF (adjusted p &lt; 0.001). Of the Transitioned ADF, 14.5% reported consuming seven or more standard drinks on a typical day compared to 11.7% of the 2010 Regular ADF and 7.6% of the 2015 Regular ADF. There was a significant reduction in the proportion of Regular ADF members consuming 5–6 drinks (mean difference -5.2 (1.2), 95% CI -7.5, -2.9) and 10 or more drinks (mean difference -2.2 (0.7), 95% CI -3.7, -0.8) in 2015 compared to 2010. However, it should be noted that this comparison does not include any estimate of covariance between the two populations.</w:t>
      </w:r>
    </w:p>
    <w:p w:rsidR="005A477D" w:rsidRPr="005B0796" w:rsidRDefault="005A477D" w:rsidP="00C95E4A">
      <w:r w:rsidRPr="005B0796">
        <w:t xml:space="preserve">A further detailed analysis of the change in levels of self-reported alcohol use and problem drinking from 2010 to 2015 will be addressed more formally in later reports. </w:t>
      </w:r>
    </w:p>
    <w:p w:rsidR="005A477D" w:rsidRPr="005B0796" w:rsidRDefault="00C95E4A" w:rsidP="00C95E4A">
      <w:pPr>
        <w:pStyle w:val="TableName"/>
        <w:rPr>
          <w:szCs w:val="22"/>
        </w:rPr>
      </w:pPr>
      <w:bookmarkStart w:id="968" w:name="_Ref484523469"/>
      <w:bookmarkStart w:id="969" w:name="_Toc487014310"/>
      <w:bookmarkStart w:id="970" w:name="_Toc492995613"/>
      <w:bookmarkStart w:id="971" w:name="_Toc51190046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9</w:t>
      </w:r>
      <w:r w:rsidR="00D30A3C">
        <w:rPr>
          <w:noProof/>
        </w:rPr>
        <w:fldChar w:fldCharType="end"/>
      </w:r>
      <w:bookmarkEnd w:id="968"/>
      <w:r w:rsidRPr="005B0796">
        <w:tab/>
        <w:t>Estimated proportions of Transitioned ADF, and 2010 and 2015 Regular ADF</w:t>
      </w:r>
      <w:r w:rsidR="00C01061">
        <w:t>,</w:t>
      </w:r>
      <w:r w:rsidRPr="005B0796">
        <w:t xml:space="preserve"> by number of standard alcoholic drinks consumed on a typical day</w:t>
      </w:r>
      <w:bookmarkEnd w:id="969"/>
      <w:bookmarkEnd w:id="970"/>
      <w:bookmarkEnd w:id="971"/>
    </w:p>
    <w:tbl>
      <w:tblPr>
        <w:tblStyle w:val="TWRPTable"/>
        <w:tblW w:w="5000" w:type="pct"/>
        <w:tblLayout w:type="fixed"/>
        <w:tblLook w:val="01E0" w:firstRow="1" w:lastRow="1" w:firstColumn="1" w:lastColumn="1" w:noHBand="0" w:noVBand="0"/>
        <w:tblDescription w:val="Table 5.9 Estimated proportions of Transitioned ADF, and 2010 and 2015 Regular ADF by number of standard alcoholic drinks consumed on a typical day"/>
      </w:tblPr>
      <w:tblGrid>
        <w:gridCol w:w="918"/>
        <w:gridCol w:w="810"/>
        <w:gridCol w:w="540"/>
        <w:gridCol w:w="782"/>
        <w:gridCol w:w="748"/>
        <w:gridCol w:w="540"/>
        <w:gridCol w:w="844"/>
        <w:gridCol w:w="776"/>
        <w:gridCol w:w="540"/>
        <w:gridCol w:w="817"/>
      </w:tblGrid>
      <w:tr w:rsidR="005A477D" w:rsidRPr="005B0796" w:rsidTr="00CA40D1">
        <w:trPr>
          <w:cnfStyle w:val="100000000000" w:firstRow="1" w:lastRow="0" w:firstColumn="0" w:lastColumn="0" w:oddVBand="0" w:evenVBand="0" w:oddHBand="0" w:evenHBand="0" w:firstRowFirstColumn="0" w:firstRowLastColumn="0" w:lastRowFirstColumn="0" w:lastRowLastColumn="0"/>
          <w:tblHeader/>
        </w:trPr>
        <w:tc>
          <w:tcPr>
            <w:tcW w:w="918" w:type="dxa"/>
            <w:vMerge w:val="restart"/>
          </w:tcPr>
          <w:p w:rsidR="005A477D" w:rsidRPr="005B0796" w:rsidRDefault="005A477D" w:rsidP="00C95E4A">
            <w:pPr>
              <w:pStyle w:val="TableText"/>
              <w:rPr>
                <w:rFonts w:eastAsia="Times New Roman"/>
                <w:lang w:eastAsia="en-AU"/>
              </w:rPr>
            </w:pPr>
            <w:r w:rsidRPr="005B0796">
              <w:rPr>
                <w:lang w:eastAsia="en-AU"/>
              </w:rPr>
              <w:t>Number of standard drinks in typical day</w:t>
            </w:r>
          </w:p>
        </w:tc>
        <w:tc>
          <w:tcPr>
            <w:tcW w:w="2132" w:type="dxa"/>
            <w:gridSpan w:val="3"/>
          </w:tcPr>
          <w:p w:rsidR="005A477D" w:rsidRPr="005B0796" w:rsidRDefault="005A477D" w:rsidP="00C95E4A">
            <w:pPr>
              <w:pStyle w:val="TableText"/>
              <w:jc w:val="center"/>
              <w:rPr>
                <w:lang w:eastAsia="en-AU"/>
              </w:rPr>
            </w:pPr>
            <w:r w:rsidRPr="005B0796">
              <w:rPr>
                <w:bCs/>
                <w:lang w:eastAsia="en-AU"/>
              </w:rPr>
              <w:t>Transitioned ADF (n = 24,932)</w:t>
            </w:r>
          </w:p>
        </w:tc>
        <w:tc>
          <w:tcPr>
            <w:tcW w:w="2132" w:type="dxa"/>
            <w:gridSpan w:val="3"/>
          </w:tcPr>
          <w:p w:rsidR="005A477D" w:rsidRPr="005B0796" w:rsidRDefault="005A477D" w:rsidP="00C95E4A">
            <w:pPr>
              <w:pStyle w:val="TableText"/>
              <w:jc w:val="center"/>
              <w:rPr>
                <w:lang w:eastAsia="en-AU"/>
              </w:rPr>
            </w:pPr>
            <w:r w:rsidRPr="005B0796">
              <w:rPr>
                <w:bCs/>
                <w:lang w:eastAsia="en-AU"/>
              </w:rPr>
              <w:t>2015 Regular ADF (n = 52,500)</w:t>
            </w:r>
          </w:p>
        </w:tc>
        <w:tc>
          <w:tcPr>
            <w:tcW w:w="2133" w:type="dxa"/>
            <w:gridSpan w:val="3"/>
          </w:tcPr>
          <w:p w:rsidR="005A477D" w:rsidRPr="005B0796" w:rsidRDefault="005A477D" w:rsidP="00C95E4A">
            <w:pPr>
              <w:pStyle w:val="TableText"/>
              <w:jc w:val="center"/>
              <w:rPr>
                <w:bCs/>
                <w:lang w:eastAsia="en-AU"/>
              </w:rPr>
            </w:pPr>
            <w:r w:rsidRPr="005B0796">
              <w:rPr>
                <w:bCs/>
                <w:lang w:eastAsia="en-AU"/>
              </w:rPr>
              <w:t>2010 Regular ADF* (n = 50,049)</w:t>
            </w:r>
          </w:p>
        </w:tc>
      </w:tr>
      <w:tr w:rsidR="00CA40D1" w:rsidRPr="005B0796" w:rsidTr="00BE61A2">
        <w:trPr>
          <w:cnfStyle w:val="100000000000" w:firstRow="1" w:lastRow="0" w:firstColumn="0" w:lastColumn="0" w:oddVBand="0" w:evenVBand="0" w:oddHBand="0" w:evenHBand="0" w:firstRowFirstColumn="0" w:firstRowLastColumn="0" w:lastRowFirstColumn="0" w:lastRowLastColumn="0"/>
          <w:tblHeader/>
        </w:trPr>
        <w:tc>
          <w:tcPr>
            <w:tcW w:w="918" w:type="dxa"/>
            <w:vMerge/>
            <w:hideMark/>
          </w:tcPr>
          <w:p w:rsidR="005A477D" w:rsidRPr="005B0796" w:rsidRDefault="005A477D" w:rsidP="00C95E4A">
            <w:pPr>
              <w:pStyle w:val="TableText"/>
              <w:rPr>
                <w:rFonts w:eastAsia="Times New Roman"/>
                <w:lang w:eastAsia="en-AU"/>
              </w:rPr>
            </w:pP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Weighted n</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 xml:space="preserve"> 95% CI</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Weighted n</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 xml:space="preserve"> 95% CI</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Weighted n</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w:t>
            </w:r>
          </w:p>
        </w:tc>
        <w:tc>
          <w:tcPr>
            <w:tcW w:w="817" w:type="dxa"/>
            <w:hideMark/>
          </w:tcPr>
          <w:p w:rsidR="005A477D" w:rsidRPr="005B0796" w:rsidRDefault="005A477D" w:rsidP="00CA40D1">
            <w:pPr>
              <w:pStyle w:val="TableText"/>
              <w:jc w:val="right"/>
              <w:rPr>
                <w:rFonts w:eastAsia="Times New Roman"/>
                <w:lang w:eastAsia="en-AU"/>
              </w:rPr>
            </w:pPr>
            <w:r w:rsidRPr="005B0796">
              <w:rPr>
                <w:lang w:eastAsia="en-AU"/>
              </w:rPr>
              <w:t xml:space="preserve"> 95% CI</w:t>
            </w:r>
          </w:p>
        </w:tc>
      </w:tr>
      <w:tr w:rsidR="00BE61A2" w:rsidRPr="005B0796" w:rsidTr="00BE61A2">
        <w:trPr>
          <w:cnfStyle w:val="000000100000" w:firstRow="0" w:lastRow="0" w:firstColumn="0" w:lastColumn="0" w:oddVBand="0" w:evenVBand="0" w:oddHBand="1" w:evenHBand="0" w:firstRowFirstColumn="0" w:firstRowLastColumn="0" w:lastRowFirstColumn="0" w:lastRowLastColumn="0"/>
        </w:trPr>
        <w:tc>
          <w:tcPr>
            <w:tcW w:w="918" w:type="dxa"/>
            <w:hideMark/>
          </w:tcPr>
          <w:p w:rsidR="005A477D" w:rsidRPr="005B0796" w:rsidRDefault="005A477D" w:rsidP="00C95E4A">
            <w:pPr>
              <w:pStyle w:val="TableText"/>
              <w:rPr>
                <w:rFonts w:eastAsia="Times New Roman"/>
                <w:lang w:eastAsia="en-AU"/>
              </w:rPr>
            </w:pPr>
            <w:r w:rsidRPr="005B0796">
              <w:rPr>
                <w:lang w:eastAsia="en-AU"/>
              </w:rPr>
              <w:t>1–2</w:t>
            </w: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7770</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31.2</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29.5, 32.9</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19,337</w:t>
            </w:r>
          </w:p>
        </w:tc>
        <w:tc>
          <w:tcPr>
            <w:tcW w:w="540" w:type="dxa"/>
            <w:hideMark/>
          </w:tcPr>
          <w:p w:rsidR="005A477D" w:rsidRPr="005B0796" w:rsidRDefault="005A477D" w:rsidP="00CA40D1">
            <w:pPr>
              <w:pStyle w:val="TableText"/>
              <w:jc w:val="right"/>
              <w:rPr>
                <w:lang w:eastAsia="en-AU"/>
              </w:rPr>
            </w:pPr>
            <w:r w:rsidRPr="005B0796">
              <w:rPr>
                <w:lang w:eastAsia="en-AU"/>
              </w:rPr>
              <w:t>36.8</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33.6, 40.2</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15,504</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31.0</w:t>
            </w:r>
          </w:p>
        </w:tc>
        <w:tc>
          <w:tcPr>
            <w:tcW w:w="817" w:type="dxa"/>
            <w:hideMark/>
          </w:tcPr>
          <w:p w:rsidR="005A477D" w:rsidRPr="005B0796" w:rsidRDefault="005A477D" w:rsidP="00CA40D1">
            <w:pPr>
              <w:pStyle w:val="TableText"/>
              <w:jc w:val="right"/>
              <w:rPr>
                <w:rFonts w:eastAsia="Times New Roman"/>
                <w:lang w:eastAsia="en-AU"/>
              </w:rPr>
            </w:pPr>
            <w:r w:rsidRPr="005B0796">
              <w:rPr>
                <w:lang w:eastAsia="en-AU"/>
              </w:rPr>
              <w:t>30.5, 31.5</w:t>
            </w:r>
          </w:p>
        </w:tc>
      </w:tr>
      <w:tr w:rsidR="00CA40D1" w:rsidRPr="005B0796" w:rsidTr="00BE61A2">
        <w:tc>
          <w:tcPr>
            <w:tcW w:w="918" w:type="dxa"/>
            <w:hideMark/>
          </w:tcPr>
          <w:p w:rsidR="005A477D" w:rsidRPr="005B0796" w:rsidRDefault="005A477D" w:rsidP="00C95E4A">
            <w:pPr>
              <w:pStyle w:val="TableText"/>
              <w:rPr>
                <w:rFonts w:eastAsia="GillSans"/>
                <w:lang w:eastAsia="en-AU"/>
              </w:rPr>
            </w:pPr>
            <w:r w:rsidRPr="005B0796">
              <w:rPr>
                <w:lang w:eastAsia="en-AU"/>
              </w:rPr>
              <w:t>3–4</w:t>
            </w: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7349</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29.5</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27.7, 31.3</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18,214</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34.7</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31.2, 38.3</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17,127</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34.2</w:t>
            </w:r>
          </w:p>
        </w:tc>
        <w:tc>
          <w:tcPr>
            <w:tcW w:w="817" w:type="dxa"/>
            <w:hideMark/>
          </w:tcPr>
          <w:p w:rsidR="005A477D" w:rsidRPr="005B0796" w:rsidRDefault="005A477D" w:rsidP="00CA40D1">
            <w:pPr>
              <w:pStyle w:val="TableText"/>
              <w:jc w:val="right"/>
              <w:rPr>
                <w:rFonts w:eastAsia="Times New Roman"/>
                <w:lang w:eastAsia="en-AU"/>
              </w:rPr>
            </w:pPr>
            <w:r w:rsidRPr="005B0796">
              <w:rPr>
                <w:lang w:eastAsia="en-AU"/>
              </w:rPr>
              <w:t>33.7, 34.8</w:t>
            </w:r>
          </w:p>
        </w:tc>
      </w:tr>
      <w:tr w:rsidR="00BE61A2" w:rsidRPr="005B0796" w:rsidTr="00BE61A2">
        <w:trPr>
          <w:cnfStyle w:val="000000100000" w:firstRow="0" w:lastRow="0" w:firstColumn="0" w:lastColumn="0" w:oddVBand="0" w:evenVBand="0" w:oddHBand="1" w:evenHBand="0" w:firstRowFirstColumn="0" w:firstRowLastColumn="0" w:lastRowFirstColumn="0" w:lastRowLastColumn="0"/>
        </w:trPr>
        <w:tc>
          <w:tcPr>
            <w:tcW w:w="918" w:type="dxa"/>
            <w:hideMark/>
          </w:tcPr>
          <w:p w:rsidR="005A477D" w:rsidRPr="005B0796" w:rsidRDefault="005A477D" w:rsidP="00C95E4A">
            <w:pPr>
              <w:pStyle w:val="TableText"/>
              <w:rPr>
                <w:rFonts w:eastAsia="GillSans"/>
                <w:lang w:eastAsia="en-AU"/>
              </w:rPr>
            </w:pPr>
            <w:r w:rsidRPr="005B0796">
              <w:rPr>
                <w:lang w:eastAsia="en-AU"/>
              </w:rPr>
              <w:t>5–6</w:t>
            </w: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3982</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15.9</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14.5, 17.5</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6339</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12.1</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10.0, 14.5</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8684</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17.4</w:t>
            </w:r>
          </w:p>
        </w:tc>
        <w:tc>
          <w:tcPr>
            <w:tcW w:w="817" w:type="dxa"/>
            <w:hideMark/>
          </w:tcPr>
          <w:p w:rsidR="005A477D" w:rsidRPr="005B0796" w:rsidRDefault="005A477D" w:rsidP="00CA40D1">
            <w:pPr>
              <w:pStyle w:val="TableText"/>
              <w:jc w:val="right"/>
              <w:rPr>
                <w:rFonts w:eastAsia="Times New Roman"/>
                <w:lang w:eastAsia="en-AU"/>
              </w:rPr>
            </w:pPr>
            <w:r w:rsidRPr="005B0796">
              <w:rPr>
                <w:lang w:eastAsia="en-AU"/>
              </w:rPr>
              <w:t>16.9, 17.8</w:t>
            </w:r>
          </w:p>
        </w:tc>
      </w:tr>
      <w:tr w:rsidR="00CA40D1" w:rsidRPr="005B0796" w:rsidTr="00BE61A2">
        <w:tc>
          <w:tcPr>
            <w:tcW w:w="918" w:type="dxa"/>
            <w:hideMark/>
          </w:tcPr>
          <w:p w:rsidR="005A477D" w:rsidRPr="005B0796" w:rsidRDefault="005A477D" w:rsidP="00C95E4A">
            <w:pPr>
              <w:pStyle w:val="TableText"/>
              <w:rPr>
                <w:rFonts w:eastAsia="Times New Roman"/>
                <w:lang w:eastAsia="en-AU"/>
              </w:rPr>
            </w:pPr>
            <w:r w:rsidRPr="005B0796">
              <w:rPr>
                <w:lang w:eastAsia="en-AU"/>
              </w:rPr>
              <w:t>7–9</w:t>
            </w: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1749</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7.0</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6.1, 8.1</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2611</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5.0</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3.4, 7.2</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3439</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6.9</w:t>
            </w:r>
          </w:p>
        </w:tc>
        <w:tc>
          <w:tcPr>
            <w:tcW w:w="817" w:type="dxa"/>
            <w:hideMark/>
          </w:tcPr>
          <w:p w:rsidR="005A477D" w:rsidRPr="005B0796" w:rsidRDefault="00CA40D1" w:rsidP="00CA40D1">
            <w:pPr>
              <w:pStyle w:val="TableText"/>
              <w:jc w:val="right"/>
              <w:rPr>
                <w:rFonts w:eastAsia="Times New Roman"/>
                <w:lang w:eastAsia="en-AU"/>
              </w:rPr>
            </w:pPr>
            <w:r w:rsidRPr="005B0796">
              <w:rPr>
                <w:lang w:eastAsia="en-AU"/>
              </w:rPr>
              <w:t xml:space="preserve">6.5, </w:t>
            </w:r>
            <w:r w:rsidR="005A477D" w:rsidRPr="005B0796">
              <w:rPr>
                <w:lang w:eastAsia="en-AU"/>
              </w:rPr>
              <w:t>7.2</w:t>
            </w:r>
          </w:p>
        </w:tc>
      </w:tr>
      <w:tr w:rsidR="00BE61A2" w:rsidRPr="005B0796" w:rsidTr="00BE61A2">
        <w:trPr>
          <w:cnfStyle w:val="000000100000" w:firstRow="0" w:lastRow="0" w:firstColumn="0" w:lastColumn="0" w:oddVBand="0" w:evenVBand="0" w:oddHBand="1" w:evenHBand="0" w:firstRowFirstColumn="0" w:firstRowLastColumn="0" w:lastRowFirstColumn="0" w:lastRowLastColumn="0"/>
        </w:trPr>
        <w:tc>
          <w:tcPr>
            <w:tcW w:w="918" w:type="dxa"/>
            <w:hideMark/>
          </w:tcPr>
          <w:p w:rsidR="005A477D" w:rsidRPr="005B0796" w:rsidRDefault="005A477D" w:rsidP="00C95E4A">
            <w:pPr>
              <w:pStyle w:val="TableText"/>
              <w:rPr>
                <w:rFonts w:eastAsia="Times New Roman"/>
                <w:lang w:eastAsia="en-AU"/>
              </w:rPr>
            </w:pPr>
            <w:r w:rsidRPr="005B0796">
              <w:rPr>
                <w:lang w:eastAsia="en-AU"/>
              </w:rPr>
              <w:t>10 or more</w:t>
            </w: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1853</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7.4</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6.4, 8.6</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1356</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2.6</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1.5, 4.4</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2419</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4.8</w:t>
            </w:r>
          </w:p>
        </w:tc>
        <w:tc>
          <w:tcPr>
            <w:tcW w:w="817" w:type="dxa"/>
            <w:hideMark/>
          </w:tcPr>
          <w:p w:rsidR="005A477D" w:rsidRPr="005B0796" w:rsidRDefault="00CA40D1" w:rsidP="00CA40D1">
            <w:pPr>
              <w:pStyle w:val="TableText"/>
              <w:jc w:val="right"/>
              <w:rPr>
                <w:rFonts w:eastAsia="Times New Roman"/>
                <w:lang w:eastAsia="en-AU"/>
              </w:rPr>
            </w:pPr>
            <w:r w:rsidRPr="005B0796">
              <w:rPr>
                <w:lang w:eastAsia="en-AU"/>
              </w:rPr>
              <w:t xml:space="preserve">4.5, </w:t>
            </w:r>
            <w:r w:rsidR="005A477D" w:rsidRPr="005B0796">
              <w:rPr>
                <w:lang w:eastAsia="en-AU"/>
              </w:rPr>
              <w:t>5.1</w:t>
            </w:r>
          </w:p>
        </w:tc>
      </w:tr>
      <w:tr w:rsidR="005A477D" w:rsidRPr="005B0796" w:rsidTr="00BE61A2">
        <w:trPr>
          <w:cnfStyle w:val="010000000000" w:firstRow="0" w:lastRow="1" w:firstColumn="0" w:lastColumn="0" w:oddVBand="0" w:evenVBand="0" w:oddHBand="0" w:evenHBand="0" w:firstRowFirstColumn="0" w:firstRowLastColumn="0" w:lastRowFirstColumn="0" w:lastRowLastColumn="0"/>
        </w:trPr>
        <w:tc>
          <w:tcPr>
            <w:tcW w:w="918" w:type="dxa"/>
            <w:hideMark/>
          </w:tcPr>
          <w:p w:rsidR="005A477D" w:rsidRPr="005B0796" w:rsidRDefault="005A477D" w:rsidP="00C95E4A">
            <w:pPr>
              <w:pStyle w:val="TableText"/>
              <w:rPr>
                <w:rFonts w:eastAsia="Times New Roman"/>
                <w:lang w:eastAsia="en-AU"/>
              </w:rPr>
            </w:pPr>
            <w:r w:rsidRPr="005B0796">
              <w:rPr>
                <w:lang w:eastAsia="en-AU"/>
              </w:rPr>
              <w:t>N/A</w:t>
            </w:r>
          </w:p>
        </w:tc>
        <w:tc>
          <w:tcPr>
            <w:tcW w:w="810" w:type="dxa"/>
            <w:hideMark/>
          </w:tcPr>
          <w:p w:rsidR="005A477D" w:rsidRPr="005B0796" w:rsidRDefault="005A477D" w:rsidP="00CA40D1">
            <w:pPr>
              <w:pStyle w:val="TableText"/>
              <w:jc w:val="right"/>
              <w:rPr>
                <w:rFonts w:eastAsia="Times New Roman"/>
                <w:lang w:eastAsia="en-AU"/>
              </w:rPr>
            </w:pPr>
            <w:r w:rsidRPr="005B0796">
              <w:rPr>
                <w:lang w:eastAsia="en-AU"/>
              </w:rPr>
              <w:t>1958</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7.9</w:t>
            </w:r>
          </w:p>
        </w:tc>
        <w:tc>
          <w:tcPr>
            <w:tcW w:w="782" w:type="dxa"/>
            <w:hideMark/>
          </w:tcPr>
          <w:p w:rsidR="005A477D" w:rsidRPr="005B0796" w:rsidRDefault="005A477D" w:rsidP="00CA40D1">
            <w:pPr>
              <w:pStyle w:val="TableText"/>
              <w:jc w:val="right"/>
              <w:rPr>
                <w:rFonts w:eastAsia="Times New Roman"/>
                <w:lang w:eastAsia="en-AU"/>
              </w:rPr>
            </w:pPr>
            <w:r w:rsidRPr="005B0796">
              <w:rPr>
                <w:lang w:eastAsia="en-AU"/>
              </w:rPr>
              <w:t>6.8, 9.0</w:t>
            </w:r>
          </w:p>
        </w:tc>
        <w:tc>
          <w:tcPr>
            <w:tcW w:w="748" w:type="dxa"/>
            <w:hideMark/>
          </w:tcPr>
          <w:p w:rsidR="005A477D" w:rsidRPr="005B0796" w:rsidRDefault="005A477D" w:rsidP="00CA40D1">
            <w:pPr>
              <w:pStyle w:val="TableText"/>
              <w:jc w:val="right"/>
              <w:rPr>
                <w:rFonts w:eastAsia="Times New Roman"/>
                <w:lang w:eastAsia="en-AU"/>
              </w:rPr>
            </w:pPr>
            <w:r w:rsidRPr="005B0796">
              <w:rPr>
                <w:lang w:eastAsia="en-AU"/>
              </w:rPr>
              <w:t>4355</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8.3</w:t>
            </w:r>
          </w:p>
        </w:tc>
        <w:tc>
          <w:tcPr>
            <w:tcW w:w="844" w:type="dxa"/>
            <w:hideMark/>
          </w:tcPr>
          <w:p w:rsidR="005A477D" w:rsidRPr="005B0796" w:rsidRDefault="005A477D" w:rsidP="00CA40D1">
            <w:pPr>
              <w:pStyle w:val="TableText"/>
              <w:jc w:val="right"/>
              <w:rPr>
                <w:rFonts w:eastAsia="Times New Roman"/>
                <w:lang w:eastAsia="en-AU"/>
              </w:rPr>
            </w:pPr>
            <w:r w:rsidRPr="005B0796">
              <w:rPr>
                <w:lang w:eastAsia="en-AU"/>
              </w:rPr>
              <w:t>6.1, 11.2</w:t>
            </w:r>
          </w:p>
        </w:tc>
        <w:tc>
          <w:tcPr>
            <w:tcW w:w="776" w:type="dxa"/>
            <w:hideMark/>
          </w:tcPr>
          <w:p w:rsidR="005A477D" w:rsidRPr="005B0796" w:rsidRDefault="005A477D" w:rsidP="00CA40D1">
            <w:pPr>
              <w:pStyle w:val="TableText"/>
              <w:jc w:val="right"/>
              <w:rPr>
                <w:rFonts w:eastAsia="Times New Roman"/>
                <w:lang w:eastAsia="en-AU"/>
              </w:rPr>
            </w:pPr>
            <w:r w:rsidRPr="005B0796">
              <w:rPr>
                <w:lang w:eastAsia="en-AU"/>
              </w:rPr>
              <w:t>2877</w:t>
            </w:r>
          </w:p>
        </w:tc>
        <w:tc>
          <w:tcPr>
            <w:tcW w:w="540" w:type="dxa"/>
            <w:hideMark/>
          </w:tcPr>
          <w:p w:rsidR="005A477D" w:rsidRPr="005B0796" w:rsidRDefault="005A477D" w:rsidP="00CA40D1">
            <w:pPr>
              <w:pStyle w:val="TableText"/>
              <w:jc w:val="right"/>
              <w:rPr>
                <w:rFonts w:eastAsia="Times New Roman"/>
                <w:lang w:eastAsia="en-AU"/>
              </w:rPr>
            </w:pPr>
            <w:r w:rsidRPr="005B0796">
              <w:rPr>
                <w:lang w:eastAsia="en-AU"/>
              </w:rPr>
              <w:t>5.7</w:t>
            </w:r>
          </w:p>
        </w:tc>
        <w:tc>
          <w:tcPr>
            <w:tcW w:w="817" w:type="dxa"/>
            <w:hideMark/>
          </w:tcPr>
          <w:p w:rsidR="005A477D" w:rsidRPr="005B0796" w:rsidRDefault="005A477D" w:rsidP="00CA40D1">
            <w:pPr>
              <w:pStyle w:val="TableText"/>
              <w:jc w:val="right"/>
              <w:rPr>
                <w:rFonts w:eastAsia="Times New Roman"/>
                <w:lang w:eastAsia="en-AU"/>
              </w:rPr>
            </w:pPr>
            <w:r w:rsidRPr="005B0796">
              <w:rPr>
                <w:lang w:eastAsia="en-AU"/>
              </w:rPr>
              <w:t>5.5,</w:t>
            </w:r>
            <w:r w:rsidR="00CA40D1" w:rsidRPr="005B0796">
              <w:rPr>
                <w:lang w:eastAsia="en-AU"/>
              </w:rPr>
              <w:t xml:space="preserve"> </w:t>
            </w:r>
            <w:r w:rsidRPr="005B0796">
              <w:rPr>
                <w:lang w:eastAsia="en-AU"/>
              </w:rPr>
              <w:t>6.0</w:t>
            </w:r>
          </w:p>
        </w:tc>
      </w:tr>
    </w:tbl>
    <w:p w:rsidR="00C95E4A" w:rsidRPr="005B0796" w:rsidRDefault="00C95E4A" w:rsidP="00C95E4A">
      <w:pPr>
        <w:pStyle w:val="TableNotes"/>
      </w:pPr>
      <w:r w:rsidRPr="005B0796">
        <w:t>* From the 2010 ADF Mental Health Prevalence and Wellbeing Study</w:t>
      </w:r>
    </w:p>
    <w:p w:rsidR="005A477D" w:rsidRPr="005B0796" w:rsidRDefault="00C95E4A" w:rsidP="00C95E4A">
      <w:pPr>
        <w:pStyle w:val="TableNotes"/>
      </w:pPr>
      <w:r w:rsidRPr="005B0796">
        <w:t xml:space="preserve">Note: 95% CI: 95% </w:t>
      </w:r>
      <w:r w:rsidR="00564689" w:rsidRPr="005B0796">
        <w:t>confidence interval</w:t>
      </w:r>
    </w:p>
    <w:p w:rsidR="005A477D" w:rsidRPr="005B0796" w:rsidRDefault="00BE61A2" w:rsidP="00BE61A2">
      <w:pPr>
        <w:pStyle w:val="FigureName"/>
      </w:pPr>
      <w:bookmarkStart w:id="972" w:name="_Toc487014399"/>
      <w:bookmarkStart w:id="973" w:name="_Toc51190056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9</w:t>
      </w:r>
      <w:r w:rsidR="00D30A3C">
        <w:rPr>
          <w:noProof/>
        </w:rPr>
        <w:fldChar w:fldCharType="end"/>
      </w:r>
      <w:r w:rsidR="00C01061">
        <w:tab/>
        <w:t xml:space="preserve">Estimated proportions </w:t>
      </w:r>
      <w:r w:rsidRPr="005B0796">
        <w:t>o</w:t>
      </w:r>
      <w:r w:rsidR="00C01061">
        <w:t>f</w:t>
      </w:r>
      <w:r w:rsidRPr="005B0796">
        <w:t xml:space="preserve"> Transitioned ADF, and 2010 and 2015 Regular ADF, by number of standard alcoholic drinks consumed on a typical day</w:t>
      </w:r>
      <w:bookmarkEnd w:id="972"/>
      <w:bookmarkEnd w:id="973"/>
    </w:p>
    <w:tbl>
      <w:tblPr>
        <w:tblW w:w="5000" w:type="pct"/>
        <w:tblLayout w:type="fixed"/>
        <w:tblCellMar>
          <w:left w:w="115" w:type="dxa"/>
          <w:right w:w="115" w:type="dxa"/>
        </w:tblCellMar>
        <w:tblLook w:val="04A0" w:firstRow="1" w:lastRow="0" w:firstColumn="1" w:lastColumn="0" w:noHBand="0" w:noVBand="1"/>
      </w:tblPr>
      <w:tblGrid>
        <w:gridCol w:w="7329"/>
      </w:tblGrid>
      <w:tr w:rsidR="005A477D" w:rsidRPr="005B0796" w:rsidTr="00BE61A2">
        <w:trPr>
          <w:cantSplit/>
        </w:trPr>
        <w:tc>
          <w:tcPr>
            <w:tcW w:w="7315" w:type="dxa"/>
          </w:tcPr>
          <w:p w:rsidR="005A477D" w:rsidRPr="005B0796" w:rsidRDefault="005A477D" w:rsidP="00855912">
            <w:pPr>
              <w:spacing w:after="160" w:line="259" w:lineRule="auto"/>
            </w:pPr>
            <w:r w:rsidRPr="005B0796">
              <w:rPr>
                <w:noProof/>
                <w:lang w:eastAsia="en-AU"/>
              </w:rPr>
              <w:drawing>
                <wp:inline distT="0" distB="0" distL="0" distR="0" wp14:anchorId="2C0A74A7" wp14:editId="2829E32A">
                  <wp:extent cx="4572000" cy="2743200"/>
                  <wp:effectExtent l="0" t="0" r="0" b="0"/>
                  <wp:docPr id="69" name="Chart 69" descr="Figure 5.9 Estimated proportions for Transitioned ADF, and 2010 and 2015 Regular ADF, by number of standard alcoholic drinks consumed on a typical da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bl>
    <w:p w:rsidR="005A477D" w:rsidRPr="005B0796" w:rsidRDefault="005A477D" w:rsidP="00BE61A2">
      <w:pPr>
        <w:pStyle w:val="Heading3"/>
      </w:pPr>
      <w:bookmarkStart w:id="974" w:name="_Toc482021375"/>
      <w:bookmarkStart w:id="975" w:name="_Toc482024465"/>
      <w:bookmarkStart w:id="976" w:name="_Toc487011223"/>
      <w:bookmarkStart w:id="977" w:name="_Toc494449743"/>
      <w:bookmarkStart w:id="978" w:name="_Toc511900325"/>
      <w:r w:rsidRPr="005B0796">
        <w:t>Self-reported drinking problem</w:t>
      </w:r>
      <w:bookmarkEnd w:id="974"/>
      <w:bookmarkEnd w:id="975"/>
      <w:bookmarkEnd w:id="976"/>
      <w:bookmarkEnd w:id="977"/>
      <w:bookmarkEnd w:id="978"/>
    </w:p>
    <w:p w:rsidR="005A477D" w:rsidRPr="005B0796" w:rsidRDefault="005A477D" w:rsidP="00BE61A2">
      <w:r w:rsidRPr="005B0796">
        <w:t>Table 5.10 and Figure 5.10 present a comparison and the percentage of members of the Transitioned ADF, and entire 2010 and 2015 Regular ADF with a</w:t>
      </w:r>
      <w:r w:rsidR="00C01061">
        <w:t xml:space="preserve"> self-reported drinking problem</w:t>
      </w:r>
      <w:r w:rsidRPr="005B0796">
        <w:t xml:space="preserve"> is presented in Tables 5.10 and Figure 5.10 below.</w:t>
      </w:r>
    </w:p>
    <w:p w:rsidR="005A477D" w:rsidRPr="005B0796" w:rsidRDefault="005A477D" w:rsidP="00BE61A2">
      <w:r w:rsidRPr="005B0796">
        <w:t xml:space="preserve">Almost 10% of Transitioned ADF reported a possible or definite problem with drinking. The majority of Transitioned ADF responded </w:t>
      </w:r>
      <w:r w:rsidR="00462A0C" w:rsidRPr="005B0796">
        <w:t>‘</w:t>
      </w:r>
      <w:r w:rsidRPr="005B0796">
        <w:t>no</w:t>
      </w:r>
      <w:r w:rsidR="00462A0C" w:rsidRPr="005B0796">
        <w:t>’</w:t>
      </w:r>
      <w:r w:rsidRPr="005B0796">
        <w:t xml:space="preserve"> to presently having a problem. </w:t>
      </w:r>
    </w:p>
    <w:p w:rsidR="005A477D" w:rsidRPr="005B0796" w:rsidRDefault="005A477D" w:rsidP="00BE61A2">
      <w:r w:rsidRPr="005B0796">
        <w:t xml:space="preserve">Self-reported drinking problems (defined as </w:t>
      </w:r>
      <w:r w:rsidR="00462A0C" w:rsidRPr="005B0796">
        <w:t>‘</w:t>
      </w:r>
      <w:r w:rsidRPr="005B0796">
        <w:t>possibly</w:t>
      </w:r>
      <w:r w:rsidR="00462A0C" w:rsidRPr="005B0796">
        <w:t>’</w:t>
      </w:r>
      <w:r w:rsidRPr="005B0796">
        <w:t xml:space="preserve"> or </w:t>
      </w:r>
      <w:r w:rsidR="00462A0C" w:rsidRPr="005B0796">
        <w:t>‘</w:t>
      </w:r>
      <w:r w:rsidRPr="005B0796">
        <w:t>definitely</w:t>
      </w:r>
      <w:r w:rsidR="00462A0C" w:rsidRPr="005B0796">
        <w:t>’</w:t>
      </w:r>
      <w:r w:rsidRPr="005B0796">
        <w:t xml:space="preserve"> having a problem) were significantly higher in the Transitioned ADF (9.7%) compared to the 2015 Regular ADF (2.1%) (OR 4.9, 95% CI 3.9, 6.3). There were no significant differences in self-reported drinking problems between the 2015 Regular ADF and the 2010 Regular ADF.</w:t>
      </w:r>
    </w:p>
    <w:p w:rsidR="00BE61A2" w:rsidRPr="005B0796" w:rsidRDefault="00BE61A2" w:rsidP="00BE61A2">
      <w:pPr>
        <w:pStyle w:val="TableName"/>
      </w:pPr>
      <w:bookmarkStart w:id="979" w:name="_Ref484523470"/>
      <w:bookmarkStart w:id="980" w:name="_Toc492995614"/>
      <w:bookmarkStart w:id="981" w:name="_Toc487014311"/>
      <w:bookmarkStart w:id="982" w:name="_Toc51190046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10</w:t>
      </w:r>
      <w:r w:rsidR="00D30A3C">
        <w:rPr>
          <w:noProof/>
        </w:rPr>
        <w:fldChar w:fldCharType="end"/>
      </w:r>
      <w:bookmarkEnd w:id="979"/>
      <w:r w:rsidRPr="005B0796">
        <w:tab/>
        <w:t>Estimated proportions o</w:t>
      </w:r>
      <w:r w:rsidR="00C01061">
        <w:t>f</w:t>
      </w:r>
      <w:r w:rsidRPr="005B0796">
        <w:t xml:space="preserve"> Transitioned ADF, and 2010 and 2015 Regular ADF with self-reported drinking problem</w:t>
      </w:r>
      <w:bookmarkEnd w:id="980"/>
      <w:bookmarkEnd w:id="981"/>
      <w:bookmarkEnd w:id="982"/>
    </w:p>
    <w:tbl>
      <w:tblPr>
        <w:tblStyle w:val="TWRPTable"/>
        <w:tblW w:w="5000" w:type="pct"/>
        <w:tblLayout w:type="fixed"/>
        <w:tblLook w:val="01E0" w:firstRow="1" w:lastRow="1" w:firstColumn="1" w:lastColumn="1" w:noHBand="0" w:noVBand="0"/>
        <w:tblDescription w:val="Table 5.10 Estimated proportions for Transitioned ADF, and 2010 and 2015 Regular ADF with self-reported drinking problem"/>
      </w:tblPr>
      <w:tblGrid>
        <w:gridCol w:w="918"/>
        <w:gridCol w:w="810"/>
        <w:gridCol w:w="540"/>
        <w:gridCol w:w="782"/>
        <w:gridCol w:w="748"/>
        <w:gridCol w:w="540"/>
        <w:gridCol w:w="844"/>
        <w:gridCol w:w="776"/>
        <w:gridCol w:w="540"/>
        <w:gridCol w:w="817"/>
      </w:tblGrid>
      <w:tr w:rsidR="005A477D" w:rsidRPr="005B0796" w:rsidTr="00BE61A2">
        <w:trPr>
          <w:cnfStyle w:val="100000000000" w:firstRow="1" w:lastRow="0" w:firstColumn="0" w:lastColumn="0" w:oddVBand="0" w:evenVBand="0" w:oddHBand="0" w:evenHBand="0" w:firstRowFirstColumn="0" w:firstRowLastColumn="0" w:lastRowFirstColumn="0" w:lastRowLastColumn="0"/>
          <w:tblHeader/>
        </w:trPr>
        <w:tc>
          <w:tcPr>
            <w:tcW w:w="918" w:type="dxa"/>
            <w:vMerge w:val="restart"/>
          </w:tcPr>
          <w:p w:rsidR="005A477D" w:rsidRPr="005B0796" w:rsidRDefault="005A477D" w:rsidP="00BE61A2">
            <w:pPr>
              <w:pStyle w:val="TableText"/>
              <w:rPr>
                <w:rFonts w:eastAsia="Times New Roman"/>
                <w:lang w:eastAsia="en-AU"/>
              </w:rPr>
            </w:pPr>
            <w:r w:rsidRPr="005B0796">
              <w:rPr>
                <w:lang w:eastAsia="en-AU"/>
              </w:rPr>
              <w:t>Self-reported drinking problem</w:t>
            </w:r>
          </w:p>
        </w:tc>
        <w:tc>
          <w:tcPr>
            <w:tcW w:w="2132" w:type="dxa"/>
            <w:gridSpan w:val="3"/>
          </w:tcPr>
          <w:p w:rsidR="005A477D" w:rsidRPr="005B0796" w:rsidRDefault="00BE61A2" w:rsidP="00BE61A2">
            <w:pPr>
              <w:pStyle w:val="TableText"/>
              <w:jc w:val="center"/>
              <w:rPr>
                <w:bCs/>
                <w:lang w:eastAsia="en-AU"/>
              </w:rPr>
            </w:pPr>
            <w:r w:rsidRPr="005B0796">
              <w:rPr>
                <w:bCs/>
                <w:lang w:eastAsia="en-AU"/>
              </w:rPr>
              <w:t>Transitioned ADF (n = 24,932)</w:t>
            </w:r>
          </w:p>
        </w:tc>
        <w:tc>
          <w:tcPr>
            <w:tcW w:w="2132" w:type="dxa"/>
            <w:gridSpan w:val="3"/>
          </w:tcPr>
          <w:p w:rsidR="005A477D" w:rsidRPr="005B0796" w:rsidRDefault="00BE61A2" w:rsidP="00BE61A2">
            <w:pPr>
              <w:pStyle w:val="TableText"/>
              <w:jc w:val="center"/>
              <w:rPr>
                <w:bCs/>
                <w:lang w:eastAsia="en-AU"/>
              </w:rPr>
            </w:pPr>
            <w:r w:rsidRPr="005B0796">
              <w:rPr>
                <w:bCs/>
                <w:lang w:eastAsia="en-AU"/>
              </w:rPr>
              <w:t>2015 Regular ADF (n = 52,500)</w:t>
            </w:r>
          </w:p>
        </w:tc>
        <w:tc>
          <w:tcPr>
            <w:tcW w:w="2133" w:type="dxa"/>
            <w:gridSpan w:val="3"/>
          </w:tcPr>
          <w:p w:rsidR="005A477D" w:rsidRPr="005B0796" w:rsidRDefault="00BE61A2" w:rsidP="00BE61A2">
            <w:pPr>
              <w:pStyle w:val="TableText"/>
              <w:jc w:val="center"/>
              <w:rPr>
                <w:bCs/>
                <w:lang w:eastAsia="en-AU"/>
              </w:rPr>
            </w:pPr>
            <w:r w:rsidRPr="005B0796">
              <w:rPr>
                <w:bCs/>
                <w:lang w:eastAsia="en-AU"/>
              </w:rPr>
              <w:t>2010 Regular ADF* (n = 50,049)</w:t>
            </w:r>
          </w:p>
        </w:tc>
      </w:tr>
      <w:tr w:rsidR="00BE61A2" w:rsidRPr="005B0796" w:rsidTr="00BE61A2">
        <w:trPr>
          <w:cnfStyle w:val="100000000000" w:firstRow="1" w:lastRow="0" w:firstColumn="0" w:lastColumn="0" w:oddVBand="0" w:evenVBand="0" w:oddHBand="0" w:evenHBand="0" w:firstRowFirstColumn="0" w:firstRowLastColumn="0" w:lastRowFirstColumn="0" w:lastRowLastColumn="0"/>
          <w:tblHeader/>
        </w:trPr>
        <w:tc>
          <w:tcPr>
            <w:tcW w:w="918" w:type="dxa"/>
            <w:vMerge/>
            <w:hideMark/>
          </w:tcPr>
          <w:p w:rsidR="005A477D" w:rsidRPr="005B0796" w:rsidRDefault="005A477D" w:rsidP="00BE61A2">
            <w:pPr>
              <w:pStyle w:val="TableText"/>
              <w:rPr>
                <w:rFonts w:eastAsia="Times New Roman"/>
                <w:lang w:eastAsia="en-AU"/>
              </w:rPr>
            </w:pPr>
          </w:p>
        </w:tc>
        <w:tc>
          <w:tcPr>
            <w:tcW w:w="810" w:type="dxa"/>
            <w:hideMark/>
          </w:tcPr>
          <w:p w:rsidR="005A477D" w:rsidRPr="005B0796" w:rsidRDefault="005A477D" w:rsidP="00BE61A2">
            <w:pPr>
              <w:pStyle w:val="TableText"/>
              <w:jc w:val="right"/>
              <w:rPr>
                <w:lang w:eastAsia="en-AU"/>
              </w:rPr>
            </w:pPr>
            <w:r w:rsidRPr="005B0796">
              <w:rPr>
                <w:lang w:eastAsia="en-AU"/>
              </w:rPr>
              <w:t>Weighted n</w:t>
            </w:r>
          </w:p>
        </w:tc>
        <w:tc>
          <w:tcPr>
            <w:tcW w:w="540" w:type="dxa"/>
            <w:hideMark/>
          </w:tcPr>
          <w:p w:rsidR="005A477D" w:rsidRPr="005B0796" w:rsidRDefault="005A477D" w:rsidP="00BE61A2">
            <w:pPr>
              <w:pStyle w:val="TableText"/>
              <w:jc w:val="right"/>
              <w:rPr>
                <w:lang w:eastAsia="en-AU"/>
              </w:rPr>
            </w:pPr>
            <w:r w:rsidRPr="005B0796">
              <w:rPr>
                <w:lang w:eastAsia="en-AU"/>
              </w:rPr>
              <w:t>%</w:t>
            </w:r>
          </w:p>
        </w:tc>
        <w:tc>
          <w:tcPr>
            <w:tcW w:w="782" w:type="dxa"/>
            <w:hideMark/>
          </w:tcPr>
          <w:p w:rsidR="005A477D" w:rsidRPr="005B0796" w:rsidRDefault="005A477D" w:rsidP="00BE61A2">
            <w:pPr>
              <w:pStyle w:val="TableText"/>
              <w:jc w:val="right"/>
              <w:rPr>
                <w:lang w:eastAsia="en-AU"/>
              </w:rPr>
            </w:pPr>
            <w:r w:rsidRPr="005B0796">
              <w:rPr>
                <w:lang w:eastAsia="en-AU"/>
              </w:rPr>
              <w:t>95% CI</w:t>
            </w:r>
          </w:p>
        </w:tc>
        <w:tc>
          <w:tcPr>
            <w:tcW w:w="748" w:type="dxa"/>
            <w:hideMark/>
          </w:tcPr>
          <w:p w:rsidR="005A477D" w:rsidRPr="005B0796" w:rsidRDefault="005A477D" w:rsidP="00BE61A2">
            <w:pPr>
              <w:pStyle w:val="TableText"/>
              <w:jc w:val="right"/>
              <w:rPr>
                <w:lang w:eastAsia="en-AU"/>
              </w:rPr>
            </w:pPr>
            <w:r w:rsidRPr="005B0796">
              <w:rPr>
                <w:lang w:eastAsia="en-AU"/>
              </w:rPr>
              <w:t>Weighted n</w:t>
            </w:r>
          </w:p>
        </w:tc>
        <w:tc>
          <w:tcPr>
            <w:tcW w:w="540" w:type="dxa"/>
            <w:hideMark/>
          </w:tcPr>
          <w:p w:rsidR="005A477D" w:rsidRPr="005B0796" w:rsidRDefault="005A477D" w:rsidP="00BE61A2">
            <w:pPr>
              <w:pStyle w:val="TableText"/>
              <w:jc w:val="right"/>
              <w:rPr>
                <w:lang w:eastAsia="en-AU"/>
              </w:rPr>
            </w:pPr>
            <w:r w:rsidRPr="005B0796">
              <w:rPr>
                <w:lang w:eastAsia="en-AU"/>
              </w:rPr>
              <w:t>%</w:t>
            </w:r>
          </w:p>
        </w:tc>
        <w:tc>
          <w:tcPr>
            <w:tcW w:w="844" w:type="dxa"/>
            <w:hideMark/>
          </w:tcPr>
          <w:p w:rsidR="005A477D" w:rsidRPr="005B0796" w:rsidRDefault="005A477D" w:rsidP="00BE61A2">
            <w:pPr>
              <w:pStyle w:val="TableText"/>
              <w:jc w:val="right"/>
              <w:rPr>
                <w:lang w:eastAsia="en-AU"/>
              </w:rPr>
            </w:pPr>
            <w:r w:rsidRPr="005B0796">
              <w:rPr>
                <w:lang w:eastAsia="en-AU"/>
              </w:rPr>
              <w:t>95% CI</w:t>
            </w:r>
          </w:p>
        </w:tc>
        <w:tc>
          <w:tcPr>
            <w:tcW w:w="776" w:type="dxa"/>
            <w:hideMark/>
          </w:tcPr>
          <w:p w:rsidR="005A477D" w:rsidRPr="005B0796" w:rsidRDefault="005A477D" w:rsidP="00BE61A2">
            <w:pPr>
              <w:pStyle w:val="TableText"/>
              <w:jc w:val="right"/>
              <w:rPr>
                <w:lang w:eastAsia="en-AU"/>
              </w:rPr>
            </w:pPr>
            <w:r w:rsidRPr="005B0796">
              <w:rPr>
                <w:lang w:eastAsia="en-AU"/>
              </w:rPr>
              <w:t>Weighted n</w:t>
            </w:r>
          </w:p>
        </w:tc>
        <w:tc>
          <w:tcPr>
            <w:tcW w:w="540" w:type="dxa"/>
            <w:hideMark/>
          </w:tcPr>
          <w:p w:rsidR="005A477D" w:rsidRPr="005B0796" w:rsidRDefault="005A477D" w:rsidP="00BE61A2">
            <w:pPr>
              <w:pStyle w:val="TableText"/>
              <w:jc w:val="right"/>
              <w:rPr>
                <w:lang w:eastAsia="en-AU"/>
              </w:rPr>
            </w:pPr>
            <w:r w:rsidRPr="005B0796">
              <w:rPr>
                <w:lang w:eastAsia="en-AU"/>
              </w:rPr>
              <w:t>%</w:t>
            </w:r>
          </w:p>
        </w:tc>
        <w:tc>
          <w:tcPr>
            <w:tcW w:w="817" w:type="dxa"/>
            <w:hideMark/>
          </w:tcPr>
          <w:p w:rsidR="005A477D" w:rsidRPr="005B0796" w:rsidRDefault="005A477D" w:rsidP="00BE61A2">
            <w:pPr>
              <w:pStyle w:val="TableText"/>
              <w:jc w:val="right"/>
              <w:rPr>
                <w:lang w:eastAsia="en-AU"/>
              </w:rPr>
            </w:pPr>
            <w:r w:rsidRPr="005B0796">
              <w:rPr>
                <w:lang w:eastAsia="en-AU"/>
              </w:rPr>
              <w:t>95% CI</w:t>
            </w:r>
          </w:p>
        </w:tc>
      </w:tr>
      <w:tr w:rsidR="00BE61A2" w:rsidRPr="005B0796" w:rsidTr="00BE61A2">
        <w:trPr>
          <w:cnfStyle w:val="000000100000" w:firstRow="0" w:lastRow="0" w:firstColumn="0" w:lastColumn="0" w:oddVBand="0" w:evenVBand="0" w:oddHBand="1" w:evenHBand="0" w:firstRowFirstColumn="0" w:firstRowLastColumn="0" w:lastRowFirstColumn="0" w:lastRowLastColumn="0"/>
        </w:trPr>
        <w:tc>
          <w:tcPr>
            <w:tcW w:w="918" w:type="dxa"/>
            <w:hideMark/>
          </w:tcPr>
          <w:p w:rsidR="005A477D" w:rsidRPr="005B0796" w:rsidRDefault="005A477D" w:rsidP="00BE61A2">
            <w:pPr>
              <w:pStyle w:val="TableText"/>
              <w:rPr>
                <w:rFonts w:eastAsia="Times New Roman"/>
                <w:lang w:eastAsia="en-AU"/>
              </w:rPr>
            </w:pPr>
            <w:r w:rsidRPr="005B0796">
              <w:rPr>
                <w:lang w:eastAsia="en-AU"/>
              </w:rPr>
              <w:t>No</w:t>
            </w:r>
          </w:p>
        </w:tc>
        <w:tc>
          <w:tcPr>
            <w:tcW w:w="810" w:type="dxa"/>
            <w:hideMark/>
          </w:tcPr>
          <w:p w:rsidR="005A477D" w:rsidRPr="005B0796" w:rsidRDefault="005A477D" w:rsidP="00BE61A2">
            <w:pPr>
              <w:pStyle w:val="TableText"/>
              <w:jc w:val="right"/>
              <w:rPr>
                <w:lang w:eastAsia="en-AU"/>
              </w:rPr>
            </w:pPr>
            <w:r w:rsidRPr="005B0796">
              <w:rPr>
                <w:lang w:eastAsia="en-AU"/>
              </w:rPr>
              <w:t>18,968</w:t>
            </w:r>
          </w:p>
        </w:tc>
        <w:tc>
          <w:tcPr>
            <w:tcW w:w="540" w:type="dxa"/>
            <w:hideMark/>
          </w:tcPr>
          <w:p w:rsidR="005A477D" w:rsidRPr="005B0796" w:rsidRDefault="005A477D" w:rsidP="00BE61A2">
            <w:pPr>
              <w:pStyle w:val="TableText"/>
              <w:jc w:val="right"/>
              <w:rPr>
                <w:lang w:eastAsia="en-AU"/>
              </w:rPr>
            </w:pPr>
            <w:r w:rsidRPr="005B0796">
              <w:rPr>
                <w:lang w:eastAsia="en-AU"/>
              </w:rPr>
              <w:t>76.1</w:t>
            </w:r>
          </w:p>
        </w:tc>
        <w:tc>
          <w:tcPr>
            <w:tcW w:w="782" w:type="dxa"/>
            <w:hideMark/>
          </w:tcPr>
          <w:p w:rsidR="005A477D" w:rsidRPr="005B0796" w:rsidRDefault="005A477D" w:rsidP="00BE61A2">
            <w:pPr>
              <w:pStyle w:val="TableText"/>
              <w:jc w:val="right"/>
              <w:rPr>
                <w:lang w:eastAsia="en-AU"/>
              </w:rPr>
            </w:pPr>
            <w:r w:rsidRPr="005B0796">
              <w:rPr>
                <w:lang w:eastAsia="en-AU"/>
              </w:rPr>
              <w:t>74.4, 77.7</w:t>
            </w:r>
          </w:p>
        </w:tc>
        <w:tc>
          <w:tcPr>
            <w:tcW w:w="748" w:type="dxa"/>
            <w:hideMark/>
          </w:tcPr>
          <w:p w:rsidR="005A477D" w:rsidRPr="005B0796" w:rsidRDefault="005A477D" w:rsidP="00BE61A2">
            <w:pPr>
              <w:pStyle w:val="TableText"/>
              <w:jc w:val="right"/>
              <w:rPr>
                <w:lang w:eastAsia="en-AU"/>
              </w:rPr>
            </w:pPr>
            <w:r w:rsidRPr="005B0796">
              <w:rPr>
                <w:lang w:eastAsia="en-AU"/>
              </w:rPr>
              <w:t>45,814</w:t>
            </w:r>
          </w:p>
        </w:tc>
        <w:tc>
          <w:tcPr>
            <w:tcW w:w="540" w:type="dxa"/>
            <w:hideMark/>
          </w:tcPr>
          <w:p w:rsidR="005A477D" w:rsidRPr="005B0796" w:rsidRDefault="005A477D" w:rsidP="00BE61A2">
            <w:pPr>
              <w:pStyle w:val="TableText"/>
              <w:jc w:val="right"/>
              <w:rPr>
                <w:lang w:eastAsia="en-AU"/>
              </w:rPr>
            </w:pPr>
            <w:r w:rsidRPr="005B0796">
              <w:rPr>
                <w:lang w:eastAsia="en-AU"/>
              </w:rPr>
              <w:t>87.3</w:t>
            </w:r>
          </w:p>
        </w:tc>
        <w:tc>
          <w:tcPr>
            <w:tcW w:w="844" w:type="dxa"/>
            <w:hideMark/>
          </w:tcPr>
          <w:p w:rsidR="005A477D" w:rsidRPr="005B0796" w:rsidRDefault="005A477D" w:rsidP="00BE61A2">
            <w:pPr>
              <w:pStyle w:val="TableText"/>
              <w:jc w:val="right"/>
              <w:rPr>
                <w:lang w:eastAsia="en-AU"/>
              </w:rPr>
            </w:pPr>
            <w:r w:rsidRPr="005B0796">
              <w:rPr>
                <w:lang w:eastAsia="en-AU"/>
              </w:rPr>
              <w:t>84.6, 89.5</w:t>
            </w:r>
          </w:p>
        </w:tc>
        <w:tc>
          <w:tcPr>
            <w:tcW w:w="776" w:type="dxa"/>
            <w:hideMark/>
          </w:tcPr>
          <w:p w:rsidR="005A477D" w:rsidRPr="005B0796" w:rsidRDefault="005A477D" w:rsidP="00BE61A2">
            <w:pPr>
              <w:pStyle w:val="TableText"/>
              <w:jc w:val="right"/>
              <w:rPr>
                <w:lang w:eastAsia="en-AU"/>
              </w:rPr>
            </w:pPr>
            <w:r w:rsidRPr="005B0796">
              <w:rPr>
                <w:lang w:eastAsia="en-AU"/>
              </w:rPr>
              <w:t>45,776</w:t>
            </w:r>
          </w:p>
        </w:tc>
        <w:tc>
          <w:tcPr>
            <w:tcW w:w="540" w:type="dxa"/>
            <w:hideMark/>
          </w:tcPr>
          <w:p w:rsidR="005A477D" w:rsidRPr="005B0796" w:rsidRDefault="005A477D" w:rsidP="00BE61A2">
            <w:pPr>
              <w:pStyle w:val="TableText"/>
              <w:jc w:val="right"/>
              <w:rPr>
                <w:lang w:eastAsia="en-AU"/>
              </w:rPr>
            </w:pPr>
            <w:r w:rsidRPr="005B0796">
              <w:rPr>
                <w:lang w:eastAsia="en-AU"/>
              </w:rPr>
              <w:t>91.5</w:t>
            </w:r>
          </w:p>
        </w:tc>
        <w:tc>
          <w:tcPr>
            <w:tcW w:w="817" w:type="dxa"/>
            <w:hideMark/>
          </w:tcPr>
          <w:p w:rsidR="005A477D" w:rsidRPr="005B0796" w:rsidRDefault="005A477D" w:rsidP="00BE61A2">
            <w:pPr>
              <w:pStyle w:val="TableText"/>
              <w:jc w:val="right"/>
              <w:rPr>
                <w:lang w:eastAsia="en-AU"/>
              </w:rPr>
            </w:pPr>
            <w:r w:rsidRPr="005B0796">
              <w:rPr>
                <w:lang w:eastAsia="en-AU"/>
              </w:rPr>
              <w:t>91.1, 91.8</w:t>
            </w:r>
          </w:p>
        </w:tc>
      </w:tr>
      <w:tr w:rsidR="00BE61A2" w:rsidRPr="005B0796" w:rsidTr="00BE61A2">
        <w:tc>
          <w:tcPr>
            <w:tcW w:w="918" w:type="dxa"/>
            <w:hideMark/>
          </w:tcPr>
          <w:p w:rsidR="005A477D" w:rsidRPr="005B0796" w:rsidRDefault="005A477D" w:rsidP="00BE61A2">
            <w:pPr>
              <w:pStyle w:val="TableText"/>
              <w:rPr>
                <w:rFonts w:eastAsia="GillSans"/>
                <w:lang w:eastAsia="en-AU"/>
              </w:rPr>
            </w:pPr>
            <w:r w:rsidRPr="005B0796">
              <w:rPr>
                <w:lang w:eastAsia="en-AU"/>
              </w:rPr>
              <w:t>Probably not</w:t>
            </w:r>
          </w:p>
        </w:tc>
        <w:tc>
          <w:tcPr>
            <w:tcW w:w="810" w:type="dxa"/>
            <w:hideMark/>
          </w:tcPr>
          <w:p w:rsidR="005A477D" w:rsidRPr="005B0796" w:rsidRDefault="005A477D" w:rsidP="00BE61A2">
            <w:pPr>
              <w:pStyle w:val="TableText"/>
              <w:jc w:val="right"/>
              <w:rPr>
                <w:rFonts w:eastAsia="Times New Roman"/>
                <w:lang w:eastAsia="en-AU"/>
              </w:rPr>
            </w:pPr>
            <w:r w:rsidRPr="005B0796">
              <w:rPr>
                <w:lang w:eastAsia="en-AU"/>
              </w:rPr>
              <w:t>2417</w:t>
            </w:r>
          </w:p>
        </w:tc>
        <w:tc>
          <w:tcPr>
            <w:tcW w:w="540" w:type="dxa"/>
            <w:hideMark/>
          </w:tcPr>
          <w:p w:rsidR="005A477D" w:rsidRPr="005B0796" w:rsidRDefault="005A477D" w:rsidP="00BE61A2">
            <w:pPr>
              <w:pStyle w:val="TableText"/>
              <w:jc w:val="right"/>
              <w:rPr>
                <w:lang w:eastAsia="en-AU"/>
              </w:rPr>
            </w:pPr>
            <w:r w:rsidRPr="005B0796">
              <w:rPr>
                <w:lang w:eastAsia="en-AU"/>
              </w:rPr>
              <w:t>9.7</w:t>
            </w:r>
          </w:p>
        </w:tc>
        <w:tc>
          <w:tcPr>
            <w:tcW w:w="782" w:type="dxa"/>
            <w:hideMark/>
          </w:tcPr>
          <w:p w:rsidR="005A477D" w:rsidRPr="005B0796" w:rsidRDefault="005A477D" w:rsidP="00BE61A2">
            <w:pPr>
              <w:pStyle w:val="TableText"/>
              <w:jc w:val="right"/>
              <w:rPr>
                <w:lang w:eastAsia="en-AU"/>
              </w:rPr>
            </w:pPr>
            <w:r w:rsidRPr="005B0796">
              <w:rPr>
                <w:lang w:eastAsia="en-AU"/>
              </w:rPr>
              <w:t>8.6, 10.9</w:t>
            </w:r>
          </w:p>
        </w:tc>
        <w:tc>
          <w:tcPr>
            <w:tcW w:w="748" w:type="dxa"/>
            <w:hideMark/>
          </w:tcPr>
          <w:p w:rsidR="005A477D" w:rsidRPr="005B0796" w:rsidRDefault="005A477D" w:rsidP="00BE61A2">
            <w:pPr>
              <w:pStyle w:val="TableText"/>
              <w:jc w:val="right"/>
              <w:rPr>
                <w:lang w:eastAsia="en-AU"/>
              </w:rPr>
            </w:pPr>
            <w:r w:rsidRPr="005B0796">
              <w:rPr>
                <w:lang w:eastAsia="en-AU"/>
              </w:rPr>
              <w:t>4523</w:t>
            </w:r>
          </w:p>
        </w:tc>
        <w:tc>
          <w:tcPr>
            <w:tcW w:w="540" w:type="dxa"/>
            <w:hideMark/>
          </w:tcPr>
          <w:p w:rsidR="005A477D" w:rsidRPr="005B0796" w:rsidRDefault="005A477D" w:rsidP="00BE61A2">
            <w:pPr>
              <w:pStyle w:val="TableText"/>
              <w:jc w:val="right"/>
              <w:rPr>
                <w:lang w:eastAsia="en-AU"/>
              </w:rPr>
            </w:pPr>
            <w:r w:rsidRPr="005B0796">
              <w:rPr>
                <w:lang w:eastAsia="en-AU"/>
              </w:rPr>
              <w:t>8.6</w:t>
            </w:r>
          </w:p>
        </w:tc>
        <w:tc>
          <w:tcPr>
            <w:tcW w:w="844" w:type="dxa"/>
            <w:hideMark/>
          </w:tcPr>
          <w:p w:rsidR="005A477D" w:rsidRPr="005B0796" w:rsidRDefault="005A477D" w:rsidP="00BE61A2">
            <w:pPr>
              <w:pStyle w:val="TableText"/>
              <w:jc w:val="right"/>
              <w:rPr>
                <w:lang w:eastAsia="en-AU"/>
              </w:rPr>
            </w:pPr>
            <w:r w:rsidRPr="005B0796">
              <w:rPr>
                <w:lang w:eastAsia="en-AU"/>
              </w:rPr>
              <w:t>6.6, 11.1</w:t>
            </w:r>
          </w:p>
        </w:tc>
        <w:tc>
          <w:tcPr>
            <w:tcW w:w="776" w:type="dxa"/>
            <w:hideMark/>
          </w:tcPr>
          <w:p w:rsidR="005A477D" w:rsidRPr="005B0796" w:rsidRDefault="005A477D" w:rsidP="00BE61A2">
            <w:pPr>
              <w:pStyle w:val="TableText"/>
              <w:jc w:val="right"/>
              <w:rPr>
                <w:lang w:eastAsia="en-AU"/>
              </w:rPr>
            </w:pPr>
            <w:r w:rsidRPr="005B0796">
              <w:rPr>
                <w:rFonts w:cs="GillSans"/>
                <w:lang w:eastAsia="en-AU"/>
              </w:rPr>
              <w:t>2547</w:t>
            </w:r>
          </w:p>
        </w:tc>
        <w:tc>
          <w:tcPr>
            <w:tcW w:w="540" w:type="dxa"/>
            <w:hideMark/>
          </w:tcPr>
          <w:p w:rsidR="005A477D" w:rsidRPr="005B0796" w:rsidRDefault="005A477D" w:rsidP="00BE61A2">
            <w:pPr>
              <w:pStyle w:val="TableText"/>
              <w:jc w:val="right"/>
              <w:rPr>
                <w:lang w:eastAsia="en-AU"/>
              </w:rPr>
            </w:pPr>
            <w:r w:rsidRPr="005B0796">
              <w:rPr>
                <w:lang w:eastAsia="en-AU"/>
              </w:rPr>
              <w:t>5.1</w:t>
            </w:r>
          </w:p>
        </w:tc>
        <w:tc>
          <w:tcPr>
            <w:tcW w:w="817" w:type="dxa"/>
            <w:hideMark/>
          </w:tcPr>
          <w:p w:rsidR="005A477D" w:rsidRPr="005B0796" w:rsidRDefault="005A477D" w:rsidP="00BE61A2">
            <w:pPr>
              <w:pStyle w:val="TableText"/>
              <w:jc w:val="right"/>
              <w:rPr>
                <w:lang w:eastAsia="en-AU"/>
              </w:rPr>
            </w:pPr>
            <w:r w:rsidRPr="005B0796">
              <w:rPr>
                <w:rFonts w:cs="GillSans"/>
                <w:lang w:eastAsia="en-AU"/>
              </w:rPr>
              <w:t>4.8 ,5.4</w:t>
            </w:r>
          </w:p>
        </w:tc>
      </w:tr>
      <w:tr w:rsidR="00BE61A2" w:rsidRPr="005B0796" w:rsidTr="00BE61A2">
        <w:trPr>
          <w:cnfStyle w:val="000000100000" w:firstRow="0" w:lastRow="0" w:firstColumn="0" w:lastColumn="0" w:oddVBand="0" w:evenVBand="0" w:oddHBand="1" w:evenHBand="0" w:firstRowFirstColumn="0" w:firstRowLastColumn="0" w:lastRowFirstColumn="0" w:lastRowLastColumn="0"/>
        </w:trPr>
        <w:tc>
          <w:tcPr>
            <w:tcW w:w="918" w:type="dxa"/>
            <w:hideMark/>
          </w:tcPr>
          <w:p w:rsidR="005A477D" w:rsidRPr="005B0796" w:rsidRDefault="005A477D" w:rsidP="00BE61A2">
            <w:pPr>
              <w:pStyle w:val="TableText"/>
              <w:rPr>
                <w:rFonts w:eastAsia="GillSans"/>
                <w:lang w:eastAsia="en-AU"/>
              </w:rPr>
            </w:pPr>
            <w:r w:rsidRPr="005B0796">
              <w:rPr>
                <w:lang w:eastAsia="en-AU"/>
              </w:rPr>
              <w:t>Unsure</w:t>
            </w:r>
          </w:p>
        </w:tc>
        <w:tc>
          <w:tcPr>
            <w:tcW w:w="810" w:type="dxa"/>
            <w:hideMark/>
          </w:tcPr>
          <w:p w:rsidR="005A477D" w:rsidRPr="005B0796" w:rsidRDefault="005A477D" w:rsidP="00BE61A2">
            <w:pPr>
              <w:pStyle w:val="TableText"/>
              <w:jc w:val="right"/>
              <w:rPr>
                <w:rFonts w:eastAsia="Times New Roman"/>
                <w:lang w:eastAsia="en-AU"/>
              </w:rPr>
            </w:pPr>
            <w:r w:rsidRPr="005B0796">
              <w:rPr>
                <w:lang w:eastAsia="en-AU"/>
              </w:rPr>
              <w:t>843</w:t>
            </w:r>
          </w:p>
        </w:tc>
        <w:tc>
          <w:tcPr>
            <w:tcW w:w="540" w:type="dxa"/>
            <w:hideMark/>
          </w:tcPr>
          <w:p w:rsidR="005A477D" w:rsidRPr="005B0796" w:rsidRDefault="005A477D" w:rsidP="00BE61A2">
            <w:pPr>
              <w:pStyle w:val="TableText"/>
              <w:jc w:val="right"/>
              <w:rPr>
                <w:lang w:eastAsia="en-AU"/>
              </w:rPr>
            </w:pPr>
            <w:r w:rsidRPr="005B0796">
              <w:rPr>
                <w:lang w:eastAsia="en-AU"/>
              </w:rPr>
              <w:t>3.4</w:t>
            </w:r>
          </w:p>
        </w:tc>
        <w:tc>
          <w:tcPr>
            <w:tcW w:w="782" w:type="dxa"/>
            <w:hideMark/>
          </w:tcPr>
          <w:p w:rsidR="005A477D" w:rsidRPr="005B0796" w:rsidRDefault="005A477D" w:rsidP="00BE61A2">
            <w:pPr>
              <w:pStyle w:val="TableText"/>
              <w:jc w:val="right"/>
              <w:rPr>
                <w:lang w:eastAsia="en-AU"/>
              </w:rPr>
            </w:pPr>
            <w:r w:rsidRPr="005B0796">
              <w:rPr>
                <w:lang w:eastAsia="en-AU"/>
              </w:rPr>
              <w:t>2.8, 4.1</w:t>
            </w:r>
          </w:p>
        </w:tc>
        <w:tc>
          <w:tcPr>
            <w:tcW w:w="748" w:type="dxa"/>
            <w:hideMark/>
          </w:tcPr>
          <w:p w:rsidR="005A477D" w:rsidRPr="005B0796" w:rsidRDefault="005A477D" w:rsidP="00BE61A2">
            <w:pPr>
              <w:pStyle w:val="TableText"/>
              <w:jc w:val="right"/>
              <w:rPr>
                <w:lang w:eastAsia="en-AU"/>
              </w:rPr>
            </w:pPr>
            <w:r w:rsidRPr="005B0796">
              <w:rPr>
                <w:lang w:eastAsia="en-AU"/>
              </w:rPr>
              <w:t>684</w:t>
            </w:r>
          </w:p>
        </w:tc>
        <w:tc>
          <w:tcPr>
            <w:tcW w:w="540" w:type="dxa"/>
            <w:hideMark/>
          </w:tcPr>
          <w:p w:rsidR="005A477D" w:rsidRPr="005B0796" w:rsidRDefault="005A477D" w:rsidP="00BE61A2">
            <w:pPr>
              <w:pStyle w:val="TableText"/>
              <w:jc w:val="right"/>
              <w:rPr>
                <w:lang w:eastAsia="en-AU"/>
              </w:rPr>
            </w:pPr>
            <w:r w:rsidRPr="005B0796">
              <w:rPr>
                <w:lang w:eastAsia="en-AU"/>
              </w:rPr>
              <w:t>1.3</w:t>
            </w:r>
          </w:p>
        </w:tc>
        <w:tc>
          <w:tcPr>
            <w:tcW w:w="844" w:type="dxa"/>
            <w:hideMark/>
          </w:tcPr>
          <w:p w:rsidR="005A477D" w:rsidRPr="005B0796" w:rsidRDefault="005A477D" w:rsidP="00BE61A2">
            <w:pPr>
              <w:pStyle w:val="TableText"/>
              <w:jc w:val="right"/>
              <w:rPr>
                <w:lang w:eastAsia="en-AU"/>
              </w:rPr>
            </w:pPr>
            <w:r w:rsidRPr="005B0796">
              <w:rPr>
                <w:lang w:eastAsia="en-AU"/>
              </w:rPr>
              <w:t>0.9, 1.9</w:t>
            </w:r>
          </w:p>
        </w:tc>
        <w:tc>
          <w:tcPr>
            <w:tcW w:w="776" w:type="dxa"/>
            <w:hideMark/>
          </w:tcPr>
          <w:p w:rsidR="005A477D" w:rsidRPr="005B0796" w:rsidRDefault="005A477D" w:rsidP="00BE61A2">
            <w:pPr>
              <w:pStyle w:val="TableText"/>
              <w:jc w:val="right"/>
              <w:rPr>
                <w:lang w:eastAsia="en-AU"/>
              </w:rPr>
            </w:pPr>
            <w:r w:rsidRPr="005B0796">
              <w:rPr>
                <w:lang w:eastAsia="en-AU"/>
              </w:rPr>
              <w:t>713</w:t>
            </w:r>
          </w:p>
        </w:tc>
        <w:tc>
          <w:tcPr>
            <w:tcW w:w="540" w:type="dxa"/>
            <w:hideMark/>
          </w:tcPr>
          <w:p w:rsidR="005A477D" w:rsidRPr="005B0796" w:rsidRDefault="005A477D" w:rsidP="00BE61A2">
            <w:pPr>
              <w:pStyle w:val="TableText"/>
              <w:jc w:val="right"/>
              <w:rPr>
                <w:lang w:eastAsia="en-AU"/>
              </w:rPr>
            </w:pPr>
            <w:r w:rsidRPr="005B0796">
              <w:rPr>
                <w:lang w:eastAsia="en-AU"/>
              </w:rPr>
              <w:t>1.4</w:t>
            </w:r>
          </w:p>
        </w:tc>
        <w:tc>
          <w:tcPr>
            <w:tcW w:w="817" w:type="dxa"/>
            <w:hideMark/>
          </w:tcPr>
          <w:p w:rsidR="005A477D" w:rsidRPr="005B0796" w:rsidRDefault="005A477D" w:rsidP="00BE61A2">
            <w:pPr>
              <w:pStyle w:val="TableText"/>
              <w:jc w:val="right"/>
              <w:rPr>
                <w:lang w:eastAsia="en-AU"/>
              </w:rPr>
            </w:pPr>
            <w:r w:rsidRPr="005B0796">
              <w:rPr>
                <w:lang w:eastAsia="en-AU"/>
              </w:rPr>
              <w:t>1.3, 1.6</w:t>
            </w:r>
          </w:p>
        </w:tc>
      </w:tr>
      <w:tr w:rsidR="00BE61A2" w:rsidRPr="005B0796" w:rsidTr="00BE61A2">
        <w:tc>
          <w:tcPr>
            <w:tcW w:w="918" w:type="dxa"/>
            <w:hideMark/>
          </w:tcPr>
          <w:p w:rsidR="005A477D" w:rsidRPr="005B0796" w:rsidRDefault="005A477D" w:rsidP="00BE61A2">
            <w:pPr>
              <w:pStyle w:val="TableText"/>
              <w:rPr>
                <w:rFonts w:eastAsia="Times New Roman"/>
                <w:lang w:eastAsia="en-AU"/>
              </w:rPr>
            </w:pPr>
            <w:r w:rsidRPr="005B0796">
              <w:rPr>
                <w:lang w:eastAsia="en-AU"/>
              </w:rPr>
              <w:t>Possibly</w:t>
            </w:r>
          </w:p>
        </w:tc>
        <w:tc>
          <w:tcPr>
            <w:tcW w:w="810" w:type="dxa"/>
            <w:hideMark/>
          </w:tcPr>
          <w:p w:rsidR="005A477D" w:rsidRPr="005B0796" w:rsidRDefault="005A477D" w:rsidP="00BE61A2">
            <w:pPr>
              <w:pStyle w:val="TableText"/>
              <w:jc w:val="right"/>
              <w:rPr>
                <w:lang w:eastAsia="en-AU"/>
              </w:rPr>
            </w:pPr>
            <w:r w:rsidRPr="005B0796">
              <w:rPr>
                <w:lang w:eastAsia="en-AU"/>
              </w:rPr>
              <w:t>1561</w:t>
            </w:r>
          </w:p>
        </w:tc>
        <w:tc>
          <w:tcPr>
            <w:tcW w:w="540" w:type="dxa"/>
            <w:hideMark/>
          </w:tcPr>
          <w:p w:rsidR="005A477D" w:rsidRPr="005B0796" w:rsidRDefault="005A477D" w:rsidP="00BE61A2">
            <w:pPr>
              <w:pStyle w:val="TableText"/>
              <w:jc w:val="right"/>
              <w:rPr>
                <w:lang w:eastAsia="en-AU"/>
              </w:rPr>
            </w:pPr>
            <w:r w:rsidRPr="005B0796">
              <w:rPr>
                <w:lang w:eastAsia="en-AU"/>
              </w:rPr>
              <w:t>6.3</w:t>
            </w:r>
          </w:p>
        </w:tc>
        <w:tc>
          <w:tcPr>
            <w:tcW w:w="782" w:type="dxa"/>
            <w:hideMark/>
          </w:tcPr>
          <w:p w:rsidR="005A477D" w:rsidRPr="005B0796" w:rsidRDefault="005A477D" w:rsidP="00BE61A2">
            <w:pPr>
              <w:pStyle w:val="TableText"/>
              <w:jc w:val="right"/>
              <w:rPr>
                <w:lang w:eastAsia="en-AU"/>
              </w:rPr>
            </w:pPr>
            <w:r w:rsidRPr="005B0796">
              <w:rPr>
                <w:lang w:eastAsia="en-AU"/>
              </w:rPr>
              <w:t>5.5, 7.2</w:t>
            </w:r>
          </w:p>
        </w:tc>
        <w:tc>
          <w:tcPr>
            <w:tcW w:w="748" w:type="dxa"/>
            <w:hideMark/>
          </w:tcPr>
          <w:p w:rsidR="005A477D" w:rsidRPr="005B0796" w:rsidRDefault="005A477D" w:rsidP="00BE61A2">
            <w:pPr>
              <w:pStyle w:val="TableText"/>
              <w:jc w:val="right"/>
              <w:rPr>
                <w:lang w:eastAsia="en-AU"/>
              </w:rPr>
            </w:pPr>
            <w:r w:rsidRPr="005B0796">
              <w:rPr>
                <w:lang w:eastAsia="en-AU"/>
              </w:rPr>
              <w:t>891</w:t>
            </w:r>
          </w:p>
        </w:tc>
        <w:tc>
          <w:tcPr>
            <w:tcW w:w="540" w:type="dxa"/>
            <w:hideMark/>
          </w:tcPr>
          <w:p w:rsidR="005A477D" w:rsidRPr="005B0796" w:rsidRDefault="005A477D" w:rsidP="00BE61A2">
            <w:pPr>
              <w:pStyle w:val="TableText"/>
              <w:jc w:val="right"/>
              <w:rPr>
                <w:lang w:eastAsia="en-AU"/>
              </w:rPr>
            </w:pPr>
            <w:r w:rsidRPr="005B0796">
              <w:rPr>
                <w:lang w:eastAsia="en-AU"/>
              </w:rPr>
              <w:t>1.7</w:t>
            </w:r>
          </w:p>
        </w:tc>
        <w:tc>
          <w:tcPr>
            <w:tcW w:w="844" w:type="dxa"/>
            <w:hideMark/>
          </w:tcPr>
          <w:p w:rsidR="005A477D" w:rsidRPr="005B0796" w:rsidRDefault="005A477D" w:rsidP="00BE61A2">
            <w:pPr>
              <w:pStyle w:val="TableText"/>
              <w:jc w:val="right"/>
              <w:rPr>
                <w:lang w:eastAsia="en-AU"/>
              </w:rPr>
            </w:pPr>
            <w:r w:rsidRPr="005B0796">
              <w:rPr>
                <w:lang w:eastAsia="en-AU"/>
              </w:rPr>
              <w:t>1.4, 2.1</w:t>
            </w:r>
          </w:p>
        </w:tc>
        <w:tc>
          <w:tcPr>
            <w:tcW w:w="776" w:type="dxa"/>
            <w:hideMark/>
          </w:tcPr>
          <w:p w:rsidR="005A477D" w:rsidRPr="005B0796" w:rsidRDefault="005A477D" w:rsidP="00BE61A2">
            <w:pPr>
              <w:pStyle w:val="TableText"/>
              <w:jc w:val="right"/>
              <w:rPr>
                <w:lang w:eastAsia="en-AU"/>
              </w:rPr>
            </w:pPr>
            <w:r w:rsidRPr="005B0796">
              <w:rPr>
                <w:lang w:eastAsia="en-AU"/>
              </w:rPr>
              <w:t>827</w:t>
            </w:r>
          </w:p>
        </w:tc>
        <w:tc>
          <w:tcPr>
            <w:tcW w:w="540" w:type="dxa"/>
            <w:hideMark/>
          </w:tcPr>
          <w:p w:rsidR="005A477D" w:rsidRPr="005B0796" w:rsidRDefault="005A477D" w:rsidP="00BE61A2">
            <w:pPr>
              <w:pStyle w:val="TableText"/>
              <w:jc w:val="right"/>
              <w:rPr>
                <w:lang w:eastAsia="en-AU"/>
              </w:rPr>
            </w:pPr>
            <w:r w:rsidRPr="005B0796">
              <w:rPr>
                <w:lang w:eastAsia="en-AU"/>
              </w:rPr>
              <w:t>1.7</w:t>
            </w:r>
          </w:p>
        </w:tc>
        <w:tc>
          <w:tcPr>
            <w:tcW w:w="817" w:type="dxa"/>
            <w:hideMark/>
          </w:tcPr>
          <w:p w:rsidR="005A477D" w:rsidRPr="005B0796" w:rsidRDefault="005A477D" w:rsidP="00BE61A2">
            <w:pPr>
              <w:pStyle w:val="TableText"/>
              <w:jc w:val="right"/>
              <w:rPr>
                <w:lang w:eastAsia="en-AU"/>
              </w:rPr>
            </w:pPr>
            <w:r w:rsidRPr="005B0796">
              <w:rPr>
                <w:lang w:eastAsia="en-AU"/>
              </w:rPr>
              <w:t>1.5, 1.8</w:t>
            </w:r>
          </w:p>
        </w:tc>
      </w:tr>
      <w:tr w:rsidR="00BE61A2" w:rsidRPr="005B0796" w:rsidTr="00BE61A2">
        <w:trPr>
          <w:cnfStyle w:val="010000000000" w:firstRow="0" w:lastRow="1" w:firstColumn="0" w:lastColumn="0" w:oddVBand="0" w:evenVBand="0" w:oddHBand="0" w:evenHBand="0" w:firstRowFirstColumn="0" w:firstRowLastColumn="0" w:lastRowFirstColumn="0" w:lastRowLastColumn="0"/>
        </w:trPr>
        <w:tc>
          <w:tcPr>
            <w:tcW w:w="918" w:type="dxa"/>
            <w:hideMark/>
          </w:tcPr>
          <w:p w:rsidR="005A477D" w:rsidRPr="005B0796" w:rsidRDefault="005A477D" w:rsidP="00BE61A2">
            <w:pPr>
              <w:pStyle w:val="TableText"/>
              <w:rPr>
                <w:rFonts w:eastAsia="Times New Roman"/>
                <w:lang w:eastAsia="en-AU"/>
              </w:rPr>
            </w:pPr>
            <w:r w:rsidRPr="005B0796">
              <w:rPr>
                <w:lang w:eastAsia="en-AU"/>
              </w:rPr>
              <w:t xml:space="preserve">Definitely </w:t>
            </w:r>
          </w:p>
        </w:tc>
        <w:tc>
          <w:tcPr>
            <w:tcW w:w="810" w:type="dxa"/>
            <w:hideMark/>
          </w:tcPr>
          <w:p w:rsidR="005A477D" w:rsidRPr="005B0796" w:rsidRDefault="005A477D" w:rsidP="00BE61A2">
            <w:pPr>
              <w:pStyle w:val="TableText"/>
              <w:jc w:val="right"/>
              <w:rPr>
                <w:lang w:eastAsia="en-AU"/>
              </w:rPr>
            </w:pPr>
            <w:r w:rsidRPr="005B0796">
              <w:rPr>
                <w:lang w:eastAsia="en-AU"/>
              </w:rPr>
              <w:t>841</w:t>
            </w:r>
          </w:p>
        </w:tc>
        <w:tc>
          <w:tcPr>
            <w:tcW w:w="540" w:type="dxa"/>
            <w:hideMark/>
          </w:tcPr>
          <w:p w:rsidR="005A477D" w:rsidRPr="005B0796" w:rsidRDefault="005A477D" w:rsidP="00BE61A2">
            <w:pPr>
              <w:pStyle w:val="TableText"/>
              <w:jc w:val="right"/>
              <w:rPr>
                <w:lang w:eastAsia="en-AU"/>
              </w:rPr>
            </w:pPr>
            <w:r w:rsidRPr="005B0796">
              <w:rPr>
                <w:lang w:eastAsia="en-AU"/>
              </w:rPr>
              <w:t>3.4</w:t>
            </w:r>
          </w:p>
        </w:tc>
        <w:tc>
          <w:tcPr>
            <w:tcW w:w="782" w:type="dxa"/>
            <w:hideMark/>
          </w:tcPr>
          <w:p w:rsidR="005A477D" w:rsidRPr="005B0796" w:rsidRDefault="005A477D" w:rsidP="00BE61A2">
            <w:pPr>
              <w:pStyle w:val="TableText"/>
              <w:jc w:val="right"/>
              <w:rPr>
                <w:lang w:eastAsia="en-AU"/>
              </w:rPr>
            </w:pPr>
            <w:r w:rsidRPr="005B0796">
              <w:rPr>
                <w:lang w:eastAsia="en-AU"/>
              </w:rPr>
              <w:t>2.7, 4.2</w:t>
            </w:r>
          </w:p>
        </w:tc>
        <w:tc>
          <w:tcPr>
            <w:tcW w:w="748" w:type="dxa"/>
            <w:hideMark/>
          </w:tcPr>
          <w:p w:rsidR="005A477D" w:rsidRPr="005B0796" w:rsidRDefault="005A477D" w:rsidP="00BE61A2">
            <w:pPr>
              <w:pStyle w:val="TableText"/>
              <w:jc w:val="right"/>
              <w:rPr>
                <w:lang w:eastAsia="en-AU"/>
              </w:rPr>
            </w:pPr>
            <w:r w:rsidRPr="005B0796">
              <w:rPr>
                <w:lang w:eastAsia="en-AU"/>
              </w:rPr>
              <w:t>194</w:t>
            </w:r>
          </w:p>
        </w:tc>
        <w:tc>
          <w:tcPr>
            <w:tcW w:w="540" w:type="dxa"/>
            <w:hideMark/>
          </w:tcPr>
          <w:p w:rsidR="005A477D" w:rsidRPr="005B0796" w:rsidRDefault="005A477D" w:rsidP="00BE61A2">
            <w:pPr>
              <w:pStyle w:val="TableText"/>
              <w:jc w:val="right"/>
              <w:rPr>
                <w:lang w:eastAsia="en-AU"/>
              </w:rPr>
            </w:pPr>
            <w:r w:rsidRPr="005B0796">
              <w:rPr>
                <w:lang w:eastAsia="en-AU"/>
              </w:rPr>
              <w:t>0.37</w:t>
            </w:r>
          </w:p>
        </w:tc>
        <w:tc>
          <w:tcPr>
            <w:tcW w:w="844" w:type="dxa"/>
            <w:hideMark/>
          </w:tcPr>
          <w:p w:rsidR="005A477D" w:rsidRPr="005B0796" w:rsidRDefault="005A477D" w:rsidP="00BE61A2">
            <w:pPr>
              <w:pStyle w:val="TableText"/>
              <w:jc w:val="right"/>
              <w:rPr>
                <w:lang w:eastAsia="en-AU"/>
              </w:rPr>
            </w:pPr>
            <w:r w:rsidRPr="005B0796">
              <w:rPr>
                <w:lang w:eastAsia="en-AU"/>
              </w:rPr>
              <w:t>0.3, 0.5</w:t>
            </w:r>
          </w:p>
        </w:tc>
        <w:tc>
          <w:tcPr>
            <w:tcW w:w="776" w:type="dxa"/>
            <w:hideMark/>
          </w:tcPr>
          <w:p w:rsidR="005A477D" w:rsidRPr="005B0796" w:rsidRDefault="005A477D" w:rsidP="00BE61A2">
            <w:pPr>
              <w:pStyle w:val="TableText"/>
              <w:jc w:val="right"/>
              <w:rPr>
                <w:lang w:eastAsia="en-AU"/>
              </w:rPr>
            </w:pPr>
            <w:r w:rsidRPr="005B0796">
              <w:rPr>
                <w:lang w:eastAsia="en-AU"/>
              </w:rPr>
              <w:t>186</w:t>
            </w:r>
          </w:p>
        </w:tc>
        <w:tc>
          <w:tcPr>
            <w:tcW w:w="540" w:type="dxa"/>
            <w:hideMark/>
          </w:tcPr>
          <w:p w:rsidR="005A477D" w:rsidRPr="005B0796" w:rsidRDefault="005A477D" w:rsidP="00BE61A2">
            <w:pPr>
              <w:pStyle w:val="TableText"/>
              <w:jc w:val="right"/>
              <w:rPr>
                <w:lang w:eastAsia="en-AU"/>
              </w:rPr>
            </w:pPr>
            <w:r w:rsidRPr="005B0796">
              <w:rPr>
                <w:lang w:eastAsia="en-AU"/>
              </w:rPr>
              <w:t>0.4</w:t>
            </w:r>
          </w:p>
        </w:tc>
        <w:tc>
          <w:tcPr>
            <w:tcW w:w="817" w:type="dxa"/>
            <w:hideMark/>
          </w:tcPr>
          <w:p w:rsidR="005A477D" w:rsidRPr="005B0796" w:rsidRDefault="005A477D" w:rsidP="00BE61A2">
            <w:pPr>
              <w:pStyle w:val="TableText"/>
              <w:jc w:val="right"/>
              <w:rPr>
                <w:lang w:eastAsia="en-AU"/>
              </w:rPr>
            </w:pPr>
            <w:r w:rsidRPr="005B0796">
              <w:rPr>
                <w:rFonts w:cs="GillSans"/>
                <w:lang w:eastAsia="en-AU"/>
              </w:rPr>
              <w:t>0.3,0.4</w:t>
            </w:r>
          </w:p>
        </w:tc>
      </w:tr>
    </w:tbl>
    <w:p w:rsidR="00BE61A2" w:rsidRPr="005B0796" w:rsidRDefault="00BE61A2" w:rsidP="00BE61A2">
      <w:pPr>
        <w:pStyle w:val="TableNotes"/>
      </w:pPr>
      <w:r w:rsidRPr="005B0796">
        <w:t>* From the 2010 ADF Mental Health Prevalence and Wellbeing Study</w:t>
      </w:r>
    </w:p>
    <w:p w:rsidR="005A477D" w:rsidRPr="005B0796" w:rsidRDefault="00BE61A2" w:rsidP="00BE61A2">
      <w:pPr>
        <w:pStyle w:val="TableNotes"/>
        <w:rPr>
          <w:rFonts w:cs="Calibri"/>
          <w:bCs/>
        </w:rPr>
      </w:pPr>
      <w:r w:rsidRPr="005B0796">
        <w:rPr>
          <w:rFonts w:cs="Calibri"/>
          <w:bCs/>
        </w:rPr>
        <w:t xml:space="preserve">Note: 95% CI: 95% </w:t>
      </w:r>
      <w:r w:rsidR="00564689" w:rsidRPr="005B0796">
        <w:rPr>
          <w:rFonts w:cs="Calibri"/>
          <w:bCs/>
        </w:rPr>
        <w:t>confidence interval</w:t>
      </w:r>
    </w:p>
    <w:p w:rsidR="00EA7252" w:rsidRPr="005B0796" w:rsidRDefault="00EA7252" w:rsidP="00EA7252">
      <w:pPr>
        <w:pStyle w:val="FigureName"/>
      </w:pPr>
      <w:bookmarkStart w:id="983" w:name="_Toc487014400"/>
      <w:bookmarkStart w:id="984" w:name="_Toc51190056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10</w:t>
      </w:r>
      <w:r w:rsidR="00D30A3C">
        <w:rPr>
          <w:noProof/>
        </w:rPr>
        <w:fldChar w:fldCharType="end"/>
      </w:r>
      <w:r w:rsidRPr="005B0796">
        <w:tab/>
        <w:t>Estimated proportions o</w:t>
      </w:r>
      <w:r w:rsidR="00C01061">
        <w:t>f</w:t>
      </w:r>
      <w:r w:rsidRPr="005B0796">
        <w:t xml:space="preserve"> Transitioned ADF, and 2010 and 2015 Regular ADF with self-reported drinking problem</w:t>
      </w:r>
      <w:bookmarkEnd w:id="983"/>
      <w:bookmarkEnd w:id="984"/>
    </w:p>
    <w:tbl>
      <w:tblPr>
        <w:tblW w:w="5000" w:type="pct"/>
        <w:tblLayout w:type="fixed"/>
        <w:tblCellMar>
          <w:left w:w="115" w:type="dxa"/>
          <w:right w:w="115" w:type="dxa"/>
        </w:tblCellMar>
        <w:tblLook w:val="04A0" w:firstRow="1" w:lastRow="0" w:firstColumn="1" w:lastColumn="0" w:noHBand="0" w:noVBand="1"/>
      </w:tblPr>
      <w:tblGrid>
        <w:gridCol w:w="7329"/>
      </w:tblGrid>
      <w:tr w:rsidR="005A477D" w:rsidRPr="005B0796" w:rsidTr="008D06AC">
        <w:trPr>
          <w:cantSplit/>
        </w:trPr>
        <w:tc>
          <w:tcPr>
            <w:tcW w:w="7315" w:type="dxa"/>
          </w:tcPr>
          <w:p w:rsidR="005A477D" w:rsidRPr="005B0796" w:rsidRDefault="005A477D" w:rsidP="00855912">
            <w:r w:rsidRPr="005B0796">
              <w:rPr>
                <w:noProof/>
                <w:lang w:eastAsia="en-AU"/>
              </w:rPr>
              <w:drawing>
                <wp:inline distT="0" distB="0" distL="0" distR="0" wp14:anchorId="190BD3BD" wp14:editId="75C6C82F">
                  <wp:extent cx="4572000" cy="2743200"/>
                  <wp:effectExtent l="0" t="0" r="0" b="0"/>
                  <wp:docPr id="70" name="Chart 70" descr="Figure 5.10 Estimated proportions for Transitioned ADF, and 2010 and 2015 Regular ADF with self-reported drinking probl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r>
    </w:tbl>
    <w:p w:rsidR="005A477D" w:rsidRPr="005B0796" w:rsidRDefault="005A477D" w:rsidP="00EA7252">
      <w:pPr>
        <w:pStyle w:val="Heading3"/>
      </w:pPr>
      <w:bookmarkStart w:id="985" w:name="_Toc482024466"/>
      <w:bookmarkStart w:id="986" w:name="_Toc487011224"/>
      <w:bookmarkStart w:id="987" w:name="_Toc494449744"/>
      <w:bookmarkStart w:id="988" w:name="_Toc511900326"/>
      <w:r w:rsidRPr="005B0796">
        <w:t>Self-reported difficulties reducing alcohol consumption</w:t>
      </w:r>
      <w:bookmarkEnd w:id="985"/>
      <w:bookmarkEnd w:id="986"/>
      <w:bookmarkEnd w:id="987"/>
      <w:bookmarkEnd w:id="988"/>
    </w:p>
    <w:p w:rsidR="005A477D" w:rsidRPr="005B0796" w:rsidRDefault="009E72D3" w:rsidP="00EA7252">
      <w:r w:rsidRPr="005B0796">
        <w:t>Table 5.11</w:t>
      </w:r>
      <w:r w:rsidR="005A477D" w:rsidRPr="005B0796">
        <w:t xml:space="preserve"> and Figure 5.11 compare the proportion of members of the Transitioned ADF, and the 2010 and 2015 Regular ADF who report anticipating difficulty reducing their alcohol intake.</w:t>
      </w:r>
    </w:p>
    <w:p w:rsidR="005A477D" w:rsidRPr="005B0796" w:rsidRDefault="005A477D" w:rsidP="008D06AC">
      <w:r w:rsidRPr="005B0796">
        <w:t>Participants were asked to quantify how difficult they would find it to cut down or stop drinking in the next three months. More than 8% of Transitioned ADF members reported that they thought they would have difficulty reducing their alcohol consumption.</w:t>
      </w:r>
    </w:p>
    <w:p w:rsidR="005A477D" w:rsidRPr="005B0796" w:rsidRDefault="005A477D" w:rsidP="008D06AC">
      <w:r w:rsidRPr="005B0796">
        <w:t>Members of the Transitioned ADF reported anticipating more difficulty than member of the 2015 Regular ADF. For example, Transitioned ADF were significantly more likely to report that they would find it fairly difficult or very difficult to reduce their alcohol consumption (8.4%) over the next three months (OR 4.9, 95% CI 3.9,</w:t>
      </w:r>
      <w:r w:rsidR="00C01061">
        <w:t xml:space="preserve"> </w:t>
      </w:r>
      <w:r w:rsidRPr="005B0796">
        <w:t xml:space="preserve">6.3) compared to the 2015 Regular ADF (2.7%). Additionally, members of the 2010 Regular ADF were significantly more likely than members of the 2015 Regular ADF to report that they would find it very difficult to cut down on their drinking. However, it should be noted that this comparison does not include any estimate of covariance between the two populations. </w:t>
      </w:r>
    </w:p>
    <w:p w:rsidR="005A477D" w:rsidRPr="005B0796" w:rsidRDefault="005A477D" w:rsidP="008D06AC">
      <w:r w:rsidRPr="005B0796">
        <w:t xml:space="preserve">A further detailed analysis of the change in levels of self-reported alcohol use and problem drinking from 2010 to 2015 will be addressed more formally in later reports. </w:t>
      </w:r>
    </w:p>
    <w:p w:rsidR="008D06AC" w:rsidRPr="005B0796" w:rsidRDefault="008D06AC" w:rsidP="008D06AC">
      <w:pPr>
        <w:pStyle w:val="TableName"/>
      </w:pPr>
      <w:bookmarkStart w:id="989" w:name="_Ref484523471"/>
      <w:bookmarkStart w:id="990" w:name="_Toc487014312"/>
      <w:bookmarkStart w:id="991" w:name="_Toc492995615"/>
      <w:bookmarkStart w:id="992" w:name="_Toc51190046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11</w:t>
      </w:r>
      <w:r w:rsidR="00D30A3C">
        <w:rPr>
          <w:noProof/>
        </w:rPr>
        <w:fldChar w:fldCharType="end"/>
      </w:r>
      <w:bookmarkEnd w:id="989"/>
      <w:r w:rsidR="00C01061">
        <w:tab/>
        <w:t xml:space="preserve">Estimated proportions </w:t>
      </w:r>
      <w:r w:rsidRPr="005B0796">
        <w:t>o</w:t>
      </w:r>
      <w:r w:rsidR="00C01061">
        <w:t>f</w:t>
      </w:r>
      <w:r w:rsidRPr="005B0796">
        <w:t xml:space="preserve"> Transitioned ADF, and 2010 and 2015 Regular ADF who anticipate difficulty reducing their alcohol intake over the next three months</w:t>
      </w:r>
      <w:bookmarkEnd w:id="990"/>
      <w:bookmarkEnd w:id="991"/>
      <w:bookmarkEnd w:id="992"/>
    </w:p>
    <w:tbl>
      <w:tblPr>
        <w:tblStyle w:val="TWRPTable"/>
        <w:tblW w:w="5000" w:type="pct"/>
        <w:tblLayout w:type="fixed"/>
        <w:tblLook w:val="01E0" w:firstRow="1" w:lastRow="1" w:firstColumn="1" w:lastColumn="1" w:noHBand="0" w:noVBand="0"/>
        <w:tblDescription w:val="Table 5.11 Estimated proportions for Transitioned ADF, and 2010 and 2015 Regular ADF who anticipate difficulty reducing their alcohol intake over the next three months"/>
      </w:tblPr>
      <w:tblGrid>
        <w:gridCol w:w="1008"/>
        <w:gridCol w:w="810"/>
        <w:gridCol w:w="540"/>
        <w:gridCol w:w="752"/>
        <w:gridCol w:w="778"/>
        <w:gridCol w:w="540"/>
        <w:gridCol w:w="784"/>
        <w:gridCol w:w="746"/>
        <w:gridCol w:w="540"/>
        <w:gridCol w:w="817"/>
      </w:tblGrid>
      <w:tr w:rsidR="005A477D" w:rsidRPr="005B0796" w:rsidTr="008D06AC">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Pr>
          <w:p w:rsidR="005A477D" w:rsidRPr="005B0796" w:rsidRDefault="005A477D" w:rsidP="008D06AC">
            <w:pPr>
              <w:pStyle w:val="TableText"/>
              <w:rPr>
                <w:rFonts w:eastAsia="Times New Roman"/>
                <w:lang w:eastAsia="en-AU"/>
              </w:rPr>
            </w:pPr>
            <w:r w:rsidRPr="005B0796">
              <w:rPr>
                <w:lang w:eastAsia="en-AU"/>
              </w:rPr>
              <w:t>Difficulty reducing alcohol consumption</w:t>
            </w:r>
          </w:p>
        </w:tc>
        <w:tc>
          <w:tcPr>
            <w:tcW w:w="2102" w:type="dxa"/>
            <w:gridSpan w:val="3"/>
          </w:tcPr>
          <w:p w:rsidR="005A477D" w:rsidRPr="005B0796" w:rsidRDefault="005A477D" w:rsidP="008D06AC">
            <w:pPr>
              <w:pStyle w:val="TableText"/>
              <w:jc w:val="center"/>
              <w:rPr>
                <w:bCs/>
                <w:lang w:eastAsia="en-AU"/>
              </w:rPr>
            </w:pPr>
            <w:r w:rsidRPr="005B0796">
              <w:rPr>
                <w:bCs/>
                <w:lang w:eastAsia="en-AU"/>
              </w:rPr>
              <w:t>Transitioned ADF 2</w:t>
            </w:r>
            <w:r w:rsidR="008D06AC" w:rsidRPr="005B0796">
              <w:rPr>
                <w:bCs/>
                <w:lang w:eastAsia="en-AU"/>
              </w:rPr>
              <w:t xml:space="preserve"> (n = 24,932)</w:t>
            </w:r>
          </w:p>
        </w:tc>
        <w:tc>
          <w:tcPr>
            <w:tcW w:w="2102" w:type="dxa"/>
            <w:gridSpan w:val="3"/>
          </w:tcPr>
          <w:p w:rsidR="005A477D" w:rsidRPr="005B0796" w:rsidRDefault="008D06AC" w:rsidP="008D06AC">
            <w:pPr>
              <w:pStyle w:val="TableText"/>
              <w:jc w:val="center"/>
              <w:rPr>
                <w:bCs/>
                <w:lang w:eastAsia="en-AU"/>
              </w:rPr>
            </w:pPr>
            <w:r w:rsidRPr="005B0796">
              <w:rPr>
                <w:bCs/>
                <w:lang w:eastAsia="en-AU"/>
              </w:rPr>
              <w:t>2015 Regular ADF (n = 52,500)</w:t>
            </w:r>
          </w:p>
        </w:tc>
        <w:tc>
          <w:tcPr>
            <w:tcW w:w="2103" w:type="dxa"/>
            <w:gridSpan w:val="3"/>
          </w:tcPr>
          <w:p w:rsidR="005A477D" w:rsidRPr="005B0796" w:rsidRDefault="008D06AC" w:rsidP="008D06AC">
            <w:pPr>
              <w:pStyle w:val="TableText"/>
              <w:jc w:val="center"/>
              <w:rPr>
                <w:bCs/>
                <w:lang w:eastAsia="en-AU"/>
              </w:rPr>
            </w:pPr>
            <w:r w:rsidRPr="005B0796">
              <w:rPr>
                <w:bCs/>
                <w:lang w:eastAsia="en-AU"/>
              </w:rPr>
              <w:t>2010 Regular ADF* (n = 50,049)</w:t>
            </w:r>
          </w:p>
        </w:tc>
      </w:tr>
      <w:tr w:rsidR="008D06AC" w:rsidRPr="005B0796" w:rsidTr="009F76D4">
        <w:trPr>
          <w:cnfStyle w:val="100000000000" w:firstRow="1" w:lastRow="0" w:firstColumn="0" w:lastColumn="0" w:oddVBand="0" w:evenVBand="0" w:oddHBand="0" w:evenHBand="0" w:firstRowFirstColumn="0" w:firstRowLastColumn="0" w:lastRowFirstColumn="0" w:lastRowLastColumn="0"/>
          <w:tblHeader/>
        </w:trPr>
        <w:tc>
          <w:tcPr>
            <w:tcW w:w="1008" w:type="dxa"/>
            <w:vMerge/>
            <w:hideMark/>
          </w:tcPr>
          <w:p w:rsidR="005A477D" w:rsidRPr="005B0796" w:rsidRDefault="005A477D" w:rsidP="008D06AC">
            <w:pPr>
              <w:pStyle w:val="TableText"/>
              <w:rPr>
                <w:rFonts w:eastAsia="Times New Roman"/>
                <w:lang w:eastAsia="en-AU"/>
              </w:rPr>
            </w:pPr>
          </w:p>
        </w:tc>
        <w:tc>
          <w:tcPr>
            <w:tcW w:w="810" w:type="dxa"/>
            <w:hideMark/>
          </w:tcPr>
          <w:p w:rsidR="005A477D" w:rsidRPr="005B0796" w:rsidRDefault="005A477D" w:rsidP="008D06AC">
            <w:pPr>
              <w:pStyle w:val="TableText"/>
              <w:jc w:val="right"/>
              <w:rPr>
                <w:lang w:eastAsia="en-AU"/>
              </w:rPr>
            </w:pPr>
            <w:r w:rsidRPr="005B0796">
              <w:rPr>
                <w:lang w:eastAsia="en-AU"/>
              </w:rPr>
              <w:t>Weighted n</w:t>
            </w:r>
          </w:p>
        </w:tc>
        <w:tc>
          <w:tcPr>
            <w:tcW w:w="540" w:type="dxa"/>
            <w:hideMark/>
          </w:tcPr>
          <w:p w:rsidR="005A477D" w:rsidRPr="005B0796" w:rsidRDefault="005A477D" w:rsidP="008D06AC">
            <w:pPr>
              <w:pStyle w:val="TableText"/>
              <w:jc w:val="right"/>
              <w:rPr>
                <w:lang w:eastAsia="en-AU"/>
              </w:rPr>
            </w:pPr>
            <w:r w:rsidRPr="005B0796">
              <w:rPr>
                <w:lang w:eastAsia="en-AU"/>
              </w:rPr>
              <w:t>%</w:t>
            </w:r>
          </w:p>
        </w:tc>
        <w:tc>
          <w:tcPr>
            <w:tcW w:w="752" w:type="dxa"/>
            <w:hideMark/>
          </w:tcPr>
          <w:p w:rsidR="005A477D" w:rsidRPr="005B0796" w:rsidRDefault="005A477D" w:rsidP="008D06AC">
            <w:pPr>
              <w:pStyle w:val="TableText"/>
              <w:jc w:val="right"/>
              <w:rPr>
                <w:lang w:eastAsia="en-AU"/>
              </w:rPr>
            </w:pPr>
            <w:r w:rsidRPr="005B0796">
              <w:rPr>
                <w:lang w:eastAsia="en-AU"/>
              </w:rPr>
              <w:t>95% CI</w:t>
            </w:r>
          </w:p>
        </w:tc>
        <w:tc>
          <w:tcPr>
            <w:tcW w:w="778" w:type="dxa"/>
            <w:hideMark/>
          </w:tcPr>
          <w:p w:rsidR="005A477D" w:rsidRPr="005B0796" w:rsidRDefault="005A477D" w:rsidP="008D06AC">
            <w:pPr>
              <w:pStyle w:val="TableText"/>
              <w:jc w:val="right"/>
              <w:rPr>
                <w:lang w:eastAsia="en-AU"/>
              </w:rPr>
            </w:pPr>
            <w:r w:rsidRPr="005B0796">
              <w:rPr>
                <w:lang w:eastAsia="en-AU"/>
              </w:rPr>
              <w:t>Weighted n</w:t>
            </w:r>
          </w:p>
        </w:tc>
        <w:tc>
          <w:tcPr>
            <w:tcW w:w="540" w:type="dxa"/>
            <w:hideMark/>
          </w:tcPr>
          <w:p w:rsidR="005A477D" w:rsidRPr="005B0796" w:rsidRDefault="005A477D" w:rsidP="008D06AC">
            <w:pPr>
              <w:pStyle w:val="TableText"/>
              <w:jc w:val="right"/>
              <w:rPr>
                <w:lang w:eastAsia="en-AU"/>
              </w:rPr>
            </w:pPr>
            <w:r w:rsidRPr="005B0796">
              <w:rPr>
                <w:lang w:eastAsia="en-AU"/>
              </w:rPr>
              <w:t>%</w:t>
            </w:r>
          </w:p>
        </w:tc>
        <w:tc>
          <w:tcPr>
            <w:tcW w:w="784" w:type="dxa"/>
            <w:hideMark/>
          </w:tcPr>
          <w:p w:rsidR="005A477D" w:rsidRPr="005B0796" w:rsidRDefault="005A477D" w:rsidP="008D06AC">
            <w:pPr>
              <w:pStyle w:val="TableText"/>
              <w:jc w:val="right"/>
              <w:rPr>
                <w:lang w:eastAsia="en-AU"/>
              </w:rPr>
            </w:pPr>
            <w:r w:rsidRPr="005B0796">
              <w:rPr>
                <w:lang w:eastAsia="en-AU"/>
              </w:rPr>
              <w:t>95% CI</w:t>
            </w:r>
          </w:p>
        </w:tc>
        <w:tc>
          <w:tcPr>
            <w:tcW w:w="746" w:type="dxa"/>
            <w:hideMark/>
          </w:tcPr>
          <w:p w:rsidR="005A477D" w:rsidRPr="005B0796" w:rsidRDefault="005A477D" w:rsidP="008D06AC">
            <w:pPr>
              <w:pStyle w:val="TableText"/>
              <w:jc w:val="right"/>
              <w:rPr>
                <w:lang w:eastAsia="en-AU"/>
              </w:rPr>
            </w:pPr>
            <w:r w:rsidRPr="005B0796">
              <w:rPr>
                <w:lang w:eastAsia="en-AU"/>
              </w:rPr>
              <w:t>Weighted n</w:t>
            </w:r>
          </w:p>
        </w:tc>
        <w:tc>
          <w:tcPr>
            <w:tcW w:w="540" w:type="dxa"/>
            <w:hideMark/>
          </w:tcPr>
          <w:p w:rsidR="005A477D" w:rsidRPr="005B0796" w:rsidRDefault="005A477D" w:rsidP="008D06AC">
            <w:pPr>
              <w:pStyle w:val="TableText"/>
              <w:jc w:val="right"/>
              <w:rPr>
                <w:lang w:eastAsia="en-AU"/>
              </w:rPr>
            </w:pPr>
            <w:r w:rsidRPr="005B0796">
              <w:rPr>
                <w:lang w:eastAsia="en-AU"/>
              </w:rPr>
              <w:t>%</w:t>
            </w:r>
          </w:p>
        </w:tc>
        <w:tc>
          <w:tcPr>
            <w:tcW w:w="817" w:type="dxa"/>
            <w:hideMark/>
          </w:tcPr>
          <w:p w:rsidR="005A477D" w:rsidRPr="005B0796" w:rsidRDefault="005A477D" w:rsidP="008D06AC">
            <w:pPr>
              <w:pStyle w:val="TableText"/>
              <w:jc w:val="right"/>
              <w:rPr>
                <w:lang w:eastAsia="en-AU"/>
              </w:rPr>
            </w:pPr>
            <w:r w:rsidRPr="005B0796">
              <w:rPr>
                <w:lang w:eastAsia="en-AU"/>
              </w:rPr>
              <w:t>95% CI</w:t>
            </w:r>
          </w:p>
        </w:tc>
      </w:tr>
      <w:tr w:rsidR="009F76D4" w:rsidRPr="005B0796" w:rsidTr="009F76D4">
        <w:trPr>
          <w:cnfStyle w:val="000000100000" w:firstRow="0" w:lastRow="0" w:firstColumn="0" w:lastColumn="0" w:oddVBand="0" w:evenVBand="0" w:oddHBand="1" w:evenHBand="0" w:firstRowFirstColumn="0" w:firstRowLastColumn="0" w:lastRowFirstColumn="0" w:lastRowLastColumn="0"/>
        </w:trPr>
        <w:tc>
          <w:tcPr>
            <w:tcW w:w="1008" w:type="dxa"/>
            <w:hideMark/>
          </w:tcPr>
          <w:p w:rsidR="005A477D" w:rsidRPr="005B0796" w:rsidRDefault="005A477D" w:rsidP="008D06AC">
            <w:pPr>
              <w:pStyle w:val="TableText"/>
              <w:rPr>
                <w:rFonts w:eastAsia="Times New Roman"/>
                <w:lang w:eastAsia="en-AU"/>
              </w:rPr>
            </w:pPr>
            <w:r w:rsidRPr="005B0796">
              <w:rPr>
                <w:lang w:eastAsia="en-AU"/>
              </w:rPr>
              <w:t>Very easy</w:t>
            </w:r>
          </w:p>
        </w:tc>
        <w:tc>
          <w:tcPr>
            <w:tcW w:w="810" w:type="dxa"/>
            <w:hideMark/>
          </w:tcPr>
          <w:p w:rsidR="005A477D" w:rsidRPr="005B0796" w:rsidRDefault="005A477D" w:rsidP="008D06AC">
            <w:pPr>
              <w:pStyle w:val="TableText"/>
              <w:jc w:val="right"/>
              <w:rPr>
                <w:rFonts w:eastAsia="Times New Roman"/>
                <w:lang w:eastAsia="en-AU"/>
              </w:rPr>
            </w:pPr>
            <w:r w:rsidRPr="005B0796">
              <w:rPr>
                <w:lang w:eastAsia="en-AU"/>
              </w:rPr>
              <w:t>12,712</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50.9</w:t>
            </w:r>
          </w:p>
        </w:tc>
        <w:tc>
          <w:tcPr>
            <w:tcW w:w="752" w:type="dxa"/>
            <w:hideMark/>
          </w:tcPr>
          <w:p w:rsidR="005A477D" w:rsidRPr="005B0796" w:rsidRDefault="005A477D" w:rsidP="008D06AC">
            <w:pPr>
              <w:pStyle w:val="TableText"/>
              <w:jc w:val="right"/>
              <w:rPr>
                <w:rFonts w:eastAsia="Times New Roman"/>
                <w:lang w:eastAsia="en-AU"/>
              </w:rPr>
            </w:pPr>
            <w:r w:rsidRPr="005B0796">
              <w:rPr>
                <w:lang w:eastAsia="en-AU"/>
              </w:rPr>
              <w:t>49.0, 52.9</w:t>
            </w:r>
          </w:p>
        </w:tc>
        <w:tc>
          <w:tcPr>
            <w:tcW w:w="778" w:type="dxa"/>
            <w:hideMark/>
          </w:tcPr>
          <w:p w:rsidR="005A477D" w:rsidRPr="005B0796" w:rsidRDefault="005A477D" w:rsidP="008D06AC">
            <w:pPr>
              <w:pStyle w:val="TableText"/>
              <w:jc w:val="right"/>
              <w:rPr>
                <w:rFonts w:eastAsia="Times New Roman"/>
                <w:lang w:eastAsia="en-AU"/>
              </w:rPr>
            </w:pPr>
            <w:r w:rsidRPr="005B0796">
              <w:rPr>
                <w:lang w:eastAsia="en-AU"/>
              </w:rPr>
              <w:t>33,644</w:t>
            </w:r>
          </w:p>
        </w:tc>
        <w:tc>
          <w:tcPr>
            <w:tcW w:w="540" w:type="dxa"/>
            <w:hideMark/>
          </w:tcPr>
          <w:p w:rsidR="005A477D" w:rsidRPr="005B0796" w:rsidRDefault="005A477D" w:rsidP="008D06AC">
            <w:pPr>
              <w:pStyle w:val="TableText"/>
              <w:jc w:val="right"/>
              <w:rPr>
                <w:lang w:eastAsia="en-AU"/>
              </w:rPr>
            </w:pPr>
            <w:r w:rsidRPr="005B0796">
              <w:rPr>
                <w:lang w:eastAsia="en-AU"/>
              </w:rPr>
              <w:t>64.1</w:t>
            </w:r>
          </w:p>
        </w:tc>
        <w:tc>
          <w:tcPr>
            <w:tcW w:w="784" w:type="dxa"/>
            <w:hideMark/>
          </w:tcPr>
          <w:p w:rsidR="005A477D" w:rsidRPr="005B0796" w:rsidRDefault="005A477D" w:rsidP="008D06AC">
            <w:pPr>
              <w:pStyle w:val="TableText"/>
              <w:jc w:val="right"/>
              <w:rPr>
                <w:rFonts w:eastAsia="Times New Roman"/>
                <w:lang w:eastAsia="en-AU"/>
              </w:rPr>
            </w:pPr>
            <w:r w:rsidRPr="005B0796">
              <w:rPr>
                <w:lang w:eastAsia="en-AU"/>
              </w:rPr>
              <w:t>60.4, 67.6</w:t>
            </w:r>
          </w:p>
        </w:tc>
        <w:tc>
          <w:tcPr>
            <w:tcW w:w="746" w:type="dxa"/>
            <w:hideMark/>
          </w:tcPr>
          <w:p w:rsidR="005A477D" w:rsidRPr="005B0796" w:rsidRDefault="005A477D" w:rsidP="008D06AC">
            <w:pPr>
              <w:pStyle w:val="TableText"/>
              <w:jc w:val="right"/>
              <w:rPr>
                <w:rFonts w:eastAsia="Times New Roman"/>
                <w:lang w:eastAsia="en-AU"/>
              </w:rPr>
            </w:pPr>
            <w:r w:rsidRPr="005B0796">
              <w:rPr>
                <w:rFonts w:cs="Arial"/>
                <w:lang w:eastAsia="en-AU"/>
              </w:rPr>
              <w:t>32,543</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65.0</w:t>
            </w:r>
          </w:p>
        </w:tc>
        <w:tc>
          <w:tcPr>
            <w:tcW w:w="817" w:type="dxa"/>
            <w:hideMark/>
          </w:tcPr>
          <w:p w:rsidR="005A477D" w:rsidRPr="005B0796" w:rsidRDefault="005A477D" w:rsidP="008D06AC">
            <w:pPr>
              <w:pStyle w:val="TableText"/>
              <w:jc w:val="right"/>
              <w:rPr>
                <w:rFonts w:eastAsia="Times New Roman"/>
                <w:lang w:eastAsia="en-AU"/>
              </w:rPr>
            </w:pPr>
            <w:r w:rsidRPr="005B0796">
              <w:rPr>
                <w:lang w:eastAsia="en-AU"/>
              </w:rPr>
              <w:t>64.5, 65.6</w:t>
            </w:r>
          </w:p>
        </w:tc>
      </w:tr>
      <w:tr w:rsidR="008D06AC" w:rsidRPr="005B0796" w:rsidTr="009F76D4">
        <w:tc>
          <w:tcPr>
            <w:tcW w:w="1008" w:type="dxa"/>
            <w:hideMark/>
          </w:tcPr>
          <w:p w:rsidR="005A477D" w:rsidRPr="005B0796" w:rsidRDefault="005A477D" w:rsidP="008D06AC">
            <w:pPr>
              <w:pStyle w:val="TableText"/>
              <w:rPr>
                <w:rFonts w:eastAsia="GillSans"/>
                <w:lang w:eastAsia="en-AU"/>
              </w:rPr>
            </w:pPr>
            <w:r w:rsidRPr="005B0796">
              <w:rPr>
                <w:lang w:eastAsia="en-AU"/>
              </w:rPr>
              <w:t>Fairly easy</w:t>
            </w:r>
          </w:p>
        </w:tc>
        <w:tc>
          <w:tcPr>
            <w:tcW w:w="810" w:type="dxa"/>
            <w:hideMark/>
          </w:tcPr>
          <w:p w:rsidR="005A477D" w:rsidRPr="005B0796" w:rsidRDefault="005A477D" w:rsidP="008D06AC">
            <w:pPr>
              <w:pStyle w:val="TableText"/>
              <w:jc w:val="right"/>
              <w:rPr>
                <w:rFonts w:eastAsia="Times New Roman"/>
                <w:lang w:eastAsia="en-AU"/>
              </w:rPr>
            </w:pPr>
            <w:r w:rsidRPr="005B0796">
              <w:rPr>
                <w:lang w:eastAsia="en-AU"/>
              </w:rPr>
              <w:t>4209</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16.9</w:t>
            </w:r>
          </w:p>
        </w:tc>
        <w:tc>
          <w:tcPr>
            <w:tcW w:w="752" w:type="dxa"/>
            <w:hideMark/>
          </w:tcPr>
          <w:p w:rsidR="005A477D" w:rsidRPr="005B0796" w:rsidRDefault="005A477D" w:rsidP="008D06AC">
            <w:pPr>
              <w:pStyle w:val="TableText"/>
              <w:jc w:val="right"/>
              <w:rPr>
                <w:rFonts w:eastAsia="Times New Roman"/>
                <w:lang w:eastAsia="en-AU"/>
              </w:rPr>
            </w:pPr>
            <w:r w:rsidRPr="005B0796">
              <w:rPr>
                <w:lang w:eastAsia="en-AU"/>
              </w:rPr>
              <w:t>15.5, 18.4</w:t>
            </w:r>
          </w:p>
        </w:tc>
        <w:tc>
          <w:tcPr>
            <w:tcW w:w="778" w:type="dxa"/>
            <w:hideMark/>
          </w:tcPr>
          <w:p w:rsidR="005A477D" w:rsidRPr="005B0796" w:rsidRDefault="005A477D" w:rsidP="008D06AC">
            <w:pPr>
              <w:pStyle w:val="TableText"/>
              <w:jc w:val="right"/>
              <w:rPr>
                <w:rFonts w:eastAsia="Times New Roman"/>
                <w:lang w:eastAsia="en-AU"/>
              </w:rPr>
            </w:pPr>
            <w:r w:rsidRPr="005B0796">
              <w:rPr>
                <w:lang w:eastAsia="en-AU"/>
              </w:rPr>
              <w:t>8387</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15.9</w:t>
            </w:r>
          </w:p>
        </w:tc>
        <w:tc>
          <w:tcPr>
            <w:tcW w:w="784" w:type="dxa"/>
            <w:hideMark/>
          </w:tcPr>
          <w:p w:rsidR="005A477D" w:rsidRPr="005B0796" w:rsidRDefault="005A477D" w:rsidP="008D06AC">
            <w:pPr>
              <w:pStyle w:val="TableText"/>
              <w:jc w:val="right"/>
              <w:rPr>
                <w:rFonts w:eastAsia="Times New Roman"/>
                <w:lang w:eastAsia="en-AU"/>
              </w:rPr>
            </w:pPr>
            <w:r w:rsidRPr="005B0796">
              <w:rPr>
                <w:lang w:eastAsia="en-AU"/>
              </w:rPr>
              <w:t>13.6, 18.7</w:t>
            </w:r>
          </w:p>
        </w:tc>
        <w:tc>
          <w:tcPr>
            <w:tcW w:w="746" w:type="dxa"/>
            <w:hideMark/>
          </w:tcPr>
          <w:p w:rsidR="005A477D" w:rsidRPr="005B0796" w:rsidRDefault="005A477D" w:rsidP="008D06AC">
            <w:pPr>
              <w:pStyle w:val="TableText"/>
              <w:jc w:val="right"/>
              <w:rPr>
                <w:rFonts w:eastAsia="Times New Roman"/>
                <w:lang w:eastAsia="en-AU"/>
              </w:rPr>
            </w:pPr>
            <w:r w:rsidRPr="005B0796">
              <w:rPr>
                <w:rFonts w:cs="Arial"/>
                <w:lang w:eastAsia="en-AU"/>
              </w:rPr>
              <w:t>8296</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16.6</w:t>
            </w:r>
          </w:p>
        </w:tc>
        <w:tc>
          <w:tcPr>
            <w:tcW w:w="817" w:type="dxa"/>
            <w:hideMark/>
          </w:tcPr>
          <w:p w:rsidR="005A477D" w:rsidRPr="005B0796" w:rsidRDefault="005A477D" w:rsidP="008D06AC">
            <w:pPr>
              <w:pStyle w:val="TableText"/>
              <w:jc w:val="right"/>
              <w:rPr>
                <w:rFonts w:eastAsia="Times New Roman"/>
                <w:lang w:eastAsia="en-AU"/>
              </w:rPr>
            </w:pPr>
            <w:r w:rsidRPr="005B0796">
              <w:rPr>
                <w:lang w:eastAsia="en-AU"/>
              </w:rPr>
              <w:t>16.1, 17.0</w:t>
            </w:r>
          </w:p>
        </w:tc>
      </w:tr>
      <w:tr w:rsidR="009F76D4" w:rsidRPr="005B0796" w:rsidTr="009F76D4">
        <w:trPr>
          <w:cnfStyle w:val="000000100000" w:firstRow="0" w:lastRow="0" w:firstColumn="0" w:lastColumn="0" w:oddVBand="0" w:evenVBand="0" w:oddHBand="1" w:evenHBand="0" w:firstRowFirstColumn="0" w:firstRowLastColumn="0" w:lastRowFirstColumn="0" w:lastRowLastColumn="0"/>
        </w:trPr>
        <w:tc>
          <w:tcPr>
            <w:tcW w:w="1008" w:type="dxa"/>
            <w:hideMark/>
          </w:tcPr>
          <w:p w:rsidR="005A477D" w:rsidRPr="005B0796" w:rsidRDefault="005A477D" w:rsidP="008D06AC">
            <w:pPr>
              <w:pStyle w:val="TableText"/>
              <w:rPr>
                <w:rFonts w:eastAsia="GillSans"/>
                <w:lang w:eastAsia="en-AU"/>
              </w:rPr>
            </w:pPr>
            <w:r w:rsidRPr="005B0796">
              <w:rPr>
                <w:lang w:eastAsia="en-AU"/>
              </w:rPr>
              <w:t>Neither difficult or easy</w:t>
            </w:r>
          </w:p>
        </w:tc>
        <w:tc>
          <w:tcPr>
            <w:tcW w:w="810" w:type="dxa"/>
            <w:hideMark/>
          </w:tcPr>
          <w:p w:rsidR="005A477D" w:rsidRPr="005B0796" w:rsidRDefault="005A477D" w:rsidP="008D06AC">
            <w:pPr>
              <w:pStyle w:val="TableText"/>
              <w:jc w:val="right"/>
              <w:rPr>
                <w:rFonts w:eastAsia="Times New Roman"/>
                <w:lang w:eastAsia="en-AU"/>
              </w:rPr>
            </w:pPr>
            <w:r w:rsidRPr="005B0796">
              <w:rPr>
                <w:lang w:eastAsia="en-AU"/>
              </w:rPr>
              <w:t>2397</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9.6</w:t>
            </w:r>
          </w:p>
        </w:tc>
        <w:tc>
          <w:tcPr>
            <w:tcW w:w="752" w:type="dxa"/>
            <w:hideMark/>
          </w:tcPr>
          <w:p w:rsidR="005A477D" w:rsidRPr="005B0796" w:rsidRDefault="005A477D" w:rsidP="008D06AC">
            <w:pPr>
              <w:pStyle w:val="TableText"/>
              <w:jc w:val="right"/>
              <w:rPr>
                <w:rFonts w:eastAsia="Times New Roman"/>
                <w:lang w:eastAsia="en-AU"/>
              </w:rPr>
            </w:pPr>
            <w:r w:rsidRPr="005B0796">
              <w:rPr>
                <w:lang w:eastAsia="en-AU"/>
              </w:rPr>
              <w:t>8.5, 10.9</w:t>
            </w:r>
          </w:p>
        </w:tc>
        <w:tc>
          <w:tcPr>
            <w:tcW w:w="778" w:type="dxa"/>
            <w:hideMark/>
          </w:tcPr>
          <w:p w:rsidR="005A477D" w:rsidRPr="005B0796" w:rsidRDefault="005A477D" w:rsidP="008D06AC">
            <w:pPr>
              <w:pStyle w:val="TableText"/>
              <w:jc w:val="right"/>
              <w:rPr>
                <w:rFonts w:eastAsia="Times New Roman"/>
                <w:lang w:eastAsia="en-AU"/>
              </w:rPr>
            </w:pPr>
            <w:r w:rsidRPr="005B0796">
              <w:rPr>
                <w:lang w:eastAsia="en-AU"/>
              </w:rPr>
              <w:t>3086</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5.9</w:t>
            </w:r>
          </w:p>
        </w:tc>
        <w:tc>
          <w:tcPr>
            <w:tcW w:w="784" w:type="dxa"/>
            <w:hideMark/>
          </w:tcPr>
          <w:p w:rsidR="005A477D" w:rsidRPr="005B0796" w:rsidRDefault="005A477D" w:rsidP="008D06AC">
            <w:pPr>
              <w:pStyle w:val="TableText"/>
              <w:jc w:val="right"/>
              <w:rPr>
                <w:rFonts w:eastAsia="Times New Roman"/>
                <w:lang w:eastAsia="en-AU"/>
              </w:rPr>
            </w:pPr>
            <w:r w:rsidRPr="005B0796">
              <w:rPr>
                <w:lang w:eastAsia="en-AU"/>
              </w:rPr>
              <w:t>4.2, 8.2</w:t>
            </w:r>
          </w:p>
        </w:tc>
        <w:tc>
          <w:tcPr>
            <w:tcW w:w="746" w:type="dxa"/>
            <w:hideMark/>
          </w:tcPr>
          <w:p w:rsidR="005A477D" w:rsidRPr="005B0796" w:rsidRDefault="005A477D" w:rsidP="008D06AC">
            <w:pPr>
              <w:pStyle w:val="TableText"/>
              <w:jc w:val="right"/>
              <w:rPr>
                <w:rFonts w:eastAsia="Times New Roman"/>
                <w:lang w:eastAsia="en-AU"/>
              </w:rPr>
            </w:pPr>
            <w:r w:rsidRPr="005B0796">
              <w:rPr>
                <w:lang w:eastAsia="en-AU"/>
              </w:rPr>
              <w:t>3228</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6.4</w:t>
            </w:r>
          </w:p>
        </w:tc>
        <w:tc>
          <w:tcPr>
            <w:tcW w:w="817" w:type="dxa"/>
            <w:hideMark/>
          </w:tcPr>
          <w:p w:rsidR="005A477D" w:rsidRPr="005B0796" w:rsidRDefault="005A477D" w:rsidP="008D06AC">
            <w:pPr>
              <w:pStyle w:val="TableText"/>
              <w:jc w:val="right"/>
              <w:rPr>
                <w:rFonts w:eastAsia="Times New Roman"/>
                <w:lang w:eastAsia="en-AU"/>
              </w:rPr>
            </w:pPr>
            <w:r w:rsidRPr="005B0796">
              <w:rPr>
                <w:lang w:eastAsia="en-AU"/>
              </w:rPr>
              <w:t>6.2, 6.8</w:t>
            </w:r>
          </w:p>
        </w:tc>
      </w:tr>
      <w:tr w:rsidR="008D06AC" w:rsidRPr="005B0796" w:rsidTr="009F76D4">
        <w:tc>
          <w:tcPr>
            <w:tcW w:w="1008" w:type="dxa"/>
            <w:hideMark/>
          </w:tcPr>
          <w:p w:rsidR="005A477D" w:rsidRPr="005B0796" w:rsidRDefault="005A477D" w:rsidP="008D06AC">
            <w:pPr>
              <w:pStyle w:val="TableText"/>
              <w:rPr>
                <w:rFonts w:eastAsia="Times New Roman"/>
                <w:lang w:eastAsia="en-AU"/>
              </w:rPr>
            </w:pPr>
            <w:r w:rsidRPr="005B0796">
              <w:rPr>
                <w:lang w:eastAsia="en-AU"/>
              </w:rPr>
              <w:t xml:space="preserve">Fairly difficult </w:t>
            </w:r>
          </w:p>
        </w:tc>
        <w:tc>
          <w:tcPr>
            <w:tcW w:w="810" w:type="dxa"/>
            <w:hideMark/>
          </w:tcPr>
          <w:p w:rsidR="005A477D" w:rsidRPr="005B0796" w:rsidRDefault="005A477D" w:rsidP="008D06AC">
            <w:pPr>
              <w:pStyle w:val="TableText"/>
              <w:jc w:val="right"/>
              <w:rPr>
                <w:rFonts w:eastAsia="Times New Roman"/>
                <w:lang w:eastAsia="en-AU"/>
              </w:rPr>
            </w:pPr>
            <w:r w:rsidRPr="005B0796">
              <w:rPr>
                <w:lang w:eastAsia="en-AU"/>
              </w:rPr>
              <w:t>1364</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5.5</w:t>
            </w:r>
          </w:p>
        </w:tc>
        <w:tc>
          <w:tcPr>
            <w:tcW w:w="752" w:type="dxa"/>
            <w:hideMark/>
          </w:tcPr>
          <w:p w:rsidR="005A477D" w:rsidRPr="005B0796" w:rsidRDefault="005A477D" w:rsidP="008D06AC">
            <w:pPr>
              <w:pStyle w:val="TableText"/>
              <w:jc w:val="right"/>
              <w:rPr>
                <w:rFonts w:eastAsia="Times New Roman"/>
                <w:lang w:eastAsia="en-AU"/>
              </w:rPr>
            </w:pPr>
            <w:r w:rsidRPr="005B0796">
              <w:rPr>
                <w:lang w:eastAsia="en-AU"/>
              </w:rPr>
              <w:t>4.7, 6.4</w:t>
            </w:r>
          </w:p>
        </w:tc>
        <w:tc>
          <w:tcPr>
            <w:tcW w:w="778" w:type="dxa"/>
            <w:hideMark/>
          </w:tcPr>
          <w:p w:rsidR="005A477D" w:rsidRPr="005B0796" w:rsidRDefault="005A477D" w:rsidP="008D06AC">
            <w:pPr>
              <w:pStyle w:val="TableText"/>
              <w:jc w:val="right"/>
              <w:rPr>
                <w:rFonts w:eastAsia="Times New Roman"/>
                <w:lang w:eastAsia="en-AU"/>
              </w:rPr>
            </w:pPr>
            <w:r w:rsidRPr="005B0796">
              <w:rPr>
                <w:lang w:eastAsia="en-AU"/>
              </w:rPr>
              <w:t>1324</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2.5</w:t>
            </w:r>
          </w:p>
        </w:tc>
        <w:tc>
          <w:tcPr>
            <w:tcW w:w="784" w:type="dxa"/>
            <w:hideMark/>
          </w:tcPr>
          <w:p w:rsidR="005A477D" w:rsidRPr="005B0796" w:rsidRDefault="005A477D" w:rsidP="008D06AC">
            <w:pPr>
              <w:pStyle w:val="TableText"/>
              <w:jc w:val="right"/>
              <w:rPr>
                <w:rFonts w:eastAsia="Times New Roman"/>
                <w:lang w:eastAsia="en-AU"/>
              </w:rPr>
            </w:pPr>
            <w:r w:rsidRPr="005B0796">
              <w:rPr>
                <w:lang w:eastAsia="en-AU"/>
              </w:rPr>
              <w:t>1.5, 4.2</w:t>
            </w:r>
          </w:p>
        </w:tc>
        <w:tc>
          <w:tcPr>
            <w:tcW w:w="746" w:type="dxa"/>
            <w:hideMark/>
          </w:tcPr>
          <w:p w:rsidR="005A477D" w:rsidRPr="005B0796" w:rsidRDefault="005A477D" w:rsidP="008D06AC">
            <w:pPr>
              <w:pStyle w:val="TableText"/>
              <w:jc w:val="right"/>
              <w:rPr>
                <w:rFonts w:eastAsia="Times New Roman"/>
                <w:lang w:eastAsia="en-AU"/>
              </w:rPr>
            </w:pPr>
            <w:r w:rsidRPr="005B0796">
              <w:rPr>
                <w:lang w:eastAsia="en-AU"/>
              </w:rPr>
              <w:t>1057</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2.1</w:t>
            </w:r>
          </w:p>
        </w:tc>
        <w:tc>
          <w:tcPr>
            <w:tcW w:w="817" w:type="dxa"/>
            <w:hideMark/>
          </w:tcPr>
          <w:p w:rsidR="005A477D" w:rsidRPr="005B0796" w:rsidRDefault="005A477D" w:rsidP="008D06AC">
            <w:pPr>
              <w:pStyle w:val="TableText"/>
              <w:jc w:val="right"/>
              <w:rPr>
                <w:rFonts w:eastAsia="Times New Roman"/>
                <w:lang w:eastAsia="en-AU"/>
              </w:rPr>
            </w:pPr>
            <w:r w:rsidRPr="005B0796">
              <w:rPr>
                <w:lang w:eastAsia="en-AU"/>
              </w:rPr>
              <w:t>1.9, 2.3</w:t>
            </w:r>
          </w:p>
        </w:tc>
      </w:tr>
      <w:tr w:rsidR="008D06AC" w:rsidRPr="005B0796" w:rsidTr="009F76D4">
        <w:trPr>
          <w:cnfStyle w:val="010000000000" w:firstRow="0" w:lastRow="1" w:firstColumn="0" w:lastColumn="0" w:oddVBand="0" w:evenVBand="0" w:oddHBand="0" w:evenHBand="0" w:firstRowFirstColumn="0" w:firstRowLastColumn="0" w:lastRowFirstColumn="0" w:lastRowLastColumn="0"/>
        </w:trPr>
        <w:tc>
          <w:tcPr>
            <w:tcW w:w="1008" w:type="dxa"/>
            <w:hideMark/>
          </w:tcPr>
          <w:p w:rsidR="005A477D" w:rsidRPr="005B0796" w:rsidRDefault="005A477D" w:rsidP="008D06AC">
            <w:pPr>
              <w:pStyle w:val="TableText"/>
              <w:rPr>
                <w:rFonts w:eastAsia="Times New Roman"/>
                <w:lang w:eastAsia="en-AU"/>
              </w:rPr>
            </w:pPr>
            <w:r w:rsidRPr="005B0796">
              <w:rPr>
                <w:lang w:eastAsia="en-AU"/>
              </w:rPr>
              <w:t>Very difficult</w:t>
            </w:r>
          </w:p>
        </w:tc>
        <w:tc>
          <w:tcPr>
            <w:tcW w:w="810" w:type="dxa"/>
            <w:hideMark/>
          </w:tcPr>
          <w:p w:rsidR="005A477D" w:rsidRPr="005B0796" w:rsidRDefault="005A477D" w:rsidP="008D06AC">
            <w:pPr>
              <w:pStyle w:val="TableText"/>
              <w:jc w:val="right"/>
              <w:rPr>
                <w:rFonts w:eastAsia="Times New Roman"/>
                <w:lang w:eastAsia="en-AU"/>
              </w:rPr>
            </w:pPr>
            <w:r w:rsidRPr="005B0796">
              <w:rPr>
                <w:lang w:eastAsia="en-AU"/>
              </w:rPr>
              <w:t>746</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2.9</w:t>
            </w:r>
          </w:p>
        </w:tc>
        <w:tc>
          <w:tcPr>
            <w:tcW w:w="752" w:type="dxa"/>
            <w:hideMark/>
          </w:tcPr>
          <w:p w:rsidR="005A477D" w:rsidRPr="005B0796" w:rsidRDefault="005A477D" w:rsidP="008D06AC">
            <w:pPr>
              <w:pStyle w:val="TableText"/>
              <w:jc w:val="right"/>
              <w:rPr>
                <w:rFonts w:eastAsia="Times New Roman"/>
                <w:lang w:eastAsia="en-AU"/>
              </w:rPr>
            </w:pPr>
            <w:r w:rsidRPr="005B0796">
              <w:rPr>
                <w:lang w:eastAsia="en-AU"/>
              </w:rPr>
              <w:t>2.4, 3.7</w:t>
            </w:r>
          </w:p>
        </w:tc>
        <w:tc>
          <w:tcPr>
            <w:tcW w:w="778" w:type="dxa"/>
            <w:hideMark/>
          </w:tcPr>
          <w:p w:rsidR="005A477D" w:rsidRPr="005B0796" w:rsidRDefault="005A477D" w:rsidP="008D06AC">
            <w:pPr>
              <w:pStyle w:val="TableText"/>
              <w:jc w:val="right"/>
              <w:rPr>
                <w:rFonts w:eastAsia="Times New Roman"/>
                <w:lang w:eastAsia="en-AU"/>
              </w:rPr>
            </w:pPr>
            <w:r w:rsidRPr="005B0796">
              <w:rPr>
                <w:lang w:eastAsia="en-AU"/>
              </w:rPr>
              <w:t>128</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0.2</w:t>
            </w:r>
          </w:p>
        </w:tc>
        <w:tc>
          <w:tcPr>
            <w:tcW w:w="784" w:type="dxa"/>
            <w:hideMark/>
          </w:tcPr>
          <w:p w:rsidR="005A477D" w:rsidRPr="005B0796" w:rsidRDefault="005A477D" w:rsidP="008D06AC">
            <w:pPr>
              <w:pStyle w:val="TableText"/>
              <w:jc w:val="right"/>
              <w:rPr>
                <w:rFonts w:eastAsia="Times New Roman"/>
                <w:lang w:eastAsia="en-AU"/>
              </w:rPr>
            </w:pPr>
            <w:r w:rsidRPr="005B0796">
              <w:rPr>
                <w:lang w:eastAsia="en-AU"/>
              </w:rPr>
              <w:t>0.2, 0.4</w:t>
            </w:r>
          </w:p>
        </w:tc>
        <w:tc>
          <w:tcPr>
            <w:tcW w:w="746" w:type="dxa"/>
            <w:hideMark/>
          </w:tcPr>
          <w:p w:rsidR="005A477D" w:rsidRPr="005B0796" w:rsidRDefault="005A477D" w:rsidP="008D06AC">
            <w:pPr>
              <w:pStyle w:val="TableText"/>
              <w:jc w:val="right"/>
              <w:rPr>
                <w:rFonts w:eastAsia="Times New Roman"/>
                <w:lang w:eastAsia="en-AU"/>
              </w:rPr>
            </w:pPr>
            <w:r w:rsidRPr="005B0796">
              <w:rPr>
                <w:lang w:eastAsia="en-AU"/>
              </w:rPr>
              <w:t>213</w:t>
            </w:r>
          </w:p>
        </w:tc>
        <w:tc>
          <w:tcPr>
            <w:tcW w:w="540" w:type="dxa"/>
            <w:hideMark/>
          </w:tcPr>
          <w:p w:rsidR="005A477D" w:rsidRPr="005B0796" w:rsidRDefault="005A477D" w:rsidP="008D06AC">
            <w:pPr>
              <w:pStyle w:val="TableText"/>
              <w:jc w:val="right"/>
              <w:rPr>
                <w:rFonts w:eastAsia="Times New Roman"/>
                <w:lang w:eastAsia="en-AU"/>
              </w:rPr>
            </w:pPr>
            <w:r w:rsidRPr="005B0796">
              <w:rPr>
                <w:lang w:eastAsia="en-AU"/>
              </w:rPr>
              <w:t>0.4</w:t>
            </w:r>
          </w:p>
        </w:tc>
        <w:tc>
          <w:tcPr>
            <w:tcW w:w="817" w:type="dxa"/>
            <w:hideMark/>
          </w:tcPr>
          <w:p w:rsidR="005A477D" w:rsidRPr="005B0796" w:rsidRDefault="005A477D" w:rsidP="008D06AC">
            <w:pPr>
              <w:pStyle w:val="TableText"/>
              <w:jc w:val="right"/>
              <w:rPr>
                <w:rFonts w:eastAsia="Times New Roman"/>
                <w:lang w:eastAsia="en-AU"/>
              </w:rPr>
            </w:pPr>
            <w:r w:rsidRPr="005B0796">
              <w:rPr>
                <w:lang w:eastAsia="en-AU"/>
              </w:rPr>
              <w:t>0.3, 0.5</w:t>
            </w:r>
          </w:p>
        </w:tc>
      </w:tr>
    </w:tbl>
    <w:p w:rsidR="008D06AC" w:rsidRPr="005B0796" w:rsidRDefault="008D06AC" w:rsidP="008D06AC">
      <w:pPr>
        <w:pStyle w:val="TableNotes"/>
      </w:pPr>
      <w:r w:rsidRPr="005B0796">
        <w:t>* From the 2010 ADF Mental Health Prevalence and Wellbeing Study</w:t>
      </w:r>
    </w:p>
    <w:p w:rsidR="005A477D" w:rsidRPr="005B0796" w:rsidRDefault="008D06AC" w:rsidP="008D06AC">
      <w:pPr>
        <w:pStyle w:val="TableNotes"/>
      </w:pPr>
      <w:r w:rsidRPr="005B0796">
        <w:t xml:space="preserve">Note: 95% CI: 95% </w:t>
      </w:r>
      <w:r w:rsidR="00564689" w:rsidRPr="005B0796">
        <w:t>confidence interval</w:t>
      </w:r>
    </w:p>
    <w:p w:rsidR="005A477D" w:rsidRPr="005B0796" w:rsidRDefault="00846642" w:rsidP="00846642">
      <w:pPr>
        <w:pStyle w:val="FigureName"/>
      </w:pPr>
      <w:bookmarkStart w:id="993" w:name="_Toc487014401"/>
      <w:bookmarkStart w:id="994" w:name="_Toc51190057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11</w:t>
      </w:r>
      <w:r w:rsidR="00D30A3C">
        <w:rPr>
          <w:noProof/>
        </w:rPr>
        <w:fldChar w:fldCharType="end"/>
      </w:r>
      <w:r w:rsidR="00C01061">
        <w:tab/>
        <w:t xml:space="preserve">Estimated proportions </w:t>
      </w:r>
      <w:r w:rsidRPr="005B0796">
        <w:t>o</w:t>
      </w:r>
      <w:r w:rsidR="00C01061">
        <w:t>f</w:t>
      </w:r>
      <w:r w:rsidRPr="005B0796">
        <w:t xml:space="preserve"> Transitioned ADF, and 2010 and 2015 Regular ADF who anticipate difficulty reducing their alcohol intake over the next three months</w:t>
      </w:r>
      <w:bookmarkEnd w:id="993"/>
      <w:bookmarkEnd w:id="994"/>
    </w:p>
    <w:tbl>
      <w:tblPr>
        <w:tblW w:w="5000" w:type="pct"/>
        <w:tblLayout w:type="fixed"/>
        <w:tblCellMar>
          <w:left w:w="115" w:type="dxa"/>
          <w:right w:w="115" w:type="dxa"/>
        </w:tblCellMar>
        <w:tblLook w:val="04A0" w:firstRow="1" w:lastRow="0" w:firstColumn="1" w:lastColumn="0" w:noHBand="0" w:noVBand="1"/>
      </w:tblPr>
      <w:tblGrid>
        <w:gridCol w:w="7329"/>
      </w:tblGrid>
      <w:tr w:rsidR="005A477D" w:rsidRPr="005B0796" w:rsidTr="00846642">
        <w:trPr>
          <w:cantSplit/>
        </w:trPr>
        <w:tc>
          <w:tcPr>
            <w:tcW w:w="7315" w:type="dxa"/>
          </w:tcPr>
          <w:p w:rsidR="005A477D" w:rsidRPr="005B0796" w:rsidRDefault="005A477D" w:rsidP="00855912">
            <w:r w:rsidRPr="005B0796">
              <w:rPr>
                <w:noProof/>
                <w:lang w:eastAsia="en-AU"/>
              </w:rPr>
              <w:drawing>
                <wp:inline distT="0" distB="0" distL="0" distR="0" wp14:anchorId="0B94FAAF" wp14:editId="6D61B5FB">
                  <wp:extent cx="4572000" cy="2743200"/>
                  <wp:effectExtent l="0" t="0" r="0" b="0"/>
                  <wp:docPr id="71" name="Chart 71" descr="Figure 5.11 Estimated proportions for Transitioned ADF, and 2010 and 2015 Regular ADF who anticipate difficulty reducing their alcohol intake over the next three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r>
    </w:tbl>
    <w:p w:rsidR="005A477D" w:rsidRPr="005B0796" w:rsidRDefault="005A477D" w:rsidP="00846642">
      <w:pPr>
        <w:pStyle w:val="Heading3"/>
      </w:pPr>
      <w:bookmarkStart w:id="995" w:name="_Toc482021376"/>
      <w:bookmarkStart w:id="996" w:name="_Toc482024467"/>
      <w:bookmarkStart w:id="997" w:name="_Toc487011225"/>
      <w:bookmarkStart w:id="998" w:name="_Toc494449745"/>
      <w:bookmarkStart w:id="999" w:name="_Toc511900327"/>
      <w:r w:rsidRPr="005B0796">
        <w:t>Alcohol use and problem drinking in different transition population subgroups</w:t>
      </w:r>
      <w:bookmarkEnd w:id="995"/>
      <w:bookmarkEnd w:id="996"/>
      <w:bookmarkEnd w:id="997"/>
      <w:bookmarkEnd w:id="998"/>
      <w:bookmarkEnd w:id="999"/>
    </w:p>
    <w:p w:rsidR="005A477D" w:rsidRPr="005B0796" w:rsidRDefault="005A477D" w:rsidP="00846642">
      <w:pPr>
        <w:pStyle w:val="Heading4"/>
      </w:pPr>
      <w:r w:rsidRPr="005B0796">
        <w:t>Alcohol use and problem drinking in Transitioned ADF</w:t>
      </w:r>
      <w:r w:rsidR="00C01061">
        <w:t>,</w:t>
      </w:r>
      <w:r w:rsidR="00520FC8" w:rsidRPr="005B0796">
        <w:t xml:space="preserve"> </w:t>
      </w:r>
      <w:r w:rsidRPr="005B0796">
        <w:t>by transition status</w:t>
      </w:r>
    </w:p>
    <w:p w:rsidR="005A477D" w:rsidRPr="005B0796" w:rsidRDefault="009E72D3" w:rsidP="00846642">
      <w:r w:rsidRPr="005B0796">
        <w:t>Table 5.12</w:t>
      </w:r>
      <w:r w:rsidR="005A477D" w:rsidRPr="005B0796">
        <w:t xml:space="preserve"> and Figure 5.12 compare the AUDIT scoring bands in Ex-Serving, Inactive and Active Reservists who transitioned from the Regular ADF between 2010 and 2015.</w:t>
      </w:r>
    </w:p>
    <w:p w:rsidR="005A477D" w:rsidRPr="005B0796" w:rsidRDefault="005A477D" w:rsidP="00846642">
      <w:r w:rsidRPr="005B0796">
        <w:t>A comparison of transitioned Ex-Serving and Reservists showed Active Reservists had the lowest rates of self-reported alcohol use. Ex-Serving ADF and Inactive Reservists showed little difference. For example, Ex-Serving ADF members were significantly more likely to score above the AUDIT screening cut-off of eight than those who were in the Active Reserves (OR 2.58, 95% CI 2.11, 3.15) in 2015 but not the Inactive Reserves. Transitioned ADF members who were in the Inactive Reserves were also significantly more likely to score equal to or above the AUDIT screening cut-off of 8 than Active Reservists.</w:t>
      </w:r>
    </w:p>
    <w:p w:rsidR="00846642" w:rsidRPr="005B0796" w:rsidRDefault="00846642" w:rsidP="00846642">
      <w:pPr>
        <w:pStyle w:val="TableName"/>
      </w:pPr>
      <w:bookmarkStart w:id="1000" w:name="_Ref484523472"/>
      <w:bookmarkStart w:id="1001" w:name="_Toc487014313"/>
      <w:bookmarkStart w:id="1002" w:name="_Toc492995616"/>
      <w:bookmarkStart w:id="1003" w:name="_Toc51190046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12</w:t>
      </w:r>
      <w:r w:rsidR="00D30A3C">
        <w:rPr>
          <w:noProof/>
        </w:rPr>
        <w:fldChar w:fldCharType="end"/>
      </w:r>
      <w:bookmarkEnd w:id="1000"/>
      <w:r w:rsidR="00C01061">
        <w:tab/>
        <w:t xml:space="preserve">Estimated proportions </w:t>
      </w:r>
      <w:r w:rsidRPr="005B0796">
        <w:t>o</w:t>
      </w:r>
      <w:r w:rsidR="00C01061">
        <w:t>f</w:t>
      </w:r>
      <w:r w:rsidRPr="005B0796">
        <w:t xml:space="preserve"> Transitioned ADF, using AUDIT scoring bands, for problem alcohol use, by transition status</w:t>
      </w:r>
      <w:bookmarkEnd w:id="1001"/>
      <w:bookmarkEnd w:id="1002"/>
      <w:bookmarkEnd w:id="1003"/>
    </w:p>
    <w:tbl>
      <w:tblPr>
        <w:tblStyle w:val="TWRPTable"/>
        <w:tblW w:w="5000" w:type="pct"/>
        <w:tblLayout w:type="fixed"/>
        <w:tblLook w:val="01E0" w:firstRow="1" w:lastRow="1" w:firstColumn="1" w:lastColumn="1" w:noHBand="0" w:noVBand="0"/>
        <w:tblDescription w:val="Table 5.12 Estimated proportions for Transitioned ADF, using AUDIT scoring bands, for problem alcohol use, by transition status"/>
      </w:tblPr>
      <w:tblGrid>
        <w:gridCol w:w="1098"/>
        <w:gridCol w:w="810"/>
        <w:gridCol w:w="450"/>
        <w:gridCol w:w="812"/>
        <w:gridCol w:w="808"/>
        <w:gridCol w:w="450"/>
        <w:gridCol w:w="814"/>
        <w:gridCol w:w="806"/>
        <w:gridCol w:w="450"/>
        <w:gridCol w:w="817"/>
      </w:tblGrid>
      <w:tr w:rsidR="005A477D" w:rsidRPr="005B0796" w:rsidTr="00841F2B">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single" w:sz="4" w:space="0" w:color="000000"/>
              <w:bottom w:val="nil"/>
            </w:tcBorders>
          </w:tcPr>
          <w:p w:rsidR="005A477D" w:rsidRPr="005B0796" w:rsidRDefault="005A477D" w:rsidP="00846642">
            <w:pPr>
              <w:pStyle w:val="TableText"/>
              <w:rPr>
                <w:lang w:eastAsia="en-AU"/>
              </w:rPr>
            </w:pPr>
          </w:p>
        </w:tc>
        <w:tc>
          <w:tcPr>
            <w:tcW w:w="2072" w:type="dxa"/>
            <w:gridSpan w:val="3"/>
          </w:tcPr>
          <w:p w:rsidR="005A477D" w:rsidRPr="005B0796" w:rsidRDefault="005A477D" w:rsidP="00846642">
            <w:pPr>
              <w:pStyle w:val="TableText"/>
              <w:jc w:val="center"/>
              <w:rPr>
                <w:bCs/>
                <w:lang w:eastAsia="en-AU"/>
              </w:rPr>
            </w:pPr>
            <w:r w:rsidRPr="005B0796">
              <w:rPr>
                <w:bCs/>
                <w:lang w:eastAsia="en-AU"/>
              </w:rPr>
              <w:t>Ex-Serving</w:t>
            </w:r>
            <w:r w:rsidR="00846642" w:rsidRPr="005B0796">
              <w:rPr>
                <w:bCs/>
                <w:lang w:eastAsia="en-AU"/>
              </w:rPr>
              <w:br/>
              <w:t>(n = 11,440)</w:t>
            </w:r>
          </w:p>
        </w:tc>
        <w:tc>
          <w:tcPr>
            <w:tcW w:w="2072" w:type="dxa"/>
            <w:gridSpan w:val="3"/>
          </w:tcPr>
          <w:p w:rsidR="005A477D" w:rsidRPr="005B0796" w:rsidRDefault="005A477D" w:rsidP="00846642">
            <w:pPr>
              <w:pStyle w:val="TableText"/>
              <w:jc w:val="center"/>
              <w:rPr>
                <w:lang w:eastAsia="en-AU"/>
              </w:rPr>
            </w:pPr>
            <w:r w:rsidRPr="005B0796">
              <w:rPr>
                <w:bCs/>
                <w:lang w:eastAsia="en-AU"/>
              </w:rPr>
              <w:t xml:space="preserve">Inactive Reservist </w:t>
            </w:r>
            <w:r w:rsidRPr="005B0796">
              <w:rPr>
                <w:bCs/>
                <w:lang w:eastAsia="en-AU"/>
              </w:rPr>
              <w:br/>
              <w:t>(n = 6447)</w:t>
            </w:r>
          </w:p>
        </w:tc>
        <w:tc>
          <w:tcPr>
            <w:tcW w:w="2073" w:type="dxa"/>
            <w:gridSpan w:val="3"/>
          </w:tcPr>
          <w:p w:rsidR="005A477D" w:rsidRPr="005B0796" w:rsidRDefault="005A477D" w:rsidP="00846642">
            <w:pPr>
              <w:pStyle w:val="TableText"/>
              <w:jc w:val="center"/>
              <w:rPr>
                <w:bCs/>
                <w:lang w:eastAsia="en-AU"/>
              </w:rPr>
            </w:pPr>
            <w:r w:rsidRPr="005B0796">
              <w:rPr>
                <w:bCs/>
                <w:lang w:eastAsia="en-AU"/>
              </w:rPr>
              <w:t xml:space="preserve">Active Reservist </w:t>
            </w:r>
            <w:r w:rsidRPr="005B0796">
              <w:rPr>
                <w:bCs/>
                <w:lang w:eastAsia="en-AU"/>
              </w:rPr>
              <w:br/>
              <w:t>(n = 6968)</w:t>
            </w:r>
          </w:p>
        </w:tc>
      </w:tr>
      <w:tr w:rsidR="005A477D" w:rsidRPr="005B0796" w:rsidTr="00841F2B">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nil"/>
            </w:tcBorders>
          </w:tcPr>
          <w:p w:rsidR="005A477D" w:rsidRPr="005B0796" w:rsidRDefault="005A477D" w:rsidP="00846642">
            <w:pPr>
              <w:pStyle w:val="TableText"/>
              <w:rPr>
                <w:rFonts w:eastAsia="GillSans"/>
                <w:lang w:eastAsia="en-AU"/>
              </w:rPr>
            </w:pPr>
          </w:p>
        </w:tc>
        <w:tc>
          <w:tcPr>
            <w:tcW w:w="810" w:type="dxa"/>
            <w:hideMark/>
          </w:tcPr>
          <w:p w:rsidR="005A477D" w:rsidRPr="005B0796" w:rsidRDefault="005A477D" w:rsidP="00846642">
            <w:pPr>
              <w:pStyle w:val="TableText"/>
              <w:jc w:val="right"/>
              <w:rPr>
                <w:rFonts w:eastAsia="Times New Roman"/>
                <w:lang w:eastAsia="en-AU"/>
              </w:rPr>
            </w:pPr>
            <w:r w:rsidRPr="005B0796">
              <w:rPr>
                <w:lang w:eastAsia="en-AU"/>
              </w:rPr>
              <w:t>Weighted n</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w:t>
            </w:r>
          </w:p>
        </w:tc>
        <w:tc>
          <w:tcPr>
            <w:tcW w:w="812" w:type="dxa"/>
            <w:hideMark/>
          </w:tcPr>
          <w:p w:rsidR="005A477D" w:rsidRPr="005B0796" w:rsidRDefault="005A477D" w:rsidP="00846642">
            <w:pPr>
              <w:pStyle w:val="TableText"/>
              <w:jc w:val="right"/>
              <w:rPr>
                <w:lang w:eastAsia="en-AU"/>
              </w:rPr>
            </w:pPr>
            <w:r w:rsidRPr="005B0796">
              <w:rPr>
                <w:lang w:eastAsia="en-AU"/>
              </w:rPr>
              <w:t>95% CI</w:t>
            </w:r>
          </w:p>
        </w:tc>
        <w:tc>
          <w:tcPr>
            <w:tcW w:w="808" w:type="dxa"/>
            <w:hideMark/>
          </w:tcPr>
          <w:p w:rsidR="005A477D" w:rsidRPr="005B0796" w:rsidRDefault="005A477D" w:rsidP="00846642">
            <w:pPr>
              <w:pStyle w:val="TableText"/>
              <w:jc w:val="right"/>
              <w:rPr>
                <w:lang w:eastAsia="en-AU"/>
              </w:rPr>
            </w:pPr>
            <w:r w:rsidRPr="005B0796">
              <w:rPr>
                <w:lang w:eastAsia="en-AU"/>
              </w:rPr>
              <w:t>Weighted n</w:t>
            </w:r>
          </w:p>
        </w:tc>
        <w:tc>
          <w:tcPr>
            <w:tcW w:w="450" w:type="dxa"/>
            <w:hideMark/>
          </w:tcPr>
          <w:p w:rsidR="005A477D" w:rsidRPr="005B0796" w:rsidRDefault="005A477D" w:rsidP="00846642">
            <w:pPr>
              <w:pStyle w:val="TableText"/>
              <w:jc w:val="right"/>
              <w:rPr>
                <w:lang w:eastAsia="en-AU"/>
              </w:rPr>
            </w:pPr>
            <w:r w:rsidRPr="005B0796">
              <w:rPr>
                <w:lang w:eastAsia="en-AU"/>
              </w:rPr>
              <w:t>%</w:t>
            </w:r>
          </w:p>
        </w:tc>
        <w:tc>
          <w:tcPr>
            <w:tcW w:w="814" w:type="dxa"/>
            <w:hideMark/>
          </w:tcPr>
          <w:p w:rsidR="005A477D" w:rsidRPr="005B0796" w:rsidRDefault="005A477D" w:rsidP="00846642">
            <w:pPr>
              <w:pStyle w:val="TableText"/>
              <w:jc w:val="right"/>
              <w:rPr>
                <w:lang w:eastAsia="en-AU"/>
              </w:rPr>
            </w:pPr>
            <w:r w:rsidRPr="005B0796">
              <w:rPr>
                <w:lang w:eastAsia="en-AU"/>
              </w:rPr>
              <w:t xml:space="preserve"> 95% CI</w:t>
            </w:r>
          </w:p>
        </w:tc>
        <w:tc>
          <w:tcPr>
            <w:tcW w:w="806" w:type="dxa"/>
            <w:hideMark/>
          </w:tcPr>
          <w:p w:rsidR="005A477D" w:rsidRPr="005B0796" w:rsidRDefault="005A477D" w:rsidP="00846642">
            <w:pPr>
              <w:pStyle w:val="TableText"/>
              <w:jc w:val="right"/>
              <w:rPr>
                <w:lang w:eastAsia="en-AU"/>
              </w:rPr>
            </w:pPr>
            <w:r w:rsidRPr="005B0796">
              <w:rPr>
                <w:lang w:eastAsia="en-AU"/>
              </w:rPr>
              <w:t>Weighted n</w:t>
            </w:r>
          </w:p>
        </w:tc>
        <w:tc>
          <w:tcPr>
            <w:tcW w:w="450" w:type="dxa"/>
            <w:hideMark/>
          </w:tcPr>
          <w:p w:rsidR="005A477D" w:rsidRPr="005B0796" w:rsidRDefault="005A477D" w:rsidP="00846642">
            <w:pPr>
              <w:pStyle w:val="TableText"/>
              <w:jc w:val="right"/>
              <w:rPr>
                <w:lang w:eastAsia="en-AU"/>
              </w:rPr>
            </w:pPr>
            <w:r w:rsidRPr="005B0796">
              <w:rPr>
                <w:lang w:eastAsia="en-AU"/>
              </w:rPr>
              <w:t>%</w:t>
            </w:r>
          </w:p>
        </w:tc>
        <w:tc>
          <w:tcPr>
            <w:tcW w:w="817" w:type="dxa"/>
            <w:hideMark/>
          </w:tcPr>
          <w:p w:rsidR="005A477D" w:rsidRPr="005B0796" w:rsidRDefault="005A477D" w:rsidP="00846642">
            <w:pPr>
              <w:pStyle w:val="TableText"/>
              <w:jc w:val="right"/>
              <w:rPr>
                <w:lang w:eastAsia="en-AU"/>
              </w:rPr>
            </w:pPr>
            <w:r w:rsidRPr="005B0796">
              <w:rPr>
                <w:lang w:eastAsia="en-AU"/>
              </w:rPr>
              <w:t xml:space="preserve"> 95% CI</w:t>
            </w:r>
          </w:p>
        </w:tc>
      </w:tr>
      <w:tr w:rsidR="005A477D" w:rsidRPr="005B0796" w:rsidTr="00841F2B">
        <w:trPr>
          <w:cnfStyle w:val="000000100000" w:firstRow="0" w:lastRow="0" w:firstColumn="0" w:lastColumn="0" w:oddVBand="0" w:evenVBand="0" w:oddHBand="1" w:evenHBand="0" w:firstRowFirstColumn="0" w:firstRowLastColumn="0" w:lastRowFirstColumn="0" w:lastRowLastColumn="0"/>
        </w:trPr>
        <w:tc>
          <w:tcPr>
            <w:tcW w:w="1098" w:type="dxa"/>
            <w:hideMark/>
          </w:tcPr>
          <w:p w:rsidR="005A477D" w:rsidRPr="005B0796" w:rsidRDefault="005A477D" w:rsidP="00846642">
            <w:pPr>
              <w:pStyle w:val="TableText"/>
              <w:rPr>
                <w:rFonts w:eastAsia="Times New Roman"/>
                <w:lang w:eastAsia="en-AU"/>
              </w:rPr>
            </w:pPr>
            <w:r w:rsidRPr="005B0796">
              <w:rPr>
                <w:lang w:eastAsia="en-AU"/>
              </w:rPr>
              <w:t>Band I (0–7)</w:t>
            </w:r>
          </w:p>
        </w:tc>
        <w:tc>
          <w:tcPr>
            <w:tcW w:w="810" w:type="dxa"/>
            <w:hideMark/>
          </w:tcPr>
          <w:p w:rsidR="005A477D" w:rsidRPr="005B0796" w:rsidRDefault="005A477D" w:rsidP="00846642">
            <w:pPr>
              <w:pStyle w:val="TableText"/>
              <w:jc w:val="right"/>
              <w:rPr>
                <w:rFonts w:eastAsia="Times New Roman"/>
                <w:lang w:eastAsia="en-AU"/>
              </w:rPr>
            </w:pPr>
            <w:r w:rsidRPr="005B0796">
              <w:rPr>
                <w:lang w:eastAsia="en-AU"/>
              </w:rPr>
              <w:t>7088</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61.9</w:t>
            </w:r>
          </w:p>
        </w:tc>
        <w:tc>
          <w:tcPr>
            <w:tcW w:w="812" w:type="dxa"/>
            <w:hideMark/>
          </w:tcPr>
          <w:p w:rsidR="005A477D" w:rsidRPr="005B0796" w:rsidRDefault="005A477D" w:rsidP="00846642">
            <w:pPr>
              <w:pStyle w:val="TableText"/>
              <w:jc w:val="right"/>
              <w:rPr>
                <w:rFonts w:eastAsia="Times New Roman"/>
                <w:lang w:eastAsia="en-AU"/>
              </w:rPr>
            </w:pPr>
            <w:r w:rsidRPr="005B0796">
              <w:rPr>
                <w:lang w:eastAsia="en-AU"/>
              </w:rPr>
              <w:t>58.9, 64.9</w:t>
            </w:r>
          </w:p>
        </w:tc>
        <w:tc>
          <w:tcPr>
            <w:tcW w:w="808" w:type="dxa"/>
            <w:hideMark/>
          </w:tcPr>
          <w:p w:rsidR="005A477D" w:rsidRPr="005B0796" w:rsidRDefault="005A477D" w:rsidP="00846642">
            <w:pPr>
              <w:pStyle w:val="TableText"/>
              <w:jc w:val="right"/>
              <w:rPr>
                <w:rFonts w:eastAsia="Times New Roman"/>
                <w:lang w:eastAsia="en-AU"/>
              </w:rPr>
            </w:pPr>
            <w:r w:rsidRPr="005B0796">
              <w:rPr>
                <w:lang w:eastAsia="en-AU"/>
              </w:rPr>
              <w:t>4075</w:t>
            </w:r>
          </w:p>
        </w:tc>
        <w:tc>
          <w:tcPr>
            <w:tcW w:w="450" w:type="dxa"/>
            <w:hideMark/>
          </w:tcPr>
          <w:p w:rsidR="005A477D" w:rsidRPr="005B0796" w:rsidRDefault="005A477D" w:rsidP="00846642">
            <w:pPr>
              <w:pStyle w:val="TableText"/>
              <w:jc w:val="right"/>
              <w:rPr>
                <w:lang w:eastAsia="en-AU"/>
              </w:rPr>
            </w:pPr>
            <w:r w:rsidRPr="005B0796">
              <w:rPr>
                <w:lang w:eastAsia="en-AU"/>
              </w:rPr>
              <w:t>63.2</w:t>
            </w:r>
          </w:p>
        </w:tc>
        <w:tc>
          <w:tcPr>
            <w:tcW w:w="814" w:type="dxa"/>
            <w:hideMark/>
          </w:tcPr>
          <w:p w:rsidR="005A477D" w:rsidRPr="005B0796" w:rsidRDefault="005A477D" w:rsidP="00846642">
            <w:pPr>
              <w:pStyle w:val="TableText"/>
              <w:jc w:val="right"/>
              <w:rPr>
                <w:rFonts w:eastAsia="Times New Roman"/>
                <w:lang w:eastAsia="en-AU"/>
              </w:rPr>
            </w:pPr>
            <w:r w:rsidRPr="005B0796">
              <w:rPr>
                <w:lang w:eastAsia="en-AU"/>
              </w:rPr>
              <w:t>59.5, 66.8</w:t>
            </w:r>
          </w:p>
        </w:tc>
        <w:tc>
          <w:tcPr>
            <w:tcW w:w="806" w:type="dxa"/>
            <w:hideMark/>
          </w:tcPr>
          <w:p w:rsidR="005A477D" w:rsidRPr="005B0796" w:rsidRDefault="005A477D" w:rsidP="00846642">
            <w:pPr>
              <w:pStyle w:val="TableText"/>
              <w:jc w:val="right"/>
              <w:rPr>
                <w:rFonts w:eastAsia="Times New Roman"/>
                <w:lang w:eastAsia="en-AU"/>
              </w:rPr>
            </w:pPr>
            <w:r w:rsidRPr="005B0796">
              <w:rPr>
                <w:lang w:eastAsia="en-AU"/>
              </w:rPr>
              <w:t>5037</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72.3</w:t>
            </w:r>
          </w:p>
        </w:tc>
        <w:tc>
          <w:tcPr>
            <w:tcW w:w="817" w:type="dxa"/>
            <w:hideMark/>
          </w:tcPr>
          <w:p w:rsidR="005A477D" w:rsidRPr="005B0796" w:rsidRDefault="005A477D" w:rsidP="00846642">
            <w:pPr>
              <w:pStyle w:val="TableText"/>
              <w:jc w:val="right"/>
              <w:rPr>
                <w:rFonts w:eastAsia="Times New Roman"/>
                <w:lang w:eastAsia="en-AU"/>
              </w:rPr>
            </w:pPr>
            <w:r w:rsidRPr="005B0796">
              <w:rPr>
                <w:lang w:eastAsia="en-AU"/>
              </w:rPr>
              <w:t>69.2, 75.2</w:t>
            </w:r>
          </w:p>
        </w:tc>
      </w:tr>
      <w:tr w:rsidR="005A477D" w:rsidRPr="005B0796" w:rsidTr="00841F2B">
        <w:tc>
          <w:tcPr>
            <w:tcW w:w="1098" w:type="dxa"/>
            <w:hideMark/>
          </w:tcPr>
          <w:p w:rsidR="005A477D" w:rsidRPr="005B0796" w:rsidRDefault="005A477D" w:rsidP="00846642">
            <w:pPr>
              <w:pStyle w:val="TableText"/>
              <w:rPr>
                <w:rFonts w:eastAsia="GillSans"/>
                <w:lang w:eastAsia="en-AU"/>
              </w:rPr>
            </w:pPr>
            <w:r w:rsidRPr="005B0796">
              <w:rPr>
                <w:lang w:eastAsia="en-AU"/>
              </w:rPr>
              <w:t>Band 2 (8–15)</w:t>
            </w:r>
          </w:p>
        </w:tc>
        <w:tc>
          <w:tcPr>
            <w:tcW w:w="810" w:type="dxa"/>
            <w:hideMark/>
          </w:tcPr>
          <w:p w:rsidR="005A477D" w:rsidRPr="005B0796" w:rsidRDefault="005A477D" w:rsidP="00846642">
            <w:pPr>
              <w:pStyle w:val="TableText"/>
              <w:jc w:val="right"/>
              <w:rPr>
                <w:rFonts w:eastAsia="Times New Roman"/>
                <w:lang w:eastAsia="en-AU"/>
              </w:rPr>
            </w:pPr>
            <w:r w:rsidRPr="005B0796">
              <w:rPr>
                <w:lang w:eastAsia="en-AU"/>
              </w:rPr>
              <w:t>2511</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21.9</w:t>
            </w:r>
          </w:p>
        </w:tc>
        <w:tc>
          <w:tcPr>
            <w:tcW w:w="812" w:type="dxa"/>
            <w:hideMark/>
          </w:tcPr>
          <w:p w:rsidR="005A477D" w:rsidRPr="005B0796" w:rsidRDefault="005A477D" w:rsidP="00846642">
            <w:pPr>
              <w:pStyle w:val="TableText"/>
              <w:jc w:val="right"/>
              <w:rPr>
                <w:rFonts w:eastAsia="Times New Roman"/>
                <w:lang w:eastAsia="en-AU"/>
              </w:rPr>
            </w:pPr>
            <w:r w:rsidRPr="005B0796">
              <w:rPr>
                <w:lang w:eastAsia="en-AU"/>
              </w:rPr>
              <w:t>19.5, 24.6</w:t>
            </w:r>
          </w:p>
        </w:tc>
        <w:tc>
          <w:tcPr>
            <w:tcW w:w="808" w:type="dxa"/>
            <w:hideMark/>
          </w:tcPr>
          <w:p w:rsidR="005A477D" w:rsidRPr="005B0796" w:rsidRDefault="005A477D" w:rsidP="00846642">
            <w:pPr>
              <w:pStyle w:val="TableText"/>
              <w:jc w:val="right"/>
              <w:rPr>
                <w:rFonts w:eastAsia="Times New Roman"/>
                <w:lang w:eastAsia="en-AU"/>
              </w:rPr>
            </w:pPr>
            <w:r w:rsidRPr="005B0796">
              <w:rPr>
                <w:lang w:eastAsia="en-AU"/>
              </w:rPr>
              <w:t>1573</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24.4</w:t>
            </w:r>
          </w:p>
        </w:tc>
        <w:tc>
          <w:tcPr>
            <w:tcW w:w="814" w:type="dxa"/>
            <w:hideMark/>
          </w:tcPr>
          <w:p w:rsidR="005A477D" w:rsidRPr="005B0796" w:rsidRDefault="005A477D" w:rsidP="00846642">
            <w:pPr>
              <w:pStyle w:val="TableText"/>
              <w:jc w:val="right"/>
              <w:rPr>
                <w:rFonts w:eastAsia="Times New Roman"/>
                <w:lang w:eastAsia="en-AU"/>
              </w:rPr>
            </w:pPr>
            <w:r w:rsidRPr="005B0796">
              <w:rPr>
                <w:lang w:eastAsia="en-AU"/>
              </w:rPr>
              <w:t>21.3, 27.9</w:t>
            </w:r>
          </w:p>
        </w:tc>
        <w:tc>
          <w:tcPr>
            <w:tcW w:w="806" w:type="dxa"/>
            <w:hideMark/>
          </w:tcPr>
          <w:p w:rsidR="005A477D" w:rsidRPr="005B0796" w:rsidRDefault="005A477D" w:rsidP="00846642">
            <w:pPr>
              <w:pStyle w:val="TableText"/>
              <w:jc w:val="right"/>
              <w:rPr>
                <w:rFonts w:eastAsia="Times New Roman"/>
                <w:lang w:eastAsia="en-AU"/>
              </w:rPr>
            </w:pPr>
            <w:r w:rsidRPr="005B0796">
              <w:rPr>
                <w:lang w:eastAsia="en-AU"/>
              </w:rPr>
              <w:t>1468</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21.1</w:t>
            </w:r>
          </w:p>
        </w:tc>
        <w:tc>
          <w:tcPr>
            <w:tcW w:w="817" w:type="dxa"/>
            <w:hideMark/>
          </w:tcPr>
          <w:p w:rsidR="005A477D" w:rsidRPr="005B0796" w:rsidRDefault="005A477D" w:rsidP="00846642">
            <w:pPr>
              <w:pStyle w:val="TableText"/>
              <w:jc w:val="right"/>
              <w:rPr>
                <w:rFonts w:eastAsia="Times New Roman"/>
                <w:lang w:eastAsia="en-AU"/>
              </w:rPr>
            </w:pPr>
            <w:r w:rsidRPr="005B0796">
              <w:rPr>
                <w:lang w:eastAsia="en-AU"/>
              </w:rPr>
              <w:t>18.4, 23.9</w:t>
            </w:r>
          </w:p>
        </w:tc>
      </w:tr>
      <w:tr w:rsidR="005A477D" w:rsidRPr="005B0796" w:rsidTr="00841F2B">
        <w:trPr>
          <w:cnfStyle w:val="000000100000" w:firstRow="0" w:lastRow="0" w:firstColumn="0" w:lastColumn="0" w:oddVBand="0" w:evenVBand="0" w:oddHBand="1" w:evenHBand="0" w:firstRowFirstColumn="0" w:firstRowLastColumn="0" w:lastRowFirstColumn="0" w:lastRowLastColumn="0"/>
        </w:trPr>
        <w:tc>
          <w:tcPr>
            <w:tcW w:w="1098" w:type="dxa"/>
            <w:hideMark/>
          </w:tcPr>
          <w:p w:rsidR="005A477D" w:rsidRPr="005B0796" w:rsidRDefault="005A477D" w:rsidP="00846642">
            <w:pPr>
              <w:pStyle w:val="TableText"/>
              <w:rPr>
                <w:rFonts w:eastAsia="GillSans"/>
                <w:lang w:eastAsia="en-AU"/>
              </w:rPr>
            </w:pPr>
            <w:r w:rsidRPr="005B0796">
              <w:rPr>
                <w:lang w:eastAsia="en-AU"/>
              </w:rPr>
              <w:t>Band 3 (16–19)</w:t>
            </w:r>
          </w:p>
        </w:tc>
        <w:tc>
          <w:tcPr>
            <w:tcW w:w="810" w:type="dxa"/>
            <w:hideMark/>
          </w:tcPr>
          <w:p w:rsidR="005A477D" w:rsidRPr="005B0796" w:rsidRDefault="005A477D" w:rsidP="00846642">
            <w:pPr>
              <w:pStyle w:val="TableText"/>
              <w:jc w:val="right"/>
              <w:rPr>
                <w:rFonts w:eastAsia="Times New Roman"/>
                <w:lang w:eastAsia="en-AU"/>
              </w:rPr>
            </w:pPr>
            <w:r w:rsidRPr="005B0796">
              <w:rPr>
                <w:lang w:eastAsia="en-AU"/>
              </w:rPr>
              <w:t>620</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5.4</w:t>
            </w:r>
          </w:p>
        </w:tc>
        <w:tc>
          <w:tcPr>
            <w:tcW w:w="812" w:type="dxa"/>
            <w:hideMark/>
          </w:tcPr>
          <w:p w:rsidR="005A477D" w:rsidRPr="005B0796" w:rsidRDefault="005A477D" w:rsidP="00846642">
            <w:pPr>
              <w:pStyle w:val="TableText"/>
              <w:jc w:val="right"/>
              <w:rPr>
                <w:rFonts w:eastAsia="Times New Roman"/>
                <w:lang w:eastAsia="en-AU"/>
              </w:rPr>
            </w:pPr>
            <w:r w:rsidRPr="005B0796">
              <w:rPr>
                <w:lang w:eastAsia="en-AU"/>
              </w:rPr>
              <w:t>4.2, 6.9</w:t>
            </w:r>
          </w:p>
        </w:tc>
        <w:tc>
          <w:tcPr>
            <w:tcW w:w="808" w:type="dxa"/>
            <w:hideMark/>
          </w:tcPr>
          <w:p w:rsidR="005A477D" w:rsidRPr="005B0796" w:rsidRDefault="005A477D" w:rsidP="00846642">
            <w:pPr>
              <w:pStyle w:val="TableText"/>
              <w:jc w:val="right"/>
              <w:rPr>
                <w:rFonts w:eastAsia="Times New Roman"/>
                <w:lang w:eastAsia="en-AU"/>
              </w:rPr>
            </w:pPr>
            <w:r w:rsidRPr="005B0796">
              <w:rPr>
                <w:lang w:eastAsia="en-AU"/>
              </w:rPr>
              <w:t>339</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5.3</w:t>
            </w:r>
          </w:p>
        </w:tc>
        <w:tc>
          <w:tcPr>
            <w:tcW w:w="814" w:type="dxa"/>
            <w:hideMark/>
          </w:tcPr>
          <w:p w:rsidR="005A477D" w:rsidRPr="005B0796" w:rsidRDefault="005A477D" w:rsidP="00846642">
            <w:pPr>
              <w:pStyle w:val="TableText"/>
              <w:jc w:val="right"/>
              <w:rPr>
                <w:rFonts w:eastAsia="Times New Roman"/>
                <w:lang w:eastAsia="en-AU"/>
              </w:rPr>
            </w:pPr>
            <w:r w:rsidRPr="005B0796">
              <w:rPr>
                <w:lang w:eastAsia="en-AU"/>
              </w:rPr>
              <w:t>3.8, 7.3</w:t>
            </w:r>
          </w:p>
        </w:tc>
        <w:tc>
          <w:tcPr>
            <w:tcW w:w="806" w:type="dxa"/>
            <w:hideMark/>
          </w:tcPr>
          <w:p w:rsidR="005A477D" w:rsidRPr="005B0796" w:rsidRDefault="005A477D" w:rsidP="00846642">
            <w:pPr>
              <w:pStyle w:val="TableText"/>
              <w:jc w:val="right"/>
              <w:rPr>
                <w:rFonts w:eastAsia="Times New Roman"/>
                <w:lang w:eastAsia="en-AU"/>
              </w:rPr>
            </w:pPr>
            <w:r w:rsidRPr="005B0796">
              <w:rPr>
                <w:lang w:eastAsia="en-AU"/>
              </w:rPr>
              <w:t>200</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2.9</w:t>
            </w:r>
          </w:p>
        </w:tc>
        <w:tc>
          <w:tcPr>
            <w:tcW w:w="817" w:type="dxa"/>
            <w:hideMark/>
          </w:tcPr>
          <w:p w:rsidR="005A477D" w:rsidRPr="005B0796" w:rsidRDefault="005A477D" w:rsidP="00846642">
            <w:pPr>
              <w:pStyle w:val="TableText"/>
              <w:jc w:val="right"/>
              <w:rPr>
                <w:rFonts w:eastAsia="Times New Roman"/>
                <w:lang w:eastAsia="en-AU"/>
              </w:rPr>
            </w:pPr>
            <w:r w:rsidRPr="005B0796">
              <w:rPr>
                <w:lang w:eastAsia="en-AU"/>
              </w:rPr>
              <w:t>1.9, 4.4</w:t>
            </w:r>
          </w:p>
        </w:tc>
      </w:tr>
      <w:tr w:rsidR="005A477D" w:rsidRPr="005B0796" w:rsidTr="00841F2B">
        <w:trPr>
          <w:cnfStyle w:val="010000000000" w:firstRow="0" w:lastRow="1" w:firstColumn="0" w:lastColumn="0" w:oddVBand="0" w:evenVBand="0" w:oddHBand="0" w:evenHBand="0" w:firstRowFirstColumn="0" w:firstRowLastColumn="0" w:lastRowFirstColumn="0" w:lastRowLastColumn="0"/>
        </w:trPr>
        <w:tc>
          <w:tcPr>
            <w:tcW w:w="1098" w:type="dxa"/>
            <w:hideMark/>
          </w:tcPr>
          <w:p w:rsidR="005A477D" w:rsidRPr="005B0796" w:rsidRDefault="005A477D" w:rsidP="00846642">
            <w:pPr>
              <w:pStyle w:val="TableText"/>
              <w:rPr>
                <w:rFonts w:eastAsia="Times New Roman"/>
                <w:lang w:eastAsia="en-AU"/>
              </w:rPr>
            </w:pPr>
            <w:r w:rsidRPr="005B0796">
              <w:rPr>
                <w:lang w:eastAsia="en-AU"/>
              </w:rPr>
              <w:t>Band 4 (20–40)</w:t>
            </w:r>
          </w:p>
        </w:tc>
        <w:tc>
          <w:tcPr>
            <w:tcW w:w="810" w:type="dxa"/>
            <w:hideMark/>
          </w:tcPr>
          <w:p w:rsidR="005A477D" w:rsidRPr="005B0796" w:rsidRDefault="005A477D" w:rsidP="00846642">
            <w:pPr>
              <w:pStyle w:val="TableText"/>
              <w:jc w:val="right"/>
              <w:rPr>
                <w:rFonts w:eastAsia="Times New Roman"/>
                <w:lang w:eastAsia="en-AU"/>
              </w:rPr>
            </w:pPr>
            <w:r w:rsidRPr="005B0796">
              <w:rPr>
                <w:lang w:eastAsia="en-AU"/>
              </w:rPr>
              <w:t>1044</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9.1</w:t>
            </w:r>
          </w:p>
        </w:tc>
        <w:tc>
          <w:tcPr>
            <w:tcW w:w="812" w:type="dxa"/>
            <w:hideMark/>
          </w:tcPr>
          <w:p w:rsidR="005A477D" w:rsidRPr="005B0796" w:rsidRDefault="005A477D" w:rsidP="00846642">
            <w:pPr>
              <w:pStyle w:val="TableText"/>
              <w:jc w:val="right"/>
              <w:rPr>
                <w:rFonts w:eastAsia="Times New Roman"/>
                <w:lang w:eastAsia="en-AU"/>
              </w:rPr>
            </w:pPr>
            <w:r w:rsidRPr="005B0796">
              <w:rPr>
                <w:lang w:eastAsia="en-AU"/>
              </w:rPr>
              <w:t>7.6, 10.9</w:t>
            </w:r>
          </w:p>
        </w:tc>
        <w:tc>
          <w:tcPr>
            <w:tcW w:w="808" w:type="dxa"/>
            <w:hideMark/>
          </w:tcPr>
          <w:p w:rsidR="005A477D" w:rsidRPr="005B0796" w:rsidRDefault="005A477D" w:rsidP="00846642">
            <w:pPr>
              <w:pStyle w:val="TableText"/>
              <w:jc w:val="right"/>
              <w:rPr>
                <w:rFonts w:eastAsia="Times New Roman"/>
                <w:lang w:eastAsia="en-AU"/>
              </w:rPr>
            </w:pPr>
            <w:r w:rsidRPr="005B0796">
              <w:rPr>
                <w:lang w:eastAsia="en-AU"/>
              </w:rPr>
              <w:t>369</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5.7</w:t>
            </w:r>
          </w:p>
        </w:tc>
        <w:tc>
          <w:tcPr>
            <w:tcW w:w="814" w:type="dxa"/>
            <w:hideMark/>
          </w:tcPr>
          <w:p w:rsidR="005A477D" w:rsidRPr="005B0796" w:rsidRDefault="005A477D" w:rsidP="00846642">
            <w:pPr>
              <w:pStyle w:val="TableText"/>
              <w:jc w:val="right"/>
              <w:rPr>
                <w:rFonts w:eastAsia="Times New Roman"/>
                <w:lang w:eastAsia="en-AU"/>
              </w:rPr>
            </w:pPr>
            <w:r w:rsidRPr="005B0796">
              <w:rPr>
                <w:lang w:eastAsia="en-AU"/>
              </w:rPr>
              <w:t>4.2, 7.8</w:t>
            </w:r>
          </w:p>
        </w:tc>
        <w:tc>
          <w:tcPr>
            <w:tcW w:w="806" w:type="dxa"/>
            <w:hideMark/>
          </w:tcPr>
          <w:p w:rsidR="005A477D" w:rsidRPr="005B0796" w:rsidRDefault="005A477D" w:rsidP="00846642">
            <w:pPr>
              <w:pStyle w:val="TableText"/>
              <w:jc w:val="right"/>
              <w:rPr>
                <w:rFonts w:eastAsia="Times New Roman"/>
                <w:lang w:eastAsia="en-AU"/>
              </w:rPr>
            </w:pPr>
            <w:r w:rsidRPr="005B0796">
              <w:rPr>
                <w:lang w:eastAsia="en-AU"/>
              </w:rPr>
              <w:t>209</w:t>
            </w:r>
          </w:p>
        </w:tc>
        <w:tc>
          <w:tcPr>
            <w:tcW w:w="450" w:type="dxa"/>
            <w:hideMark/>
          </w:tcPr>
          <w:p w:rsidR="005A477D" w:rsidRPr="005B0796" w:rsidRDefault="005A477D" w:rsidP="00846642">
            <w:pPr>
              <w:pStyle w:val="TableText"/>
              <w:jc w:val="right"/>
              <w:rPr>
                <w:rFonts w:eastAsia="Times New Roman"/>
                <w:lang w:eastAsia="en-AU"/>
              </w:rPr>
            </w:pPr>
            <w:r w:rsidRPr="005B0796">
              <w:rPr>
                <w:lang w:eastAsia="en-AU"/>
              </w:rPr>
              <w:t>3.0</w:t>
            </w:r>
          </w:p>
        </w:tc>
        <w:tc>
          <w:tcPr>
            <w:tcW w:w="817" w:type="dxa"/>
            <w:hideMark/>
          </w:tcPr>
          <w:p w:rsidR="005A477D" w:rsidRPr="005B0796" w:rsidRDefault="005A477D" w:rsidP="00846642">
            <w:pPr>
              <w:pStyle w:val="TableText"/>
              <w:jc w:val="right"/>
              <w:rPr>
                <w:rFonts w:eastAsia="Times New Roman"/>
                <w:lang w:eastAsia="en-AU"/>
              </w:rPr>
            </w:pPr>
            <w:r w:rsidRPr="005B0796">
              <w:rPr>
                <w:lang w:eastAsia="en-AU"/>
              </w:rPr>
              <w:t>2.0, 4.4</w:t>
            </w:r>
          </w:p>
        </w:tc>
      </w:tr>
    </w:tbl>
    <w:p w:rsidR="005A477D" w:rsidRPr="005B0796" w:rsidRDefault="00846642" w:rsidP="00846642">
      <w:pPr>
        <w:pStyle w:val="TableNotes"/>
      </w:pPr>
      <w:r w:rsidRPr="005B0796">
        <w:t xml:space="preserve">Note: 95% CI: 95% </w:t>
      </w:r>
      <w:r w:rsidR="00564689" w:rsidRPr="005B0796">
        <w:t>confidence interval</w:t>
      </w:r>
    </w:p>
    <w:p w:rsidR="005A477D" w:rsidRPr="005B0796" w:rsidRDefault="00DB5776" w:rsidP="00DB5776">
      <w:pPr>
        <w:pStyle w:val="FigureName"/>
      </w:pPr>
      <w:bookmarkStart w:id="1004" w:name="_Toc487014402"/>
      <w:bookmarkStart w:id="1005" w:name="_Toc51190057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12</w:t>
      </w:r>
      <w:r w:rsidR="00D30A3C">
        <w:rPr>
          <w:noProof/>
        </w:rPr>
        <w:fldChar w:fldCharType="end"/>
      </w:r>
      <w:r w:rsidR="00C01061">
        <w:tab/>
        <w:t xml:space="preserve">Estimated proportions </w:t>
      </w:r>
      <w:r w:rsidRPr="005B0796">
        <w:t>o</w:t>
      </w:r>
      <w:r w:rsidR="00C01061">
        <w:t>f</w:t>
      </w:r>
      <w:r w:rsidRPr="005B0796">
        <w:t xml:space="preserve"> Transitioned ADF, using AUDIT scoring bands, for problem alcohol use, by transition status</w:t>
      </w:r>
      <w:bookmarkEnd w:id="1004"/>
      <w:bookmarkEnd w:id="1005"/>
    </w:p>
    <w:tbl>
      <w:tblPr>
        <w:tblW w:w="5000" w:type="pct"/>
        <w:tblLayout w:type="fixed"/>
        <w:tblCellMar>
          <w:left w:w="115" w:type="dxa"/>
          <w:right w:w="115" w:type="dxa"/>
        </w:tblCellMar>
        <w:tblLook w:val="04A0" w:firstRow="1" w:lastRow="0" w:firstColumn="1" w:lastColumn="0" w:noHBand="0" w:noVBand="1"/>
      </w:tblPr>
      <w:tblGrid>
        <w:gridCol w:w="7329"/>
      </w:tblGrid>
      <w:tr w:rsidR="005A477D" w:rsidRPr="005B0796" w:rsidTr="00DB5776">
        <w:trPr>
          <w:cantSplit/>
        </w:trPr>
        <w:tc>
          <w:tcPr>
            <w:tcW w:w="7315" w:type="dxa"/>
          </w:tcPr>
          <w:p w:rsidR="005A477D" w:rsidRPr="005B0796" w:rsidRDefault="005A477D" w:rsidP="00855912">
            <w:r w:rsidRPr="005B0796">
              <w:rPr>
                <w:noProof/>
                <w:lang w:eastAsia="en-AU"/>
              </w:rPr>
              <w:drawing>
                <wp:inline distT="0" distB="0" distL="0" distR="0" wp14:anchorId="2211D53F" wp14:editId="212E9C38">
                  <wp:extent cx="4572000" cy="2743200"/>
                  <wp:effectExtent l="0" t="0" r="0" b="0"/>
                  <wp:docPr id="296" name="Chart 296" descr="Figure 5.12 Estimated proportions for Transitioned ADF, using AUDIT scoring bands, for problem alcohol use,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bl>
    <w:p w:rsidR="00BE715D" w:rsidRPr="005B0796" w:rsidRDefault="00BE715D" w:rsidP="00DB5776">
      <w:pPr>
        <w:pStyle w:val="Heading4"/>
      </w:pPr>
      <w:r w:rsidRPr="005B0796">
        <w:t>Alcohol use and problem drinking in Transitioned ADF</w:t>
      </w:r>
      <w:r w:rsidR="00C01061">
        <w:t>,</w:t>
      </w:r>
      <w:r w:rsidRPr="005B0796">
        <w:t xml:space="preserve"> by years since transition</w:t>
      </w:r>
    </w:p>
    <w:p w:rsidR="00BE715D" w:rsidRPr="005B0796" w:rsidRDefault="009E72D3" w:rsidP="00DB5776">
      <w:r w:rsidRPr="005B0796">
        <w:t>Table 5.13</w:t>
      </w:r>
      <w:r w:rsidR="00BE715D" w:rsidRPr="005B0796">
        <w:t xml:space="preserve"> and Figure 5.13 compare the AUDIT scoring bands for members of the Transitioned ADF, by years since transition. Overall, time since transition did not have a significant effect on the AUDIT scoring bands. </w:t>
      </w:r>
    </w:p>
    <w:p w:rsidR="00BE715D" w:rsidRPr="005B0796" w:rsidRDefault="00BE715D" w:rsidP="00BE715D">
      <w:pPr>
        <w:sectPr w:rsidR="00BE715D" w:rsidRPr="005B0796" w:rsidSect="005A477D">
          <w:footerReference w:type="even" r:id="rId196"/>
          <w:footerReference w:type="default" r:id="rId197"/>
          <w:pgSz w:w="9979" w:h="14170" w:code="243"/>
          <w:pgMar w:top="1440" w:right="1152" w:bottom="1440" w:left="1728" w:header="576" w:footer="576" w:gutter="0"/>
          <w:cols w:space="708"/>
          <w:docGrid w:linePitch="360"/>
        </w:sectPr>
      </w:pPr>
    </w:p>
    <w:p w:rsidR="00DB5776" w:rsidRPr="005B0796" w:rsidRDefault="00DB5776" w:rsidP="00DB5776">
      <w:pPr>
        <w:pStyle w:val="TableName"/>
      </w:pPr>
      <w:bookmarkStart w:id="1006" w:name="_Toc511900466"/>
      <w:bookmarkStart w:id="1007" w:name="_Ref484523473"/>
      <w:bookmarkStart w:id="1008" w:name="_Toc487014314"/>
      <w:bookmarkStart w:id="1009" w:name="_Toc49299561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13</w:t>
      </w:r>
      <w:r w:rsidR="00D30A3C">
        <w:rPr>
          <w:noProof/>
        </w:rPr>
        <w:fldChar w:fldCharType="end"/>
      </w:r>
      <w:r w:rsidRPr="005B0796">
        <w:tab/>
        <w:t>Estimated Proportion of Transitioned ADF members scoring in each of the four AUDIT scoring bands for problem alcohol use</w:t>
      </w:r>
      <w:r w:rsidR="00C01061">
        <w:t>,</w:t>
      </w:r>
      <w:r w:rsidRPr="005B0796">
        <w:t xml:space="preserve"> by years since transition</w:t>
      </w:r>
      <w:bookmarkEnd w:id="1006"/>
    </w:p>
    <w:bookmarkEnd w:id="1007"/>
    <w:bookmarkEnd w:id="1008"/>
    <w:bookmarkEnd w:id="1009"/>
    <w:tbl>
      <w:tblPr>
        <w:tblStyle w:val="TWRPTable"/>
        <w:tblW w:w="5000" w:type="pct"/>
        <w:tblLayout w:type="fixed"/>
        <w:tblLook w:val="04A0" w:firstRow="1" w:lastRow="0" w:firstColumn="1" w:lastColumn="0" w:noHBand="0" w:noVBand="1"/>
        <w:tblDescription w:val="Table 5.13 Estimated Proportion of Transitioned ADF members scoring in each of the four AUDIT scoring bands for problem alcohol use by years since transition"/>
      </w:tblPr>
      <w:tblGrid>
        <w:gridCol w:w="1854"/>
        <w:gridCol w:w="1072"/>
        <w:gridCol w:w="1072"/>
        <w:gridCol w:w="1072"/>
        <w:gridCol w:w="1072"/>
        <w:gridCol w:w="1074"/>
        <w:gridCol w:w="1072"/>
        <w:gridCol w:w="1072"/>
        <w:gridCol w:w="1072"/>
        <w:gridCol w:w="1074"/>
      </w:tblGrid>
      <w:tr w:rsidR="009B0BFF" w:rsidRPr="005B0796" w:rsidTr="009B0BFF">
        <w:trPr>
          <w:cnfStyle w:val="100000000000" w:firstRow="1" w:lastRow="0" w:firstColumn="0" w:lastColumn="0" w:oddVBand="0" w:evenVBand="0" w:oddHBand="0" w:evenHBand="0" w:firstRowFirstColumn="0" w:firstRowLastColumn="0" w:lastRowFirstColumn="0" w:lastRowLastColumn="0"/>
          <w:cantSplit/>
          <w:tblHeader/>
        </w:trPr>
        <w:tc>
          <w:tcPr>
            <w:tcW w:w="1008" w:type="dxa"/>
            <w:vMerge w:val="restart"/>
          </w:tcPr>
          <w:p w:rsidR="009B0BFF" w:rsidRPr="005B0796" w:rsidRDefault="009B0BFF" w:rsidP="00DB5776">
            <w:pPr>
              <w:pStyle w:val="TableText"/>
            </w:pPr>
          </w:p>
        </w:tc>
        <w:tc>
          <w:tcPr>
            <w:tcW w:w="1749" w:type="dxa"/>
            <w:gridSpan w:val="3"/>
            <w:hideMark/>
          </w:tcPr>
          <w:p w:rsidR="009B0BFF" w:rsidRPr="005B0796" w:rsidRDefault="009B0BFF" w:rsidP="00DB5776">
            <w:pPr>
              <w:pStyle w:val="TableText"/>
              <w:jc w:val="center"/>
            </w:pPr>
            <w:r w:rsidRPr="005B0796">
              <w:t>0 (1-11months)</w:t>
            </w:r>
            <w:r w:rsidRPr="005B0796">
              <w:br/>
              <w:t>n=1945</w:t>
            </w:r>
          </w:p>
        </w:tc>
        <w:tc>
          <w:tcPr>
            <w:tcW w:w="1750" w:type="dxa"/>
            <w:gridSpan w:val="3"/>
            <w:hideMark/>
          </w:tcPr>
          <w:p w:rsidR="009B0BFF" w:rsidRPr="005B0796" w:rsidRDefault="009B0BFF" w:rsidP="00DB5776">
            <w:pPr>
              <w:pStyle w:val="TableText"/>
              <w:jc w:val="center"/>
            </w:pPr>
            <w:r w:rsidRPr="005B0796">
              <w:t>1 year</w:t>
            </w:r>
            <w:r w:rsidRPr="005B0796">
              <w:br/>
              <w:t>n=4874</w:t>
            </w:r>
          </w:p>
        </w:tc>
        <w:tc>
          <w:tcPr>
            <w:tcW w:w="1750" w:type="dxa"/>
            <w:gridSpan w:val="3"/>
            <w:hideMark/>
          </w:tcPr>
          <w:p w:rsidR="009B0BFF" w:rsidRPr="005B0796" w:rsidRDefault="009B0BFF" w:rsidP="00DB5776">
            <w:pPr>
              <w:pStyle w:val="TableText"/>
              <w:jc w:val="center"/>
            </w:pPr>
            <w:r w:rsidRPr="005B0796">
              <w:t>2 years</w:t>
            </w:r>
            <w:r w:rsidRPr="005B0796">
              <w:br/>
              <w:t>n=4944</w:t>
            </w:r>
          </w:p>
        </w:tc>
      </w:tr>
      <w:tr w:rsidR="009B0BFF" w:rsidRPr="005B0796" w:rsidTr="009B0BFF">
        <w:trPr>
          <w:cnfStyle w:val="100000000000" w:firstRow="1" w:lastRow="0" w:firstColumn="0" w:lastColumn="0" w:oddVBand="0" w:evenVBand="0" w:oddHBand="0" w:evenHBand="0" w:firstRowFirstColumn="0" w:firstRowLastColumn="0" w:lastRowFirstColumn="0" w:lastRowLastColumn="0"/>
          <w:cantSplit/>
          <w:tblHeader/>
        </w:trPr>
        <w:tc>
          <w:tcPr>
            <w:tcW w:w="1008" w:type="dxa"/>
            <w:vMerge/>
          </w:tcPr>
          <w:p w:rsidR="009B0BFF" w:rsidRPr="005B0796" w:rsidRDefault="009B0BFF" w:rsidP="00DB5776">
            <w:pPr>
              <w:pStyle w:val="TableText"/>
            </w:pPr>
          </w:p>
        </w:tc>
        <w:tc>
          <w:tcPr>
            <w:tcW w:w="583" w:type="dxa"/>
            <w:hideMark/>
          </w:tcPr>
          <w:p w:rsidR="009B0BFF" w:rsidRPr="005B0796" w:rsidRDefault="009B0BFF" w:rsidP="00DB5776">
            <w:pPr>
              <w:pStyle w:val="TableText"/>
              <w:jc w:val="right"/>
            </w:pPr>
            <w:r w:rsidRPr="005B0796">
              <w:t>Weighted n</w:t>
            </w:r>
          </w:p>
        </w:tc>
        <w:tc>
          <w:tcPr>
            <w:tcW w:w="583" w:type="dxa"/>
            <w:hideMark/>
          </w:tcPr>
          <w:p w:rsidR="009B0BFF" w:rsidRPr="005B0796" w:rsidRDefault="009B0BFF" w:rsidP="00DB5776">
            <w:pPr>
              <w:pStyle w:val="TableText"/>
              <w:jc w:val="right"/>
            </w:pPr>
            <w:r w:rsidRPr="005B0796">
              <w:t>%</w:t>
            </w:r>
          </w:p>
        </w:tc>
        <w:tc>
          <w:tcPr>
            <w:tcW w:w="583" w:type="dxa"/>
            <w:hideMark/>
          </w:tcPr>
          <w:p w:rsidR="009B0BFF" w:rsidRPr="005B0796" w:rsidRDefault="009B0BFF" w:rsidP="00DB5776">
            <w:pPr>
              <w:pStyle w:val="TableText"/>
              <w:jc w:val="right"/>
            </w:pPr>
            <w:r w:rsidRPr="005B0796">
              <w:t>95% CI</w:t>
            </w:r>
          </w:p>
        </w:tc>
        <w:tc>
          <w:tcPr>
            <w:tcW w:w="583" w:type="dxa"/>
            <w:hideMark/>
          </w:tcPr>
          <w:p w:rsidR="009B0BFF" w:rsidRPr="005B0796" w:rsidRDefault="009B0BFF" w:rsidP="00DB5776">
            <w:pPr>
              <w:pStyle w:val="TableText"/>
              <w:jc w:val="right"/>
            </w:pPr>
            <w:r w:rsidRPr="005B0796">
              <w:t>Weighted n</w:t>
            </w:r>
          </w:p>
        </w:tc>
        <w:tc>
          <w:tcPr>
            <w:tcW w:w="584" w:type="dxa"/>
            <w:hideMark/>
          </w:tcPr>
          <w:p w:rsidR="009B0BFF" w:rsidRPr="005B0796" w:rsidRDefault="009B0BFF" w:rsidP="00DB5776">
            <w:pPr>
              <w:pStyle w:val="TableText"/>
              <w:jc w:val="right"/>
            </w:pPr>
            <w:r w:rsidRPr="005B0796">
              <w:t>%</w:t>
            </w:r>
          </w:p>
        </w:tc>
        <w:tc>
          <w:tcPr>
            <w:tcW w:w="583" w:type="dxa"/>
            <w:hideMark/>
          </w:tcPr>
          <w:p w:rsidR="009B0BFF" w:rsidRPr="005B0796" w:rsidRDefault="009B0BFF" w:rsidP="00DB5776">
            <w:pPr>
              <w:pStyle w:val="TableText"/>
              <w:jc w:val="right"/>
            </w:pPr>
            <w:r w:rsidRPr="005B0796">
              <w:t>95% CI</w:t>
            </w:r>
          </w:p>
        </w:tc>
        <w:tc>
          <w:tcPr>
            <w:tcW w:w="583" w:type="dxa"/>
            <w:hideMark/>
          </w:tcPr>
          <w:p w:rsidR="009B0BFF" w:rsidRPr="005B0796" w:rsidRDefault="009B0BFF" w:rsidP="00DB5776">
            <w:pPr>
              <w:pStyle w:val="TableText"/>
              <w:jc w:val="right"/>
            </w:pPr>
            <w:r w:rsidRPr="005B0796">
              <w:t>Weighted n</w:t>
            </w:r>
          </w:p>
        </w:tc>
        <w:tc>
          <w:tcPr>
            <w:tcW w:w="583" w:type="dxa"/>
            <w:hideMark/>
          </w:tcPr>
          <w:p w:rsidR="009B0BFF" w:rsidRPr="005B0796" w:rsidRDefault="009B0BFF" w:rsidP="00DB5776">
            <w:pPr>
              <w:pStyle w:val="TableText"/>
              <w:jc w:val="right"/>
            </w:pPr>
            <w:r w:rsidRPr="005B0796">
              <w:t>%</w:t>
            </w:r>
          </w:p>
        </w:tc>
        <w:tc>
          <w:tcPr>
            <w:tcW w:w="584" w:type="dxa"/>
            <w:hideMark/>
          </w:tcPr>
          <w:p w:rsidR="009B0BFF" w:rsidRPr="005B0796" w:rsidRDefault="009B0BFF" w:rsidP="00DB5776">
            <w:pPr>
              <w:pStyle w:val="TableText"/>
              <w:jc w:val="right"/>
            </w:pPr>
            <w:r w:rsidRPr="005B0796">
              <w:t>95% CI</w:t>
            </w:r>
          </w:p>
        </w:tc>
      </w:tr>
      <w:tr w:rsidR="009B0BFF" w:rsidRPr="005B0796" w:rsidTr="009B0BFF">
        <w:trPr>
          <w:cnfStyle w:val="000000100000" w:firstRow="0" w:lastRow="0" w:firstColumn="0" w:lastColumn="0" w:oddVBand="0" w:evenVBand="0" w:oddHBand="1" w:evenHBand="0" w:firstRowFirstColumn="0" w:firstRowLastColumn="0" w:lastRowFirstColumn="0" w:lastRowLastColumn="0"/>
          <w:cantSplit/>
        </w:trPr>
        <w:tc>
          <w:tcPr>
            <w:tcW w:w="1008" w:type="dxa"/>
            <w:hideMark/>
          </w:tcPr>
          <w:p w:rsidR="009B0BFF" w:rsidRPr="005B0796" w:rsidRDefault="009B0BFF" w:rsidP="00DB5776">
            <w:pPr>
              <w:pStyle w:val="TableText"/>
            </w:pPr>
            <w:r w:rsidRPr="005B0796">
              <w:rPr>
                <w:rFonts w:eastAsia="Times New Roman"/>
              </w:rPr>
              <w:t>Band I (0-7)</w:t>
            </w:r>
          </w:p>
        </w:tc>
        <w:tc>
          <w:tcPr>
            <w:tcW w:w="583" w:type="dxa"/>
            <w:hideMark/>
          </w:tcPr>
          <w:p w:rsidR="009B0BFF" w:rsidRPr="005B0796" w:rsidRDefault="009B0BFF" w:rsidP="00DB5776">
            <w:pPr>
              <w:pStyle w:val="TableText"/>
              <w:jc w:val="right"/>
            </w:pPr>
            <w:r w:rsidRPr="005B0796">
              <w:rPr>
                <w:rFonts w:eastAsia="Times New Roman"/>
              </w:rPr>
              <w:t>1318</w:t>
            </w:r>
          </w:p>
        </w:tc>
        <w:tc>
          <w:tcPr>
            <w:tcW w:w="583" w:type="dxa"/>
            <w:hideMark/>
          </w:tcPr>
          <w:p w:rsidR="009B0BFF" w:rsidRPr="005B0796" w:rsidRDefault="009B0BFF" w:rsidP="00DB5776">
            <w:pPr>
              <w:pStyle w:val="TableText"/>
              <w:jc w:val="right"/>
            </w:pPr>
            <w:r w:rsidRPr="005B0796">
              <w:rPr>
                <w:rFonts w:eastAsia="Times New Roman"/>
              </w:rPr>
              <w:t>67.8</w:t>
            </w:r>
          </w:p>
        </w:tc>
        <w:tc>
          <w:tcPr>
            <w:tcW w:w="583" w:type="dxa"/>
            <w:hideMark/>
          </w:tcPr>
          <w:p w:rsidR="009B0BFF" w:rsidRPr="005B0796" w:rsidRDefault="009B0BFF" w:rsidP="00DB5776">
            <w:pPr>
              <w:pStyle w:val="TableText"/>
              <w:jc w:val="right"/>
            </w:pPr>
            <w:r w:rsidRPr="005B0796">
              <w:rPr>
                <w:rFonts w:eastAsia="Times New Roman"/>
              </w:rPr>
              <w:t>61.1, 73.8</w:t>
            </w:r>
          </w:p>
        </w:tc>
        <w:tc>
          <w:tcPr>
            <w:tcW w:w="583" w:type="dxa"/>
            <w:hideMark/>
          </w:tcPr>
          <w:p w:rsidR="009B0BFF" w:rsidRPr="005B0796" w:rsidRDefault="009B0BFF" w:rsidP="00DB5776">
            <w:pPr>
              <w:pStyle w:val="TableText"/>
              <w:jc w:val="right"/>
            </w:pPr>
            <w:r w:rsidRPr="005B0796">
              <w:rPr>
                <w:rFonts w:eastAsia="Times New Roman"/>
              </w:rPr>
              <w:t>3270</w:t>
            </w:r>
          </w:p>
        </w:tc>
        <w:tc>
          <w:tcPr>
            <w:tcW w:w="584" w:type="dxa"/>
            <w:hideMark/>
          </w:tcPr>
          <w:p w:rsidR="009B0BFF" w:rsidRPr="005B0796" w:rsidRDefault="009B0BFF" w:rsidP="00DB5776">
            <w:pPr>
              <w:pStyle w:val="TableText"/>
              <w:jc w:val="right"/>
            </w:pPr>
            <w:r w:rsidRPr="005B0796">
              <w:rPr>
                <w:rFonts w:eastAsia="Times New Roman"/>
              </w:rPr>
              <w:t>67.1</w:t>
            </w:r>
          </w:p>
        </w:tc>
        <w:tc>
          <w:tcPr>
            <w:tcW w:w="583" w:type="dxa"/>
            <w:hideMark/>
          </w:tcPr>
          <w:p w:rsidR="009B0BFF" w:rsidRPr="005B0796" w:rsidRDefault="009B0BFF" w:rsidP="00DB5776">
            <w:pPr>
              <w:pStyle w:val="TableText"/>
              <w:jc w:val="right"/>
            </w:pPr>
            <w:r w:rsidRPr="005B0796">
              <w:rPr>
                <w:rFonts w:eastAsia="Times New Roman"/>
              </w:rPr>
              <w:t>62.9, 71.1</w:t>
            </w:r>
          </w:p>
        </w:tc>
        <w:tc>
          <w:tcPr>
            <w:tcW w:w="583" w:type="dxa"/>
            <w:hideMark/>
          </w:tcPr>
          <w:p w:rsidR="009B0BFF" w:rsidRPr="005B0796" w:rsidRDefault="009B0BFF" w:rsidP="00DB5776">
            <w:pPr>
              <w:pStyle w:val="TableText"/>
              <w:jc w:val="right"/>
            </w:pPr>
            <w:r w:rsidRPr="005B0796">
              <w:rPr>
                <w:rFonts w:eastAsia="Times New Roman"/>
              </w:rPr>
              <w:t>3270</w:t>
            </w:r>
          </w:p>
        </w:tc>
        <w:tc>
          <w:tcPr>
            <w:tcW w:w="583" w:type="dxa"/>
            <w:hideMark/>
          </w:tcPr>
          <w:p w:rsidR="009B0BFF" w:rsidRPr="005B0796" w:rsidRDefault="009B0BFF" w:rsidP="00DB5776">
            <w:pPr>
              <w:pStyle w:val="TableText"/>
              <w:jc w:val="right"/>
            </w:pPr>
            <w:r w:rsidRPr="005B0796">
              <w:rPr>
                <w:rFonts w:eastAsia="Times New Roman"/>
              </w:rPr>
              <w:t>66.1</w:t>
            </w:r>
          </w:p>
        </w:tc>
        <w:tc>
          <w:tcPr>
            <w:tcW w:w="584" w:type="dxa"/>
            <w:hideMark/>
          </w:tcPr>
          <w:p w:rsidR="009B0BFF" w:rsidRPr="005B0796" w:rsidRDefault="009B0BFF" w:rsidP="00DB5776">
            <w:pPr>
              <w:pStyle w:val="TableText"/>
              <w:jc w:val="right"/>
            </w:pPr>
            <w:r w:rsidRPr="005B0796">
              <w:rPr>
                <w:rFonts w:eastAsia="Times New Roman"/>
              </w:rPr>
              <w:t>61.7, 70.3</w:t>
            </w:r>
          </w:p>
        </w:tc>
      </w:tr>
      <w:tr w:rsidR="009B0BFF" w:rsidRPr="005B0796" w:rsidTr="009B0BFF">
        <w:trPr>
          <w:cantSplit/>
        </w:trPr>
        <w:tc>
          <w:tcPr>
            <w:tcW w:w="1008" w:type="dxa"/>
            <w:hideMark/>
          </w:tcPr>
          <w:p w:rsidR="009B0BFF" w:rsidRPr="005B0796" w:rsidRDefault="009B0BFF" w:rsidP="00DB5776">
            <w:pPr>
              <w:pStyle w:val="TableText"/>
              <w:rPr>
                <w:b/>
              </w:rPr>
            </w:pPr>
            <w:r w:rsidRPr="005B0796">
              <w:rPr>
                <w:rFonts w:eastAsia="Times New Roman"/>
              </w:rPr>
              <w:t>Band 2 (8-15)</w:t>
            </w:r>
          </w:p>
        </w:tc>
        <w:tc>
          <w:tcPr>
            <w:tcW w:w="583" w:type="dxa"/>
            <w:hideMark/>
          </w:tcPr>
          <w:p w:rsidR="009B0BFF" w:rsidRPr="005B0796" w:rsidRDefault="009B0BFF" w:rsidP="00DB5776">
            <w:pPr>
              <w:pStyle w:val="TableText"/>
              <w:jc w:val="right"/>
            </w:pPr>
            <w:r w:rsidRPr="005B0796">
              <w:rPr>
                <w:rFonts w:eastAsia="Times New Roman"/>
              </w:rPr>
              <w:t>434</w:t>
            </w:r>
          </w:p>
        </w:tc>
        <w:tc>
          <w:tcPr>
            <w:tcW w:w="583" w:type="dxa"/>
            <w:hideMark/>
          </w:tcPr>
          <w:p w:rsidR="009B0BFF" w:rsidRPr="005B0796" w:rsidRDefault="009B0BFF" w:rsidP="00DB5776">
            <w:pPr>
              <w:pStyle w:val="TableText"/>
              <w:jc w:val="right"/>
            </w:pPr>
            <w:r w:rsidRPr="005B0796">
              <w:rPr>
                <w:rFonts w:eastAsia="Times New Roman"/>
              </w:rPr>
              <w:t>22.3</w:t>
            </w:r>
          </w:p>
        </w:tc>
        <w:tc>
          <w:tcPr>
            <w:tcW w:w="583" w:type="dxa"/>
            <w:hideMark/>
          </w:tcPr>
          <w:p w:rsidR="009B0BFF" w:rsidRPr="005B0796" w:rsidRDefault="009B0BFF" w:rsidP="00DB5776">
            <w:pPr>
              <w:pStyle w:val="TableText"/>
              <w:jc w:val="right"/>
            </w:pPr>
            <w:r w:rsidRPr="005B0796">
              <w:rPr>
                <w:rFonts w:eastAsia="Times New Roman"/>
              </w:rPr>
              <w:t>17.1, 28.6</w:t>
            </w:r>
          </w:p>
        </w:tc>
        <w:tc>
          <w:tcPr>
            <w:tcW w:w="583" w:type="dxa"/>
            <w:hideMark/>
          </w:tcPr>
          <w:p w:rsidR="009B0BFF" w:rsidRPr="005B0796" w:rsidRDefault="009B0BFF" w:rsidP="00DB5776">
            <w:pPr>
              <w:pStyle w:val="TableText"/>
              <w:jc w:val="right"/>
            </w:pPr>
            <w:r w:rsidRPr="005B0796">
              <w:rPr>
                <w:rFonts w:eastAsia="Times New Roman"/>
              </w:rPr>
              <w:t>986</w:t>
            </w:r>
          </w:p>
        </w:tc>
        <w:tc>
          <w:tcPr>
            <w:tcW w:w="584" w:type="dxa"/>
            <w:hideMark/>
          </w:tcPr>
          <w:p w:rsidR="009B0BFF" w:rsidRPr="005B0796" w:rsidRDefault="009B0BFF" w:rsidP="00DB5776">
            <w:pPr>
              <w:pStyle w:val="TableText"/>
              <w:jc w:val="right"/>
            </w:pPr>
            <w:r w:rsidRPr="005B0796">
              <w:rPr>
                <w:rFonts w:eastAsia="Times New Roman"/>
              </w:rPr>
              <w:t>20.2</w:t>
            </w:r>
          </w:p>
        </w:tc>
        <w:tc>
          <w:tcPr>
            <w:tcW w:w="583" w:type="dxa"/>
            <w:hideMark/>
          </w:tcPr>
          <w:p w:rsidR="009B0BFF" w:rsidRPr="005B0796" w:rsidRDefault="009B0BFF" w:rsidP="00DB5776">
            <w:pPr>
              <w:pStyle w:val="TableText"/>
              <w:jc w:val="right"/>
            </w:pPr>
            <w:r w:rsidRPr="005B0796">
              <w:rPr>
                <w:rFonts w:eastAsia="Times New Roman"/>
              </w:rPr>
              <w:t>16.9, 24.0</w:t>
            </w:r>
          </w:p>
        </w:tc>
        <w:tc>
          <w:tcPr>
            <w:tcW w:w="583" w:type="dxa"/>
            <w:hideMark/>
          </w:tcPr>
          <w:p w:rsidR="009B0BFF" w:rsidRPr="005B0796" w:rsidRDefault="009B0BFF" w:rsidP="00DB5776">
            <w:pPr>
              <w:pStyle w:val="TableText"/>
              <w:jc w:val="right"/>
            </w:pPr>
            <w:r w:rsidRPr="005B0796">
              <w:rPr>
                <w:rFonts w:eastAsia="Times New Roman"/>
              </w:rPr>
              <w:t>1068</w:t>
            </w:r>
          </w:p>
        </w:tc>
        <w:tc>
          <w:tcPr>
            <w:tcW w:w="583" w:type="dxa"/>
            <w:hideMark/>
          </w:tcPr>
          <w:p w:rsidR="009B0BFF" w:rsidRPr="005B0796" w:rsidRDefault="009B0BFF" w:rsidP="00DB5776">
            <w:pPr>
              <w:pStyle w:val="TableText"/>
              <w:jc w:val="right"/>
            </w:pPr>
            <w:r w:rsidRPr="005B0796">
              <w:rPr>
                <w:rFonts w:eastAsia="Times New Roman"/>
              </w:rPr>
              <w:t>21.6</w:t>
            </w:r>
          </w:p>
        </w:tc>
        <w:tc>
          <w:tcPr>
            <w:tcW w:w="584" w:type="dxa"/>
            <w:hideMark/>
          </w:tcPr>
          <w:p w:rsidR="009B0BFF" w:rsidRPr="005B0796" w:rsidRDefault="009B0BFF" w:rsidP="00DB5776">
            <w:pPr>
              <w:pStyle w:val="TableText"/>
              <w:jc w:val="right"/>
            </w:pPr>
            <w:r w:rsidRPr="005B0796">
              <w:rPr>
                <w:rFonts w:eastAsia="Times New Roman"/>
              </w:rPr>
              <w:t>18.1, 25.7</w:t>
            </w:r>
          </w:p>
        </w:tc>
      </w:tr>
      <w:tr w:rsidR="009B0BFF" w:rsidRPr="005B0796" w:rsidTr="009B0BFF">
        <w:trPr>
          <w:cnfStyle w:val="000000100000" w:firstRow="0" w:lastRow="0" w:firstColumn="0" w:lastColumn="0" w:oddVBand="0" w:evenVBand="0" w:oddHBand="1" w:evenHBand="0" w:firstRowFirstColumn="0" w:firstRowLastColumn="0" w:lastRowFirstColumn="0" w:lastRowLastColumn="0"/>
          <w:cantSplit/>
        </w:trPr>
        <w:tc>
          <w:tcPr>
            <w:tcW w:w="1008" w:type="dxa"/>
            <w:hideMark/>
          </w:tcPr>
          <w:p w:rsidR="009B0BFF" w:rsidRPr="005B0796" w:rsidRDefault="009B0BFF" w:rsidP="00DB5776">
            <w:pPr>
              <w:pStyle w:val="TableText"/>
              <w:rPr>
                <w:b/>
              </w:rPr>
            </w:pPr>
            <w:r w:rsidRPr="005B0796">
              <w:rPr>
                <w:rFonts w:eastAsia="Times New Roman"/>
              </w:rPr>
              <w:t>Band 3 (16-19)</w:t>
            </w:r>
          </w:p>
        </w:tc>
        <w:tc>
          <w:tcPr>
            <w:tcW w:w="583" w:type="dxa"/>
            <w:hideMark/>
          </w:tcPr>
          <w:p w:rsidR="009B0BFF" w:rsidRPr="005B0796" w:rsidRDefault="009B0BFF" w:rsidP="00DB5776">
            <w:pPr>
              <w:pStyle w:val="TableText"/>
              <w:jc w:val="right"/>
            </w:pPr>
            <w:r w:rsidRPr="005B0796">
              <w:rPr>
                <w:rFonts w:eastAsia="Times New Roman"/>
              </w:rPr>
              <w:t>53</w:t>
            </w:r>
          </w:p>
        </w:tc>
        <w:tc>
          <w:tcPr>
            <w:tcW w:w="583" w:type="dxa"/>
            <w:hideMark/>
          </w:tcPr>
          <w:p w:rsidR="009B0BFF" w:rsidRPr="005B0796" w:rsidRDefault="009B0BFF" w:rsidP="00DB5776">
            <w:pPr>
              <w:pStyle w:val="TableText"/>
              <w:jc w:val="right"/>
            </w:pPr>
            <w:r w:rsidRPr="005B0796">
              <w:rPr>
                <w:rFonts w:eastAsia="Times New Roman"/>
              </w:rPr>
              <w:t>2.7</w:t>
            </w:r>
          </w:p>
        </w:tc>
        <w:tc>
          <w:tcPr>
            <w:tcW w:w="583" w:type="dxa"/>
            <w:hideMark/>
          </w:tcPr>
          <w:p w:rsidR="009B0BFF" w:rsidRPr="005B0796" w:rsidRDefault="009B0BFF" w:rsidP="00DB5776">
            <w:pPr>
              <w:pStyle w:val="TableText"/>
              <w:jc w:val="right"/>
            </w:pPr>
            <w:r w:rsidRPr="005B0796">
              <w:rPr>
                <w:rFonts w:eastAsia="Times New Roman"/>
              </w:rPr>
              <w:t>1.6, 4.6</w:t>
            </w:r>
          </w:p>
        </w:tc>
        <w:tc>
          <w:tcPr>
            <w:tcW w:w="583" w:type="dxa"/>
            <w:hideMark/>
          </w:tcPr>
          <w:p w:rsidR="009B0BFF" w:rsidRPr="005B0796" w:rsidRDefault="009B0BFF" w:rsidP="00DB5776">
            <w:pPr>
              <w:pStyle w:val="TableText"/>
              <w:jc w:val="right"/>
            </w:pPr>
            <w:r w:rsidRPr="005B0796">
              <w:rPr>
                <w:rFonts w:eastAsia="Times New Roman"/>
              </w:rPr>
              <w:t>270</w:t>
            </w:r>
          </w:p>
        </w:tc>
        <w:tc>
          <w:tcPr>
            <w:tcW w:w="584" w:type="dxa"/>
            <w:hideMark/>
          </w:tcPr>
          <w:p w:rsidR="009B0BFF" w:rsidRPr="005B0796" w:rsidRDefault="009B0BFF" w:rsidP="00DB5776">
            <w:pPr>
              <w:pStyle w:val="TableText"/>
              <w:jc w:val="right"/>
            </w:pPr>
            <w:r w:rsidRPr="005B0796">
              <w:rPr>
                <w:rFonts w:eastAsia="Times New Roman"/>
              </w:rPr>
              <w:t>5.5</w:t>
            </w:r>
          </w:p>
        </w:tc>
        <w:tc>
          <w:tcPr>
            <w:tcW w:w="583" w:type="dxa"/>
            <w:hideMark/>
          </w:tcPr>
          <w:p w:rsidR="009B0BFF" w:rsidRPr="005B0796" w:rsidRDefault="009B0BFF" w:rsidP="00DB5776">
            <w:pPr>
              <w:pStyle w:val="TableText"/>
              <w:jc w:val="right"/>
            </w:pPr>
            <w:r w:rsidRPr="005B0796">
              <w:rPr>
                <w:rFonts w:eastAsia="Times New Roman"/>
              </w:rPr>
              <w:t>3.8, 7.9</w:t>
            </w:r>
          </w:p>
        </w:tc>
        <w:tc>
          <w:tcPr>
            <w:tcW w:w="583" w:type="dxa"/>
            <w:hideMark/>
          </w:tcPr>
          <w:p w:rsidR="009B0BFF" w:rsidRPr="005B0796" w:rsidRDefault="009B0BFF" w:rsidP="00DB5776">
            <w:pPr>
              <w:pStyle w:val="TableText"/>
              <w:jc w:val="right"/>
            </w:pPr>
            <w:r w:rsidRPr="005B0796">
              <w:rPr>
                <w:rFonts w:eastAsia="Times New Roman"/>
              </w:rPr>
              <w:t>208</w:t>
            </w:r>
          </w:p>
        </w:tc>
        <w:tc>
          <w:tcPr>
            <w:tcW w:w="583" w:type="dxa"/>
            <w:hideMark/>
          </w:tcPr>
          <w:p w:rsidR="009B0BFF" w:rsidRPr="005B0796" w:rsidRDefault="009B0BFF" w:rsidP="00DB5776">
            <w:pPr>
              <w:pStyle w:val="TableText"/>
              <w:jc w:val="right"/>
            </w:pPr>
            <w:r w:rsidRPr="005B0796">
              <w:rPr>
                <w:rFonts w:eastAsia="Times New Roman"/>
              </w:rPr>
              <w:t>4.2</w:t>
            </w:r>
          </w:p>
        </w:tc>
        <w:tc>
          <w:tcPr>
            <w:tcW w:w="584" w:type="dxa"/>
            <w:hideMark/>
          </w:tcPr>
          <w:p w:rsidR="009B0BFF" w:rsidRPr="005B0796" w:rsidRDefault="009B0BFF" w:rsidP="00DB5776">
            <w:pPr>
              <w:pStyle w:val="TableText"/>
              <w:jc w:val="right"/>
            </w:pPr>
            <w:r w:rsidRPr="005B0796">
              <w:rPr>
                <w:rFonts w:eastAsia="Times New Roman"/>
              </w:rPr>
              <w:t>2.7, 6.5</w:t>
            </w:r>
          </w:p>
        </w:tc>
      </w:tr>
      <w:tr w:rsidR="009B0BFF" w:rsidRPr="005B0796" w:rsidTr="009B0BFF">
        <w:trPr>
          <w:cantSplit/>
        </w:trPr>
        <w:tc>
          <w:tcPr>
            <w:tcW w:w="1008" w:type="dxa"/>
            <w:hideMark/>
          </w:tcPr>
          <w:p w:rsidR="009B0BFF" w:rsidRPr="005B0796" w:rsidRDefault="009B0BFF" w:rsidP="00DB5776">
            <w:pPr>
              <w:pStyle w:val="TableText"/>
            </w:pPr>
            <w:r w:rsidRPr="005B0796">
              <w:rPr>
                <w:rFonts w:eastAsia="Times New Roman"/>
              </w:rPr>
              <w:t>Band 4 (20–40)</w:t>
            </w:r>
          </w:p>
        </w:tc>
        <w:tc>
          <w:tcPr>
            <w:tcW w:w="583" w:type="dxa"/>
            <w:hideMark/>
          </w:tcPr>
          <w:p w:rsidR="009B0BFF" w:rsidRPr="005B0796" w:rsidRDefault="009B0BFF" w:rsidP="00DB5776">
            <w:pPr>
              <w:pStyle w:val="TableText"/>
              <w:jc w:val="right"/>
            </w:pPr>
            <w:r w:rsidRPr="005B0796">
              <w:rPr>
                <w:rFonts w:eastAsia="Times New Roman"/>
              </w:rPr>
              <w:t>117</w:t>
            </w:r>
          </w:p>
        </w:tc>
        <w:tc>
          <w:tcPr>
            <w:tcW w:w="583" w:type="dxa"/>
            <w:hideMark/>
          </w:tcPr>
          <w:p w:rsidR="009B0BFF" w:rsidRPr="005B0796" w:rsidRDefault="009B0BFF" w:rsidP="00DB5776">
            <w:pPr>
              <w:pStyle w:val="TableText"/>
              <w:jc w:val="right"/>
            </w:pPr>
            <w:r w:rsidRPr="005B0796">
              <w:rPr>
                <w:rFonts w:eastAsia="Times New Roman"/>
              </w:rPr>
              <w:t>6.0</w:t>
            </w:r>
          </w:p>
        </w:tc>
        <w:tc>
          <w:tcPr>
            <w:tcW w:w="583" w:type="dxa"/>
            <w:hideMark/>
          </w:tcPr>
          <w:p w:rsidR="009B0BFF" w:rsidRPr="005B0796" w:rsidRDefault="009B0BFF" w:rsidP="00DB5776">
            <w:pPr>
              <w:pStyle w:val="TableText"/>
              <w:jc w:val="right"/>
            </w:pPr>
            <w:r w:rsidRPr="005B0796">
              <w:rPr>
                <w:rFonts w:eastAsia="Times New Roman"/>
              </w:rPr>
              <w:t>3.4, 10.5</w:t>
            </w:r>
          </w:p>
        </w:tc>
        <w:tc>
          <w:tcPr>
            <w:tcW w:w="583" w:type="dxa"/>
            <w:hideMark/>
          </w:tcPr>
          <w:p w:rsidR="009B0BFF" w:rsidRPr="005B0796" w:rsidRDefault="009B0BFF" w:rsidP="00DB5776">
            <w:pPr>
              <w:pStyle w:val="TableText"/>
              <w:jc w:val="right"/>
            </w:pPr>
            <w:r w:rsidRPr="005B0796">
              <w:rPr>
                <w:rFonts w:eastAsia="Times New Roman"/>
              </w:rPr>
              <w:t>284</w:t>
            </w:r>
          </w:p>
        </w:tc>
        <w:tc>
          <w:tcPr>
            <w:tcW w:w="584" w:type="dxa"/>
            <w:hideMark/>
          </w:tcPr>
          <w:p w:rsidR="009B0BFF" w:rsidRPr="005B0796" w:rsidRDefault="009B0BFF" w:rsidP="00DB5776">
            <w:pPr>
              <w:pStyle w:val="TableText"/>
              <w:jc w:val="right"/>
            </w:pPr>
            <w:r w:rsidRPr="005B0796">
              <w:rPr>
                <w:rFonts w:eastAsia="Times New Roman"/>
              </w:rPr>
              <w:t>5.8</w:t>
            </w:r>
          </w:p>
        </w:tc>
        <w:tc>
          <w:tcPr>
            <w:tcW w:w="583" w:type="dxa"/>
            <w:hideMark/>
          </w:tcPr>
          <w:p w:rsidR="009B0BFF" w:rsidRPr="005B0796" w:rsidRDefault="009B0BFF" w:rsidP="00DB5776">
            <w:pPr>
              <w:pStyle w:val="TableText"/>
              <w:jc w:val="right"/>
            </w:pPr>
            <w:r w:rsidRPr="005B0796">
              <w:rPr>
                <w:rFonts w:eastAsia="Times New Roman"/>
              </w:rPr>
              <w:t>4.2, 8.0</w:t>
            </w:r>
          </w:p>
        </w:tc>
        <w:tc>
          <w:tcPr>
            <w:tcW w:w="583" w:type="dxa"/>
            <w:hideMark/>
          </w:tcPr>
          <w:p w:rsidR="009B0BFF" w:rsidRPr="005B0796" w:rsidRDefault="009B0BFF" w:rsidP="00DB5776">
            <w:pPr>
              <w:pStyle w:val="TableText"/>
              <w:jc w:val="right"/>
            </w:pPr>
            <w:r w:rsidRPr="005B0796">
              <w:rPr>
                <w:rFonts w:eastAsia="Times New Roman"/>
              </w:rPr>
              <w:t>328</w:t>
            </w:r>
          </w:p>
        </w:tc>
        <w:tc>
          <w:tcPr>
            <w:tcW w:w="583" w:type="dxa"/>
            <w:hideMark/>
          </w:tcPr>
          <w:p w:rsidR="009B0BFF" w:rsidRPr="005B0796" w:rsidRDefault="009B0BFF" w:rsidP="00DB5776">
            <w:pPr>
              <w:pStyle w:val="TableText"/>
              <w:jc w:val="right"/>
            </w:pPr>
            <w:r w:rsidRPr="005B0796">
              <w:rPr>
                <w:rFonts w:eastAsia="Times New Roman"/>
              </w:rPr>
              <w:t>6.6</w:t>
            </w:r>
          </w:p>
        </w:tc>
        <w:tc>
          <w:tcPr>
            <w:tcW w:w="584" w:type="dxa"/>
            <w:hideMark/>
          </w:tcPr>
          <w:p w:rsidR="009B0BFF" w:rsidRPr="005B0796" w:rsidRDefault="009B0BFF" w:rsidP="00DB5776">
            <w:pPr>
              <w:pStyle w:val="TableText"/>
              <w:jc w:val="right"/>
            </w:pPr>
            <w:r w:rsidRPr="005B0796">
              <w:rPr>
                <w:rFonts w:eastAsia="Times New Roman"/>
              </w:rPr>
              <w:t>4.8, 9.2</w:t>
            </w:r>
          </w:p>
        </w:tc>
      </w:tr>
    </w:tbl>
    <w:p w:rsidR="00DB5776" w:rsidRPr="005B0796" w:rsidRDefault="00DB5776" w:rsidP="00DB5776">
      <w:pPr>
        <w:pStyle w:val="TableText"/>
      </w:pPr>
    </w:p>
    <w:tbl>
      <w:tblPr>
        <w:tblStyle w:val="TWRPTable"/>
        <w:tblW w:w="5000" w:type="pct"/>
        <w:tblLayout w:type="fixed"/>
        <w:tblLook w:val="04A0" w:firstRow="1" w:lastRow="0" w:firstColumn="1" w:lastColumn="0" w:noHBand="0" w:noVBand="1"/>
        <w:tblDescription w:val="Table 5.13 (cont) Estimated Proportion of Transitioned ADF members scoring in each of the four AUDIT scoring bands for problem alcohol use by years since transition"/>
      </w:tblPr>
      <w:tblGrid>
        <w:gridCol w:w="1854"/>
        <w:gridCol w:w="1072"/>
        <w:gridCol w:w="1072"/>
        <w:gridCol w:w="1072"/>
        <w:gridCol w:w="1072"/>
        <w:gridCol w:w="1074"/>
        <w:gridCol w:w="1072"/>
        <w:gridCol w:w="1072"/>
        <w:gridCol w:w="1072"/>
        <w:gridCol w:w="1074"/>
      </w:tblGrid>
      <w:tr w:rsidR="009B0BFF" w:rsidRPr="005B0796" w:rsidTr="009B0BFF">
        <w:trPr>
          <w:cnfStyle w:val="100000000000" w:firstRow="1" w:lastRow="0" w:firstColumn="0" w:lastColumn="0" w:oddVBand="0" w:evenVBand="0" w:oddHBand="0" w:evenHBand="0" w:firstRowFirstColumn="0" w:firstRowLastColumn="0" w:lastRowFirstColumn="0" w:lastRowLastColumn="0"/>
          <w:cantSplit/>
          <w:tblHeader/>
        </w:trPr>
        <w:tc>
          <w:tcPr>
            <w:tcW w:w="1008" w:type="dxa"/>
            <w:vMerge w:val="restart"/>
          </w:tcPr>
          <w:p w:rsidR="009B0BFF" w:rsidRPr="005B0796" w:rsidRDefault="009B0BFF" w:rsidP="00C50EC9">
            <w:pPr>
              <w:pStyle w:val="TableText"/>
            </w:pPr>
          </w:p>
        </w:tc>
        <w:tc>
          <w:tcPr>
            <w:tcW w:w="1749" w:type="dxa"/>
            <w:gridSpan w:val="3"/>
            <w:hideMark/>
          </w:tcPr>
          <w:p w:rsidR="009B0BFF" w:rsidRPr="005B0796" w:rsidRDefault="009B0BFF" w:rsidP="00C50EC9">
            <w:pPr>
              <w:pStyle w:val="TableText"/>
              <w:jc w:val="center"/>
            </w:pPr>
            <w:r w:rsidRPr="005B0796">
              <w:t>3 years</w:t>
            </w:r>
            <w:r w:rsidRPr="005B0796">
              <w:br/>
              <w:t>n=5234</w:t>
            </w:r>
          </w:p>
        </w:tc>
        <w:tc>
          <w:tcPr>
            <w:tcW w:w="1750" w:type="dxa"/>
            <w:gridSpan w:val="3"/>
            <w:hideMark/>
          </w:tcPr>
          <w:p w:rsidR="009B0BFF" w:rsidRPr="005B0796" w:rsidRDefault="009B0BFF" w:rsidP="00C50EC9">
            <w:pPr>
              <w:pStyle w:val="TableText"/>
              <w:jc w:val="center"/>
            </w:pPr>
            <w:r w:rsidRPr="005B0796">
              <w:t>4 years</w:t>
            </w:r>
            <w:r w:rsidRPr="005B0796">
              <w:br/>
              <w:t>n=3582</w:t>
            </w:r>
          </w:p>
        </w:tc>
        <w:tc>
          <w:tcPr>
            <w:tcW w:w="1750" w:type="dxa"/>
            <w:gridSpan w:val="3"/>
            <w:hideMark/>
          </w:tcPr>
          <w:p w:rsidR="009B0BFF" w:rsidRPr="005B0796" w:rsidRDefault="009B0BFF" w:rsidP="00C50EC9">
            <w:pPr>
              <w:pStyle w:val="TableText"/>
              <w:jc w:val="center"/>
            </w:pPr>
            <w:r w:rsidRPr="005B0796">
              <w:t>5+ years</w:t>
            </w:r>
            <w:r w:rsidRPr="005B0796">
              <w:br/>
              <w:t>n=2785</w:t>
            </w:r>
          </w:p>
        </w:tc>
      </w:tr>
      <w:tr w:rsidR="009B0BFF" w:rsidRPr="005B0796" w:rsidTr="009B0BFF">
        <w:trPr>
          <w:cnfStyle w:val="100000000000" w:firstRow="1" w:lastRow="0" w:firstColumn="0" w:lastColumn="0" w:oddVBand="0" w:evenVBand="0" w:oddHBand="0" w:evenHBand="0" w:firstRowFirstColumn="0" w:firstRowLastColumn="0" w:lastRowFirstColumn="0" w:lastRowLastColumn="0"/>
          <w:cantSplit/>
          <w:tblHeader/>
        </w:trPr>
        <w:tc>
          <w:tcPr>
            <w:tcW w:w="1008" w:type="dxa"/>
            <w:vMerge/>
          </w:tcPr>
          <w:p w:rsidR="009B0BFF" w:rsidRPr="005B0796" w:rsidRDefault="009B0BFF" w:rsidP="00C50EC9">
            <w:pPr>
              <w:pStyle w:val="TableText"/>
            </w:pPr>
          </w:p>
        </w:tc>
        <w:tc>
          <w:tcPr>
            <w:tcW w:w="583" w:type="dxa"/>
            <w:hideMark/>
          </w:tcPr>
          <w:p w:rsidR="009B0BFF" w:rsidRPr="005B0796" w:rsidRDefault="009B0BFF" w:rsidP="00C50EC9">
            <w:pPr>
              <w:pStyle w:val="TableText"/>
              <w:jc w:val="right"/>
            </w:pPr>
            <w:r w:rsidRPr="005B0796">
              <w:t>Weighted n</w:t>
            </w:r>
          </w:p>
        </w:tc>
        <w:tc>
          <w:tcPr>
            <w:tcW w:w="583" w:type="dxa"/>
            <w:hideMark/>
          </w:tcPr>
          <w:p w:rsidR="009B0BFF" w:rsidRPr="005B0796" w:rsidRDefault="009B0BFF" w:rsidP="00C50EC9">
            <w:pPr>
              <w:pStyle w:val="TableText"/>
              <w:jc w:val="right"/>
            </w:pPr>
            <w:r w:rsidRPr="005B0796">
              <w:t>%</w:t>
            </w:r>
          </w:p>
        </w:tc>
        <w:tc>
          <w:tcPr>
            <w:tcW w:w="583" w:type="dxa"/>
            <w:hideMark/>
          </w:tcPr>
          <w:p w:rsidR="009B0BFF" w:rsidRPr="005B0796" w:rsidRDefault="009B0BFF" w:rsidP="00C50EC9">
            <w:pPr>
              <w:pStyle w:val="TableText"/>
              <w:jc w:val="right"/>
            </w:pPr>
            <w:r w:rsidRPr="005B0796">
              <w:t>95% CI</w:t>
            </w:r>
          </w:p>
        </w:tc>
        <w:tc>
          <w:tcPr>
            <w:tcW w:w="583" w:type="dxa"/>
            <w:hideMark/>
          </w:tcPr>
          <w:p w:rsidR="009B0BFF" w:rsidRPr="005B0796" w:rsidRDefault="009B0BFF" w:rsidP="00C50EC9">
            <w:pPr>
              <w:pStyle w:val="TableText"/>
              <w:jc w:val="right"/>
            </w:pPr>
            <w:r w:rsidRPr="005B0796">
              <w:t>Weighted n</w:t>
            </w:r>
          </w:p>
        </w:tc>
        <w:tc>
          <w:tcPr>
            <w:tcW w:w="584" w:type="dxa"/>
            <w:hideMark/>
          </w:tcPr>
          <w:p w:rsidR="009B0BFF" w:rsidRPr="005B0796" w:rsidRDefault="009B0BFF" w:rsidP="00C50EC9">
            <w:pPr>
              <w:pStyle w:val="TableText"/>
              <w:jc w:val="right"/>
            </w:pPr>
            <w:r w:rsidRPr="005B0796">
              <w:t>%</w:t>
            </w:r>
          </w:p>
        </w:tc>
        <w:tc>
          <w:tcPr>
            <w:tcW w:w="583" w:type="dxa"/>
            <w:hideMark/>
          </w:tcPr>
          <w:p w:rsidR="009B0BFF" w:rsidRPr="005B0796" w:rsidRDefault="009B0BFF" w:rsidP="00C50EC9">
            <w:pPr>
              <w:pStyle w:val="TableText"/>
              <w:jc w:val="right"/>
            </w:pPr>
            <w:r w:rsidRPr="005B0796">
              <w:t>95% CI</w:t>
            </w:r>
          </w:p>
        </w:tc>
        <w:tc>
          <w:tcPr>
            <w:tcW w:w="583" w:type="dxa"/>
            <w:hideMark/>
          </w:tcPr>
          <w:p w:rsidR="009B0BFF" w:rsidRPr="005B0796" w:rsidRDefault="009B0BFF" w:rsidP="00C50EC9">
            <w:pPr>
              <w:pStyle w:val="TableText"/>
              <w:jc w:val="right"/>
            </w:pPr>
            <w:r w:rsidRPr="005B0796">
              <w:t>Weighted n</w:t>
            </w:r>
          </w:p>
        </w:tc>
        <w:tc>
          <w:tcPr>
            <w:tcW w:w="583" w:type="dxa"/>
            <w:hideMark/>
          </w:tcPr>
          <w:p w:rsidR="009B0BFF" w:rsidRPr="005B0796" w:rsidRDefault="009B0BFF" w:rsidP="00C50EC9">
            <w:pPr>
              <w:pStyle w:val="TableText"/>
              <w:jc w:val="right"/>
            </w:pPr>
            <w:r w:rsidRPr="005B0796">
              <w:t>%</w:t>
            </w:r>
          </w:p>
        </w:tc>
        <w:tc>
          <w:tcPr>
            <w:tcW w:w="584" w:type="dxa"/>
            <w:hideMark/>
          </w:tcPr>
          <w:p w:rsidR="009B0BFF" w:rsidRPr="005B0796" w:rsidRDefault="009B0BFF" w:rsidP="00C50EC9">
            <w:pPr>
              <w:pStyle w:val="TableText"/>
              <w:jc w:val="right"/>
            </w:pPr>
            <w:r w:rsidRPr="005B0796">
              <w:t>95% CI</w:t>
            </w:r>
          </w:p>
        </w:tc>
      </w:tr>
      <w:tr w:rsidR="009B0BFF" w:rsidRPr="005B0796" w:rsidTr="009B0BFF">
        <w:trPr>
          <w:cnfStyle w:val="000000100000" w:firstRow="0" w:lastRow="0" w:firstColumn="0" w:lastColumn="0" w:oddVBand="0" w:evenVBand="0" w:oddHBand="1" w:evenHBand="0" w:firstRowFirstColumn="0" w:firstRowLastColumn="0" w:lastRowFirstColumn="0" w:lastRowLastColumn="0"/>
          <w:cantSplit/>
        </w:trPr>
        <w:tc>
          <w:tcPr>
            <w:tcW w:w="1008" w:type="dxa"/>
            <w:hideMark/>
          </w:tcPr>
          <w:p w:rsidR="009B0BFF" w:rsidRPr="005B0796" w:rsidRDefault="009B0BFF" w:rsidP="00C50EC9">
            <w:pPr>
              <w:pStyle w:val="TableText"/>
            </w:pPr>
            <w:r w:rsidRPr="005B0796">
              <w:rPr>
                <w:rFonts w:eastAsia="Times New Roman"/>
              </w:rPr>
              <w:t>Band I (0-7)</w:t>
            </w:r>
          </w:p>
        </w:tc>
        <w:tc>
          <w:tcPr>
            <w:tcW w:w="583" w:type="dxa"/>
            <w:hideMark/>
          </w:tcPr>
          <w:p w:rsidR="009B0BFF" w:rsidRPr="005B0796" w:rsidRDefault="009B0BFF" w:rsidP="00C50EC9">
            <w:pPr>
              <w:pStyle w:val="TableText"/>
              <w:jc w:val="right"/>
            </w:pPr>
            <w:r w:rsidRPr="005B0796">
              <w:rPr>
                <w:rFonts w:eastAsia="Times New Roman"/>
              </w:rPr>
              <w:t>3220</w:t>
            </w:r>
          </w:p>
        </w:tc>
        <w:tc>
          <w:tcPr>
            <w:tcW w:w="583" w:type="dxa"/>
            <w:hideMark/>
          </w:tcPr>
          <w:p w:rsidR="009B0BFF" w:rsidRPr="005B0796" w:rsidRDefault="009B0BFF" w:rsidP="00C50EC9">
            <w:pPr>
              <w:pStyle w:val="TableText"/>
              <w:jc w:val="right"/>
            </w:pPr>
            <w:r w:rsidRPr="005B0796">
              <w:rPr>
                <w:rFonts w:eastAsia="Times New Roman"/>
              </w:rPr>
              <w:t>61.5</w:t>
            </w:r>
          </w:p>
        </w:tc>
        <w:tc>
          <w:tcPr>
            <w:tcW w:w="583" w:type="dxa"/>
            <w:hideMark/>
          </w:tcPr>
          <w:p w:rsidR="009B0BFF" w:rsidRPr="005B0796" w:rsidRDefault="009B0BFF" w:rsidP="00C50EC9">
            <w:pPr>
              <w:pStyle w:val="TableText"/>
              <w:jc w:val="right"/>
            </w:pPr>
            <w:r w:rsidRPr="005B0796">
              <w:rPr>
                <w:rFonts w:eastAsia="Times New Roman"/>
              </w:rPr>
              <w:t>57.2, 65.7</w:t>
            </w:r>
          </w:p>
        </w:tc>
        <w:tc>
          <w:tcPr>
            <w:tcW w:w="583" w:type="dxa"/>
            <w:hideMark/>
          </w:tcPr>
          <w:p w:rsidR="009B0BFF" w:rsidRPr="005B0796" w:rsidRDefault="009B0BFF" w:rsidP="00C50EC9">
            <w:pPr>
              <w:pStyle w:val="TableText"/>
              <w:jc w:val="right"/>
            </w:pPr>
            <w:r w:rsidRPr="005B0796">
              <w:rPr>
                <w:rFonts w:eastAsia="Times New Roman"/>
              </w:rPr>
              <w:t>2506</w:t>
            </w:r>
          </w:p>
        </w:tc>
        <w:tc>
          <w:tcPr>
            <w:tcW w:w="584" w:type="dxa"/>
            <w:hideMark/>
          </w:tcPr>
          <w:p w:rsidR="009B0BFF" w:rsidRPr="005B0796" w:rsidRDefault="009B0BFF" w:rsidP="00C50EC9">
            <w:pPr>
              <w:pStyle w:val="TableText"/>
              <w:jc w:val="right"/>
            </w:pPr>
            <w:r w:rsidRPr="005B0796">
              <w:rPr>
                <w:rFonts w:eastAsia="Times New Roman"/>
              </w:rPr>
              <w:t>69.9</w:t>
            </w:r>
          </w:p>
        </w:tc>
        <w:tc>
          <w:tcPr>
            <w:tcW w:w="583" w:type="dxa"/>
            <w:hideMark/>
          </w:tcPr>
          <w:p w:rsidR="009B0BFF" w:rsidRPr="005B0796" w:rsidRDefault="009B0BFF" w:rsidP="00C50EC9">
            <w:pPr>
              <w:pStyle w:val="TableText"/>
              <w:jc w:val="right"/>
            </w:pPr>
            <w:r w:rsidRPr="005B0796">
              <w:rPr>
                <w:rFonts w:eastAsia="Times New Roman"/>
              </w:rPr>
              <w:t>65.4, 74.2</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1709</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61.4</w:t>
            </w:r>
          </w:p>
        </w:tc>
        <w:tc>
          <w:tcPr>
            <w:tcW w:w="584" w:type="dxa"/>
            <w:hideMark/>
          </w:tcPr>
          <w:p w:rsidR="009B0BFF" w:rsidRPr="005B0796" w:rsidRDefault="009B0BFF" w:rsidP="00C50EC9">
            <w:pPr>
              <w:pStyle w:val="TableText"/>
              <w:jc w:val="right"/>
              <w:rPr>
                <w:rFonts w:eastAsia="Times New Roman"/>
              </w:rPr>
            </w:pPr>
            <w:r w:rsidRPr="005B0796">
              <w:rPr>
                <w:rFonts w:eastAsia="Times New Roman"/>
              </w:rPr>
              <w:t>55.7, 66.8</w:t>
            </w:r>
          </w:p>
        </w:tc>
      </w:tr>
      <w:tr w:rsidR="009B0BFF" w:rsidRPr="005B0796" w:rsidTr="009B0BFF">
        <w:trPr>
          <w:cantSplit/>
        </w:trPr>
        <w:tc>
          <w:tcPr>
            <w:tcW w:w="1008" w:type="dxa"/>
            <w:hideMark/>
          </w:tcPr>
          <w:p w:rsidR="009B0BFF" w:rsidRPr="005B0796" w:rsidRDefault="009B0BFF" w:rsidP="00C50EC9">
            <w:pPr>
              <w:pStyle w:val="TableText"/>
              <w:rPr>
                <w:b/>
              </w:rPr>
            </w:pPr>
            <w:r w:rsidRPr="005B0796">
              <w:rPr>
                <w:rFonts w:eastAsia="Times New Roman"/>
              </w:rPr>
              <w:t>Band 2 (8-15)</w:t>
            </w:r>
          </w:p>
        </w:tc>
        <w:tc>
          <w:tcPr>
            <w:tcW w:w="583" w:type="dxa"/>
            <w:hideMark/>
          </w:tcPr>
          <w:p w:rsidR="009B0BFF" w:rsidRPr="005B0796" w:rsidRDefault="009B0BFF" w:rsidP="00C50EC9">
            <w:pPr>
              <w:pStyle w:val="TableText"/>
              <w:jc w:val="right"/>
            </w:pPr>
            <w:r w:rsidRPr="005B0796">
              <w:rPr>
                <w:rFonts w:eastAsia="Times New Roman"/>
              </w:rPr>
              <w:t>1225</w:t>
            </w:r>
          </w:p>
        </w:tc>
        <w:tc>
          <w:tcPr>
            <w:tcW w:w="583" w:type="dxa"/>
            <w:hideMark/>
          </w:tcPr>
          <w:p w:rsidR="009B0BFF" w:rsidRPr="005B0796" w:rsidRDefault="009B0BFF" w:rsidP="00C50EC9">
            <w:pPr>
              <w:pStyle w:val="TableText"/>
              <w:jc w:val="right"/>
            </w:pPr>
            <w:r w:rsidRPr="005B0796">
              <w:rPr>
                <w:rFonts w:eastAsia="Times New Roman"/>
              </w:rPr>
              <w:t>23.4</w:t>
            </w:r>
          </w:p>
        </w:tc>
        <w:tc>
          <w:tcPr>
            <w:tcW w:w="583" w:type="dxa"/>
            <w:hideMark/>
          </w:tcPr>
          <w:p w:rsidR="009B0BFF" w:rsidRPr="005B0796" w:rsidRDefault="009B0BFF" w:rsidP="00C50EC9">
            <w:pPr>
              <w:pStyle w:val="TableText"/>
              <w:jc w:val="right"/>
            </w:pPr>
            <w:r w:rsidRPr="005B0796">
              <w:rPr>
                <w:rFonts w:eastAsia="Times New Roman"/>
              </w:rPr>
              <w:t>19.9, 27.3</w:t>
            </w:r>
          </w:p>
        </w:tc>
        <w:tc>
          <w:tcPr>
            <w:tcW w:w="583" w:type="dxa"/>
            <w:hideMark/>
          </w:tcPr>
          <w:p w:rsidR="009B0BFF" w:rsidRPr="005B0796" w:rsidRDefault="009B0BFF" w:rsidP="00C50EC9">
            <w:pPr>
              <w:pStyle w:val="TableText"/>
              <w:jc w:val="right"/>
            </w:pPr>
            <w:r w:rsidRPr="005B0796">
              <w:rPr>
                <w:rFonts w:eastAsia="Times New Roman"/>
              </w:rPr>
              <w:t>671</w:t>
            </w:r>
          </w:p>
        </w:tc>
        <w:tc>
          <w:tcPr>
            <w:tcW w:w="584" w:type="dxa"/>
            <w:hideMark/>
          </w:tcPr>
          <w:p w:rsidR="009B0BFF" w:rsidRPr="005B0796" w:rsidRDefault="009B0BFF" w:rsidP="00C50EC9">
            <w:pPr>
              <w:pStyle w:val="TableText"/>
              <w:jc w:val="right"/>
            </w:pPr>
            <w:r w:rsidRPr="005B0796">
              <w:rPr>
                <w:rFonts w:eastAsia="Times New Roman"/>
              </w:rPr>
              <w:t>18.7</w:t>
            </w:r>
          </w:p>
        </w:tc>
        <w:tc>
          <w:tcPr>
            <w:tcW w:w="583" w:type="dxa"/>
            <w:hideMark/>
          </w:tcPr>
          <w:p w:rsidR="009B0BFF" w:rsidRPr="005B0796" w:rsidRDefault="009B0BFF" w:rsidP="00C50EC9">
            <w:pPr>
              <w:pStyle w:val="TableText"/>
              <w:jc w:val="right"/>
            </w:pPr>
            <w:r w:rsidRPr="005B0796">
              <w:rPr>
                <w:rFonts w:eastAsia="Times New Roman"/>
              </w:rPr>
              <w:t>15.3, 22.8</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822</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29.5</w:t>
            </w:r>
          </w:p>
        </w:tc>
        <w:tc>
          <w:tcPr>
            <w:tcW w:w="584" w:type="dxa"/>
            <w:hideMark/>
          </w:tcPr>
          <w:p w:rsidR="009B0BFF" w:rsidRPr="005B0796" w:rsidRDefault="009B0BFF" w:rsidP="00C50EC9">
            <w:pPr>
              <w:pStyle w:val="TableText"/>
              <w:jc w:val="right"/>
              <w:rPr>
                <w:rFonts w:eastAsia="Times New Roman"/>
              </w:rPr>
            </w:pPr>
            <w:r w:rsidRPr="005B0796">
              <w:rPr>
                <w:rFonts w:eastAsia="Times New Roman"/>
              </w:rPr>
              <w:t>24.5, 35.1</w:t>
            </w:r>
          </w:p>
        </w:tc>
      </w:tr>
      <w:tr w:rsidR="009B0BFF" w:rsidRPr="005B0796" w:rsidTr="009B0BFF">
        <w:trPr>
          <w:cnfStyle w:val="000000100000" w:firstRow="0" w:lastRow="0" w:firstColumn="0" w:lastColumn="0" w:oddVBand="0" w:evenVBand="0" w:oddHBand="1" w:evenHBand="0" w:firstRowFirstColumn="0" w:firstRowLastColumn="0" w:lastRowFirstColumn="0" w:lastRowLastColumn="0"/>
          <w:cantSplit/>
        </w:trPr>
        <w:tc>
          <w:tcPr>
            <w:tcW w:w="1008" w:type="dxa"/>
            <w:hideMark/>
          </w:tcPr>
          <w:p w:rsidR="009B0BFF" w:rsidRPr="005B0796" w:rsidRDefault="009B0BFF" w:rsidP="00C50EC9">
            <w:pPr>
              <w:pStyle w:val="TableText"/>
              <w:rPr>
                <w:b/>
              </w:rPr>
            </w:pPr>
            <w:r w:rsidRPr="005B0796">
              <w:rPr>
                <w:rFonts w:eastAsia="Times New Roman"/>
              </w:rPr>
              <w:t>Band 3 (16-19)</w:t>
            </w:r>
          </w:p>
        </w:tc>
        <w:tc>
          <w:tcPr>
            <w:tcW w:w="583" w:type="dxa"/>
            <w:hideMark/>
          </w:tcPr>
          <w:p w:rsidR="009B0BFF" w:rsidRPr="005B0796" w:rsidRDefault="009B0BFF" w:rsidP="00C50EC9">
            <w:pPr>
              <w:pStyle w:val="TableText"/>
              <w:jc w:val="right"/>
            </w:pPr>
            <w:r w:rsidRPr="005B0796">
              <w:rPr>
                <w:rFonts w:eastAsia="Times New Roman"/>
              </w:rPr>
              <w:t>351</w:t>
            </w:r>
          </w:p>
        </w:tc>
        <w:tc>
          <w:tcPr>
            <w:tcW w:w="583" w:type="dxa"/>
            <w:hideMark/>
          </w:tcPr>
          <w:p w:rsidR="009B0BFF" w:rsidRPr="005B0796" w:rsidRDefault="009B0BFF" w:rsidP="00C50EC9">
            <w:pPr>
              <w:pStyle w:val="TableText"/>
              <w:jc w:val="right"/>
            </w:pPr>
            <w:r w:rsidRPr="005B0796">
              <w:rPr>
                <w:rFonts w:eastAsia="Times New Roman"/>
              </w:rPr>
              <w:t>6.7</w:t>
            </w:r>
          </w:p>
        </w:tc>
        <w:tc>
          <w:tcPr>
            <w:tcW w:w="583" w:type="dxa"/>
            <w:hideMark/>
          </w:tcPr>
          <w:p w:rsidR="009B0BFF" w:rsidRPr="005B0796" w:rsidRDefault="009B0BFF" w:rsidP="00C50EC9">
            <w:pPr>
              <w:pStyle w:val="TableText"/>
              <w:jc w:val="right"/>
            </w:pPr>
            <w:r w:rsidRPr="005B0796">
              <w:rPr>
                <w:rFonts w:eastAsia="Times New Roman"/>
              </w:rPr>
              <w:t>4.6, 9.7</w:t>
            </w:r>
          </w:p>
        </w:tc>
        <w:tc>
          <w:tcPr>
            <w:tcW w:w="583" w:type="dxa"/>
            <w:hideMark/>
          </w:tcPr>
          <w:p w:rsidR="009B0BFF" w:rsidRPr="005B0796" w:rsidRDefault="009B0BFF" w:rsidP="00C50EC9">
            <w:pPr>
              <w:pStyle w:val="TableText"/>
              <w:jc w:val="right"/>
            </w:pPr>
            <w:r w:rsidRPr="005B0796">
              <w:rPr>
                <w:rFonts w:eastAsia="Times New Roman"/>
              </w:rPr>
              <w:t>139</w:t>
            </w:r>
          </w:p>
        </w:tc>
        <w:tc>
          <w:tcPr>
            <w:tcW w:w="584" w:type="dxa"/>
            <w:hideMark/>
          </w:tcPr>
          <w:p w:rsidR="009B0BFF" w:rsidRPr="005B0796" w:rsidRDefault="009B0BFF" w:rsidP="00C50EC9">
            <w:pPr>
              <w:pStyle w:val="TableText"/>
              <w:jc w:val="right"/>
            </w:pPr>
            <w:r w:rsidRPr="005B0796">
              <w:rPr>
                <w:rFonts w:eastAsia="Times New Roman"/>
              </w:rPr>
              <w:t>3.9</w:t>
            </w:r>
          </w:p>
        </w:tc>
        <w:tc>
          <w:tcPr>
            <w:tcW w:w="583" w:type="dxa"/>
            <w:hideMark/>
          </w:tcPr>
          <w:p w:rsidR="009B0BFF" w:rsidRPr="005B0796" w:rsidRDefault="009B0BFF" w:rsidP="00C50EC9">
            <w:pPr>
              <w:pStyle w:val="TableText"/>
              <w:jc w:val="right"/>
            </w:pPr>
            <w:r w:rsidRPr="005B0796">
              <w:rPr>
                <w:rFonts w:eastAsia="Times New Roman"/>
              </w:rPr>
              <w:t>2.5, 6.1</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62</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2.2</w:t>
            </w:r>
          </w:p>
        </w:tc>
        <w:tc>
          <w:tcPr>
            <w:tcW w:w="584" w:type="dxa"/>
            <w:hideMark/>
          </w:tcPr>
          <w:p w:rsidR="009B0BFF" w:rsidRPr="005B0796" w:rsidRDefault="009B0BFF" w:rsidP="00C50EC9">
            <w:pPr>
              <w:pStyle w:val="TableText"/>
              <w:jc w:val="right"/>
              <w:rPr>
                <w:rFonts w:eastAsia="Times New Roman"/>
              </w:rPr>
            </w:pPr>
            <w:r w:rsidRPr="005B0796">
              <w:rPr>
                <w:rFonts w:eastAsia="Times New Roman"/>
              </w:rPr>
              <w:t>1.2, 4.2</w:t>
            </w:r>
          </w:p>
        </w:tc>
      </w:tr>
      <w:tr w:rsidR="009B0BFF" w:rsidRPr="005B0796" w:rsidTr="009B0BFF">
        <w:trPr>
          <w:cantSplit/>
        </w:trPr>
        <w:tc>
          <w:tcPr>
            <w:tcW w:w="1008" w:type="dxa"/>
            <w:hideMark/>
          </w:tcPr>
          <w:p w:rsidR="009B0BFF" w:rsidRPr="005B0796" w:rsidRDefault="009B0BFF" w:rsidP="00C50EC9">
            <w:pPr>
              <w:pStyle w:val="TableText"/>
            </w:pPr>
            <w:r w:rsidRPr="005B0796">
              <w:rPr>
                <w:rFonts w:eastAsia="Times New Roman"/>
              </w:rPr>
              <w:t>Band 4 (20–40)</w:t>
            </w:r>
          </w:p>
        </w:tc>
        <w:tc>
          <w:tcPr>
            <w:tcW w:w="583" w:type="dxa"/>
            <w:hideMark/>
          </w:tcPr>
          <w:p w:rsidR="009B0BFF" w:rsidRPr="005B0796" w:rsidRDefault="009B0BFF" w:rsidP="00C50EC9">
            <w:pPr>
              <w:pStyle w:val="TableText"/>
              <w:jc w:val="right"/>
            </w:pPr>
            <w:r w:rsidRPr="005B0796">
              <w:rPr>
                <w:rFonts w:eastAsia="Times New Roman"/>
              </w:rPr>
              <w:t>370</w:t>
            </w:r>
          </w:p>
        </w:tc>
        <w:tc>
          <w:tcPr>
            <w:tcW w:w="583" w:type="dxa"/>
            <w:hideMark/>
          </w:tcPr>
          <w:p w:rsidR="009B0BFF" w:rsidRPr="005B0796" w:rsidRDefault="009B0BFF" w:rsidP="00C50EC9">
            <w:pPr>
              <w:pStyle w:val="TableText"/>
              <w:jc w:val="right"/>
            </w:pPr>
            <w:r w:rsidRPr="005B0796">
              <w:rPr>
                <w:rFonts w:eastAsia="Times New Roman"/>
              </w:rPr>
              <w:t>7.1</w:t>
            </w:r>
          </w:p>
        </w:tc>
        <w:tc>
          <w:tcPr>
            <w:tcW w:w="583" w:type="dxa"/>
            <w:hideMark/>
          </w:tcPr>
          <w:p w:rsidR="009B0BFF" w:rsidRPr="005B0796" w:rsidRDefault="009B0BFF" w:rsidP="00C50EC9">
            <w:pPr>
              <w:pStyle w:val="TableText"/>
              <w:jc w:val="right"/>
            </w:pPr>
            <w:r w:rsidRPr="005B0796">
              <w:rPr>
                <w:rFonts w:eastAsia="Times New Roman"/>
              </w:rPr>
              <w:t>5.2, 9.6</w:t>
            </w:r>
          </w:p>
        </w:tc>
        <w:tc>
          <w:tcPr>
            <w:tcW w:w="583" w:type="dxa"/>
            <w:hideMark/>
          </w:tcPr>
          <w:p w:rsidR="009B0BFF" w:rsidRPr="005B0796" w:rsidRDefault="009B0BFF" w:rsidP="00C50EC9">
            <w:pPr>
              <w:pStyle w:val="TableText"/>
              <w:jc w:val="right"/>
            </w:pPr>
            <w:r w:rsidRPr="005B0796">
              <w:rPr>
                <w:rFonts w:eastAsia="Times New Roman"/>
              </w:rPr>
              <w:t>233</w:t>
            </w:r>
          </w:p>
        </w:tc>
        <w:tc>
          <w:tcPr>
            <w:tcW w:w="584" w:type="dxa"/>
            <w:hideMark/>
          </w:tcPr>
          <w:p w:rsidR="009B0BFF" w:rsidRPr="005B0796" w:rsidRDefault="009B0BFF" w:rsidP="00C50EC9">
            <w:pPr>
              <w:pStyle w:val="TableText"/>
              <w:jc w:val="right"/>
            </w:pPr>
            <w:r w:rsidRPr="005B0796">
              <w:rPr>
                <w:rFonts w:eastAsia="Times New Roman"/>
              </w:rPr>
              <w:t>6.5</w:t>
            </w:r>
          </w:p>
        </w:tc>
        <w:tc>
          <w:tcPr>
            <w:tcW w:w="583" w:type="dxa"/>
            <w:hideMark/>
          </w:tcPr>
          <w:p w:rsidR="009B0BFF" w:rsidRPr="005B0796" w:rsidRDefault="009B0BFF" w:rsidP="00C50EC9">
            <w:pPr>
              <w:pStyle w:val="TableText"/>
              <w:jc w:val="right"/>
            </w:pPr>
            <w:r w:rsidRPr="005B0796">
              <w:rPr>
                <w:rFonts w:eastAsia="Times New Roman"/>
              </w:rPr>
              <w:t>4.5, 9.4</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177</w:t>
            </w:r>
          </w:p>
        </w:tc>
        <w:tc>
          <w:tcPr>
            <w:tcW w:w="583" w:type="dxa"/>
            <w:hideMark/>
          </w:tcPr>
          <w:p w:rsidR="009B0BFF" w:rsidRPr="005B0796" w:rsidRDefault="009B0BFF" w:rsidP="00C50EC9">
            <w:pPr>
              <w:pStyle w:val="TableText"/>
              <w:jc w:val="right"/>
              <w:rPr>
                <w:rFonts w:eastAsia="Times New Roman"/>
              </w:rPr>
            </w:pPr>
            <w:r w:rsidRPr="005B0796">
              <w:rPr>
                <w:rFonts w:eastAsia="Times New Roman"/>
              </w:rPr>
              <w:t>6.4</w:t>
            </w:r>
          </w:p>
        </w:tc>
        <w:tc>
          <w:tcPr>
            <w:tcW w:w="584" w:type="dxa"/>
            <w:hideMark/>
          </w:tcPr>
          <w:p w:rsidR="009B0BFF" w:rsidRPr="005B0796" w:rsidRDefault="009B0BFF" w:rsidP="00C50EC9">
            <w:pPr>
              <w:pStyle w:val="TableText"/>
              <w:jc w:val="right"/>
              <w:rPr>
                <w:rFonts w:eastAsia="Times New Roman"/>
              </w:rPr>
            </w:pPr>
            <w:r w:rsidRPr="005B0796">
              <w:rPr>
                <w:rFonts w:eastAsia="Times New Roman"/>
              </w:rPr>
              <w:t>3.9, 10.1</w:t>
            </w:r>
          </w:p>
        </w:tc>
      </w:tr>
    </w:tbl>
    <w:p w:rsidR="00DB5776" w:rsidRPr="005B0796" w:rsidRDefault="00DB5776" w:rsidP="00DB5776">
      <w:pPr>
        <w:pStyle w:val="TableNotes"/>
      </w:pPr>
      <w:r w:rsidRPr="005B0796">
        <w:t xml:space="preserve">Note: 95% CI: 95% </w:t>
      </w:r>
      <w:r w:rsidR="00564689" w:rsidRPr="005B0796">
        <w:t>confidence interval</w:t>
      </w:r>
    </w:p>
    <w:p w:rsidR="00BE715D" w:rsidRPr="005B0796" w:rsidRDefault="00BE715D" w:rsidP="00BE715D"/>
    <w:p w:rsidR="00BE715D" w:rsidRPr="005B0796" w:rsidRDefault="00BE715D" w:rsidP="00BE715D">
      <w:pPr>
        <w:sectPr w:rsidR="00BE715D" w:rsidRPr="005B0796" w:rsidSect="00BE66A5">
          <w:headerReference w:type="even" r:id="rId198"/>
          <w:headerReference w:type="default" r:id="rId199"/>
          <w:footerReference w:type="even" r:id="rId200"/>
          <w:footerReference w:type="default" r:id="rId201"/>
          <w:pgSz w:w="14170" w:h="9979" w:orient="landscape" w:code="243"/>
          <w:pgMar w:top="1872" w:right="1440" w:bottom="1152" w:left="1440" w:header="576" w:footer="576" w:gutter="0"/>
          <w:cols w:space="708"/>
          <w:docGrid w:linePitch="360"/>
        </w:sectPr>
      </w:pPr>
    </w:p>
    <w:p w:rsidR="00BE715D" w:rsidRPr="005B0796" w:rsidRDefault="00FF2225" w:rsidP="00FF2225">
      <w:pPr>
        <w:pStyle w:val="FigureName"/>
      </w:pPr>
      <w:bookmarkStart w:id="1010" w:name="_Toc487014403"/>
      <w:bookmarkStart w:id="1011" w:name="_Toc51190057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13</w:t>
      </w:r>
      <w:r w:rsidR="00D30A3C">
        <w:rPr>
          <w:noProof/>
        </w:rPr>
        <w:fldChar w:fldCharType="end"/>
      </w:r>
      <w:r w:rsidR="00C01061">
        <w:tab/>
        <w:t xml:space="preserve">Estimated proportions </w:t>
      </w:r>
      <w:r w:rsidRPr="005B0796">
        <w:t>o</w:t>
      </w:r>
      <w:r w:rsidR="00C01061">
        <w:t>f</w:t>
      </w:r>
      <w:r w:rsidRPr="005B0796">
        <w:t xml:space="preserve"> Transitioned ADF, scoring in each of the four AUDIT scoring bands, for problem alcohol use, by years since transition</w:t>
      </w:r>
      <w:bookmarkEnd w:id="1010"/>
      <w:bookmarkEnd w:id="1011"/>
    </w:p>
    <w:tbl>
      <w:tblPr>
        <w:tblW w:w="5000" w:type="pct"/>
        <w:tblLayout w:type="fixed"/>
        <w:tblCellMar>
          <w:left w:w="115" w:type="dxa"/>
          <w:right w:w="115" w:type="dxa"/>
        </w:tblCellMar>
        <w:tblLook w:val="04A0" w:firstRow="1" w:lastRow="0" w:firstColumn="1" w:lastColumn="0" w:noHBand="0" w:noVBand="1"/>
      </w:tblPr>
      <w:tblGrid>
        <w:gridCol w:w="7329"/>
      </w:tblGrid>
      <w:tr w:rsidR="00BE715D" w:rsidRPr="005B0796" w:rsidTr="00FF2225">
        <w:trPr>
          <w:cantSplit/>
        </w:trPr>
        <w:tc>
          <w:tcPr>
            <w:tcW w:w="7315" w:type="dxa"/>
          </w:tcPr>
          <w:p w:rsidR="00BE715D" w:rsidRPr="005B0796" w:rsidRDefault="00BE715D" w:rsidP="00855912">
            <w:r w:rsidRPr="005B0796">
              <w:rPr>
                <w:noProof/>
                <w:lang w:eastAsia="en-AU"/>
              </w:rPr>
              <w:drawing>
                <wp:inline distT="0" distB="0" distL="0" distR="0" wp14:anchorId="38114C95" wp14:editId="0AB3B84A">
                  <wp:extent cx="4572000" cy="2743200"/>
                  <wp:effectExtent l="0" t="0" r="0" b="0"/>
                  <wp:docPr id="299" name="Chart 299" descr="Figure 5.13 Estimated proportions for Transitioned ADF, scoring in each of the four AUDIT scoring bands, for problem alcohol use,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r>
    </w:tbl>
    <w:p w:rsidR="00BE715D" w:rsidRPr="005B0796" w:rsidRDefault="00BE715D" w:rsidP="00FF2225">
      <w:pPr>
        <w:pStyle w:val="Heading2"/>
      </w:pPr>
      <w:bookmarkStart w:id="1012" w:name="_Toc482021377"/>
      <w:bookmarkStart w:id="1013" w:name="_Toc482024468"/>
      <w:bookmarkStart w:id="1014" w:name="_Toc487011226"/>
      <w:bookmarkStart w:id="1015" w:name="_Toc494449746"/>
      <w:bookmarkStart w:id="1016" w:name="_Toc511900328"/>
      <w:r w:rsidRPr="005B0796">
        <w:t>Depressive symptoms (PHQ-9)</w:t>
      </w:r>
      <w:bookmarkEnd w:id="1012"/>
      <w:bookmarkEnd w:id="1013"/>
      <w:bookmarkEnd w:id="1014"/>
      <w:bookmarkEnd w:id="1015"/>
      <w:bookmarkEnd w:id="1016"/>
    </w:p>
    <w:p w:rsidR="00FF2225" w:rsidRPr="005B0796" w:rsidRDefault="00FF2225" w:rsidP="00FF2225">
      <w:pPr>
        <w:pStyle w:val="ShadedBullet"/>
      </w:pPr>
      <w:r w:rsidRPr="005B0796">
        <w:t xml:space="preserve">An estimated 19.5% of the Transitioned ADF were in the moderately severe to severe category for depressive symptoms compared to an estimated 7.4% of the 2015 Regular ADF and 2.4% of the 2010 Regular ADF. </w:t>
      </w:r>
    </w:p>
    <w:p w:rsidR="00FF2225" w:rsidRPr="005B0796" w:rsidRDefault="00FF2225" w:rsidP="00FF2225">
      <w:pPr>
        <w:pStyle w:val="ShadedBullet"/>
      </w:pPr>
      <w:r w:rsidRPr="005B0796">
        <w:t>Members of the Transitioned ADF reported significantly higher depressive symptoms than members of the 2015 Regular ADF.</w:t>
      </w:r>
    </w:p>
    <w:p w:rsidR="00FF2225" w:rsidRPr="005B0796" w:rsidRDefault="00FF2225" w:rsidP="00FF2225">
      <w:pPr>
        <w:pStyle w:val="ShadedBullet"/>
      </w:pPr>
      <w:r w:rsidRPr="005B0796">
        <w:t>The 2015 Regular ADF sample reported significantly higher depressive symptoms than the 2010 Regular ADF sample.</w:t>
      </w:r>
    </w:p>
    <w:p w:rsidR="00FF2225" w:rsidRPr="005B0796" w:rsidRDefault="00FF2225" w:rsidP="00FF2225">
      <w:pPr>
        <w:pStyle w:val="ShadedBullet"/>
      </w:pPr>
      <w:r w:rsidRPr="005B0796">
        <w:t>In the 2015 Transitioned ADF:</w:t>
      </w:r>
    </w:p>
    <w:p w:rsidR="00FF2225" w:rsidRPr="005B0796" w:rsidRDefault="00FF2225" w:rsidP="00FF2225">
      <w:pPr>
        <w:pStyle w:val="ShadedDash"/>
      </w:pPr>
      <w:r w:rsidRPr="005B0796">
        <w:tab/>
        <w:t>–</w:t>
      </w:r>
      <w:r w:rsidRPr="005B0796">
        <w:tab/>
        <w:t>Ex-Serving ADF members were significantly more likely to report depressive symptoms than Active or Inactive Reservists.</w:t>
      </w:r>
    </w:p>
    <w:p w:rsidR="00FF2225" w:rsidRPr="005B0796" w:rsidRDefault="00FF2225" w:rsidP="00FF2225">
      <w:pPr>
        <w:pStyle w:val="ShadedDash"/>
      </w:pPr>
      <w:r w:rsidRPr="005B0796">
        <w:tab/>
        <w:t>–</w:t>
      </w:r>
      <w:r w:rsidRPr="005B0796">
        <w:tab/>
        <w:t xml:space="preserve">There was no significant difference between Active Reservists and Inactive Reservists in the proportion reporting depressive symptoms. </w:t>
      </w:r>
    </w:p>
    <w:p w:rsidR="00FF2225" w:rsidRPr="005B0796" w:rsidRDefault="00FF2225" w:rsidP="00FF2225">
      <w:pPr>
        <w:pStyle w:val="ShadedDash"/>
      </w:pPr>
      <w:r w:rsidRPr="005B0796">
        <w:tab/>
        <w:t>–</w:t>
      </w:r>
      <w:r w:rsidRPr="005B0796">
        <w:tab/>
        <w:t>Overall, time since transition did not have a significant effect on depressive symptoms; however, ADF members who transitioned less than a year ago, reported significantly lower symptoms than those who were one, three and five years post-transition.</w:t>
      </w:r>
    </w:p>
    <w:p w:rsidR="00FF2225" w:rsidRPr="005B0796" w:rsidRDefault="00FF2225" w:rsidP="00FF2225">
      <w:pPr>
        <w:pStyle w:val="ShadedBoxText"/>
      </w:pPr>
      <w:r w:rsidRPr="005B0796">
        <w:rPr>
          <w:b/>
        </w:rPr>
        <w:t xml:space="preserve">Glossary: </w:t>
      </w:r>
      <w:r w:rsidRPr="005B0796">
        <w:t>refer to the Glossary of terms for definitions of key terms in this section.</w:t>
      </w:r>
    </w:p>
    <w:p w:rsidR="00BE715D" w:rsidRPr="005B0796" w:rsidRDefault="00BE715D" w:rsidP="00FF2225">
      <w:r w:rsidRPr="005B0796">
        <w:t>This section provides a detailed summary of the pattern of depressive symptoms reported by ADF members who have transitioned from the Regular ADF since 2010 (Transitioned ADF) compared to 2010 and 2015 Regular ADF members.</w:t>
      </w:r>
    </w:p>
    <w:p w:rsidR="00BE715D" w:rsidRPr="005B0796" w:rsidRDefault="00BE715D" w:rsidP="00FF2225">
      <w:r w:rsidRPr="005B0796">
        <w:t xml:space="preserve">The distribution of depressive symptoms in the Transitioned ADF compared to the 2010 and 2015 Regular ADF will be reported first. Next, the section will examine the distribution of depressive symptoms in the Transitioned ADF, by categories of transition status (Ex-Serving, Active Reservist, Inactive Reservist) and years since transition. </w:t>
      </w:r>
    </w:p>
    <w:p w:rsidR="00BE715D" w:rsidRPr="005B0796" w:rsidRDefault="00BE715D" w:rsidP="00FF2225">
      <w:r w:rsidRPr="005B0796">
        <w:t>The nine items forming the depression module of the Patient Health Questionnaire-9 (PHQ</w:t>
      </w:r>
      <w:r w:rsidRPr="005B0796">
        <w:noBreakHyphen/>
        <w:t xml:space="preserve">9) were designed to correspond with the nine criteria used to form a diagnosis of DSM-IV depressive disorder </w:t>
      </w:r>
      <w:r w:rsidRPr="005B0796">
        <w:fldChar w:fldCharType="begin"/>
      </w:r>
      <w:r w:rsidRPr="005B0796">
        <w:instrText xml:space="preserve"> ADDIN EN.CITE &lt;EndNote&gt;&lt;Cite&gt;&lt;Author&gt;Kroenke&lt;/Author&gt;&lt;Year&gt;2001&lt;/Year&gt;&lt;RecNum&gt;418&lt;/RecNum&gt;&lt;DisplayText&gt;(Kroenke et al., 2001)&lt;/DisplayText&gt;&lt;record&gt;&lt;rec-number&gt;418&lt;/rec-number&gt;&lt;foreign-keys&gt;&lt;key app="EN" db-id="arwdrezp9sdawxevtfyxtfw10exvr5exxfed" timestamp="1478232442"&gt;418&lt;/key&gt;&lt;/foreign-keys&gt;&lt;ref-type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Med&lt;/secondary-title&gt;&lt;alt-title&gt;Journal of general internal medicine&lt;/alt-title&gt;&lt;/titles&gt;&lt;periodical&gt;&lt;full-title&gt;J Gen Intern Med&lt;/full-title&gt;&lt;/periodical&gt;&lt;pages&gt;606-13&lt;/pages&gt;&lt;volume&gt;16&lt;/volume&gt;&lt;number&gt;9&lt;/number&gt;&lt;edition&gt;2001/09/15&lt;/edition&gt;&lt;keywords&gt;&lt;keyword&gt;Adult&lt;/keyword&gt;&lt;keyword&gt;Depression/*diagnosis&lt;/keyword&gt;&lt;keyword&gt;Female&lt;/keyword&gt;&lt;keyword&gt;Humans&lt;/keyword&gt;&lt;keyword&gt;Male&lt;/keyword&gt;&lt;keyword&gt;Middle Aged&lt;/keyword&gt;&lt;keyword&gt;Psychological Tests&lt;/keyword&gt;&lt;keyword&gt;*Questionnaires&lt;/keyword&gt;&lt;keyword&gt;Reproducibility of Results&lt;/keyword&gt;&lt;keyword&gt;*Severity of Illness Index&lt;/keyword&gt;&lt;/keywords&gt;&lt;dates&gt;&lt;year&gt;2001&lt;/year&gt;&lt;pub-dates&gt;&lt;date&gt;Sep&lt;/date&gt;&lt;/pub-dates&gt;&lt;/dates&gt;&lt;isbn&gt;0884-8734 (Print)&amp;#xD;0884-8734 (Linking)&lt;/isbn&gt;&lt;accession-num&gt;11556941&lt;/accession-num&gt;&lt;work-type&gt;Research Support, Non-U.S. Gov&amp;apos;t&amp;#xD;Validation Studies&lt;/work-type&gt;&lt;urls&gt;&lt;related-urls&gt;&lt;url&gt;http://www.ncbi.nlm.nih.gov/pubmed/11556941&lt;/url&gt;&lt;/related-urls&gt;&lt;/urls&gt;&lt;custom2&gt;1495268&lt;/custom2&gt;&lt;language&gt;eng&lt;/language&gt;&lt;/record&gt;&lt;/Cite&gt;&lt;/EndNote&gt;</w:instrText>
      </w:r>
      <w:r w:rsidRPr="005B0796">
        <w:fldChar w:fldCharType="separate"/>
      </w:r>
      <w:r w:rsidRPr="005B0796">
        <w:t>(Kroenke et al., 2001)</w:t>
      </w:r>
      <w:r w:rsidRPr="005B0796">
        <w:fldChar w:fldCharType="end"/>
      </w:r>
      <w:r w:rsidRPr="005B0796">
        <w:t xml:space="preserve">. Participants rate the severity of each symptom item over the previous two weeks on a four-point (that is, 0–3) Likert scale. Items can be summed to generate a continuous measure of depressive symptoms (with possible scores ranging from 0–27). The PHQ-9 is widely used and has shown strong psychometric properties, including high diagnostic validity, internal consistency and test-retest reliability </w:t>
      </w:r>
      <w:r w:rsidRPr="005B0796">
        <w:fldChar w:fldCharType="begin">
          <w:fldData xml:space="preserve">PEVuZE5vdGU+PENpdGU+PEF1dGhvcj5HaWxib2R5PC9BdXRob3I+PFllYXI+MjAwNzwvWWVhcj48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</w:fldData>
        </w:fldChar>
      </w:r>
      <w:r w:rsidRPr="005B0796">
        <w:instrText xml:space="preserve"> ADDIN EN.CITE </w:instrText>
      </w:r>
      <w:r w:rsidRPr="005B0796">
        <w:fldChar w:fldCharType="begin">
          <w:fldData xml:space="preserve">PEVuZE5vdGU+PENpdGU+PEF1dGhvcj5HaWxib2R5PC9BdXRob3I+PFllYXI+MjAwNzwvWWVhcj48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</w:fldData>
        </w:fldChar>
      </w:r>
      <w:r w:rsidRPr="005B0796">
        <w:instrText xml:space="preserve"> ADDIN EN.CITE.DATA </w:instrText>
      </w:r>
      <w:r w:rsidRPr="005B0796">
        <w:fldChar w:fldCharType="end"/>
      </w:r>
      <w:r w:rsidRPr="005B0796">
        <w:fldChar w:fldCharType="separate"/>
      </w:r>
      <w:r w:rsidRPr="005B0796">
        <w:t>(Gilbody et al., 2007; Kroenke et al., 2001; Manea et al., 2012; Wittkampf et al., 2007)</w:t>
      </w:r>
      <w:r w:rsidRPr="005B0796">
        <w:fldChar w:fldCharType="end"/>
      </w:r>
      <w:r w:rsidRPr="005B0796">
        <w:t>.</w:t>
      </w:r>
    </w:p>
    <w:p w:rsidR="00BE715D" w:rsidRPr="005B0796" w:rsidRDefault="00BE715D" w:rsidP="00FF2225">
      <w:r w:rsidRPr="005B0796">
        <w:t xml:space="preserve">This report used the categories of minimal (0–4), mild (5–9), moderate (10–14), moderately severe (15–19) and severe (20–27), which are derived from a study comparing the PHQ-9 with doctor-diagnosed depression in 580 primary care patients </w:t>
      </w:r>
      <w:r w:rsidRPr="005B0796">
        <w:fldChar w:fldCharType="begin"/>
      </w:r>
      <w:r w:rsidRPr="005B0796">
        <w:instrText xml:space="preserve"> ADDIN EN.CITE &lt;EndNote&gt;&lt;Cite&gt;&lt;Author&gt;Kroenke&lt;/Author&gt;&lt;Year&gt;2001&lt;/Year&gt;&lt;RecNum&gt;418&lt;/RecNum&gt;&lt;DisplayText&gt;(Kroenke et al., 2001)&lt;/DisplayText&gt;&lt;record&gt;&lt;rec-number&gt;418&lt;/rec-number&gt;&lt;foreign-keys&gt;&lt;key app="EN" db-id="arwdrezp9sdawxevtfyxtfw10exvr5exxfed" timestamp="1478232442"&gt;418&lt;/key&gt;&lt;/foreign-keys&gt;&lt;ref-type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Med&lt;/secondary-title&gt;&lt;alt-title&gt;Journal of general internal medicine&lt;/alt-title&gt;&lt;/titles&gt;&lt;periodical&gt;&lt;full-title&gt;J Gen Intern Med&lt;/full-title&gt;&lt;/periodical&gt;&lt;pages&gt;606-13&lt;/pages&gt;&lt;volume&gt;16&lt;/volume&gt;&lt;number&gt;9&lt;/number&gt;&lt;edition&gt;2001/09/15&lt;/edition&gt;&lt;keywords&gt;&lt;keyword&gt;Adult&lt;/keyword&gt;&lt;keyword&gt;Depression/*diagnosis&lt;/keyword&gt;&lt;keyword&gt;Female&lt;/keyword&gt;&lt;keyword&gt;Humans&lt;/keyword&gt;&lt;keyword&gt;Male&lt;/keyword&gt;&lt;keyword&gt;Middle Aged&lt;/keyword&gt;&lt;keyword&gt;Psychological Tests&lt;/keyword&gt;&lt;keyword&gt;*Questionnaires&lt;/keyword&gt;&lt;keyword&gt;Reproducibility of Results&lt;/keyword&gt;&lt;keyword&gt;*Severity of Illness Index&lt;/keyword&gt;&lt;/keywords&gt;&lt;dates&gt;&lt;year&gt;2001&lt;/year&gt;&lt;pub-dates&gt;&lt;date&gt;Sep&lt;/date&gt;&lt;/pub-dates&gt;&lt;/dates&gt;&lt;isbn&gt;0884-8734 (Print)&amp;#xD;0884-8734 (Linking)&lt;/isbn&gt;&lt;accession-num&gt;11556941&lt;/accession-num&gt;&lt;work-type&gt;Research Support, Non-U.S. Gov&amp;apos;t&amp;#xD;Validation Studies&lt;/work-type&gt;&lt;urls&gt;&lt;related-urls&gt;&lt;url&gt;http://www.ncbi.nlm.nih.gov/pubmed/11556941&lt;/url&gt;&lt;/related-urls&gt;&lt;/urls&gt;&lt;custom2&gt;1495268&lt;/custom2&gt;&lt;language&gt;eng&lt;/language&gt;&lt;/record&gt;&lt;/Cite&gt;&lt;/EndNote&gt;</w:instrText>
      </w:r>
      <w:r w:rsidRPr="005B0796">
        <w:fldChar w:fldCharType="separate"/>
      </w:r>
      <w:r w:rsidRPr="005B0796">
        <w:t>(Kroenke et al., 2001)</w:t>
      </w:r>
      <w:r w:rsidRPr="005B0796">
        <w:fldChar w:fldCharType="end"/>
      </w:r>
      <w:r w:rsidRPr="005B0796">
        <w:t>.</w:t>
      </w:r>
    </w:p>
    <w:p w:rsidR="00BE715D" w:rsidRPr="005B0796" w:rsidRDefault="00BE715D" w:rsidP="00FF2225">
      <w:r w:rsidRPr="005B0796">
        <w:t>Finally, the ADF</w:t>
      </w:r>
      <w:r w:rsidR="00462A0C" w:rsidRPr="005B0796">
        <w:t>’</w:t>
      </w:r>
      <w:r w:rsidRPr="005B0796">
        <w:t>s opt</w:t>
      </w:r>
      <w:r w:rsidR="00C01061">
        <w:t>imal specific screening cut-off</w:t>
      </w:r>
      <w:r w:rsidRPr="005B0796">
        <w:t xml:space="preserve"> of 6 was also used </w:t>
      </w:r>
      <w:r w:rsidRPr="005B0796">
        <w:fldChar w:fldCharType="begin"/>
      </w:r>
      <w:r w:rsidRPr="005B0796">
        <w:instrText xml:space="preserve"> ADDIN EN.CITE &lt;EndNote&gt;&lt;Cite&gt;&lt;Author&gt;Searle&lt;/Author&gt;&lt;Year&gt;2015&lt;/Year&gt;&lt;RecNum&gt;623&lt;/RecNum&gt;&lt;DisplayText&gt;(Searle et al., 2015)&lt;/DisplayText&gt;&lt;record&gt;&lt;rec-number&gt;623&lt;/rec-number&gt;&lt;foreign-keys&gt;&lt;key app="EN" db-id="arwdrezp9sdawxevtfyxtfw10exvr5exxfed" timestamp="1479956106"&gt;623&lt;/key&gt;&lt;/foreign-keys&gt;&lt;ref-type name="Journal Article"&gt;17&lt;/ref-type&gt;&lt;contributors&gt;&lt;authors&gt;&lt;author&gt;Searle, A. K.&lt;/author&gt;&lt;author&gt;Van Hooff, M.&lt;/author&gt;&lt;author&gt;McFarlane, A. C.&lt;/author&gt;&lt;author&gt;Davies, C. E.&lt;/author&gt;&lt;author&gt;Fairweather-Schmidt, A. K.&lt;/author&gt;&lt;author&gt;Hodson, S. E.&lt;/author&gt;&lt;author&gt;Benassi, H.&lt;/author&gt;&lt;author&gt;Steele, N.&lt;/author&gt;&lt;/authors&gt;&lt;/contributors&gt;&lt;titles&gt;&lt;title&gt;The validity of military screening for mental health problems: Diagnostic accuracy of the PCL, K10 and AUDIT scales in an entire military population&lt;/title&gt;&lt;secondary-title&gt;International Journal of Methods in Psychiatric Research&lt;/secondary-title&gt;&lt;/titles&gt;&lt;periodical&gt;&lt;full-title&gt;International Journal of Methods in Psychiatric Research&lt;/full-title&gt;&lt;/periodical&gt;&lt;pages&gt;32-45&lt;/pages&gt;&lt;volume&gt;24&lt;/volume&gt;&lt;number&gt;1&lt;/number&gt;&lt;dates&gt;&lt;year&gt;2015&lt;/year&gt;&lt;/dates&gt;&lt;urls&gt;&lt;related-urls&gt;&lt;url&gt;http://onlinelibrary.wiley.com/store/10.1002/mpr.1460/asset/mpr1460.pdf?v=1&amp;amp;t=ircv32tw&amp;amp;s=59080a99dd72347fce9bc7aed829bf87c70f5f06&lt;/url&gt;&lt;/related-urls&gt;&lt;/urls&gt;&lt;/record&gt;&lt;/Cite&gt;&lt;/EndNote&gt;</w:instrText>
      </w:r>
      <w:r w:rsidRPr="005B0796">
        <w:fldChar w:fldCharType="separate"/>
      </w:r>
      <w:r w:rsidRPr="005B0796">
        <w:t>(Searle et al., 2015)</w:t>
      </w:r>
      <w:r w:rsidRPr="005B0796">
        <w:fldChar w:fldCharType="end"/>
      </w:r>
      <w:r w:rsidRPr="005B0796">
        <w:t>. This cut</w:t>
      </w:r>
      <w:r w:rsidRPr="005B0796">
        <w:noBreakHyphen/>
        <w:t xml:space="preserve">off was derived from the 2010 MHPWS, and maximises the sum of the sensitivity and specificity (the proportion of those with and without a 30-day affective disorder who are correctly classified). This cut-off can be used to identify individuals who might need care and is designed to be more inclusive. </w:t>
      </w:r>
    </w:p>
    <w:p w:rsidR="00BE715D" w:rsidRPr="005B0796" w:rsidRDefault="00BE715D" w:rsidP="00FF2225">
      <w:pPr>
        <w:pStyle w:val="Heading3"/>
      </w:pPr>
      <w:bookmarkStart w:id="1017" w:name="_Toc482021378"/>
      <w:bookmarkStart w:id="1018" w:name="_Toc482024469"/>
      <w:bookmarkStart w:id="1019" w:name="_Toc487011227"/>
      <w:bookmarkStart w:id="1020" w:name="_Toc494449747"/>
      <w:bookmarkStart w:id="1021" w:name="_Toc511900329"/>
      <w:r w:rsidRPr="005B0796">
        <w:t>Depressive symptoms in the Transitioned ADF</w:t>
      </w:r>
      <w:bookmarkEnd w:id="1017"/>
      <w:bookmarkEnd w:id="1018"/>
      <w:bookmarkEnd w:id="1019"/>
      <w:bookmarkEnd w:id="1020"/>
      <w:bookmarkEnd w:id="1021"/>
    </w:p>
    <w:p w:rsidR="00BE715D" w:rsidRPr="005B0796" w:rsidRDefault="00BE715D" w:rsidP="00FF2225">
      <w:pPr>
        <w:pStyle w:val="Heading4"/>
      </w:pPr>
      <w:bookmarkStart w:id="1022" w:name="_Toc482021379"/>
      <w:bookmarkStart w:id="1023" w:name="_Toc482024470"/>
      <w:r w:rsidRPr="005B0796">
        <w:t>Depressive symptoms in Transitioned ADF compared to the entire 2010 and 2015 Regular ADF</w:t>
      </w:r>
      <w:bookmarkEnd w:id="1022"/>
      <w:bookmarkEnd w:id="1023"/>
      <w:r w:rsidRPr="005B0796">
        <w:t xml:space="preserve"> </w:t>
      </w:r>
    </w:p>
    <w:p w:rsidR="00BE715D" w:rsidRPr="005B0796" w:rsidRDefault="009E72D3" w:rsidP="00FF2225">
      <w:r w:rsidRPr="005B0796">
        <w:t>Table 5.14</w:t>
      </w:r>
      <w:r w:rsidR="00BE715D" w:rsidRPr="005B0796">
        <w:t xml:space="preserve"> and Figure 5.14 compare PHQ-9 scoring bands in Transitioned ADF, 2015 Regular ADF and 2010 Regular ADF.</w:t>
      </w:r>
    </w:p>
    <w:p w:rsidR="00BE715D" w:rsidRPr="005B0796" w:rsidRDefault="00BE715D" w:rsidP="00FF2225">
      <w:r w:rsidRPr="005B0796">
        <w:t>Overall, an estimated 10.5% of Transitioned ADF scored in the severe range for depressive symptoms, 9.0% scored in the moderately severe range and 11.1% scored in the moderate range.</w:t>
      </w:r>
    </w:p>
    <w:p w:rsidR="00BE715D" w:rsidRPr="005B0796" w:rsidRDefault="00BE715D" w:rsidP="00FF2225">
      <w:r w:rsidRPr="005B0796">
        <w:t xml:space="preserve">The mean PHQ-9 score for the Transitioned ADF was 7.6 (SE 0.1) (95% CI 7.4, 7.9), with 48.6% (n = 12,120, 95% 46.8, 50.4) scoring equal to or above the ADF screening cut-off of 6, indicating the need for further diagnostic assessment of depressive disorder. </w:t>
      </w:r>
    </w:p>
    <w:p w:rsidR="00BE715D" w:rsidRPr="005B0796" w:rsidRDefault="00BE715D" w:rsidP="00FF2225">
      <w:r w:rsidRPr="005B0796">
        <w:t>In 2015, the Transitioned ADF reported the highest levels of self-reported depressive symptoms, followed by the 2015 Regular ADF and the 2010 Regular ADF. Transitioned ADF members (mean PHQ-9 (SE 7.6) (0.1)) reported significantly greater levels of depressive symptoms than the 2015 Regular ADF (mean PHQ-9 (SE 5.1) (0.2)) (mean difference (SE 2.1) (0.3), 95% CI 1.5, 2.7 p &lt; 0.001). Also, depressive symptoms overall significantly increased in the Regular ADF from 2010 to 2015, with the 2015 Regular ADF (mean PHQ-9 (SE 5.1) (0.2)) reporting significantly greater levels of depressive symptoms than the 2010 Regular ADF (mean PHQ-9 (SE 2.9) (0.0)) (mean difference 2.3, 95% CI 1.8, 2.7) p &lt; 0.001). However, it should be noted that this comparison does not include any estimate of covariance between the two populations.</w:t>
      </w:r>
    </w:p>
    <w:p w:rsidR="00BE715D" w:rsidRPr="005B0796" w:rsidRDefault="00BE715D" w:rsidP="00FF2225">
      <w:r w:rsidRPr="005B0796">
        <w:t>The issue of individual change in depressive symptoms and disorder over time in this group will be addressed in a later Programme report.</w:t>
      </w:r>
    </w:p>
    <w:p w:rsidR="00BE715D" w:rsidRPr="005B0796" w:rsidRDefault="00FF2225" w:rsidP="00FF2225">
      <w:pPr>
        <w:pStyle w:val="TableName"/>
        <w:rPr>
          <w:szCs w:val="22"/>
        </w:rPr>
      </w:pPr>
      <w:bookmarkStart w:id="1024" w:name="_Ref484523474"/>
      <w:bookmarkStart w:id="1025" w:name="_Toc487014315"/>
      <w:bookmarkStart w:id="1026" w:name="_Toc492995618"/>
      <w:bookmarkStart w:id="1027" w:name="_Toc51190046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14</w:t>
      </w:r>
      <w:r w:rsidR="00D30A3C">
        <w:rPr>
          <w:noProof/>
        </w:rPr>
        <w:fldChar w:fldCharType="end"/>
      </w:r>
      <w:bookmarkEnd w:id="1024"/>
      <w:r w:rsidRPr="005B0796">
        <w:tab/>
        <w:t>Estimated proportions o</w:t>
      </w:r>
      <w:r w:rsidR="00C01061">
        <w:t>f</w:t>
      </w:r>
      <w:r w:rsidRPr="005B0796">
        <w:t xml:space="preserve"> Transitioned ADF, 2010 and 2015 Regular ADF in each PHQ-9 scoring band for depressive symptoms</w:t>
      </w:r>
      <w:bookmarkEnd w:id="1025"/>
      <w:bookmarkEnd w:id="1026"/>
      <w:bookmarkEnd w:id="1027"/>
    </w:p>
    <w:tbl>
      <w:tblPr>
        <w:tblStyle w:val="TWRPTable"/>
        <w:tblW w:w="5000" w:type="pct"/>
        <w:tblLayout w:type="fixed"/>
        <w:tblLook w:val="01E0" w:firstRow="1" w:lastRow="1" w:firstColumn="1" w:lastColumn="1" w:noHBand="0" w:noVBand="0"/>
        <w:tblDescription w:val="Table 5.14 Estimated proportions for Transitioned ADF, 2010 and 2015 Regular ADF in each PHQ-9 scoring band for depressive symptoms"/>
      </w:tblPr>
      <w:tblGrid>
        <w:gridCol w:w="1217"/>
        <w:gridCol w:w="734"/>
        <w:gridCol w:w="647"/>
        <w:gridCol w:w="651"/>
        <w:gridCol w:w="735"/>
        <w:gridCol w:w="647"/>
        <w:gridCol w:w="651"/>
        <w:gridCol w:w="735"/>
        <w:gridCol w:w="647"/>
        <w:gridCol w:w="651"/>
      </w:tblGrid>
      <w:tr w:rsidR="00BE715D" w:rsidRPr="005B0796" w:rsidTr="00FF2225">
        <w:trPr>
          <w:cnfStyle w:val="100000000000" w:firstRow="1" w:lastRow="0" w:firstColumn="0" w:lastColumn="0" w:oddVBand="0" w:evenVBand="0" w:oddHBand="0" w:evenHBand="0" w:firstRowFirstColumn="0" w:firstRowLastColumn="0" w:lastRowFirstColumn="0" w:lastRowLastColumn="0"/>
          <w:tblHeader/>
        </w:trPr>
        <w:tc>
          <w:tcPr>
            <w:tcW w:w="1217" w:type="dxa"/>
            <w:tcBorders>
              <w:top w:val="single" w:sz="4" w:space="0" w:color="000000"/>
              <w:bottom w:val="nil"/>
            </w:tcBorders>
          </w:tcPr>
          <w:p w:rsidR="00BE715D" w:rsidRPr="005B0796" w:rsidRDefault="00BE715D" w:rsidP="00FF2225">
            <w:pPr>
              <w:pStyle w:val="TableText"/>
            </w:pPr>
          </w:p>
        </w:tc>
        <w:tc>
          <w:tcPr>
            <w:tcW w:w="2032" w:type="dxa"/>
            <w:gridSpan w:val="3"/>
          </w:tcPr>
          <w:p w:rsidR="00BE715D" w:rsidRPr="005B0796" w:rsidRDefault="00FF2225" w:rsidP="00FF2225">
            <w:pPr>
              <w:pStyle w:val="TableText"/>
              <w:jc w:val="center"/>
            </w:pPr>
            <w:r w:rsidRPr="005B0796">
              <w:t>Transitioned ADF</w:t>
            </w:r>
            <w:r w:rsidRPr="005B0796">
              <w:br/>
              <w:t>(n = 24,932)</w:t>
            </w:r>
          </w:p>
        </w:tc>
        <w:tc>
          <w:tcPr>
            <w:tcW w:w="2033" w:type="dxa"/>
            <w:gridSpan w:val="3"/>
          </w:tcPr>
          <w:p w:rsidR="00BE715D" w:rsidRPr="005B0796" w:rsidRDefault="00FF2225" w:rsidP="00FF2225">
            <w:pPr>
              <w:pStyle w:val="TableText"/>
              <w:jc w:val="center"/>
            </w:pPr>
            <w:r w:rsidRPr="005B0796">
              <w:t>2015 Regular ADF</w:t>
            </w:r>
            <w:r w:rsidRPr="005B0796">
              <w:br/>
              <w:t>(n = 52,500)</w:t>
            </w:r>
          </w:p>
        </w:tc>
        <w:tc>
          <w:tcPr>
            <w:tcW w:w="2033" w:type="dxa"/>
            <w:gridSpan w:val="3"/>
          </w:tcPr>
          <w:p w:rsidR="00BE715D" w:rsidRPr="005B0796" w:rsidRDefault="00BE715D" w:rsidP="00FF2225">
            <w:pPr>
              <w:pStyle w:val="TableText"/>
              <w:jc w:val="center"/>
            </w:pPr>
            <w:r w:rsidRPr="005B0796">
              <w:t xml:space="preserve">2010 Regular ADF </w:t>
            </w:r>
            <w:r w:rsidR="00FF2225" w:rsidRPr="005B0796">
              <w:br/>
              <w:t>(n = 50,049)*</w:t>
            </w:r>
          </w:p>
        </w:tc>
      </w:tr>
      <w:tr w:rsidR="00FF2225" w:rsidRPr="005B0796" w:rsidTr="00FF2225">
        <w:trPr>
          <w:cnfStyle w:val="100000000000" w:firstRow="1" w:lastRow="0" w:firstColumn="0" w:lastColumn="0" w:oddVBand="0" w:evenVBand="0" w:oddHBand="0" w:evenHBand="0" w:firstRowFirstColumn="0" w:firstRowLastColumn="0" w:lastRowFirstColumn="0" w:lastRowLastColumn="0"/>
          <w:tblHeader/>
        </w:trPr>
        <w:tc>
          <w:tcPr>
            <w:tcW w:w="1217" w:type="dxa"/>
            <w:tcBorders>
              <w:top w:val="nil"/>
            </w:tcBorders>
          </w:tcPr>
          <w:p w:rsidR="00BE715D" w:rsidRPr="005B0796" w:rsidRDefault="00BE715D" w:rsidP="00FF2225">
            <w:pPr>
              <w:pStyle w:val="TableText"/>
            </w:pPr>
          </w:p>
        </w:tc>
        <w:tc>
          <w:tcPr>
            <w:tcW w:w="734" w:type="dxa"/>
            <w:hideMark/>
          </w:tcPr>
          <w:p w:rsidR="00BE715D" w:rsidRPr="005B0796" w:rsidRDefault="00BE715D" w:rsidP="00FF2225">
            <w:pPr>
              <w:pStyle w:val="TableText"/>
              <w:jc w:val="right"/>
            </w:pPr>
            <w:r w:rsidRPr="005B0796">
              <w:t>Weighted n</w:t>
            </w:r>
          </w:p>
        </w:tc>
        <w:tc>
          <w:tcPr>
            <w:tcW w:w="647" w:type="dxa"/>
            <w:hideMark/>
          </w:tcPr>
          <w:p w:rsidR="00BE715D" w:rsidRPr="005B0796" w:rsidRDefault="00BE715D" w:rsidP="00FF2225">
            <w:pPr>
              <w:pStyle w:val="TableText"/>
              <w:jc w:val="right"/>
            </w:pPr>
            <w:r w:rsidRPr="005B0796">
              <w:t>%</w:t>
            </w:r>
          </w:p>
        </w:tc>
        <w:tc>
          <w:tcPr>
            <w:tcW w:w="651" w:type="dxa"/>
            <w:hideMark/>
          </w:tcPr>
          <w:p w:rsidR="00BE715D" w:rsidRPr="005B0796" w:rsidRDefault="00BE715D" w:rsidP="00FF2225">
            <w:pPr>
              <w:pStyle w:val="TableText"/>
              <w:jc w:val="right"/>
            </w:pPr>
            <w:r w:rsidRPr="005B0796">
              <w:t xml:space="preserve"> 95% CI</w:t>
            </w:r>
          </w:p>
        </w:tc>
        <w:tc>
          <w:tcPr>
            <w:tcW w:w="735" w:type="dxa"/>
            <w:hideMark/>
          </w:tcPr>
          <w:p w:rsidR="00BE715D" w:rsidRPr="005B0796" w:rsidRDefault="00BE715D" w:rsidP="00FF2225">
            <w:pPr>
              <w:pStyle w:val="TableText"/>
              <w:jc w:val="right"/>
            </w:pPr>
            <w:r w:rsidRPr="005B0796">
              <w:t>Weighted n</w:t>
            </w:r>
          </w:p>
        </w:tc>
        <w:tc>
          <w:tcPr>
            <w:tcW w:w="647" w:type="dxa"/>
            <w:hideMark/>
          </w:tcPr>
          <w:p w:rsidR="00BE715D" w:rsidRPr="005B0796" w:rsidRDefault="00BE715D" w:rsidP="00FF2225">
            <w:pPr>
              <w:pStyle w:val="TableText"/>
              <w:jc w:val="right"/>
            </w:pPr>
            <w:r w:rsidRPr="005B0796">
              <w:t>%</w:t>
            </w:r>
          </w:p>
        </w:tc>
        <w:tc>
          <w:tcPr>
            <w:tcW w:w="651" w:type="dxa"/>
            <w:hideMark/>
          </w:tcPr>
          <w:p w:rsidR="00BE715D" w:rsidRPr="005B0796" w:rsidRDefault="00BE715D" w:rsidP="00FF2225">
            <w:pPr>
              <w:pStyle w:val="TableText"/>
              <w:jc w:val="right"/>
            </w:pPr>
            <w:r w:rsidRPr="005B0796">
              <w:t xml:space="preserve"> 95% CI</w:t>
            </w:r>
          </w:p>
        </w:tc>
        <w:tc>
          <w:tcPr>
            <w:tcW w:w="735" w:type="dxa"/>
            <w:hideMark/>
          </w:tcPr>
          <w:p w:rsidR="00BE715D" w:rsidRPr="005B0796" w:rsidRDefault="00BE715D" w:rsidP="00FF2225">
            <w:pPr>
              <w:pStyle w:val="TableText"/>
              <w:jc w:val="right"/>
            </w:pPr>
            <w:r w:rsidRPr="005B0796">
              <w:t>Weighted n</w:t>
            </w:r>
          </w:p>
        </w:tc>
        <w:tc>
          <w:tcPr>
            <w:tcW w:w="647" w:type="dxa"/>
            <w:hideMark/>
          </w:tcPr>
          <w:p w:rsidR="00BE715D" w:rsidRPr="005B0796" w:rsidRDefault="00BE715D" w:rsidP="00FF2225">
            <w:pPr>
              <w:pStyle w:val="TableText"/>
              <w:jc w:val="right"/>
            </w:pPr>
            <w:r w:rsidRPr="005B0796">
              <w:t>%</w:t>
            </w:r>
          </w:p>
        </w:tc>
        <w:tc>
          <w:tcPr>
            <w:tcW w:w="651" w:type="dxa"/>
            <w:hideMark/>
          </w:tcPr>
          <w:p w:rsidR="00BE715D" w:rsidRPr="005B0796" w:rsidRDefault="00BE715D" w:rsidP="00FF2225">
            <w:pPr>
              <w:pStyle w:val="TableText"/>
              <w:jc w:val="right"/>
            </w:pPr>
            <w:r w:rsidRPr="005B0796">
              <w:t>95% CI</w:t>
            </w:r>
          </w:p>
        </w:tc>
      </w:tr>
      <w:tr w:rsidR="00BE715D" w:rsidRPr="005B0796" w:rsidTr="00FF2225">
        <w:trPr>
          <w:cnfStyle w:val="000000100000" w:firstRow="0" w:lastRow="0" w:firstColumn="0" w:lastColumn="0" w:oddVBand="0" w:evenVBand="0" w:oddHBand="1" w:evenHBand="0" w:firstRowFirstColumn="0" w:firstRowLastColumn="0" w:lastRowFirstColumn="0" w:lastRowLastColumn="0"/>
        </w:trPr>
        <w:tc>
          <w:tcPr>
            <w:tcW w:w="1217" w:type="dxa"/>
            <w:hideMark/>
          </w:tcPr>
          <w:p w:rsidR="00BE715D" w:rsidRPr="005B0796" w:rsidRDefault="00BE715D" w:rsidP="00FF2225">
            <w:pPr>
              <w:pStyle w:val="TableText"/>
              <w:rPr>
                <w:rFonts w:eastAsia="GillSans"/>
                <w:lang w:eastAsia="en-AU"/>
              </w:rPr>
            </w:pPr>
            <w:r w:rsidRPr="005B0796">
              <w:rPr>
                <w:lang w:eastAsia="en-AU"/>
              </w:rPr>
              <w:t>Minimal (0–4)</w:t>
            </w:r>
          </w:p>
        </w:tc>
        <w:tc>
          <w:tcPr>
            <w:tcW w:w="734" w:type="dxa"/>
            <w:hideMark/>
          </w:tcPr>
          <w:p w:rsidR="00BE715D" w:rsidRPr="005B0796" w:rsidRDefault="00BE715D" w:rsidP="00FF2225">
            <w:pPr>
              <w:pStyle w:val="TableText"/>
              <w:jc w:val="right"/>
              <w:rPr>
                <w:lang w:eastAsia="en-AU"/>
              </w:rPr>
            </w:pPr>
            <w:r w:rsidRPr="005B0796">
              <w:rPr>
                <w:lang w:eastAsia="en-AU"/>
              </w:rPr>
              <w:t>11,342</w:t>
            </w:r>
          </w:p>
        </w:tc>
        <w:tc>
          <w:tcPr>
            <w:tcW w:w="647" w:type="dxa"/>
            <w:hideMark/>
          </w:tcPr>
          <w:p w:rsidR="00BE715D" w:rsidRPr="005B0796" w:rsidRDefault="00BE715D" w:rsidP="00FF2225">
            <w:pPr>
              <w:pStyle w:val="TableText"/>
              <w:jc w:val="right"/>
              <w:rPr>
                <w:lang w:eastAsia="en-AU"/>
              </w:rPr>
            </w:pPr>
            <w:r w:rsidRPr="005B0796">
              <w:rPr>
                <w:lang w:eastAsia="en-AU"/>
              </w:rPr>
              <w:t>45.5</w:t>
            </w:r>
          </w:p>
        </w:tc>
        <w:tc>
          <w:tcPr>
            <w:tcW w:w="651" w:type="dxa"/>
            <w:hideMark/>
          </w:tcPr>
          <w:p w:rsidR="00BE715D" w:rsidRPr="005B0796" w:rsidRDefault="00BE715D" w:rsidP="00FF2225">
            <w:pPr>
              <w:pStyle w:val="TableText"/>
              <w:jc w:val="right"/>
              <w:rPr>
                <w:lang w:eastAsia="en-AU"/>
              </w:rPr>
            </w:pPr>
            <w:r w:rsidRPr="005B0796">
              <w:rPr>
                <w:lang w:eastAsia="en-AU"/>
              </w:rPr>
              <w:t>43.7, 47.3</w:t>
            </w:r>
          </w:p>
        </w:tc>
        <w:tc>
          <w:tcPr>
            <w:tcW w:w="735" w:type="dxa"/>
            <w:hideMark/>
          </w:tcPr>
          <w:p w:rsidR="00BE715D" w:rsidRPr="005B0796" w:rsidRDefault="00BE715D" w:rsidP="00FF2225">
            <w:pPr>
              <w:pStyle w:val="TableText"/>
              <w:jc w:val="right"/>
              <w:rPr>
                <w:lang w:eastAsia="en-AU"/>
              </w:rPr>
            </w:pPr>
            <w:r w:rsidRPr="005B0796">
              <w:rPr>
                <w:lang w:eastAsia="en-AU"/>
              </w:rPr>
              <w:t>29,505</w:t>
            </w:r>
          </w:p>
        </w:tc>
        <w:tc>
          <w:tcPr>
            <w:tcW w:w="647" w:type="dxa"/>
            <w:hideMark/>
          </w:tcPr>
          <w:p w:rsidR="00BE715D" w:rsidRPr="005B0796" w:rsidRDefault="00BE715D" w:rsidP="00FF2225">
            <w:pPr>
              <w:pStyle w:val="TableText"/>
              <w:jc w:val="right"/>
              <w:rPr>
                <w:lang w:eastAsia="en-AU"/>
              </w:rPr>
            </w:pPr>
            <w:r w:rsidRPr="005B0796">
              <w:rPr>
                <w:lang w:eastAsia="en-AU"/>
              </w:rPr>
              <w:t>56.2</w:t>
            </w:r>
          </w:p>
        </w:tc>
        <w:tc>
          <w:tcPr>
            <w:tcW w:w="651" w:type="dxa"/>
            <w:hideMark/>
          </w:tcPr>
          <w:p w:rsidR="00BE715D" w:rsidRPr="005B0796" w:rsidRDefault="00BE715D" w:rsidP="00FF2225">
            <w:pPr>
              <w:pStyle w:val="TableText"/>
              <w:jc w:val="right"/>
              <w:rPr>
                <w:lang w:eastAsia="en-AU"/>
              </w:rPr>
            </w:pPr>
            <w:r w:rsidRPr="005B0796">
              <w:rPr>
                <w:lang w:eastAsia="en-AU"/>
              </w:rPr>
              <w:t>52.6, 59.7</w:t>
            </w:r>
          </w:p>
        </w:tc>
        <w:tc>
          <w:tcPr>
            <w:tcW w:w="735" w:type="dxa"/>
            <w:hideMark/>
          </w:tcPr>
          <w:p w:rsidR="00BE715D" w:rsidRPr="005B0796" w:rsidRDefault="00BE715D" w:rsidP="00FF2225">
            <w:pPr>
              <w:pStyle w:val="TableText"/>
              <w:jc w:val="right"/>
              <w:rPr>
                <w:lang w:eastAsia="en-AU"/>
              </w:rPr>
            </w:pPr>
            <w:r w:rsidRPr="005B0796">
              <w:rPr>
                <w:lang w:eastAsia="en-AU"/>
              </w:rPr>
              <w:t>38,821</w:t>
            </w:r>
          </w:p>
        </w:tc>
        <w:tc>
          <w:tcPr>
            <w:tcW w:w="647" w:type="dxa"/>
            <w:hideMark/>
          </w:tcPr>
          <w:p w:rsidR="00BE715D" w:rsidRPr="005B0796" w:rsidRDefault="00BE715D" w:rsidP="00FF2225">
            <w:pPr>
              <w:pStyle w:val="TableText"/>
              <w:jc w:val="right"/>
              <w:rPr>
                <w:lang w:eastAsia="en-AU"/>
              </w:rPr>
            </w:pPr>
            <w:r w:rsidRPr="005B0796">
              <w:rPr>
                <w:lang w:eastAsia="en-AU"/>
              </w:rPr>
              <w:t>77.6</w:t>
            </w:r>
          </w:p>
        </w:tc>
        <w:tc>
          <w:tcPr>
            <w:tcW w:w="651" w:type="dxa"/>
            <w:hideMark/>
          </w:tcPr>
          <w:p w:rsidR="00BE715D" w:rsidRPr="005B0796" w:rsidRDefault="00BE715D" w:rsidP="00FF2225">
            <w:pPr>
              <w:pStyle w:val="TableText"/>
              <w:jc w:val="right"/>
              <w:rPr>
                <w:lang w:eastAsia="en-AU"/>
              </w:rPr>
            </w:pPr>
            <w:r w:rsidRPr="005B0796">
              <w:rPr>
                <w:lang w:eastAsia="en-AU"/>
              </w:rPr>
              <w:t>77.1, 78.1</w:t>
            </w:r>
          </w:p>
        </w:tc>
      </w:tr>
      <w:tr w:rsidR="00FF2225" w:rsidRPr="005B0796" w:rsidTr="00FF2225">
        <w:tc>
          <w:tcPr>
            <w:tcW w:w="1217" w:type="dxa"/>
            <w:hideMark/>
          </w:tcPr>
          <w:p w:rsidR="00BE715D" w:rsidRPr="005B0796" w:rsidRDefault="00BE715D" w:rsidP="00FF2225">
            <w:pPr>
              <w:pStyle w:val="TableText"/>
              <w:rPr>
                <w:rFonts w:eastAsia="GillSans"/>
                <w:lang w:eastAsia="en-AU"/>
              </w:rPr>
            </w:pPr>
            <w:r w:rsidRPr="005B0796">
              <w:rPr>
                <w:lang w:eastAsia="en-AU"/>
              </w:rPr>
              <w:t>Mild (5–9)</w:t>
            </w:r>
          </w:p>
        </w:tc>
        <w:tc>
          <w:tcPr>
            <w:tcW w:w="734" w:type="dxa"/>
            <w:hideMark/>
          </w:tcPr>
          <w:p w:rsidR="00BE715D" w:rsidRPr="005B0796" w:rsidRDefault="00BE715D" w:rsidP="00FF2225">
            <w:pPr>
              <w:pStyle w:val="TableText"/>
              <w:jc w:val="right"/>
              <w:rPr>
                <w:lang w:eastAsia="en-AU"/>
              </w:rPr>
            </w:pPr>
            <w:r w:rsidRPr="005B0796">
              <w:rPr>
                <w:lang w:eastAsia="en-AU"/>
              </w:rPr>
              <w:t>5788</w:t>
            </w:r>
          </w:p>
        </w:tc>
        <w:tc>
          <w:tcPr>
            <w:tcW w:w="647" w:type="dxa"/>
            <w:hideMark/>
          </w:tcPr>
          <w:p w:rsidR="00BE715D" w:rsidRPr="005B0796" w:rsidRDefault="00BE715D" w:rsidP="00FF2225">
            <w:pPr>
              <w:pStyle w:val="TableText"/>
              <w:jc w:val="right"/>
              <w:rPr>
                <w:lang w:eastAsia="en-AU"/>
              </w:rPr>
            </w:pPr>
            <w:r w:rsidRPr="005B0796">
              <w:rPr>
                <w:lang w:eastAsia="en-AU"/>
              </w:rPr>
              <w:t>23.2</w:t>
            </w:r>
          </w:p>
        </w:tc>
        <w:tc>
          <w:tcPr>
            <w:tcW w:w="651" w:type="dxa"/>
            <w:hideMark/>
          </w:tcPr>
          <w:p w:rsidR="00BE715D" w:rsidRPr="005B0796" w:rsidRDefault="00BE715D" w:rsidP="00FF2225">
            <w:pPr>
              <w:pStyle w:val="TableText"/>
              <w:jc w:val="right"/>
              <w:rPr>
                <w:lang w:eastAsia="en-AU"/>
              </w:rPr>
            </w:pPr>
            <w:r w:rsidRPr="005B0796">
              <w:rPr>
                <w:lang w:eastAsia="en-AU"/>
              </w:rPr>
              <w:t>21.7, 24.8</w:t>
            </w:r>
          </w:p>
        </w:tc>
        <w:tc>
          <w:tcPr>
            <w:tcW w:w="735" w:type="dxa"/>
            <w:hideMark/>
          </w:tcPr>
          <w:p w:rsidR="00BE715D" w:rsidRPr="005B0796" w:rsidRDefault="00BE715D" w:rsidP="00FF2225">
            <w:pPr>
              <w:pStyle w:val="TableText"/>
              <w:jc w:val="right"/>
              <w:rPr>
                <w:lang w:eastAsia="en-AU"/>
              </w:rPr>
            </w:pPr>
            <w:r w:rsidRPr="005B0796">
              <w:rPr>
                <w:lang w:eastAsia="en-AU"/>
              </w:rPr>
              <w:t>13,391</w:t>
            </w:r>
          </w:p>
        </w:tc>
        <w:tc>
          <w:tcPr>
            <w:tcW w:w="647" w:type="dxa"/>
            <w:hideMark/>
          </w:tcPr>
          <w:p w:rsidR="00BE715D" w:rsidRPr="005B0796" w:rsidRDefault="00BE715D" w:rsidP="00FF2225">
            <w:pPr>
              <w:pStyle w:val="TableText"/>
              <w:jc w:val="right"/>
              <w:rPr>
                <w:lang w:eastAsia="en-AU"/>
              </w:rPr>
            </w:pPr>
            <w:r w:rsidRPr="005B0796">
              <w:rPr>
                <w:lang w:eastAsia="en-AU"/>
              </w:rPr>
              <w:t>25.5</w:t>
            </w:r>
          </w:p>
        </w:tc>
        <w:tc>
          <w:tcPr>
            <w:tcW w:w="651" w:type="dxa"/>
            <w:hideMark/>
          </w:tcPr>
          <w:p w:rsidR="00BE715D" w:rsidRPr="005B0796" w:rsidRDefault="00BE715D" w:rsidP="00FF2225">
            <w:pPr>
              <w:pStyle w:val="TableText"/>
              <w:jc w:val="right"/>
              <w:rPr>
                <w:lang w:eastAsia="en-AU"/>
              </w:rPr>
            </w:pPr>
            <w:r w:rsidRPr="005B0796">
              <w:rPr>
                <w:lang w:eastAsia="en-AU"/>
              </w:rPr>
              <w:t>22.4, 28.9</w:t>
            </w:r>
          </w:p>
        </w:tc>
        <w:tc>
          <w:tcPr>
            <w:tcW w:w="735" w:type="dxa"/>
            <w:hideMark/>
          </w:tcPr>
          <w:p w:rsidR="00BE715D" w:rsidRPr="005B0796" w:rsidRDefault="00BE715D" w:rsidP="00FF2225">
            <w:pPr>
              <w:pStyle w:val="TableText"/>
              <w:jc w:val="right"/>
              <w:rPr>
                <w:lang w:eastAsia="en-AU"/>
              </w:rPr>
            </w:pPr>
            <w:r w:rsidRPr="005B0796">
              <w:rPr>
                <w:lang w:eastAsia="en-AU"/>
              </w:rPr>
              <w:t>7710</w:t>
            </w:r>
          </w:p>
        </w:tc>
        <w:tc>
          <w:tcPr>
            <w:tcW w:w="647" w:type="dxa"/>
            <w:hideMark/>
          </w:tcPr>
          <w:p w:rsidR="00BE715D" w:rsidRPr="005B0796" w:rsidRDefault="00BE715D" w:rsidP="00FF2225">
            <w:pPr>
              <w:pStyle w:val="TableText"/>
              <w:jc w:val="right"/>
              <w:rPr>
                <w:lang w:eastAsia="en-AU"/>
              </w:rPr>
            </w:pPr>
            <w:r w:rsidRPr="005B0796">
              <w:rPr>
                <w:lang w:eastAsia="en-AU"/>
              </w:rPr>
              <w:t>15.4</w:t>
            </w:r>
          </w:p>
        </w:tc>
        <w:tc>
          <w:tcPr>
            <w:tcW w:w="651" w:type="dxa"/>
            <w:hideMark/>
          </w:tcPr>
          <w:p w:rsidR="00BE715D" w:rsidRPr="005B0796" w:rsidRDefault="00BE715D" w:rsidP="00FF2225">
            <w:pPr>
              <w:pStyle w:val="TableText"/>
              <w:jc w:val="right"/>
              <w:rPr>
                <w:lang w:eastAsia="en-AU"/>
              </w:rPr>
            </w:pPr>
            <w:r w:rsidRPr="005B0796">
              <w:rPr>
                <w:lang w:eastAsia="en-AU"/>
              </w:rPr>
              <w:t>15.0, 15.8</w:t>
            </w:r>
          </w:p>
        </w:tc>
      </w:tr>
      <w:tr w:rsidR="00BE715D" w:rsidRPr="005B0796" w:rsidTr="00FF2225">
        <w:trPr>
          <w:cnfStyle w:val="000000100000" w:firstRow="0" w:lastRow="0" w:firstColumn="0" w:lastColumn="0" w:oddVBand="0" w:evenVBand="0" w:oddHBand="1" w:evenHBand="0" w:firstRowFirstColumn="0" w:firstRowLastColumn="0" w:lastRowFirstColumn="0" w:lastRowLastColumn="0"/>
        </w:trPr>
        <w:tc>
          <w:tcPr>
            <w:tcW w:w="1217" w:type="dxa"/>
            <w:hideMark/>
          </w:tcPr>
          <w:p w:rsidR="00BE715D" w:rsidRPr="005B0796" w:rsidRDefault="00BE715D" w:rsidP="00FF2225">
            <w:pPr>
              <w:pStyle w:val="TableText"/>
              <w:rPr>
                <w:rFonts w:eastAsia="GillSans"/>
                <w:lang w:eastAsia="en-AU"/>
              </w:rPr>
            </w:pPr>
            <w:r w:rsidRPr="005B0796">
              <w:rPr>
                <w:lang w:eastAsia="en-AU"/>
              </w:rPr>
              <w:t>Moderate</w:t>
            </w:r>
            <w:r w:rsidRPr="005B0796">
              <w:rPr>
                <w:lang w:eastAsia="en-AU"/>
              </w:rPr>
              <w:br/>
              <w:t>(10–14)</w:t>
            </w:r>
          </w:p>
        </w:tc>
        <w:tc>
          <w:tcPr>
            <w:tcW w:w="734" w:type="dxa"/>
            <w:hideMark/>
          </w:tcPr>
          <w:p w:rsidR="00BE715D" w:rsidRPr="005B0796" w:rsidRDefault="00BE715D" w:rsidP="00FF2225">
            <w:pPr>
              <w:pStyle w:val="TableText"/>
              <w:jc w:val="right"/>
              <w:rPr>
                <w:lang w:eastAsia="en-AU"/>
              </w:rPr>
            </w:pPr>
            <w:r w:rsidRPr="005B0796">
              <w:rPr>
                <w:lang w:eastAsia="en-AU"/>
              </w:rPr>
              <w:t>2764</w:t>
            </w:r>
          </w:p>
        </w:tc>
        <w:tc>
          <w:tcPr>
            <w:tcW w:w="647" w:type="dxa"/>
            <w:hideMark/>
          </w:tcPr>
          <w:p w:rsidR="00BE715D" w:rsidRPr="005B0796" w:rsidRDefault="00BE715D" w:rsidP="00FF2225">
            <w:pPr>
              <w:pStyle w:val="TableText"/>
              <w:jc w:val="right"/>
              <w:rPr>
                <w:lang w:eastAsia="en-AU"/>
              </w:rPr>
            </w:pPr>
            <w:r w:rsidRPr="005B0796">
              <w:rPr>
                <w:lang w:eastAsia="en-AU"/>
              </w:rPr>
              <w:t>11.1</w:t>
            </w:r>
          </w:p>
        </w:tc>
        <w:tc>
          <w:tcPr>
            <w:tcW w:w="651" w:type="dxa"/>
            <w:hideMark/>
          </w:tcPr>
          <w:p w:rsidR="00BE715D" w:rsidRPr="005B0796" w:rsidRDefault="00BE715D" w:rsidP="00FF2225">
            <w:pPr>
              <w:pStyle w:val="TableText"/>
              <w:jc w:val="right"/>
              <w:rPr>
                <w:lang w:eastAsia="en-AU"/>
              </w:rPr>
            </w:pPr>
            <w:r w:rsidRPr="005B0796">
              <w:rPr>
                <w:lang w:eastAsia="en-AU"/>
              </w:rPr>
              <w:t>9.9, 12.3</w:t>
            </w:r>
          </w:p>
        </w:tc>
        <w:tc>
          <w:tcPr>
            <w:tcW w:w="735" w:type="dxa"/>
            <w:hideMark/>
          </w:tcPr>
          <w:p w:rsidR="00BE715D" w:rsidRPr="005B0796" w:rsidRDefault="00BE715D" w:rsidP="00FF2225">
            <w:pPr>
              <w:pStyle w:val="TableText"/>
              <w:jc w:val="right"/>
              <w:rPr>
                <w:lang w:eastAsia="en-AU"/>
              </w:rPr>
            </w:pPr>
            <w:r w:rsidRPr="005B0796">
              <w:rPr>
                <w:lang w:eastAsia="en-AU"/>
              </w:rPr>
              <w:t>5228</w:t>
            </w:r>
          </w:p>
        </w:tc>
        <w:tc>
          <w:tcPr>
            <w:tcW w:w="647" w:type="dxa"/>
            <w:hideMark/>
          </w:tcPr>
          <w:p w:rsidR="00BE715D" w:rsidRPr="005B0796" w:rsidRDefault="00BE715D" w:rsidP="00FF2225">
            <w:pPr>
              <w:pStyle w:val="TableText"/>
              <w:jc w:val="right"/>
              <w:rPr>
                <w:lang w:eastAsia="en-AU"/>
              </w:rPr>
            </w:pPr>
            <w:r w:rsidRPr="005B0796">
              <w:rPr>
                <w:lang w:eastAsia="en-AU"/>
              </w:rPr>
              <w:t>9.9</w:t>
            </w:r>
          </w:p>
        </w:tc>
        <w:tc>
          <w:tcPr>
            <w:tcW w:w="651" w:type="dxa"/>
            <w:hideMark/>
          </w:tcPr>
          <w:p w:rsidR="00BE715D" w:rsidRPr="005B0796" w:rsidRDefault="00BE715D" w:rsidP="00FF2225">
            <w:pPr>
              <w:pStyle w:val="TableText"/>
              <w:jc w:val="right"/>
              <w:rPr>
                <w:lang w:eastAsia="en-AU"/>
              </w:rPr>
            </w:pPr>
            <w:r w:rsidRPr="005B0796">
              <w:rPr>
                <w:lang w:eastAsia="en-AU"/>
              </w:rPr>
              <w:t>7.9, 12.5</w:t>
            </w:r>
          </w:p>
        </w:tc>
        <w:tc>
          <w:tcPr>
            <w:tcW w:w="735" w:type="dxa"/>
            <w:hideMark/>
          </w:tcPr>
          <w:p w:rsidR="00BE715D" w:rsidRPr="005B0796" w:rsidRDefault="00BE715D" w:rsidP="00FF2225">
            <w:pPr>
              <w:pStyle w:val="TableText"/>
              <w:jc w:val="right"/>
              <w:rPr>
                <w:lang w:eastAsia="en-AU"/>
              </w:rPr>
            </w:pPr>
            <w:r w:rsidRPr="005B0796">
              <w:rPr>
                <w:lang w:eastAsia="en-AU"/>
              </w:rPr>
              <w:t>2259</w:t>
            </w:r>
          </w:p>
        </w:tc>
        <w:tc>
          <w:tcPr>
            <w:tcW w:w="647" w:type="dxa"/>
            <w:hideMark/>
          </w:tcPr>
          <w:p w:rsidR="00BE715D" w:rsidRPr="005B0796" w:rsidRDefault="00BE715D" w:rsidP="00FF2225">
            <w:pPr>
              <w:pStyle w:val="TableText"/>
              <w:jc w:val="right"/>
              <w:rPr>
                <w:lang w:eastAsia="en-AU"/>
              </w:rPr>
            </w:pPr>
            <w:r w:rsidRPr="005B0796">
              <w:rPr>
                <w:lang w:eastAsia="en-AU"/>
              </w:rPr>
              <w:t>4.5</w:t>
            </w:r>
          </w:p>
        </w:tc>
        <w:tc>
          <w:tcPr>
            <w:tcW w:w="651" w:type="dxa"/>
            <w:hideMark/>
          </w:tcPr>
          <w:p w:rsidR="00BE715D" w:rsidRPr="005B0796" w:rsidRDefault="00BE715D" w:rsidP="00FF2225">
            <w:pPr>
              <w:pStyle w:val="TableText"/>
              <w:jc w:val="right"/>
              <w:rPr>
                <w:lang w:eastAsia="en-AU"/>
              </w:rPr>
            </w:pPr>
            <w:r w:rsidRPr="005B0796">
              <w:rPr>
                <w:lang w:eastAsia="en-AU"/>
              </w:rPr>
              <w:t xml:space="preserve">4.3, </w:t>
            </w:r>
            <w:r w:rsidR="00FF2225" w:rsidRPr="005B0796">
              <w:rPr>
                <w:lang w:eastAsia="en-AU"/>
              </w:rPr>
              <w:br/>
            </w:r>
            <w:r w:rsidRPr="005B0796">
              <w:rPr>
                <w:lang w:eastAsia="en-AU"/>
              </w:rPr>
              <w:t>4.8</w:t>
            </w:r>
          </w:p>
        </w:tc>
      </w:tr>
      <w:tr w:rsidR="00FF2225" w:rsidRPr="005B0796" w:rsidTr="00FF2225">
        <w:tc>
          <w:tcPr>
            <w:tcW w:w="1217" w:type="dxa"/>
            <w:hideMark/>
          </w:tcPr>
          <w:p w:rsidR="00BE715D" w:rsidRPr="005B0796" w:rsidRDefault="00BE715D" w:rsidP="00FF2225">
            <w:pPr>
              <w:pStyle w:val="TableText"/>
              <w:rPr>
                <w:lang w:eastAsia="en-AU"/>
              </w:rPr>
            </w:pPr>
            <w:r w:rsidRPr="005B0796">
              <w:rPr>
                <w:lang w:eastAsia="en-AU"/>
              </w:rPr>
              <w:t xml:space="preserve">Moderately </w:t>
            </w:r>
            <w:r w:rsidR="00FF2225" w:rsidRPr="005B0796">
              <w:rPr>
                <w:lang w:eastAsia="en-AU"/>
              </w:rPr>
              <w:t>s</w:t>
            </w:r>
            <w:r w:rsidRPr="005B0796">
              <w:rPr>
                <w:lang w:eastAsia="en-AU"/>
              </w:rPr>
              <w:t>evere (15–19)</w:t>
            </w:r>
          </w:p>
        </w:tc>
        <w:tc>
          <w:tcPr>
            <w:tcW w:w="734" w:type="dxa"/>
            <w:hideMark/>
          </w:tcPr>
          <w:p w:rsidR="00BE715D" w:rsidRPr="005B0796" w:rsidRDefault="00BE715D" w:rsidP="00FF2225">
            <w:pPr>
              <w:pStyle w:val="TableText"/>
              <w:jc w:val="right"/>
              <w:rPr>
                <w:lang w:eastAsia="en-AU"/>
              </w:rPr>
            </w:pPr>
            <w:r w:rsidRPr="005B0796">
              <w:rPr>
                <w:lang w:eastAsia="en-AU"/>
              </w:rPr>
              <w:t>2250</w:t>
            </w:r>
          </w:p>
        </w:tc>
        <w:tc>
          <w:tcPr>
            <w:tcW w:w="647" w:type="dxa"/>
            <w:hideMark/>
          </w:tcPr>
          <w:p w:rsidR="00BE715D" w:rsidRPr="005B0796" w:rsidRDefault="00BE715D" w:rsidP="00FF2225">
            <w:pPr>
              <w:pStyle w:val="TableText"/>
              <w:jc w:val="right"/>
              <w:rPr>
                <w:lang w:eastAsia="en-AU"/>
              </w:rPr>
            </w:pPr>
            <w:r w:rsidRPr="005B0796">
              <w:rPr>
                <w:lang w:eastAsia="en-AU"/>
              </w:rPr>
              <w:t>9.0</w:t>
            </w:r>
          </w:p>
        </w:tc>
        <w:tc>
          <w:tcPr>
            <w:tcW w:w="651" w:type="dxa"/>
            <w:hideMark/>
          </w:tcPr>
          <w:p w:rsidR="00BE715D" w:rsidRPr="005B0796" w:rsidRDefault="00BE715D" w:rsidP="00FF2225">
            <w:pPr>
              <w:pStyle w:val="TableText"/>
              <w:jc w:val="right"/>
              <w:rPr>
                <w:lang w:eastAsia="en-AU"/>
              </w:rPr>
            </w:pPr>
            <w:r w:rsidRPr="005B0796">
              <w:rPr>
                <w:lang w:eastAsia="en-AU"/>
              </w:rPr>
              <w:t>8.0, 10.2</w:t>
            </w:r>
          </w:p>
        </w:tc>
        <w:tc>
          <w:tcPr>
            <w:tcW w:w="735" w:type="dxa"/>
            <w:hideMark/>
          </w:tcPr>
          <w:p w:rsidR="00BE715D" w:rsidRPr="005B0796" w:rsidRDefault="00BE715D" w:rsidP="00FF2225">
            <w:pPr>
              <w:pStyle w:val="TableText"/>
              <w:jc w:val="right"/>
              <w:rPr>
                <w:lang w:eastAsia="en-AU"/>
              </w:rPr>
            </w:pPr>
            <w:r w:rsidRPr="005B0796">
              <w:rPr>
                <w:lang w:eastAsia="en-AU"/>
              </w:rPr>
              <w:t>2374</w:t>
            </w:r>
          </w:p>
        </w:tc>
        <w:tc>
          <w:tcPr>
            <w:tcW w:w="647" w:type="dxa"/>
            <w:hideMark/>
          </w:tcPr>
          <w:p w:rsidR="00BE715D" w:rsidRPr="005B0796" w:rsidRDefault="00BE715D" w:rsidP="00FF2225">
            <w:pPr>
              <w:pStyle w:val="TableText"/>
              <w:jc w:val="right"/>
              <w:rPr>
                <w:lang w:eastAsia="en-AU"/>
              </w:rPr>
            </w:pPr>
            <w:r w:rsidRPr="005B0796">
              <w:rPr>
                <w:lang w:eastAsia="en-AU"/>
              </w:rPr>
              <w:t>4.5</w:t>
            </w:r>
          </w:p>
        </w:tc>
        <w:tc>
          <w:tcPr>
            <w:tcW w:w="651" w:type="dxa"/>
            <w:hideMark/>
          </w:tcPr>
          <w:p w:rsidR="00BE715D" w:rsidRPr="005B0796" w:rsidRDefault="00BE715D" w:rsidP="00FF2225">
            <w:pPr>
              <w:pStyle w:val="TableText"/>
              <w:jc w:val="right"/>
              <w:rPr>
                <w:lang w:eastAsia="en-AU"/>
              </w:rPr>
            </w:pPr>
            <w:r w:rsidRPr="005B0796">
              <w:rPr>
                <w:lang w:eastAsia="en-AU"/>
              </w:rPr>
              <w:t xml:space="preserve">3.1, </w:t>
            </w:r>
            <w:r w:rsidR="00FF2225" w:rsidRPr="005B0796">
              <w:rPr>
                <w:lang w:eastAsia="en-AU"/>
              </w:rPr>
              <w:br/>
            </w:r>
            <w:r w:rsidRPr="005B0796">
              <w:rPr>
                <w:lang w:eastAsia="en-AU"/>
              </w:rPr>
              <w:t>6.5</w:t>
            </w:r>
          </w:p>
        </w:tc>
        <w:tc>
          <w:tcPr>
            <w:tcW w:w="735" w:type="dxa"/>
            <w:hideMark/>
          </w:tcPr>
          <w:p w:rsidR="00BE715D" w:rsidRPr="005B0796" w:rsidRDefault="00BE715D" w:rsidP="00FF2225">
            <w:pPr>
              <w:pStyle w:val="TableText"/>
              <w:jc w:val="right"/>
              <w:rPr>
                <w:lang w:eastAsia="en-AU"/>
              </w:rPr>
            </w:pPr>
            <w:r w:rsidRPr="005B0796">
              <w:rPr>
                <w:lang w:eastAsia="en-AU"/>
              </w:rPr>
              <w:t>772</w:t>
            </w:r>
          </w:p>
        </w:tc>
        <w:tc>
          <w:tcPr>
            <w:tcW w:w="647" w:type="dxa"/>
            <w:hideMark/>
          </w:tcPr>
          <w:p w:rsidR="00BE715D" w:rsidRPr="005B0796" w:rsidRDefault="00BE715D" w:rsidP="00FF2225">
            <w:pPr>
              <w:pStyle w:val="TableText"/>
              <w:jc w:val="right"/>
              <w:rPr>
                <w:lang w:eastAsia="en-AU"/>
              </w:rPr>
            </w:pPr>
            <w:r w:rsidRPr="005B0796">
              <w:rPr>
                <w:lang w:eastAsia="en-AU"/>
              </w:rPr>
              <w:t>1.5</w:t>
            </w:r>
          </w:p>
        </w:tc>
        <w:tc>
          <w:tcPr>
            <w:tcW w:w="651" w:type="dxa"/>
            <w:hideMark/>
          </w:tcPr>
          <w:p w:rsidR="00BE715D" w:rsidRPr="005B0796" w:rsidRDefault="00BE715D" w:rsidP="00FF2225">
            <w:pPr>
              <w:pStyle w:val="TableText"/>
              <w:jc w:val="right"/>
              <w:rPr>
                <w:lang w:eastAsia="en-AU"/>
              </w:rPr>
            </w:pPr>
            <w:r w:rsidRPr="005B0796">
              <w:rPr>
                <w:lang w:eastAsia="en-AU"/>
              </w:rPr>
              <w:t xml:space="preserve">1.4, </w:t>
            </w:r>
            <w:r w:rsidR="00FF2225" w:rsidRPr="005B0796">
              <w:rPr>
                <w:lang w:eastAsia="en-AU"/>
              </w:rPr>
              <w:br/>
            </w:r>
            <w:r w:rsidRPr="005B0796">
              <w:rPr>
                <w:lang w:eastAsia="en-AU"/>
              </w:rPr>
              <w:t>1.7</w:t>
            </w:r>
          </w:p>
        </w:tc>
      </w:tr>
      <w:tr w:rsidR="00BE715D" w:rsidRPr="005B0796" w:rsidTr="00FF2225">
        <w:trPr>
          <w:cnfStyle w:val="010000000000" w:firstRow="0" w:lastRow="1" w:firstColumn="0" w:lastColumn="0" w:oddVBand="0" w:evenVBand="0" w:oddHBand="0" w:evenHBand="0" w:firstRowFirstColumn="0" w:firstRowLastColumn="0" w:lastRowFirstColumn="0" w:lastRowLastColumn="0"/>
        </w:trPr>
        <w:tc>
          <w:tcPr>
            <w:tcW w:w="1217" w:type="dxa"/>
            <w:hideMark/>
          </w:tcPr>
          <w:p w:rsidR="00BE715D" w:rsidRPr="005B0796" w:rsidRDefault="00BE715D" w:rsidP="00FF2225">
            <w:pPr>
              <w:pStyle w:val="TableText"/>
              <w:rPr>
                <w:lang w:eastAsia="en-AU"/>
              </w:rPr>
            </w:pPr>
            <w:r w:rsidRPr="005B0796">
              <w:rPr>
                <w:lang w:eastAsia="en-AU"/>
              </w:rPr>
              <w:t>Severe (20–27)</w:t>
            </w:r>
          </w:p>
        </w:tc>
        <w:tc>
          <w:tcPr>
            <w:tcW w:w="734" w:type="dxa"/>
            <w:hideMark/>
          </w:tcPr>
          <w:p w:rsidR="00BE715D" w:rsidRPr="005B0796" w:rsidRDefault="00BE715D" w:rsidP="00FF2225">
            <w:pPr>
              <w:pStyle w:val="TableText"/>
              <w:jc w:val="right"/>
              <w:rPr>
                <w:lang w:eastAsia="en-AU"/>
              </w:rPr>
            </w:pPr>
            <w:r w:rsidRPr="005B0796">
              <w:rPr>
                <w:lang w:eastAsia="en-AU"/>
              </w:rPr>
              <w:t>2622</w:t>
            </w:r>
          </w:p>
        </w:tc>
        <w:tc>
          <w:tcPr>
            <w:tcW w:w="647" w:type="dxa"/>
            <w:hideMark/>
          </w:tcPr>
          <w:p w:rsidR="00BE715D" w:rsidRPr="005B0796" w:rsidRDefault="00BE715D" w:rsidP="00FF2225">
            <w:pPr>
              <w:pStyle w:val="TableText"/>
              <w:jc w:val="right"/>
              <w:rPr>
                <w:lang w:eastAsia="en-AU"/>
              </w:rPr>
            </w:pPr>
            <w:r w:rsidRPr="005B0796">
              <w:rPr>
                <w:lang w:eastAsia="en-AU"/>
              </w:rPr>
              <w:t>10.5</w:t>
            </w:r>
          </w:p>
        </w:tc>
        <w:tc>
          <w:tcPr>
            <w:tcW w:w="651" w:type="dxa"/>
            <w:hideMark/>
          </w:tcPr>
          <w:p w:rsidR="00BE715D" w:rsidRPr="005B0796" w:rsidRDefault="00BE715D" w:rsidP="00FF2225">
            <w:pPr>
              <w:pStyle w:val="TableText"/>
              <w:jc w:val="right"/>
              <w:rPr>
                <w:lang w:eastAsia="en-AU"/>
              </w:rPr>
            </w:pPr>
            <w:r w:rsidRPr="005B0796">
              <w:rPr>
                <w:lang w:eastAsia="en-AU"/>
              </w:rPr>
              <w:t>9.5, 11.7</w:t>
            </w:r>
          </w:p>
        </w:tc>
        <w:tc>
          <w:tcPr>
            <w:tcW w:w="735" w:type="dxa"/>
            <w:hideMark/>
          </w:tcPr>
          <w:p w:rsidR="00BE715D" w:rsidRPr="005B0796" w:rsidRDefault="00BE715D" w:rsidP="00FF2225">
            <w:pPr>
              <w:pStyle w:val="TableText"/>
              <w:jc w:val="right"/>
              <w:rPr>
                <w:lang w:eastAsia="en-AU"/>
              </w:rPr>
            </w:pPr>
            <w:r w:rsidRPr="005B0796">
              <w:rPr>
                <w:lang w:eastAsia="en-AU"/>
              </w:rPr>
              <w:t>1562</w:t>
            </w:r>
          </w:p>
        </w:tc>
        <w:tc>
          <w:tcPr>
            <w:tcW w:w="647" w:type="dxa"/>
            <w:hideMark/>
          </w:tcPr>
          <w:p w:rsidR="00BE715D" w:rsidRPr="005B0796" w:rsidRDefault="00BE715D" w:rsidP="00FF2225">
            <w:pPr>
              <w:pStyle w:val="TableText"/>
              <w:jc w:val="right"/>
              <w:rPr>
                <w:lang w:eastAsia="en-AU"/>
              </w:rPr>
            </w:pPr>
            <w:r w:rsidRPr="005B0796">
              <w:rPr>
                <w:lang w:eastAsia="en-AU"/>
              </w:rPr>
              <w:t>2.9</w:t>
            </w:r>
          </w:p>
        </w:tc>
        <w:tc>
          <w:tcPr>
            <w:tcW w:w="651" w:type="dxa"/>
            <w:hideMark/>
          </w:tcPr>
          <w:p w:rsidR="00BE715D" w:rsidRPr="005B0796" w:rsidRDefault="00BE715D" w:rsidP="00FF2225">
            <w:pPr>
              <w:pStyle w:val="TableText"/>
              <w:jc w:val="right"/>
              <w:rPr>
                <w:lang w:eastAsia="en-AU"/>
              </w:rPr>
            </w:pPr>
            <w:r w:rsidRPr="005B0796">
              <w:rPr>
                <w:lang w:eastAsia="en-AU"/>
              </w:rPr>
              <w:t xml:space="preserve">1.7, </w:t>
            </w:r>
            <w:r w:rsidR="00FF2225" w:rsidRPr="005B0796">
              <w:rPr>
                <w:lang w:eastAsia="en-AU"/>
              </w:rPr>
              <w:br/>
            </w:r>
            <w:r w:rsidRPr="005B0796">
              <w:rPr>
                <w:lang w:eastAsia="en-AU"/>
              </w:rPr>
              <w:t>5.1</w:t>
            </w:r>
          </w:p>
        </w:tc>
        <w:tc>
          <w:tcPr>
            <w:tcW w:w="735" w:type="dxa"/>
            <w:hideMark/>
          </w:tcPr>
          <w:p w:rsidR="00BE715D" w:rsidRPr="005B0796" w:rsidRDefault="00BE715D" w:rsidP="00FF2225">
            <w:pPr>
              <w:pStyle w:val="TableText"/>
              <w:jc w:val="right"/>
              <w:rPr>
                <w:lang w:eastAsia="en-AU"/>
              </w:rPr>
            </w:pPr>
            <w:r w:rsidRPr="005B0796">
              <w:rPr>
                <w:lang w:eastAsia="en-AU"/>
              </w:rPr>
              <w:t>487</w:t>
            </w:r>
          </w:p>
        </w:tc>
        <w:tc>
          <w:tcPr>
            <w:tcW w:w="647" w:type="dxa"/>
            <w:hideMark/>
          </w:tcPr>
          <w:p w:rsidR="00BE715D" w:rsidRPr="005B0796" w:rsidRDefault="00BE715D" w:rsidP="00FF2225">
            <w:pPr>
              <w:pStyle w:val="TableText"/>
              <w:jc w:val="right"/>
              <w:rPr>
                <w:lang w:eastAsia="en-AU"/>
              </w:rPr>
            </w:pPr>
            <w:r w:rsidRPr="005B0796">
              <w:rPr>
                <w:lang w:eastAsia="en-AU"/>
              </w:rPr>
              <w:t>0.9</w:t>
            </w:r>
          </w:p>
        </w:tc>
        <w:tc>
          <w:tcPr>
            <w:tcW w:w="651" w:type="dxa"/>
            <w:hideMark/>
          </w:tcPr>
          <w:p w:rsidR="00BE715D" w:rsidRPr="005B0796" w:rsidRDefault="00BE715D" w:rsidP="00FF2225">
            <w:pPr>
              <w:pStyle w:val="TableText"/>
              <w:jc w:val="right"/>
              <w:rPr>
                <w:lang w:eastAsia="en-AU"/>
              </w:rPr>
            </w:pPr>
            <w:r w:rsidRPr="005B0796">
              <w:rPr>
                <w:lang w:eastAsia="en-AU"/>
              </w:rPr>
              <w:t xml:space="preserve">0.9, </w:t>
            </w:r>
            <w:r w:rsidR="00FF2225" w:rsidRPr="005B0796">
              <w:rPr>
                <w:lang w:eastAsia="en-AU"/>
              </w:rPr>
              <w:br/>
            </w:r>
            <w:r w:rsidRPr="005B0796">
              <w:rPr>
                <w:lang w:eastAsia="en-AU"/>
              </w:rPr>
              <w:t>1.1</w:t>
            </w:r>
          </w:p>
        </w:tc>
      </w:tr>
    </w:tbl>
    <w:p w:rsidR="00FF2225" w:rsidRPr="005B0796" w:rsidRDefault="00FF2225" w:rsidP="00FF2225">
      <w:pPr>
        <w:pStyle w:val="TableNotes"/>
      </w:pPr>
      <w:r w:rsidRPr="005B0796">
        <w:t>* From the 2010 ADF Mental Health Prevalence and Wellbeing Study</w:t>
      </w:r>
    </w:p>
    <w:p w:rsidR="00FF2225" w:rsidRPr="005B0796" w:rsidRDefault="00FF2225" w:rsidP="00FF2225">
      <w:pPr>
        <w:pStyle w:val="TableNotes"/>
      </w:pPr>
      <w:r w:rsidRPr="005B0796">
        <w:t xml:space="preserve">Note: 95% CI: 95% </w:t>
      </w:r>
      <w:r w:rsidR="00564689" w:rsidRPr="005B0796">
        <w:t>confidence interval</w:t>
      </w:r>
    </w:p>
    <w:p w:rsidR="00BE715D" w:rsidRPr="005B0796" w:rsidRDefault="009051AE" w:rsidP="009051AE">
      <w:pPr>
        <w:pStyle w:val="FigureName"/>
      </w:pPr>
      <w:bookmarkStart w:id="1028" w:name="_Toc487014404"/>
      <w:bookmarkStart w:id="1029" w:name="_Toc51190057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14</w:t>
      </w:r>
      <w:r w:rsidR="00D30A3C">
        <w:rPr>
          <w:noProof/>
        </w:rPr>
        <w:fldChar w:fldCharType="end"/>
      </w:r>
      <w:r w:rsidRPr="005B0796">
        <w:tab/>
        <w:t>Estimated proportions o</w:t>
      </w:r>
      <w:r w:rsidR="00C01061">
        <w:t>f</w:t>
      </w:r>
      <w:r w:rsidRPr="005B0796">
        <w:t xml:space="preserve"> Transitioned ADF, and 2010 and 2015 Regular ADF in each PHQ-9 scoring band for depressive symptoms</w:t>
      </w:r>
      <w:bookmarkEnd w:id="1028"/>
      <w:bookmarkEnd w:id="1029"/>
    </w:p>
    <w:tbl>
      <w:tblPr>
        <w:tblW w:w="5000" w:type="pct"/>
        <w:tblLayout w:type="fixed"/>
        <w:tblCellMar>
          <w:left w:w="115" w:type="dxa"/>
          <w:right w:w="115" w:type="dxa"/>
        </w:tblCellMar>
        <w:tblLook w:val="04A0" w:firstRow="1" w:lastRow="0" w:firstColumn="1" w:lastColumn="0" w:noHBand="0" w:noVBand="1"/>
      </w:tblPr>
      <w:tblGrid>
        <w:gridCol w:w="7329"/>
      </w:tblGrid>
      <w:tr w:rsidR="00BE715D" w:rsidRPr="005B0796" w:rsidTr="009051AE">
        <w:trPr>
          <w:cantSplit/>
        </w:trPr>
        <w:tc>
          <w:tcPr>
            <w:tcW w:w="9774" w:type="dxa"/>
          </w:tcPr>
          <w:p w:rsidR="00BE715D" w:rsidRPr="005B0796" w:rsidRDefault="00BE715D" w:rsidP="00855912">
            <w:r w:rsidRPr="005B0796">
              <w:rPr>
                <w:noProof/>
                <w:lang w:eastAsia="en-AU"/>
              </w:rPr>
              <w:drawing>
                <wp:inline distT="0" distB="0" distL="0" distR="0" wp14:anchorId="302CBC2F" wp14:editId="3F3C24A0">
                  <wp:extent cx="4572000" cy="2743200"/>
                  <wp:effectExtent l="0" t="0" r="0" b="0"/>
                  <wp:docPr id="300" name="Chart 300" descr="Figure 5.14 Estimated proportions for Transitioned ADF, and 2010 and 2015 Regular ADF in each PHQ-9 scoring band for depressive sympto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r>
    </w:tbl>
    <w:p w:rsidR="00BE715D" w:rsidRPr="005B0796" w:rsidRDefault="00BE715D" w:rsidP="009051AE">
      <w:pPr>
        <w:pStyle w:val="Heading4"/>
      </w:pPr>
      <w:r w:rsidRPr="005B0796">
        <w:t>Depressive symptoms in Transitioned ADF members</w:t>
      </w:r>
      <w:r w:rsidR="00C01061">
        <w:t>,</w:t>
      </w:r>
      <w:r w:rsidRPr="005B0796">
        <w:t xml:space="preserve"> by transition status</w:t>
      </w:r>
    </w:p>
    <w:p w:rsidR="00BE715D" w:rsidRPr="005B0796" w:rsidRDefault="009E72D3" w:rsidP="000C0E27">
      <w:r w:rsidRPr="005B0796">
        <w:t>Table 5.15</w:t>
      </w:r>
      <w:r w:rsidR="00BE715D" w:rsidRPr="005B0796">
        <w:t xml:space="preserve"> and Figure 5.15 compare the PHQ-9 scoring bands in Ex-Serving, Inactive and Active Reservists who transitioned from ADF service between 2010 and 2014.</w:t>
      </w:r>
    </w:p>
    <w:p w:rsidR="00BE715D" w:rsidRPr="005B0796" w:rsidRDefault="00BE715D" w:rsidP="000C0E27">
      <w:r w:rsidRPr="005B0796">
        <w:t xml:space="preserve">Ex-Serving ADF members were significantly more likely to score above the PHQ-9 screening cut-off of 6 than Transitioned ADF members in the Inactive Reserves (OR 2.2, 95% CI 1.8, 2.7) or Active Reserves (OR 2.7, 95% CI 2.2, 3.2). There was no significant difference between Active and Inactive Reservists in the proportion scoring above the PHQ-9 screening cut-off. </w:t>
      </w:r>
    </w:p>
    <w:p w:rsidR="00736125" w:rsidRPr="005B0796" w:rsidRDefault="00736125" w:rsidP="000C0E27">
      <w:pPr>
        <w:pStyle w:val="Heading4"/>
      </w:pPr>
      <w:bookmarkStart w:id="1030" w:name="_Ref484523475"/>
      <w:bookmarkStart w:id="1031" w:name="_Toc487014316"/>
      <w:bookmarkStart w:id="1032" w:name="_Toc492995619"/>
      <w:r w:rsidRPr="005B0796">
        <w:t>Depressive symptoms in Transitioned ADF</w:t>
      </w:r>
      <w:r w:rsidR="00C01061">
        <w:t>,</w:t>
      </w:r>
      <w:r w:rsidRPr="005B0796">
        <w:t xml:space="preserve"> by years since transition</w:t>
      </w:r>
    </w:p>
    <w:p w:rsidR="00736125" w:rsidRPr="005B0796" w:rsidRDefault="00736125" w:rsidP="000C0E27">
      <w:r w:rsidRPr="005B0796">
        <w:t>Table 5.16 and Figure 5.16 compare the PHQ-9 scoring bands for Transitioned ADF members</w:t>
      </w:r>
      <w:r w:rsidR="00C01061">
        <w:t>,</w:t>
      </w:r>
      <w:r w:rsidRPr="005B0796">
        <w:t xml:space="preserve"> by years since transition.</w:t>
      </w:r>
    </w:p>
    <w:p w:rsidR="00736125" w:rsidRPr="005B0796" w:rsidRDefault="00736125" w:rsidP="000C0E27">
      <w:r w:rsidRPr="005B0796">
        <w:t xml:space="preserve">Overall, the time that passed since transition did not significantly affect the depressive symptoms scoring bands. However, ADF members who transitioned less than a year ago reported significantly lower PHQ-9 total scores than those who were one, three and five years post-transition, when the greatest increases in symptoms were observed. </w:t>
      </w:r>
    </w:p>
    <w:p w:rsidR="000C0E27" w:rsidRPr="005B0796" w:rsidRDefault="000C0E27" w:rsidP="000C0E27">
      <w:pPr>
        <w:pStyle w:val="TableName"/>
      </w:pPr>
      <w:bookmarkStart w:id="1033" w:name="_Toc51190046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15</w:t>
      </w:r>
      <w:r w:rsidR="00D30A3C">
        <w:rPr>
          <w:noProof/>
        </w:rPr>
        <w:fldChar w:fldCharType="end"/>
      </w:r>
      <w:bookmarkEnd w:id="1030"/>
      <w:r w:rsidRPr="005B0796">
        <w:tab/>
        <w:t>Estimated proportions of Transitioned ADF for PHQ-9 scoring bands for depressive symptoms by transition status</w:t>
      </w:r>
      <w:bookmarkEnd w:id="1031"/>
      <w:bookmarkEnd w:id="1032"/>
      <w:bookmarkEnd w:id="1033"/>
    </w:p>
    <w:tbl>
      <w:tblPr>
        <w:tblStyle w:val="TWRPTable"/>
        <w:tblW w:w="5000" w:type="pct"/>
        <w:tblLayout w:type="fixed"/>
        <w:tblLook w:val="04A0" w:firstRow="1" w:lastRow="0" w:firstColumn="1" w:lastColumn="0" w:noHBand="0" w:noVBand="1"/>
        <w:tblDescription w:val="Table 5.15 Estimated proportions of Transitioned ADF for PHQ-9 scoring bands for depressive symptoms by transition status"/>
      </w:tblPr>
      <w:tblGrid>
        <w:gridCol w:w="1188"/>
        <w:gridCol w:w="810"/>
        <w:gridCol w:w="450"/>
        <w:gridCol w:w="782"/>
        <w:gridCol w:w="748"/>
        <w:gridCol w:w="540"/>
        <w:gridCol w:w="754"/>
        <w:gridCol w:w="776"/>
        <w:gridCol w:w="540"/>
        <w:gridCol w:w="727"/>
      </w:tblGrid>
      <w:tr w:rsidR="0083605F" w:rsidRPr="005B0796" w:rsidTr="0083605F">
        <w:trPr>
          <w:cnfStyle w:val="100000000000" w:firstRow="1" w:lastRow="0" w:firstColumn="0" w:lastColumn="0" w:oddVBand="0" w:evenVBand="0" w:oddHBand="0" w:evenHBand="0" w:firstRowFirstColumn="0" w:firstRowLastColumn="0" w:lastRowFirstColumn="0" w:lastRowLastColumn="0"/>
          <w:tblHeader/>
        </w:trPr>
        <w:tc>
          <w:tcPr>
            <w:tcW w:w="1188" w:type="dxa"/>
            <w:vMerge w:val="restart"/>
          </w:tcPr>
          <w:p w:rsidR="0083605F" w:rsidRPr="005B0796" w:rsidRDefault="0083605F" w:rsidP="0083605F">
            <w:pPr>
              <w:pStyle w:val="TableText"/>
            </w:pPr>
          </w:p>
        </w:tc>
        <w:tc>
          <w:tcPr>
            <w:tcW w:w="2042" w:type="dxa"/>
            <w:gridSpan w:val="3"/>
          </w:tcPr>
          <w:p w:rsidR="0083605F" w:rsidRPr="005B0796" w:rsidRDefault="0083605F" w:rsidP="00D844BE">
            <w:pPr>
              <w:pStyle w:val="TableText"/>
              <w:jc w:val="center"/>
            </w:pPr>
            <w:r w:rsidRPr="005B0796">
              <w:t>Ex-Serving (n = 11,440)</w:t>
            </w:r>
          </w:p>
        </w:tc>
        <w:tc>
          <w:tcPr>
            <w:tcW w:w="2042" w:type="dxa"/>
            <w:gridSpan w:val="3"/>
          </w:tcPr>
          <w:p w:rsidR="0083605F" w:rsidRPr="005B0796" w:rsidRDefault="0083605F" w:rsidP="00D844BE">
            <w:pPr>
              <w:pStyle w:val="TableText"/>
              <w:jc w:val="center"/>
            </w:pPr>
            <w:r w:rsidRPr="005B0796">
              <w:t>Inactive Reservist (n = 6447)</w:t>
            </w:r>
          </w:p>
        </w:tc>
        <w:tc>
          <w:tcPr>
            <w:tcW w:w="2043" w:type="dxa"/>
            <w:gridSpan w:val="3"/>
          </w:tcPr>
          <w:p w:rsidR="0083605F" w:rsidRPr="005B0796" w:rsidRDefault="0083605F" w:rsidP="00D844BE">
            <w:pPr>
              <w:pStyle w:val="TableText"/>
              <w:jc w:val="center"/>
            </w:pPr>
            <w:r w:rsidRPr="005B0796">
              <w:t>Active Reservist (n = 6968)</w:t>
            </w:r>
          </w:p>
        </w:tc>
      </w:tr>
      <w:tr w:rsidR="0083605F" w:rsidRPr="005B0796" w:rsidTr="0083605F">
        <w:trPr>
          <w:cnfStyle w:val="100000000000" w:firstRow="1" w:lastRow="0" w:firstColumn="0" w:lastColumn="0" w:oddVBand="0" w:evenVBand="0" w:oddHBand="0" w:evenHBand="0" w:firstRowFirstColumn="0" w:firstRowLastColumn="0" w:lastRowFirstColumn="0" w:lastRowLastColumn="0"/>
          <w:tblHeader/>
        </w:trPr>
        <w:tc>
          <w:tcPr>
            <w:tcW w:w="1188" w:type="dxa"/>
            <w:vMerge/>
          </w:tcPr>
          <w:p w:rsidR="0083605F" w:rsidRPr="005B0796" w:rsidRDefault="0083605F" w:rsidP="0083605F">
            <w:pPr>
              <w:pStyle w:val="TableText"/>
            </w:pPr>
          </w:p>
        </w:tc>
        <w:tc>
          <w:tcPr>
            <w:tcW w:w="810" w:type="dxa"/>
          </w:tcPr>
          <w:p w:rsidR="0083605F" w:rsidRPr="005B0796" w:rsidRDefault="0083605F" w:rsidP="00D844BE">
            <w:pPr>
              <w:pStyle w:val="TableText"/>
              <w:jc w:val="right"/>
            </w:pPr>
            <w:r w:rsidRPr="005B0796">
              <w:t>Weighted n</w:t>
            </w:r>
          </w:p>
        </w:tc>
        <w:tc>
          <w:tcPr>
            <w:tcW w:w="450" w:type="dxa"/>
          </w:tcPr>
          <w:p w:rsidR="0083605F" w:rsidRPr="005B0796" w:rsidRDefault="0083605F" w:rsidP="00D844BE">
            <w:pPr>
              <w:pStyle w:val="TableText"/>
              <w:jc w:val="right"/>
            </w:pPr>
            <w:r w:rsidRPr="005B0796">
              <w:t>%</w:t>
            </w:r>
          </w:p>
        </w:tc>
        <w:tc>
          <w:tcPr>
            <w:tcW w:w="782" w:type="dxa"/>
          </w:tcPr>
          <w:p w:rsidR="0083605F" w:rsidRPr="005B0796" w:rsidRDefault="0083605F" w:rsidP="00D844BE">
            <w:pPr>
              <w:pStyle w:val="TableText"/>
              <w:jc w:val="right"/>
            </w:pPr>
            <w:r w:rsidRPr="005B0796">
              <w:t xml:space="preserve"> 95% CI</w:t>
            </w:r>
          </w:p>
        </w:tc>
        <w:tc>
          <w:tcPr>
            <w:tcW w:w="748" w:type="dxa"/>
          </w:tcPr>
          <w:p w:rsidR="0083605F" w:rsidRPr="005B0796" w:rsidRDefault="0083605F" w:rsidP="00D844BE">
            <w:pPr>
              <w:pStyle w:val="TableText"/>
              <w:jc w:val="right"/>
            </w:pPr>
            <w:r w:rsidRPr="005B0796">
              <w:t>Weighted n</w:t>
            </w:r>
          </w:p>
        </w:tc>
        <w:tc>
          <w:tcPr>
            <w:tcW w:w="540" w:type="dxa"/>
          </w:tcPr>
          <w:p w:rsidR="0083605F" w:rsidRPr="005B0796" w:rsidRDefault="0083605F" w:rsidP="00D844BE">
            <w:pPr>
              <w:pStyle w:val="TableText"/>
              <w:jc w:val="right"/>
            </w:pPr>
            <w:r w:rsidRPr="005B0796">
              <w:t>%</w:t>
            </w:r>
          </w:p>
        </w:tc>
        <w:tc>
          <w:tcPr>
            <w:tcW w:w="754" w:type="dxa"/>
          </w:tcPr>
          <w:p w:rsidR="0083605F" w:rsidRPr="005B0796" w:rsidRDefault="0083605F" w:rsidP="00D844BE">
            <w:pPr>
              <w:pStyle w:val="TableText"/>
              <w:jc w:val="right"/>
            </w:pPr>
            <w:r w:rsidRPr="005B0796">
              <w:t xml:space="preserve"> 95% CI</w:t>
            </w:r>
          </w:p>
        </w:tc>
        <w:tc>
          <w:tcPr>
            <w:tcW w:w="776" w:type="dxa"/>
          </w:tcPr>
          <w:p w:rsidR="0083605F" w:rsidRPr="005B0796" w:rsidRDefault="0083605F" w:rsidP="00D844BE">
            <w:pPr>
              <w:pStyle w:val="TableText"/>
              <w:jc w:val="right"/>
            </w:pPr>
            <w:r w:rsidRPr="005B0796">
              <w:t>Weighted n</w:t>
            </w:r>
          </w:p>
        </w:tc>
        <w:tc>
          <w:tcPr>
            <w:tcW w:w="540" w:type="dxa"/>
          </w:tcPr>
          <w:p w:rsidR="0083605F" w:rsidRPr="005B0796" w:rsidRDefault="0083605F" w:rsidP="00D844BE">
            <w:pPr>
              <w:pStyle w:val="TableText"/>
              <w:jc w:val="right"/>
            </w:pPr>
            <w:r w:rsidRPr="005B0796">
              <w:t>%</w:t>
            </w:r>
          </w:p>
        </w:tc>
        <w:tc>
          <w:tcPr>
            <w:tcW w:w="727" w:type="dxa"/>
          </w:tcPr>
          <w:p w:rsidR="0083605F" w:rsidRPr="005B0796" w:rsidRDefault="0083605F" w:rsidP="00D844BE">
            <w:pPr>
              <w:pStyle w:val="TableText"/>
              <w:jc w:val="right"/>
            </w:pPr>
            <w:r w:rsidRPr="005B0796">
              <w:t xml:space="preserve"> 95% CI</w:t>
            </w:r>
          </w:p>
        </w:tc>
      </w:tr>
      <w:tr w:rsidR="0083605F" w:rsidRPr="005B0796" w:rsidTr="0083605F">
        <w:trPr>
          <w:cnfStyle w:val="000000100000" w:firstRow="0" w:lastRow="0" w:firstColumn="0" w:lastColumn="0" w:oddVBand="0" w:evenVBand="0" w:oddHBand="1" w:evenHBand="0" w:firstRowFirstColumn="0" w:firstRowLastColumn="0" w:lastRowFirstColumn="0" w:lastRowLastColumn="0"/>
        </w:trPr>
        <w:tc>
          <w:tcPr>
            <w:tcW w:w="1188" w:type="dxa"/>
          </w:tcPr>
          <w:p w:rsidR="0083605F" w:rsidRPr="005B0796" w:rsidRDefault="0083605F" w:rsidP="0083605F">
            <w:pPr>
              <w:pStyle w:val="TableText"/>
              <w:rPr>
                <w:lang w:eastAsia="en-AU"/>
              </w:rPr>
            </w:pPr>
            <w:r w:rsidRPr="005B0796">
              <w:rPr>
                <w:lang w:eastAsia="en-AU"/>
              </w:rPr>
              <w:t>Minimal (0–4)</w:t>
            </w:r>
          </w:p>
        </w:tc>
        <w:tc>
          <w:tcPr>
            <w:tcW w:w="810" w:type="dxa"/>
          </w:tcPr>
          <w:p w:rsidR="0083605F" w:rsidRPr="005B0796" w:rsidRDefault="0083605F" w:rsidP="00D844BE">
            <w:pPr>
              <w:pStyle w:val="TableText"/>
              <w:jc w:val="right"/>
              <w:rPr>
                <w:lang w:eastAsia="en-AU"/>
              </w:rPr>
            </w:pPr>
            <w:r w:rsidRPr="005B0796">
              <w:rPr>
                <w:lang w:eastAsia="en-AU"/>
              </w:rPr>
              <w:t>3953</w:t>
            </w:r>
          </w:p>
        </w:tc>
        <w:tc>
          <w:tcPr>
            <w:tcW w:w="450" w:type="dxa"/>
          </w:tcPr>
          <w:p w:rsidR="0083605F" w:rsidRPr="005B0796" w:rsidRDefault="0083605F" w:rsidP="00D844BE">
            <w:pPr>
              <w:pStyle w:val="TableText"/>
              <w:jc w:val="right"/>
              <w:rPr>
                <w:lang w:eastAsia="en-AU"/>
              </w:rPr>
            </w:pPr>
            <w:r w:rsidRPr="005B0796">
              <w:rPr>
                <w:lang w:eastAsia="en-AU"/>
              </w:rPr>
              <w:t>34.6</w:t>
            </w:r>
          </w:p>
        </w:tc>
        <w:tc>
          <w:tcPr>
            <w:tcW w:w="782" w:type="dxa"/>
          </w:tcPr>
          <w:p w:rsidR="0083605F" w:rsidRPr="005B0796" w:rsidRDefault="0083605F" w:rsidP="00D844BE">
            <w:pPr>
              <w:pStyle w:val="TableText"/>
              <w:jc w:val="right"/>
              <w:rPr>
                <w:lang w:eastAsia="en-AU"/>
              </w:rPr>
            </w:pPr>
            <w:r w:rsidRPr="005B0796">
              <w:rPr>
                <w:lang w:eastAsia="en-AU"/>
              </w:rPr>
              <w:t>31.7, 37.5</w:t>
            </w:r>
          </w:p>
        </w:tc>
        <w:tc>
          <w:tcPr>
            <w:tcW w:w="748" w:type="dxa"/>
          </w:tcPr>
          <w:p w:rsidR="0083605F" w:rsidRPr="005B0796" w:rsidRDefault="0083605F" w:rsidP="00D844BE">
            <w:pPr>
              <w:pStyle w:val="TableText"/>
              <w:jc w:val="right"/>
              <w:rPr>
                <w:lang w:eastAsia="en-AU"/>
              </w:rPr>
            </w:pPr>
            <w:r w:rsidRPr="005B0796">
              <w:rPr>
                <w:lang w:eastAsia="en-AU"/>
              </w:rPr>
              <w:t>3315</w:t>
            </w:r>
          </w:p>
        </w:tc>
        <w:tc>
          <w:tcPr>
            <w:tcW w:w="540" w:type="dxa"/>
          </w:tcPr>
          <w:p w:rsidR="0083605F" w:rsidRPr="005B0796" w:rsidRDefault="0083605F" w:rsidP="00D844BE">
            <w:pPr>
              <w:pStyle w:val="TableText"/>
              <w:jc w:val="right"/>
              <w:rPr>
                <w:lang w:eastAsia="en-AU"/>
              </w:rPr>
            </w:pPr>
            <w:r w:rsidRPr="005B0796">
              <w:rPr>
                <w:lang w:eastAsia="en-AU"/>
              </w:rPr>
              <w:t>51.4</w:t>
            </w:r>
          </w:p>
        </w:tc>
        <w:tc>
          <w:tcPr>
            <w:tcW w:w="754" w:type="dxa"/>
          </w:tcPr>
          <w:p w:rsidR="0083605F" w:rsidRPr="005B0796" w:rsidRDefault="0083605F" w:rsidP="00D844BE">
            <w:pPr>
              <w:pStyle w:val="TableText"/>
              <w:jc w:val="right"/>
              <w:rPr>
                <w:lang w:eastAsia="en-AU"/>
              </w:rPr>
            </w:pPr>
            <w:r w:rsidRPr="005B0796">
              <w:rPr>
                <w:lang w:eastAsia="en-AU"/>
              </w:rPr>
              <w:t xml:space="preserve">47.7, 55.1 </w:t>
            </w:r>
          </w:p>
        </w:tc>
        <w:tc>
          <w:tcPr>
            <w:tcW w:w="776" w:type="dxa"/>
          </w:tcPr>
          <w:p w:rsidR="0083605F" w:rsidRPr="005B0796" w:rsidRDefault="0083605F" w:rsidP="00D844BE">
            <w:pPr>
              <w:pStyle w:val="TableText"/>
              <w:jc w:val="right"/>
              <w:rPr>
                <w:lang w:eastAsia="en-AU"/>
              </w:rPr>
            </w:pPr>
            <w:r w:rsidRPr="005B0796">
              <w:rPr>
                <w:lang w:eastAsia="en-AU"/>
              </w:rPr>
              <w:t>3998</w:t>
            </w:r>
          </w:p>
        </w:tc>
        <w:tc>
          <w:tcPr>
            <w:tcW w:w="540" w:type="dxa"/>
          </w:tcPr>
          <w:p w:rsidR="0083605F" w:rsidRPr="005B0796" w:rsidRDefault="0083605F" w:rsidP="00D844BE">
            <w:pPr>
              <w:pStyle w:val="TableText"/>
              <w:jc w:val="right"/>
              <w:rPr>
                <w:lang w:eastAsia="en-AU"/>
              </w:rPr>
            </w:pPr>
            <w:r w:rsidRPr="005B0796">
              <w:rPr>
                <w:lang w:eastAsia="en-AU"/>
              </w:rPr>
              <w:t>57.4</w:t>
            </w:r>
          </w:p>
        </w:tc>
        <w:tc>
          <w:tcPr>
            <w:tcW w:w="727" w:type="dxa"/>
          </w:tcPr>
          <w:p w:rsidR="0083605F" w:rsidRPr="005B0796" w:rsidRDefault="0083605F" w:rsidP="00D844BE">
            <w:pPr>
              <w:pStyle w:val="TableText"/>
              <w:jc w:val="right"/>
              <w:rPr>
                <w:lang w:eastAsia="en-AU"/>
              </w:rPr>
            </w:pPr>
            <w:r w:rsidRPr="005B0796">
              <w:rPr>
                <w:lang w:eastAsia="en-AU"/>
              </w:rPr>
              <w:t xml:space="preserve">57.4, 57.4 </w:t>
            </w:r>
          </w:p>
        </w:tc>
      </w:tr>
      <w:tr w:rsidR="0083605F" w:rsidRPr="005B0796" w:rsidTr="0083605F">
        <w:tc>
          <w:tcPr>
            <w:tcW w:w="1188" w:type="dxa"/>
          </w:tcPr>
          <w:p w:rsidR="0083605F" w:rsidRPr="005B0796" w:rsidRDefault="0083605F" w:rsidP="0083605F">
            <w:pPr>
              <w:pStyle w:val="TableText"/>
              <w:rPr>
                <w:rFonts w:eastAsia="GillSans"/>
                <w:lang w:eastAsia="en-AU"/>
              </w:rPr>
            </w:pPr>
            <w:r w:rsidRPr="005B0796">
              <w:rPr>
                <w:lang w:eastAsia="en-AU"/>
              </w:rPr>
              <w:t>Mild (5–9)</w:t>
            </w:r>
          </w:p>
        </w:tc>
        <w:tc>
          <w:tcPr>
            <w:tcW w:w="810" w:type="dxa"/>
          </w:tcPr>
          <w:p w:rsidR="0083605F" w:rsidRPr="005B0796" w:rsidRDefault="0083605F" w:rsidP="00D844BE">
            <w:pPr>
              <w:pStyle w:val="TableText"/>
              <w:jc w:val="right"/>
              <w:rPr>
                <w:lang w:eastAsia="en-AU"/>
              </w:rPr>
            </w:pPr>
            <w:r w:rsidRPr="005B0796">
              <w:rPr>
                <w:lang w:eastAsia="en-AU"/>
              </w:rPr>
              <w:t>2400</w:t>
            </w:r>
          </w:p>
        </w:tc>
        <w:tc>
          <w:tcPr>
            <w:tcW w:w="450" w:type="dxa"/>
          </w:tcPr>
          <w:p w:rsidR="0083605F" w:rsidRPr="005B0796" w:rsidRDefault="0083605F" w:rsidP="00D844BE">
            <w:pPr>
              <w:pStyle w:val="TableText"/>
              <w:jc w:val="right"/>
              <w:rPr>
                <w:lang w:eastAsia="en-AU"/>
              </w:rPr>
            </w:pPr>
            <w:r w:rsidRPr="005B0796">
              <w:rPr>
                <w:lang w:eastAsia="en-AU"/>
              </w:rPr>
              <w:t>20.9</w:t>
            </w:r>
          </w:p>
        </w:tc>
        <w:tc>
          <w:tcPr>
            <w:tcW w:w="782" w:type="dxa"/>
          </w:tcPr>
          <w:p w:rsidR="0083605F" w:rsidRPr="005B0796" w:rsidRDefault="0083605F" w:rsidP="00D844BE">
            <w:pPr>
              <w:pStyle w:val="TableText"/>
              <w:jc w:val="right"/>
              <w:rPr>
                <w:lang w:eastAsia="en-AU"/>
              </w:rPr>
            </w:pPr>
            <w:r w:rsidRPr="005B0796">
              <w:rPr>
                <w:lang w:eastAsia="en-AU"/>
              </w:rPr>
              <w:t xml:space="preserve">18.6, 23.6 </w:t>
            </w:r>
          </w:p>
        </w:tc>
        <w:tc>
          <w:tcPr>
            <w:tcW w:w="748" w:type="dxa"/>
          </w:tcPr>
          <w:p w:rsidR="0083605F" w:rsidRPr="005B0796" w:rsidRDefault="0083605F" w:rsidP="00D844BE">
            <w:pPr>
              <w:pStyle w:val="TableText"/>
              <w:jc w:val="right"/>
              <w:rPr>
                <w:lang w:eastAsia="en-AU"/>
              </w:rPr>
            </w:pPr>
            <w:r w:rsidRPr="005B0796">
              <w:rPr>
                <w:lang w:eastAsia="en-AU"/>
              </w:rPr>
              <w:t>1612</w:t>
            </w:r>
          </w:p>
        </w:tc>
        <w:tc>
          <w:tcPr>
            <w:tcW w:w="540" w:type="dxa"/>
          </w:tcPr>
          <w:p w:rsidR="0083605F" w:rsidRPr="005B0796" w:rsidRDefault="0083605F" w:rsidP="00D844BE">
            <w:pPr>
              <w:pStyle w:val="TableText"/>
              <w:jc w:val="right"/>
              <w:rPr>
                <w:lang w:eastAsia="en-AU"/>
              </w:rPr>
            </w:pPr>
            <w:r w:rsidRPr="005B0796">
              <w:rPr>
                <w:lang w:eastAsia="en-AU"/>
              </w:rPr>
              <w:t>25.1</w:t>
            </w:r>
          </w:p>
        </w:tc>
        <w:tc>
          <w:tcPr>
            <w:tcW w:w="754" w:type="dxa"/>
          </w:tcPr>
          <w:p w:rsidR="0083605F" w:rsidRPr="005B0796" w:rsidRDefault="0083605F" w:rsidP="00D844BE">
            <w:pPr>
              <w:pStyle w:val="TableText"/>
              <w:jc w:val="right"/>
              <w:rPr>
                <w:lang w:eastAsia="en-AU"/>
              </w:rPr>
            </w:pPr>
            <w:r w:rsidRPr="005B0796">
              <w:rPr>
                <w:lang w:eastAsia="en-AU"/>
              </w:rPr>
              <w:t>22.1, 28.4</w:t>
            </w:r>
          </w:p>
        </w:tc>
        <w:tc>
          <w:tcPr>
            <w:tcW w:w="776" w:type="dxa"/>
          </w:tcPr>
          <w:p w:rsidR="0083605F" w:rsidRPr="005B0796" w:rsidRDefault="0083605F" w:rsidP="00D844BE">
            <w:pPr>
              <w:pStyle w:val="TableText"/>
              <w:jc w:val="right"/>
              <w:rPr>
                <w:lang w:eastAsia="en-AU"/>
              </w:rPr>
            </w:pPr>
            <w:r w:rsidRPr="005B0796">
              <w:rPr>
                <w:lang w:eastAsia="en-AU"/>
              </w:rPr>
              <w:t>1719</w:t>
            </w:r>
          </w:p>
        </w:tc>
        <w:tc>
          <w:tcPr>
            <w:tcW w:w="540" w:type="dxa"/>
          </w:tcPr>
          <w:p w:rsidR="0083605F" w:rsidRPr="005B0796" w:rsidRDefault="0083605F" w:rsidP="00D844BE">
            <w:pPr>
              <w:pStyle w:val="TableText"/>
              <w:jc w:val="right"/>
              <w:rPr>
                <w:lang w:eastAsia="en-AU"/>
              </w:rPr>
            </w:pPr>
            <w:r w:rsidRPr="005B0796">
              <w:rPr>
                <w:lang w:eastAsia="en-AU"/>
              </w:rPr>
              <w:t>24.7</w:t>
            </w:r>
          </w:p>
        </w:tc>
        <w:tc>
          <w:tcPr>
            <w:tcW w:w="727" w:type="dxa"/>
          </w:tcPr>
          <w:p w:rsidR="0083605F" w:rsidRPr="005B0796" w:rsidRDefault="0083605F" w:rsidP="00D844BE">
            <w:pPr>
              <w:pStyle w:val="TableText"/>
              <w:jc w:val="right"/>
              <w:rPr>
                <w:lang w:eastAsia="en-AU"/>
              </w:rPr>
            </w:pPr>
            <w:r w:rsidRPr="005B0796">
              <w:rPr>
                <w:lang w:eastAsia="en-AU"/>
              </w:rPr>
              <w:t xml:space="preserve">24.7, 24.7 </w:t>
            </w:r>
          </w:p>
        </w:tc>
      </w:tr>
      <w:tr w:rsidR="0083605F" w:rsidRPr="005B0796" w:rsidTr="0083605F">
        <w:trPr>
          <w:cnfStyle w:val="000000100000" w:firstRow="0" w:lastRow="0" w:firstColumn="0" w:lastColumn="0" w:oddVBand="0" w:evenVBand="0" w:oddHBand="1" w:evenHBand="0" w:firstRowFirstColumn="0" w:firstRowLastColumn="0" w:lastRowFirstColumn="0" w:lastRowLastColumn="0"/>
        </w:trPr>
        <w:tc>
          <w:tcPr>
            <w:tcW w:w="1188" w:type="dxa"/>
          </w:tcPr>
          <w:p w:rsidR="0083605F" w:rsidRPr="005B0796" w:rsidRDefault="0083605F" w:rsidP="0083605F">
            <w:pPr>
              <w:pStyle w:val="TableText"/>
              <w:rPr>
                <w:rFonts w:eastAsia="GillSans"/>
                <w:lang w:eastAsia="en-AU"/>
              </w:rPr>
            </w:pPr>
            <w:r w:rsidRPr="005B0796">
              <w:rPr>
                <w:lang w:eastAsia="en-AU"/>
              </w:rPr>
              <w:t>Moderate (10–14)</w:t>
            </w:r>
          </w:p>
        </w:tc>
        <w:tc>
          <w:tcPr>
            <w:tcW w:w="810" w:type="dxa"/>
          </w:tcPr>
          <w:p w:rsidR="0083605F" w:rsidRPr="005B0796" w:rsidRDefault="0083605F" w:rsidP="00D844BE">
            <w:pPr>
              <w:pStyle w:val="TableText"/>
              <w:jc w:val="right"/>
              <w:rPr>
                <w:lang w:eastAsia="en-AU"/>
              </w:rPr>
            </w:pPr>
            <w:r w:rsidRPr="005B0796">
              <w:rPr>
                <w:lang w:eastAsia="en-AU"/>
              </w:rPr>
              <w:t>1484</w:t>
            </w:r>
          </w:p>
        </w:tc>
        <w:tc>
          <w:tcPr>
            <w:tcW w:w="450" w:type="dxa"/>
          </w:tcPr>
          <w:p w:rsidR="0083605F" w:rsidRPr="005B0796" w:rsidRDefault="0083605F" w:rsidP="00D844BE">
            <w:pPr>
              <w:pStyle w:val="TableText"/>
              <w:jc w:val="right"/>
              <w:rPr>
                <w:lang w:eastAsia="en-AU"/>
              </w:rPr>
            </w:pPr>
            <w:r w:rsidRPr="005B0796">
              <w:rPr>
                <w:lang w:eastAsia="en-AU"/>
              </w:rPr>
              <w:t>12.9</w:t>
            </w:r>
          </w:p>
        </w:tc>
        <w:tc>
          <w:tcPr>
            <w:tcW w:w="782" w:type="dxa"/>
          </w:tcPr>
          <w:p w:rsidR="0083605F" w:rsidRPr="005B0796" w:rsidRDefault="0083605F" w:rsidP="00D844BE">
            <w:pPr>
              <w:pStyle w:val="TableText"/>
              <w:jc w:val="right"/>
              <w:rPr>
                <w:lang w:eastAsia="en-AU"/>
              </w:rPr>
            </w:pPr>
            <w:r w:rsidRPr="005B0796">
              <w:rPr>
                <w:lang w:eastAsia="en-AU"/>
              </w:rPr>
              <w:t xml:space="preserve">11.2, 14.9 </w:t>
            </w:r>
          </w:p>
        </w:tc>
        <w:tc>
          <w:tcPr>
            <w:tcW w:w="748" w:type="dxa"/>
          </w:tcPr>
          <w:p w:rsidR="0083605F" w:rsidRPr="005B0796" w:rsidRDefault="0083605F" w:rsidP="00D844BE">
            <w:pPr>
              <w:pStyle w:val="TableText"/>
              <w:jc w:val="right"/>
              <w:rPr>
                <w:lang w:eastAsia="en-AU"/>
              </w:rPr>
            </w:pPr>
            <w:r w:rsidRPr="005B0796">
              <w:rPr>
                <w:lang w:eastAsia="en-AU"/>
              </w:rPr>
              <w:t>692</w:t>
            </w:r>
          </w:p>
        </w:tc>
        <w:tc>
          <w:tcPr>
            <w:tcW w:w="540" w:type="dxa"/>
          </w:tcPr>
          <w:p w:rsidR="0083605F" w:rsidRPr="005B0796" w:rsidRDefault="0083605F" w:rsidP="00D844BE">
            <w:pPr>
              <w:pStyle w:val="TableText"/>
              <w:jc w:val="right"/>
              <w:rPr>
                <w:lang w:eastAsia="en-AU"/>
              </w:rPr>
            </w:pPr>
            <w:r w:rsidRPr="005B0796">
              <w:rPr>
                <w:lang w:eastAsia="en-AU"/>
              </w:rPr>
              <w:t>10.7</w:t>
            </w:r>
          </w:p>
        </w:tc>
        <w:tc>
          <w:tcPr>
            <w:tcW w:w="754" w:type="dxa"/>
          </w:tcPr>
          <w:p w:rsidR="0083605F" w:rsidRPr="005B0796" w:rsidRDefault="0083605F" w:rsidP="0083605F">
            <w:pPr>
              <w:pStyle w:val="TableText"/>
              <w:jc w:val="right"/>
              <w:rPr>
                <w:lang w:eastAsia="en-AU"/>
              </w:rPr>
            </w:pPr>
            <w:r w:rsidRPr="005B0796">
              <w:rPr>
                <w:lang w:eastAsia="en-AU"/>
              </w:rPr>
              <w:t>8.6, 13.3</w:t>
            </w:r>
          </w:p>
        </w:tc>
        <w:tc>
          <w:tcPr>
            <w:tcW w:w="776" w:type="dxa"/>
          </w:tcPr>
          <w:p w:rsidR="0083605F" w:rsidRPr="005B0796" w:rsidRDefault="0083605F" w:rsidP="00D844BE">
            <w:pPr>
              <w:pStyle w:val="TableText"/>
              <w:jc w:val="right"/>
              <w:rPr>
                <w:lang w:eastAsia="en-AU"/>
              </w:rPr>
            </w:pPr>
            <w:r w:rsidRPr="005B0796">
              <w:rPr>
                <w:lang w:eastAsia="en-AU"/>
              </w:rPr>
              <w:t>588</w:t>
            </w:r>
          </w:p>
        </w:tc>
        <w:tc>
          <w:tcPr>
            <w:tcW w:w="540" w:type="dxa"/>
          </w:tcPr>
          <w:p w:rsidR="0083605F" w:rsidRPr="005B0796" w:rsidRDefault="0083605F" w:rsidP="00D844BE">
            <w:pPr>
              <w:pStyle w:val="TableText"/>
              <w:jc w:val="right"/>
              <w:rPr>
                <w:lang w:eastAsia="en-AU"/>
              </w:rPr>
            </w:pPr>
            <w:r w:rsidRPr="005B0796">
              <w:rPr>
                <w:lang w:eastAsia="en-AU"/>
              </w:rPr>
              <w:t>8.4</w:t>
            </w:r>
          </w:p>
        </w:tc>
        <w:tc>
          <w:tcPr>
            <w:tcW w:w="727" w:type="dxa"/>
          </w:tcPr>
          <w:p w:rsidR="0083605F" w:rsidRPr="005B0796" w:rsidRDefault="0083605F" w:rsidP="0083605F">
            <w:pPr>
              <w:pStyle w:val="TableText"/>
              <w:jc w:val="right"/>
              <w:rPr>
                <w:lang w:eastAsia="en-AU"/>
              </w:rPr>
            </w:pPr>
            <w:r w:rsidRPr="005B0796">
              <w:rPr>
                <w:lang w:eastAsia="en-AU"/>
              </w:rPr>
              <w:t>8.4, 8.4</w:t>
            </w:r>
          </w:p>
        </w:tc>
      </w:tr>
      <w:tr w:rsidR="0083605F" w:rsidRPr="005B0796" w:rsidTr="0083605F">
        <w:tc>
          <w:tcPr>
            <w:tcW w:w="1188" w:type="dxa"/>
          </w:tcPr>
          <w:p w:rsidR="0083605F" w:rsidRPr="005B0796" w:rsidRDefault="0083605F" w:rsidP="00D844BE">
            <w:pPr>
              <w:pStyle w:val="TableText"/>
              <w:rPr>
                <w:lang w:eastAsia="en-AU"/>
              </w:rPr>
            </w:pPr>
            <w:r w:rsidRPr="005B0796">
              <w:rPr>
                <w:lang w:eastAsia="en-AU"/>
              </w:rPr>
              <w:t>Moderately severe (15–19)</w:t>
            </w:r>
          </w:p>
        </w:tc>
        <w:tc>
          <w:tcPr>
            <w:tcW w:w="810" w:type="dxa"/>
          </w:tcPr>
          <w:p w:rsidR="0083605F" w:rsidRPr="005B0796" w:rsidRDefault="0083605F" w:rsidP="00D844BE">
            <w:pPr>
              <w:pStyle w:val="TableText"/>
              <w:jc w:val="right"/>
              <w:rPr>
                <w:lang w:eastAsia="en-AU"/>
              </w:rPr>
            </w:pPr>
            <w:r w:rsidRPr="005B0796">
              <w:rPr>
                <w:lang w:eastAsia="en-AU"/>
              </w:rPr>
              <w:t>1431</w:t>
            </w:r>
          </w:p>
        </w:tc>
        <w:tc>
          <w:tcPr>
            <w:tcW w:w="450" w:type="dxa"/>
          </w:tcPr>
          <w:p w:rsidR="0083605F" w:rsidRPr="005B0796" w:rsidRDefault="0083605F" w:rsidP="00D844BE">
            <w:pPr>
              <w:pStyle w:val="TableText"/>
              <w:jc w:val="right"/>
              <w:rPr>
                <w:lang w:eastAsia="en-AU"/>
              </w:rPr>
            </w:pPr>
            <w:r w:rsidRPr="005B0796">
              <w:rPr>
                <w:lang w:eastAsia="en-AU"/>
              </w:rPr>
              <w:t>12.5</w:t>
            </w:r>
          </w:p>
        </w:tc>
        <w:tc>
          <w:tcPr>
            <w:tcW w:w="782" w:type="dxa"/>
          </w:tcPr>
          <w:p w:rsidR="0083605F" w:rsidRPr="005B0796" w:rsidRDefault="0083605F" w:rsidP="00D844BE">
            <w:pPr>
              <w:pStyle w:val="TableText"/>
              <w:jc w:val="right"/>
              <w:rPr>
                <w:lang w:eastAsia="en-AU"/>
              </w:rPr>
            </w:pPr>
            <w:r w:rsidRPr="005B0796">
              <w:rPr>
                <w:lang w:eastAsia="en-AU"/>
              </w:rPr>
              <w:t>10.7, 14.5</w:t>
            </w:r>
          </w:p>
        </w:tc>
        <w:tc>
          <w:tcPr>
            <w:tcW w:w="748" w:type="dxa"/>
          </w:tcPr>
          <w:p w:rsidR="0083605F" w:rsidRPr="005B0796" w:rsidRDefault="0083605F" w:rsidP="00D844BE">
            <w:pPr>
              <w:pStyle w:val="TableText"/>
              <w:jc w:val="right"/>
              <w:rPr>
                <w:lang w:eastAsia="en-AU"/>
              </w:rPr>
            </w:pPr>
            <w:r w:rsidRPr="005B0796">
              <w:rPr>
                <w:lang w:eastAsia="en-AU"/>
              </w:rPr>
              <w:t>440</w:t>
            </w:r>
          </w:p>
        </w:tc>
        <w:tc>
          <w:tcPr>
            <w:tcW w:w="540" w:type="dxa"/>
          </w:tcPr>
          <w:p w:rsidR="0083605F" w:rsidRPr="005B0796" w:rsidRDefault="0083605F" w:rsidP="00D844BE">
            <w:pPr>
              <w:pStyle w:val="TableText"/>
              <w:jc w:val="right"/>
              <w:rPr>
                <w:lang w:eastAsia="en-AU"/>
              </w:rPr>
            </w:pPr>
            <w:r w:rsidRPr="005B0796">
              <w:rPr>
                <w:lang w:eastAsia="en-AU"/>
              </w:rPr>
              <w:t>6.8</w:t>
            </w:r>
          </w:p>
        </w:tc>
        <w:tc>
          <w:tcPr>
            <w:tcW w:w="754" w:type="dxa"/>
          </w:tcPr>
          <w:p w:rsidR="0083605F" w:rsidRPr="005B0796" w:rsidRDefault="0083605F" w:rsidP="0083605F">
            <w:pPr>
              <w:pStyle w:val="TableText"/>
              <w:jc w:val="right"/>
              <w:rPr>
                <w:lang w:eastAsia="en-AU"/>
              </w:rPr>
            </w:pPr>
            <w:r w:rsidRPr="005B0796">
              <w:rPr>
                <w:lang w:eastAsia="en-AU"/>
              </w:rPr>
              <w:t>5.2, 8.9</w:t>
            </w:r>
          </w:p>
        </w:tc>
        <w:tc>
          <w:tcPr>
            <w:tcW w:w="776" w:type="dxa"/>
          </w:tcPr>
          <w:p w:rsidR="0083605F" w:rsidRPr="005B0796" w:rsidRDefault="0083605F" w:rsidP="00D844BE">
            <w:pPr>
              <w:pStyle w:val="TableText"/>
              <w:jc w:val="right"/>
              <w:rPr>
                <w:lang w:eastAsia="en-AU"/>
              </w:rPr>
            </w:pPr>
            <w:r w:rsidRPr="005B0796">
              <w:rPr>
                <w:lang w:eastAsia="en-AU"/>
              </w:rPr>
              <w:t>399</w:t>
            </w:r>
          </w:p>
        </w:tc>
        <w:tc>
          <w:tcPr>
            <w:tcW w:w="540" w:type="dxa"/>
          </w:tcPr>
          <w:p w:rsidR="0083605F" w:rsidRPr="005B0796" w:rsidRDefault="0083605F" w:rsidP="00D844BE">
            <w:pPr>
              <w:pStyle w:val="TableText"/>
              <w:jc w:val="right"/>
              <w:rPr>
                <w:lang w:eastAsia="en-AU"/>
              </w:rPr>
            </w:pPr>
            <w:r w:rsidRPr="005B0796">
              <w:rPr>
                <w:lang w:eastAsia="en-AU"/>
              </w:rPr>
              <w:t>5.7</w:t>
            </w:r>
          </w:p>
        </w:tc>
        <w:tc>
          <w:tcPr>
            <w:tcW w:w="727" w:type="dxa"/>
          </w:tcPr>
          <w:p w:rsidR="0083605F" w:rsidRPr="005B0796" w:rsidRDefault="0083605F" w:rsidP="0083605F">
            <w:pPr>
              <w:pStyle w:val="TableText"/>
              <w:jc w:val="right"/>
              <w:rPr>
                <w:lang w:eastAsia="en-AU"/>
              </w:rPr>
            </w:pPr>
            <w:r w:rsidRPr="005B0796">
              <w:rPr>
                <w:lang w:eastAsia="en-AU"/>
              </w:rPr>
              <w:t>5.7, 5.7</w:t>
            </w:r>
          </w:p>
        </w:tc>
      </w:tr>
      <w:tr w:rsidR="0083605F" w:rsidRPr="005B0796" w:rsidTr="0083605F">
        <w:trPr>
          <w:cnfStyle w:val="000000100000" w:firstRow="0" w:lastRow="0" w:firstColumn="0" w:lastColumn="0" w:oddVBand="0" w:evenVBand="0" w:oddHBand="1" w:evenHBand="0" w:firstRowFirstColumn="0" w:firstRowLastColumn="0" w:lastRowFirstColumn="0" w:lastRowLastColumn="0"/>
        </w:trPr>
        <w:tc>
          <w:tcPr>
            <w:tcW w:w="1188" w:type="dxa"/>
          </w:tcPr>
          <w:p w:rsidR="0083605F" w:rsidRPr="005B0796" w:rsidRDefault="0083605F" w:rsidP="0083605F">
            <w:pPr>
              <w:pStyle w:val="TableText"/>
              <w:rPr>
                <w:lang w:eastAsia="en-AU"/>
              </w:rPr>
            </w:pPr>
            <w:r w:rsidRPr="005B0796">
              <w:rPr>
                <w:lang w:eastAsia="en-AU"/>
              </w:rPr>
              <w:t>Severe (20–27)</w:t>
            </w:r>
          </w:p>
        </w:tc>
        <w:tc>
          <w:tcPr>
            <w:tcW w:w="810" w:type="dxa"/>
          </w:tcPr>
          <w:p w:rsidR="0083605F" w:rsidRPr="005B0796" w:rsidRDefault="0083605F" w:rsidP="00D844BE">
            <w:pPr>
              <w:pStyle w:val="TableText"/>
              <w:jc w:val="right"/>
              <w:rPr>
                <w:lang w:eastAsia="en-AU"/>
              </w:rPr>
            </w:pPr>
            <w:r w:rsidRPr="005B0796">
              <w:rPr>
                <w:lang w:eastAsia="en-AU"/>
              </w:rPr>
              <w:t>2078</w:t>
            </w:r>
          </w:p>
        </w:tc>
        <w:tc>
          <w:tcPr>
            <w:tcW w:w="450" w:type="dxa"/>
          </w:tcPr>
          <w:p w:rsidR="0083605F" w:rsidRPr="005B0796" w:rsidRDefault="0083605F" w:rsidP="00D844BE">
            <w:pPr>
              <w:pStyle w:val="TableText"/>
              <w:jc w:val="right"/>
              <w:rPr>
                <w:lang w:eastAsia="en-AU"/>
              </w:rPr>
            </w:pPr>
            <w:r w:rsidRPr="005B0796">
              <w:rPr>
                <w:lang w:eastAsia="en-AU"/>
              </w:rPr>
              <w:t>18.2</w:t>
            </w:r>
          </w:p>
        </w:tc>
        <w:tc>
          <w:tcPr>
            <w:tcW w:w="782" w:type="dxa"/>
          </w:tcPr>
          <w:p w:rsidR="0083605F" w:rsidRPr="005B0796" w:rsidRDefault="0083605F" w:rsidP="00D844BE">
            <w:pPr>
              <w:pStyle w:val="TableText"/>
              <w:jc w:val="right"/>
              <w:rPr>
                <w:lang w:eastAsia="en-AU"/>
              </w:rPr>
            </w:pPr>
            <w:r w:rsidRPr="005B0796">
              <w:rPr>
                <w:lang w:eastAsia="en-AU"/>
              </w:rPr>
              <w:t xml:space="preserve">16.1, 20.4 </w:t>
            </w:r>
          </w:p>
        </w:tc>
        <w:tc>
          <w:tcPr>
            <w:tcW w:w="748" w:type="dxa"/>
          </w:tcPr>
          <w:p w:rsidR="0083605F" w:rsidRPr="005B0796" w:rsidRDefault="0083605F" w:rsidP="00D844BE">
            <w:pPr>
              <w:pStyle w:val="TableText"/>
              <w:jc w:val="right"/>
              <w:rPr>
                <w:lang w:eastAsia="en-AU"/>
              </w:rPr>
            </w:pPr>
            <w:r w:rsidRPr="005B0796">
              <w:rPr>
                <w:lang w:eastAsia="en-AU"/>
              </w:rPr>
              <w:t>346</w:t>
            </w:r>
          </w:p>
        </w:tc>
        <w:tc>
          <w:tcPr>
            <w:tcW w:w="540" w:type="dxa"/>
          </w:tcPr>
          <w:p w:rsidR="0083605F" w:rsidRPr="005B0796" w:rsidRDefault="0083605F" w:rsidP="00D844BE">
            <w:pPr>
              <w:pStyle w:val="TableText"/>
              <w:jc w:val="right"/>
              <w:rPr>
                <w:lang w:eastAsia="en-AU"/>
              </w:rPr>
            </w:pPr>
            <w:r w:rsidRPr="005B0796">
              <w:rPr>
                <w:lang w:eastAsia="en-AU"/>
              </w:rPr>
              <w:t>5.4</w:t>
            </w:r>
          </w:p>
        </w:tc>
        <w:tc>
          <w:tcPr>
            <w:tcW w:w="754" w:type="dxa"/>
          </w:tcPr>
          <w:p w:rsidR="0083605F" w:rsidRPr="005B0796" w:rsidRDefault="0083605F" w:rsidP="0083605F">
            <w:pPr>
              <w:pStyle w:val="TableText"/>
              <w:jc w:val="right"/>
              <w:rPr>
                <w:lang w:eastAsia="en-AU"/>
              </w:rPr>
            </w:pPr>
            <w:r w:rsidRPr="005B0796">
              <w:rPr>
                <w:lang w:eastAsia="en-AU"/>
              </w:rPr>
              <w:t>3.9, 7.3</w:t>
            </w:r>
          </w:p>
        </w:tc>
        <w:tc>
          <w:tcPr>
            <w:tcW w:w="776" w:type="dxa"/>
          </w:tcPr>
          <w:p w:rsidR="0083605F" w:rsidRPr="005B0796" w:rsidRDefault="0083605F" w:rsidP="00D844BE">
            <w:pPr>
              <w:pStyle w:val="TableText"/>
              <w:jc w:val="right"/>
              <w:rPr>
                <w:lang w:eastAsia="en-AU"/>
              </w:rPr>
            </w:pPr>
            <w:r w:rsidRPr="005B0796">
              <w:rPr>
                <w:lang w:eastAsia="en-AU"/>
              </w:rPr>
              <w:t>229</w:t>
            </w:r>
          </w:p>
        </w:tc>
        <w:tc>
          <w:tcPr>
            <w:tcW w:w="540" w:type="dxa"/>
          </w:tcPr>
          <w:p w:rsidR="0083605F" w:rsidRPr="005B0796" w:rsidRDefault="0083605F" w:rsidP="00D844BE">
            <w:pPr>
              <w:pStyle w:val="TableText"/>
              <w:jc w:val="right"/>
              <w:rPr>
                <w:lang w:eastAsia="en-AU"/>
              </w:rPr>
            </w:pPr>
            <w:r w:rsidRPr="005B0796">
              <w:rPr>
                <w:lang w:eastAsia="en-AU"/>
              </w:rPr>
              <w:t>3.3</w:t>
            </w:r>
          </w:p>
        </w:tc>
        <w:tc>
          <w:tcPr>
            <w:tcW w:w="727" w:type="dxa"/>
          </w:tcPr>
          <w:p w:rsidR="0083605F" w:rsidRPr="005B0796" w:rsidRDefault="0083605F" w:rsidP="0083605F">
            <w:pPr>
              <w:pStyle w:val="TableText"/>
              <w:jc w:val="right"/>
              <w:rPr>
                <w:lang w:eastAsia="en-AU"/>
              </w:rPr>
            </w:pPr>
            <w:r w:rsidRPr="005B0796">
              <w:rPr>
                <w:lang w:eastAsia="en-AU"/>
              </w:rPr>
              <w:t>3.3, 3.3</w:t>
            </w:r>
          </w:p>
        </w:tc>
      </w:tr>
    </w:tbl>
    <w:p w:rsidR="00BE715D" w:rsidRPr="005B0796" w:rsidRDefault="000C0E27" w:rsidP="000C0E27">
      <w:pPr>
        <w:pStyle w:val="TableNotes"/>
      </w:pPr>
      <w:r w:rsidRPr="005B0796">
        <w:t xml:space="preserve">Note: 95% CI: 95% </w:t>
      </w:r>
      <w:r w:rsidR="00564689" w:rsidRPr="005B0796">
        <w:t>confidence interval</w:t>
      </w:r>
    </w:p>
    <w:p w:rsidR="000C0E27" w:rsidRPr="005B0796" w:rsidRDefault="000C0E27" w:rsidP="000C0E27">
      <w:pPr>
        <w:pStyle w:val="FigureName"/>
      </w:pPr>
      <w:bookmarkStart w:id="1034" w:name="_Toc487014405"/>
      <w:bookmarkStart w:id="1035" w:name="_Toc51190057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15</w:t>
      </w:r>
      <w:r w:rsidR="00D30A3C">
        <w:rPr>
          <w:noProof/>
        </w:rPr>
        <w:fldChar w:fldCharType="end"/>
      </w:r>
      <w:r w:rsidRPr="005B0796">
        <w:tab/>
        <w:t>Estimated proportions of Transitioned ADF for PHQ-9 scoring bands for depressive symptoms</w:t>
      </w:r>
      <w:r w:rsidR="00520FC8" w:rsidRPr="005B0796">
        <w:t xml:space="preserve"> </w:t>
      </w:r>
      <w:r w:rsidRPr="005B0796">
        <w:t>by transition status</w:t>
      </w:r>
      <w:bookmarkEnd w:id="1034"/>
      <w:bookmarkEnd w:id="1035"/>
    </w:p>
    <w:tbl>
      <w:tblPr>
        <w:tblW w:w="5000" w:type="pct"/>
        <w:tblLayout w:type="fixed"/>
        <w:tblCellMar>
          <w:left w:w="115" w:type="dxa"/>
          <w:right w:w="115" w:type="dxa"/>
        </w:tblCellMar>
        <w:tblLook w:val="04A0" w:firstRow="1" w:lastRow="0" w:firstColumn="1" w:lastColumn="0" w:noHBand="0" w:noVBand="1"/>
      </w:tblPr>
      <w:tblGrid>
        <w:gridCol w:w="7329"/>
      </w:tblGrid>
      <w:tr w:rsidR="00BE715D" w:rsidRPr="005B0796" w:rsidTr="000C0E27">
        <w:trPr>
          <w:cantSplit/>
        </w:trPr>
        <w:tc>
          <w:tcPr>
            <w:tcW w:w="7315" w:type="dxa"/>
          </w:tcPr>
          <w:p w:rsidR="00BE715D" w:rsidRPr="005B0796" w:rsidRDefault="00BE715D" w:rsidP="00855912">
            <w:pPr>
              <w:rPr>
                <w:i/>
              </w:rPr>
            </w:pPr>
            <w:r w:rsidRPr="005B0796">
              <w:rPr>
                <w:noProof/>
                <w:lang w:eastAsia="en-AU"/>
              </w:rPr>
              <w:drawing>
                <wp:inline distT="0" distB="0" distL="0" distR="0" wp14:anchorId="68935CDC" wp14:editId="785E409B">
                  <wp:extent cx="4572000" cy="2743200"/>
                  <wp:effectExtent l="0" t="0" r="0" b="0"/>
                  <wp:docPr id="301" name="Chart 301" descr="Figure 5.15 Estimated proportions of Transitioned ADF for PHQ-9 scoring bands for depressive symptoms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r>
    </w:tbl>
    <w:p w:rsidR="00855912" w:rsidRPr="005B0796" w:rsidRDefault="00855912" w:rsidP="00855912"/>
    <w:p w:rsidR="00855912" w:rsidRPr="005B0796" w:rsidRDefault="00855912" w:rsidP="00855912">
      <w:pPr>
        <w:sectPr w:rsidR="00855912" w:rsidRPr="005B0796" w:rsidSect="005A477D">
          <w:footerReference w:type="even" r:id="rId205"/>
          <w:footerReference w:type="default" r:id="rId206"/>
          <w:pgSz w:w="9979" w:h="14170" w:code="243"/>
          <w:pgMar w:top="1440" w:right="1152" w:bottom="1440" w:left="1728" w:header="576" w:footer="576" w:gutter="0"/>
          <w:cols w:space="708"/>
          <w:docGrid w:linePitch="360"/>
        </w:sectPr>
      </w:pPr>
    </w:p>
    <w:p w:rsidR="00736125" w:rsidRPr="005B0796" w:rsidRDefault="00736125" w:rsidP="00736125">
      <w:pPr>
        <w:pStyle w:val="TableName"/>
      </w:pPr>
      <w:bookmarkStart w:id="1036" w:name="_Toc511900469"/>
      <w:bookmarkStart w:id="1037" w:name="_Ref484523476"/>
      <w:bookmarkStart w:id="1038" w:name="_Toc487014317"/>
      <w:bookmarkStart w:id="1039" w:name="_Toc49299562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16</w:t>
      </w:r>
      <w:r w:rsidR="00D30A3C">
        <w:rPr>
          <w:noProof/>
        </w:rPr>
        <w:fldChar w:fldCharType="end"/>
      </w:r>
      <w:r w:rsidRPr="005B0796">
        <w:tab/>
        <w:t>Estimated proportions of Transitioned ADF members in PHQ-9 scoring bands for depressive symptoms</w:t>
      </w:r>
      <w:r w:rsidR="00C01061">
        <w:t>,</w:t>
      </w:r>
      <w:r w:rsidRPr="005B0796">
        <w:t xml:space="preserve"> by years since transition</w:t>
      </w:r>
      <w:bookmarkEnd w:id="1036"/>
    </w:p>
    <w:bookmarkEnd w:id="1037"/>
    <w:bookmarkEnd w:id="1038"/>
    <w:bookmarkEnd w:id="1039"/>
    <w:tbl>
      <w:tblPr>
        <w:tblStyle w:val="TWRPTable"/>
        <w:tblW w:w="5000" w:type="pct"/>
        <w:tblLayout w:type="fixed"/>
        <w:tblLook w:val="04A0" w:firstRow="1" w:lastRow="0" w:firstColumn="1" w:lastColumn="0" w:noHBand="0" w:noVBand="1"/>
        <w:tblDescription w:val="Table 5.16 Estimated proportions of Transitioned ADF members in PHQ-9 scoring bands for depressive symptoms by years since transition"/>
      </w:tblPr>
      <w:tblGrid>
        <w:gridCol w:w="1522"/>
        <w:gridCol w:w="1110"/>
        <w:gridCol w:w="1110"/>
        <w:gridCol w:w="1110"/>
        <w:gridCol w:w="1109"/>
        <w:gridCol w:w="1109"/>
        <w:gridCol w:w="1109"/>
        <w:gridCol w:w="1109"/>
        <w:gridCol w:w="1109"/>
        <w:gridCol w:w="1109"/>
      </w:tblGrid>
      <w:tr w:rsidR="000A040C" w:rsidRPr="005B0796" w:rsidTr="000A040C">
        <w:trPr>
          <w:cnfStyle w:val="100000000000" w:firstRow="1" w:lastRow="0" w:firstColumn="0" w:lastColumn="0" w:oddVBand="0" w:evenVBand="0" w:oddHBand="0" w:evenHBand="0" w:firstRowFirstColumn="0" w:firstRowLastColumn="0" w:lastRowFirstColumn="0" w:lastRowLastColumn="0"/>
          <w:cantSplit/>
          <w:tblHeader/>
        </w:trPr>
        <w:tc>
          <w:tcPr>
            <w:tcW w:w="661" w:type="pct"/>
            <w:vMerge w:val="restart"/>
          </w:tcPr>
          <w:p w:rsidR="000A040C" w:rsidRPr="005B0796" w:rsidRDefault="000A040C" w:rsidP="00736125">
            <w:pPr>
              <w:pStyle w:val="TableText"/>
            </w:pPr>
          </w:p>
        </w:tc>
        <w:tc>
          <w:tcPr>
            <w:tcW w:w="1446" w:type="pct"/>
            <w:gridSpan w:val="3"/>
            <w:hideMark/>
          </w:tcPr>
          <w:p w:rsidR="000A040C" w:rsidRPr="005B0796" w:rsidRDefault="000A040C" w:rsidP="00736125">
            <w:pPr>
              <w:pStyle w:val="TableText"/>
              <w:jc w:val="center"/>
            </w:pPr>
            <w:r w:rsidRPr="005B0796">
              <w:t>0 (1–11 months)</w:t>
            </w:r>
            <w:r w:rsidRPr="005B0796">
              <w:br/>
              <w:t>(n = 1945)</w:t>
            </w:r>
          </w:p>
        </w:tc>
        <w:tc>
          <w:tcPr>
            <w:tcW w:w="1446" w:type="pct"/>
            <w:gridSpan w:val="3"/>
            <w:hideMark/>
          </w:tcPr>
          <w:p w:rsidR="000A040C" w:rsidRPr="005B0796" w:rsidRDefault="000A040C" w:rsidP="00736125">
            <w:pPr>
              <w:pStyle w:val="TableText"/>
              <w:jc w:val="center"/>
            </w:pPr>
            <w:r w:rsidRPr="005B0796">
              <w:t>1 year</w:t>
            </w:r>
            <w:r w:rsidRPr="005B0796">
              <w:br/>
              <w:t>(n = 4874)</w:t>
            </w:r>
          </w:p>
        </w:tc>
        <w:tc>
          <w:tcPr>
            <w:tcW w:w="1446" w:type="pct"/>
            <w:gridSpan w:val="3"/>
            <w:hideMark/>
          </w:tcPr>
          <w:p w:rsidR="000A040C" w:rsidRPr="005B0796" w:rsidRDefault="000A040C" w:rsidP="00736125">
            <w:pPr>
              <w:pStyle w:val="TableText"/>
              <w:jc w:val="center"/>
            </w:pPr>
            <w:r w:rsidRPr="005B0796">
              <w:t>2 years</w:t>
            </w:r>
            <w:r w:rsidRPr="005B0796">
              <w:br/>
              <w:t>(n = 4944)</w:t>
            </w:r>
          </w:p>
        </w:tc>
      </w:tr>
      <w:tr w:rsidR="000A040C" w:rsidRPr="005B0796" w:rsidTr="000A040C">
        <w:trPr>
          <w:cnfStyle w:val="100000000000" w:firstRow="1" w:lastRow="0" w:firstColumn="0" w:lastColumn="0" w:oddVBand="0" w:evenVBand="0" w:oddHBand="0" w:evenHBand="0" w:firstRowFirstColumn="0" w:firstRowLastColumn="0" w:lastRowFirstColumn="0" w:lastRowLastColumn="0"/>
          <w:cantSplit/>
          <w:tblHeader/>
        </w:trPr>
        <w:tc>
          <w:tcPr>
            <w:tcW w:w="661" w:type="pct"/>
            <w:vMerge/>
          </w:tcPr>
          <w:p w:rsidR="000A040C" w:rsidRPr="005B0796" w:rsidRDefault="000A040C" w:rsidP="00736125">
            <w:pPr>
              <w:pStyle w:val="TableText"/>
            </w:pPr>
          </w:p>
        </w:tc>
        <w:tc>
          <w:tcPr>
            <w:tcW w:w="482" w:type="pct"/>
            <w:hideMark/>
          </w:tcPr>
          <w:p w:rsidR="000A040C" w:rsidRPr="005B0796" w:rsidRDefault="000A040C" w:rsidP="00736125">
            <w:pPr>
              <w:pStyle w:val="TableText"/>
              <w:jc w:val="right"/>
            </w:pPr>
            <w:r w:rsidRPr="005B0796">
              <w:t>Weighted n</w:t>
            </w:r>
          </w:p>
        </w:tc>
        <w:tc>
          <w:tcPr>
            <w:tcW w:w="482" w:type="pct"/>
            <w:hideMark/>
          </w:tcPr>
          <w:p w:rsidR="000A040C" w:rsidRPr="005B0796" w:rsidRDefault="000A040C" w:rsidP="00736125">
            <w:pPr>
              <w:pStyle w:val="TableText"/>
              <w:jc w:val="right"/>
            </w:pPr>
            <w:r w:rsidRPr="005B0796">
              <w:t>%</w:t>
            </w:r>
          </w:p>
        </w:tc>
        <w:tc>
          <w:tcPr>
            <w:tcW w:w="482" w:type="pct"/>
            <w:hideMark/>
          </w:tcPr>
          <w:p w:rsidR="000A040C" w:rsidRPr="005B0796" w:rsidRDefault="000A040C" w:rsidP="00736125">
            <w:pPr>
              <w:pStyle w:val="TableText"/>
              <w:jc w:val="right"/>
            </w:pPr>
            <w:r w:rsidRPr="005B0796">
              <w:t>95% CI</w:t>
            </w:r>
          </w:p>
        </w:tc>
        <w:tc>
          <w:tcPr>
            <w:tcW w:w="482" w:type="pct"/>
            <w:hideMark/>
          </w:tcPr>
          <w:p w:rsidR="000A040C" w:rsidRPr="005B0796" w:rsidRDefault="000A040C" w:rsidP="00736125">
            <w:pPr>
              <w:pStyle w:val="TableText"/>
              <w:jc w:val="right"/>
            </w:pPr>
            <w:r w:rsidRPr="005B0796">
              <w:t>Weighted n</w:t>
            </w:r>
          </w:p>
        </w:tc>
        <w:tc>
          <w:tcPr>
            <w:tcW w:w="482" w:type="pct"/>
            <w:hideMark/>
          </w:tcPr>
          <w:p w:rsidR="000A040C" w:rsidRPr="005B0796" w:rsidRDefault="000A040C" w:rsidP="00736125">
            <w:pPr>
              <w:pStyle w:val="TableText"/>
              <w:jc w:val="right"/>
            </w:pPr>
            <w:r w:rsidRPr="005B0796">
              <w:t>%</w:t>
            </w:r>
          </w:p>
        </w:tc>
        <w:tc>
          <w:tcPr>
            <w:tcW w:w="482" w:type="pct"/>
            <w:hideMark/>
          </w:tcPr>
          <w:p w:rsidR="000A040C" w:rsidRPr="005B0796" w:rsidRDefault="000A040C" w:rsidP="00736125">
            <w:pPr>
              <w:pStyle w:val="TableText"/>
              <w:jc w:val="right"/>
            </w:pPr>
            <w:r w:rsidRPr="005B0796">
              <w:t>95% CI</w:t>
            </w:r>
          </w:p>
        </w:tc>
        <w:tc>
          <w:tcPr>
            <w:tcW w:w="482" w:type="pct"/>
            <w:hideMark/>
          </w:tcPr>
          <w:p w:rsidR="000A040C" w:rsidRPr="005B0796" w:rsidRDefault="000A040C" w:rsidP="00736125">
            <w:pPr>
              <w:pStyle w:val="TableText"/>
              <w:jc w:val="right"/>
            </w:pPr>
            <w:r w:rsidRPr="005B0796">
              <w:t>Weighted n</w:t>
            </w:r>
          </w:p>
        </w:tc>
        <w:tc>
          <w:tcPr>
            <w:tcW w:w="482" w:type="pct"/>
            <w:hideMark/>
          </w:tcPr>
          <w:p w:rsidR="000A040C" w:rsidRPr="005B0796" w:rsidRDefault="000A040C" w:rsidP="00736125">
            <w:pPr>
              <w:pStyle w:val="TableText"/>
              <w:jc w:val="right"/>
            </w:pPr>
            <w:r w:rsidRPr="005B0796">
              <w:t>%</w:t>
            </w:r>
          </w:p>
        </w:tc>
        <w:tc>
          <w:tcPr>
            <w:tcW w:w="482" w:type="pct"/>
            <w:hideMark/>
          </w:tcPr>
          <w:p w:rsidR="000A040C" w:rsidRPr="005B0796" w:rsidRDefault="000A040C" w:rsidP="00736125">
            <w:pPr>
              <w:pStyle w:val="TableText"/>
              <w:jc w:val="right"/>
            </w:pPr>
            <w:r w:rsidRPr="005B0796">
              <w:t>95% CI</w:t>
            </w:r>
          </w:p>
        </w:tc>
      </w:tr>
      <w:tr w:rsidR="000A040C" w:rsidRPr="005B0796" w:rsidTr="000A040C">
        <w:trPr>
          <w:cnfStyle w:val="000000100000" w:firstRow="0" w:lastRow="0" w:firstColumn="0" w:lastColumn="0" w:oddVBand="0" w:evenVBand="0" w:oddHBand="1" w:evenHBand="0" w:firstRowFirstColumn="0" w:firstRowLastColumn="0" w:lastRowFirstColumn="0" w:lastRowLastColumn="0"/>
          <w:cantSplit/>
        </w:trPr>
        <w:tc>
          <w:tcPr>
            <w:tcW w:w="661" w:type="pct"/>
            <w:hideMark/>
          </w:tcPr>
          <w:p w:rsidR="000A040C" w:rsidRPr="005B0796" w:rsidRDefault="000A040C" w:rsidP="00736125">
            <w:pPr>
              <w:pStyle w:val="TableText"/>
              <w:rPr>
                <w:rFonts w:asciiTheme="minorHAnsi" w:hAnsiTheme="minorHAnsi" w:cstheme="minorHAnsi"/>
                <w:color w:val="000000" w:themeColor="text1"/>
              </w:rPr>
            </w:pPr>
            <w:r w:rsidRPr="005B0796">
              <w:rPr>
                <w:rFonts w:asciiTheme="minorHAnsi" w:eastAsia="Times New Roman" w:hAnsiTheme="minorHAnsi" w:cstheme="minorHAnsi"/>
                <w:color w:val="000000" w:themeColor="text1"/>
              </w:rPr>
              <w:t>Minimal (0–4)</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1031</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53.0</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46.7, 59.2</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2278</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46.7</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42.6, 50.9</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2377</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48.1</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43.8, 52.4</w:t>
            </w:r>
          </w:p>
        </w:tc>
      </w:tr>
      <w:tr w:rsidR="000A040C" w:rsidRPr="005B0796" w:rsidTr="000A040C">
        <w:trPr>
          <w:cantSplit/>
        </w:trPr>
        <w:tc>
          <w:tcPr>
            <w:tcW w:w="661" w:type="pct"/>
            <w:hideMark/>
          </w:tcPr>
          <w:p w:rsidR="000A040C" w:rsidRPr="005B0796" w:rsidRDefault="000A040C" w:rsidP="00736125">
            <w:pPr>
              <w:pStyle w:val="TableText"/>
              <w:rPr>
                <w:rFonts w:asciiTheme="minorHAnsi" w:hAnsiTheme="minorHAnsi" w:cstheme="minorHAnsi"/>
                <w:b/>
                <w:color w:val="000000" w:themeColor="text1"/>
              </w:rPr>
            </w:pPr>
            <w:r w:rsidRPr="005B0796">
              <w:rPr>
                <w:rFonts w:asciiTheme="minorHAnsi" w:eastAsia="Times New Roman" w:hAnsiTheme="minorHAnsi" w:cstheme="minorHAnsi"/>
                <w:color w:val="000000" w:themeColor="text1"/>
              </w:rPr>
              <w:t>Mild (5–9)</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473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24.3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19.2, 30.3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1015</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20.8</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17.7, 24.3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1163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23.5</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20.1, 27.4</w:t>
            </w:r>
          </w:p>
        </w:tc>
      </w:tr>
      <w:tr w:rsidR="000A040C" w:rsidRPr="005B0796" w:rsidTr="000A040C">
        <w:trPr>
          <w:cnfStyle w:val="000000100000" w:firstRow="0" w:lastRow="0" w:firstColumn="0" w:lastColumn="0" w:oddVBand="0" w:evenVBand="0" w:oddHBand="1" w:evenHBand="0" w:firstRowFirstColumn="0" w:firstRowLastColumn="0" w:lastRowFirstColumn="0" w:lastRowLastColumn="0"/>
          <w:cantSplit/>
        </w:trPr>
        <w:tc>
          <w:tcPr>
            <w:tcW w:w="661" w:type="pct"/>
            <w:hideMark/>
          </w:tcPr>
          <w:p w:rsidR="000A040C" w:rsidRPr="005B0796" w:rsidRDefault="000A040C" w:rsidP="00736125">
            <w:pPr>
              <w:pStyle w:val="TableText"/>
              <w:rPr>
                <w:rFonts w:asciiTheme="minorHAnsi" w:hAnsiTheme="minorHAnsi" w:cstheme="minorHAnsi"/>
                <w:b/>
                <w:color w:val="000000" w:themeColor="text1"/>
              </w:rPr>
            </w:pPr>
            <w:r w:rsidRPr="005B0796">
              <w:rPr>
                <w:rFonts w:asciiTheme="minorHAnsi" w:eastAsia="Times New Roman" w:hAnsiTheme="minorHAnsi" w:cstheme="minorHAnsi"/>
                <w:color w:val="000000" w:themeColor="text1"/>
              </w:rPr>
              <w:t>Moderate (10–14)</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192</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9.9</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6.6, 14.5</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467</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9.6</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7.4, 12.4</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458</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9.3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7.1, 12.0</w:t>
            </w:r>
          </w:p>
        </w:tc>
      </w:tr>
      <w:tr w:rsidR="000A040C" w:rsidRPr="005B0796" w:rsidTr="000A040C">
        <w:trPr>
          <w:cantSplit/>
        </w:trPr>
        <w:tc>
          <w:tcPr>
            <w:tcW w:w="661" w:type="pct"/>
            <w:hideMark/>
          </w:tcPr>
          <w:p w:rsidR="000A040C" w:rsidRPr="005B0796" w:rsidRDefault="000A040C" w:rsidP="00736125">
            <w:pPr>
              <w:pStyle w:val="TableText"/>
              <w:rPr>
                <w:rFonts w:asciiTheme="minorHAnsi" w:hAnsiTheme="minorHAnsi" w:cstheme="minorHAnsi"/>
                <w:color w:val="000000" w:themeColor="text1"/>
              </w:rPr>
            </w:pPr>
            <w:r w:rsidRPr="005B0796">
              <w:rPr>
                <w:rFonts w:asciiTheme="minorHAnsi" w:eastAsia="Times New Roman" w:hAnsiTheme="minorHAnsi" w:cstheme="minorHAnsi"/>
                <w:color w:val="000000" w:themeColor="text1"/>
              </w:rPr>
              <w:t>Moderately severe (15–19)</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133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6.9</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4.3, 10.7</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457</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9.4</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7.3, 12.0</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458</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9.3</w:t>
            </w:r>
          </w:p>
        </w:tc>
        <w:tc>
          <w:tcPr>
            <w:tcW w:w="482" w:type="pct"/>
            <w:hideMark/>
          </w:tcPr>
          <w:p w:rsidR="000A040C" w:rsidRPr="005B0796" w:rsidRDefault="000A040C" w:rsidP="00736125">
            <w:pPr>
              <w:pStyle w:val="TableText"/>
              <w:jc w:val="right"/>
              <w:rPr>
                <w:rFonts w:asciiTheme="minorHAnsi" w:hAnsiTheme="minorHAnsi" w:cstheme="minorHAnsi"/>
              </w:rPr>
            </w:pPr>
            <w:r w:rsidRPr="005B0796">
              <w:rPr>
                <w:rFonts w:asciiTheme="minorHAnsi" w:eastAsia="Times New Roman" w:hAnsiTheme="minorHAnsi" w:cstheme="minorHAnsi"/>
              </w:rPr>
              <w:t>7.1, 12.1</w:t>
            </w:r>
          </w:p>
        </w:tc>
      </w:tr>
      <w:tr w:rsidR="000A040C" w:rsidRPr="005B0796" w:rsidTr="000A040C">
        <w:trPr>
          <w:cnfStyle w:val="000000100000" w:firstRow="0" w:lastRow="0" w:firstColumn="0" w:lastColumn="0" w:oddVBand="0" w:evenVBand="0" w:oddHBand="1" w:evenHBand="0" w:firstRowFirstColumn="0" w:firstRowLastColumn="0" w:lastRowFirstColumn="0" w:lastRowLastColumn="0"/>
          <w:cantSplit/>
        </w:trPr>
        <w:tc>
          <w:tcPr>
            <w:tcW w:w="661" w:type="pct"/>
            <w:hideMark/>
          </w:tcPr>
          <w:p w:rsidR="000A040C" w:rsidRPr="005B0796" w:rsidRDefault="000A040C" w:rsidP="00736125">
            <w:pPr>
              <w:pStyle w:val="TableText"/>
              <w:rPr>
                <w:rFonts w:asciiTheme="minorHAnsi" w:eastAsia="Times New Roman" w:hAnsiTheme="minorHAnsi" w:cstheme="minorHAnsi"/>
                <w:color w:val="000000" w:themeColor="text1"/>
              </w:rPr>
            </w:pPr>
            <w:r w:rsidRPr="005B0796">
              <w:rPr>
                <w:rFonts w:asciiTheme="minorHAnsi" w:eastAsia="Times New Roman" w:hAnsiTheme="minorHAnsi" w:cstheme="minorHAnsi"/>
                <w:color w:val="000000" w:themeColor="text1"/>
              </w:rPr>
              <w:t>Severe (20–27)</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115</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5.9</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4.2, 8.4</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656</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13.5</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10.9, 16.5</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489</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9.9</w:t>
            </w:r>
          </w:p>
        </w:tc>
        <w:tc>
          <w:tcPr>
            <w:tcW w:w="482" w:type="pct"/>
            <w:hideMark/>
          </w:tcPr>
          <w:p w:rsidR="000A040C" w:rsidRPr="005B0796" w:rsidRDefault="000A040C" w:rsidP="00736125">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7.8, 12.5</w:t>
            </w:r>
          </w:p>
        </w:tc>
      </w:tr>
    </w:tbl>
    <w:p w:rsidR="000A040C" w:rsidRPr="005B0796" w:rsidRDefault="000A040C" w:rsidP="000A040C">
      <w:pPr>
        <w:pStyle w:val="TableText"/>
      </w:pPr>
    </w:p>
    <w:tbl>
      <w:tblPr>
        <w:tblStyle w:val="TWRPTable"/>
        <w:tblW w:w="5000" w:type="pct"/>
        <w:tblLayout w:type="fixed"/>
        <w:tblLook w:val="04A0" w:firstRow="1" w:lastRow="0" w:firstColumn="1" w:lastColumn="0" w:noHBand="0" w:noVBand="1"/>
        <w:tblDescription w:val="Table 5.16 (cont) Estimated proportions of Transitioned ADF members in PHQ-9 scoring bands for depressive symptoms by years since transition"/>
      </w:tblPr>
      <w:tblGrid>
        <w:gridCol w:w="1522"/>
        <w:gridCol w:w="1110"/>
        <w:gridCol w:w="1110"/>
        <w:gridCol w:w="1110"/>
        <w:gridCol w:w="1109"/>
        <w:gridCol w:w="1109"/>
        <w:gridCol w:w="1109"/>
        <w:gridCol w:w="1109"/>
        <w:gridCol w:w="1109"/>
        <w:gridCol w:w="1109"/>
      </w:tblGrid>
      <w:tr w:rsidR="000A040C" w:rsidRPr="005B0796" w:rsidTr="000A040C">
        <w:trPr>
          <w:cnfStyle w:val="100000000000" w:firstRow="1" w:lastRow="0" w:firstColumn="0" w:lastColumn="0" w:oddVBand="0" w:evenVBand="0" w:oddHBand="0" w:evenHBand="0" w:firstRowFirstColumn="0" w:firstRowLastColumn="0" w:lastRowFirstColumn="0" w:lastRowLastColumn="0"/>
          <w:cantSplit/>
          <w:tblHeader/>
        </w:trPr>
        <w:tc>
          <w:tcPr>
            <w:tcW w:w="661" w:type="pct"/>
            <w:vMerge w:val="restart"/>
          </w:tcPr>
          <w:p w:rsidR="000A040C" w:rsidRPr="005B0796" w:rsidRDefault="000A040C" w:rsidP="00C50EC9">
            <w:pPr>
              <w:pStyle w:val="TableText"/>
            </w:pPr>
          </w:p>
        </w:tc>
        <w:tc>
          <w:tcPr>
            <w:tcW w:w="1446" w:type="pct"/>
            <w:gridSpan w:val="3"/>
            <w:hideMark/>
          </w:tcPr>
          <w:p w:rsidR="000A040C" w:rsidRPr="005B0796" w:rsidRDefault="000A040C" w:rsidP="00C50EC9">
            <w:pPr>
              <w:pStyle w:val="TableText"/>
              <w:jc w:val="center"/>
            </w:pPr>
            <w:r w:rsidRPr="005B0796">
              <w:t>3 years</w:t>
            </w:r>
            <w:r w:rsidRPr="005B0796">
              <w:br/>
              <w:t>(n = 5234)</w:t>
            </w:r>
          </w:p>
        </w:tc>
        <w:tc>
          <w:tcPr>
            <w:tcW w:w="1446" w:type="pct"/>
            <w:gridSpan w:val="3"/>
            <w:hideMark/>
          </w:tcPr>
          <w:p w:rsidR="000A040C" w:rsidRPr="005B0796" w:rsidRDefault="000A040C" w:rsidP="00C50EC9">
            <w:pPr>
              <w:pStyle w:val="TableText"/>
              <w:jc w:val="center"/>
            </w:pPr>
            <w:r w:rsidRPr="005B0796">
              <w:t>4 years</w:t>
            </w:r>
            <w:r w:rsidRPr="005B0796">
              <w:br/>
              <w:t>(n = 3582)</w:t>
            </w:r>
          </w:p>
        </w:tc>
        <w:tc>
          <w:tcPr>
            <w:tcW w:w="1446" w:type="pct"/>
            <w:gridSpan w:val="3"/>
            <w:hideMark/>
          </w:tcPr>
          <w:p w:rsidR="000A040C" w:rsidRPr="005B0796" w:rsidRDefault="000A040C" w:rsidP="00C50EC9">
            <w:pPr>
              <w:pStyle w:val="TableText"/>
              <w:jc w:val="center"/>
            </w:pPr>
            <w:r w:rsidRPr="005B0796">
              <w:t>5+ years</w:t>
            </w:r>
            <w:r w:rsidRPr="005B0796">
              <w:br/>
              <w:t>(n = 2785)</w:t>
            </w:r>
          </w:p>
        </w:tc>
      </w:tr>
      <w:tr w:rsidR="000A040C" w:rsidRPr="005B0796" w:rsidTr="000A040C">
        <w:trPr>
          <w:cnfStyle w:val="100000000000" w:firstRow="1" w:lastRow="0" w:firstColumn="0" w:lastColumn="0" w:oddVBand="0" w:evenVBand="0" w:oddHBand="0" w:evenHBand="0" w:firstRowFirstColumn="0" w:firstRowLastColumn="0" w:lastRowFirstColumn="0" w:lastRowLastColumn="0"/>
          <w:cantSplit/>
          <w:tblHeader/>
        </w:trPr>
        <w:tc>
          <w:tcPr>
            <w:tcW w:w="661" w:type="pct"/>
            <w:vMerge/>
          </w:tcPr>
          <w:p w:rsidR="000A040C" w:rsidRPr="005B0796" w:rsidRDefault="000A040C" w:rsidP="00C50EC9">
            <w:pPr>
              <w:pStyle w:val="TableText"/>
            </w:pPr>
          </w:p>
        </w:tc>
        <w:tc>
          <w:tcPr>
            <w:tcW w:w="482" w:type="pct"/>
            <w:hideMark/>
          </w:tcPr>
          <w:p w:rsidR="000A040C" w:rsidRPr="005B0796" w:rsidRDefault="000A040C" w:rsidP="00C50EC9">
            <w:pPr>
              <w:pStyle w:val="TableText"/>
              <w:jc w:val="right"/>
            </w:pPr>
            <w:r w:rsidRPr="005B0796">
              <w:t>Weighted n</w:t>
            </w:r>
          </w:p>
        </w:tc>
        <w:tc>
          <w:tcPr>
            <w:tcW w:w="482" w:type="pct"/>
            <w:hideMark/>
          </w:tcPr>
          <w:p w:rsidR="000A040C" w:rsidRPr="005B0796" w:rsidRDefault="000A040C" w:rsidP="00C50EC9">
            <w:pPr>
              <w:pStyle w:val="TableText"/>
              <w:jc w:val="right"/>
            </w:pPr>
            <w:r w:rsidRPr="005B0796">
              <w:t>%</w:t>
            </w:r>
          </w:p>
        </w:tc>
        <w:tc>
          <w:tcPr>
            <w:tcW w:w="482" w:type="pct"/>
            <w:hideMark/>
          </w:tcPr>
          <w:p w:rsidR="000A040C" w:rsidRPr="005B0796" w:rsidRDefault="000A040C" w:rsidP="00C50EC9">
            <w:pPr>
              <w:pStyle w:val="TableText"/>
              <w:jc w:val="right"/>
            </w:pPr>
            <w:r w:rsidRPr="005B0796">
              <w:t>95% CI</w:t>
            </w:r>
          </w:p>
        </w:tc>
        <w:tc>
          <w:tcPr>
            <w:tcW w:w="482" w:type="pct"/>
            <w:hideMark/>
          </w:tcPr>
          <w:p w:rsidR="000A040C" w:rsidRPr="005B0796" w:rsidRDefault="000A040C" w:rsidP="00C50EC9">
            <w:pPr>
              <w:pStyle w:val="TableText"/>
              <w:jc w:val="right"/>
            </w:pPr>
            <w:r w:rsidRPr="005B0796">
              <w:t>Weighted n</w:t>
            </w:r>
          </w:p>
        </w:tc>
        <w:tc>
          <w:tcPr>
            <w:tcW w:w="482" w:type="pct"/>
            <w:hideMark/>
          </w:tcPr>
          <w:p w:rsidR="000A040C" w:rsidRPr="005B0796" w:rsidRDefault="000A040C" w:rsidP="00C50EC9">
            <w:pPr>
              <w:pStyle w:val="TableText"/>
              <w:jc w:val="right"/>
            </w:pPr>
            <w:r w:rsidRPr="005B0796">
              <w:t>%</w:t>
            </w:r>
          </w:p>
        </w:tc>
        <w:tc>
          <w:tcPr>
            <w:tcW w:w="482" w:type="pct"/>
            <w:hideMark/>
          </w:tcPr>
          <w:p w:rsidR="000A040C" w:rsidRPr="005B0796" w:rsidRDefault="000A040C" w:rsidP="00C50EC9">
            <w:pPr>
              <w:pStyle w:val="TableText"/>
              <w:jc w:val="right"/>
            </w:pPr>
            <w:r w:rsidRPr="005B0796">
              <w:t>95% CI</w:t>
            </w:r>
          </w:p>
        </w:tc>
        <w:tc>
          <w:tcPr>
            <w:tcW w:w="482" w:type="pct"/>
            <w:hideMark/>
          </w:tcPr>
          <w:p w:rsidR="000A040C" w:rsidRPr="005B0796" w:rsidRDefault="000A040C" w:rsidP="00C50EC9">
            <w:pPr>
              <w:pStyle w:val="TableText"/>
              <w:jc w:val="right"/>
            </w:pPr>
            <w:r w:rsidRPr="005B0796">
              <w:t>Weighted n</w:t>
            </w:r>
          </w:p>
        </w:tc>
        <w:tc>
          <w:tcPr>
            <w:tcW w:w="482" w:type="pct"/>
            <w:hideMark/>
          </w:tcPr>
          <w:p w:rsidR="000A040C" w:rsidRPr="005B0796" w:rsidRDefault="000A040C" w:rsidP="00C50EC9">
            <w:pPr>
              <w:pStyle w:val="TableText"/>
              <w:jc w:val="right"/>
            </w:pPr>
            <w:r w:rsidRPr="005B0796">
              <w:t>%</w:t>
            </w:r>
          </w:p>
        </w:tc>
        <w:tc>
          <w:tcPr>
            <w:tcW w:w="482" w:type="pct"/>
            <w:hideMark/>
          </w:tcPr>
          <w:p w:rsidR="000A040C" w:rsidRPr="005B0796" w:rsidRDefault="000A040C" w:rsidP="00C50EC9">
            <w:pPr>
              <w:pStyle w:val="TableText"/>
              <w:jc w:val="right"/>
            </w:pPr>
            <w:r w:rsidRPr="005B0796">
              <w:t>95% CI</w:t>
            </w:r>
          </w:p>
        </w:tc>
      </w:tr>
      <w:tr w:rsidR="000A040C" w:rsidRPr="005B0796" w:rsidTr="000A040C">
        <w:trPr>
          <w:cnfStyle w:val="000000100000" w:firstRow="0" w:lastRow="0" w:firstColumn="0" w:lastColumn="0" w:oddVBand="0" w:evenVBand="0" w:oddHBand="1" w:evenHBand="0" w:firstRowFirstColumn="0" w:firstRowLastColumn="0" w:lastRowFirstColumn="0" w:lastRowLastColumn="0"/>
          <w:cantSplit/>
        </w:trPr>
        <w:tc>
          <w:tcPr>
            <w:tcW w:w="661" w:type="pct"/>
            <w:hideMark/>
          </w:tcPr>
          <w:p w:rsidR="000A040C" w:rsidRPr="005B0796" w:rsidRDefault="000A040C" w:rsidP="00C50EC9">
            <w:pPr>
              <w:pStyle w:val="TableText"/>
              <w:rPr>
                <w:rFonts w:asciiTheme="minorHAnsi" w:hAnsiTheme="minorHAnsi" w:cstheme="minorHAnsi"/>
                <w:color w:val="000000" w:themeColor="text1"/>
              </w:rPr>
            </w:pPr>
            <w:r w:rsidRPr="005B0796">
              <w:rPr>
                <w:rFonts w:asciiTheme="minorHAnsi" w:eastAsia="Times New Roman" w:hAnsiTheme="minorHAnsi" w:cstheme="minorHAnsi"/>
                <w:color w:val="000000" w:themeColor="text1"/>
              </w:rPr>
              <w:t>Minimal (0–4)</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2205</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42.1</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38.2, 46.2</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1478</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41.3</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36.8, 45.9</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1331</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47.8</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42.4, 53.2</w:t>
            </w:r>
          </w:p>
        </w:tc>
      </w:tr>
      <w:tr w:rsidR="000A040C" w:rsidRPr="005B0796" w:rsidTr="000A040C">
        <w:trPr>
          <w:cantSplit/>
        </w:trPr>
        <w:tc>
          <w:tcPr>
            <w:tcW w:w="661" w:type="pct"/>
            <w:hideMark/>
          </w:tcPr>
          <w:p w:rsidR="000A040C" w:rsidRPr="005B0796" w:rsidRDefault="000A040C" w:rsidP="00C50EC9">
            <w:pPr>
              <w:pStyle w:val="TableText"/>
              <w:rPr>
                <w:rFonts w:asciiTheme="minorHAnsi" w:hAnsiTheme="minorHAnsi" w:cstheme="minorHAnsi"/>
                <w:b/>
                <w:color w:val="000000" w:themeColor="text1"/>
              </w:rPr>
            </w:pPr>
            <w:r w:rsidRPr="005B0796">
              <w:rPr>
                <w:rFonts w:asciiTheme="minorHAnsi" w:eastAsia="Times New Roman" w:hAnsiTheme="minorHAnsi" w:cstheme="minorHAnsi"/>
                <w:color w:val="000000" w:themeColor="text1"/>
              </w:rPr>
              <w:t>Mild (5–9)</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1266</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24.2</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20.8, 27.9</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956</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26.7</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22.7, 31.1</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562</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20.2</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16.2, 24.8</w:t>
            </w:r>
          </w:p>
        </w:tc>
      </w:tr>
      <w:tr w:rsidR="000A040C" w:rsidRPr="005B0796" w:rsidTr="000A040C">
        <w:trPr>
          <w:cnfStyle w:val="000000100000" w:firstRow="0" w:lastRow="0" w:firstColumn="0" w:lastColumn="0" w:oddVBand="0" w:evenVBand="0" w:oddHBand="1" w:evenHBand="0" w:firstRowFirstColumn="0" w:firstRowLastColumn="0" w:lastRowFirstColumn="0" w:lastRowLastColumn="0"/>
          <w:cantSplit/>
        </w:trPr>
        <w:tc>
          <w:tcPr>
            <w:tcW w:w="661" w:type="pct"/>
            <w:hideMark/>
          </w:tcPr>
          <w:p w:rsidR="000A040C" w:rsidRPr="005B0796" w:rsidRDefault="000A040C" w:rsidP="00C50EC9">
            <w:pPr>
              <w:pStyle w:val="TableText"/>
              <w:rPr>
                <w:rFonts w:asciiTheme="minorHAnsi" w:hAnsiTheme="minorHAnsi" w:cstheme="minorHAnsi"/>
                <w:b/>
                <w:color w:val="000000" w:themeColor="text1"/>
              </w:rPr>
            </w:pPr>
            <w:r w:rsidRPr="005B0796">
              <w:rPr>
                <w:rFonts w:asciiTheme="minorHAnsi" w:eastAsia="Times New Roman" w:hAnsiTheme="minorHAnsi" w:cstheme="minorHAnsi"/>
                <w:color w:val="000000" w:themeColor="text1"/>
              </w:rPr>
              <w:t>Moderate (10–14)</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726</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13.9</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11.3, 16.9</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467</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13.0</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10.1, 16.6</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296</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10.6</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7.9, 14.1</w:t>
            </w:r>
          </w:p>
        </w:tc>
      </w:tr>
      <w:tr w:rsidR="000A040C" w:rsidRPr="005B0796" w:rsidTr="000A040C">
        <w:trPr>
          <w:cantSplit/>
        </w:trPr>
        <w:tc>
          <w:tcPr>
            <w:tcW w:w="661" w:type="pct"/>
            <w:hideMark/>
          </w:tcPr>
          <w:p w:rsidR="000A040C" w:rsidRPr="005B0796" w:rsidRDefault="000A040C" w:rsidP="00C50EC9">
            <w:pPr>
              <w:pStyle w:val="TableText"/>
              <w:rPr>
                <w:rFonts w:asciiTheme="minorHAnsi" w:hAnsiTheme="minorHAnsi" w:cstheme="minorHAnsi"/>
                <w:color w:val="000000" w:themeColor="text1"/>
              </w:rPr>
            </w:pPr>
            <w:r w:rsidRPr="005B0796">
              <w:rPr>
                <w:rFonts w:asciiTheme="minorHAnsi" w:eastAsia="Times New Roman" w:hAnsiTheme="minorHAnsi" w:cstheme="minorHAnsi"/>
                <w:color w:val="000000" w:themeColor="text1"/>
              </w:rPr>
              <w:t>Moderately severe (15–19)</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428</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8.2</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6.2, 10.7</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349</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9.7</w:t>
            </w:r>
          </w:p>
        </w:tc>
        <w:tc>
          <w:tcPr>
            <w:tcW w:w="482" w:type="pct"/>
            <w:hideMark/>
          </w:tcPr>
          <w:p w:rsidR="000A040C" w:rsidRPr="005B0796" w:rsidRDefault="000A040C" w:rsidP="00C50EC9">
            <w:pPr>
              <w:pStyle w:val="TableText"/>
              <w:jc w:val="right"/>
              <w:rPr>
                <w:rFonts w:asciiTheme="minorHAnsi" w:hAnsiTheme="minorHAnsi" w:cstheme="minorHAnsi"/>
              </w:rPr>
            </w:pPr>
            <w:r w:rsidRPr="005B0796">
              <w:rPr>
                <w:rFonts w:asciiTheme="minorHAnsi" w:eastAsia="Times New Roman" w:hAnsiTheme="minorHAnsi" w:cstheme="minorHAnsi"/>
              </w:rPr>
              <w:t>7.2, 13.1</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317</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11.4</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8.2, 15.6</w:t>
            </w:r>
          </w:p>
        </w:tc>
      </w:tr>
      <w:tr w:rsidR="000A040C" w:rsidRPr="005B0796" w:rsidTr="000A040C">
        <w:trPr>
          <w:cnfStyle w:val="000000100000" w:firstRow="0" w:lastRow="0" w:firstColumn="0" w:lastColumn="0" w:oddVBand="0" w:evenVBand="0" w:oddHBand="1" w:evenHBand="0" w:firstRowFirstColumn="0" w:firstRowLastColumn="0" w:lastRowFirstColumn="0" w:lastRowLastColumn="0"/>
          <w:cantSplit/>
        </w:trPr>
        <w:tc>
          <w:tcPr>
            <w:tcW w:w="661" w:type="pct"/>
            <w:hideMark/>
          </w:tcPr>
          <w:p w:rsidR="000A040C" w:rsidRPr="005B0796" w:rsidRDefault="000A040C" w:rsidP="00C50EC9">
            <w:pPr>
              <w:pStyle w:val="TableText"/>
              <w:rPr>
                <w:rFonts w:asciiTheme="minorHAnsi" w:eastAsia="Times New Roman" w:hAnsiTheme="minorHAnsi" w:cstheme="minorHAnsi"/>
                <w:color w:val="000000" w:themeColor="text1"/>
              </w:rPr>
            </w:pPr>
            <w:r w:rsidRPr="005B0796">
              <w:rPr>
                <w:rFonts w:asciiTheme="minorHAnsi" w:eastAsia="Times New Roman" w:hAnsiTheme="minorHAnsi" w:cstheme="minorHAnsi"/>
                <w:color w:val="000000" w:themeColor="text1"/>
              </w:rPr>
              <w:t>Severe (20–27)</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608</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11.6</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9.0, 14.8</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332</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9.3</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7.0, 12.1</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280</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10.0</w:t>
            </w:r>
          </w:p>
        </w:tc>
        <w:tc>
          <w:tcPr>
            <w:tcW w:w="482" w:type="pct"/>
            <w:hideMark/>
          </w:tcPr>
          <w:p w:rsidR="000A040C" w:rsidRPr="005B0796" w:rsidRDefault="000A040C" w:rsidP="00C50EC9">
            <w:pPr>
              <w:pStyle w:val="TableText"/>
              <w:jc w:val="right"/>
              <w:rPr>
                <w:rFonts w:asciiTheme="minorHAnsi" w:eastAsia="Times New Roman" w:hAnsiTheme="minorHAnsi" w:cstheme="minorHAnsi"/>
              </w:rPr>
            </w:pPr>
            <w:r w:rsidRPr="005B0796">
              <w:rPr>
                <w:rFonts w:asciiTheme="minorHAnsi" w:eastAsia="Times New Roman" w:hAnsiTheme="minorHAnsi" w:cstheme="minorHAnsi"/>
              </w:rPr>
              <w:t>7.2, 13.9</w:t>
            </w:r>
          </w:p>
        </w:tc>
      </w:tr>
    </w:tbl>
    <w:p w:rsidR="00855912" w:rsidRPr="005B0796" w:rsidRDefault="00736125" w:rsidP="00736125">
      <w:pPr>
        <w:pStyle w:val="TableNotes"/>
      </w:pPr>
      <w:r w:rsidRPr="005B0796">
        <w:t xml:space="preserve">Note: 95% CI: 95% </w:t>
      </w:r>
      <w:r w:rsidR="00564689" w:rsidRPr="005B0796">
        <w:t>confidence interval</w:t>
      </w:r>
    </w:p>
    <w:p w:rsidR="00855912" w:rsidRPr="005B0796" w:rsidRDefault="00855912" w:rsidP="00855912"/>
    <w:p w:rsidR="00855912" w:rsidRPr="005B0796" w:rsidRDefault="00855912" w:rsidP="00855912">
      <w:pPr>
        <w:sectPr w:rsidR="00855912" w:rsidRPr="005B0796" w:rsidSect="00BE66A5">
          <w:headerReference w:type="even" r:id="rId207"/>
          <w:headerReference w:type="default" r:id="rId208"/>
          <w:footerReference w:type="even" r:id="rId209"/>
          <w:footerReference w:type="default" r:id="rId210"/>
          <w:pgSz w:w="14170" w:h="9979" w:orient="landscape" w:code="243"/>
          <w:pgMar w:top="1872" w:right="1440" w:bottom="1152" w:left="1440" w:header="576" w:footer="576" w:gutter="0"/>
          <w:cols w:space="708"/>
          <w:docGrid w:linePitch="360"/>
        </w:sectPr>
      </w:pPr>
    </w:p>
    <w:p w:rsidR="006F51CF" w:rsidRPr="005B0796" w:rsidRDefault="00750496" w:rsidP="00750496">
      <w:pPr>
        <w:pStyle w:val="FigureName"/>
      </w:pPr>
      <w:bookmarkStart w:id="1040" w:name="_Toc487014406"/>
      <w:bookmarkStart w:id="1041" w:name="_Toc51190057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16</w:t>
      </w:r>
      <w:r w:rsidR="00D30A3C">
        <w:rPr>
          <w:noProof/>
        </w:rPr>
        <w:fldChar w:fldCharType="end"/>
      </w:r>
      <w:r w:rsidRPr="005B0796">
        <w:tab/>
        <w:t>Estimated proportions of Transitioned ADF members in PHQ-9 scoring bands for depressive symptoms</w:t>
      </w:r>
      <w:r w:rsidR="00C01061">
        <w:t>,</w:t>
      </w:r>
      <w:r w:rsidRPr="005B0796">
        <w:t xml:space="preserve"> by years since transition</w:t>
      </w:r>
      <w:bookmarkEnd w:id="1040"/>
      <w:bookmarkEnd w:id="1041"/>
    </w:p>
    <w:tbl>
      <w:tblPr>
        <w:tblW w:w="5000" w:type="pct"/>
        <w:tblLayout w:type="fixed"/>
        <w:tblCellMar>
          <w:left w:w="115" w:type="dxa"/>
          <w:right w:w="115" w:type="dxa"/>
        </w:tblCellMar>
        <w:tblLook w:val="04A0" w:firstRow="1" w:lastRow="0" w:firstColumn="1" w:lastColumn="0" w:noHBand="0" w:noVBand="1"/>
      </w:tblPr>
      <w:tblGrid>
        <w:gridCol w:w="7329"/>
      </w:tblGrid>
      <w:tr w:rsidR="006F51CF" w:rsidRPr="005B0796" w:rsidTr="00750496">
        <w:trPr>
          <w:cantSplit/>
        </w:trPr>
        <w:tc>
          <w:tcPr>
            <w:tcW w:w="7315" w:type="dxa"/>
          </w:tcPr>
          <w:p w:rsidR="006F51CF" w:rsidRPr="005B0796" w:rsidRDefault="006F51CF" w:rsidP="00855912">
            <w:r w:rsidRPr="005B0796">
              <w:rPr>
                <w:noProof/>
                <w:sz w:val="18"/>
                <w:szCs w:val="18"/>
                <w:lang w:eastAsia="en-AU"/>
              </w:rPr>
              <w:drawing>
                <wp:inline distT="0" distB="0" distL="0" distR="0" wp14:anchorId="5ADB4C81" wp14:editId="2A12E754">
                  <wp:extent cx="4572000" cy="2743200"/>
                  <wp:effectExtent l="0" t="0" r="0" b="0"/>
                  <wp:docPr id="308" name="Chart 308" descr="Figure 5.16 Estimated proportions of Transitioned ADF members in PHQ-9 scoring bands for depressive symptoms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r>
    </w:tbl>
    <w:p w:rsidR="006F51CF" w:rsidRPr="005B0796" w:rsidRDefault="006F51CF" w:rsidP="00750496">
      <w:pPr>
        <w:pStyle w:val="Heading2"/>
      </w:pPr>
      <w:bookmarkStart w:id="1042" w:name="_Toc482021381"/>
      <w:bookmarkStart w:id="1043" w:name="_Toc482024472"/>
      <w:bookmarkStart w:id="1044" w:name="_Toc487011228"/>
      <w:bookmarkStart w:id="1045" w:name="_Toc494449748"/>
      <w:bookmarkStart w:id="1046" w:name="_Toc511900330"/>
      <w:r w:rsidRPr="005B0796">
        <w:t>Anger symptoms (DAR-5</w:t>
      </w:r>
      <w:bookmarkStart w:id="1047" w:name="_Toc482011769"/>
      <w:bookmarkEnd w:id="1042"/>
      <w:bookmarkEnd w:id="1043"/>
      <w:bookmarkEnd w:id="1047"/>
      <w:r w:rsidRPr="005B0796">
        <w:t>)</w:t>
      </w:r>
      <w:bookmarkEnd w:id="1044"/>
      <w:bookmarkEnd w:id="1045"/>
      <w:bookmarkEnd w:id="1046"/>
    </w:p>
    <w:p w:rsidR="00AD2A8E" w:rsidRPr="005B0796" w:rsidRDefault="00AD2A8E" w:rsidP="0083605F">
      <w:pPr>
        <w:pStyle w:val="ShadedBullet"/>
        <w:spacing w:after="160"/>
      </w:pPr>
      <w:r w:rsidRPr="005B0796">
        <w:t>Transitioned ADF members reported experiencing significantly greater levels of anger than members of the 2015 Regular ADF.</w:t>
      </w:r>
    </w:p>
    <w:p w:rsidR="00AD2A8E" w:rsidRPr="005B0796" w:rsidRDefault="00AD2A8E" w:rsidP="0083605F">
      <w:pPr>
        <w:pStyle w:val="ShadedBullet"/>
        <w:spacing w:after="160"/>
      </w:pPr>
      <w:r w:rsidRPr="005B0796">
        <w:t>There was a significant increase in anger frequency, intensity</w:t>
      </w:r>
      <w:r w:rsidR="00C01061">
        <w:t xml:space="preserve"> and</w:t>
      </w:r>
      <w:r w:rsidRPr="005B0796">
        <w:t xml:space="preserve"> duration</w:t>
      </w:r>
      <w:r w:rsidR="00C01061">
        <w:t>;</w:t>
      </w:r>
      <w:r w:rsidRPr="005B0796">
        <w:t xml:space="preserve"> antagonism towards others and impacts of anger on social relations in the Regular ADF from 2010 to 2015.</w:t>
      </w:r>
    </w:p>
    <w:p w:rsidR="00AD2A8E" w:rsidRPr="005B0796" w:rsidRDefault="00AD2A8E" w:rsidP="0083605F">
      <w:pPr>
        <w:pStyle w:val="ShadedBullet"/>
        <w:spacing w:after="80"/>
      </w:pPr>
      <w:r w:rsidRPr="005B0796">
        <w:t>In the 2015 Transitioned ADF:</w:t>
      </w:r>
    </w:p>
    <w:p w:rsidR="00AD2A8E" w:rsidRPr="005B0796" w:rsidRDefault="00AD2A8E" w:rsidP="0083605F">
      <w:pPr>
        <w:pStyle w:val="ShadedDash"/>
        <w:spacing w:after="80"/>
      </w:pPr>
      <w:r w:rsidRPr="005B0796">
        <w:tab/>
        <w:t>–</w:t>
      </w:r>
      <w:r w:rsidRPr="005B0796">
        <w:tab/>
        <w:t xml:space="preserve">An estimated 30.2% reported levels of problematic anger. </w:t>
      </w:r>
    </w:p>
    <w:p w:rsidR="00AD2A8E" w:rsidRPr="005B0796" w:rsidRDefault="00AD2A8E" w:rsidP="0083605F">
      <w:pPr>
        <w:pStyle w:val="ShadedDash"/>
        <w:spacing w:after="80"/>
      </w:pPr>
      <w:r w:rsidRPr="005B0796">
        <w:tab/>
        <w:t>–</w:t>
      </w:r>
      <w:r w:rsidRPr="005B0796">
        <w:tab/>
        <w:t>Ex-Serving ADF members were significantly more likely to report problematic levels of anger than Active or Inactive Reservists.</w:t>
      </w:r>
    </w:p>
    <w:p w:rsidR="00AD2A8E" w:rsidRPr="005B0796" w:rsidRDefault="00AD2A8E" w:rsidP="0083605F">
      <w:pPr>
        <w:pStyle w:val="ShadedDash"/>
        <w:spacing w:after="80"/>
      </w:pPr>
      <w:r w:rsidRPr="005B0796">
        <w:tab/>
        <w:t>–</w:t>
      </w:r>
      <w:r w:rsidRPr="005B0796">
        <w:tab/>
        <w:t xml:space="preserve">There was no significant difference between Active Reservists and Inactive Reservists in levels of anger. </w:t>
      </w:r>
    </w:p>
    <w:p w:rsidR="00AD2A8E" w:rsidRPr="005B0796" w:rsidRDefault="00AD2A8E" w:rsidP="00AD2A8E">
      <w:pPr>
        <w:pStyle w:val="ShadedDash"/>
      </w:pPr>
      <w:r w:rsidRPr="005B0796">
        <w:tab/>
        <w:t>–</w:t>
      </w:r>
      <w:r w:rsidRPr="005B0796">
        <w:tab/>
        <w:t>Overall, there was no significant effect of time since transition on anger. However, Transitioned ADF members who transitioned 1–5+ years ago were significantly more likely to report higher anger scores than those who were 1–11 months post-transition.</w:t>
      </w:r>
    </w:p>
    <w:p w:rsidR="00AD2A8E" w:rsidRPr="005B0796" w:rsidRDefault="00AD2A8E" w:rsidP="00AD2A8E">
      <w:pPr>
        <w:pStyle w:val="ShadedBoxText"/>
      </w:pPr>
      <w:r w:rsidRPr="005B0796">
        <w:rPr>
          <w:b/>
        </w:rPr>
        <w:t xml:space="preserve">Glossary: </w:t>
      </w:r>
      <w:r w:rsidRPr="005B0796">
        <w:t>refer to the Glossary of terms for definitions of key terms in this section.</w:t>
      </w:r>
    </w:p>
    <w:p w:rsidR="006F51CF" w:rsidRPr="005B0796" w:rsidRDefault="006F51CF" w:rsidP="00AD2A8E">
      <w:r w:rsidRPr="005B0796">
        <w:t xml:space="preserve">This section provides a detailed summary of the anger symptoms reported by ADF members who transitioned from full-time Regular ADF service between 2010 and 2014 (Transitioned ADF) compared to 2010 and 2015 Regular ADF members. </w:t>
      </w:r>
    </w:p>
    <w:p w:rsidR="006F51CF" w:rsidRPr="005B0796" w:rsidRDefault="006F51CF" w:rsidP="00AD2A8E">
      <w:r w:rsidRPr="005B0796">
        <w:t xml:space="preserve">The distribution of anger symptoms in the Transitioned ADF compared to the 2010 and 2015 Regular ADF will be reported first. Next, the distribution of anger symptoms in the Transitioned ADF, by categories of transition status (Ex-Serving, Active Reservist, Inactive Reservist), and years since transition will be examined. </w:t>
      </w:r>
    </w:p>
    <w:p w:rsidR="006F51CF" w:rsidRPr="005B0796" w:rsidRDefault="006F51CF" w:rsidP="00AD2A8E">
      <w:r w:rsidRPr="005B0796">
        <w:t xml:space="preserve">The five-item Dimensions of Anger Reactions Scale (DAR-5) </w: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 </w:instrTex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EN.CITE.DATA </w:instrText>
      </w:r>
      <w:r w:rsidRPr="005B0796">
        <w:fldChar w:fldCharType="end"/>
      </w:r>
      <w:r w:rsidRPr="005B0796">
        <w:fldChar w:fldCharType="separate"/>
      </w:r>
      <w:r w:rsidRPr="005B0796">
        <w:t>(Forbes et al., 2004)</w:t>
      </w:r>
      <w:r w:rsidRPr="005B0796">
        <w:fldChar w:fldCharType="end"/>
      </w:r>
      <w:r w:rsidRPr="005B0796">
        <w:t xml:space="preserve"> assesses anger frequency, intensity and duration, and anger</w:t>
      </w:r>
      <w:r w:rsidR="00462A0C" w:rsidRPr="005B0796">
        <w:t>’</w:t>
      </w:r>
      <w:r w:rsidRPr="005B0796">
        <w:t xml:space="preserve">s perceived negative impact on social relationships, as rated over the previous four weeks. Items are added up to create a total score (range 5–25), with higher scores indicating a higher frequency of anger. This scale has been used for Australian Vietnam veterans, and US Afghanistan and Iraq veterans. It shows strong unidimensionality and high levels of internal consistency and criterion validity </w: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 </w:instrTex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EN.CITE.DATA </w:instrText>
      </w:r>
      <w:r w:rsidRPr="005B0796">
        <w:fldChar w:fldCharType="end"/>
      </w:r>
      <w:r w:rsidRPr="005B0796">
        <w:fldChar w:fldCharType="separate"/>
      </w:r>
      <w:r w:rsidRPr="005B0796">
        <w:t>(Forbes et al., 2004)</w:t>
      </w:r>
      <w:r w:rsidRPr="005B0796">
        <w:fldChar w:fldCharType="end"/>
      </w:r>
      <w:r w:rsidRPr="005B0796">
        <w:t>.</w:t>
      </w:r>
    </w:p>
    <w:p w:rsidR="006F51CF" w:rsidRPr="005B0796" w:rsidRDefault="006F51CF" w:rsidP="00AD2A8E">
      <w:r w:rsidRPr="005B0796">
        <w:t xml:space="preserve">Respondents were instructed to rate the amount of time they had experienced each of the five symptoms of anger over the last four weeks on a five-point Likert scale, ranging from 1 </w:t>
      </w:r>
      <w:r w:rsidR="00462A0C" w:rsidRPr="005B0796">
        <w:t>‘</w:t>
      </w:r>
      <w:r w:rsidRPr="005B0796">
        <w:t>none of the time</w:t>
      </w:r>
      <w:r w:rsidR="00462A0C" w:rsidRPr="005B0796">
        <w:t>’</w:t>
      </w:r>
      <w:r w:rsidRPr="005B0796">
        <w:t xml:space="preserve"> to 5 </w:t>
      </w:r>
      <w:r w:rsidR="00462A0C" w:rsidRPr="005B0796">
        <w:t>‘</w:t>
      </w:r>
      <w:r w:rsidRPr="005B0796">
        <w:t>all of the time</w:t>
      </w:r>
      <w:r w:rsidR="00462A0C" w:rsidRPr="005B0796">
        <w:t>’</w:t>
      </w:r>
      <w:r w:rsidRPr="005B0796">
        <w:t>. In addition to the total score, a mean score is presented for each anger item. A cut-off of 12 is used to indicate problematic anger.</w:t>
      </w:r>
    </w:p>
    <w:p w:rsidR="006F51CF" w:rsidRPr="005B0796" w:rsidRDefault="006F51CF" w:rsidP="00AD2A8E">
      <w:pPr>
        <w:pStyle w:val="Heading3"/>
      </w:pPr>
      <w:bookmarkStart w:id="1048" w:name="_Toc494449749"/>
      <w:bookmarkStart w:id="1049" w:name="_Toc511900331"/>
      <w:bookmarkStart w:id="1050" w:name="_Toc482021382"/>
      <w:bookmarkStart w:id="1051" w:name="_Toc482024473"/>
      <w:bookmarkStart w:id="1052" w:name="_Toc487011229"/>
      <w:r w:rsidRPr="005B0796">
        <w:t>Anger symptoms in Transitioned ADF compared to 2010 and 2015 Regular ADF</w:t>
      </w:r>
      <w:bookmarkEnd w:id="1048"/>
      <w:bookmarkEnd w:id="1049"/>
      <w:r w:rsidRPr="005B0796">
        <w:t xml:space="preserve"> </w:t>
      </w:r>
      <w:bookmarkEnd w:id="1050"/>
      <w:bookmarkEnd w:id="1051"/>
      <w:bookmarkEnd w:id="1052"/>
    </w:p>
    <w:p w:rsidR="006F51CF" w:rsidRPr="005B0796" w:rsidRDefault="009E72D3" w:rsidP="00AD2A8E">
      <w:r w:rsidRPr="005B0796">
        <w:t>Table 5.17</w:t>
      </w:r>
      <w:r w:rsidR="006F51CF" w:rsidRPr="005B0796">
        <w:t xml:space="preserve"> and Figure 5.17 compare anger symptoms as measured by the DAR-5 in the Transitioned ADF and the 2010 and 2015 Regular ADF.</w:t>
      </w:r>
    </w:p>
    <w:p w:rsidR="006F51CF" w:rsidRPr="005B0796" w:rsidRDefault="006F51CF" w:rsidP="00AD2A8E">
      <w:r w:rsidRPr="005B0796">
        <w:t xml:space="preserve">Overall, in the Transitioned ADF, mean scores were highest for anger frequency (mean 2.4) and anger intensity (mean 2.0). The mean total anger symptom score was 9.8 (95% CI 9.6, 10.0), with an estimated 30.2% (n = 7533, 95% CI 28.6, 31.9) scoring equal to or above the cut-off of 12, indicating levels of problematic anger. </w:t>
      </w:r>
    </w:p>
    <w:p w:rsidR="006F51CF" w:rsidRPr="005B0796" w:rsidRDefault="006F51CF" w:rsidP="00AD2A8E">
      <w:r w:rsidRPr="005B0796">
        <w:t xml:space="preserve">In 2015, the Transitioned ADF had the highest levels of self-reported anger, followed by the </w:t>
      </w:r>
      <w:bookmarkStart w:id="1053" w:name="_Hlk490228347"/>
      <w:r w:rsidRPr="005B0796">
        <w:t xml:space="preserve">entire 2015 Regular ADF </w:t>
      </w:r>
      <w:bookmarkEnd w:id="1053"/>
      <w:r w:rsidRPr="005B0796">
        <w:t>and the entire 2010 Regular ADF. Transitioned ADF members (mean DAR-5 (SE 9.8) (0.1) 95% CI 9.6, 10.0) reported significantly greater levels of anger than the 2015 Regular ADF (mean DAR-5 (SE 8.2) (0.5) 95% CI 7.9, 8.5) (Adjusted Regression Coefficient 1.3 (0.2), p &lt; 0.001). This result was consistent for each anger item, with the mean differences ranging from 0.2–1.5 for items 1–5. Additionally, each of the anger symptoms overall, as well as the anger symptom total, significantly increased in the Regular ADF from 2010 to 2015. However, it should be noted that this comparison does not include any estimate of covariance between the two populations.</w:t>
      </w:r>
    </w:p>
    <w:p w:rsidR="006F51CF" w:rsidRPr="005B0796" w:rsidRDefault="006F51CF" w:rsidP="00AD2A8E">
      <w:r w:rsidRPr="005B0796">
        <w:t>The issue of individual change in anger symptoms over time will be addressed in a later Programme report.</w:t>
      </w:r>
    </w:p>
    <w:p w:rsidR="00AD2A8E" w:rsidRPr="005B0796" w:rsidRDefault="00AD2A8E" w:rsidP="00AD2A8E">
      <w:pPr>
        <w:pStyle w:val="TableName"/>
      </w:pPr>
      <w:bookmarkStart w:id="1054" w:name="_Ref484523477"/>
      <w:bookmarkStart w:id="1055" w:name="_Toc487014318"/>
      <w:bookmarkStart w:id="1056" w:name="_Toc492995621"/>
      <w:bookmarkStart w:id="1057" w:name="_Toc51190047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17</w:t>
      </w:r>
      <w:r w:rsidR="00D30A3C">
        <w:rPr>
          <w:noProof/>
        </w:rPr>
        <w:fldChar w:fldCharType="end"/>
      </w:r>
      <w:bookmarkEnd w:id="1054"/>
      <w:r w:rsidRPr="005B0796">
        <w:tab/>
        <w:t>Estimated proportions of anger symptoms among Transitioned ADF, and 2010 and 2015 Regular ADF, by symptoms</w:t>
      </w:r>
      <w:bookmarkEnd w:id="1055"/>
      <w:bookmarkEnd w:id="1056"/>
      <w:bookmarkEnd w:id="1057"/>
    </w:p>
    <w:tbl>
      <w:tblPr>
        <w:tblStyle w:val="TWRPTable"/>
        <w:tblW w:w="5000" w:type="pct"/>
        <w:tblLayout w:type="fixed"/>
        <w:tblLook w:val="01E0" w:firstRow="1" w:lastRow="1" w:firstColumn="1" w:lastColumn="1" w:noHBand="0" w:noVBand="0"/>
        <w:tblDescription w:val="Table 5.17 Estimated proportions of anger symptoms among Transitioned ADF, and 2010 and 2015 Regular ADF, by symptoms"/>
      </w:tblPr>
      <w:tblGrid>
        <w:gridCol w:w="1188"/>
        <w:gridCol w:w="680"/>
        <w:gridCol w:w="681"/>
        <w:gridCol w:w="681"/>
        <w:gridCol w:w="681"/>
        <w:gridCol w:w="680"/>
        <w:gridCol w:w="681"/>
        <w:gridCol w:w="681"/>
        <w:gridCol w:w="681"/>
        <w:gridCol w:w="681"/>
      </w:tblGrid>
      <w:tr w:rsidR="006F51CF" w:rsidRPr="005B0796" w:rsidTr="0083605F">
        <w:trPr>
          <w:cnfStyle w:val="100000000000" w:firstRow="1" w:lastRow="0" w:firstColumn="0" w:lastColumn="0" w:oddVBand="0" w:evenVBand="0" w:oddHBand="0" w:evenHBand="0" w:firstRowFirstColumn="0" w:firstRowLastColumn="0" w:lastRowFirstColumn="0" w:lastRowLastColumn="0"/>
          <w:tblHeader/>
        </w:trPr>
        <w:tc>
          <w:tcPr>
            <w:tcW w:w="1188" w:type="dxa"/>
            <w:tcBorders>
              <w:top w:val="single" w:sz="4" w:space="0" w:color="000000"/>
              <w:bottom w:val="nil"/>
            </w:tcBorders>
          </w:tcPr>
          <w:p w:rsidR="006F51CF" w:rsidRPr="005B0796" w:rsidRDefault="006F51CF" w:rsidP="00AD2A8E">
            <w:pPr>
              <w:pStyle w:val="TableText"/>
              <w:rPr>
                <w:lang w:eastAsia="en-AU"/>
              </w:rPr>
            </w:pPr>
          </w:p>
        </w:tc>
        <w:tc>
          <w:tcPr>
            <w:tcW w:w="2042" w:type="dxa"/>
            <w:gridSpan w:val="3"/>
          </w:tcPr>
          <w:p w:rsidR="006F51CF" w:rsidRPr="005B0796" w:rsidRDefault="006F51CF" w:rsidP="00C01061">
            <w:pPr>
              <w:pStyle w:val="TableText"/>
              <w:jc w:val="center"/>
              <w:rPr>
                <w:bCs/>
                <w:lang w:eastAsia="en-AU"/>
              </w:rPr>
            </w:pPr>
            <w:r w:rsidRPr="005B0796">
              <w:rPr>
                <w:bCs/>
                <w:lang w:eastAsia="en-AU"/>
              </w:rPr>
              <w:t>Tra</w:t>
            </w:r>
            <w:r w:rsidR="00AD2A8E" w:rsidRPr="005B0796">
              <w:rPr>
                <w:bCs/>
                <w:lang w:eastAsia="en-AU"/>
              </w:rPr>
              <w:t>nsitioned ADF 2015</w:t>
            </w:r>
            <w:r w:rsidR="00AD2A8E" w:rsidRPr="005B0796">
              <w:rPr>
                <w:bCs/>
                <w:lang w:eastAsia="en-AU"/>
              </w:rPr>
              <w:br/>
              <w:t>(</w:t>
            </w:r>
            <w:r w:rsidR="00C01061">
              <w:rPr>
                <w:bCs/>
                <w:lang w:eastAsia="en-AU"/>
              </w:rPr>
              <w:t>n</w:t>
            </w:r>
            <w:r w:rsidR="00AD2A8E" w:rsidRPr="005B0796">
              <w:rPr>
                <w:bCs/>
                <w:lang w:eastAsia="en-AU"/>
              </w:rPr>
              <w:t> = 24,932)</w:t>
            </w:r>
          </w:p>
        </w:tc>
        <w:tc>
          <w:tcPr>
            <w:tcW w:w="2042" w:type="dxa"/>
            <w:gridSpan w:val="3"/>
          </w:tcPr>
          <w:p w:rsidR="006F51CF" w:rsidRPr="005B0796" w:rsidRDefault="00AD2A8E" w:rsidP="00C01061">
            <w:pPr>
              <w:pStyle w:val="TableText"/>
              <w:jc w:val="center"/>
              <w:rPr>
                <w:bCs/>
                <w:lang w:eastAsia="en-AU"/>
              </w:rPr>
            </w:pPr>
            <w:r w:rsidRPr="005B0796">
              <w:rPr>
                <w:bCs/>
                <w:lang w:eastAsia="en-AU"/>
              </w:rPr>
              <w:t>2015 Regular ADF</w:t>
            </w:r>
            <w:r w:rsidRPr="005B0796">
              <w:rPr>
                <w:bCs/>
                <w:lang w:eastAsia="en-AU"/>
              </w:rPr>
              <w:br/>
              <w:t>(</w:t>
            </w:r>
            <w:r w:rsidR="00C01061">
              <w:rPr>
                <w:bCs/>
                <w:lang w:eastAsia="en-AU"/>
              </w:rPr>
              <w:t>n</w:t>
            </w:r>
            <w:r w:rsidRPr="005B0796">
              <w:rPr>
                <w:bCs/>
                <w:lang w:eastAsia="en-AU"/>
              </w:rPr>
              <w:t xml:space="preserve"> = 52,500)</w:t>
            </w:r>
          </w:p>
        </w:tc>
        <w:tc>
          <w:tcPr>
            <w:tcW w:w="2043" w:type="dxa"/>
            <w:gridSpan w:val="3"/>
          </w:tcPr>
          <w:p w:rsidR="006F51CF" w:rsidRPr="005B0796" w:rsidRDefault="00AD2A8E" w:rsidP="00C01061">
            <w:pPr>
              <w:pStyle w:val="TableText"/>
              <w:jc w:val="center"/>
              <w:rPr>
                <w:bCs/>
                <w:lang w:eastAsia="en-AU"/>
              </w:rPr>
            </w:pPr>
            <w:r w:rsidRPr="005B0796">
              <w:rPr>
                <w:bCs/>
                <w:lang w:eastAsia="en-AU"/>
              </w:rPr>
              <w:t>2010 Regular ADF*</w:t>
            </w:r>
            <w:r w:rsidRPr="005B0796">
              <w:rPr>
                <w:bCs/>
                <w:lang w:eastAsia="en-AU"/>
              </w:rPr>
              <w:br/>
              <w:t>(</w:t>
            </w:r>
            <w:r w:rsidR="00C01061">
              <w:rPr>
                <w:bCs/>
                <w:lang w:eastAsia="en-AU"/>
              </w:rPr>
              <w:t>n</w:t>
            </w:r>
            <w:r w:rsidRPr="005B0796">
              <w:rPr>
                <w:bCs/>
                <w:lang w:eastAsia="en-AU"/>
              </w:rPr>
              <w:t xml:space="preserve"> = 50,049)</w:t>
            </w:r>
          </w:p>
        </w:tc>
      </w:tr>
      <w:tr w:rsidR="00AD2A8E" w:rsidRPr="005B0796" w:rsidTr="0083605F">
        <w:trPr>
          <w:cnfStyle w:val="100000000000" w:firstRow="1" w:lastRow="0" w:firstColumn="0" w:lastColumn="0" w:oddVBand="0" w:evenVBand="0" w:oddHBand="0" w:evenHBand="0" w:firstRowFirstColumn="0" w:firstRowLastColumn="0" w:lastRowFirstColumn="0" w:lastRowLastColumn="0"/>
          <w:tblHeader/>
        </w:trPr>
        <w:tc>
          <w:tcPr>
            <w:tcW w:w="1188" w:type="dxa"/>
            <w:tcBorders>
              <w:top w:val="nil"/>
            </w:tcBorders>
          </w:tcPr>
          <w:p w:rsidR="006F51CF" w:rsidRPr="005B0796" w:rsidRDefault="006F51CF" w:rsidP="00AD2A8E">
            <w:pPr>
              <w:pStyle w:val="TableText"/>
              <w:rPr>
                <w:rFonts w:eastAsia="GillSans"/>
                <w:b w:val="0"/>
                <w:lang w:eastAsia="en-AU"/>
              </w:rPr>
            </w:pPr>
          </w:p>
        </w:tc>
        <w:tc>
          <w:tcPr>
            <w:tcW w:w="680" w:type="dxa"/>
            <w:hideMark/>
          </w:tcPr>
          <w:p w:rsidR="006F51CF" w:rsidRPr="005B0796" w:rsidRDefault="006F51CF" w:rsidP="0083605F">
            <w:pPr>
              <w:pStyle w:val="TableText"/>
              <w:jc w:val="right"/>
              <w:rPr>
                <w:b w:val="0"/>
                <w:lang w:eastAsia="en-AU"/>
              </w:rPr>
            </w:pPr>
            <w:r w:rsidRPr="005B0796">
              <w:rPr>
                <w:b w:val="0"/>
                <w:bCs/>
                <w:lang w:eastAsia="en-AU"/>
              </w:rPr>
              <w:t>Mean</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SE</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 xml:space="preserve"> 95% CI</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Mean</w:t>
            </w:r>
          </w:p>
        </w:tc>
        <w:tc>
          <w:tcPr>
            <w:tcW w:w="680" w:type="dxa"/>
            <w:hideMark/>
          </w:tcPr>
          <w:p w:rsidR="006F51CF" w:rsidRPr="005B0796" w:rsidRDefault="006F51CF" w:rsidP="0083605F">
            <w:pPr>
              <w:pStyle w:val="TableText"/>
              <w:jc w:val="right"/>
              <w:rPr>
                <w:b w:val="0"/>
                <w:lang w:eastAsia="en-AU"/>
              </w:rPr>
            </w:pPr>
            <w:r w:rsidRPr="005B0796">
              <w:rPr>
                <w:b w:val="0"/>
                <w:bCs/>
                <w:lang w:eastAsia="en-AU"/>
              </w:rPr>
              <w:t>SE</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 xml:space="preserve"> 95% CI</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Mean</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SE</w:t>
            </w:r>
          </w:p>
        </w:tc>
        <w:tc>
          <w:tcPr>
            <w:tcW w:w="681" w:type="dxa"/>
            <w:hideMark/>
          </w:tcPr>
          <w:p w:rsidR="006F51CF" w:rsidRPr="005B0796" w:rsidRDefault="006F51CF" w:rsidP="0083605F">
            <w:pPr>
              <w:pStyle w:val="TableText"/>
              <w:jc w:val="right"/>
              <w:rPr>
                <w:b w:val="0"/>
                <w:lang w:eastAsia="en-AU"/>
              </w:rPr>
            </w:pPr>
            <w:r w:rsidRPr="005B0796">
              <w:rPr>
                <w:b w:val="0"/>
                <w:bCs/>
                <w:lang w:eastAsia="en-AU"/>
              </w:rPr>
              <w:t xml:space="preserve"> 95% CI</w:t>
            </w:r>
          </w:p>
        </w:tc>
      </w:tr>
      <w:tr w:rsidR="006F51CF" w:rsidRPr="005B0796" w:rsidTr="00AD2A8E">
        <w:trPr>
          <w:cnfStyle w:val="000000100000" w:firstRow="0" w:lastRow="0" w:firstColumn="0" w:lastColumn="0" w:oddVBand="0" w:evenVBand="0" w:oddHBand="1" w:evenHBand="0" w:firstRowFirstColumn="0" w:firstRowLastColumn="0" w:lastRowFirstColumn="0" w:lastRowLastColumn="0"/>
        </w:trPr>
        <w:tc>
          <w:tcPr>
            <w:tcW w:w="1188" w:type="dxa"/>
            <w:hideMark/>
          </w:tcPr>
          <w:p w:rsidR="006F51CF" w:rsidRPr="005B0796" w:rsidRDefault="006F51CF" w:rsidP="00AD2A8E">
            <w:pPr>
              <w:pStyle w:val="TableText"/>
              <w:rPr>
                <w:lang w:eastAsia="en-AU"/>
              </w:rPr>
            </w:pPr>
            <w:r w:rsidRPr="005B0796">
              <w:rPr>
                <w:lang w:eastAsia="en-AU"/>
              </w:rPr>
              <w:t>Anger frequency</w:t>
            </w:r>
          </w:p>
        </w:tc>
        <w:tc>
          <w:tcPr>
            <w:tcW w:w="680" w:type="dxa"/>
            <w:hideMark/>
          </w:tcPr>
          <w:p w:rsidR="006F51CF" w:rsidRPr="005B0796" w:rsidRDefault="006F51CF" w:rsidP="0083605F">
            <w:pPr>
              <w:pStyle w:val="TableText"/>
              <w:jc w:val="right"/>
              <w:rPr>
                <w:lang w:eastAsia="en-AU"/>
              </w:rPr>
            </w:pPr>
            <w:r w:rsidRPr="005B0796">
              <w:rPr>
                <w:lang w:eastAsia="en-AU"/>
              </w:rPr>
              <w:t>2.4</w:t>
            </w:r>
          </w:p>
        </w:tc>
        <w:tc>
          <w:tcPr>
            <w:tcW w:w="681" w:type="dxa"/>
            <w:hideMark/>
          </w:tcPr>
          <w:p w:rsidR="006F51CF" w:rsidRPr="005B0796" w:rsidRDefault="006F51CF" w:rsidP="0083605F">
            <w:pPr>
              <w:pStyle w:val="TableText"/>
              <w:jc w:val="right"/>
              <w:rPr>
                <w:lang w:eastAsia="en-AU"/>
              </w:rPr>
            </w:pPr>
            <w:r w:rsidRPr="005B0796">
              <w:rPr>
                <w:lang w:eastAsia="en-AU"/>
              </w:rPr>
              <w:t>0.02</w:t>
            </w:r>
          </w:p>
        </w:tc>
        <w:tc>
          <w:tcPr>
            <w:tcW w:w="681" w:type="dxa"/>
            <w:hideMark/>
          </w:tcPr>
          <w:p w:rsidR="006F51CF" w:rsidRPr="005B0796" w:rsidRDefault="006F51CF" w:rsidP="0083605F">
            <w:pPr>
              <w:pStyle w:val="TableText"/>
              <w:jc w:val="right"/>
              <w:rPr>
                <w:lang w:eastAsia="en-AU"/>
              </w:rPr>
            </w:pPr>
            <w:r w:rsidRPr="005B0796">
              <w:rPr>
                <w:lang w:eastAsia="en-AU"/>
              </w:rPr>
              <w:t>2.4, 2.5</w:t>
            </w:r>
          </w:p>
        </w:tc>
        <w:tc>
          <w:tcPr>
            <w:tcW w:w="681" w:type="dxa"/>
            <w:hideMark/>
          </w:tcPr>
          <w:p w:rsidR="006F51CF" w:rsidRPr="005B0796" w:rsidRDefault="006F51CF" w:rsidP="0083605F">
            <w:pPr>
              <w:pStyle w:val="TableText"/>
              <w:jc w:val="right"/>
              <w:rPr>
                <w:lang w:eastAsia="en-AU"/>
              </w:rPr>
            </w:pPr>
            <w:r w:rsidRPr="005B0796">
              <w:rPr>
                <w:lang w:eastAsia="en-AU"/>
              </w:rPr>
              <w:t>2.2</w:t>
            </w:r>
          </w:p>
        </w:tc>
        <w:tc>
          <w:tcPr>
            <w:tcW w:w="680" w:type="dxa"/>
            <w:hideMark/>
          </w:tcPr>
          <w:p w:rsidR="006F51CF" w:rsidRPr="005B0796" w:rsidRDefault="006F51CF" w:rsidP="0083605F">
            <w:pPr>
              <w:pStyle w:val="TableText"/>
              <w:jc w:val="right"/>
              <w:rPr>
                <w:lang w:eastAsia="en-AU"/>
              </w:rPr>
            </w:pPr>
            <w:r w:rsidRPr="005B0796">
              <w:rPr>
                <w:lang w:eastAsia="en-AU"/>
              </w:rPr>
              <w:t>0.04</w:t>
            </w:r>
          </w:p>
        </w:tc>
        <w:tc>
          <w:tcPr>
            <w:tcW w:w="681" w:type="dxa"/>
            <w:hideMark/>
          </w:tcPr>
          <w:p w:rsidR="006F51CF" w:rsidRPr="005B0796" w:rsidRDefault="006F51CF" w:rsidP="0083605F">
            <w:pPr>
              <w:pStyle w:val="TableText"/>
              <w:jc w:val="right"/>
              <w:rPr>
                <w:lang w:eastAsia="en-AU"/>
              </w:rPr>
            </w:pPr>
            <w:r w:rsidRPr="005B0796">
              <w:rPr>
                <w:lang w:eastAsia="en-AU"/>
              </w:rPr>
              <w:t>2.1, 2.2</w:t>
            </w:r>
          </w:p>
        </w:tc>
        <w:tc>
          <w:tcPr>
            <w:tcW w:w="681" w:type="dxa"/>
            <w:hideMark/>
          </w:tcPr>
          <w:p w:rsidR="006F51CF" w:rsidRPr="005B0796" w:rsidRDefault="006F51CF" w:rsidP="0083605F">
            <w:pPr>
              <w:pStyle w:val="TableText"/>
              <w:jc w:val="right"/>
              <w:rPr>
                <w:lang w:eastAsia="en-AU"/>
              </w:rPr>
            </w:pPr>
            <w:r w:rsidRPr="005B0796">
              <w:rPr>
                <w:lang w:eastAsia="en-AU"/>
              </w:rPr>
              <w:t>1.9</w:t>
            </w:r>
          </w:p>
        </w:tc>
        <w:tc>
          <w:tcPr>
            <w:tcW w:w="681" w:type="dxa"/>
            <w:hideMark/>
          </w:tcPr>
          <w:p w:rsidR="006F51CF" w:rsidRPr="005B0796" w:rsidRDefault="006F51CF" w:rsidP="0083605F">
            <w:pPr>
              <w:pStyle w:val="TableText"/>
              <w:jc w:val="right"/>
              <w:rPr>
                <w:lang w:eastAsia="en-AU"/>
              </w:rPr>
            </w:pPr>
            <w:r w:rsidRPr="005B0796">
              <w:rPr>
                <w:lang w:eastAsia="en-AU"/>
              </w:rPr>
              <w:t>0.01</w:t>
            </w:r>
          </w:p>
        </w:tc>
        <w:tc>
          <w:tcPr>
            <w:tcW w:w="681" w:type="dxa"/>
            <w:hideMark/>
          </w:tcPr>
          <w:p w:rsidR="006F51CF" w:rsidRPr="005B0796" w:rsidRDefault="006F51CF" w:rsidP="0083605F">
            <w:pPr>
              <w:pStyle w:val="TableText"/>
              <w:jc w:val="right"/>
              <w:rPr>
                <w:lang w:eastAsia="en-AU"/>
              </w:rPr>
            </w:pPr>
            <w:r w:rsidRPr="005B0796">
              <w:rPr>
                <w:lang w:eastAsia="en-AU"/>
              </w:rPr>
              <w:t>1.9, 1.9</w:t>
            </w:r>
          </w:p>
        </w:tc>
      </w:tr>
      <w:tr w:rsidR="00AD2A8E" w:rsidRPr="005B0796" w:rsidTr="00AD2A8E">
        <w:tc>
          <w:tcPr>
            <w:tcW w:w="1188" w:type="dxa"/>
            <w:hideMark/>
          </w:tcPr>
          <w:p w:rsidR="006F51CF" w:rsidRPr="005B0796" w:rsidRDefault="006F51CF" w:rsidP="00AD2A8E">
            <w:pPr>
              <w:pStyle w:val="TableText"/>
              <w:rPr>
                <w:rFonts w:eastAsia="GillSans"/>
                <w:lang w:eastAsia="en-AU"/>
              </w:rPr>
            </w:pPr>
            <w:r w:rsidRPr="005B0796">
              <w:rPr>
                <w:lang w:eastAsia="en-AU"/>
              </w:rPr>
              <w:t>Anger intensity</w:t>
            </w:r>
          </w:p>
        </w:tc>
        <w:tc>
          <w:tcPr>
            <w:tcW w:w="680" w:type="dxa"/>
            <w:hideMark/>
          </w:tcPr>
          <w:p w:rsidR="006F51CF" w:rsidRPr="005B0796" w:rsidRDefault="006F51CF" w:rsidP="0083605F">
            <w:pPr>
              <w:pStyle w:val="TableText"/>
              <w:jc w:val="right"/>
              <w:rPr>
                <w:lang w:eastAsia="en-AU"/>
              </w:rPr>
            </w:pPr>
            <w:r w:rsidRPr="005B0796">
              <w:rPr>
                <w:lang w:eastAsia="en-AU"/>
              </w:rPr>
              <w:t>2.0</w:t>
            </w:r>
          </w:p>
        </w:tc>
        <w:tc>
          <w:tcPr>
            <w:tcW w:w="681" w:type="dxa"/>
            <w:hideMark/>
          </w:tcPr>
          <w:p w:rsidR="006F51CF" w:rsidRPr="005B0796" w:rsidRDefault="006F51CF" w:rsidP="0083605F">
            <w:pPr>
              <w:pStyle w:val="TableText"/>
              <w:jc w:val="right"/>
              <w:rPr>
                <w:lang w:eastAsia="en-AU"/>
              </w:rPr>
            </w:pPr>
            <w:r w:rsidRPr="005B0796">
              <w:rPr>
                <w:lang w:eastAsia="en-AU"/>
              </w:rPr>
              <w:t>0.02</w:t>
            </w:r>
          </w:p>
        </w:tc>
        <w:tc>
          <w:tcPr>
            <w:tcW w:w="681" w:type="dxa"/>
            <w:hideMark/>
          </w:tcPr>
          <w:p w:rsidR="006F51CF" w:rsidRPr="005B0796" w:rsidRDefault="006F51CF" w:rsidP="0083605F">
            <w:pPr>
              <w:pStyle w:val="TableText"/>
              <w:jc w:val="right"/>
              <w:rPr>
                <w:lang w:eastAsia="en-AU"/>
              </w:rPr>
            </w:pPr>
            <w:r w:rsidRPr="005B0796">
              <w:rPr>
                <w:lang w:eastAsia="en-AU"/>
              </w:rPr>
              <w:t>1.9, 2.0</w:t>
            </w:r>
          </w:p>
        </w:tc>
        <w:tc>
          <w:tcPr>
            <w:tcW w:w="681" w:type="dxa"/>
            <w:hideMark/>
          </w:tcPr>
          <w:p w:rsidR="006F51CF" w:rsidRPr="005B0796" w:rsidRDefault="006F51CF" w:rsidP="0083605F">
            <w:pPr>
              <w:pStyle w:val="TableText"/>
              <w:jc w:val="right"/>
              <w:rPr>
                <w:lang w:eastAsia="en-AU"/>
              </w:rPr>
            </w:pPr>
            <w:r w:rsidRPr="005B0796">
              <w:rPr>
                <w:lang w:eastAsia="en-AU"/>
              </w:rPr>
              <w:t>1.7</w:t>
            </w:r>
          </w:p>
        </w:tc>
        <w:tc>
          <w:tcPr>
            <w:tcW w:w="680" w:type="dxa"/>
            <w:hideMark/>
          </w:tcPr>
          <w:p w:rsidR="006F51CF" w:rsidRPr="005B0796" w:rsidRDefault="006F51CF" w:rsidP="0083605F">
            <w:pPr>
              <w:pStyle w:val="TableText"/>
              <w:jc w:val="right"/>
              <w:rPr>
                <w:lang w:eastAsia="en-AU"/>
              </w:rPr>
            </w:pPr>
            <w:r w:rsidRPr="005B0796">
              <w:rPr>
                <w:lang w:eastAsia="en-AU"/>
              </w:rPr>
              <w:t>0.04</w:t>
            </w:r>
          </w:p>
        </w:tc>
        <w:tc>
          <w:tcPr>
            <w:tcW w:w="681" w:type="dxa"/>
            <w:hideMark/>
          </w:tcPr>
          <w:p w:rsidR="006F51CF" w:rsidRPr="005B0796" w:rsidRDefault="006F51CF" w:rsidP="0083605F">
            <w:pPr>
              <w:pStyle w:val="TableText"/>
              <w:jc w:val="right"/>
              <w:rPr>
                <w:lang w:eastAsia="en-AU"/>
              </w:rPr>
            </w:pPr>
            <w:r w:rsidRPr="005B0796">
              <w:rPr>
                <w:lang w:eastAsia="en-AU"/>
              </w:rPr>
              <w:t>1.6, 1.7</w:t>
            </w:r>
          </w:p>
        </w:tc>
        <w:tc>
          <w:tcPr>
            <w:tcW w:w="681" w:type="dxa"/>
            <w:hideMark/>
          </w:tcPr>
          <w:p w:rsidR="006F51CF" w:rsidRPr="005B0796" w:rsidRDefault="006F51CF" w:rsidP="0083605F">
            <w:pPr>
              <w:pStyle w:val="TableText"/>
              <w:jc w:val="right"/>
              <w:rPr>
                <w:lang w:eastAsia="en-AU"/>
              </w:rPr>
            </w:pPr>
            <w:r w:rsidRPr="005B0796">
              <w:rPr>
                <w:lang w:eastAsia="en-AU"/>
              </w:rPr>
              <w:t>1.4</w:t>
            </w:r>
          </w:p>
        </w:tc>
        <w:tc>
          <w:tcPr>
            <w:tcW w:w="681" w:type="dxa"/>
            <w:hideMark/>
          </w:tcPr>
          <w:p w:rsidR="006F51CF" w:rsidRPr="005B0796" w:rsidRDefault="006F51CF" w:rsidP="0083605F">
            <w:pPr>
              <w:pStyle w:val="TableText"/>
              <w:jc w:val="right"/>
              <w:rPr>
                <w:lang w:eastAsia="en-AU"/>
              </w:rPr>
            </w:pPr>
            <w:r w:rsidRPr="005B0796">
              <w:rPr>
                <w:lang w:eastAsia="en-AU"/>
              </w:rPr>
              <w:t>0</w:t>
            </w:r>
          </w:p>
        </w:tc>
        <w:tc>
          <w:tcPr>
            <w:tcW w:w="681" w:type="dxa"/>
            <w:hideMark/>
          </w:tcPr>
          <w:p w:rsidR="006F51CF" w:rsidRPr="005B0796" w:rsidRDefault="006F51CF" w:rsidP="0083605F">
            <w:pPr>
              <w:pStyle w:val="TableText"/>
              <w:jc w:val="right"/>
              <w:rPr>
                <w:lang w:eastAsia="en-AU"/>
              </w:rPr>
            </w:pPr>
            <w:r w:rsidRPr="005B0796">
              <w:rPr>
                <w:lang w:eastAsia="en-AU"/>
              </w:rPr>
              <w:t>1.4, 1.4</w:t>
            </w:r>
          </w:p>
        </w:tc>
      </w:tr>
      <w:tr w:rsidR="006F51CF" w:rsidRPr="005B0796" w:rsidTr="00AD2A8E">
        <w:trPr>
          <w:cnfStyle w:val="000000100000" w:firstRow="0" w:lastRow="0" w:firstColumn="0" w:lastColumn="0" w:oddVBand="0" w:evenVBand="0" w:oddHBand="1" w:evenHBand="0" w:firstRowFirstColumn="0" w:firstRowLastColumn="0" w:lastRowFirstColumn="0" w:lastRowLastColumn="0"/>
        </w:trPr>
        <w:tc>
          <w:tcPr>
            <w:tcW w:w="1188" w:type="dxa"/>
            <w:hideMark/>
          </w:tcPr>
          <w:p w:rsidR="006F51CF" w:rsidRPr="005B0796" w:rsidRDefault="006F51CF" w:rsidP="00AD2A8E">
            <w:pPr>
              <w:pStyle w:val="TableText"/>
              <w:rPr>
                <w:rFonts w:eastAsia="GillSans"/>
                <w:lang w:eastAsia="en-AU"/>
              </w:rPr>
            </w:pPr>
            <w:r w:rsidRPr="005B0796">
              <w:rPr>
                <w:lang w:eastAsia="en-AU"/>
              </w:rPr>
              <w:t>Anger duration</w:t>
            </w:r>
          </w:p>
        </w:tc>
        <w:tc>
          <w:tcPr>
            <w:tcW w:w="680" w:type="dxa"/>
            <w:hideMark/>
          </w:tcPr>
          <w:p w:rsidR="006F51CF" w:rsidRPr="005B0796" w:rsidRDefault="006F51CF" w:rsidP="0083605F">
            <w:pPr>
              <w:pStyle w:val="TableText"/>
              <w:jc w:val="right"/>
              <w:rPr>
                <w:lang w:eastAsia="en-AU"/>
              </w:rPr>
            </w:pPr>
            <w:r w:rsidRPr="005B0796">
              <w:rPr>
                <w:lang w:eastAsia="en-AU"/>
              </w:rPr>
              <w:t>1.9</w:t>
            </w:r>
          </w:p>
        </w:tc>
        <w:tc>
          <w:tcPr>
            <w:tcW w:w="681" w:type="dxa"/>
            <w:hideMark/>
          </w:tcPr>
          <w:p w:rsidR="006F51CF" w:rsidRPr="005B0796" w:rsidRDefault="006F51CF" w:rsidP="0083605F">
            <w:pPr>
              <w:pStyle w:val="TableText"/>
              <w:jc w:val="right"/>
              <w:rPr>
                <w:lang w:eastAsia="en-AU"/>
              </w:rPr>
            </w:pPr>
            <w:r w:rsidRPr="005B0796">
              <w:rPr>
                <w:lang w:eastAsia="en-AU"/>
              </w:rPr>
              <w:t>0.02</w:t>
            </w:r>
          </w:p>
        </w:tc>
        <w:tc>
          <w:tcPr>
            <w:tcW w:w="681" w:type="dxa"/>
            <w:hideMark/>
          </w:tcPr>
          <w:p w:rsidR="006F51CF" w:rsidRPr="005B0796" w:rsidRDefault="006F51CF" w:rsidP="0083605F">
            <w:pPr>
              <w:pStyle w:val="TableText"/>
              <w:jc w:val="right"/>
              <w:rPr>
                <w:lang w:eastAsia="en-AU"/>
              </w:rPr>
            </w:pPr>
            <w:r w:rsidRPr="005B0796">
              <w:rPr>
                <w:lang w:eastAsia="en-AU"/>
              </w:rPr>
              <w:t>1.8,1.9</w:t>
            </w:r>
          </w:p>
        </w:tc>
        <w:tc>
          <w:tcPr>
            <w:tcW w:w="681" w:type="dxa"/>
            <w:hideMark/>
          </w:tcPr>
          <w:p w:rsidR="006F51CF" w:rsidRPr="005B0796" w:rsidRDefault="006F51CF" w:rsidP="0083605F">
            <w:pPr>
              <w:pStyle w:val="TableText"/>
              <w:jc w:val="right"/>
              <w:rPr>
                <w:lang w:eastAsia="en-AU"/>
              </w:rPr>
            </w:pPr>
            <w:r w:rsidRPr="005B0796">
              <w:rPr>
                <w:lang w:eastAsia="en-AU"/>
              </w:rPr>
              <w:t>1.5</w:t>
            </w:r>
          </w:p>
        </w:tc>
        <w:tc>
          <w:tcPr>
            <w:tcW w:w="680" w:type="dxa"/>
            <w:hideMark/>
          </w:tcPr>
          <w:p w:rsidR="006F51CF" w:rsidRPr="005B0796" w:rsidRDefault="006F51CF" w:rsidP="0083605F">
            <w:pPr>
              <w:pStyle w:val="TableText"/>
              <w:jc w:val="right"/>
              <w:rPr>
                <w:lang w:eastAsia="en-AU"/>
              </w:rPr>
            </w:pPr>
            <w:r w:rsidRPr="005B0796">
              <w:rPr>
                <w:lang w:eastAsia="en-AU"/>
              </w:rPr>
              <w:t>0.04</w:t>
            </w:r>
          </w:p>
        </w:tc>
        <w:tc>
          <w:tcPr>
            <w:tcW w:w="681" w:type="dxa"/>
            <w:hideMark/>
          </w:tcPr>
          <w:p w:rsidR="006F51CF" w:rsidRPr="005B0796" w:rsidRDefault="006F51CF" w:rsidP="0083605F">
            <w:pPr>
              <w:pStyle w:val="TableText"/>
              <w:jc w:val="right"/>
              <w:rPr>
                <w:lang w:eastAsia="en-AU"/>
              </w:rPr>
            </w:pPr>
            <w:r w:rsidRPr="005B0796">
              <w:rPr>
                <w:lang w:eastAsia="en-AU"/>
              </w:rPr>
              <w:t>1.5, 1.6</w:t>
            </w:r>
          </w:p>
        </w:tc>
        <w:tc>
          <w:tcPr>
            <w:tcW w:w="681" w:type="dxa"/>
            <w:hideMark/>
          </w:tcPr>
          <w:p w:rsidR="006F51CF" w:rsidRPr="005B0796" w:rsidRDefault="006F51CF" w:rsidP="0083605F">
            <w:pPr>
              <w:pStyle w:val="TableText"/>
              <w:jc w:val="right"/>
              <w:rPr>
                <w:lang w:eastAsia="en-AU"/>
              </w:rPr>
            </w:pPr>
            <w:r w:rsidRPr="005B0796">
              <w:rPr>
                <w:lang w:eastAsia="en-AU"/>
              </w:rPr>
              <w:t>1.3</w:t>
            </w:r>
          </w:p>
        </w:tc>
        <w:tc>
          <w:tcPr>
            <w:tcW w:w="681" w:type="dxa"/>
            <w:hideMark/>
          </w:tcPr>
          <w:p w:rsidR="006F51CF" w:rsidRPr="005B0796" w:rsidRDefault="006F51CF" w:rsidP="0083605F">
            <w:pPr>
              <w:pStyle w:val="TableText"/>
              <w:jc w:val="right"/>
              <w:rPr>
                <w:lang w:eastAsia="en-AU"/>
              </w:rPr>
            </w:pPr>
            <w:r w:rsidRPr="005B0796">
              <w:rPr>
                <w:lang w:eastAsia="en-AU"/>
              </w:rPr>
              <w:t>0</w:t>
            </w:r>
          </w:p>
        </w:tc>
        <w:tc>
          <w:tcPr>
            <w:tcW w:w="681" w:type="dxa"/>
            <w:hideMark/>
          </w:tcPr>
          <w:p w:rsidR="006F51CF" w:rsidRPr="005B0796" w:rsidRDefault="006F51CF" w:rsidP="0083605F">
            <w:pPr>
              <w:pStyle w:val="TableText"/>
              <w:jc w:val="right"/>
              <w:rPr>
                <w:lang w:eastAsia="en-AU"/>
              </w:rPr>
            </w:pPr>
            <w:r w:rsidRPr="005B0796">
              <w:rPr>
                <w:lang w:eastAsia="en-AU"/>
              </w:rPr>
              <w:t>1.3, 1.3</w:t>
            </w:r>
          </w:p>
        </w:tc>
      </w:tr>
      <w:tr w:rsidR="00AD2A8E" w:rsidRPr="005B0796" w:rsidTr="00AD2A8E">
        <w:tc>
          <w:tcPr>
            <w:tcW w:w="1188" w:type="dxa"/>
            <w:hideMark/>
          </w:tcPr>
          <w:p w:rsidR="006F51CF" w:rsidRPr="005B0796" w:rsidRDefault="006F51CF" w:rsidP="00AD2A8E">
            <w:pPr>
              <w:pStyle w:val="TableText"/>
              <w:rPr>
                <w:lang w:eastAsia="en-AU"/>
              </w:rPr>
            </w:pPr>
            <w:r w:rsidRPr="005B0796">
              <w:rPr>
                <w:lang w:eastAsia="en-AU"/>
              </w:rPr>
              <w:t>Antagonism towards others</w:t>
            </w:r>
          </w:p>
        </w:tc>
        <w:tc>
          <w:tcPr>
            <w:tcW w:w="680" w:type="dxa"/>
            <w:hideMark/>
          </w:tcPr>
          <w:p w:rsidR="006F51CF" w:rsidRPr="005B0796" w:rsidRDefault="006F51CF" w:rsidP="0083605F">
            <w:pPr>
              <w:pStyle w:val="TableText"/>
              <w:jc w:val="right"/>
              <w:rPr>
                <w:lang w:eastAsia="en-AU"/>
              </w:rPr>
            </w:pPr>
            <w:r w:rsidRPr="005B0796">
              <w:rPr>
                <w:lang w:eastAsia="en-AU"/>
              </w:rPr>
              <w:t>1.7</w:t>
            </w:r>
          </w:p>
        </w:tc>
        <w:tc>
          <w:tcPr>
            <w:tcW w:w="681" w:type="dxa"/>
            <w:hideMark/>
          </w:tcPr>
          <w:p w:rsidR="006F51CF" w:rsidRPr="005B0796" w:rsidRDefault="006F51CF" w:rsidP="0083605F">
            <w:pPr>
              <w:pStyle w:val="TableText"/>
              <w:jc w:val="right"/>
              <w:rPr>
                <w:lang w:eastAsia="en-AU"/>
              </w:rPr>
            </w:pPr>
            <w:r w:rsidRPr="005B0796">
              <w:rPr>
                <w:lang w:eastAsia="en-AU"/>
              </w:rPr>
              <w:t>0.02</w:t>
            </w:r>
          </w:p>
        </w:tc>
        <w:tc>
          <w:tcPr>
            <w:tcW w:w="681" w:type="dxa"/>
            <w:hideMark/>
          </w:tcPr>
          <w:p w:rsidR="006F51CF" w:rsidRPr="005B0796" w:rsidRDefault="006F51CF" w:rsidP="0083605F">
            <w:pPr>
              <w:pStyle w:val="TableText"/>
              <w:jc w:val="right"/>
              <w:rPr>
                <w:lang w:eastAsia="en-AU"/>
              </w:rPr>
            </w:pPr>
            <w:r w:rsidRPr="005B0796">
              <w:rPr>
                <w:lang w:eastAsia="en-AU"/>
              </w:rPr>
              <w:t>1.7, 1.8</w:t>
            </w:r>
          </w:p>
        </w:tc>
        <w:tc>
          <w:tcPr>
            <w:tcW w:w="681" w:type="dxa"/>
            <w:hideMark/>
          </w:tcPr>
          <w:p w:rsidR="006F51CF" w:rsidRPr="005B0796" w:rsidRDefault="006F51CF" w:rsidP="0083605F">
            <w:pPr>
              <w:pStyle w:val="TableText"/>
              <w:jc w:val="right"/>
              <w:rPr>
                <w:lang w:eastAsia="en-AU"/>
              </w:rPr>
            </w:pPr>
            <w:r w:rsidRPr="005B0796">
              <w:rPr>
                <w:lang w:eastAsia="en-AU"/>
              </w:rPr>
              <w:t>1.4</w:t>
            </w:r>
          </w:p>
        </w:tc>
        <w:tc>
          <w:tcPr>
            <w:tcW w:w="680" w:type="dxa"/>
            <w:hideMark/>
          </w:tcPr>
          <w:p w:rsidR="006F51CF" w:rsidRPr="005B0796" w:rsidRDefault="006F51CF" w:rsidP="0083605F">
            <w:pPr>
              <w:pStyle w:val="TableText"/>
              <w:jc w:val="right"/>
              <w:rPr>
                <w:lang w:eastAsia="en-AU"/>
              </w:rPr>
            </w:pPr>
            <w:r w:rsidRPr="005B0796">
              <w:rPr>
                <w:lang w:eastAsia="en-AU"/>
              </w:rPr>
              <w:t>0.04</w:t>
            </w:r>
          </w:p>
        </w:tc>
        <w:tc>
          <w:tcPr>
            <w:tcW w:w="681" w:type="dxa"/>
            <w:hideMark/>
          </w:tcPr>
          <w:p w:rsidR="006F51CF" w:rsidRPr="005B0796" w:rsidRDefault="006F51CF" w:rsidP="0083605F">
            <w:pPr>
              <w:pStyle w:val="TableText"/>
              <w:jc w:val="right"/>
              <w:rPr>
                <w:lang w:eastAsia="en-AU"/>
              </w:rPr>
            </w:pPr>
            <w:r w:rsidRPr="005B0796">
              <w:rPr>
                <w:lang w:eastAsia="en-AU"/>
              </w:rPr>
              <w:t>1.3, 1.5</w:t>
            </w:r>
          </w:p>
        </w:tc>
        <w:tc>
          <w:tcPr>
            <w:tcW w:w="681" w:type="dxa"/>
            <w:hideMark/>
          </w:tcPr>
          <w:p w:rsidR="006F51CF" w:rsidRPr="005B0796" w:rsidRDefault="006F51CF" w:rsidP="0083605F">
            <w:pPr>
              <w:pStyle w:val="TableText"/>
              <w:jc w:val="right"/>
              <w:rPr>
                <w:lang w:eastAsia="en-AU"/>
              </w:rPr>
            </w:pPr>
            <w:r w:rsidRPr="005B0796">
              <w:rPr>
                <w:lang w:eastAsia="en-AU"/>
              </w:rPr>
              <w:t>1.3</w:t>
            </w:r>
          </w:p>
        </w:tc>
        <w:tc>
          <w:tcPr>
            <w:tcW w:w="681" w:type="dxa"/>
            <w:hideMark/>
          </w:tcPr>
          <w:p w:rsidR="006F51CF" w:rsidRPr="005B0796" w:rsidRDefault="006F51CF" w:rsidP="0083605F">
            <w:pPr>
              <w:pStyle w:val="TableText"/>
              <w:jc w:val="right"/>
              <w:rPr>
                <w:lang w:eastAsia="en-AU"/>
              </w:rPr>
            </w:pPr>
            <w:r w:rsidRPr="005B0796">
              <w:rPr>
                <w:lang w:eastAsia="en-AU"/>
              </w:rPr>
              <w:t>0</w:t>
            </w:r>
          </w:p>
        </w:tc>
        <w:tc>
          <w:tcPr>
            <w:tcW w:w="681" w:type="dxa"/>
            <w:hideMark/>
          </w:tcPr>
          <w:p w:rsidR="006F51CF" w:rsidRPr="005B0796" w:rsidRDefault="006F51CF" w:rsidP="0083605F">
            <w:pPr>
              <w:pStyle w:val="TableText"/>
              <w:jc w:val="right"/>
              <w:rPr>
                <w:lang w:eastAsia="en-AU"/>
              </w:rPr>
            </w:pPr>
            <w:r w:rsidRPr="005B0796">
              <w:rPr>
                <w:lang w:eastAsia="en-AU"/>
              </w:rPr>
              <w:t>1.3, 1.3</w:t>
            </w:r>
          </w:p>
        </w:tc>
      </w:tr>
      <w:tr w:rsidR="006F51CF" w:rsidRPr="005B0796" w:rsidTr="00AD2A8E">
        <w:trPr>
          <w:cnfStyle w:val="000000100000" w:firstRow="0" w:lastRow="0" w:firstColumn="0" w:lastColumn="0" w:oddVBand="0" w:evenVBand="0" w:oddHBand="1" w:evenHBand="0" w:firstRowFirstColumn="0" w:firstRowLastColumn="0" w:lastRowFirstColumn="0" w:lastRowLastColumn="0"/>
        </w:trPr>
        <w:tc>
          <w:tcPr>
            <w:tcW w:w="1188" w:type="dxa"/>
            <w:hideMark/>
          </w:tcPr>
          <w:p w:rsidR="006F51CF" w:rsidRPr="005B0796" w:rsidRDefault="006F51CF" w:rsidP="00AD2A8E">
            <w:pPr>
              <w:pStyle w:val="TableText"/>
              <w:rPr>
                <w:lang w:eastAsia="en-AU"/>
              </w:rPr>
            </w:pPr>
            <w:r w:rsidRPr="005B0796">
              <w:rPr>
                <w:lang w:eastAsia="en-AU"/>
              </w:rPr>
              <w:t>Social relations</w:t>
            </w:r>
          </w:p>
        </w:tc>
        <w:tc>
          <w:tcPr>
            <w:tcW w:w="680" w:type="dxa"/>
            <w:hideMark/>
          </w:tcPr>
          <w:p w:rsidR="006F51CF" w:rsidRPr="005B0796" w:rsidRDefault="006F51CF" w:rsidP="0083605F">
            <w:pPr>
              <w:pStyle w:val="TableText"/>
              <w:jc w:val="right"/>
              <w:rPr>
                <w:lang w:eastAsia="en-AU"/>
              </w:rPr>
            </w:pPr>
            <w:r w:rsidRPr="005B0796">
              <w:rPr>
                <w:lang w:eastAsia="en-AU"/>
              </w:rPr>
              <w:t>1.8</w:t>
            </w:r>
          </w:p>
        </w:tc>
        <w:tc>
          <w:tcPr>
            <w:tcW w:w="681" w:type="dxa"/>
            <w:hideMark/>
          </w:tcPr>
          <w:p w:rsidR="006F51CF" w:rsidRPr="005B0796" w:rsidRDefault="006F51CF" w:rsidP="0083605F">
            <w:pPr>
              <w:pStyle w:val="TableText"/>
              <w:jc w:val="right"/>
              <w:rPr>
                <w:lang w:eastAsia="en-AU"/>
              </w:rPr>
            </w:pPr>
            <w:r w:rsidRPr="005B0796">
              <w:rPr>
                <w:lang w:eastAsia="en-AU"/>
              </w:rPr>
              <w:t>0.02</w:t>
            </w:r>
          </w:p>
        </w:tc>
        <w:tc>
          <w:tcPr>
            <w:tcW w:w="681" w:type="dxa"/>
            <w:hideMark/>
          </w:tcPr>
          <w:p w:rsidR="006F51CF" w:rsidRPr="005B0796" w:rsidRDefault="006F51CF" w:rsidP="0083605F">
            <w:pPr>
              <w:pStyle w:val="TableText"/>
              <w:jc w:val="right"/>
              <w:rPr>
                <w:lang w:eastAsia="en-AU"/>
              </w:rPr>
            </w:pPr>
            <w:r w:rsidRPr="005B0796">
              <w:rPr>
                <w:lang w:eastAsia="en-AU"/>
              </w:rPr>
              <w:t>1.8 ,1.8</w:t>
            </w:r>
          </w:p>
        </w:tc>
        <w:tc>
          <w:tcPr>
            <w:tcW w:w="681" w:type="dxa"/>
            <w:hideMark/>
          </w:tcPr>
          <w:p w:rsidR="006F51CF" w:rsidRPr="005B0796" w:rsidRDefault="006F51CF" w:rsidP="0083605F">
            <w:pPr>
              <w:pStyle w:val="TableText"/>
              <w:jc w:val="right"/>
              <w:rPr>
                <w:lang w:eastAsia="en-AU"/>
              </w:rPr>
            </w:pPr>
            <w:r w:rsidRPr="005B0796">
              <w:rPr>
                <w:lang w:eastAsia="en-AU"/>
              </w:rPr>
              <w:t>1.5</w:t>
            </w:r>
          </w:p>
        </w:tc>
        <w:tc>
          <w:tcPr>
            <w:tcW w:w="680" w:type="dxa"/>
            <w:hideMark/>
          </w:tcPr>
          <w:p w:rsidR="006F51CF" w:rsidRPr="005B0796" w:rsidRDefault="006F51CF" w:rsidP="0083605F">
            <w:pPr>
              <w:pStyle w:val="TableText"/>
              <w:jc w:val="right"/>
              <w:rPr>
                <w:lang w:eastAsia="en-AU"/>
              </w:rPr>
            </w:pPr>
            <w:r w:rsidRPr="005B0796">
              <w:rPr>
                <w:lang w:eastAsia="en-AU"/>
              </w:rPr>
              <w:t>0.04</w:t>
            </w:r>
          </w:p>
        </w:tc>
        <w:tc>
          <w:tcPr>
            <w:tcW w:w="681" w:type="dxa"/>
            <w:hideMark/>
          </w:tcPr>
          <w:p w:rsidR="006F51CF" w:rsidRPr="005B0796" w:rsidRDefault="006F51CF" w:rsidP="0083605F">
            <w:pPr>
              <w:pStyle w:val="TableText"/>
              <w:jc w:val="right"/>
              <w:rPr>
                <w:lang w:eastAsia="en-AU"/>
              </w:rPr>
            </w:pPr>
            <w:r w:rsidRPr="005B0796">
              <w:rPr>
                <w:lang w:eastAsia="en-AU"/>
              </w:rPr>
              <w:t>1.4, 1.6</w:t>
            </w:r>
          </w:p>
        </w:tc>
        <w:tc>
          <w:tcPr>
            <w:tcW w:w="681" w:type="dxa"/>
            <w:hideMark/>
          </w:tcPr>
          <w:p w:rsidR="006F51CF" w:rsidRPr="005B0796" w:rsidRDefault="006F51CF" w:rsidP="0083605F">
            <w:pPr>
              <w:pStyle w:val="TableText"/>
              <w:jc w:val="right"/>
              <w:rPr>
                <w:lang w:eastAsia="en-AU"/>
              </w:rPr>
            </w:pPr>
            <w:r w:rsidRPr="005B0796">
              <w:rPr>
                <w:lang w:eastAsia="en-AU"/>
              </w:rPr>
              <w:t>0.2</w:t>
            </w:r>
          </w:p>
        </w:tc>
        <w:tc>
          <w:tcPr>
            <w:tcW w:w="681" w:type="dxa"/>
            <w:hideMark/>
          </w:tcPr>
          <w:p w:rsidR="006F51CF" w:rsidRPr="005B0796" w:rsidRDefault="006F51CF" w:rsidP="0083605F">
            <w:pPr>
              <w:pStyle w:val="TableText"/>
              <w:jc w:val="right"/>
              <w:rPr>
                <w:lang w:eastAsia="en-AU"/>
              </w:rPr>
            </w:pPr>
            <w:r w:rsidRPr="005B0796">
              <w:rPr>
                <w:lang w:eastAsia="en-AU"/>
              </w:rPr>
              <w:t>0</w:t>
            </w:r>
          </w:p>
        </w:tc>
        <w:tc>
          <w:tcPr>
            <w:tcW w:w="681" w:type="dxa"/>
            <w:hideMark/>
          </w:tcPr>
          <w:p w:rsidR="006F51CF" w:rsidRPr="005B0796" w:rsidRDefault="006F51CF" w:rsidP="0083605F">
            <w:pPr>
              <w:pStyle w:val="TableText"/>
              <w:jc w:val="right"/>
              <w:rPr>
                <w:lang w:eastAsia="en-AU"/>
              </w:rPr>
            </w:pPr>
            <w:r w:rsidRPr="005B0796">
              <w:rPr>
                <w:lang w:eastAsia="en-AU"/>
              </w:rPr>
              <w:t>1.2, 1.2</w:t>
            </w:r>
          </w:p>
        </w:tc>
      </w:tr>
      <w:tr w:rsidR="006F51CF" w:rsidRPr="005B0796" w:rsidTr="00AD2A8E">
        <w:trPr>
          <w:cnfStyle w:val="010000000000" w:firstRow="0" w:lastRow="1" w:firstColumn="0" w:lastColumn="0" w:oddVBand="0" w:evenVBand="0" w:oddHBand="0" w:evenHBand="0" w:firstRowFirstColumn="0" w:firstRowLastColumn="0" w:lastRowFirstColumn="0" w:lastRowLastColumn="0"/>
        </w:trPr>
        <w:tc>
          <w:tcPr>
            <w:tcW w:w="1188" w:type="dxa"/>
            <w:hideMark/>
          </w:tcPr>
          <w:p w:rsidR="006F51CF" w:rsidRPr="005B0796" w:rsidRDefault="006F51CF" w:rsidP="00AD2A8E">
            <w:pPr>
              <w:pStyle w:val="TableText"/>
              <w:rPr>
                <w:lang w:eastAsia="en-AU"/>
              </w:rPr>
            </w:pPr>
            <w:r w:rsidRPr="005B0796">
              <w:rPr>
                <w:lang w:eastAsia="en-AU"/>
              </w:rPr>
              <w:t>DAR-5 total</w:t>
            </w:r>
          </w:p>
        </w:tc>
        <w:tc>
          <w:tcPr>
            <w:tcW w:w="680" w:type="dxa"/>
            <w:hideMark/>
          </w:tcPr>
          <w:p w:rsidR="006F51CF" w:rsidRPr="005B0796" w:rsidRDefault="006F51CF" w:rsidP="0083605F">
            <w:pPr>
              <w:pStyle w:val="TableText"/>
              <w:jc w:val="right"/>
              <w:rPr>
                <w:lang w:eastAsia="en-AU"/>
              </w:rPr>
            </w:pPr>
            <w:r w:rsidRPr="005B0796">
              <w:rPr>
                <w:lang w:eastAsia="en-AU"/>
              </w:rPr>
              <w:t>9.8</w:t>
            </w:r>
          </w:p>
        </w:tc>
        <w:tc>
          <w:tcPr>
            <w:tcW w:w="681" w:type="dxa"/>
            <w:hideMark/>
          </w:tcPr>
          <w:p w:rsidR="006F51CF" w:rsidRPr="005B0796" w:rsidRDefault="006F51CF" w:rsidP="0083605F">
            <w:pPr>
              <w:pStyle w:val="TableText"/>
              <w:jc w:val="right"/>
              <w:rPr>
                <w:lang w:eastAsia="en-AU"/>
              </w:rPr>
            </w:pPr>
            <w:r w:rsidRPr="005B0796">
              <w:rPr>
                <w:lang w:eastAsia="en-AU"/>
              </w:rPr>
              <w:t>0.1</w:t>
            </w:r>
          </w:p>
        </w:tc>
        <w:tc>
          <w:tcPr>
            <w:tcW w:w="681" w:type="dxa"/>
            <w:hideMark/>
          </w:tcPr>
          <w:p w:rsidR="006F51CF" w:rsidRPr="005B0796" w:rsidRDefault="006F51CF" w:rsidP="0083605F">
            <w:pPr>
              <w:pStyle w:val="TableText"/>
              <w:jc w:val="right"/>
              <w:rPr>
                <w:lang w:eastAsia="en-AU"/>
              </w:rPr>
            </w:pPr>
            <w:r w:rsidRPr="005B0796">
              <w:rPr>
                <w:lang w:eastAsia="en-AU"/>
              </w:rPr>
              <w:t>9.6, 10.0</w:t>
            </w:r>
          </w:p>
        </w:tc>
        <w:tc>
          <w:tcPr>
            <w:tcW w:w="681" w:type="dxa"/>
            <w:hideMark/>
          </w:tcPr>
          <w:p w:rsidR="006F51CF" w:rsidRPr="005B0796" w:rsidRDefault="006F51CF" w:rsidP="0083605F">
            <w:pPr>
              <w:pStyle w:val="TableText"/>
              <w:jc w:val="right"/>
              <w:rPr>
                <w:lang w:eastAsia="en-AU"/>
              </w:rPr>
            </w:pPr>
            <w:r w:rsidRPr="005B0796">
              <w:rPr>
                <w:lang w:eastAsia="en-AU"/>
              </w:rPr>
              <w:t>8.2</w:t>
            </w:r>
          </w:p>
        </w:tc>
        <w:tc>
          <w:tcPr>
            <w:tcW w:w="680" w:type="dxa"/>
            <w:hideMark/>
          </w:tcPr>
          <w:p w:rsidR="006F51CF" w:rsidRPr="005B0796" w:rsidRDefault="006F51CF" w:rsidP="0083605F">
            <w:pPr>
              <w:pStyle w:val="TableText"/>
              <w:jc w:val="right"/>
              <w:rPr>
                <w:lang w:eastAsia="en-AU"/>
              </w:rPr>
            </w:pPr>
            <w:r w:rsidRPr="005B0796">
              <w:rPr>
                <w:lang w:eastAsia="en-AU"/>
              </w:rPr>
              <w:t>0.5</w:t>
            </w:r>
          </w:p>
        </w:tc>
        <w:tc>
          <w:tcPr>
            <w:tcW w:w="681" w:type="dxa"/>
            <w:hideMark/>
          </w:tcPr>
          <w:p w:rsidR="006F51CF" w:rsidRPr="005B0796" w:rsidRDefault="006F51CF" w:rsidP="0083605F">
            <w:pPr>
              <w:pStyle w:val="TableText"/>
              <w:jc w:val="right"/>
              <w:rPr>
                <w:lang w:eastAsia="en-AU"/>
              </w:rPr>
            </w:pPr>
            <w:r w:rsidRPr="005B0796">
              <w:rPr>
                <w:lang w:eastAsia="en-AU"/>
              </w:rPr>
              <w:t>7.9 8.5</w:t>
            </w:r>
          </w:p>
        </w:tc>
        <w:tc>
          <w:tcPr>
            <w:tcW w:w="681" w:type="dxa"/>
            <w:hideMark/>
          </w:tcPr>
          <w:p w:rsidR="006F51CF" w:rsidRPr="005B0796" w:rsidRDefault="006F51CF" w:rsidP="0083605F">
            <w:pPr>
              <w:pStyle w:val="TableText"/>
              <w:jc w:val="right"/>
              <w:rPr>
                <w:lang w:eastAsia="en-AU"/>
              </w:rPr>
            </w:pPr>
            <w:r w:rsidRPr="005B0796">
              <w:rPr>
                <w:lang w:eastAsia="en-AU"/>
              </w:rPr>
              <w:t>7.1</w:t>
            </w:r>
          </w:p>
        </w:tc>
        <w:tc>
          <w:tcPr>
            <w:tcW w:w="681" w:type="dxa"/>
            <w:hideMark/>
          </w:tcPr>
          <w:p w:rsidR="006F51CF" w:rsidRPr="005B0796" w:rsidRDefault="006F51CF" w:rsidP="0083605F">
            <w:pPr>
              <w:pStyle w:val="TableText"/>
              <w:jc w:val="right"/>
              <w:rPr>
                <w:lang w:eastAsia="en-AU"/>
              </w:rPr>
            </w:pPr>
            <w:r w:rsidRPr="005B0796">
              <w:rPr>
                <w:lang w:eastAsia="en-AU"/>
              </w:rPr>
              <w:t>0.02</w:t>
            </w:r>
          </w:p>
        </w:tc>
        <w:tc>
          <w:tcPr>
            <w:tcW w:w="681" w:type="dxa"/>
            <w:hideMark/>
          </w:tcPr>
          <w:p w:rsidR="006F51CF" w:rsidRPr="005B0796" w:rsidRDefault="006F51CF" w:rsidP="0083605F">
            <w:pPr>
              <w:pStyle w:val="TableText"/>
              <w:jc w:val="right"/>
              <w:rPr>
                <w:lang w:eastAsia="en-AU"/>
              </w:rPr>
            </w:pPr>
            <w:r w:rsidRPr="005B0796">
              <w:rPr>
                <w:lang w:eastAsia="en-AU"/>
              </w:rPr>
              <w:t>7.1 7.2</w:t>
            </w:r>
          </w:p>
        </w:tc>
      </w:tr>
    </w:tbl>
    <w:p w:rsidR="00AD2A8E" w:rsidRPr="005B0796" w:rsidRDefault="00AD2A8E" w:rsidP="00AD2A8E">
      <w:pPr>
        <w:pStyle w:val="TableNotes"/>
      </w:pPr>
      <w:r w:rsidRPr="005B0796">
        <w:t>* From the 2010 ADF Mental Health Prevalence and Wellbeing Study</w:t>
      </w:r>
    </w:p>
    <w:p w:rsidR="00AD2A8E" w:rsidRPr="005B0796" w:rsidRDefault="00AD2A8E" w:rsidP="00AD2A8E">
      <w:pPr>
        <w:pStyle w:val="TableNotes"/>
      </w:pPr>
      <w:r w:rsidRPr="005B0796">
        <w:t xml:space="preserve">Note: 95% CI: 95% </w:t>
      </w:r>
      <w:r w:rsidR="00564689" w:rsidRPr="005B0796">
        <w:t>confidence interval</w:t>
      </w:r>
    </w:p>
    <w:p w:rsidR="006F51CF" w:rsidRPr="005B0796" w:rsidRDefault="00AD2A8E" w:rsidP="00AD2A8E">
      <w:pPr>
        <w:pStyle w:val="FigureName"/>
      </w:pPr>
      <w:bookmarkStart w:id="1058" w:name="_Toc487014407"/>
      <w:bookmarkStart w:id="1059" w:name="_Toc51190057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17</w:t>
      </w:r>
      <w:r w:rsidR="00D30A3C">
        <w:rPr>
          <w:noProof/>
        </w:rPr>
        <w:fldChar w:fldCharType="end"/>
      </w:r>
      <w:r w:rsidRPr="005B0796">
        <w:tab/>
        <w:t>Estimated proportions of anger symptoms among Transitioned ADF, and 2010 and 2015 Regular ADF, by symptoms</w:t>
      </w:r>
      <w:bookmarkEnd w:id="1058"/>
      <w:bookmarkEnd w:id="1059"/>
    </w:p>
    <w:tbl>
      <w:tblPr>
        <w:tblW w:w="5000" w:type="pct"/>
        <w:tblLayout w:type="fixed"/>
        <w:tblCellMar>
          <w:left w:w="115" w:type="dxa"/>
          <w:right w:w="115" w:type="dxa"/>
        </w:tblCellMar>
        <w:tblLook w:val="04A0" w:firstRow="1" w:lastRow="0" w:firstColumn="1" w:lastColumn="0" w:noHBand="0" w:noVBand="1"/>
      </w:tblPr>
      <w:tblGrid>
        <w:gridCol w:w="7329"/>
      </w:tblGrid>
      <w:tr w:rsidR="006F51CF" w:rsidRPr="005B0796" w:rsidTr="004B5E7A">
        <w:trPr>
          <w:cantSplit/>
        </w:trPr>
        <w:tc>
          <w:tcPr>
            <w:tcW w:w="7315" w:type="dxa"/>
          </w:tcPr>
          <w:p w:rsidR="006F51CF" w:rsidRPr="005B0796" w:rsidRDefault="006F51CF" w:rsidP="00855912">
            <w:r w:rsidRPr="005B0796">
              <w:rPr>
                <w:noProof/>
                <w:lang w:eastAsia="en-AU"/>
              </w:rPr>
              <w:drawing>
                <wp:inline distT="0" distB="0" distL="0" distR="0" wp14:anchorId="577F37D6" wp14:editId="468DE6BB">
                  <wp:extent cx="4572000" cy="2743200"/>
                  <wp:effectExtent l="0" t="0" r="0" b="0"/>
                  <wp:docPr id="309" name="Chart 309" descr="Figure 5.17 Estimated proportions of anger symptoms among Transitioned ADF, and 2010 and 2015 Regular ADF, by sympto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r>
    </w:tbl>
    <w:p w:rsidR="006F51CF" w:rsidRPr="005B0796" w:rsidRDefault="006F51CF" w:rsidP="00AD2A8E">
      <w:pPr>
        <w:pStyle w:val="Heading3"/>
      </w:pPr>
      <w:bookmarkStart w:id="1060" w:name="_Toc482021383"/>
      <w:bookmarkStart w:id="1061" w:name="_Toc482024474"/>
      <w:bookmarkStart w:id="1062" w:name="_Toc487011230"/>
      <w:bookmarkStart w:id="1063" w:name="_Toc494449750"/>
      <w:bookmarkStart w:id="1064" w:name="_Toc511900332"/>
      <w:r w:rsidRPr="005B0796">
        <w:t>Anger symptoms in different transition population subgroups</w:t>
      </w:r>
      <w:bookmarkEnd w:id="1060"/>
      <w:bookmarkEnd w:id="1061"/>
      <w:bookmarkEnd w:id="1062"/>
      <w:bookmarkEnd w:id="1063"/>
      <w:bookmarkEnd w:id="1064"/>
    </w:p>
    <w:p w:rsidR="006F51CF" w:rsidRPr="005B0796" w:rsidRDefault="006F51CF" w:rsidP="004B5E7A">
      <w:pPr>
        <w:pStyle w:val="Heading4"/>
      </w:pPr>
      <w:r w:rsidRPr="005B0796">
        <w:t>Anger symptoms among Transitioned ADF members</w:t>
      </w:r>
      <w:r w:rsidR="00C01061">
        <w:t>,</w:t>
      </w:r>
      <w:r w:rsidRPr="005B0796">
        <w:t xml:space="preserve"> by transition status</w:t>
      </w:r>
    </w:p>
    <w:p w:rsidR="006F51CF" w:rsidRPr="005B0796" w:rsidRDefault="009E72D3" w:rsidP="004B5E7A">
      <w:r w:rsidRPr="005B0796">
        <w:t>Table 5.18</w:t>
      </w:r>
      <w:r w:rsidR="006F51CF" w:rsidRPr="005B0796">
        <w:t xml:space="preserve"> and Figure 5.18 compare anger symptoms among Ex-Serving, Inactive and Active Reserves members who transitioned from the Regular ADF between 2010 and 2014.</w:t>
      </w:r>
    </w:p>
    <w:p w:rsidR="006F51CF" w:rsidRPr="005B0796" w:rsidRDefault="006F51CF" w:rsidP="004B5E7A">
      <w:r w:rsidRPr="005B0796">
        <w:t>There were significantly higher mean DAR-5 total scores in Ex-Serving ADF members compared to Inactive Reservists (p &lt; 0.001) or Active Reservists (p</w:t>
      </w:r>
      <w:r w:rsidR="00C01061">
        <w:t> </w:t>
      </w:r>
      <w:r w:rsidRPr="005B0796">
        <w:t>&lt;</w:t>
      </w:r>
      <w:r w:rsidR="00C01061">
        <w:t> </w:t>
      </w:r>
      <w:r w:rsidRPr="005B0796">
        <w:t>0.001). There was no significant difference between Transitioned ADF members who were Active Reservists and Inactive Reservists in the mean DAR-5 scores. This same pattern was also reflected in the proportion of each group scoring equal to or above the DAR-5 cut</w:t>
      </w:r>
      <w:r w:rsidR="00C01061">
        <w:noBreakHyphen/>
      </w:r>
      <w:r w:rsidRPr="005B0796">
        <w:t>off of 12, with Ex-Serving Transitioned ADF members being significantly more likely to score equal to or above this cut-off than Transitioned ADF members who remain in the Active Reserves (OR 2.6, 95% CI 2.1, 3.3, p &lt; 0.001) or Inactive Reserves (OR 2.0, 95% CI 1.6, 2.5, p &lt; 0.001).</w:t>
      </w:r>
    </w:p>
    <w:p w:rsidR="004B5E7A" w:rsidRPr="005B0796" w:rsidRDefault="004B5E7A" w:rsidP="004B5E7A">
      <w:pPr>
        <w:pStyle w:val="TableName"/>
      </w:pPr>
      <w:bookmarkStart w:id="1065" w:name="_Ref484523478"/>
      <w:bookmarkStart w:id="1066" w:name="_Toc487014319"/>
      <w:bookmarkStart w:id="1067" w:name="_Toc492995622"/>
      <w:bookmarkStart w:id="1068" w:name="_Toc51190047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18</w:t>
      </w:r>
      <w:r w:rsidR="00D30A3C">
        <w:rPr>
          <w:noProof/>
        </w:rPr>
        <w:fldChar w:fldCharType="end"/>
      </w:r>
      <w:bookmarkEnd w:id="1065"/>
      <w:r w:rsidRPr="005B0796">
        <w:tab/>
        <w:t>Estimated proportions of anger symptoms in Transitioned ADF, by transition status</w:t>
      </w:r>
      <w:bookmarkEnd w:id="1066"/>
      <w:bookmarkEnd w:id="1067"/>
      <w:bookmarkEnd w:id="1068"/>
    </w:p>
    <w:tbl>
      <w:tblPr>
        <w:tblStyle w:val="TWRPTable"/>
        <w:tblW w:w="5001" w:type="pct"/>
        <w:tblLayout w:type="fixed"/>
        <w:tblLook w:val="01E0" w:firstRow="1" w:lastRow="1" w:firstColumn="1" w:lastColumn="1" w:noHBand="0" w:noVBand="0"/>
        <w:tblDescription w:val="Table 5.18 Estimated proportions of anger symptoms in Transitioned ADF, by transition status"/>
      </w:tblPr>
      <w:tblGrid>
        <w:gridCol w:w="1638"/>
        <w:gridCol w:w="540"/>
        <w:gridCol w:w="540"/>
        <w:gridCol w:w="812"/>
        <w:gridCol w:w="538"/>
        <w:gridCol w:w="630"/>
        <w:gridCol w:w="725"/>
        <w:gridCol w:w="535"/>
        <w:gridCol w:w="540"/>
        <w:gridCol w:w="818"/>
      </w:tblGrid>
      <w:tr w:rsidR="006F51CF" w:rsidRPr="005B0796" w:rsidTr="004B5E7A">
        <w:trPr>
          <w:cnfStyle w:val="100000000000" w:firstRow="1" w:lastRow="0" w:firstColumn="0" w:lastColumn="0" w:oddVBand="0" w:evenVBand="0" w:oddHBand="0" w:evenHBand="0" w:firstRowFirstColumn="0" w:firstRowLastColumn="0" w:lastRowFirstColumn="0" w:lastRowLastColumn="0"/>
          <w:tblHeader/>
        </w:trPr>
        <w:tc>
          <w:tcPr>
            <w:tcW w:w="1638" w:type="dxa"/>
            <w:vMerge w:val="restart"/>
          </w:tcPr>
          <w:p w:rsidR="006F51CF" w:rsidRPr="005B0796" w:rsidRDefault="006F51CF" w:rsidP="004B5E7A">
            <w:pPr>
              <w:pStyle w:val="TableText"/>
            </w:pPr>
          </w:p>
        </w:tc>
        <w:tc>
          <w:tcPr>
            <w:tcW w:w="1892" w:type="dxa"/>
            <w:gridSpan w:val="3"/>
          </w:tcPr>
          <w:p w:rsidR="006F51CF" w:rsidRPr="005B0796" w:rsidRDefault="006F51CF" w:rsidP="004B5E7A">
            <w:pPr>
              <w:pStyle w:val="TableText"/>
              <w:jc w:val="center"/>
            </w:pPr>
            <w:r w:rsidRPr="005B0796">
              <w:t>Ex-Serving (n = 11,440)</w:t>
            </w:r>
          </w:p>
        </w:tc>
        <w:tc>
          <w:tcPr>
            <w:tcW w:w="1893" w:type="dxa"/>
            <w:gridSpan w:val="3"/>
          </w:tcPr>
          <w:p w:rsidR="006F51CF" w:rsidRPr="005B0796" w:rsidRDefault="006F51CF" w:rsidP="004B5E7A">
            <w:pPr>
              <w:pStyle w:val="TableText"/>
              <w:jc w:val="center"/>
            </w:pPr>
            <w:r w:rsidRPr="005B0796">
              <w:t>Inactive Reservist (n = 6447)</w:t>
            </w:r>
          </w:p>
        </w:tc>
        <w:tc>
          <w:tcPr>
            <w:tcW w:w="1893" w:type="dxa"/>
            <w:gridSpan w:val="3"/>
          </w:tcPr>
          <w:p w:rsidR="006F51CF" w:rsidRPr="005B0796" w:rsidRDefault="006F51CF" w:rsidP="004B5E7A">
            <w:pPr>
              <w:pStyle w:val="TableText"/>
              <w:jc w:val="center"/>
            </w:pPr>
            <w:r w:rsidRPr="005B0796">
              <w:t>Active Reservist (n = 6968)</w:t>
            </w:r>
          </w:p>
        </w:tc>
      </w:tr>
      <w:tr w:rsidR="004B5E7A" w:rsidRPr="005B0796" w:rsidTr="004B5E7A">
        <w:trPr>
          <w:cnfStyle w:val="100000000000" w:firstRow="1" w:lastRow="0" w:firstColumn="0" w:lastColumn="0" w:oddVBand="0" w:evenVBand="0" w:oddHBand="0" w:evenHBand="0" w:firstRowFirstColumn="0" w:firstRowLastColumn="0" w:lastRowFirstColumn="0" w:lastRowLastColumn="0"/>
          <w:tblHeader/>
        </w:trPr>
        <w:tc>
          <w:tcPr>
            <w:tcW w:w="1638" w:type="dxa"/>
            <w:vMerge/>
            <w:hideMark/>
          </w:tcPr>
          <w:p w:rsidR="006F51CF" w:rsidRPr="005B0796" w:rsidRDefault="006F51CF" w:rsidP="004B5E7A">
            <w:pPr>
              <w:pStyle w:val="TableText"/>
            </w:pPr>
          </w:p>
        </w:tc>
        <w:tc>
          <w:tcPr>
            <w:tcW w:w="540" w:type="dxa"/>
            <w:hideMark/>
          </w:tcPr>
          <w:p w:rsidR="006F51CF" w:rsidRPr="005B0796" w:rsidRDefault="006F51CF" w:rsidP="004B5E7A">
            <w:pPr>
              <w:pStyle w:val="TableText"/>
              <w:jc w:val="right"/>
            </w:pPr>
            <w:r w:rsidRPr="005B0796">
              <w:t>Mean</w:t>
            </w:r>
          </w:p>
        </w:tc>
        <w:tc>
          <w:tcPr>
            <w:tcW w:w="540" w:type="dxa"/>
            <w:hideMark/>
          </w:tcPr>
          <w:p w:rsidR="006F51CF" w:rsidRPr="005B0796" w:rsidRDefault="006F51CF" w:rsidP="004B5E7A">
            <w:pPr>
              <w:pStyle w:val="TableText"/>
              <w:jc w:val="right"/>
            </w:pPr>
            <w:r w:rsidRPr="005B0796">
              <w:t>SE</w:t>
            </w:r>
          </w:p>
        </w:tc>
        <w:tc>
          <w:tcPr>
            <w:tcW w:w="812" w:type="dxa"/>
            <w:hideMark/>
          </w:tcPr>
          <w:p w:rsidR="006F51CF" w:rsidRPr="005B0796" w:rsidRDefault="006F51CF" w:rsidP="004B5E7A">
            <w:pPr>
              <w:pStyle w:val="TableText"/>
              <w:jc w:val="right"/>
            </w:pPr>
            <w:r w:rsidRPr="005B0796">
              <w:t xml:space="preserve"> 95% CI</w:t>
            </w:r>
          </w:p>
        </w:tc>
        <w:tc>
          <w:tcPr>
            <w:tcW w:w="538" w:type="dxa"/>
            <w:hideMark/>
          </w:tcPr>
          <w:p w:rsidR="006F51CF" w:rsidRPr="005B0796" w:rsidRDefault="006F51CF" w:rsidP="004B5E7A">
            <w:pPr>
              <w:pStyle w:val="TableText"/>
              <w:jc w:val="right"/>
            </w:pPr>
            <w:r w:rsidRPr="005B0796">
              <w:t>Mean</w:t>
            </w:r>
          </w:p>
        </w:tc>
        <w:tc>
          <w:tcPr>
            <w:tcW w:w="630" w:type="dxa"/>
            <w:hideMark/>
          </w:tcPr>
          <w:p w:rsidR="006F51CF" w:rsidRPr="005B0796" w:rsidRDefault="006F51CF" w:rsidP="004B5E7A">
            <w:pPr>
              <w:pStyle w:val="TableText"/>
              <w:jc w:val="right"/>
            </w:pPr>
            <w:r w:rsidRPr="005B0796">
              <w:t>SE</w:t>
            </w:r>
          </w:p>
        </w:tc>
        <w:tc>
          <w:tcPr>
            <w:tcW w:w="725" w:type="dxa"/>
            <w:hideMark/>
          </w:tcPr>
          <w:p w:rsidR="006F51CF" w:rsidRPr="005B0796" w:rsidRDefault="006F51CF" w:rsidP="004B5E7A">
            <w:pPr>
              <w:pStyle w:val="TableText"/>
              <w:jc w:val="right"/>
            </w:pPr>
            <w:r w:rsidRPr="005B0796">
              <w:t xml:space="preserve"> 95% CI</w:t>
            </w:r>
          </w:p>
        </w:tc>
        <w:tc>
          <w:tcPr>
            <w:tcW w:w="535" w:type="dxa"/>
            <w:hideMark/>
          </w:tcPr>
          <w:p w:rsidR="006F51CF" w:rsidRPr="005B0796" w:rsidRDefault="006F51CF" w:rsidP="004B5E7A">
            <w:pPr>
              <w:pStyle w:val="TableText"/>
              <w:jc w:val="right"/>
            </w:pPr>
            <w:r w:rsidRPr="005B0796">
              <w:t>Mean</w:t>
            </w:r>
          </w:p>
        </w:tc>
        <w:tc>
          <w:tcPr>
            <w:tcW w:w="540" w:type="dxa"/>
            <w:hideMark/>
          </w:tcPr>
          <w:p w:rsidR="006F51CF" w:rsidRPr="005B0796" w:rsidRDefault="006F51CF" w:rsidP="004B5E7A">
            <w:pPr>
              <w:pStyle w:val="TableText"/>
              <w:jc w:val="right"/>
            </w:pPr>
            <w:r w:rsidRPr="005B0796">
              <w:t>SE</w:t>
            </w:r>
          </w:p>
        </w:tc>
        <w:tc>
          <w:tcPr>
            <w:tcW w:w="818" w:type="dxa"/>
            <w:hideMark/>
          </w:tcPr>
          <w:p w:rsidR="006F51CF" w:rsidRPr="005B0796" w:rsidRDefault="006F51CF" w:rsidP="004B5E7A">
            <w:pPr>
              <w:pStyle w:val="TableText"/>
              <w:jc w:val="right"/>
            </w:pPr>
            <w:r w:rsidRPr="005B0796">
              <w:t xml:space="preserve"> 95% CI</w:t>
            </w:r>
          </w:p>
        </w:tc>
      </w:tr>
      <w:tr w:rsidR="004B5E7A" w:rsidRPr="005B0796" w:rsidTr="004B5E7A">
        <w:trPr>
          <w:cnfStyle w:val="000000100000" w:firstRow="0" w:lastRow="0" w:firstColumn="0" w:lastColumn="0" w:oddVBand="0" w:evenVBand="0" w:oddHBand="1" w:evenHBand="0" w:firstRowFirstColumn="0" w:firstRowLastColumn="0" w:lastRowFirstColumn="0" w:lastRowLastColumn="0"/>
        </w:trPr>
        <w:tc>
          <w:tcPr>
            <w:tcW w:w="1638" w:type="dxa"/>
            <w:hideMark/>
          </w:tcPr>
          <w:p w:rsidR="006F51CF" w:rsidRPr="005B0796" w:rsidRDefault="006F51CF" w:rsidP="004B5E7A">
            <w:pPr>
              <w:pStyle w:val="TableText"/>
              <w:rPr>
                <w:lang w:eastAsia="en-AU"/>
              </w:rPr>
            </w:pPr>
            <w:r w:rsidRPr="005B0796">
              <w:rPr>
                <w:lang w:eastAsia="en-AU"/>
              </w:rPr>
              <w:t>Anger frequency</w:t>
            </w:r>
          </w:p>
        </w:tc>
        <w:tc>
          <w:tcPr>
            <w:tcW w:w="540" w:type="dxa"/>
            <w:hideMark/>
          </w:tcPr>
          <w:p w:rsidR="006F51CF" w:rsidRPr="005B0796" w:rsidRDefault="006F51CF" w:rsidP="004B5E7A">
            <w:pPr>
              <w:pStyle w:val="TableText"/>
              <w:jc w:val="right"/>
              <w:rPr>
                <w:lang w:eastAsia="en-AU"/>
              </w:rPr>
            </w:pPr>
            <w:r w:rsidRPr="005B0796">
              <w:rPr>
                <w:lang w:eastAsia="en-AU"/>
              </w:rPr>
              <w:t>2.7</w:t>
            </w:r>
          </w:p>
        </w:tc>
        <w:tc>
          <w:tcPr>
            <w:tcW w:w="540" w:type="dxa"/>
            <w:hideMark/>
          </w:tcPr>
          <w:p w:rsidR="006F51CF" w:rsidRPr="005B0796" w:rsidRDefault="006F51CF" w:rsidP="004B5E7A">
            <w:pPr>
              <w:pStyle w:val="TableText"/>
              <w:jc w:val="right"/>
              <w:rPr>
                <w:lang w:eastAsia="en-AU"/>
              </w:rPr>
            </w:pPr>
            <w:r w:rsidRPr="005B0796">
              <w:rPr>
                <w:lang w:eastAsia="en-AU"/>
              </w:rPr>
              <w:t>0.04</w:t>
            </w:r>
          </w:p>
        </w:tc>
        <w:tc>
          <w:tcPr>
            <w:tcW w:w="812" w:type="dxa"/>
            <w:hideMark/>
          </w:tcPr>
          <w:p w:rsidR="006F51CF" w:rsidRPr="005B0796" w:rsidRDefault="006F51CF" w:rsidP="004B5E7A">
            <w:pPr>
              <w:pStyle w:val="TableText"/>
              <w:jc w:val="right"/>
              <w:rPr>
                <w:lang w:eastAsia="en-AU"/>
              </w:rPr>
            </w:pPr>
            <w:r w:rsidRPr="005B0796">
              <w:rPr>
                <w:lang w:eastAsia="en-AU"/>
              </w:rPr>
              <w:t>2.6, 2.8</w:t>
            </w:r>
          </w:p>
        </w:tc>
        <w:tc>
          <w:tcPr>
            <w:tcW w:w="538" w:type="dxa"/>
            <w:hideMark/>
          </w:tcPr>
          <w:p w:rsidR="006F51CF" w:rsidRPr="005B0796" w:rsidRDefault="006F51CF" w:rsidP="004B5E7A">
            <w:pPr>
              <w:pStyle w:val="TableText"/>
              <w:jc w:val="right"/>
              <w:rPr>
                <w:lang w:eastAsia="en-AU"/>
              </w:rPr>
            </w:pPr>
            <w:r w:rsidRPr="005B0796">
              <w:rPr>
                <w:lang w:eastAsia="en-AU"/>
              </w:rPr>
              <w:t>2.4</w:t>
            </w:r>
          </w:p>
        </w:tc>
        <w:tc>
          <w:tcPr>
            <w:tcW w:w="630" w:type="dxa"/>
            <w:hideMark/>
          </w:tcPr>
          <w:p w:rsidR="006F51CF" w:rsidRPr="005B0796" w:rsidRDefault="006F51CF" w:rsidP="004B5E7A">
            <w:pPr>
              <w:pStyle w:val="TableText"/>
              <w:jc w:val="right"/>
              <w:rPr>
                <w:lang w:eastAsia="en-AU"/>
              </w:rPr>
            </w:pPr>
            <w:r w:rsidRPr="005B0796">
              <w:rPr>
                <w:lang w:eastAsia="en-AU"/>
              </w:rPr>
              <w:t>0.04</w:t>
            </w:r>
          </w:p>
        </w:tc>
        <w:tc>
          <w:tcPr>
            <w:tcW w:w="725" w:type="dxa"/>
            <w:hideMark/>
          </w:tcPr>
          <w:p w:rsidR="006F51CF" w:rsidRPr="005B0796" w:rsidRDefault="006F51CF" w:rsidP="004B5E7A">
            <w:pPr>
              <w:pStyle w:val="TableText"/>
              <w:jc w:val="right"/>
              <w:rPr>
                <w:lang w:eastAsia="en-AU"/>
              </w:rPr>
            </w:pPr>
            <w:r w:rsidRPr="005B0796">
              <w:rPr>
                <w:lang w:eastAsia="en-AU"/>
              </w:rPr>
              <w:t>2.3, 2.4</w:t>
            </w:r>
          </w:p>
        </w:tc>
        <w:tc>
          <w:tcPr>
            <w:tcW w:w="535" w:type="dxa"/>
            <w:hideMark/>
          </w:tcPr>
          <w:p w:rsidR="006F51CF" w:rsidRPr="005B0796" w:rsidRDefault="006F51CF" w:rsidP="004B5E7A">
            <w:pPr>
              <w:pStyle w:val="TableText"/>
              <w:jc w:val="right"/>
              <w:rPr>
                <w:lang w:eastAsia="en-AU"/>
              </w:rPr>
            </w:pPr>
            <w:r w:rsidRPr="005B0796">
              <w:rPr>
                <w:lang w:eastAsia="en-AU"/>
              </w:rPr>
              <w:t>2.1</w:t>
            </w:r>
          </w:p>
        </w:tc>
        <w:tc>
          <w:tcPr>
            <w:tcW w:w="540" w:type="dxa"/>
            <w:hideMark/>
          </w:tcPr>
          <w:p w:rsidR="006F51CF" w:rsidRPr="005B0796" w:rsidRDefault="006F51CF" w:rsidP="004B5E7A">
            <w:pPr>
              <w:pStyle w:val="TableText"/>
              <w:jc w:val="right"/>
              <w:rPr>
                <w:lang w:eastAsia="en-AU"/>
              </w:rPr>
            </w:pPr>
            <w:r w:rsidRPr="005B0796">
              <w:rPr>
                <w:lang w:eastAsia="en-AU"/>
              </w:rPr>
              <w:t>0.03</w:t>
            </w:r>
          </w:p>
        </w:tc>
        <w:tc>
          <w:tcPr>
            <w:tcW w:w="818" w:type="dxa"/>
            <w:hideMark/>
          </w:tcPr>
          <w:p w:rsidR="006F51CF" w:rsidRPr="005B0796" w:rsidRDefault="006F51CF" w:rsidP="004B5E7A">
            <w:pPr>
              <w:pStyle w:val="TableText"/>
              <w:jc w:val="right"/>
              <w:rPr>
                <w:lang w:eastAsia="en-AU"/>
              </w:rPr>
            </w:pPr>
            <w:r w:rsidRPr="005B0796">
              <w:rPr>
                <w:lang w:eastAsia="en-AU"/>
              </w:rPr>
              <w:t>2.0, 2.1</w:t>
            </w:r>
          </w:p>
        </w:tc>
      </w:tr>
      <w:tr w:rsidR="004B5E7A" w:rsidRPr="005B0796" w:rsidTr="004B5E7A">
        <w:tc>
          <w:tcPr>
            <w:tcW w:w="1638" w:type="dxa"/>
            <w:hideMark/>
          </w:tcPr>
          <w:p w:rsidR="006F51CF" w:rsidRPr="005B0796" w:rsidRDefault="006F51CF" w:rsidP="004B5E7A">
            <w:pPr>
              <w:pStyle w:val="TableText"/>
              <w:rPr>
                <w:rFonts w:eastAsia="GillSans"/>
                <w:lang w:eastAsia="en-AU"/>
              </w:rPr>
            </w:pPr>
            <w:r w:rsidRPr="005B0796">
              <w:rPr>
                <w:lang w:eastAsia="en-AU"/>
              </w:rPr>
              <w:t>Anger intensity</w:t>
            </w:r>
          </w:p>
        </w:tc>
        <w:tc>
          <w:tcPr>
            <w:tcW w:w="540" w:type="dxa"/>
            <w:hideMark/>
          </w:tcPr>
          <w:p w:rsidR="006F51CF" w:rsidRPr="005B0796" w:rsidRDefault="006F51CF" w:rsidP="004B5E7A">
            <w:pPr>
              <w:pStyle w:val="TableText"/>
              <w:jc w:val="right"/>
              <w:rPr>
                <w:lang w:eastAsia="en-AU"/>
              </w:rPr>
            </w:pPr>
            <w:r w:rsidRPr="005B0796">
              <w:rPr>
                <w:lang w:eastAsia="en-AU"/>
              </w:rPr>
              <w:t>2.3</w:t>
            </w:r>
          </w:p>
        </w:tc>
        <w:tc>
          <w:tcPr>
            <w:tcW w:w="540" w:type="dxa"/>
            <w:hideMark/>
          </w:tcPr>
          <w:p w:rsidR="006F51CF" w:rsidRPr="005B0796" w:rsidRDefault="006F51CF" w:rsidP="004B5E7A">
            <w:pPr>
              <w:pStyle w:val="TableText"/>
              <w:jc w:val="right"/>
              <w:rPr>
                <w:lang w:eastAsia="en-AU"/>
              </w:rPr>
            </w:pPr>
            <w:r w:rsidRPr="005B0796">
              <w:rPr>
                <w:lang w:eastAsia="en-AU"/>
              </w:rPr>
              <w:t>0.04</w:t>
            </w:r>
          </w:p>
        </w:tc>
        <w:tc>
          <w:tcPr>
            <w:tcW w:w="812" w:type="dxa"/>
            <w:hideMark/>
          </w:tcPr>
          <w:p w:rsidR="006F51CF" w:rsidRPr="005B0796" w:rsidRDefault="006F51CF" w:rsidP="004B5E7A">
            <w:pPr>
              <w:pStyle w:val="TableText"/>
              <w:jc w:val="right"/>
              <w:rPr>
                <w:lang w:eastAsia="en-AU"/>
              </w:rPr>
            </w:pPr>
            <w:r w:rsidRPr="005B0796">
              <w:rPr>
                <w:lang w:eastAsia="en-AU"/>
              </w:rPr>
              <w:t>2.2, 2.4</w:t>
            </w:r>
          </w:p>
        </w:tc>
        <w:tc>
          <w:tcPr>
            <w:tcW w:w="538" w:type="dxa"/>
            <w:hideMark/>
          </w:tcPr>
          <w:p w:rsidR="006F51CF" w:rsidRPr="005B0796" w:rsidRDefault="006F51CF" w:rsidP="004B5E7A">
            <w:pPr>
              <w:pStyle w:val="TableText"/>
              <w:jc w:val="right"/>
              <w:rPr>
                <w:lang w:eastAsia="en-AU"/>
              </w:rPr>
            </w:pPr>
            <w:r w:rsidRPr="005B0796">
              <w:rPr>
                <w:lang w:eastAsia="en-AU"/>
              </w:rPr>
              <w:t>1.9</w:t>
            </w:r>
          </w:p>
        </w:tc>
        <w:tc>
          <w:tcPr>
            <w:tcW w:w="630" w:type="dxa"/>
            <w:hideMark/>
          </w:tcPr>
          <w:p w:rsidR="006F51CF" w:rsidRPr="005B0796" w:rsidRDefault="006F51CF" w:rsidP="004B5E7A">
            <w:pPr>
              <w:pStyle w:val="TableText"/>
              <w:jc w:val="right"/>
              <w:rPr>
                <w:lang w:eastAsia="en-AU"/>
              </w:rPr>
            </w:pPr>
            <w:r w:rsidRPr="005B0796">
              <w:rPr>
                <w:lang w:eastAsia="en-AU"/>
              </w:rPr>
              <w:t>0.04</w:t>
            </w:r>
          </w:p>
        </w:tc>
        <w:tc>
          <w:tcPr>
            <w:tcW w:w="725" w:type="dxa"/>
            <w:hideMark/>
          </w:tcPr>
          <w:p w:rsidR="006F51CF" w:rsidRPr="005B0796" w:rsidRDefault="006F51CF" w:rsidP="004B5E7A">
            <w:pPr>
              <w:pStyle w:val="TableText"/>
              <w:jc w:val="right"/>
              <w:rPr>
                <w:lang w:eastAsia="en-AU"/>
              </w:rPr>
            </w:pPr>
            <w:r w:rsidRPr="005B0796">
              <w:rPr>
                <w:lang w:eastAsia="en-AU"/>
              </w:rPr>
              <w:t>1.8, 1.9</w:t>
            </w:r>
          </w:p>
        </w:tc>
        <w:tc>
          <w:tcPr>
            <w:tcW w:w="535" w:type="dxa"/>
            <w:hideMark/>
          </w:tcPr>
          <w:p w:rsidR="006F51CF" w:rsidRPr="005B0796" w:rsidRDefault="006F51CF" w:rsidP="004B5E7A">
            <w:pPr>
              <w:pStyle w:val="TableText"/>
              <w:jc w:val="right"/>
              <w:rPr>
                <w:lang w:eastAsia="en-AU"/>
              </w:rPr>
            </w:pPr>
            <w:r w:rsidRPr="005B0796">
              <w:rPr>
                <w:lang w:eastAsia="en-AU"/>
              </w:rPr>
              <w:t>1.7</w:t>
            </w:r>
          </w:p>
        </w:tc>
        <w:tc>
          <w:tcPr>
            <w:tcW w:w="540" w:type="dxa"/>
            <w:hideMark/>
          </w:tcPr>
          <w:p w:rsidR="006F51CF" w:rsidRPr="005B0796" w:rsidRDefault="006F51CF" w:rsidP="004B5E7A">
            <w:pPr>
              <w:pStyle w:val="TableText"/>
              <w:jc w:val="right"/>
              <w:rPr>
                <w:lang w:eastAsia="en-AU"/>
              </w:rPr>
            </w:pPr>
            <w:r w:rsidRPr="005B0796">
              <w:rPr>
                <w:lang w:eastAsia="en-AU"/>
              </w:rPr>
              <w:t>0.03</w:t>
            </w:r>
          </w:p>
        </w:tc>
        <w:tc>
          <w:tcPr>
            <w:tcW w:w="818" w:type="dxa"/>
            <w:hideMark/>
          </w:tcPr>
          <w:p w:rsidR="006F51CF" w:rsidRPr="005B0796" w:rsidRDefault="006F51CF" w:rsidP="004B5E7A">
            <w:pPr>
              <w:pStyle w:val="TableText"/>
              <w:jc w:val="right"/>
              <w:rPr>
                <w:lang w:eastAsia="en-AU"/>
              </w:rPr>
            </w:pPr>
            <w:r w:rsidRPr="005B0796">
              <w:rPr>
                <w:lang w:eastAsia="en-AU"/>
              </w:rPr>
              <w:t>1.6, 1.8</w:t>
            </w:r>
          </w:p>
        </w:tc>
      </w:tr>
      <w:tr w:rsidR="004B5E7A" w:rsidRPr="005B0796" w:rsidTr="004B5E7A">
        <w:trPr>
          <w:cnfStyle w:val="000000100000" w:firstRow="0" w:lastRow="0" w:firstColumn="0" w:lastColumn="0" w:oddVBand="0" w:evenVBand="0" w:oddHBand="1" w:evenHBand="0" w:firstRowFirstColumn="0" w:firstRowLastColumn="0" w:lastRowFirstColumn="0" w:lastRowLastColumn="0"/>
        </w:trPr>
        <w:tc>
          <w:tcPr>
            <w:tcW w:w="1638" w:type="dxa"/>
            <w:hideMark/>
          </w:tcPr>
          <w:p w:rsidR="006F51CF" w:rsidRPr="005B0796" w:rsidRDefault="006F51CF" w:rsidP="004B5E7A">
            <w:pPr>
              <w:pStyle w:val="TableText"/>
              <w:rPr>
                <w:rFonts w:eastAsia="GillSans"/>
                <w:lang w:eastAsia="en-AU"/>
              </w:rPr>
            </w:pPr>
            <w:r w:rsidRPr="005B0796">
              <w:rPr>
                <w:lang w:eastAsia="en-AU"/>
              </w:rPr>
              <w:t>Anger duration</w:t>
            </w:r>
          </w:p>
        </w:tc>
        <w:tc>
          <w:tcPr>
            <w:tcW w:w="540" w:type="dxa"/>
            <w:hideMark/>
          </w:tcPr>
          <w:p w:rsidR="006F51CF" w:rsidRPr="005B0796" w:rsidRDefault="006F51CF" w:rsidP="004B5E7A">
            <w:pPr>
              <w:pStyle w:val="TableText"/>
              <w:jc w:val="right"/>
              <w:rPr>
                <w:lang w:eastAsia="en-AU"/>
              </w:rPr>
            </w:pPr>
            <w:r w:rsidRPr="005B0796">
              <w:rPr>
                <w:lang w:eastAsia="en-AU"/>
              </w:rPr>
              <w:t>2.2</w:t>
            </w:r>
          </w:p>
        </w:tc>
        <w:tc>
          <w:tcPr>
            <w:tcW w:w="540" w:type="dxa"/>
            <w:hideMark/>
          </w:tcPr>
          <w:p w:rsidR="006F51CF" w:rsidRPr="005B0796" w:rsidRDefault="006F51CF" w:rsidP="004B5E7A">
            <w:pPr>
              <w:pStyle w:val="TableText"/>
              <w:jc w:val="right"/>
              <w:rPr>
                <w:lang w:eastAsia="en-AU"/>
              </w:rPr>
            </w:pPr>
            <w:r w:rsidRPr="005B0796">
              <w:rPr>
                <w:lang w:eastAsia="en-AU"/>
              </w:rPr>
              <w:t>0.04</w:t>
            </w:r>
          </w:p>
        </w:tc>
        <w:tc>
          <w:tcPr>
            <w:tcW w:w="812" w:type="dxa"/>
            <w:hideMark/>
          </w:tcPr>
          <w:p w:rsidR="006F51CF" w:rsidRPr="005B0796" w:rsidRDefault="006F51CF" w:rsidP="004B5E7A">
            <w:pPr>
              <w:pStyle w:val="TableText"/>
              <w:jc w:val="right"/>
              <w:rPr>
                <w:lang w:eastAsia="en-AU"/>
              </w:rPr>
            </w:pPr>
            <w:r w:rsidRPr="005B0796">
              <w:rPr>
                <w:lang w:eastAsia="en-AU"/>
              </w:rPr>
              <w:t>2.1, 2.3</w:t>
            </w:r>
          </w:p>
        </w:tc>
        <w:tc>
          <w:tcPr>
            <w:tcW w:w="538" w:type="dxa"/>
            <w:hideMark/>
          </w:tcPr>
          <w:p w:rsidR="006F51CF" w:rsidRPr="005B0796" w:rsidRDefault="006F51CF" w:rsidP="004B5E7A">
            <w:pPr>
              <w:pStyle w:val="TableText"/>
              <w:jc w:val="right"/>
              <w:rPr>
                <w:lang w:eastAsia="en-AU"/>
              </w:rPr>
            </w:pPr>
            <w:r w:rsidRPr="005B0796">
              <w:rPr>
                <w:lang w:eastAsia="en-AU"/>
              </w:rPr>
              <w:t>1.8</w:t>
            </w:r>
          </w:p>
        </w:tc>
        <w:tc>
          <w:tcPr>
            <w:tcW w:w="630" w:type="dxa"/>
            <w:hideMark/>
          </w:tcPr>
          <w:p w:rsidR="006F51CF" w:rsidRPr="005B0796" w:rsidRDefault="006F51CF" w:rsidP="004B5E7A">
            <w:pPr>
              <w:pStyle w:val="TableText"/>
              <w:jc w:val="right"/>
              <w:rPr>
                <w:lang w:eastAsia="en-AU"/>
              </w:rPr>
            </w:pPr>
            <w:r w:rsidRPr="005B0796">
              <w:rPr>
                <w:lang w:eastAsia="en-AU"/>
              </w:rPr>
              <w:t>0.04</w:t>
            </w:r>
          </w:p>
        </w:tc>
        <w:tc>
          <w:tcPr>
            <w:tcW w:w="725" w:type="dxa"/>
            <w:hideMark/>
          </w:tcPr>
          <w:p w:rsidR="006F51CF" w:rsidRPr="005B0796" w:rsidRDefault="006F51CF" w:rsidP="004B5E7A">
            <w:pPr>
              <w:pStyle w:val="TableText"/>
              <w:jc w:val="right"/>
              <w:rPr>
                <w:lang w:eastAsia="en-AU"/>
              </w:rPr>
            </w:pPr>
            <w:r w:rsidRPr="005B0796">
              <w:rPr>
                <w:lang w:eastAsia="en-AU"/>
              </w:rPr>
              <w:t>1.7, 1.8</w:t>
            </w:r>
          </w:p>
        </w:tc>
        <w:tc>
          <w:tcPr>
            <w:tcW w:w="535" w:type="dxa"/>
            <w:hideMark/>
          </w:tcPr>
          <w:p w:rsidR="006F51CF" w:rsidRPr="005B0796" w:rsidRDefault="006F51CF" w:rsidP="004B5E7A">
            <w:pPr>
              <w:pStyle w:val="TableText"/>
              <w:jc w:val="right"/>
              <w:rPr>
                <w:lang w:eastAsia="en-AU"/>
              </w:rPr>
            </w:pPr>
            <w:r w:rsidRPr="005B0796">
              <w:rPr>
                <w:lang w:eastAsia="en-AU"/>
              </w:rPr>
              <w:t>1.6</w:t>
            </w:r>
          </w:p>
        </w:tc>
        <w:tc>
          <w:tcPr>
            <w:tcW w:w="540" w:type="dxa"/>
            <w:hideMark/>
          </w:tcPr>
          <w:p w:rsidR="006F51CF" w:rsidRPr="005B0796" w:rsidRDefault="006F51CF" w:rsidP="004B5E7A">
            <w:pPr>
              <w:pStyle w:val="TableText"/>
              <w:jc w:val="right"/>
              <w:rPr>
                <w:lang w:eastAsia="en-AU"/>
              </w:rPr>
            </w:pPr>
            <w:r w:rsidRPr="005B0796">
              <w:rPr>
                <w:lang w:eastAsia="en-AU"/>
              </w:rPr>
              <w:t>0.03</w:t>
            </w:r>
          </w:p>
        </w:tc>
        <w:tc>
          <w:tcPr>
            <w:tcW w:w="818" w:type="dxa"/>
            <w:hideMark/>
          </w:tcPr>
          <w:p w:rsidR="006F51CF" w:rsidRPr="005B0796" w:rsidRDefault="006F51CF" w:rsidP="004B5E7A">
            <w:pPr>
              <w:pStyle w:val="TableText"/>
              <w:jc w:val="right"/>
              <w:rPr>
                <w:lang w:eastAsia="en-AU"/>
              </w:rPr>
            </w:pPr>
            <w:r w:rsidRPr="005B0796">
              <w:rPr>
                <w:lang w:eastAsia="en-AU"/>
              </w:rPr>
              <w:t>1.5, 1.6</w:t>
            </w:r>
          </w:p>
        </w:tc>
      </w:tr>
      <w:tr w:rsidR="004B5E7A" w:rsidRPr="005B0796" w:rsidTr="004B5E7A">
        <w:tc>
          <w:tcPr>
            <w:tcW w:w="1638" w:type="dxa"/>
            <w:hideMark/>
          </w:tcPr>
          <w:p w:rsidR="006F51CF" w:rsidRPr="005B0796" w:rsidRDefault="006F51CF" w:rsidP="004B5E7A">
            <w:pPr>
              <w:pStyle w:val="TableText"/>
              <w:rPr>
                <w:lang w:eastAsia="en-AU"/>
              </w:rPr>
            </w:pPr>
            <w:r w:rsidRPr="005B0796">
              <w:rPr>
                <w:lang w:eastAsia="en-AU"/>
              </w:rPr>
              <w:t>Antagonism towards others</w:t>
            </w:r>
          </w:p>
        </w:tc>
        <w:tc>
          <w:tcPr>
            <w:tcW w:w="540" w:type="dxa"/>
            <w:hideMark/>
          </w:tcPr>
          <w:p w:rsidR="006F51CF" w:rsidRPr="005B0796" w:rsidRDefault="006F51CF" w:rsidP="004B5E7A">
            <w:pPr>
              <w:pStyle w:val="TableText"/>
              <w:jc w:val="right"/>
              <w:rPr>
                <w:lang w:eastAsia="en-AU"/>
              </w:rPr>
            </w:pPr>
            <w:r w:rsidRPr="005B0796">
              <w:rPr>
                <w:lang w:eastAsia="en-AU"/>
              </w:rPr>
              <w:t>1.9</w:t>
            </w:r>
          </w:p>
        </w:tc>
        <w:tc>
          <w:tcPr>
            <w:tcW w:w="540" w:type="dxa"/>
            <w:hideMark/>
          </w:tcPr>
          <w:p w:rsidR="006F51CF" w:rsidRPr="005B0796" w:rsidRDefault="006F51CF" w:rsidP="004B5E7A">
            <w:pPr>
              <w:pStyle w:val="TableText"/>
              <w:jc w:val="right"/>
              <w:rPr>
                <w:lang w:eastAsia="en-AU"/>
              </w:rPr>
            </w:pPr>
            <w:r w:rsidRPr="005B0796">
              <w:rPr>
                <w:lang w:eastAsia="en-AU"/>
              </w:rPr>
              <w:t>0.04</w:t>
            </w:r>
          </w:p>
        </w:tc>
        <w:tc>
          <w:tcPr>
            <w:tcW w:w="812" w:type="dxa"/>
            <w:hideMark/>
          </w:tcPr>
          <w:p w:rsidR="006F51CF" w:rsidRPr="005B0796" w:rsidRDefault="006F51CF" w:rsidP="004B5E7A">
            <w:pPr>
              <w:pStyle w:val="TableText"/>
              <w:jc w:val="right"/>
              <w:rPr>
                <w:lang w:eastAsia="en-AU"/>
              </w:rPr>
            </w:pPr>
            <w:r w:rsidRPr="005B0796">
              <w:rPr>
                <w:lang w:eastAsia="en-AU"/>
              </w:rPr>
              <w:t>1.9, 2.0</w:t>
            </w:r>
          </w:p>
        </w:tc>
        <w:tc>
          <w:tcPr>
            <w:tcW w:w="538" w:type="dxa"/>
            <w:hideMark/>
          </w:tcPr>
          <w:p w:rsidR="006F51CF" w:rsidRPr="005B0796" w:rsidRDefault="006F51CF" w:rsidP="004B5E7A">
            <w:pPr>
              <w:pStyle w:val="TableText"/>
              <w:jc w:val="right"/>
              <w:rPr>
                <w:lang w:eastAsia="en-AU"/>
              </w:rPr>
            </w:pPr>
            <w:r w:rsidRPr="005B0796">
              <w:rPr>
                <w:lang w:eastAsia="en-AU"/>
              </w:rPr>
              <w:t>1.6</w:t>
            </w:r>
          </w:p>
        </w:tc>
        <w:tc>
          <w:tcPr>
            <w:tcW w:w="630" w:type="dxa"/>
            <w:hideMark/>
          </w:tcPr>
          <w:p w:rsidR="006F51CF" w:rsidRPr="005B0796" w:rsidRDefault="006F51CF" w:rsidP="004B5E7A">
            <w:pPr>
              <w:pStyle w:val="TableText"/>
              <w:jc w:val="right"/>
              <w:rPr>
                <w:lang w:eastAsia="en-AU"/>
              </w:rPr>
            </w:pPr>
            <w:r w:rsidRPr="005B0796">
              <w:rPr>
                <w:lang w:eastAsia="en-AU"/>
              </w:rPr>
              <w:t>0.04</w:t>
            </w:r>
          </w:p>
        </w:tc>
        <w:tc>
          <w:tcPr>
            <w:tcW w:w="725" w:type="dxa"/>
            <w:hideMark/>
          </w:tcPr>
          <w:p w:rsidR="006F51CF" w:rsidRPr="005B0796" w:rsidRDefault="006F51CF" w:rsidP="004B5E7A">
            <w:pPr>
              <w:pStyle w:val="TableText"/>
              <w:jc w:val="right"/>
              <w:rPr>
                <w:lang w:eastAsia="en-AU"/>
              </w:rPr>
            </w:pPr>
            <w:r w:rsidRPr="005B0796">
              <w:rPr>
                <w:lang w:eastAsia="en-AU"/>
              </w:rPr>
              <w:t>1.5, 1.7</w:t>
            </w:r>
          </w:p>
        </w:tc>
        <w:tc>
          <w:tcPr>
            <w:tcW w:w="535" w:type="dxa"/>
            <w:hideMark/>
          </w:tcPr>
          <w:p w:rsidR="006F51CF" w:rsidRPr="005B0796" w:rsidRDefault="006F51CF" w:rsidP="004B5E7A">
            <w:pPr>
              <w:pStyle w:val="TableText"/>
              <w:jc w:val="right"/>
              <w:rPr>
                <w:lang w:eastAsia="en-AU"/>
              </w:rPr>
            </w:pPr>
            <w:r w:rsidRPr="005B0796">
              <w:rPr>
                <w:lang w:eastAsia="en-AU"/>
              </w:rPr>
              <w:t>1.4</w:t>
            </w:r>
          </w:p>
        </w:tc>
        <w:tc>
          <w:tcPr>
            <w:tcW w:w="540" w:type="dxa"/>
            <w:hideMark/>
          </w:tcPr>
          <w:p w:rsidR="006F51CF" w:rsidRPr="005B0796" w:rsidRDefault="006F51CF" w:rsidP="004B5E7A">
            <w:pPr>
              <w:pStyle w:val="TableText"/>
              <w:jc w:val="right"/>
              <w:rPr>
                <w:lang w:eastAsia="en-AU"/>
              </w:rPr>
            </w:pPr>
            <w:r w:rsidRPr="005B0796">
              <w:rPr>
                <w:lang w:eastAsia="en-AU"/>
              </w:rPr>
              <w:t>0.03</w:t>
            </w:r>
          </w:p>
        </w:tc>
        <w:tc>
          <w:tcPr>
            <w:tcW w:w="818" w:type="dxa"/>
            <w:hideMark/>
          </w:tcPr>
          <w:p w:rsidR="006F51CF" w:rsidRPr="005B0796" w:rsidRDefault="006F51CF" w:rsidP="004B5E7A">
            <w:pPr>
              <w:pStyle w:val="TableText"/>
              <w:jc w:val="right"/>
              <w:rPr>
                <w:lang w:eastAsia="en-AU"/>
              </w:rPr>
            </w:pPr>
            <w:r w:rsidRPr="005B0796">
              <w:rPr>
                <w:lang w:eastAsia="en-AU"/>
              </w:rPr>
              <w:t>1.3, 1.4</w:t>
            </w:r>
          </w:p>
        </w:tc>
      </w:tr>
      <w:tr w:rsidR="004B5E7A" w:rsidRPr="005B0796" w:rsidTr="004B5E7A">
        <w:trPr>
          <w:cnfStyle w:val="000000100000" w:firstRow="0" w:lastRow="0" w:firstColumn="0" w:lastColumn="0" w:oddVBand="0" w:evenVBand="0" w:oddHBand="1" w:evenHBand="0" w:firstRowFirstColumn="0" w:firstRowLastColumn="0" w:lastRowFirstColumn="0" w:lastRowLastColumn="0"/>
        </w:trPr>
        <w:tc>
          <w:tcPr>
            <w:tcW w:w="1638" w:type="dxa"/>
            <w:hideMark/>
          </w:tcPr>
          <w:p w:rsidR="006F51CF" w:rsidRPr="005B0796" w:rsidRDefault="006F51CF" w:rsidP="004B5E7A">
            <w:pPr>
              <w:pStyle w:val="TableText"/>
              <w:rPr>
                <w:lang w:eastAsia="en-AU"/>
              </w:rPr>
            </w:pPr>
            <w:r w:rsidRPr="005B0796">
              <w:rPr>
                <w:lang w:eastAsia="en-AU"/>
              </w:rPr>
              <w:t>Social relations</w:t>
            </w:r>
          </w:p>
        </w:tc>
        <w:tc>
          <w:tcPr>
            <w:tcW w:w="540" w:type="dxa"/>
            <w:hideMark/>
          </w:tcPr>
          <w:p w:rsidR="006F51CF" w:rsidRPr="005B0796" w:rsidRDefault="006F51CF" w:rsidP="004B5E7A">
            <w:pPr>
              <w:pStyle w:val="TableText"/>
              <w:jc w:val="right"/>
              <w:rPr>
                <w:lang w:eastAsia="en-AU"/>
              </w:rPr>
            </w:pPr>
            <w:r w:rsidRPr="005B0796">
              <w:rPr>
                <w:lang w:eastAsia="en-AU"/>
              </w:rPr>
              <w:t>2.1</w:t>
            </w:r>
          </w:p>
        </w:tc>
        <w:tc>
          <w:tcPr>
            <w:tcW w:w="540" w:type="dxa"/>
            <w:hideMark/>
          </w:tcPr>
          <w:p w:rsidR="006F51CF" w:rsidRPr="005B0796" w:rsidRDefault="006F51CF" w:rsidP="004B5E7A">
            <w:pPr>
              <w:pStyle w:val="TableText"/>
              <w:jc w:val="right"/>
              <w:rPr>
                <w:lang w:eastAsia="en-AU"/>
              </w:rPr>
            </w:pPr>
            <w:r w:rsidRPr="005B0796">
              <w:rPr>
                <w:lang w:eastAsia="en-AU"/>
              </w:rPr>
              <w:t>0.04</w:t>
            </w:r>
          </w:p>
        </w:tc>
        <w:tc>
          <w:tcPr>
            <w:tcW w:w="812" w:type="dxa"/>
            <w:hideMark/>
          </w:tcPr>
          <w:p w:rsidR="006F51CF" w:rsidRPr="005B0796" w:rsidRDefault="006F51CF" w:rsidP="004B5E7A">
            <w:pPr>
              <w:pStyle w:val="TableText"/>
              <w:jc w:val="right"/>
              <w:rPr>
                <w:lang w:eastAsia="en-AU"/>
              </w:rPr>
            </w:pPr>
            <w:r w:rsidRPr="005B0796">
              <w:rPr>
                <w:lang w:eastAsia="en-AU"/>
              </w:rPr>
              <w:t>2.0, 2.2</w:t>
            </w:r>
          </w:p>
        </w:tc>
        <w:tc>
          <w:tcPr>
            <w:tcW w:w="538" w:type="dxa"/>
            <w:hideMark/>
          </w:tcPr>
          <w:p w:rsidR="006F51CF" w:rsidRPr="005B0796" w:rsidRDefault="006F51CF" w:rsidP="004B5E7A">
            <w:pPr>
              <w:pStyle w:val="TableText"/>
              <w:jc w:val="right"/>
              <w:rPr>
                <w:lang w:eastAsia="en-AU"/>
              </w:rPr>
            </w:pPr>
            <w:r w:rsidRPr="005B0796">
              <w:rPr>
                <w:lang w:eastAsia="en-AU"/>
              </w:rPr>
              <w:t>1.7</w:t>
            </w:r>
          </w:p>
        </w:tc>
        <w:tc>
          <w:tcPr>
            <w:tcW w:w="630" w:type="dxa"/>
            <w:hideMark/>
          </w:tcPr>
          <w:p w:rsidR="006F51CF" w:rsidRPr="005B0796" w:rsidRDefault="006F51CF" w:rsidP="004B5E7A">
            <w:pPr>
              <w:pStyle w:val="TableText"/>
              <w:jc w:val="right"/>
              <w:rPr>
                <w:lang w:eastAsia="en-AU"/>
              </w:rPr>
            </w:pPr>
            <w:r w:rsidRPr="005B0796">
              <w:rPr>
                <w:lang w:eastAsia="en-AU"/>
              </w:rPr>
              <w:t>0.04</w:t>
            </w:r>
          </w:p>
        </w:tc>
        <w:tc>
          <w:tcPr>
            <w:tcW w:w="725" w:type="dxa"/>
            <w:hideMark/>
          </w:tcPr>
          <w:p w:rsidR="006F51CF" w:rsidRPr="005B0796" w:rsidRDefault="006F51CF" w:rsidP="004B5E7A">
            <w:pPr>
              <w:pStyle w:val="TableText"/>
              <w:jc w:val="right"/>
              <w:rPr>
                <w:lang w:eastAsia="en-AU"/>
              </w:rPr>
            </w:pPr>
            <w:r w:rsidRPr="005B0796">
              <w:rPr>
                <w:lang w:eastAsia="en-AU"/>
              </w:rPr>
              <w:t>1.6, 1.8</w:t>
            </w:r>
          </w:p>
        </w:tc>
        <w:tc>
          <w:tcPr>
            <w:tcW w:w="535" w:type="dxa"/>
            <w:hideMark/>
          </w:tcPr>
          <w:p w:rsidR="006F51CF" w:rsidRPr="005B0796" w:rsidRDefault="006F51CF" w:rsidP="004B5E7A">
            <w:pPr>
              <w:pStyle w:val="TableText"/>
              <w:jc w:val="right"/>
              <w:rPr>
                <w:lang w:eastAsia="en-AU"/>
              </w:rPr>
            </w:pPr>
            <w:r w:rsidRPr="005B0796">
              <w:rPr>
                <w:lang w:eastAsia="en-AU"/>
              </w:rPr>
              <w:t>1.5</w:t>
            </w:r>
          </w:p>
        </w:tc>
        <w:tc>
          <w:tcPr>
            <w:tcW w:w="540" w:type="dxa"/>
            <w:hideMark/>
          </w:tcPr>
          <w:p w:rsidR="006F51CF" w:rsidRPr="005B0796" w:rsidRDefault="006F51CF" w:rsidP="004B5E7A">
            <w:pPr>
              <w:pStyle w:val="TableText"/>
              <w:jc w:val="right"/>
              <w:rPr>
                <w:lang w:eastAsia="en-AU"/>
              </w:rPr>
            </w:pPr>
            <w:r w:rsidRPr="005B0796">
              <w:rPr>
                <w:lang w:eastAsia="en-AU"/>
              </w:rPr>
              <w:t>0.03</w:t>
            </w:r>
          </w:p>
        </w:tc>
        <w:tc>
          <w:tcPr>
            <w:tcW w:w="818" w:type="dxa"/>
            <w:hideMark/>
          </w:tcPr>
          <w:p w:rsidR="006F51CF" w:rsidRPr="005B0796" w:rsidRDefault="006F51CF" w:rsidP="004B5E7A">
            <w:pPr>
              <w:pStyle w:val="TableText"/>
              <w:jc w:val="right"/>
              <w:rPr>
                <w:lang w:eastAsia="en-AU"/>
              </w:rPr>
            </w:pPr>
            <w:r w:rsidRPr="005B0796">
              <w:rPr>
                <w:lang w:eastAsia="en-AU"/>
              </w:rPr>
              <w:t>1.4, 1.52</w:t>
            </w:r>
          </w:p>
        </w:tc>
      </w:tr>
      <w:tr w:rsidR="004B5E7A" w:rsidRPr="005B0796" w:rsidTr="004B5E7A">
        <w:trPr>
          <w:cnfStyle w:val="010000000000" w:firstRow="0" w:lastRow="1" w:firstColumn="0" w:lastColumn="0" w:oddVBand="0" w:evenVBand="0" w:oddHBand="0" w:evenHBand="0" w:firstRowFirstColumn="0" w:firstRowLastColumn="0" w:lastRowFirstColumn="0" w:lastRowLastColumn="0"/>
        </w:trPr>
        <w:tc>
          <w:tcPr>
            <w:tcW w:w="1638" w:type="dxa"/>
            <w:hideMark/>
          </w:tcPr>
          <w:p w:rsidR="006F51CF" w:rsidRPr="005B0796" w:rsidRDefault="006F51CF" w:rsidP="004B5E7A">
            <w:pPr>
              <w:pStyle w:val="TableText"/>
              <w:rPr>
                <w:lang w:eastAsia="en-AU"/>
              </w:rPr>
            </w:pPr>
            <w:r w:rsidRPr="005B0796">
              <w:rPr>
                <w:lang w:eastAsia="en-AU"/>
              </w:rPr>
              <w:t>DAR-5 total</w:t>
            </w:r>
          </w:p>
        </w:tc>
        <w:tc>
          <w:tcPr>
            <w:tcW w:w="540" w:type="dxa"/>
            <w:hideMark/>
          </w:tcPr>
          <w:p w:rsidR="006F51CF" w:rsidRPr="005B0796" w:rsidRDefault="006F51CF" w:rsidP="004B5E7A">
            <w:pPr>
              <w:pStyle w:val="TableText"/>
              <w:jc w:val="right"/>
              <w:rPr>
                <w:lang w:eastAsia="en-AU"/>
              </w:rPr>
            </w:pPr>
            <w:r w:rsidRPr="005B0796">
              <w:rPr>
                <w:lang w:eastAsia="en-AU"/>
              </w:rPr>
              <w:t>11.2</w:t>
            </w:r>
          </w:p>
        </w:tc>
        <w:tc>
          <w:tcPr>
            <w:tcW w:w="540" w:type="dxa"/>
            <w:hideMark/>
          </w:tcPr>
          <w:p w:rsidR="006F51CF" w:rsidRPr="005B0796" w:rsidRDefault="006F51CF" w:rsidP="004B5E7A">
            <w:pPr>
              <w:pStyle w:val="TableText"/>
              <w:jc w:val="right"/>
              <w:rPr>
                <w:lang w:eastAsia="en-AU"/>
              </w:rPr>
            </w:pPr>
            <w:r w:rsidRPr="005B0796">
              <w:rPr>
                <w:lang w:eastAsia="en-AU"/>
              </w:rPr>
              <w:t>0.17</w:t>
            </w:r>
          </w:p>
        </w:tc>
        <w:tc>
          <w:tcPr>
            <w:tcW w:w="812" w:type="dxa"/>
            <w:hideMark/>
          </w:tcPr>
          <w:p w:rsidR="006F51CF" w:rsidRPr="005B0796" w:rsidRDefault="006F51CF" w:rsidP="004B5E7A">
            <w:pPr>
              <w:pStyle w:val="TableText"/>
              <w:jc w:val="right"/>
              <w:rPr>
                <w:lang w:eastAsia="en-AU"/>
              </w:rPr>
            </w:pPr>
            <w:r w:rsidRPr="005B0796">
              <w:rPr>
                <w:lang w:eastAsia="en-AU"/>
              </w:rPr>
              <w:t>10.9, 11.6</w:t>
            </w:r>
          </w:p>
        </w:tc>
        <w:tc>
          <w:tcPr>
            <w:tcW w:w="538" w:type="dxa"/>
            <w:hideMark/>
          </w:tcPr>
          <w:p w:rsidR="006F51CF" w:rsidRPr="005B0796" w:rsidRDefault="006F51CF" w:rsidP="004B5E7A">
            <w:pPr>
              <w:pStyle w:val="TableText"/>
              <w:jc w:val="right"/>
              <w:rPr>
                <w:lang w:eastAsia="en-AU"/>
              </w:rPr>
            </w:pPr>
            <w:r w:rsidRPr="005B0796">
              <w:rPr>
                <w:lang w:eastAsia="en-AU"/>
              </w:rPr>
              <w:t>9.2</w:t>
            </w:r>
          </w:p>
        </w:tc>
        <w:tc>
          <w:tcPr>
            <w:tcW w:w="630" w:type="dxa"/>
            <w:hideMark/>
          </w:tcPr>
          <w:p w:rsidR="006F51CF" w:rsidRPr="005B0796" w:rsidRDefault="006F51CF" w:rsidP="004B5E7A">
            <w:pPr>
              <w:pStyle w:val="TableText"/>
              <w:jc w:val="right"/>
              <w:rPr>
                <w:lang w:eastAsia="en-AU"/>
              </w:rPr>
            </w:pPr>
            <w:r w:rsidRPr="005B0796">
              <w:rPr>
                <w:lang w:eastAsia="en-AU"/>
              </w:rPr>
              <w:t>0.18</w:t>
            </w:r>
          </w:p>
        </w:tc>
        <w:tc>
          <w:tcPr>
            <w:tcW w:w="725" w:type="dxa"/>
            <w:hideMark/>
          </w:tcPr>
          <w:p w:rsidR="006F51CF" w:rsidRPr="005B0796" w:rsidRDefault="006F51CF" w:rsidP="004B5E7A">
            <w:pPr>
              <w:pStyle w:val="TableText"/>
              <w:jc w:val="right"/>
              <w:rPr>
                <w:lang w:eastAsia="en-AU"/>
              </w:rPr>
            </w:pPr>
            <w:r w:rsidRPr="005B0796">
              <w:rPr>
                <w:lang w:eastAsia="en-AU"/>
              </w:rPr>
              <w:t>8.9, 9.6</w:t>
            </w:r>
          </w:p>
        </w:tc>
        <w:tc>
          <w:tcPr>
            <w:tcW w:w="535" w:type="dxa"/>
            <w:hideMark/>
          </w:tcPr>
          <w:p w:rsidR="006F51CF" w:rsidRPr="005B0796" w:rsidRDefault="006F51CF" w:rsidP="004B5E7A">
            <w:pPr>
              <w:pStyle w:val="TableText"/>
              <w:jc w:val="right"/>
              <w:rPr>
                <w:lang w:eastAsia="en-AU"/>
              </w:rPr>
            </w:pPr>
            <w:r w:rsidRPr="005B0796">
              <w:rPr>
                <w:lang w:eastAsia="en-AU"/>
              </w:rPr>
              <w:t>8.2</w:t>
            </w:r>
          </w:p>
        </w:tc>
        <w:tc>
          <w:tcPr>
            <w:tcW w:w="540" w:type="dxa"/>
            <w:hideMark/>
          </w:tcPr>
          <w:p w:rsidR="006F51CF" w:rsidRPr="005B0796" w:rsidRDefault="006F51CF" w:rsidP="004B5E7A">
            <w:pPr>
              <w:pStyle w:val="TableText"/>
              <w:jc w:val="right"/>
              <w:rPr>
                <w:lang w:eastAsia="en-AU"/>
              </w:rPr>
            </w:pPr>
            <w:r w:rsidRPr="005B0796">
              <w:rPr>
                <w:lang w:eastAsia="en-AU"/>
              </w:rPr>
              <w:t>0.13</w:t>
            </w:r>
          </w:p>
        </w:tc>
        <w:tc>
          <w:tcPr>
            <w:tcW w:w="818" w:type="dxa"/>
            <w:hideMark/>
          </w:tcPr>
          <w:p w:rsidR="006F51CF" w:rsidRPr="005B0796" w:rsidRDefault="006F51CF" w:rsidP="004B5E7A">
            <w:pPr>
              <w:pStyle w:val="TableText"/>
              <w:jc w:val="right"/>
              <w:rPr>
                <w:lang w:eastAsia="en-AU"/>
              </w:rPr>
            </w:pPr>
            <w:r w:rsidRPr="005B0796">
              <w:rPr>
                <w:lang w:eastAsia="en-AU"/>
              </w:rPr>
              <w:t>7.9, 8.4</w:t>
            </w:r>
          </w:p>
        </w:tc>
      </w:tr>
    </w:tbl>
    <w:p w:rsidR="004B5E7A" w:rsidRPr="005B0796" w:rsidRDefault="004B5E7A" w:rsidP="004B5E7A">
      <w:pPr>
        <w:pStyle w:val="TableNotes"/>
      </w:pPr>
      <w:r w:rsidRPr="005B0796">
        <w:t xml:space="preserve">Note: 95% CI: 95% </w:t>
      </w:r>
      <w:r w:rsidR="00564689" w:rsidRPr="005B0796">
        <w:t>confidence interval</w:t>
      </w:r>
    </w:p>
    <w:p w:rsidR="006F51CF" w:rsidRPr="005B0796" w:rsidRDefault="004B5E7A" w:rsidP="004B5E7A">
      <w:pPr>
        <w:pStyle w:val="FigureName"/>
      </w:pPr>
      <w:bookmarkStart w:id="1069" w:name="_Toc487014408"/>
      <w:bookmarkStart w:id="1070" w:name="_Toc51190057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18</w:t>
      </w:r>
      <w:r w:rsidR="00D30A3C">
        <w:rPr>
          <w:noProof/>
        </w:rPr>
        <w:fldChar w:fldCharType="end"/>
      </w:r>
      <w:r w:rsidRPr="005B0796">
        <w:tab/>
        <w:t>Estimated proportions of anger symptoms in Transitioned ADF</w:t>
      </w:r>
      <w:r w:rsidR="00C01061">
        <w:t>,</w:t>
      </w:r>
      <w:r w:rsidRPr="005B0796">
        <w:t xml:space="preserve"> by transition status</w:t>
      </w:r>
      <w:bookmarkEnd w:id="1069"/>
      <w:bookmarkEnd w:id="1070"/>
    </w:p>
    <w:tbl>
      <w:tblPr>
        <w:tblW w:w="5000" w:type="pct"/>
        <w:tblLayout w:type="fixed"/>
        <w:tblCellMar>
          <w:left w:w="115" w:type="dxa"/>
          <w:right w:w="115" w:type="dxa"/>
        </w:tblCellMar>
        <w:tblLook w:val="04A0" w:firstRow="1" w:lastRow="0" w:firstColumn="1" w:lastColumn="0" w:noHBand="0" w:noVBand="1"/>
      </w:tblPr>
      <w:tblGrid>
        <w:gridCol w:w="7329"/>
      </w:tblGrid>
      <w:tr w:rsidR="006F51CF" w:rsidRPr="005B0796" w:rsidTr="004B5E7A">
        <w:trPr>
          <w:cantSplit/>
        </w:trPr>
        <w:tc>
          <w:tcPr>
            <w:tcW w:w="7315" w:type="dxa"/>
          </w:tcPr>
          <w:p w:rsidR="006F51CF" w:rsidRPr="005B0796" w:rsidRDefault="006F51CF" w:rsidP="00855912">
            <w:r w:rsidRPr="005B0796">
              <w:rPr>
                <w:noProof/>
                <w:lang w:eastAsia="en-AU"/>
              </w:rPr>
              <w:drawing>
                <wp:inline distT="0" distB="0" distL="0" distR="0" wp14:anchorId="1526ADDF" wp14:editId="07E909A0">
                  <wp:extent cx="4572000" cy="2743200"/>
                  <wp:effectExtent l="0" t="0" r="0" b="0"/>
                  <wp:docPr id="310" name="Chart 310" descr="Figure 5.18 Estimated proportions of anger symptoms in Transitioned ADF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r>
    </w:tbl>
    <w:p w:rsidR="006F51CF" w:rsidRPr="005B0796" w:rsidRDefault="006F51CF" w:rsidP="004B5E7A">
      <w:pPr>
        <w:pStyle w:val="Heading4"/>
      </w:pPr>
      <w:r w:rsidRPr="005B0796">
        <w:t>Anger symptoms in Transitioned ADF</w:t>
      </w:r>
      <w:r w:rsidR="00C01061">
        <w:t>,</w:t>
      </w:r>
      <w:r w:rsidRPr="005B0796">
        <w:t xml:space="preserve"> by years since transition</w:t>
      </w:r>
    </w:p>
    <w:p w:rsidR="006F51CF" w:rsidRPr="005B0796" w:rsidRDefault="009E72D3" w:rsidP="004B5E7A">
      <w:r w:rsidRPr="005B0796">
        <w:t>Table 5.19</w:t>
      </w:r>
      <w:r w:rsidR="006F51CF" w:rsidRPr="005B0796">
        <w:t xml:space="preserve"> and Figure 5.19 compare anger symptoms in the Transitioned ADF</w:t>
      </w:r>
      <w:r w:rsidR="00C01061">
        <w:t>,</w:t>
      </w:r>
      <w:r w:rsidR="006F51CF" w:rsidRPr="005B0796">
        <w:t xml:space="preserve"> by years since transition.</w:t>
      </w:r>
    </w:p>
    <w:p w:rsidR="006F51CF" w:rsidRPr="005B0796" w:rsidRDefault="006F51CF" w:rsidP="004B5E7A">
      <w:r w:rsidRPr="005B0796">
        <w:t xml:space="preserve">Overall, the passing of time since transition did not have a significant effect on the anger symptoms total score. However, Transitioned ADF who transitioned 1–5 years ago were significantly more likely to report higher anger symptom total scores than those in the first year post-transition. </w:t>
      </w:r>
    </w:p>
    <w:p w:rsidR="009F3CBE" w:rsidRPr="005B0796" w:rsidRDefault="009F3CBE" w:rsidP="00596B4D">
      <w:pPr>
        <w:pStyle w:val="FigureName"/>
      </w:pPr>
      <w:bookmarkStart w:id="1071" w:name="_Toc487014409"/>
      <w:bookmarkStart w:id="1072" w:name="_Toc51190057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19</w:t>
      </w:r>
      <w:r w:rsidR="00D30A3C">
        <w:rPr>
          <w:noProof/>
        </w:rPr>
        <w:fldChar w:fldCharType="end"/>
      </w:r>
      <w:r w:rsidRPr="005B0796">
        <w:tab/>
        <w:t>Estimated proportions of anger symptoms in Transitioned ADF</w:t>
      </w:r>
      <w:r w:rsidR="00C01061">
        <w:t>,</w:t>
      </w:r>
      <w:r w:rsidRPr="005B0796">
        <w:t xml:space="preserve"> by years since transition</w:t>
      </w:r>
      <w:bookmarkEnd w:id="1071"/>
      <w:bookmarkEnd w:id="1072"/>
    </w:p>
    <w:tbl>
      <w:tblPr>
        <w:tblW w:w="5000" w:type="pct"/>
        <w:tblLayout w:type="fixed"/>
        <w:tblCellMar>
          <w:left w:w="115" w:type="dxa"/>
          <w:right w:w="115" w:type="dxa"/>
        </w:tblCellMar>
        <w:tblLook w:val="04A0" w:firstRow="1" w:lastRow="0" w:firstColumn="1" w:lastColumn="0" w:noHBand="0" w:noVBand="1"/>
      </w:tblPr>
      <w:tblGrid>
        <w:gridCol w:w="7329"/>
      </w:tblGrid>
      <w:tr w:rsidR="009F3CBE" w:rsidRPr="005B0796" w:rsidTr="00596B4D">
        <w:trPr>
          <w:cantSplit/>
        </w:trPr>
        <w:tc>
          <w:tcPr>
            <w:tcW w:w="7315" w:type="dxa"/>
          </w:tcPr>
          <w:p w:rsidR="009F3CBE" w:rsidRPr="005B0796" w:rsidRDefault="009F3CBE" w:rsidP="0064122F">
            <w:r w:rsidRPr="005B0796">
              <w:rPr>
                <w:noProof/>
                <w:lang w:eastAsia="en-AU"/>
              </w:rPr>
              <w:drawing>
                <wp:inline distT="0" distB="0" distL="0" distR="0" wp14:anchorId="1222E8CA" wp14:editId="6049408F">
                  <wp:extent cx="4572000" cy="2743200"/>
                  <wp:effectExtent l="0" t="0" r="0" b="0"/>
                  <wp:docPr id="113" name="Chart 113" descr="Figure 5.19 Estimated proportions of anger symptoms in Transitioned ADF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r>
    </w:tbl>
    <w:p w:rsidR="009F3CBE" w:rsidRPr="005B0796" w:rsidRDefault="009F3CBE" w:rsidP="009F3CBE"/>
    <w:p w:rsidR="00D123CA" w:rsidRPr="005B0796" w:rsidRDefault="00D123CA" w:rsidP="004B5E7A"/>
    <w:p w:rsidR="006F51CF" w:rsidRPr="005B0796" w:rsidRDefault="006F51CF" w:rsidP="004B5E7A">
      <w:pPr>
        <w:sectPr w:rsidR="006F51CF" w:rsidRPr="005B0796" w:rsidSect="005A477D">
          <w:footerReference w:type="even" r:id="rId215"/>
          <w:footerReference w:type="default" r:id="rId216"/>
          <w:pgSz w:w="9979" w:h="14170" w:code="243"/>
          <w:pgMar w:top="1440" w:right="1152" w:bottom="1440" w:left="1728" w:header="576" w:footer="576" w:gutter="0"/>
          <w:cols w:space="708"/>
          <w:docGrid w:linePitch="360"/>
        </w:sectPr>
      </w:pPr>
    </w:p>
    <w:p w:rsidR="00303DE0" w:rsidRPr="005B0796" w:rsidRDefault="00303DE0" w:rsidP="00303DE0">
      <w:pPr>
        <w:pStyle w:val="TableName"/>
      </w:pPr>
      <w:bookmarkStart w:id="1073" w:name="_Toc511900472"/>
      <w:bookmarkStart w:id="1074" w:name="_Ref484523479"/>
      <w:bookmarkStart w:id="1075" w:name="_Toc487014320"/>
      <w:bookmarkStart w:id="1076" w:name="_Toc49299562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19</w:t>
      </w:r>
      <w:r w:rsidR="00D30A3C">
        <w:rPr>
          <w:noProof/>
        </w:rPr>
        <w:fldChar w:fldCharType="end"/>
      </w:r>
      <w:r w:rsidRPr="005B0796">
        <w:tab/>
        <w:t>Estimated proportions of anger symptoms in Transitioned ADF</w:t>
      </w:r>
      <w:r w:rsidR="00C01061">
        <w:t>,</w:t>
      </w:r>
      <w:r w:rsidRPr="005B0796">
        <w:t xml:space="preserve"> by years since transition</w:t>
      </w:r>
      <w:bookmarkEnd w:id="1073"/>
    </w:p>
    <w:bookmarkEnd w:id="1074"/>
    <w:bookmarkEnd w:id="1075"/>
    <w:bookmarkEnd w:id="1076"/>
    <w:tbl>
      <w:tblPr>
        <w:tblStyle w:val="TWRPTable"/>
        <w:tblW w:w="5000" w:type="pct"/>
        <w:tblLayout w:type="fixed"/>
        <w:tblLook w:val="04A0" w:firstRow="1" w:lastRow="0" w:firstColumn="1" w:lastColumn="0" w:noHBand="0" w:noVBand="1"/>
        <w:tblDescription w:val="Table 5.19 Estimated proportions of anger symptoms in Transitioned ADF by years since transition"/>
      </w:tblPr>
      <w:tblGrid>
        <w:gridCol w:w="1098"/>
        <w:gridCol w:w="540"/>
        <w:gridCol w:w="450"/>
        <w:gridCol w:w="744"/>
        <w:gridCol w:w="516"/>
        <w:gridCol w:w="450"/>
        <w:gridCol w:w="769"/>
        <w:gridCol w:w="491"/>
        <w:gridCol w:w="450"/>
        <w:gridCol w:w="794"/>
        <w:gridCol w:w="556"/>
        <w:gridCol w:w="450"/>
        <w:gridCol w:w="728"/>
        <w:gridCol w:w="532"/>
        <w:gridCol w:w="540"/>
        <w:gridCol w:w="663"/>
        <w:gridCol w:w="578"/>
        <w:gridCol w:w="469"/>
        <w:gridCol w:w="688"/>
      </w:tblGrid>
      <w:tr w:rsidR="00303DE0" w:rsidRPr="005B0796" w:rsidTr="00303DE0">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Pr>
          <w:p w:rsidR="00303DE0" w:rsidRPr="005B0796" w:rsidRDefault="00303DE0" w:rsidP="00303DE0">
            <w:pPr>
              <w:pStyle w:val="TableText"/>
            </w:pPr>
          </w:p>
        </w:tc>
        <w:tc>
          <w:tcPr>
            <w:tcW w:w="1734" w:type="dxa"/>
            <w:gridSpan w:val="3"/>
            <w:hideMark/>
          </w:tcPr>
          <w:p w:rsidR="00303DE0" w:rsidRPr="005B0796" w:rsidRDefault="00303DE0" w:rsidP="00303DE0">
            <w:pPr>
              <w:pStyle w:val="TableText"/>
              <w:jc w:val="center"/>
            </w:pPr>
            <w:r w:rsidRPr="005B0796">
              <w:t>0 (1–11</w:t>
            </w:r>
            <w:r w:rsidR="00C01061">
              <w:t xml:space="preserve"> </w:t>
            </w:r>
            <w:r w:rsidRPr="005B0796">
              <w:t>months)</w:t>
            </w:r>
            <w:r w:rsidRPr="005B0796">
              <w:br/>
              <w:t>(n = 1945)</w:t>
            </w:r>
          </w:p>
        </w:tc>
        <w:tc>
          <w:tcPr>
            <w:tcW w:w="1735" w:type="dxa"/>
            <w:gridSpan w:val="3"/>
            <w:hideMark/>
          </w:tcPr>
          <w:p w:rsidR="00303DE0" w:rsidRPr="005B0796" w:rsidRDefault="00303DE0" w:rsidP="00303DE0">
            <w:pPr>
              <w:pStyle w:val="TableText"/>
              <w:jc w:val="center"/>
            </w:pPr>
            <w:r w:rsidRPr="005B0796">
              <w:t>1 year</w:t>
            </w:r>
            <w:r w:rsidRPr="005B0796">
              <w:br/>
              <w:t>(n = 4874)</w:t>
            </w:r>
          </w:p>
        </w:tc>
        <w:tc>
          <w:tcPr>
            <w:tcW w:w="1735" w:type="dxa"/>
            <w:gridSpan w:val="3"/>
            <w:hideMark/>
          </w:tcPr>
          <w:p w:rsidR="00303DE0" w:rsidRPr="005B0796" w:rsidRDefault="00303DE0" w:rsidP="00303DE0">
            <w:pPr>
              <w:pStyle w:val="TableText"/>
              <w:jc w:val="center"/>
            </w:pPr>
            <w:r w:rsidRPr="005B0796">
              <w:t>2 years</w:t>
            </w:r>
            <w:r w:rsidRPr="005B0796">
              <w:br/>
              <w:t>(n = 4944)</w:t>
            </w:r>
          </w:p>
        </w:tc>
        <w:tc>
          <w:tcPr>
            <w:tcW w:w="1734" w:type="dxa"/>
            <w:gridSpan w:val="3"/>
            <w:hideMark/>
          </w:tcPr>
          <w:p w:rsidR="00303DE0" w:rsidRPr="005B0796" w:rsidRDefault="00303DE0" w:rsidP="00303DE0">
            <w:pPr>
              <w:pStyle w:val="TableText"/>
              <w:jc w:val="center"/>
            </w:pPr>
            <w:r w:rsidRPr="005B0796">
              <w:t>3 years</w:t>
            </w:r>
            <w:r w:rsidRPr="005B0796">
              <w:br/>
              <w:t>(n = 5234)</w:t>
            </w:r>
          </w:p>
        </w:tc>
        <w:tc>
          <w:tcPr>
            <w:tcW w:w="1735" w:type="dxa"/>
            <w:gridSpan w:val="3"/>
            <w:hideMark/>
          </w:tcPr>
          <w:p w:rsidR="00303DE0" w:rsidRPr="005B0796" w:rsidRDefault="00303DE0" w:rsidP="00303DE0">
            <w:pPr>
              <w:pStyle w:val="TableText"/>
              <w:jc w:val="center"/>
            </w:pPr>
            <w:r w:rsidRPr="005B0796">
              <w:t>4 years</w:t>
            </w:r>
            <w:r w:rsidRPr="005B0796">
              <w:br/>
              <w:t>(n = 3582)</w:t>
            </w:r>
          </w:p>
        </w:tc>
        <w:tc>
          <w:tcPr>
            <w:tcW w:w="1735" w:type="dxa"/>
            <w:gridSpan w:val="3"/>
            <w:hideMark/>
          </w:tcPr>
          <w:p w:rsidR="00303DE0" w:rsidRPr="005B0796" w:rsidRDefault="00303DE0" w:rsidP="00303DE0">
            <w:pPr>
              <w:pStyle w:val="TableText"/>
              <w:jc w:val="center"/>
            </w:pPr>
            <w:r w:rsidRPr="005B0796">
              <w:t>5+ years</w:t>
            </w:r>
            <w:r w:rsidRPr="005B0796">
              <w:br/>
              <w:t>(n = 2785)</w:t>
            </w:r>
          </w:p>
        </w:tc>
      </w:tr>
      <w:tr w:rsidR="00303DE0" w:rsidRPr="005B0796" w:rsidTr="00303DE0">
        <w:trPr>
          <w:cnfStyle w:val="100000000000" w:firstRow="1" w:lastRow="0" w:firstColumn="0" w:lastColumn="0" w:oddVBand="0" w:evenVBand="0" w:oddHBand="0" w:evenHBand="0" w:firstRowFirstColumn="0" w:firstRowLastColumn="0" w:lastRowFirstColumn="0" w:lastRowLastColumn="0"/>
          <w:tblHeader/>
        </w:trPr>
        <w:tc>
          <w:tcPr>
            <w:tcW w:w="1098" w:type="dxa"/>
            <w:vMerge/>
          </w:tcPr>
          <w:p w:rsidR="00303DE0" w:rsidRPr="005B0796" w:rsidRDefault="00303DE0" w:rsidP="00303DE0">
            <w:pPr>
              <w:pStyle w:val="TableText"/>
            </w:pPr>
          </w:p>
        </w:tc>
        <w:tc>
          <w:tcPr>
            <w:tcW w:w="540" w:type="dxa"/>
            <w:hideMark/>
          </w:tcPr>
          <w:p w:rsidR="00303DE0" w:rsidRPr="005B0796" w:rsidRDefault="00303DE0" w:rsidP="00303DE0">
            <w:pPr>
              <w:pStyle w:val="TableText"/>
              <w:jc w:val="right"/>
            </w:pPr>
            <w:r w:rsidRPr="005B0796">
              <w:rPr>
                <w:rFonts w:eastAsia="Times New Roman"/>
              </w:rPr>
              <w:t>Mean</w:t>
            </w:r>
          </w:p>
        </w:tc>
        <w:tc>
          <w:tcPr>
            <w:tcW w:w="450" w:type="dxa"/>
            <w:hideMark/>
          </w:tcPr>
          <w:p w:rsidR="00303DE0" w:rsidRPr="005B0796" w:rsidRDefault="00303DE0" w:rsidP="00303DE0">
            <w:pPr>
              <w:pStyle w:val="TableText"/>
              <w:jc w:val="right"/>
            </w:pPr>
            <w:r w:rsidRPr="005B0796">
              <w:rPr>
                <w:rFonts w:eastAsia="Times New Roman"/>
              </w:rPr>
              <w:t>SE</w:t>
            </w:r>
          </w:p>
        </w:tc>
        <w:tc>
          <w:tcPr>
            <w:tcW w:w="744" w:type="dxa"/>
            <w:hideMark/>
          </w:tcPr>
          <w:p w:rsidR="00303DE0" w:rsidRPr="005B0796" w:rsidRDefault="00303DE0" w:rsidP="00303DE0">
            <w:pPr>
              <w:pStyle w:val="TableText"/>
              <w:jc w:val="right"/>
            </w:pPr>
            <w:r w:rsidRPr="005B0796">
              <w:rPr>
                <w:rFonts w:eastAsia="Times New Roman"/>
              </w:rPr>
              <w:t xml:space="preserve"> 95% CI</w:t>
            </w:r>
          </w:p>
        </w:tc>
        <w:tc>
          <w:tcPr>
            <w:tcW w:w="516" w:type="dxa"/>
            <w:hideMark/>
          </w:tcPr>
          <w:p w:rsidR="00303DE0" w:rsidRPr="005B0796" w:rsidRDefault="00303DE0" w:rsidP="00303DE0">
            <w:pPr>
              <w:pStyle w:val="TableText"/>
              <w:jc w:val="right"/>
            </w:pPr>
            <w:r w:rsidRPr="005B0796">
              <w:rPr>
                <w:rFonts w:eastAsia="Times New Roman"/>
              </w:rPr>
              <w:t>Mean</w:t>
            </w:r>
          </w:p>
        </w:tc>
        <w:tc>
          <w:tcPr>
            <w:tcW w:w="450" w:type="dxa"/>
            <w:hideMark/>
          </w:tcPr>
          <w:p w:rsidR="00303DE0" w:rsidRPr="005B0796" w:rsidRDefault="00303DE0" w:rsidP="00303DE0">
            <w:pPr>
              <w:pStyle w:val="TableText"/>
              <w:jc w:val="right"/>
            </w:pPr>
            <w:r w:rsidRPr="005B0796">
              <w:rPr>
                <w:rFonts w:eastAsia="Times New Roman"/>
              </w:rPr>
              <w:t>SE</w:t>
            </w:r>
          </w:p>
        </w:tc>
        <w:tc>
          <w:tcPr>
            <w:tcW w:w="769" w:type="dxa"/>
            <w:hideMark/>
          </w:tcPr>
          <w:p w:rsidR="00303DE0" w:rsidRPr="005B0796" w:rsidRDefault="00303DE0" w:rsidP="00303DE0">
            <w:pPr>
              <w:pStyle w:val="TableText"/>
              <w:jc w:val="right"/>
            </w:pPr>
            <w:r w:rsidRPr="005B0796">
              <w:rPr>
                <w:rFonts w:eastAsia="Times New Roman"/>
              </w:rPr>
              <w:t xml:space="preserve"> 95% CI</w:t>
            </w:r>
          </w:p>
        </w:tc>
        <w:tc>
          <w:tcPr>
            <w:tcW w:w="491" w:type="dxa"/>
            <w:hideMark/>
          </w:tcPr>
          <w:p w:rsidR="00303DE0" w:rsidRPr="005B0796" w:rsidRDefault="00303DE0" w:rsidP="00303DE0">
            <w:pPr>
              <w:pStyle w:val="TableText"/>
              <w:jc w:val="right"/>
            </w:pPr>
            <w:r w:rsidRPr="005B0796">
              <w:rPr>
                <w:rFonts w:eastAsia="Times New Roman"/>
              </w:rPr>
              <w:t>Mean</w:t>
            </w:r>
          </w:p>
        </w:tc>
        <w:tc>
          <w:tcPr>
            <w:tcW w:w="450" w:type="dxa"/>
            <w:hideMark/>
          </w:tcPr>
          <w:p w:rsidR="00303DE0" w:rsidRPr="005B0796" w:rsidRDefault="00303DE0" w:rsidP="00303DE0">
            <w:pPr>
              <w:pStyle w:val="TableText"/>
              <w:jc w:val="right"/>
            </w:pPr>
            <w:r w:rsidRPr="005B0796">
              <w:rPr>
                <w:rFonts w:eastAsia="Times New Roman"/>
              </w:rPr>
              <w:t>SE</w:t>
            </w:r>
          </w:p>
        </w:tc>
        <w:tc>
          <w:tcPr>
            <w:tcW w:w="794" w:type="dxa"/>
            <w:hideMark/>
          </w:tcPr>
          <w:p w:rsidR="00303DE0" w:rsidRPr="005B0796" w:rsidRDefault="00303DE0" w:rsidP="00303DE0">
            <w:pPr>
              <w:pStyle w:val="TableText"/>
              <w:jc w:val="right"/>
            </w:pPr>
            <w:r w:rsidRPr="005B0796">
              <w:rPr>
                <w:rFonts w:eastAsia="Times New Roman"/>
              </w:rPr>
              <w:t xml:space="preserve"> 95% CI</w:t>
            </w:r>
          </w:p>
        </w:tc>
        <w:tc>
          <w:tcPr>
            <w:tcW w:w="556" w:type="dxa"/>
            <w:hideMark/>
          </w:tcPr>
          <w:p w:rsidR="00303DE0" w:rsidRPr="005B0796" w:rsidRDefault="00303DE0" w:rsidP="00303DE0">
            <w:pPr>
              <w:pStyle w:val="TableText"/>
              <w:jc w:val="right"/>
            </w:pPr>
            <w:r w:rsidRPr="005B0796">
              <w:rPr>
                <w:rFonts w:eastAsia="Times New Roman"/>
              </w:rPr>
              <w:t>Mean</w:t>
            </w:r>
          </w:p>
        </w:tc>
        <w:tc>
          <w:tcPr>
            <w:tcW w:w="450" w:type="dxa"/>
            <w:hideMark/>
          </w:tcPr>
          <w:p w:rsidR="00303DE0" w:rsidRPr="005B0796" w:rsidRDefault="00303DE0" w:rsidP="00303DE0">
            <w:pPr>
              <w:pStyle w:val="TableText"/>
              <w:jc w:val="right"/>
            </w:pPr>
            <w:r w:rsidRPr="005B0796">
              <w:rPr>
                <w:rFonts w:eastAsia="Times New Roman"/>
              </w:rPr>
              <w:t>SE</w:t>
            </w:r>
          </w:p>
        </w:tc>
        <w:tc>
          <w:tcPr>
            <w:tcW w:w="728" w:type="dxa"/>
            <w:hideMark/>
          </w:tcPr>
          <w:p w:rsidR="00303DE0" w:rsidRPr="005B0796" w:rsidRDefault="00303DE0" w:rsidP="00303DE0">
            <w:pPr>
              <w:pStyle w:val="TableText"/>
              <w:jc w:val="right"/>
            </w:pPr>
            <w:r w:rsidRPr="005B0796">
              <w:rPr>
                <w:rFonts w:eastAsia="Times New Roman"/>
              </w:rPr>
              <w:t xml:space="preserve"> 95% CI</w:t>
            </w:r>
          </w:p>
        </w:tc>
        <w:tc>
          <w:tcPr>
            <w:tcW w:w="532" w:type="dxa"/>
            <w:hideMark/>
          </w:tcPr>
          <w:p w:rsidR="00303DE0" w:rsidRPr="005B0796" w:rsidRDefault="00303DE0" w:rsidP="00303DE0">
            <w:pPr>
              <w:pStyle w:val="TableText"/>
              <w:jc w:val="right"/>
            </w:pPr>
            <w:r w:rsidRPr="005B0796">
              <w:rPr>
                <w:rFonts w:eastAsia="Times New Roman"/>
              </w:rPr>
              <w:t>Mean</w:t>
            </w:r>
          </w:p>
        </w:tc>
        <w:tc>
          <w:tcPr>
            <w:tcW w:w="540" w:type="dxa"/>
            <w:hideMark/>
          </w:tcPr>
          <w:p w:rsidR="00303DE0" w:rsidRPr="005B0796" w:rsidRDefault="00303DE0" w:rsidP="00303DE0">
            <w:pPr>
              <w:pStyle w:val="TableText"/>
              <w:jc w:val="right"/>
            </w:pPr>
            <w:r w:rsidRPr="005B0796">
              <w:rPr>
                <w:rFonts w:eastAsia="Times New Roman"/>
              </w:rPr>
              <w:t>SE</w:t>
            </w:r>
          </w:p>
        </w:tc>
        <w:tc>
          <w:tcPr>
            <w:tcW w:w="663" w:type="dxa"/>
            <w:hideMark/>
          </w:tcPr>
          <w:p w:rsidR="00303DE0" w:rsidRPr="005B0796" w:rsidRDefault="00303DE0" w:rsidP="00303DE0">
            <w:pPr>
              <w:pStyle w:val="TableText"/>
              <w:jc w:val="right"/>
            </w:pPr>
            <w:r w:rsidRPr="005B0796">
              <w:rPr>
                <w:rFonts w:eastAsia="Times New Roman"/>
              </w:rPr>
              <w:t xml:space="preserve"> 95% CI</w:t>
            </w:r>
          </w:p>
        </w:tc>
        <w:tc>
          <w:tcPr>
            <w:tcW w:w="578" w:type="dxa"/>
            <w:hideMark/>
          </w:tcPr>
          <w:p w:rsidR="00303DE0" w:rsidRPr="005B0796" w:rsidRDefault="00303DE0" w:rsidP="00303DE0">
            <w:pPr>
              <w:pStyle w:val="TableText"/>
              <w:jc w:val="right"/>
            </w:pPr>
            <w:r w:rsidRPr="005B0796">
              <w:rPr>
                <w:rFonts w:eastAsia="Times New Roman"/>
              </w:rPr>
              <w:t>Mean</w:t>
            </w:r>
          </w:p>
        </w:tc>
        <w:tc>
          <w:tcPr>
            <w:tcW w:w="469" w:type="dxa"/>
            <w:hideMark/>
          </w:tcPr>
          <w:p w:rsidR="00303DE0" w:rsidRPr="005B0796" w:rsidRDefault="00303DE0" w:rsidP="00303DE0">
            <w:pPr>
              <w:pStyle w:val="TableText"/>
              <w:jc w:val="right"/>
            </w:pPr>
            <w:r w:rsidRPr="005B0796">
              <w:rPr>
                <w:rFonts w:eastAsia="Times New Roman"/>
              </w:rPr>
              <w:t>SE</w:t>
            </w:r>
          </w:p>
        </w:tc>
        <w:tc>
          <w:tcPr>
            <w:tcW w:w="688" w:type="dxa"/>
            <w:hideMark/>
          </w:tcPr>
          <w:p w:rsidR="00303DE0" w:rsidRPr="005B0796" w:rsidRDefault="00303DE0" w:rsidP="00303DE0">
            <w:pPr>
              <w:pStyle w:val="TableText"/>
              <w:jc w:val="right"/>
            </w:pPr>
            <w:r w:rsidRPr="005B0796">
              <w:rPr>
                <w:rFonts w:eastAsia="Times New Roman"/>
              </w:rPr>
              <w:t xml:space="preserve"> 95% CI</w:t>
            </w:r>
          </w:p>
        </w:tc>
      </w:tr>
      <w:tr w:rsidR="00303DE0" w:rsidRPr="005B0796" w:rsidTr="00303DE0">
        <w:trPr>
          <w:cnfStyle w:val="000000100000" w:firstRow="0" w:lastRow="0" w:firstColumn="0" w:lastColumn="0" w:oddVBand="0" w:evenVBand="0" w:oddHBand="1" w:evenHBand="0" w:firstRowFirstColumn="0" w:firstRowLastColumn="0" w:lastRowFirstColumn="0" w:lastRowLastColumn="0"/>
        </w:trPr>
        <w:tc>
          <w:tcPr>
            <w:tcW w:w="1098" w:type="dxa"/>
            <w:hideMark/>
          </w:tcPr>
          <w:p w:rsidR="00893AD6" w:rsidRPr="005B0796" w:rsidRDefault="00893AD6" w:rsidP="00303DE0">
            <w:pPr>
              <w:pStyle w:val="TableText"/>
            </w:pPr>
            <w:r w:rsidRPr="005B0796">
              <w:rPr>
                <w:rFonts w:eastAsia="Times New Roman"/>
              </w:rPr>
              <w:t>Anger frequency</w:t>
            </w:r>
          </w:p>
        </w:tc>
        <w:tc>
          <w:tcPr>
            <w:tcW w:w="540" w:type="dxa"/>
            <w:hideMark/>
          </w:tcPr>
          <w:p w:rsidR="00893AD6" w:rsidRPr="005B0796" w:rsidRDefault="00893AD6" w:rsidP="00303DE0">
            <w:pPr>
              <w:pStyle w:val="TableText"/>
              <w:jc w:val="right"/>
            </w:pPr>
            <w:r w:rsidRPr="005B0796">
              <w:rPr>
                <w:rFonts w:eastAsia="Times New Roman"/>
              </w:rPr>
              <w:t>2.2</w:t>
            </w:r>
          </w:p>
        </w:tc>
        <w:tc>
          <w:tcPr>
            <w:tcW w:w="450" w:type="dxa"/>
            <w:hideMark/>
          </w:tcPr>
          <w:p w:rsidR="00893AD6" w:rsidRPr="005B0796" w:rsidRDefault="00893AD6" w:rsidP="00303DE0">
            <w:pPr>
              <w:pStyle w:val="TableText"/>
              <w:jc w:val="right"/>
            </w:pPr>
            <w:r w:rsidRPr="005B0796">
              <w:rPr>
                <w:rFonts w:eastAsia="Times New Roman"/>
              </w:rPr>
              <w:t>0.07</w:t>
            </w:r>
          </w:p>
        </w:tc>
        <w:tc>
          <w:tcPr>
            <w:tcW w:w="744" w:type="dxa"/>
            <w:hideMark/>
          </w:tcPr>
          <w:p w:rsidR="00893AD6" w:rsidRPr="005B0796" w:rsidRDefault="00893AD6" w:rsidP="00303DE0">
            <w:pPr>
              <w:pStyle w:val="TableText"/>
              <w:jc w:val="right"/>
            </w:pPr>
            <w:r w:rsidRPr="005B0796">
              <w:rPr>
                <w:rFonts w:eastAsia="Times New Roman"/>
              </w:rPr>
              <w:t>2.1, 2.4</w:t>
            </w:r>
          </w:p>
        </w:tc>
        <w:tc>
          <w:tcPr>
            <w:tcW w:w="516" w:type="dxa"/>
            <w:hideMark/>
          </w:tcPr>
          <w:p w:rsidR="00893AD6" w:rsidRPr="005B0796" w:rsidRDefault="00893AD6" w:rsidP="00303DE0">
            <w:pPr>
              <w:pStyle w:val="TableText"/>
              <w:jc w:val="right"/>
            </w:pPr>
            <w:r w:rsidRPr="005B0796">
              <w:rPr>
                <w:rFonts w:eastAsia="Times New Roman"/>
              </w:rPr>
              <w:t>2.4</w:t>
            </w:r>
          </w:p>
        </w:tc>
        <w:tc>
          <w:tcPr>
            <w:tcW w:w="450" w:type="dxa"/>
            <w:hideMark/>
          </w:tcPr>
          <w:p w:rsidR="00893AD6" w:rsidRPr="005B0796" w:rsidRDefault="00893AD6" w:rsidP="00303DE0">
            <w:pPr>
              <w:pStyle w:val="TableText"/>
              <w:jc w:val="right"/>
            </w:pPr>
            <w:r w:rsidRPr="005B0796">
              <w:rPr>
                <w:rFonts w:eastAsia="Times New Roman"/>
              </w:rPr>
              <w:t>0.05</w:t>
            </w:r>
          </w:p>
        </w:tc>
        <w:tc>
          <w:tcPr>
            <w:tcW w:w="769" w:type="dxa"/>
            <w:hideMark/>
          </w:tcPr>
          <w:p w:rsidR="00893AD6" w:rsidRPr="005B0796" w:rsidRDefault="00893AD6" w:rsidP="00303DE0">
            <w:pPr>
              <w:pStyle w:val="TableText"/>
              <w:jc w:val="right"/>
            </w:pPr>
            <w:r w:rsidRPr="005B0796">
              <w:rPr>
                <w:rFonts w:eastAsia="Times New Roman"/>
              </w:rPr>
              <w:t>2.3, 2.5</w:t>
            </w:r>
          </w:p>
        </w:tc>
        <w:tc>
          <w:tcPr>
            <w:tcW w:w="491" w:type="dxa"/>
            <w:hideMark/>
          </w:tcPr>
          <w:p w:rsidR="00893AD6" w:rsidRPr="005B0796" w:rsidRDefault="00893AD6" w:rsidP="00303DE0">
            <w:pPr>
              <w:pStyle w:val="TableText"/>
              <w:jc w:val="right"/>
            </w:pPr>
            <w:r w:rsidRPr="005B0796">
              <w:rPr>
                <w:rFonts w:eastAsia="Times New Roman"/>
              </w:rPr>
              <w:t>2.4</w:t>
            </w:r>
          </w:p>
        </w:tc>
        <w:tc>
          <w:tcPr>
            <w:tcW w:w="450" w:type="dxa"/>
            <w:hideMark/>
          </w:tcPr>
          <w:p w:rsidR="00893AD6" w:rsidRPr="005B0796" w:rsidRDefault="00893AD6" w:rsidP="00303DE0">
            <w:pPr>
              <w:pStyle w:val="TableText"/>
              <w:jc w:val="right"/>
            </w:pPr>
            <w:r w:rsidRPr="005B0796">
              <w:rPr>
                <w:rFonts w:eastAsia="Times New Roman"/>
              </w:rPr>
              <w:t>0.05</w:t>
            </w:r>
          </w:p>
        </w:tc>
        <w:tc>
          <w:tcPr>
            <w:tcW w:w="794" w:type="dxa"/>
            <w:hideMark/>
          </w:tcPr>
          <w:p w:rsidR="00893AD6" w:rsidRPr="005B0796" w:rsidRDefault="00893AD6" w:rsidP="00303DE0">
            <w:pPr>
              <w:pStyle w:val="TableText"/>
              <w:jc w:val="right"/>
            </w:pPr>
            <w:r w:rsidRPr="005B0796">
              <w:rPr>
                <w:rFonts w:eastAsia="Times New Roman"/>
              </w:rPr>
              <w:t>2.3, 2.5</w:t>
            </w:r>
          </w:p>
        </w:tc>
        <w:tc>
          <w:tcPr>
            <w:tcW w:w="556" w:type="dxa"/>
            <w:hideMark/>
          </w:tcPr>
          <w:p w:rsidR="00893AD6" w:rsidRPr="005B0796" w:rsidRDefault="00893AD6" w:rsidP="00303DE0">
            <w:pPr>
              <w:pStyle w:val="TableText"/>
              <w:jc w:val="right"/>
            </w:pPr>
            <w:r w:rsidRPr="005B0796">
              <w:rPr>
                <w:rFonts w:eastAsia="Times New Roman"/>
              </w:rPr>
              <w:t>2.5</w:t>
            </w:r>
          </w:p>
        </w:tc>
        <w:tc>
          <w:tcPr>
            <w:tcW w:w="450" w:type="dxa"/>
            <w:hideMark/>
          </w:tcPr>
          <w:p w:rsidR="00893AD6" w:rsidRPr="005B0796" w:rsidRDefault="00893AD6" w:rsidP="00303DE0">
            <w:pPr>
              <w:pStyle w:val="TableText"/>
              <w:jc w:val="right"/>
            </w:pPr>
            <w:r w:rsidRPr="005B0796">
              <w:rPr>
                <w:rFonts w:eastAsia="Times New Roman"/>
              </w:rPr>
              <w:t>0.05</w:t>
            </w:r>
          </w:p>
        </w:tc>
        <w:tc>
          <w:tcPr>
            <w:tcW w:w="728" w:type="dxa"/>
            <w:hideMark/>
          </w:tcPr>
          <w:p w:rsidR="00893AD6" w:rsidRPr="005B0796" w:rsidRDefault="00893AD6" w:rsidP="00303DE0">
            <w:pPr>
              <w:pStyle w:val="TableText"/>
              <w:jc w:val="right"/>
            </w:pPr>
            <w:r w:rsidRPr="005B0796">
              <w:rPr>
                <w:rFonts w:eastAsia="Times New Roman"/>
              </w:rPr>
              <w:t>2.4, 2.6</w:t>
            </w:r>
          </w:p>
        </w:tc>
        <w:tc>
          <w:tcPr>
            <w:tcW w:w="532" w:type="dxa"/>
            <w:hideMark/>
          </w:tcPr>
          <w:p w:rsidR="00893AD6" w:rsidRPr="005B0796" w:rsidRDefault="00893AD6" w:rsidP="00303DE0">
            <w:pPr>
              <w:pStyle w:val="TableText"/>
              <w:jc w:val="right"/>
            </w:pPr>
            <w:r w:rsidRPr="005B0796">
              <w:rPr>
                <w:rFonts w:eastAsia="Times New Roman"/>
              </w:rPr>
              <w:t>2.5</w:t>
            </w:r>
          </w:p>
        </w:tc>
        <w:tc>
          <w:tcPr>
            <w:tcW w:w="540" w:type="dxa"/>
            <w:hideMark/>
          </w:tcPr>
          <w:p w:rsidR="00893AD6" w:rsidRPr="005B0796" w:rsidRDefault="00893AD6" w:rsidP="00303DE0">
            <w:pPr>
              <w:pStyle w:val="TableText"/>
              <w:jc w:val="right"/>
            </w:pPr>
            <w:r w:rsidRPr="005B0796">
              <w:rPr>
                <w:rFonts w:eastAsia="Times New Roman"/>
              </w:rPr>
              <w:t>0.06</w:t>
            </w:r>
          </w:p>
        </w:tc>
        <w:tc>
          <w:tcPr>
            <w:tcW w:w="663" w:type="dxa"/>
            <w:hideMark/>
          </w:tcPr>
          <w:p w:rsidR="00893AD6" w:rsidRPr="005B0796" w:rsidRDefault="00893AD6" w:rsidP="00303DE0">
            <w:pPr>
              <w:pStyle w:val="TableText"/>
              <w:jc w:val="right"/>
            </w:pPr>
            <w:r w:rsidRPr="005B0796">
              <w:rPr>
                <w:rFonts w:eastAsia="Times New Roman"/>
              </w:rPr>
              <w:t>2.4, 2.6</w:t>
            </w:r>
          </w:p>
        </w:tc>
        <w:tc>
          <w:tcPr>
            <w:tcW w:w="578" w:type="dxa"/>
            <w:hideMark/>
          </w:tcPr>
          <w:p w:rsidR="00893AD6" w:rsidRPr="005B0796" w:rsidRDefault="00893AD6" w:rsidP="00303DE0">
            <w:pPr>
              <w:pStyle w:val="TableText"/>
              <w:jc w:val="right"/>
              <w:rPr>
                <w:rFonts w:eastAsia="Times New Roman"/>
              </w:rPr>
            </w:pPr>
            <w:r w:rsidRPr="005B0796">
              <w:rPr>
                <w:rFonts w:eastAsia="Times New Roman"/>
              </w:rPr>
              <w:t>2.4</w:t>
            </w:r>
          </w:p>
        </w:tc>
        <w:tc>
          <w:tcPr>
            <w:tcW w:w="469" w:type="dxa"/>
            <w:hideMark/>
          </w:tcPr>
          <w:p w:rsidR="00893AD6" w:rsidRPr="005B0796" w:rsidRDefault="00893AD6" w:rsidP="00303DE0">
            <w:pPr>
              <w:pStyle w:val="TableText"/>
              <w:jc w:val="right"/>
              <w:rPr>
                <w:rFonts w:eastAsia="Times New Roman"/>
              </w:rPr>
            </w:pPr>
            <w:r w:rsidRPr="005B0796">
              <w:rPr>
                <w:rFonts w:eastAsia="Times New Roman"/>
              </w:rPr>
              <w:t>0.06</w:t>
            </w:r>
          </w:p>
        </w:tc>
        <w:tc>
          <w:tcPr>
            <w:tcW w:w="688" w:type="dxa"/>
            <w:hideMark/>
          </w:tcPr>
          <w:p w:rsidR="00893AD6" w:rsidRPr="005B0796" w:rsidRDefault="00893AD6" w:rsidP="00303DE0">
            <w:pPr>
              <w:pStyle w:val="TableText"/>
              <w:jc w:val="right"/>
              <w:rPr>
                <w:rFonts w:eastAsia="Times New Roman"/>
              </w:rPr>
            </w:pPr>
            <w:r w:rsidRPr="005B0796">
              <w:rPr>
                <w:rFonts w:eastAsia="Times New Roman"/>
              </w:rPr>
              <w:t>2.3, 2.6</w:t>
            </w:r>
          </w:p>
        </w:tc>
      </w:tr>
      <w:tr w:rsidR="00AD56D5" w:rsidRPr="005B0796" w:rsidTr="00303DE0">
        <w:tc>
          <w:tcPr>
            <w:tcW w:w="1098" w:type="dxa"/>
            <w:hideMark/>
          </w:tcPr>
          <w:p w:rsidR="00893AD6" w:rsidRPr="005B0796" w:rsidRDefault="00893AD6" w:rsidP="00303DE0">
            <w:pPr>
              <w:pStyle w:val="TableText"/>
              <w:rPr>
                <w:b/>
              </w:rPr>
            </w:pPr>
            <w:r w:rsidRPr="005B0796">
              <w:rPr>
                <w:rFonts w:eastAsia="Times New Roman"/>
              </w:rPr>
              <w:t>Anger intensity</w:t>
            </w:r>
          </w:p>
        </w:tc>
        <w:tc>
          <w:tcPr>
            <w:tcW w:w="540" w:type="dxa"/>
            <w:hideMark/>
          </w:tcPr>
          <w:p w:rsidR="00893AD6" w:rsidRPr="005B0796" w:rsidRDefault="00893AD6" w:rsidP="00303DE0">
            <w:pPr>
              <w:pStyle w:val="TableText"/>
              <w:jc w:val="right"/>
            </w:pPr>
            <w:r w:rsidRPr="005B0796">
              <w:rPr>
                <w:rFonts w:eastAsia="Times New Roman"/>
              </w:rPr>
              <w:t>1.7</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0.06</w:t>
            </w:r>
          </w:p>
        </w:tc>
        <w:tc>
          <w:tcPr>
            <w:tcW w:w="744" w:type="dxa"/>
            <w:hideMark/>
          </w:tcPr>
          <w:p w:rsidR="00893AD6" w:rsidRPr="005B0796" w:rsidRDefault="00893AD6" w:rsidP="00303DE0">
            <w:pPr>
              <w:pStyle w:val="TableText"/>
              <w:jc w:val="right"/>
            </w:pPr>
            <w:r w:rsidRPr="005B0796">
              <w:rPr>
                <w:rFonts w:eastAsia="Times New Roman"/>
              </w:rPr>
              <w:t>1.6, 1.8</w:t>
            </w:r>
          </w:p>
        </w:tc>
        <w:tc>
          <w:tcPr>
            <w:tcW w:w="516" w:type="dxa"/>
            <w:hideMark/>
          </w:tcPr>
          <w:p w:rsidR="00893AD6" w:rsidRPr="005B0796" w:rsidRDefault="00893AD6" w:rsidP="00303DE0">
            <w:pPr>
              <w:pStyle w:val="TableText"/>
              <w:jc w:val="right"/>
            </w:pPr>
            <w:r w:rsidRPr="005B0796">
              <w:rPr>
                <w:rFonts w:eastAsia="Times New Roman"/>
              </w:rPr>
              <w:t>2.0</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69" w:type="dxa"/>
            <w:hideMark/>
          </w:tcPr>
          <w:p w:rsidR="00893AD6" w:rsidRPr="005B0796" w:rsidRDefault="00893AD6" w:rsidP="00303DE0">
            <w:pPr>
              <w:pStyle w:val="TableText"/>
              <w:jc w:val="right"/>
            </w:pPr>
            <w:r w:rsidRPr="005B0796">
              <w:rPr>
                <w:rFonts w:eastAsia="Times New Roman"/>
              </w:rPr>
              <w:t>1.9, 2.10</w:t>
            </w:r>
          </w:p>
        </w:tc>
        <w:tc>
          <w:tcPr>
            <w:tcW w:w="491" w:type="dxa"/>
            <w:hideMark/>
          </w:tcPr>
          <w:p w:rsidR="00893AD6" w:rsidRPr="005B0796" w:rsidRDefault="00893AD6" w:rsidP="00303DE0">
            <w:pPr>
              <w:pStyle w:val="TableText"/>
              <w:jc w:val="right"/>
            </w:pPr>
            <w:r w:rsidRPr="005B0796">
              <w:rPr>
                <w:rFonts w:eastAsia="Times New Roman"/>
              </w:rPr>
              <w:t>1.9</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94" w:type="dxa"/>
            <w:hideMark/>
          </w:tcPr>
          <w:p w:rsidR="00893AD6" w:rsidRPr="005B0796" w:rsidRDefault="00893AD6" w:rsidP="00303DE0">
            <w:pPr>
              <w:pStyle w:val="TableText"/>
              <w:jc w:val="right"/>
            </w:pPr>
            <w:r w:rsidRPr="005B0796">
              <w:rPr>
                <w:rFonts w:eastAsia="Times New Roman"/>
              </w:rPr>
              <w:t>1.9, 2.1</w:t>
            </w:r>
          </w:p>
        </w:tc>
        <w:tc>
          <w:tcPr>
            <w:tcW w:w="556" w:type="dxa"/>
            <w:hideMark/>
          </w:tcPr>
          <w:p w:rsidR="00893AD6" w:rsidRPr="005B0796" w:rsidRDefault="00893AD6" w:rsidP="00303DE0">
            <w:pPr>
              <w:pStyle w:val="TableText"/>
              <w:jc w:val="right"/>
            </w:pPr>
            <w:r w:rsidRPr="005B0796">
              <w:rPr>
                <w:rFonts w:eastAsia="Times New Roman"/>
              </w:rPr>
              <w:t>2.1</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28" w:type="dxa"/>
            <w:hideMark/>
          </w:tcPr>
          <w:p w:rsidR="00893AD6" w:rsidRPr="005B0796" w:rsidRDefault="00893AD6" w:rsidP="00303DE0">
            <w:pPr>
              <w:pStyle w:val="TableText"/>
              <w:jc w:val="right"/>
            </w:pPr>
            <w:r w:rsidRPr="005B0796">
              <w:rPr>
                <w:rFonts w:eastAsia="Times New Roman"/>
              </w:rPr>
              <w:t>1.9, 2.2</w:t>
            </w:r>
          </w:p>
        </w:tc>
        <w:tc>
          <w:tcPr>
            <w:tcW w:w="532" w:type="dxa"/>
            <w:hideMark/>
          </w:tcPr>
          <w:p w:rsidR="00893AD6" w:rsidRPr="005B0796" w:rsidRDefault="00893AD6" w:rsidP="00303DE0">
            <w:pPr>
              <w:pStyle w:val="TableText"/>
              <w:jc w:val="right"/>
            </w:pPr>
            <w:r w:rsidRPr="005B0796">
              <w:rPr>
                <w:rFonts w:eastAsia="Times New Roman"/>
              </w:rPr>
              <w:t>2.1</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0.06</w:t>
            </w:r>
          </w:p>
        </w:tc>
        <w:tc>
          <w:tcPr>
            <w:tcW w:w="663" w:type="dxa"/>
            <w:hideMark/>
          </w:tcPr>
          <w:p w:rsidR="00893AD6" w:rsidRPr="005B0796" w:rsidRDefault="00893AD6" w:rsidP="00303DE0">
            <w:pPr>
              <w:pStyle w:val="TableText"/>
              <w:jc w:val="right"/>
            </w:pPr>
            <w:r w:rsidRPr="005B0796">
              <w:rPr>
                <w:rFonts w:eastAsia="Times New Roman"/>
              </w:rPr>
              <w:t>1.9, 2.2</w:t>
            </w:r>
          </w:p>
        </w:tc>
        <w:tc>
          <w:tcPr>
            <w:tcW w:w="578" w:type="dxa"/>
            <w:hideMark/>
          </w:tcPr>
          <w:p w:rsidR="00893AD6" w:rsidRPr="005B0796" w:rsidRDefault="00893AD6" w:rsidP="00303DE0">
            <w:pPr>
              <w:pStyle w:val="TableText"/>
              <w:jc w:val="right"/>
              <w:rPr>
                <w:rFonts w:eastAsia="Times New Roman"/>
              </w:rPr>
            </w:pPr>
            <w:r w:rsidRPr="005B0796">
              <w:rPr>
                <w:rFonts w:eastAsia="Times New Roman"/>
              </w:rPr>
              <w:t>1.9</w:t>
            </w:r>
          </w:p>
        </w:tc>
        <w:tc>
          <w:tcPr>
            <w:tcW w:w="469" w:type="dxa"/>
            <w:hideMark/>
          </w:tcPr>
          <w:p w:rsidR="00893AD6" w:rsidRPr="005B0796" w:rsidRDefault="00893AD6" w:rsidP="00303DE0">
            <w:pPr>
              <w:pStyle w:val="TableText"/>
              <w:jc w:val="right"/>
              <w:rPr>
                <w:rFonts w:eastAsia="Times New Roman"/>
              </w:rPr>
            </w:pPr>
            <w:r w:rsidRPr="005B0796">
              <w:rPr>
                <w:rFonts w:eastAsia="Times New Roman"/>
              </w:rPr>
              <w:t>0.07</w:t>
            </w:r>
          </w:p>
        </w:tc>
        <w:tc>
          <w:tcPr>
            <w:tcW w:w="688" w:type="dxa"/>
            <w:hideMark/>
          </w:tcPr>
          <w:p w:rsidR="00893AD6" w:rsidRPr="005B0796" w:rsidRDefault="00893AD6" w:rsidP="00303DE0">
            <w:pPr>
              <w:pStyle w:val="TableText"/>
              <w:jc w:val="right"/>
              <w:rPr>
                <w:rFonts w:eastAsia="Times New Roman"/>
              </w:rPr>
            </w:pPr>
            <w:r w:rsidRPr="005B0796">
              <w:rPr>
                <w:rFonts w:eastAsia="Times New Roman"/>
              </w:rPr>
              <w:t>1.9, 2.1</w:t>
            </w:r>
          </w:p>
        </w:tc>
      </w:tr>
      <w:tr w:rsidR="00303DE0" w:rsidRPr="005B0796" w:rsidTr="00303DE0">
        <w:trPr>
          <w:cnfStyle w:val="000000100000" w:firstRow="0" w:lastRow="0" w:firstColumn="0" w:lastColumn="0" w:oddVBand="0" w:evenVBand="0" w:oddHBand="1" w:evenHBand="0" w:firstRowFirstColumn="0" w:firstRowLastColumn="0" w:lastRowFirstColumn="0" w:lastRowLastColumn="0"/>
        </w:trPr>
        <w:tc>
          <w:tcPr>
            <w:tcW w:w="1098" w:type="dxa"/>
            <w:hideMark/>
          </w:tcPr>
          <w:p w:rsidR="00893AD6" w:rsidRPr="005B0796" w:rsidRDefault="00893AD6" w:rsidP="00303DE0">
            <w:pPr>
              <w:pStyle w:val="TableText"/>
              <w:rPr>
                <w:b/>
              </w:rPr>
            </w:pPr>
            <w:r w:rsidRPr="005B0796">
              <w:rPr>
                <w:rFonts w:eastAsia="Times New Roman"/>
              </w:rPr>
              <w:t>Anger duration</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1.7</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0.07</w:t>
            </w:r>
          </w:p>
        </w:tc>
        <w:tc>
          <w:tcPr>
            <w:tcW w:w="744" w:type="dxa"/>
            <w:hideMark/>
          </w:tcPr>
          <w:p w:rsidR="00893AD6" w:rsidRPr="005B0796" w:rsidRDefault="00893AD6" w:rsidP="00303DE0">
            <w:pPr>
              <w:pStyle w:val="TableText"/>
              <w:jc w:val="right"/>
            </w:pPr>
            <w:r w:rsidRPr="005B0796">
              <w:rPr>
                <w:rFonts w:eastAsia="Times New Roman"/>
              </w:rPr>
              <w:t>1.5, 1.8</w:t>
            </w:r>
          </w:p>
        </w:tc>
        <w:tc>
          <w:tcPr>
            <w:tcW w:w="516" w:type="dxa"/>
            <w:hideMark/>
          </w:tcPr>
          <w:p w:rsidR="00893AD6" w:rsidRPr="005B0796" w:rsidRDefault="00893AD6" w:rsidP="00303DE0">
            <w:pPr>
              <w:pStyle w:val="TableText"/>
              <w:jc w:val="right"/>
            </w:pPr>
            <w:r w:rsidRPr="005B0796">
              <w:rPr>
                <w:rFonts w:eastAsia="Times New Roman"/>
              </w:rPr>
              <w:t>1.9</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69" w:type="dxa"/>
            <w:hideMark/>
          </w:tcPr>
          <w:p w:rsidR="00893AD6" w:rsidRPr="005B0796" w:rsidRDefault="00893AD6" w:rsidP="00303DE0">
            <w:pPr>
              <w:pStyle w:val="TableText"/>
              <w:jc w:val="right"/>
            </w:pPr>
            <w:r w:rsidRPr="005B0796">
              <w:rPr>
                <w:rFonts w:eastAsia="Times New Roman"/>
              </w:rPr>
              <w:t>1.8, 1.9</w:t>
            </w:r>
          </w:p>
        </w:tc>
        <w:tc>
          <w:tcPr>
            <w:tcW w:w="491" w:type="dxa"/>
            <w:hideMark/>
          </w:tcPr>
          <w:p w:rsidR="00893AD6" w:rsidRPr="005B0796" w:rsidRDefault="00893AD6" w:rsidP="00303DE0">
            <w:pPr>
              <w:pStyle w:val="TableText"/>
              <w:jc w:val="right"/>
            </w:pPr>
            <w:r w:rsidRPr="005B0796">
              <w:rPr>
                <w:rFonts w:eastAsia="Times New Roman"/>
              </w:rPr>
              <w:t>1.9</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94" w:type="dxa"/>
            <w:hideMark/>
          </w:tcPr>
          <w:p w:rsidR="00893AD6" w:rsidRPr="005B0796" w:rsidRDefault="00893AD6" w:rsidP="00303DE0">
            <w:pPr>
              <w:pStyle w:val="TableText"/>
              <w:jc w:val="right"/>
            </w:pPr>
            <w:r w:rsidRPr="005B0796">
              <w:rPr>
                <w:rFonts w:eastAsia="Times New Roman"/>
              </w:rPr>
              <w:t>1.8, 2.0</w:t>
            </w:r>
          </w:p>
        </w:tc>
        <w:tc>
          <w:tcPr>
            <w:tcW w:w="556" w:type="dxa"/>
            <w:hideMark/>
          </w:tcPr>
          <w:p w:rsidR="00893AD6" w:rsidRPr="005B0796" w:rsidRDefault="00893AD6" w:rsidP="00303DE0">
            <w:pPr>
              <w:pStyle w:val="TableText"/>
              <w:jc w:val="right"/>
            </w:pPr>
            <w:r w:rsidRPr="005B0796">
              <w:rPr>
                <w:rFonts w:eastAsia="Times New Roman"/>
              </w:rPr>
              <w:t>1.9</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28" w:type="dxa"/>
            <w:hideMark/>
          </w:tcPr>
          <w:p w:rsidR="00893AD6" w:rsidRPr="005B0796" w:rsidRDefault="00893AD6" w:rsidP="00303DE0">
            <w:pPr>
              <w:pStyle w:val="TableText"/>
              <w:jc w:val="right"/>
            </w:pPr>
            <w:r w:rsidRPr="005B0796">
              <w:rPr>
                <w:rFonts w:eastAsia="Times New Roman"/>
              </w:rPr>
              <w:t>1.8, 2.0</w:t>
            </w:r>
          </w:p>
        </w:tc>
        <w:tc>
          <w:tcPr>
            <w:tcW w:w="532" w:type="dxa"/>
            <w:hideMark/>
          </w:tcPr>
          <w:p w:rsidR="00893AD6" w:rsidRPr="005B0796" w:rsidRDefault="00893AD6" w:rsidP="00303DE0">
            <w:pPr>
              <w:pStyle w:val="TableText"/>
              <w:jc w:val="right"/>
            </w:pPr>
            <w:r w:rsidRPr="005B0796">
              <w:rPr>
                <w:rFonts w:eastAsia="Times New Roman"/>
              </w:rPr>
              <w:t>1.9</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0.06</w:t>
            </w:r>
          </w:p>
        </w:tc>
        <w:tc>
          <w:tcPr>
            <w:tcW w:w="663" w:type="dxa"/>
            <w:hideMark/>
          </w:tcPr>
          <w:p w:rsidR="00893AD6" w:rsidRPr="005B0796" w:rsidRDefault="00893AD6" w:rsidP="00303DE0">
            <w:pPr>
              <w:pStyle w:val="TableText"/>
              <w:jc w:val="right"/>
            </w:pPr>
            <w:r w:rsidRPr="005B0796">
              <w:rPr>
                <w:rFonts w:eastAsia="Times New Roman"/>
              </w:rPr>
              <w:t>1.8, 2.0</w:t>
            </w:r>
          </w:p>
        </w:tc>
        <w:tc>
          <w:tcPr>
            <w:tcW w:w="578" w:type="dxa"/>
            <w:hideMark/>
          </w:tcPr>
          <w:p w:rsidR="00893AD6" w:rsidRPr="005B0796" w:rsidRDefault="00893AD6" w:rsidP="00303DE0">
            <w:pPr>
              <w:pStyle w:val="TableText"/>
              <w:jc w:val="right"/>
              <w:rPr>
                <w:rFonts w:eastAsia="Times New Roman"/>
              </w:rPr>
            </w:pPr>
            <w:r w:rsidRPr="005B0796">
              <w:rPr>
                <w:rFonts w:eastAsia="Times New Roman"/>
              </w:rPr>
              <w:t>1.9</w:t>
            </w:r>
          </w:p>
        </w:tc>
        <w:tc>
          <w:tcPr>
            <w:tcW w:w="469" w:type="dxa"/>
            <w:hideMark/>
          </w:tcPr>
          <w:p w:rsidR="00893AD6" w:rsidRPr="005B0796" w:rsidRDefault="00893AD6" w:rsidP="00303DE0">
            <w:pPr>
              <w:pStyle w:val="TableText"/>
              <w:jc w:val="right"/>
              <w:rPr>
                <w:rFonts w:eastAsia="Times New Roman"/>
              </w:rPr>
            </w:pPr>
            <w:r w:rsidRPr="005B0796">
              <w:rPr>
                <w:rFonts w:eastAsia="Times New Roman"/>
              </w:rPr>
              <w:t>0.07</w:t>
            </w:r>
          </w:p>
        </w:tc>
        <w:tc>
          <w:tcPr>
            <w:tcW w:w="688" w:type="dxa"/>
            <w:hideMark/>
          </w:tcPr>
          <w:p w:rsidR="00893AD6" w:rsidRPr="005B0796" w:rsidRDefault="00893AD6" w:rsidP="00303DE0">
            <w:pPr>
              <w:pStyle w:val="TableText"/>
              <w:jc w:val="right"/>
              <w:rPr>
                <w:rFonts w:eastAsia="Times New Roman"/>
              </w:rPr>
            </w:pPr>
            <w:r w:rsidRPr="005B0796">
              <w:rPr>
                <w:rFonts w:eastAsia="Times New Roman"/>
              </w:rPr>
              <w:t>1.8, 2.0</w:t>
            </w:r>
          </w:p>
        </w:tc>
      </w:tr>
      <w:tr w:rsidR="00AD56D5" w:rsidRPr="005B0796" w:rsidTr="00303DE0">
        <w:tc>
          <w:tcPr>
            <w:tcW w:w="1098" w:type="dxa"/>
            <w:hideMark/>
          </w:tcPr>
          <w:p w:rsidR="00893AD6" w:rsidRPr="005B0796" w:rsidRDefault="00893AD6" w:rsidP="00303DE0">
            <w:pPr>
              <w:pStyle w:val="TableText"/>
            </w:pPr>
            <w:r w:rsidRPr="005B0796">
              <w:rPr>
                <w:rFonts w:eastAsia="Times New Roman"/>
              </w:rPr>
              <w:t>Antagonism towards others</w:t>
            </w:r>
          </w:p>
        </w:tc>
        <w:tc>
          <w:tcPr>
            <w:tcW w:w="540" w:type="dxa"/>
            <w:hideMark/>
          </w:tcPr>
          <w:p w:rsidR="00893AD6" w:rsidRPr="005B0796" w:rsidRDefault="00893AD6" w:rsidP="00303DE0">
            <w:pPr>
              <w:pStyle w:val="TableText"/>
              <w:jc w:val="right"/>
            </w:pPr>
            <w:r w:rsidRPr="005B0796">
              <w:rPr>
                <w:rFonts w:eastAsia="Times New Roman"/>
              </w:rPr>
              <w:t>1.5</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0.06</w:t>
            </w:r>
          </w:p>
        </w:tc>
        <w:tc>
          <w:tcPr>
            <w:tcW w:w="744" w:type="dxa"/>
            <w:hideMark/>
          </w:tcPr>
          <w:p w:rsidR="00893AD6" w:rsidRPr="005B0796" w:rsidRDefault="00893AD6" w:rsidP="00303DE0">
            <w:pPr>
              <w:pStyle w:val="TableText"/>
              <w:jc w:val="right"/>
            </w:pPr>
            <w:r w:rsidRPr="005B0796">
              <w:rPr>
                <w:rFonts w:eastAsia="Times New Roman"/>
              </w:rPr>
              <w:t>1.4, 1.6</w:t>
            </w:r>
          </w:p>
        </w:tc>
        <w:tc>
          <w:tcPr>
            <w:tcW w:w="516" w:type="dxa"/>
            <w:hideMark/>
          </w:tcPr>
          <w:p w:rsidR="00893AD6" w:rsidRPr="005B0796" w:rsidRDefault="00893AD6" w:rsidP="00303DE0">
            <w:pPr>
              <w:pStyle w:val="TableText"/>
              <w:jc w:val="right"/>
            </w:pPr>
            <w:r w:rsidRPr="005B0796">
              <w:rPr>
                <w:rFonts w:eastAsia="Times New Roman"/>
              </w:rPr>
              <w:t>1.7</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69" w:type="dxa"/>
            <w:hideMark/>
          </w:tcPr>
          <w:p w:rsidR="00893AD6" w:rsidRPr="005B0796" w:rsidRDefault="00893AD6" w:rsidP="00303DE0">
            <w:pPr>
              <w:pStyle w:val="TableText"/>
              <w:jc w:val="right"/>
            </w:pPr>
            <w:r w:rsidRPr="005B0796">
              <w:rPr>
                <w:rFonts w:eastAsia="Times New Roman"/>
              </w:rPr>
              <w:t>1.60, 1.8</w:t>
            </w:r>
          </w:p>
        </w:tc>
        <w:tc>
          <w:tcPr>
            <w:tcW w:w="491" w:type="dxa"/>
            <w:hideMark/>
          </w:tcPr>
          <w:p w:rsidR="00893AD6" w:rsidRPr="005B0796" w:rsidRDefault="00893AD6" w:rsidP="00303DE0">
            <w:pPr>
              <w:pStyle w:val="TableText"/>
              <w:jc w:val="right"/>
            </w:pPr>
            <w:r w:rsidRPr="005B0796">
              <w:rPr>
                <w:rFonts w:eastAsia="Times New Roman"/>
              </w:rPr>
              <w:t>1.7</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94" w:type="dxa"/>
            <w:hideMark/>
          </w:tcPr>
          <w:p w:rsidR="00893AD6" w:rsidRPr="005B0796" w:rsidRDefault="00893AD6" w:rsidP="00303DE0">
            <w:pPr>
              <w:pStyle w:val="TableText"/>
              <w:jc w:val="right"/>
            </w:pPr>
            <w:r w:rsidRPr="005B0796">
              <w:rPr>
                <w:rFonts w:eastAsia="Times New Roman"/>
              </w:rPr>
              <w:t>1.6, 1.8</w:t>
            </w:r>
          </w:p>
        </w:tc>
        <w:tc>
          <w:tcPr>
            <w:tcW w:w="556" w:type="dxa"/>
            <w:hideMark/>
          </w:tcPr>
          <w:p w:rsidR="00893AD6" w:rsidRPr="005B0796" w:rsidRDefault="00893AD6" w:rsidP="00303DE0">
            <w:pPr>
              <w:pStyle w:val="TableText"/>
              <w:jc w:val="right"/>
            </w:pPr>
            <w:r w:rsidRPr="005B0796">
              <w:rPr>
                <w:rFonts w:eastAsia="Times New Roman"/>
              </w:rPr>
              <w:t>1.8</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28" w:type="dxa"/>
            <w:hideMark/>
          </w:tcPr>
          <w:p w:rsidR="00893AD6" w:rsidRPr="005B0796" w:rsidRDefault="00893AD6" w:rsidP="00303DE0">
            <w:pPr>
              <w:pStyle w:val="TableText"/>
              <w:jc w:val="right"/>
            </w:pPr>
            <w:r w:rsidRPr="005B0796">
              <w:rPr>
                <w:rFonts w:eastAsia="Times New Roman"/>
              </w:rPr>
              <w:t>1.7, 1.9</w:t>
            </w:r>
          </w:p>
        </w:tc>
        <w:tc>
          <w:tcPr>
            <w:tcW w:w="532" w:type="dxa"/>
            <w:hideMark/>
          </w:tcPr>
          <w:p w:rsidR="00893AD6" w:rsidRPr="005B0796" w:rsidRDefault="00893AD6" w:rsidP="00303DE0">
            <w:pPr>
              <w:pStyle w:val="TableText"/>
              <w:jc w:val="right"/>
            </w:pPr>
            <w:r w:rsidRPr="005B0796">
              <w:rPr>
                <w:rFonts w:eastAsia="Times New Roman"/>
              </w:rPr>
              <w:t>1.7</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663" w:type="dxa"/>
            <w:hideMark/>
          </w:tcPr>
          <w:p w:rsidR="00893AD6" w:rsidRPr="005B0796" w:rsidRDefault="00893AD6" w:rsidP="00303DE0">
            <w:pPr>
              <w:pStyle w:val="TableText"/>
              <w:jc w:val="right"/>
            </w:pPr>
            <w:r w:rsidRPr="005B0796">
              <w:rPr>
                <w:rFonts w:eastAsia="Times New Roman"/>
              </w:rPr>
              <w:t>1.6, 1.8</w:t>
            </w:r>
          </w:p>
        </w:tc>
        <w:tc>
          <w:tcPr>
            <w:tcW w:w="578" w:type="dxa"/>
            <w:hideMark/>
          </w:tcPr>
          <w:p w:rsidR="00893AD6" w:rsidRPr="005B0796" w:rsidRDefault="00893AD6" w:rsidP="00303DE0">
            <w:pPr>
              <w:pStyle w:val="TableText"/>
              <w:jc w:val="right"/>
              <w:rPr>
                <w:rFonts w:eastAsia="Times New Roman"/>
              </w:rPr>
            </w:pPr>
            <w:r w:rsidRPr="005B0796">
              <w:rPr>
                <w:rFonts w:eastAsia="Times New Roman"/>
              </w:rPr>
              <w:t>1.9</w:t>
            </w:r>
          </w:p>
        </w:tc>
        <w:tc>
          <w:tcPr>
            <w:tcW w:w="469" w:type="dxa"/>
            <w:hideMark/>
          </w:tcPr>
          <w:p w:rsidR="00893AD6" w:rsidRPr="005B0796" w:rsidRDefault="00893AD6" w:rsidP="00303DE0">
            <w:pPr>
              <w:pStyle w:val="TableText"/>
              <w:jc w:val="right"/>
              <w:rPr>
                <w:rFonts w:eastAsia="Times New Roman"/>
              </w:rPr>
            </w:pPr>
            <w:r w:rsidRPr="005B0796">
              <w:rPr>
                <w:rFonts w:eastAsia="Times New Roman"/>
              </w:rPr>
              <w:t>0.07</w:t>
            </w:r>
          </w:p>
        </w:tc>
        <w:tc>
          <w:tcPr>
            <w:tcW w:w="688" w:type="dxa"/>
            <w:hideMark/>
          </w:tcPr>
          <w:p w:rsidR="00893AD6" w:rsidRPr="005B0796" w:rsidRDefault="00893AD6" w:rsidP="00303DE0">
            <w:pPr>
              <w:pStyle w:val="TableText"/>
              <w:jc w:val="right"/>
              <w:rPr>
                <w:rFonts w:eastAsia="Times New Roman"/>
              </w:rPr>
            </w:pPr>
            <w:r w:rsidRPr="005B0796">
              <w:rPr>
                <w:rFonts w:eastAsia="Times New Roman"/>
              </w:rPr>
              <w:t>1.6, 1.90</w:t>
            </w:r>
          </w:p>
        </w:tc>
      </w:tr>
      <w:tr w:rsidR="00303DE0" w:rsidRPr="005B0796" w:rsidTr="00303DE0">
        <w:trPr>
          <w:cnfStyle w:val="000000100000" w:firstRow="0" w:lastRow="0" w:firstColumn="0" w:lastColumn="0" w:oddVBand="0" w:evenVBand="0" w:oddHBand="1" w:evenHBand="0" w:firstRowFirstColumn="0" w:firstRowLastColumn="0" w:lastRowFirstColumn="0" w:lastRowLastColumn="0"/>
        </w:trPr>
        <w:tc>
          <w:tcPr>
            <w:tcW w:w="1098" w:type="dxa"/>
            <w:hideMark/>
          </w:tcPr>
          <w:p w:rsidR="00893AD6" w:rsidRPr="005B0796" w:rsidRDefault="00893AD6" w:rsidP="00303DE0">
            <w:pPr>
              <w:pStyle w:val="TableText"/>
            </w:pPr>
            <w:r w:rsidRPr="005B0796">
              <w:rPr>
                <w:rFonts w:eastAsia="Times New Roman"/>
              </w:rPr>
              <w:t>Social relations</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1.6</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0.06</w:t>
            </w:r>
          </w:p>
        </w:tc>
        <w:tc>
          <w:tcPr>
            <w:tcW w:w="744" w:type="dxa"/>
            <w:hideMark/>
          </w:tcPr>
          <w:p w:rsidR="00893AD6" w:rsidRPr="005B0796" w:rsidRDefault="00893AD6" w:rsidP="00303DE0">
            <w:pPr>
              <w:pStyle w:val="TableText"/>
              <w:jc w:val="right"/>
              <w:rPr>
                <w:rFonts w:eastAsia="Times New Roman"/>
              </w:rPr>
            </w:pPr>
            <w:r w:rsidRPr="005B0796">
              <w:rPr>
                <w:rFonts w:eastAsia="Times New Roman"/>
              </w:rPr>
              <w:t>1.5, 1.7</w:t>
            </w:r>
          </w:p>
        </w:tc>
        <w:tc>
          <w:tcPr>
            <w:tcW w:w="516" w:type="dxa"/>
            <w:hideMark/>
          </w:tcPr>
          <w:p w:rsidR="00893AD6" w:rsidRPr="005B0796" w:rsidRDefault="00893AD6" w:rsidP="00303DE0">
            <w:pPr>
              <w:pStyle w:val="TableText"/>
              <w:jc w:val="right"/>
              <w:rPr>
                <w:rFonts w:eastAsia="Times New Roman"/>
              </w:rPr>
            </w:pPr>
            <w:r w:rsidRPr="005B0796">
              <w:rPr>
                <w:rFonts w:eastAsia="Times New Roman"/>
              </w:rPr>
              <w:t>1.8</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69" w:type="dxa"/>
            <w:hideMark/>
          </w:tcPr>
          <w:p w:rsidR="00893AD6" w:rsidRPr="005B0796" w:rsidRDefault="00893AD6" w:rsidP="00303DE0">
            <w:pPr>
              <w:pStyle w:val="TableText"/>
              <w:jc w:val="right"/>
              <w:rPr>
                <w:rFonts w:eastAsia="Times New Roman"/>
              </w:rPr>
            </w:pPr>
            <w:r w:rsidRPr="005B0796">
              <w:rPr>
                <w:rFonts w:eastAsia="Times New Roman"/>
              </w:rPr>
              <w:t>1.7, 1.9</w:t>
            </w:r>
          </w:p>
        </w:tc>
        <w:tc>
          <w:tcPr>
            <w:tcW w:w="491" w:type="dxa"/>
            <w:hideMark/>
          </w:tcPr>
          <w:p w:rsidR="00893AD6" w:rsidRPr="005B0796" w:rsidRDefault="00893AD6" w:rsidP="00303DE0">
            <w:pPr>
              <w:pStyle w:val="TableText"/>
              <w:jc w:val="right"/>
              <w:rPr>
                <w:rFonts w:eastAsia="Times New Roman"/>
              </w:rPr>
            </w:pPr>
            <w:r w:rsidRPr="005B0796">
              <w:rPr>
                <w:rFonts w:eastAsia="Times New Roman"/>
              </w:rPr>
              <w:t>1.8</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94" w:type="dxa"/>
            <w:hideMark/>
          </w:tcPr>
          <w:p w:rsidR="00893AD6" w:rsidRPr="005B0796" w:rsidRDefault="00893AD6" w:rsidP="00303DE0">
            <w:pPr>
              <w:pStyle w:val="TableText"/>
              <w:jc w:val="right"/>
              <w:rPr>
                <w:rFonts w:eastAsia="Times New Roman"/>
              </w:rPr>
            </w:pPr>
            <w:r w:rsidRPr="005B0796">
              <w:rPr>
                <w:rFonts w:eastAsia="Times New Roman"/>
              </w:rPr>
              <w:t>1.7, 1.9</w:t>
            </w:r>
          </w:p>
        </w:tc>
        <w:tc>
          <w:tcPr>
            <w:tcW w:w="556" w:type="dxa"/>
            <w:hideMark/>
          </w:tcPr>
          <w:p w:rsidR="00893AD6" w:rsidRPr="005B0796" w:rsidRDefault="00893AD6" w:rsidP="00303DE0">
            <w:pPr>
              <w:pStyle w:val="TableText"/>
              <w:jc w:val="right"/>
              <w:rPr>
                <w:rFonts w:eastAsia="Times New Roman"/>
              </w:rPr>
            </w:pPr>
            <w:r w:rsidRPr="005B0796">
              <w:rPr>
                <w:rFonts w:eastAsia="Times New Roman"/>
              </w:rPr>
              <w:t>1.9</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728" w:type="dxa"/>
            <w:hideMark/>
          </w:tcPr>
          <w:p w:rsidR="00893AD6" w:rsidRPr="005B0796" w:rsidRDefault="00893AD6" w:rsidP="00303DE0">
            <w:pPr>
              <w:pStyle w:val="TableText"/>
              <w:jc w:val="right"/>
              <w:rPr>
                <w:rFonts w:eastAsia="Times New Roman"/>
              </w:rPr>
            </w:pPr>
            <w:r w:rsidRPr="005B0796">
              <w:rPr>
                <w:rFonts w:eastAsia="Times New Roman"/>
              </w:rPr>
              <w:t>1.8, 1.9</w:t>
            </w:r>
          </w:p>
        </w:tc>
        <w:tc>
          <w:tcPr>
            <w:tcW w:w="532" w:type="dxa"/>
            <w:hideMark/>
          </w:tcPr>
          <w:p w:rsidR="00893AD6" w:rsidRPr="005B0796" w:rsidRDefault="00893AD6" w:rsidP="00303DE0">
            <w:pPr>
              <w:pStyle w:val="TableText"/>
              <w:jc w:val="right"/>
              <w:rPr>
                <w:rFonts w:eastAsia="Times New Roman"/>
              </w:rPr>
            </w:pPr>
            <w:r w:rsidRPr="005B0796">
              <w:rPr>
                <w:rFonts w:eastAsia="Times New Roman"/>
              </w:rPr>
              <w:t>1.8</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0.05</w:t>
            </w:r>
          </w:p>
        </w:tc>
        <w:tc>
          <w:tcPr>
            <w:tcW w:w="663" w:type="dxa"/>
            <w:hideMark/>
          </w:tcPr>
          <w:p w:rsidR="00893AD6" w:rsidRPr="005B0796" w:rsidRDefault="00893AD6" w:rsidP="00303DE0">
            <w:pPr>
              <w:pStyle w:val="TableText"/>
              <w:jc w:val="right"/>
              <w:rPr>
                <w:rFonts w:eastAsia="Times New Roman"/>
              </w:rPr>
            </w:pPr>
            <w:r w:rsidRPr="005B0796">
              <w:rPr>
                <w:rFonts w:eastAsia="Times New Roman"/>
              </w:rPr>
              <w:t>1.7, 1.9</w:t>
            </w:r>
          </w:p>
        </w:tc>
        <w:tc>
          <w:tcPr>
            <w:tcW w:w="578" w:type="dxa"/>
            <w:hideMark/>
          </w:tcPr>
          <w:p w:rsidR="00893AD6" w:rsidRPr="005B0796" w:rsidRDefault="00893AD6" w:rsidP="00303DE0">
            <w:pPr>
              <w:pStyle w:val="TableText"/>
              <w:jc w:val="right"/>
              <w:rPr>
                <w:rFonts w:eastAsia="Times New Roman"/>
              </w:rPr>
            </w:pPr>
            <w:r w:rsidRPr="005B0796">
              <w:rPr>
                <w:rFonts w:eastAsia="Times New Roman"/>
              </w:rPr>
              <w:t>1.9</w:t>
            </w:r>
          </w:p>
        </w:tc>
        <w:tc>
          <w:tcPr>
            <w:tcW w:w="469" w:type="dxa"/>
            <w:hideMark/>
          </w:tcPr>
          <w:p w:rsidR="00893AD6" w:rsidRPr="005B0796" w:rsidRDefault="00893AD6" w:rsidP="00303DE0">
            <w:pPr>
              <w:pStyle w:val="TableText"/>
              <w:jc w:val="right"/>
              <w:rPr>
                <w:rFonts w:eastAsia="Times New Roman"/>
              </w:rPr>
            </w:pPr>
            <w:r w:rsidRPr="005B0796">
              <w:rPr>
                <w:rFonts w:eastAsia="Times New Roman"/>
              </w:rPr>
              <w:t>0.07</w:t>
            </w:r>
          </w:p>
        </w:tc>
        <w:tc>
          <w:tcPr>
            <w:tcW w:w="688" w:type="dxa"/>
            <w:hideMark/>
          </w:tcPr>
          <w:p w:rsidR="00893AD6" w:rsidRPr="005B0796" w:rsidRDefault="00893AD6" w:rsidP="00303DE0">
            <w:pPr>
              <w:pStyle w:val="TableText"/>
              <w:jc w:val="right"/>
              <w:rPr>
                <w:rFonts w:eastAsia="Times New Roman"/>
              </w:rPr>
            </w:pPr>
            <w:r w:rsidRPr="005B0796">
              <w:rPr>
                <w:rFonts w:eastAsia="Times New Roman"/>
              </w:rPr>
              <w:t>1.7, 1.9</w:t>
            </w:r>
          </w:p>
        </w:tc>
      </w:tr>
      <w:tr w:rsidR="00AD56D5" w:rsidRPr="005B0796" w:rsidTr="00303DE0">
        <w:tc>
          <w:tcPr>
            <w:tcW w:w="1098" w:type="dxa"/>
            <w:hideMark/>
          </w:tcPr>
          <w:p w:rsidR="00893AD6" w:rsidRPr="005B0796" w:rsidRDefault="00893AD6" w:rsidP="00303DE0">
            <w:pPr>
              <w:pStyle w:val="TableText"/>
              <w:rPr>
                <w:rFonts w:eastAsia="Times New Roman"/>
              </w:rPr>
            </w:pPr>
            <w:r w:rsidRPr="005B0796">
              <w:rPr>
                <w:rFonts w:eastAsia="Times New Roman"/>
              </w:rPr>
              <w:t>DAR-5 total</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8.6</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0.27</w:t>
            </w:r>
          </w:p>
        </w:tc>
        <w:tc>
          <w:tcPr>
            <w:tcW w:w="744" w:type="dxa"/>
            <w:hideMark/>
          </w:tcPr>
          <w:p w:rsidR="00893AD6" w:rsidRPr="005B0796" w:rsidRDefault="00893AD6" w:rsidP="00303DE0">
            <w:pPr>
              <w:pStyle w:val="TableText"/>
              <w:jc w:val="right"/>
              <w:rPr>
                <w:rFonts w:eastAsia="Times New Roman"/>
              </w:rPr>
            </w:pPr>
            <w:r w:rsidRPr="005B0796">
              <w:rPr>
                <w:rFonts w:eastAsia="Times New Roman"/>
              </w:rPr>
              <w:t>8.1, 9.2</w:t>
            </w:r>
          </w:p>
        </w:tc>
        <w:tc>
          <w:tcPr>
            <w:tcW w:w="516" w:type="dxa"/>
            <w:hideMark/>
          </w:tcPr>
          <w:p w:rsidR="00893AD6" w:rsidRPr="005B0796" w:rsidRDefault="00893AD6" w:rsidP="00303DE0">
            <w:pPr>
              <w:pStyle w:val="TableText"/>
              <w:jc w:val="right"/>
              <w:rPr>
                <w:rFonts w:eastAsia="Times New Roman"/>
              </w:rPr>
            </w:pPr>
            <w:r w:rsidRPr="005B0796">
              <w:rPr>
                <w:rFonts w:eastAsia="Times New Roman"/>
              </w:rPr>
              <w:t>9.9</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0.22</w:t>
            </w:r>
          </w:p>
        </w:tc>
        <w:tc>
          <w:tcPr>
            <w:tcW w:w="769" w:type="dxa"/>
            <w:hideMark/>
          </w:tcPr>
          <w:p w:rsidR="00893AD6" w:rsidRPr="005B0796" w:rsidRDefault="00893AD6" w:rsidP="00303DE0">
            <w:pPr>
              <w:pStyle w:val="TableText"/>
              <w:jc w:val="right"/>
              <w:rPr>
                <w:rFonts w:eastAsia="Times New Roman"/>
              </w:rPr>
            </w:pPr>
            <w:r w:rsidRPr="005B0796">
              <w:rPr>
                <w:rFonts w:eastAsia="Times New Roman"/>
              </w:rPr>
              <w:t>9.4, 10.3</w:t>
            </w:r>
          </w:p>
        </w:tc>
        <w:tc>
          <w:tcPr>
            <w:tcW w:w="491" w:type="dxa"/>
            <w:hideMark/>
          </w:tcPr>
          <w:p w:rsidR="00893AD6" w:rsidRPr="005B0796" w:rsidRDefault="00893AD6" w:rsidP="00303DE0">
            <w:pPr>
              <w:pStyle w:val="TableText"/>
              <w:jc w:val="right"/>
              <w:rPr>
                <w:rFonts w:eastAsia="Times New Roman"/>
              </w:rPr>
            </w:pPr>
            <w:r w:rsidRPr="005B0796">
              <w:rPr>
                <w:rFonts w:eastAsia="Times New Roman"/>
              </w:rPr>
              <w:t>9.8</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0.23</w:t>
            </w:r>
          </w:p>
        </w:tc>
        <w:tc>
          <w:tcPr>
            <w:tcW w:w="794" w:type="dxa"/>
            <w:hideMark/>
          </w:tcPr>
          <w:p w:rsidR="00893AD6" w:rsidRPr="005B0796" w:rsidRDefault="00893AD6" w:rsidP="00303DE0">
            <w:pPr>
              <w:pStyle w:val="TableText"/>
              <w:jc w:val="right"/>
              <w:rPr>
                <w:rFonts w:eastAsia="Times New Roman"/>
              </w:rPr>
            </w:pPr>
            <w:r w:rsidRPr="005B0796">
              <w:rPr>
                <w:rFonts w:eastAsia="Times New Roman"/>
              </w:rPr>
              <w:t>9.3, 10.2</w:t>
            </w:r>
          </w:p>
        </w:tc>
        <w:tc>
          <w:tcPr>
            <w:tcW w:w="556" w:type="dxa"/>
            <w:hideMark/>
          </w:tcPr>
          <w:p w:rsidR="00893AD6" w:rsidRPr="005B0796" w:rsidRDefault="00893AD6" w:rsidP="00303DE0">
            <w:pPr>
              <w:pStyle w:val="TableText"/>
              <w:jc w:val="right"/>
              <w:rPr>
                <w:rFonts w:eastAsia="Times New Roman"/>
              </w:rPr>
            </w:pPr>
            <w:r w:rsidRPr="005B0796">
              <w:rPr>
                <w:rFonts w:eastAsia="Times New Roman"/>
              </w:rPr>
              <w:t>10.2</w:t>
            </w:r>
          </w:p>
        </w:tc>
        <w:tc>
          <w:tcPr>
            <w:tcW w:w="450" w:type="dxa"/>
            <w:hideMark/>
          </w:tcPr>
          <w:p w:rsidR="00893AD6" w:rsidRPr="005B0796" w:rsidRDefault="00893AD6" w:rsidP="00303DE0">
            <w:pPr>
              <w:pStyle w:val="TableText"/>
              <w:jc w:val="right"/>
              <w:rPr>
                <w:rFonts w:eastAsia="Times New Roman"/>
              </w:rPr>
            </w:pPr>
            <w:r w:rsidRPr="005B0796">
              <w:rPr>
                <w:rFonts w:eastAsia="Times New Roman"/>
              </w:rPr>
              <w:t>0.23</w:t>
            </w:r>
          </w:p>
        </w:tc>
        <w:tc>
          <w:tcPr>
            <w:tcW w:w="728" w:type="dxa"/>
            <w:hideMark/>
          </w:tcPr>
          <w:p w:rsidR="00893AD6" w:rsidRPr="005B0796" w:rsidRDefault="00893AD6" w:rsidP="00303DE0">
            <w:pPr>
              <w:pStyle w:val="TableText"/>
              <w:jc w:val="right"/>
              <w:rPr>
                <w:rFonts w:eastAsia="Times New Roman"/>
              </w:rPr>
            </w:pPr>
            <w:r w:rsidRPr="005B0796">
              <w:rPr>
                <w:rFonts w:eastAsia="Times New Roman"/>
              </w:rPr>
              <w:t>9.7, 10.6</w:t>
            </w:r>
          </w:p>
        </w:tc>
        <w:tc>
          <w:tcPr>
            <w:tcW w:w="532" w:type="dxa"/>
            <w:hideMark/>
          </w:tcPr>
          <w:p w:rsidR="00893AD6" w:rsidRPr="005B0796" w:rsidRDefault="00893AD6" w:rsidP="00303DE0">
            <w:pPr>
              <w:pStyle w:val="TableText"/>
              <w:jc w:val="right"/>
              <w:rPr>
                <w:rFonts w:eastAsia="Times New Roman"/>
              </w:rPr>
            </w:pPr>
            <w:r w:rsidRPr="005B0796">
              <w:rPr>
                <w:rFonts w:eastAsia="Times New Roman"/>
              </w:rPr>
              <w:t>9.9</w:t>
            </w:r>
          </w:p>
        </w:tc>
        <w:tc>
          <w:tcPr>
            <w:tcW w:w="540" w:type="dxa"/>
            <w:hideMark/>
          </w:tcPr>
          <w:p w:rsidR="00893AD6" w:rsidRPr="005B0796" w:rsidRDefault="00893AD6" w:rsidP="00303DE0">
            <w:pPr>
              <w:pStyle w:val="TableText"/>
              <w:jc w:val="right"/>
              <w:rPr>
                <w:rFonts w:eastAsia="Times New Roman"/>
              </w:rPr>
            </w:pPr>
            <w:r w:rsidRPr="005B0796">
              <w:rPr>
                <w:rFonts w:eastAsia="Times New Roman"/>
              </w:rPr>
              <w:t>0.25</w:t>
            </w:r>
          </w:p>
        </w:tc>
        <w:tc>
          <w:tcPr>
            <w:tcW w:w="663" w:type="dxa"/>
            <w:hideMark/>
          </w:tcPr>
          <w:p w:rsidR="00893AD6" w:rsidRPr="005B0796" w:rsidRDefault="00893AD6" w:rsidP="00303DE0">
            <w:pPr>
              <w:pStyle w:val="TableText"/>
              <w:jc w:val="right"/>
              <w:rPr>
                <w:rFonts w:eastAsia="Times New Roman"/>
              </w:rPr>
            </w:pPr>
            <w:r w:rsidRPr="005B0796">
              <w:rPr>
                <w:rFonts w:eastAsia="Times New Roman"/>
              </w:rPr>
              <w:t>9.4, 10.4</w:t>
            </w:r>
          </w:p>
        </w:tc>
        <w:tc>
          <w:tcPr>
            <w:tcW w:w="578" w:type="dxa"/>
            <w:hideMark/>
          </w:tcPr>
          <w:p w:rsidR="00893AD6" w:rsidRPr="005B0796" w:rsidRDefault="00893AD6" w:rsidP="00303DE0">
            <w:pPr>
              <w:pStyle w:val="TableText"/>
              <w:jc w:val="right"/>
              <w:rPr>
                <w:rFonts w:eastAsia="Times New Roman"/>
              </w:rPr>
            </w:pPr>
            <w:r w:rsidRPr="005B0796">
              <w:rPr>
                <w:rFonts w:eastAsia="Times New Roman"/>
              </w:rPr>
              <w:t>9.9</w:t>
            </w:r>
          </w:p>
        </w:tc>
        <w:tc>
          <w:tcPr>
            <w:tcW w:w="469" w:type="dxa"/>
            <w:hideMark/>
          </w:tcPr>
          <w:p w:rsidR="00893AD6" w:rsidRPr="005B0796" w:rsidRDefault="00893AD6" w:rsidP="00303DE0">
            <w:pPr>
              <w:pStyle w:val="TableText"/>
              <w:jc w:val="right"/>
              <w:rPr>
                <w:rFonts w:eastAsia="Times New Roman"/>
              </w:rPr>
            </w:pPr>
            <w:r w:rsidRPr="005B0796">
              <w:rPr>
                <w:rFonts w:eastAsia="Times New Roman"/>
              </w:rPr>
              <w:t>0.3</w:t>
            </w:r>
          </w:p>
        </w:tc>
        <w:tc>
          <w:tcPr>
            <w:tcW w:w="688" w:type="dxa"/>
            <w:hideMark/>
          </w:tcPr>
          <w:p w:rsidR="00893AD6" w:rsidRPr="005B0796" w:rsidRDefault="00893AD6" w:rsidP="00303DE0">
            <w:pPr>
              <w:pStyle w:val="TableText"/>
              <w:jc w:val="right"/>
              <w:rPr>
                <w:rFonts w:eastAsia="Times New Roman"/>
              </w:rPr>
            </w:pPr>
            <w:r w:rsidRPr="005B0796">
              <w:rPr>
                <w:rFonts w:eastAsia="Times New Roman"/>
              </w:rPr>
              <w:t>9.3, 10.5</w:t>
            </w:r>
          </w:p>
        </w:tc>
      </w:tr>
    </w:tbl>
    <w:p w:rsidR="00303DE0" w:rsidRPr="005B0796" w:rsidRDefault="00303DE0" w:rsidP="00303DE0">
      <w:pPr>
        <w:pStyle w:val="TableNotes"/>
      </w:pPr>
      <w:r w:rsidRPr="005B0796">
        <w:t xml:space="preserve">Note: 95% CI: 95% </w:t>
      </w:r>
      <w:r w:rsidR="00564689" w:rsidRPr="005B0796">
        <w:t>confidence interval</w:t>
      </w:r>
    </w:p>
    <w:p w:rsidR="006F51CF" w:rsidRPr="005B0796" w:rsidRDefault="006F51CF" w:rsidP="006F51CF"/>
    <w:p w:rsidR="006F51CF" w:rsidRPr="005B0796" w:rsidRDefault="006F51CF" w:rsidP="006F51CF">
      <w:pPr>
        <w:sectPr w:rsidR="006F51CF" w:rsidRPr="005B0796" w:rsidSect="00BE66A5">
          <w:headerReference w:type="even" r:id="rId217"/>
          <w:headerReference w:type="default" r:id="rId218"/>
          <w:footerReference w:type="even" r:id="rId219"/>
          <w:footerReference w:type="default" r:id="rId220"/>
          <w:pgSz w:w="14170" w:h="9979" w:orient="landscape" w:code="243"/>
          <w:pgMar w:top="1872" w:right="1440" w:bottom="1152" w:left="1440" w:header="576" w:footer="576" w:gutter="0"/>
          <w:cols w:space="708"/>
          <w:docGrid w:linePitch="360"/>
        </w:sectPr>
      </w:pPr>
    </w:p>
    <w:p w:rsidR="00893AD6" w:rsidRPr="005B0796" w:rsidRDefault="00893AD6" w:rsidP="00596B4D">
      <w:pPr>
        <w:pStyle w:val="Heading2"/>
      </w:pPr>
      <w:bookmarkStart w:id="1077" w:name="_Toc482021384"/>
      <w:bookmarkStart w:id="1078" w:name="_Toc482024475"/>
      <w:bookmarkStart w:id="1079" w:name="_Toc487011231"/>
      <w:bookmarkStart w:id="1080" w:name="_Toc494449751"/>
      <w:bookmarkStart w:id="1081" w:name="_Toc511900333"/>
      <w:r w:rsidRPr="005B0796">
        <w:t>Suicid</w:t>
      </w:r>
      <w:bookmarkEnd w:id="1077"/>
      <w:bookmarkEnd w:id="1078"/>
      <w:r w:rsidRPr="005B0796">
        <w:t>al ideation, plans and attempts</w:t>
      </w:r>
      <w:bookmarkEnd w:id="1079"/>
      <w:bookmarkEnd w:id="1080"/>
      <w:bookmarkEnd w:id="1081"/>
    </w:p>
    <w:p w:rsidR="00596B4D" w:rsidRPr="005B0796" w:rsidRDefault="00596B4D" w:rsidP="00596B4D">
      <w:pPr>
        <w:pStyle w:val="ShadedBullet"/>
      </w:pPr>
      <w:r w:rsidRPr="005B0796">
        <w:t>Members of the Transitioned ADF were significantly more likely to report suicidal ideation, plans or attempts than members of the 2015 Regular ADF.</w:t>
      </w:r>
    </w:p>
    <w:p w:rsidR="00596B4D" w:rsidRPr="005B0796" w:rsidRDefault="00596B4D" w:rsidP="00596B4D">
      <w:pPr>
        <w:pStyle w:val="ShadedBullet"/>
      </w:pPr>
      <w:r w:rsidRPr="005B0796">
        <w:t>The 2015 Regular ADF sample were significantly more likely than the 2010 Regular ADF cohort to report suicidal ideation, but not plans and attempts.</w:t>
      </w:r>
    </w:p>
    <w:p w:rsidR="00596B4D" w:rsidRPr="005B0796" w:rsidRDefault="00596B4D" w:rsidP="00596B4D">
      <w:pPr>
        <w:pStyle w:val="ShadedBoxText"/>
      </w:pPr>
      <w:r w:rsidRPr="005B0796">
        <w:rPr>
          <w:b/>
        </w:rPr>
        <w:t xml:space="preserve">Glossary: </w:t>
      </w:r>
      <w:r w:rsidRPr="005B0796">
        <w:t>refer to the Glossary of terms for definitions of key terms in this section.</w:t>
      </w:r>
    </w:p>
    <w:p w:rsidR="00893AD6" w:rsidRPr="005B0796" w:rsidRDefault="00893AD6" w:rsidP="00596B4D">
      <w:r w:rsidRPr="005B0796">
        <w:t>This section provides a detailed summary of the suicidal ideation, plans and attempts (suicidality) reported by ADF members who transitioned from the Regular ADF between 2010 and 2014 (Transitioned ADF) compared to 2010 and 2015 Regular ADF members. Chapter 4 examined self-reported suicidal ideation, plans and attempts among Transitioned ADF members according to demographic (sex, age)</w:t>
      </w:r>
      <w:r w:rsidR="00C01061">
        <w:t>,</w:t>
      </w:r>
      <w:r w:rsidRPr="005B0796">
        <w:t xml:space="preserve"> transition (Ex</w:t>
      </w:r>
      <w:r w:rsidR="00C01061">
        <w:noBreakHyphen/>
      </w:r>
      <w:r w:rsidRPr="005B0796">
        <w:t xml:space="preserve">Serving, Inactive, Active Reservists, years since transition, type of discharge and DVA status) and Service (Service, rank, years of service, deployment status) factors. Chapter 5 extends these results by examining the distribution of suicidal ideation, plans and attempts (suicidality) in the Transitioned ADF compared to the 2010 and 2015 Regular ADF. </w:t>
      </w:r>
    </w:p>
    <w:p w:rsidR="00893AD6" w:rsidRPr="005B0796" w:rsidRDefault="00C01061" w:rsidP="00596B4D">
      <w:r>
        <w:t>As reported in c</w:t>
      </w:r>
      <w:r w:rsidR="00893AD6" w:rsidRPr="005B0796">
        <w:t xml:space="preserve">hapter 4, 12-month self-reported suicidal ideation and behaviour in the ADF was examined using four questions: </w:t>
      </w:r>
    </w:p>
    <w:p w:rsidR="00893AD6" w:rsidRPr="005B0796" w:rsidRDefault="00893AD6" w:rsidP="009F3CBE">
      <w:pPr>
        <w:pStyle w:val="Bullet"/>
        <w:spacing w:after="160"/>
      </w:pPr>
      <w:r w:rsidRPr="005B0796">
        <w:rPr>
          <w:i/>
        </w:rPr>
        <w:t>Suicidal ideation Q1</w:t>
      </w:r>
      <w:r w:rsidRPr="005B0796">
        <w:t>: In the last 12 months, have you ever felt that your life was not worth living?</w:t>
      </w:r>
    </w:p>
    <w:p w:rsidR="00893AD6" w:rsidRPr="005B0796" w:rsidRDefault="00893AD6" w:rsidP="009F3CBE">
      <w:pPr>
        <w:pStyle w:val="Bullet"/>
        <w:spacing w:after="160"/>
      </w:pPr>
      <w:r w:rsidRPr="005B0796">
        <w:rPr>
          <w:i/>
        </w:rPr>
        <w:t>Suicidal ideation Q2</w:t>
      </w:r>
      <w:r w:rsidRPr="005B0796">
        <w:t>: In the last 12 months, have you ever felt so low that you thought about committing suicide?</w:t>
      </w:r>
    </w:p>
    <w:p w:rsidR="00893AD6" w:rsidRPr="005B0796" w:rsidRDefault="00893AD6" w:rsidP="009F3CBE">
      <w:pPr>
        <w:pStyle w:val="Bullet"/>
        <w:spacing w:after="160"/>
      </w:pPr>
      <w:r w:rsidRPr="005B0796">
        <w:rPr>
          <w:i/>
        </w:rPr>
        <w:t>Suicide plan</w:t>
      </w:r>
      <w:r w:rsidRPr="005B0796">
        <w:t>: In the last 12 months, have you made a suicide plan?</w:t>
      </w:r>
    </w:p>
    <w:p w:rsidR="00893AD6" w:rsidRPr="005B0796" w:rsidRDefault="00893AD6" w:rsidP="00596B4D">
      <w:pPr>
        <w:pStyle w:val="Bullet"/>
      </w:pPr>
      <w:r w:rsidRPr="005B0796">
        <w:rPr>
          <w:i/>
        </w:rPr>
        <w:t>Suicide attempt</w:t>
      </w:r>
      <w:r w:rsidRPr="005B0796">
        <w:t>: In the last 12 months, have you attempted suicide?</w:t>
      </w:r>
    </w:p>
    <w:p w:rsidR="00893AD6" w:rsidRPr="005B0796" w:rsidRDefault="00893AD6" w:rsidP="00596B4D">
      <w:r w:rsidRPr="005B0796">
        <w:t xml:space="preserve">The responses to these questions were limited to </w:t>
      </w:r>
      <w:r w:rsidR="00462A0C" w:rsidRPr="005B0796">
        <w:t>‘</w:t>
      </w:r>
      <w:r w:rsidRPr="005B0796">
        <w:t>yes</w:t>
      </w:r>
      <w:r w:rsidR="00462A0C" w:rsidRPr="005B0796">
        <w:t>’</w:t>
      </w:r>
      <w:r w:rsidRPr="005B0796">
        <w:t xml:space="preserve"> or </w:t>
      </w:r>
      <w:r w:rsidR="00462A0C" w:rsidRPr="005B0796">
        <w:t>‘</w:t>
      </w:r>
      <w:r w:rsidRPr="005B0796">
        <w:t>no</w:t>
      </w:r>
      <w:r w:rsidR="00462A0C" w:rsidRPr="005B0796">
        <w:t>’</w:t>
      </w:r>
      <w:r w:rsidRPr="005B0796">
        <w:t>.</w:t>
      </w:r>
    </w:p>
    <w:p w:rsidR="00893AD6" w:rsidRPr="005B0796" w:rsidRDefault="00893AD6" w:rsidP="00596B4D">
      <w:pPr>
        <w:pStyle w:val="Heading3"/>
      </w:pPr>
      <w:bookmarkStart w:id="1082" w:name="_Toc494449752"/>
      <w:bookmarkStart w:id="1083" w:name="_Toc511900334"/>
      <w:bookmarkStart w:id="1084" w:name="_Toc482021385"/>
      <w:bookmarkStart w:id="1085" w:name="_Toc482024476"/>
      <w:bookmarkStart w:id="1086" w:name="_Toc487011232"/>
      <w:r w:rsidRPr="005B0796">
        <w:t>Suicidality in Transitioned ADF compared to the 2010 and 2015 Regular ADF</w:t>
      </w:r>
      <w:bookmarkEnd w:id="1082"/>
      <w:bookmarkEnd w:id="1083"/>
      <w:r w:rsidRPr="005B0796">
        <w:t xml:space="preserve"> </w:t>
      </w:r>
      <w:bookmarkEnd w:id="1084"/>
      <w:bookmarkEnd w:id="1085"/>
      <w:bookmarkEnd w:id="1086"/>
    </w:p>
    <w:p w:rsidR="00893AD6" w:rsidRPr="005B0796" w:rsidRDefault="009E72D3" w:rsidP="00596B4D">
      <w:r w:rsidRPr="005B0796">
        <w:t>Table 5.20</w:t>
      </w:r>
      <w:r w:rsidR="00893AD6" w:rsidRPr="005B0796">
        <w:t xml:space="preserve"> and Figure 5.20 presents a comparison of the suicidality in the Transitioned ADF, and in the 2010 and 2015 Regular ADF.</w:t>
      </w:r>
    </w:p>
    <w:p w:rsidR="00893AD6" w:rsidRPr="005B0796" w:rsidRDefault="00893AD6" w:rsidP="00596B4D">
      <w:r w:rsidRPr="005B0796">
        <w:t xml:space="preserve">Overall, the Transitioned ADF reported the highest levels of suicidality followed by the 2015 Regular ADF and the 2010 Regular ADF. Suicidal ideation, plans and attempts were all significantly more prevalent in the Transitioned ADF compared to the 2015 Regular ADF (see Annex </w:t>
      </w:r>
      <w:r w:rsidR="00411B45" w:rsidRPr="005B0796">
        <w:t>B</w:t>
      </w:r>
      <w:r w:rsidRPr="005B0796">
        <w:t xml:space="preserve"> for a more detailed table of results). Suicidal ideation, but not plans and attempts, was also significantly more prevalent in the 2015 Regular ADF compared to the 2010 Regular ADF (see Annex </w:t>
      </w:r>
      <w:r w:rsidR="00411B45" w:rsidRPr="005B0796">
        <w:t>B</w:t>
      </w:r>
      <w:r w:rsidRPr="005B0796">
        <w:t>). However, it should be noted that this comparison does not include any estimate of covariance between the two populations.</w:t>
      </w:r>
    </w:p>
    <w:p w:rsidR="00893AD6" w:rsidRPr="005B0796" w:rsidRDefault="00893AD6" w:rsidP="00596B4D">
      <w:r w:rsidRPr="005B0796">
        <w:t>The issue of individual change in symptoms over time will be addressed in a later Programme report.</w:t>
      </w:r>
    </w:p>
    <w:p w:rsidR="00596B4D" w:rsidRPr="005B0796" w:rsidRDefault="00596B4D" w:rsidP="00596B4D">
      <w:pPr>
        <w:pStyle w:val="TableName"/>
      </w:pPr>
      <w:bookmarkStart w:id="1087" w:name="_Ref484523480"/>
      <w:bookmarkStart w:id="1088" w:name="_Toc492995624"/>
      <w:bookmarkStart w:id="1089" w:name="_Toc487014321"/>
      <w:bookmarkStart w:id="1090" w:name="_Toc511900473"/>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20</w:t>
      </w:r>
      <w:r w:rsidR="00D30A3C">
        <w:rPr>
          <w:noProof/>
        </w:rPr>
        <w:fldChar w:fldCharType="end"/>
      </w:r>
      <w:bookmarkEnd w:id="1087"/>
      <w:r w:rsidRPr="005B0796">
        <w:tab/>
        <w:t>Estimated proportions of suicidality in Transitioned ADF and entire 2010 and 2015 Regular ADF</w:t>
      </w:r>
      <w:bookmarkEnd w:id="1088"/>
      <w:bookmarkEnd w:id="1089"/>
      <w:bookmarkEnd w:id="1090"/>
    </w:p>
    <w:tbl>
      <w:tblPr>
        <w:tblStyle w:val="TWRPTable"/>
        <w:tblW w:w="5000" w:type="pct"/>
        <w:tblLayout w:type="fixed"/>
        <w:tblLook w:val="04A0" w:firstRow="1" w:lastRow="0" w:firstColumn="1" w:lastColumn="0" w:noHBand="0" w:noVBand="1"/>
        <w:tblDescription w:val="Table 5.20 Estimated proportions of suicidality in Transitioned ADF and entire 2010 and 2015 Regular ADF"/>
      </w:tblPr>
      <w:tblGrid>
        <w:gridCol w:w="1008"/>
        <w:gridCol w:w="810"/>
        <w:gridCol w:w="540"/>
        <w:gridCol w:w="752"/>
        <w:gridCol w:w="778"/>
        <w:gridCol w:w="540"/>
        <w:gridCol w:w="784"/>
        <w:gridCol w:w="746"/>
        <w:gridCol w:w="540"/>
        <w:gridCol w:w="817"/>
      </w:tblGrid>
      <w:tr w:rsidR="0083605F" w:rsidRPr="005B0796" w:rsidTr="0083605F">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Pr>
          <w:p w:rsidR="0083605F" w:rsidRPr="005B0796" w:rsidRDefault="0083605F" w:rsidP="0083605F">
            <w:pPr>
              <w:pStyle w:val="TableText"/>
            </w:pPr>
          </w:p>
        </w:tc>
        <w:tc>
          <w:tcPr>
            <w:tcW w:w="2102" w:type="dxa"/>
            <w:gridSpan w:val="3"/>
          </w:tcPr>
          <w:p w:rsidR="0083605F" w:rsidRPr="005B0796" w:rsidRDefault="0083605F" w:rsidP="0083605F">
            <w:pPr>
              <w:pStyle w:val="TableText"/>
              <w:jc w:val="center"/>
            </w:pPr>
            <w:r w:rsidRPr="005B0796">
              <w:t>Transitioned ADF 2015 (n = 24,932)</w:t>
            </w:r>
          </w:p>
        </w:tc>
        <w:tc>
          <w:tcPr>
            <w:tcW w:w="2102" w:type="dxa"/>
            <w:gridSpan w:val="3"/>
          </w:tcPr>
          <w:p w:rsidR="0083605F" w:rsidRPr="005B0796" w:rsidRDefault="0083605F" w:rsidP="0083605F">
            <w:pPr>
              <w:pStyle w:val="TableText"/>
              <w:jc w:val="center"/>
            </w:pPr>
            <w:r w:rsidRPr="005B0796">
              <w:t>2015 Regular ADF</w:t>
            </w:r>
            <w:r w:rsidRPr="005B0796">
              <w:br/>
              <w:t>(n = 52,500)</w:t>
            </w:r>
          </w:p>
        </w:tc>
        <w:tc>
          <w:tcPr>
            <w:tcW w:w="2103" w:type="dxa"/>
            <w:gridSpan w:val="3"/>
          </w:tcPr>
          <w:p w:rsidR="0083605F" w:rsidRPr="005B0796" w:rsidRDefault="0083605F" w:rsidP="0083605F">
            <w:pPr>
              <w:pStyle w:val="TableText"/>
              <w:jc w:val="center"/>
            </w:pPr>
            <w:r w:rsidRPr="005B0796">
              <w:t>2010 Regular ADF*</w:t>
            </w:r>
            <w:r w:rsidRPr="005B0796">
              <w:br/>
              <w:t>(n = 50,049)</w:t>
            </w:r>
          </w:p>
        </w:tc>
      </w:tr>
      <w:tr w:rsidR="0083605F" w:rsidRPr="005B0796" w:rsidTr="0083605F">
        <w:trPr>
          <w:cnfStyle w:val="100000000000" w:firstRow="1" w:lastRow="0" w:firstColumn="0" w:lastColumn="0" w:oddVBand="0" w:evenVBand="0" w:oddHBand="0" w:evenHBand="0" w:firstRowFirstColumn="0" w:firstRowLastColumn="0" w:lastRowFirstColumn="0" w:lastRowLastColumn="0"/>
          <w:tblHeader/>
        </w:trPr>
        <w:tc>
          <w:tcPr>
            <w:tcW w:w="1008" w:type="dxa"/>
            <w:vMerge/>
          </w:tcPr>
          <w:p w:rsidR="0083605F" w:rsidRPr="005B0796" w:rsidRDefault="0083605F" w:rsidP="0083605F">
            <w:pPr>
              <w:pStyle w:val="TableText"/>
            </w:pPr>
          </w:p>
        </w:tc>
        <w:tc>
          <w:tcPr>
            <w:tcW w:w="810" w:type="dxa"/>
          </w:tcPr>
          <w:p w:rsidR="0083605F" w:rsidRPr="005B0796" w:rsidRDefault="0083605F" w:rsidP="00D844BE">
            <w:pPr>
              <w:pStyle w:val="TableText"/>
              <w:jc w:val="right"/>
            </w:pPr>
            <w:r w:rsidRPr="005B0796">
              <w:t>Weighted n</w:t>
            </w:r>
          </w:p>
        </w:tc>
        <w:tc>
          <w:tcPr>
            <w:tcW w:w="540" w:type="dxa"/>
          </w:tcPr>
          <w:p w:rsidR="0083605F" w:rsidRPr="005B0796" w:rsidRDefault="0083605F" w:rsidP="00D844BE">
            <w:pPr>
              <w:pStyle w:val="TableText"/>
              <w:jc w:val="right"/>
            </w:pPr>
            <w:r w:rsidRPr="005B0796">
              <w:t>%</w:t>
            </w:r>
          </w:p>
        </w:tc>
        <w:tc>
          <w:tcPr>
            <w:tcW w:w="752" w:type="dxa"/>
          </w:tcPr>
          <w:p w:rsidR="0083605F" w:rsidRPr="005B0796" w:rsidRDefault="0083605F" w:rsidP="00D844BE">
            <w:pPr>
              <w:pStyle w:val="TableText"/>
              <w:jc w:val="right"/>
            </w:pPr>
            <w:r w:rsidRPr="005B0796">
              <w:t>95% CI</w:t>
            </w:r>
          </w:p>
        </w:tc>
        <w:tc>
          <w:tcPr>
            <w:tcW w:w="778" w:type="dxa"/>
          </w:tcPr>
          <w:p w:rsidR="0083605F" w:rsidRPr="005B0796" w:rsidRDefault="0083605F" w:rsidP="00D844BE">
            <w:pPr>
              <w:pStyle w:val="TableText"/>
              <w:jc w:val="right"/>
            </w:pPr>
            <w:r w:rsidRPr="005B0796">
              <w:t>Weighted n</w:t>
            </w:r>
          </w:p>
        </w:tc>
        <w:tc>
          <w:tcPr>
            <w:tcW w:w="540" w:type="dxa"/>
          </w:tcPr>
          <w:p w:rsidR="0083605F" w:rsidRPr="005B0796" w:rsidRDefault="0083605F" w:rsidP="00D844BE">
            <w:pPr>
              <w:pStyle w:val="TableText"/>
              <w:jc w:val="right"/>
            </w:pPr>
            <w:r w:rsidRPr="005B0796">
              <w:t>%</w:t>
            </w:r>
          </w:p>
        </w:tc>
        <w:tc>
          <w:tcPr>
            <w:tcW w:w="784" w:type="dxa"/>
          </w:tcPr>
          <w:p w:rsidR="0083605F" w:rsidRPr="005B0796" w:rsidRDefault="0083605F" w:rsidP="00D844BE">
            <w:pPr>
              <w:pStyle w:val="TableText"/>
              <w:jc w:val="right"/>
            </w:pPr>
            <w:r w:rsidRPr="005B0796">
              <w:t>95% CI</w:t>
            </w:r>
          </w:p>
        </w:tc>
        <w:tc>
          <w:tcPr>
            <w:tcW w:w="746" w:type="dxa"/>
          </w:tcPr>
          <w:p w:rsidR="0083605F" w:rsidRPr="005B0796" w:rsidRDefault="0083605F" w:rsidP="00D844BE">
            <w:pPr>
              <w:pStyle w:val="TableText"/>
              <w:jc w:val="right"/>
            </w:pPr>
            <w:r w:rsidRPr="005B0796">
              <w:t>Weighted n</w:t>
            </w:r>
          </w:p>
        </w:tc>
        <w:tc>
          <w:tcPr>
            <w:tcW w:w="540" w:type="dxa"/>
          </w:tcPr>
          <w:p w:rsidR="0083605F" w:rsidRPr="005B0796" w:rsidRDefault="0083605F" w:rsidP="00D844BE">
            <w:pPr>
              <w:pStyle w:val="TableText"/>
              <w:jc w:val="right"/>
            </w:pPr>
            <w:r w:rsidRPr="005B0796">
              <w:t>%</w:t>
            </w:r>
          </w:p>
        </w:tc>
        <w:tc>
          <w:tcPr>
            <w:tcW w:w="817" w:type="dxa"/>
          </w:tcPr>
          <w:p w:rsidR="0083605F" w:rsidRPr="005B0796" w:rsidRDefault="0083605F" w:rsidP="00D844BE">
            <w:pPr>
              <w:pStyle w:val="TableText"/>
              <w:jc w:val="right"/>
            </w:pPr>
            <w:r w:rsidRPr="005B0796">
              <w:t>95% CI</w:t>
            </w:r>
          </w:p>
        </w:tc>
      </w:tr>
      <w:tr w:rsidR="0083605F" w:rsidRPr="005B0796" w:rsidTr="0083605F">
        <w:trPr>
          <w:cnfStyle w:val="000000100000" w:firstRow="0" w:lastRow="0" w:firstColumn="0" w:lastColumn="0" w:oddVBand="0" w:evenVBand="0" w:oddHBand="1" w:evenHBand="0" w:firstRowFirstColumn="0" w:firstRowLastColumn="0" w:lastRowFirstColumn="0" w:lastRowLastColumn="0"/>
        </w:trPr>
        <w:tc>
          <w:tcPr>
            <w:tcW w:w="1008" w:type="dxa"/>
          </w:tcPr>
          <w:p w:rsidR="0083605F" w:rsidRPr="005B0796" w:rsidRDefault="0083605F" w:rsidP="00D844BE">
            <w:pPr>
              <w:pStyle w:val="TableText"/>
              <w:rPr>
                <w:lang w:eastAsia="en-AU"/>
              </w:rPr>
            </w:pPr>
            <w:r w:rsidRPr="005B0796">
              <w:rPr>
                <w:lang w:eastAsia="en-AU"/>
              </w:rPr>
              <w:t>Felt life not worth living</w:t>
            </w:r>
          </w:p>
        </w:tc>
        <w:tc>
          <w:tcPr>
            <w:tcW w:w="810" w:type="dxa"/>
          </w:tcPr>
          <w:p w:rsidR="0083605F" w:rsidRPr="005B0796" w:rsidRDefault="0083605F" w:rsidP="00D844BE">
            <w:pPr>
              <w:pStyle w:val="TableText"/>
              <w:jc w:val="right"/>
              <w:rPr>
                <w:lang w:eastAsia="en-AU"/>
              </w:rPr>
            </w:pPr>
            <w:r w:rsidRPr="005B0796">
              <w:rPr>
                <w:lang w:eastAsia="en-AU"/>
              </w:rPr>
              <w:t>7208</w:t>
            </w:r>
          </w:p>
        </w:tc>
        <w:tc>
          <w:tcPr>
            <w:tcW w:w="540" w:type="dxa"/>
          </w:tcPr>
          <w:p w:rsidR="0083605F" w:rsidRPr="005B0796" w:rsidRDefault="0083605F" w:rsidP="00D844BE">
            <w:pPr>
              <w:pStyle w:val="TableText"/>
              <w:jc w:val="right"/>
              <w:rPr>
                <w:lang w:eastAsia="en-AU"/>
              </w:rPr>
            </w:pPr>
            <w:r w:rsidRPr="005B0796">
              <w:rPr>
                <w:lang w:eastAsia="en-AU"/>
              </w:rPr>
              <w:t>28.9</w:t>
            </w:r>
          </w:p>
        </w:tc>
        <w:tc>
          <w:tcPr>
            <w:tcW w:w="752" w:type="dxa"/>
          </w:tcPr>
          <w:p w:rsidR="0083605F" w:rsidRPr="005B0796" w:rsidRDefault="0083605F" w:rsidP="00D844BE">
            <w:pPr>
              <w:pStyle w:val="TableText"/>
              <w:jc w:val="right"/>
              <w:rPr>
                <w:lang w:eastAsia="en-AU"/>
              </w:rPr>
            </w:pPr>
            <w:r w:rsidRPr="005B0796">
              <w:rPr>
                <w:lang w:eastAsia="en-AU"/>
              </w:rPr>
              <w:t>27.3, 30.6</w:t>
            </w:r>
          </w:p>
        </w:tc>
        <w:tc>
          <w:tcPr>
            <w:tcW w:w="778" w:type="dxa"/>
          </w:tcPr>
          <w:p w:rsidR="0083605F" w:rsidRPr="005B0796" w:rsidRDefault="0083605F" w:rsidP="00D844BE">
            <w:pPr>
              <w:pStyle w:val="TableText"/>
              <w:jc w:val="right"/>
              <w:rPr>
                <w:lang w:eastAsia="en-AU"/>
              </w:rPr>
            </w:pPr>
            <w:r w:rsidRPr="005B0796">
              <w:rPr>
                <w:lang w:eastAsia="en-AU"/>
              </w:rPr>
              <w:t>6927</w:t>
            </w:r>
          </w:p>
        </w:tc>
        <w:tc>
          <w:tcPr>
            <w:tcW w:w="540" w:type="dxa"/>
          </w:tcPr>
          <w:p w:rsidR="0083605F" w:rsidRPr="005B0796" w:rsidRDefault="0083605F" w:rsidP="00D844BE">
            <w:pPr>
              <w:pStyle w:val="TableText"/>
              <w:jc w:val="right"/>
              <w:rPr>
                <w:lang w:eastAsia="en-AU"/>
              </w:rPr>
            </w:pPr>
            <w:r w:rsidRPr="005B0796">
              <w:rPr>
                <w:lang w:eastAsia="en-AU"/>
              </w:rPr>
              <w:t>13.2</w:t>
            </w:r>
          </w:p>
        </w:tc>
        <w:tc>
          <w:tcPr>
            <w:tcW w:w="784" w:type="dxa"/>
          </w:tcPr>
          <w:p w:rsidR="0083605F" w:rsidRPr="005B0796" w:rsidRDefault="0083605F" w:rsidP="00D844BE">
            <w:pPr>
              <w:pStyle w:val="TableText"/>
              <w:jc w:val="right"/>
              <w:rPr>
                <w:lang w:eastAsia="en-AU"/>
              </w:rPr>
            </w:pPr>
            <w:r w:rsidRPr="005B0796">
              <w:rPr>
                <w:lang w:eastAsia="en-AU"/>
              </w:rPr>
              <w:t>10.7, 16.2</w:t>
            </w:r>
          </w:p>
        </w:tc>
        <w:tc>
          <w:tcPr>
            <w:tcW w:w="746" w:type="dxa"/>
          </w:tcPr>
          <w:p w:rsidR="0083605F" w:rsidRPr="005B0796" w:rsidRDefault="0083605F" w:rsidP="00D844BE">
            <w:pPr>
              <w:pStyle w:val="TableText"/>
              <w:jc w:val="right"/>
              <w:rPr>
                <w:lang w:eastAsia="en-AU"/>
              </w:rPr>
            </w:pPr>
            <w:r w:rsidRPr="005B0796">
              <w:rPr>
                <w:lang w:eastAsia="en-AU"/>
              </w:rPr>
              <w:t>3358</w:t>
            </w:r>
          </w:p>
        </w:tc>
        <w:tc>
          <w:tcPr>
            <w:tcW w:w="540" w:type="dxa"/>
          </w:tcPr>
          <w:p w:rsidR="0083605F" w:rsidRPr="005B0796" w:rsidRDefault="0083605F" w:rsidP="00D844BE">
            <w:pPr>
              <w:pStyle w:val="TableText"/>
              <w:jc w:val="right"/>
              <w:rPr>
                <w:lang w:eastAsia="en-AU"/>
              </w:rPr>
            </w:pPr>
            <w:r w:rsidRPr="005B0796">
              <w:rPr>
                <w:lang w:eastAsia="en-AU"/>
              </w:rPr>
              <w:t>6.7</w:t>
            </w:r>
          </w:p>
        </w:tc>
        <w:tc>
          <w:tcPr>
            <w:tcW w:w="817" w:type="dxa"/>
          </w:tcPr>
          <w:p w:rsidR="0083605F" w:rsidRPr="005B0796" w:rsidRDefault="0083605F" w:rsidP="00D844BE">
            <w:pPr>
              <w:pStyle w:val="TableText"/>
              <w:jc w:val="right"/>
              <w:rPr>
                <w:lang w:eastAsia="en-AU"/>
              </w:rPr>
            </w:pPr>
            <w:r w:rsidRPr="005B0796">
              <w:rPr>
                <w:lang w:eastAsia="en-AU"/>
              </w:rPr>
              <w:t>6.4 ,7.0</w:t>
            </w:r>
          </w:p>
        </w:tc>
      </w:tr>
      <w:tr w:rsidR="0083605F" w:rsidRPr="005B0796" w:rsidTr="0083605F">
        <w:tc>
          <w:tcPr>
            <w:tcW w:w="1008" w:type="dxa"/>
          </w:tcPr>
          <w:p w:rsidR="0083605F" w:rsidRPr="005B0796" w:rsidRDefault="0083605F" w:rsidP="00D844BE">
            <w:pPr>
              <w:pStyle w:val="TableText"/>
              <w:rPr>
                <w:rFonts w:eastAsia="GillSans"/>
                <w:lang w:eastAsia="en-AU"/>
              </w:rPr>
            </w:pPr>
            <w:r w:rsidRPr="005B0796">
              <w:rPr>
                <w:lang w:eastAsia="en-AU"/>
              </w:rPr>
              <w:t>Felt so low thought about committing suicide</w:t>
            </w:r>
          </w:p>
        </w:tc>
        <w:tc>
          <w:tcPr>
            <w:tcW w:w="810" w:type="dxa"/>
          </w:tcPr>
          <w:p w:rsidR="0083605F" w:rsidRPr="005B0796" w:rsidRDefault="0083605F" w:rsidP="00D844BE">
            <w:pPr>
              <w:pStyle w:val="TableText"/>
              <w:jc w:val="right"/>
              <w:rPr>
                <w:lang w:eastAsia="en-AU"/>
              </w:rPr>
            </w:pPr>
            <w:r w:rsidRPr="005B0796">
              <w:rPr>
                <w:lang w:eastAsia="en-AU"/>
              </w:rPr>
              <w:t>5294</w:t>
            </w:r>
          </w:p>
        </w:tc>
        <w:tc>
          <w:tcPr>
            <w:tcW w:w="540" w:type="dxa"/>
          </w:tcPr>
          <w:p w:rsidR="0083605F" w:rsidRPr="005B0796" w:rsidRDefault="0083605F" w:rsidP="00D844BE">
            <w:pPr>
              <w:pStyle w:val="TableText"/>
              <w:jc w:val="right"/>
              <w:rPr>
                <w:lang w:eastAsia="en-AU"/>
              </w:rPr>
            </w:pPr>
            <w:r w:rsidRPr="005B0796">
              <w:rPr>
                <w:lang w:eastAsia="en-AU"/>
              </w:rPr>
              <w:t>21.2</w:t>
            </w:r>
          </w:p>
        </w:tc>
        <w:tc>
          <w:tcPr>
            <w:tcW w:w="752" w:type="dxa"/>
          </w:tcPr>
          <w:p w:rsidR="0083605F" w:rsidRPr="005B0796" w:rsidRDefault="0083605F" w:rsidP="00D844BE">
            <w:pPr>
              <w:pStyle w:val="TableText"/>
              <w:jc w:val="right"/>
              <w:rPr>
                <w:lang w:eastAsia="en-AU"/>
              </w:rPr>
            </w:pPr>
            <w:r w:rsidRPr="005B0796">
              <w:rPr>
                <w:lang w:eastAsia="en-AU"/>
              </w:rPr>
              <w:t>19.8, 22.8</w:t>
            </w:r>
          </w:p>
        </w:tc>
        <w:tc>
          <w:tcPr>
            <w:tcW w:w="778" w:type="dxa"/>
          </w:tcPr>
          <w:p w:rsidR="0083605F" w:rsidRPr="005B0796" w:rsidRDefault="0083605F" w:rsidP="00D844BE">
            <w:pPr>
              <w:pStyle w:val="TableText"/>
              <w:jc w:val="right"/>
              <w:rPr>
                <w:lang w:eastAsia="en-AU"/>
              </w:rPr>
            </w:pPr>
            <w:r w:rsidRPr="005B0796">
              <w:rPr>
                <w:lang w:eastAsia="en-AU"/>
              </w:rPr>
              <w:t>4493</w:t>
            </w:r>
          </w:p>
        </w:tc>
        <w:tc>
          <w:tcPr>
            <w:tcW w:w="540" w:type="dxa"/>
          </w:tcPr>
          <w:p w:rsidR="0083605F" w:rsidRPr="005B0796" w:rsidRDefault="0083605F" w:rsidP="00D844BE">
            <w:pPr>
              <w:pStyle w:val="TableText"/>
              <w:jc w:val="right"/>
              <w:rPr>
                <w:lang w:eastAsia="en-AU"/>
              </w:rPr>
            </w:pPr>
            <w:r w:rsidRPr="005B0796">
              <w:rPr>
                <w:lang w:eastAsia="en-AU"/>
              </w:rPr>
              <w:t>8.6</w:t>
            </w:r>
          </w:p>
        </w:tc>
        <w:tc>
          <w:tcPr>
            <w:tcW w:w="784" w:type="dxa"/>
          </w:tcPr>
          <w:p w:rsidR="0083605F" w:rsidRPr="005B0796" w:rsidRDefault="0083605F" w:rsidP="00D844BE">
            <w:pPr>
              <w:pStyle w:val="TableText"/>
              <w:jc w:val="right"/>
              <w:rPr>
                <w:lang w:eastAsia="en-AU"/>
              </w:rPr>
            </w:pPr>
            <w:r w:rsidRPr="005B0796">
              <w:rPr>
                <w:lang w:eastAsia="en-AU"/>
              </w:rPr>
              <w:t>6.4, 11.3</w:t>
            </w:r>
          </w:p>
        </w:tc>
        <w:tc>
          <w:tcPr>
            <w:tcW w:w="746" w:type="dxa"/>
          </w:tcPr>
          <w:p w:rsidR="0083605F" w:rsidRPr="005B0796" w:rsidRDefault="0083605F" w:rsidP="00D844BE">
            <w:pPr>
              <w:pStyle w:val="TableText"/>
              <w:jc w:val="right"/>
              <w:rPr>
                <w:lang w:eastAsia="en-AU"/>
              </w:rPr>
            </w:pPr>
            <w:r w:rsidRPr="005B0796">
              <w:rPr>
                <w:lang w:eastAsia="en-AU"/>
              </w:rPr>
              <w:t>1943</w:t>
            </w:r>
          </w:p>
        </w:tc>
        <w:tc>
          <w:tcPr>
            <w:tcW w:w="540" w:type="dxa"/>
          </w:tcPr>
          <w:p w:rsidR="0083605F" w:rsidRPr="005B0796" w:rsidRDefault="0083605F" w:rsidP="00D844BE">
            <w:pPr>
              <w:pStyle w:val="TableText"/>
              <w:jc w:val="right"/>
              <w:rPr>
                <w:lang w:eastAsia="en-AU"/>
              </w:rPr>
            </w:pPr>
            <w:r w:rsidRPr="005B0796">
              <w:rPr>
                <w:lang w:eastAsia="en-AU"/>
              </w:rPr>
              <w:t>3.9</w:t>
            </w:r>
          </w:p>
        </w:tc>
        <w:tc>
          <w:tcPr>
            <w:tcW w:w="817" w:type="dxa"/>
          </w:tcPr>
          <w:p w:rsidR="0083605F" w:rsidRPr="005B0796" w:rsidRDefault="0083605F" w:rsidP="00D844BE">
            <w:pPr>
              <w:pStyle w:val="TableText"/>
              <w:jc w:val="right"/>
              <w:rPr>
                <w:lang w:eastAsia="en-AU"/>
              </w:rPr>
            </w:pPr>
            <w:r w:rsidRPr="005B0796">
              <w:rPr>
                <w:lang w:eastAsia="en-AU"/>
              </w:rPr>
              <w:t>3.7, 4.1</w:t>
            </w:r>
          </w:p>
        </w:tc>
      </w:tr>
      <w:tr w:rsidR="0083605F" w:rsidRPr="005B0796" w:rsidTr="0083605F">
        <w:trPr>
          <w:cnfStyle w:val="000000100000" w:firstRow="0" w:lastRow="0" w:firstColumn="0" w:lastColumn="0" w:oddVBand="0" w:evenVBand="0" w:oddHBand="1" w:evenHBand="0" w:firstRowFirstColumn="0" w:firstRowLastColumn="0" w:lastRowFirstColumn="0" w:lastRowLastColumn="0"/>
        </w:trPr>
        <w:tc>
          <w:tcPr>
            <w:tcW w:w="1008" w:type="dxa"/>
          </w:tcPr>
          <w:p w:rsidR="0083605F" w:rsidRPr="005B0796" w:rsidRDefault="0083605F" w:rsidP="00D844BE">
            <w:pPr>
              <w:pStyle w:val="TableText"/>
              <w:rPr>
                <w:rFonts w:eastAsia="GillSans"/>
                <w:lang w:eastAsia="en-AU"/>
              </w:rPr>
            </w:pPr>
            <w:r w:rsidRPr="005B0796">
              <w:rPr>
                <w:lang w:eastAsia="en-AU"/>
              </w:rPr>
              <w:t>Made a suicide plan</w:t>
            </w:r>
          </w:p>
        </w:tc>
        <w:tc>
          <w:tcPr>
            <w:tcW w:w="810" w:type="dxa"/>
          </w:tcPr>
          <w:p w:rsidR="0083605F" w:rsidRPr="005B0796" w:rsidRDefault="0083605F" w:rsidP="00D844BE">
            <w:pPr>
              <w:pStyle w:val="TableText"/>
              <w:jc w:val="right"/>
              <w:rPr>
                <w:lang w:eastAsia="en-AU"/>
              </w:rPr>
            </w:pPr>
            <w:r w:rsidRPr="005B0796">
              <w:rPr>
                <w:lang w:eastAsia="en-AU"/>
              </w:rPr>
              <w:t>1965</w:t>
            </w:r>
          </w:p>
        </w:tc>
        <w:tc>
          <w:tcPr>
            <w:tcW w:w="540" w:type="dxa"/>
          </w:tcPr>
          <w:p w:rsidR="0083605F" w:rsidRPr="005B0796" w:rsidRDefault="0083605F" w:rsidP="00D844BE">
            <w:pPr>
              <w:pStyle w:val="TableText"/>
              <w:jc w:val="right"/>
              <w:rPr>
                <w:lang w:eastAsia="en-AU"/>
              </w:rPr>
            </w:pPr>
            <w:r w:rsidRPr="005B0796">
              <w:rPr>
                <w:lang w:eastAsia="en-AU"/>
              </w:rPr>
              <w:t>7.9</w:t>
            </w:r>
          </w:p>
        </w:tc>
        <w:tc>
          <w:tcPr>
            <w:tcW w:w="752" w:type="dxa"/>
          </w:tcPr>
          <w:p w:rsidR="0083605F" w:rsidRPr="005B0796" w:rsidRDefault="0083605F" w:rsidP="00D844BE">
            <w:pPr>
              <w:pStyle w:val="TableText"/>
              <w:jc w:val="right"/>
              <w:rPr>
                <w:lang w:eastAsia="en-AU"/>
              </w:rPr>
            </w:pPr>
            <w:r w:rsidRPr="005B0796">
              <w:rPr>
                <w:lang w:eastAsia="en-AU"/>
              </w:rPr>
              <w:t>6.9, 8.9</w:t>
            </w:r>
          </w:p>
        </w:tc>
        <w:tc>
          <w:tcPr>
            <w:tcW w:w="778" w:type="dxa"/>
          </w:tcPr>
          <w:p w:rsidR="0083605F" w:rsidRPr="005B0796" w:rsidRDefault="0083605F" w:rsidP="00D844BE">
            <w:pPr>
              <w:pStyle w:val="TableText"/>
              <w:jc w:val="right"/>
              <w:rPr>
                <w:lang w:eastAsia="en-AU"/>
              </w:rPr>
            </w:pPr>
            <w:r w:rsidRPr="005B0796">
              <w:rPr>
                <w:lang w:eastAsia="en-AU"/>
              </w:rPr>
              <w:t>950</w:t>
            </w:r>
          </w:p>
        </w:tc>
        <w:tc>
          <w:tcPr>
            <w:tcW w:w="540" w:type="dxa"/>
          </w:tcPr>
          <w:p w:rsidR="0083605F" w:rsidRPr="005B0796" w:rsidRDefault="0083605F" w:rsidP="00D844BE">
            <w:pPr>
              <w:pStyle w:val="TableText"/>
              <w:jc w:val="right"/>
              <w:rPr>
                <w:lang w:eastAsia="en-AU"/>
              </w:rPr>
            </w:pPr>
            <w:r w:rsidRPr="005B0796">
              <w:rPr>
                <w:lang w:eastAsia="en-AU"/>
              </w:rPr>
              <w:t>1.8</w:t>
            </w:r>
          </w:p>
        </w:tc>
        <w:tc>
          <w:tcPr>
            <w:tcW w:w="784" w:type="dxa"/>
          </w:tcPr>
          <w:p w:rsidR="0083605F" w:rsidRPr="005B0796" w:rsidRDefault="0083605F" w:rsidP="00D844BE">
            <w:pPr>
              <w:pStyle w:val="TableText"/>
              <w:jc w:val="right"/>
              <w:rPr>
                <w:lang w:eastAsia="en-AU"/>
              </w:rPr>
            </w:pPr>
            <w:r w:rsidRPr="005B0796">
              <w:rPr>
                <w:lang w:eastAsia="en-AU"/>
              </w:rPr>
              <w:t>1.0, 3.3</w:t>
            </w:r>
          </w:p>
        </w:tc>
        <w:tc>
          <w:tcPr>
            <w:tcW w:w="746" w:type="dxa"/>
          </w:tcPr>
          <w:p w:rsidR="0083605F" w:rsidRPr="005B0796" w:rsidRDefault="0083605F" w:rsidP="00D844BE">
            <w:pPr>
              <w:pStyle w:val="TableText"/>
              <w:jc w:val="right"/>
              <w:rPr>
                <w:lang w:eastAsia="en-AU"/>
              </w:rPr>
            </w:pPr>
            <w:r w:rsidRPr="005B0796">
              <w:rPr>
                <w:lang w:eastAsia="en-AU"/>
              </w:rPr>
              <w:t>546</w:t>
            </w:r>
          </w:p>
        </w:tc>
        <w:tc>
          <w:tcPr>
            <w:tcW w:w="540" w:type="dxa"/>
          </w:tcPr>
          <w:p w:rsidR="0083605F" w:rsidRPr="005B0796" w:rsidRDefault="0083605F" w:rsidP="00D844BE">
            <w:pPr>
              <w:pStyle w:val="TableText"/>
              <w:jc w:val="right"/>
              <w:rPr>
                <w:lang w:eastAsia="en-AU"/>
              </w:rPr>
            </w:pPr>
            <w:r w:rsidRPr="005B0796">
              <w:rPr>
                <w:lang w:eastAsia="en-AU"/>
              </w:rPr>
              <w:t>1.1</w:t>
            </w:r>
          </w:p>
        </w:tc>
        <w:tc>
          <w:tcPr>
            <w:tcW w:w="817" w:type="dxa"/>
          </w:tcPr>
          <w:p w:rsidR="0083605F" w:rsidRPr="005B0796" w:rsidRDefault="0083605F" w:rsidP="00D844BE">
            <w:pPr>
              <w:pStyle w:val="TableText"/>
              <w:jc w:val="right"/>
              <w:rPr>
                <w:lang w:eastAsia="en-AU"/>
              </w:rPr>
            </w:pPr>
            <w:r w:rsidRPr="005B0796">
              <w:rPr>
                <w:lang w:eastAsia="en-AU"/>
              </w:rPr>
              <w:t>1.0, 1.2</w:t>
            </w:r>
          </w:p>
        </w:tc>
      </w:tr>
      <w:tr w:rsidR="0083605F" w:rsidRPr="005B0796" w:rsidTr="0083605F">
        <w:tc>
          <w:tcPr>
            <w:tcW w:w="1008" w:type="dxa"/>
          </w:tcPr>
          <w:p w:rsidR="0083605F" w:rsidRPr="005B0796" w:rsidRDefault="0083605F" w:rsidP="00D844BE">
            <w:pPr>
              <w:pStyle w:val="TableText"/>
              <w:rPr>
                <w:lang w:eastAsia="en-AU"/>
              </w:rPr>
            </w:pPr>
            <w:r w:rsidRPr="005B0796">
              <w:rPr>
                <w:lang w:eastAsia="en-AU"/>
              </w:rPr>
              <w:t>Attempted suicide</w:t>
            </w:r>
          </w:p>
        </w:tc>
        <w:tc>
          <w:tcPr>
            <w:tcW w:w="810" w:type="dxa"/>
          </w:tcPr>
          <w:p w:rsidR="0083605F" w:rsidRPr="005B0796" w:rsidRDefault="0083605F" w:rsidP="00D844BE">
            <w:pPr>
              <w:pStyle w:val="TableText"/>
              <w:jc w:val="right"/>
              <w:rPr>
                <w:lang w:eastAsia="en-AU"/>
              </w:rPr>
            </w:pPr>
            <w:r w:rsidRPr="005B0796">
              <w:rPr>
                <w:lang w:eastAsia="en-AU"/>
              </w:rPr>
              <w:t>505</w:t>
            </w:r>
          </w:p>
        </w:tc>
        <w:tc>
          <w:tcPr>
            <w:tcW w:w="540" w:type="dxa"/>
          </w:tcPr>
          <w:p w:rsidR="0083605F" w:rsidRPr="005B0796" w:rsidRDefault="0083605F" w:rsidP="00D844BE">
            <w:pPr>
              <w:pStyle w:val="TableText"/>
              <w:jc w:val="right"/>
              <w:rPr>
                <w:lang w:eastAsia="en-AU"/>
              </w:rPr>
            </w:pPr>
            <w:r w:rsidRPr="005B0796">
              <w:rPr>
                <w:lang w:eastAsia="en-AU"/>
              </w:rPr>
              <w:t>2.0</w:t>
            </w:r>
          </w:p>
        </w:tc>
        <w:tc>
          <w:tcPr>
            <w:tcW w:w="752" w:type="dxa"/>
          </w:tcPr>
          <w:p w:rsidR="0083605F" w:rsidRPr="005B0796" w:rsidRDefault="0083605F" w:rsidP="00D844BE">
            <w:pPr>
              <w:pStyle w:val="TableText"/>
              <w:jc w:val="right"/>
              <w:rPr>
                <w:lang w:eastAsia="en-AU"/>
              </w:rPr>
            </w:pPr>
            <w:r w:rsidRPr="005B0796">
              <w:rPr>
                <w:lang w:eastAsia="en-AU"/>
              </w:rPr>
              <w:t>1.6, 2.6</w:t>
            </w:r>
          </w:p>
        </w:tc>
        <w:tc>
          <w:tcPr>
            <w:tcW w:w="778" w:type="dxa"/>
          </w:tcPr>
          <w:p w:rsidR="0083605F" w:rsidRPr="005B0796" w:rsidRDefault="0083605F" w:rsidP="00D844BE">
            <w:pPr>
              <w:pStyle w:val="TableText"/>
              <w:jc w:val="right"/>
              <w:rPr>
                <w:lang w:eastAsia="en-AU"/>
              </w:rPr>
            </w:pPr>
            <w:r w:rsidRPr="005B0796">
              <w:rPr>
                <w:lang w:eastAsia="en-AU"/>
              </w:rPr>
              <w:t>311</w:t>
            </w:r>
          </w:p>
        </w:tc>
        <w:tc>
          <w:tcPr>
            <w:tcW w:w="540" w:type="dxa"/>
          </w:tcPr>
          <w:p w:rsidR="0083605F" w:rsidRPr="005B0796" w:rsidRDefault="0083605F" w:rsidP="00D844BE">
            <w:pPr>
              <w:pStyle w:val="TableText"/>
              <w:jc w:val="right"/>
              <w:rPr>
                <w:lang w:eastAsia="en-AU"/>
              </w:rPr>
            </w:pPr>
            <w:r w:rsidRPr="005B0796">
              <w:rPr>
                <w:lang w:eastAsia="en-AU"/>
              </w:rPr>
              <w:t>0.6</w:t>
            </w:r>
          </w:p>
        </w:tc>
        <w:tc>
          <w:tcPr>
            <w:tcW w:w="784" w:type="dxa"/>
          </w:tcPr>
          <w:p w:rsidR="0083605F" w:rsidRPr="005B0796" w:rsidRDefault="0083605F" w:rsidP="00D844BE">
            <w:pPr>
              <w:pStyle w:val="TableText"/>
              <w:jc w:val="right"/>
              <w:rPr>
                <w:lang w:eastAsia="en-AU"/>
              </w:rPr>
            </w:pPr>
            <w:r w:rsidRPr="005B0796">
              <w:rPr>
                <w:lang w:eastAsia="en-AU"/>
              </w:rPr>
              <w:t>0.2, 1.6</w:t>
            </w:r>
          </w:p>
        </w:tc>
        <w:tc>
          <w:tcPr>
            <w:tcW w:w="746" w:type="dxa"/>
          </w:tcPr>
          <w:p w:rsidR="0083605F" w:rsidRPr="005B0796" w:rsidRDefault="0083605F" w:rsidP="00D844BE">
            <w:pPr>
              <w:pStyle w:val="TableText"/>
              <w:jc w:val="right"/>
              <w:rPr>
                <w:lang w:eastAsia="en-AU"/>
              </w:rPr>
            </w:pPr>
            <w:r w:rsidRPr="005B0796">
              <w:rPr>
                <w:lang w:eastAsia="en-AU"/>
              </w:rPr>
              <w:t>212</w:t>
            </w:r>
          </w:p>
        </w:tc>
        <w:tc>
          <w:tcPr>
            <w:tcW w:w="540" w:type="dxa"/>
          </w:tcPr>
          <w:p w:rsidR="0083605F" w:rsidRPr="005B0796" w:rsidRDefault="0083605F" w:rsidP="00D844BE">
            <w:pPr>
              <w:pStyle w:val="TableText"/>
              <w:jc w:val="right"/>
              <w:rPr>
                <w:lang w:eastAsia="en-AU"/>
              </w:rPr>
            </w:pPr>
            <w:r w:rsidRPr="005B0796">
              <w:rPr>
                <w:lang w:eastAsia="en-AU"/>
              </w:rPr>
              <w:t>0.4</w:t>
            </w:r>
          </w:p>
        </w:tc>
        <w:tc>
          <w:tcPr>
            <w:tcW w:w="817" w:type="dxa"/>
          </w:tcPr>
          <w:p w:rsidR="0083605F" w:rsidRPr="005B0796" w:rsidRDefault="0083605F" w:rsidP="00D844BE">
            <w:pPr>
              <w:pStyle w:val="TableText"/>
              <w:jc w:val="right"/>
              <w:rPr>
                <w:lang w:eastAsia="en-AU"/>
              </w:rPr>
            </w:pPr>
            <w:r w:rsidRPr="005B0796">
              <w:rPr>
                <w:lang w:eastAsia="en-AU"/>
              </w:rPr>
              <w:t>0.3, 0.5</w:t>
            </w:r>
          </w:p>
        </w:tc>
      </w:tr>
      <w:tr w:rsidR="0083605F" w:rsidRPr="005B0796" w:rsidTr="0083605F">
        <w:trPr>
          <w:cnfStyle w:val="000000100000" w:firstRow="0" w:lastRow="0" w:firstColumn="0" w:lastColumn="0" w:oddVBand="0" w:evenVBand="0" w:oddHBand="1" w:evenHBand="0" w:firstRowFirstColumn="0" w:firstRowLastColumn="0" w:lastRowFirstColumn="0" w:lastRowLastColumn="0"/>
        </w:trPr>
        <w:tc>
          <w:tcPr>
            <w:tcW w:w="1008" w:type="dxa"/>
          </w:tcPr>
          <w:p w:rsidR="0083605F" w:rsidRPr="005B0796" w:rsidRDefault="0083605F" w:rsidP="00D844BE">
            <w:pPr>
              <w:pStyle w:val="TableText"/>
              <w:rPr>
                <w:lang w:eastAsia="en-AU"/>
              </w:rPr>
            </w:pPr>
            <w:r w:rsidRPr="005B0796">
              <w:rPr>
                <w:lang w:eastAsia="en-AU"/>
              </w:rPr>
              <w:t>Any suicidality†</w:t>
            </w:r>
          </w:p>
        </w:tc>
        <w:tc>
          <w:tcPr>
            <w:tcW w:w="810" w:type="dxa"/>
          </w:tcPr>
          <w:p w:rsidR="0083605F" w:rsidRPr="005B0796" w:rsidRDefault="0083605F" w:rsidP="00D844BE">
            <w:pPr>
              <w:pStyle w:val="TableText"/>
              <w:jc w:val="right"/>
              <w:rPr>
                <w:lang w:eastAsia="en-AU"/>
              </w:rPr>
            </w:pPr>
            <w:r w:rsidRPr="005B0796">
              <w:rPr>
                <w:lang w:eastAsia="en-AU"/>
              </w:rPr>
              <w:t>5342</w:t>
            </w:r>
          </w:p>
        </w:tc>
        <w:tc>
          <w:tcPr>
            <w:tcW w:w="540" w:type="dxa"/>
          </w:tcPr>
          <w:p w:rsidR="0083605F" w:rsidRPr="005B0796" w:rsidRDefault="0083605F" w:rsidP="00D844BE">
            <w:pPr>
              <w:pStyle w:val="TableText"/>
              <w:jc w:val="right"/>
              <w:rPr>
                <w:lang w:eastAsia="en-AU"/>
              </w:rPr>
            </w:pPr>
            <w:r w:rsidRPr="005B0796">
              <w:rPr>
                <w:lang w:eastAsia="en-AU"/>
              </w:rPr>
              <w:t>21.7</w:t>
            </w:r>
          </w:p>
        </w:tc>
        <w:tc>
          <w:tcPr>
            <w:tcW w:w="752" w:type="dxa"/>
          </w:tcPr>
          <w:p w:rsidR="0083605F" w:rsidRPr="005B0796" w:rsidRDefault="0083605F" w:rsidP="00D844BE">
            <w:pPr>
              <w:pStyle w:val="TableText"/>
              <w:jc w:val="right"/>
              <w:rPr>
                <w:lang w:eastAsia="en-AU"/>
              </w:rPr>
            </w:pPr>
            <w:r w:rsidRPr="005B0796">
              <w:rPr>
                <w:lang w:eastAsia="en-AU"/>
              </w:rPr>
              <w:t>20.2, 23.3</w:t>
            </w:r>
          </w:p>
        </w:tc>
        <w:tc>
          <w:tcPr>
            <w:tcW w:w="778" w:type="dxa"/>
          </w:tcPr>
          <w:p w:rsidR="0083605F" w:rsidRPr="005B0796" w:rsidRDefault="0083605F" w:rsidP="00D844BE">
            <w:pPr>
              <w:pStyle w:val="TableText"/>
              <w:jc w:val="right"/>
              <w:rPr>
                <w:lang w:eastAsia="en-AU"/>
              </w:rPr>
            </w:pPr>
            <w:r w:rsidRPr="005B0796">
              <w:rPr>
                <w:lang w:eastAsia="en-AU"/>
              </w:rPr>
              <w:t>4533</w:t>
            </w:r>
          </w:p>
        </w:tc>
        <w:tc>
          <w:tcPr>
            <w:tcW w:w="540" w:type="dxa"/>
          </w:tcPr>
          <w:p w:rsidR="0083605F" w:rsidRPr="005B0796" w:rsidRDefault="0083605F" w:rsidP="00D844BE">
            <w:pPr>
              <w:pStyle w:val="TableText"/>
              <w:jc w:val="right"/>
              <w:rPr>
                <w:lang w:eastAsia="en-AU"/>
              </w:rPr>
            </w:pPr>
            <w:r w:rsidRPr="005B0796">
              <w:rPr>
                <w:lang w:eastAsia="en-AU"/>
              </w:rPr>
              <w:t>8.8</w:t>
            </w:r>
          </w:p>
        </w:tc>
        <w:tc>
          <w:tcPr>
            <w:tcW w:w="784" w:type="dxa"/>
          </w:tcPr>
          <w:p w:rsidR="0083605F" w:rsidRPr="005B0796" w:rsidRDefault="0083605F" w:rsidP="00D844BE">
            <w:pPr>
              <w:pStyle w:val="TableText"/>
              <w:jc w:val="right"/>
              <w:rPr>
                <w:lang w:eastAsia="en-AU"/>
              </w:rPr>
            </w:pPr>
            <w:r w:rsidRPr="005B0796">
              <w:rPr>
                <w:lang w:eastAsia="en-AU"/>
              </w:rPr>
              <w:t>6.7, 11.6</w:t>
            </w:r>
          </w:p>
        </w:tc>
        <w:tc>
          <w:tcPr>
            <w:tcW w:w="746" w:type="dxa"/>
          </w:tcPr>
          <w:p w:rsidR="0083605F" w:rsidRPr="005B0796" w:rsidRDefault="0083605F" w:rsidP="00D844BE">
            <w:pPr>
              <w:pStyle w:val="TableText"/>
              <w:jc w:val="right"/>
              <w:rPr>
                <w:lang w:eastAsia="en-AU"/>
              </w:rPr>
            </w:pPr>
            <w:r w:rsidRPr="005B0796">
              <w:rPr>
                <w:lang w:eastAsia="en-AU"/>
              </w:rPr>
              <w:t>1985</w:t>
            </w:r>
          </w:p>
        </w:tc>
        <w:tc>
          <w:tcPr>
            <w:tcW w:w="540" w:type="dxa"/>
          </w:tcPr>
          <w:p w:rsidR="0083605F" w:rsidRPr="005B0796" w:rsidRDefault="0083605F" w:rsidP="00D844BE">
            <w:pPr>
              <w:pStyle w:val="TableText"/>
              <w:jc w:val="right"/>
              <w:rPr>
                <w:lang w:eastAsia="en-AU"/>
              </w:rPr>
            </w:pPr>
            <w:r w:rsidRPr="005B0796">
              <w:rPr>
                <w:lang w:eastAsia="en-AU"/>
              </w:rPr>
              <w:t>4.0</w:t>
            </w:r>
          </w:p>
        </w:tc>
        <w:tc>
          <w:tcPr>
            <w:tcW w:w="817" w:type="dxa"/>
          </w:tcPr>
          <w:p w:rsidR="0083605F" w:rsidRPr="005B0796" w:rsidRDefault="0083605F" w:rsidP="00D844BE">
            <w:pPr>
              <w:pStyle w:val="TableText"/>
              <w:jc w:val="right"/>
              <w:rPr>
                <w:lang w:eastAsia="en-AU"/>
              </w:rPr>
            </w:pPr>
            <w:r w:rsidRPr="005B0796">
              <w:rPr>
                <w:lang w:eastAsia="en-AU"/>
              </w:rPr>
              <w:t>3.7, 4.2</w:t>
            </w:r>
          </w:p>
        </w:tc>
      </w:tr>
    </w:tbl>
    <w:p w:rsidR="00596B4D" w:rsidRPr="005B0796" w:rsidRDefault="00596B4D" w:rsidP="00596B4D">
      <w:pPr>
        <w:pStyle w:val="TableNotes"/>
      </w:pPr>
      <w:r w:rsidRPr="005B0796">
        <w:t>* From the 2010 ADF Mental Health Prevalence and Wellbeing Study</w:t>
      </w:r>
    </w:p>
    <w:p w:rsidR="00596B4D" w:rsidRPr="005B0796" w:rsidRDefault="00596B4D" w:rsidP="00596B4D">
      <w:pPr>
        <w:pStyle w:val="TableNotes"/>
      </w:pPr>
      <w:r w:rsidRPr="005B0796">
        <w:t xml:space="preserve">† </w:t>
      </w:r>
      <w:r w:rsidR="00462A0C" w:rsidRPr="005B0796">
        <w:t>‘</w:t>
      </w:r>
      <w:r w:rsidRPr="005B0796">
        <w:t xml:space="preserve">Any </w:t>
      </w:r>
      <w:r w:rsidR="00C01061">
        <w:t>s</w:t>
      </w:r>
      <w:r w:rsidRPr="005B0796">
        <w:t>uicidality</w:t>
      </w:r>
      <w:r w:rsidR="00462A0C" w:rsidRPr="005B0796">
        <w:t>’</w:t>
      </w:r>
      <w:r w:rsidRPr="005B0796">
        <w:t xml:space="preserve"> includes those who endorsed </w:t>
      </w:r>
      <w:r w:rsidR="00462A0C" w:rsidRPr="005B0796">
        <w:t>‘</w:t>
      </w:r>
      <w:r w:rsidR="00F773A8" w:rsidRPr="005B0796">
        <w:t xml:space="preserve">felt </w:t>
      </w:r>
      <w:r w:rsidRPr="005B0796">
        <w:t>so low thought about committing suicide</w:t>
      </w:r>
      <w:r w:rsidR="00462A0C" w:rsidRPr="005B0796">
        <w:t>’</w:t>
      </w:r>
      <w:r w:rsidRPr="005B0796">
        <w:t xml:space="preserve">, </w:t>
      </w:r>
      <w:r w:rsidR="00462A0C" w:rsidRPr="005B0796">
        <w:t>‘</w:t>
      </w:r>
      <w:r w:rsidR="00F773A8" w:rsidRPr="005B0796">
        <w:t xml:space="preserve">made </w:t>
      </w:r>
      <w:r w:rsidRPr="005B0796">
        <w:t>a suicide plan</w:t>
      </w:r>
      <w:r w:rsidR="00462A0C" w:rsidRPr="005B0796">
        <w:t>’</w:t>
      </w:r>
      <w:r w:rsidRPr="005B0796">
        <w:t xml:space="preserve">, </w:t>
      </w:r>
      <w:r w:rsidR="00462A0C" w:rsidRPr="005B0796">
        <w:t>‘</w:t>
      </w:r>
      <w:r w:rsidR="00F773A8" w:rsidRPr="005B0796">
        <w:t xml:space="preserve">attempted </w:t>
      </w:r>
      <w:r w:rsidRPr="005B0796">
        <w:t>suicide</w:t>
      </w:r>
      <w:r w:rsidR="00462A0C" w:rsidRPr="005B0796">
        <w:t>’</w:t>
      </w:r>
    </w:p>
    <w:p w:rsidR="00596B4D" w:rsidRPr="005B0796" w:rsidRDefault="00596B4D" w:rsidP="00596B4D">
      <w:pPr>
        <w:pStyle w:val="TableNotes"/>
      </w:pPr>
      <w:r w:rsidRPr="005B0796">
        <w:t xml:space="preserve">Note: 95% CI: 95% </w:t>
      </w:r>
      <w:r w:rsidR="00564689" w:rsidRPr="005B0796">
        <w:t>confidence interval</w:t>
      </w:r>
    </w:p>
    <w:p w:rsidR="00893AD6" w:rsidRPr="005B0796" w:rsidRDefault="00941897" w:rsidP="00941897">
      <w:pPr>
        <w:pStyle w:val="FigureName"/>
      </w:pPr>
      <w:bookmarkStart w:id="1091" w:name="_Toc487014410"/>
      <w:bookmarkStart w:id="1092" w:name="_Toc51190057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20</w:t>
      </w:r>
      <w:r w:rsidR="00D30A3C">
        <w:rPr>
          <w:noProof/>
        </w:rPr>
        <w:fldChar w:fldCharType="end"/>
      </w:r>
      <w:r w:rsidRPr="005B0796">
        <w:tab/>
        <w:t>Estimated proportions of suicidality in Transitioned ADF, and 2010 and 2015 Regular ADF</w:t>
      </w:r>
      <w:bookmarkEnd w:id="1091"/>
      <w:bookmarkEnd w:id="1092"/>
    </w:p>
    <w:tbl>
      <w:tblPr>
        <w:tblW w:w="5000" w:type="pct"/>
        <w:tblLayout w:type="fixed"/>
        <w:tblCellMar>
          <w:left w:w="115" w:type="dxa"/>
          <w:right w:w="115" w:type="dxa"/>
        </w:tblCellMar>
        <w:tblLook w:val="04A0" w:firstRow="1" w:lastRow="0" w:firstColumn="1" w:lastColumn="0" w:noHBand="0" w:noVBand="1"/>
      </w:tblPr>
      <w:tblGrid>
        <w:gridCol w:w="7329"/>
      </w:tblGrid>
      <w:tr w:rsidR="00893AD6" w:rsidRPr="005B0796" w:rsidTr="00941897">
        <w:trPr>
          <w:cantSplit/>
        </w:trPr>
        <w:tc>
          <w:tcPr>
            <w:tcW w:w="7329" w:type="dxa"/>
          </w:tcPr>
          <w:p w:rsidR="00893AD6" w:rsidRPr="005B0796" w:rsidRDefault="00893AD6" w:rsidP="0064122F">
            <w:r w:rsidRPr="005B0796">
              <w:rPr>
                <w:noProof/>
                <w:lang w:eastAsia="en-AU"/>
              </w:rPr>
              <w:drawing>
                <wp:inline distT="0" distB="0" distL="0" distR="0" wp14:anchorId="7A968BDD" wp14:editId="7C808F66">
                  <wp:extent cx="4572000" cy="2743200"/>
                  <wp:effectExtent l="0" t="0" r="0" b="0"/>
                  <wp:docPr id="73" name="Chart 73" descr="Figure 5.20 Estimated proportions of suicidality in Transitioned ADF, and 2010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r>
    </w:tbl>
    <w:p w:rsidR="00893AD6" w:rsidRPr="005B0796" w:rsidRDefault="00893AD6" w:rsidP="00941897">
      <w:pPr>
        <w:pStyle w:val="Heading2"/>
      </w:pPr>
      <w:bookmarkStart w:id="1093" w:name="_Toc482021387"/>
      <w:bookmarkStart w:id="1094" w:name="_Toc482024478"/>
      <w:bookmarkStart w:id="1095" w:name="_Toc487011233"/>
      <w:bookmarkStart w:id="1096" w:name="_Toc494449753"/>
      <w:bookmarkStart w:id="1097" w:name="_Toc511900335"/>
      <w:r w:rsidRPr="005B0796">
        <w:t xml:space="preserve">Drug </w:t>
      </w:r>
      <w:r w:rsidR="00C01061">
        <w:t>u</w:t>
      </w:r>
      <w:r w:rsidRPr="005B0796">
        <w:t>se (illicit and the use of prescription drugs for non-medical purposes)</w:t>
      </w:r>
      <w:bookmarkStart w:id="1098" w:name="_Toc482011775"/>
      <w:bookmarkEnd w:id="1093"/>
      <w:bookmarkEnd w:id="1094"/>
      <w:bookmarkEnd w:id="1098"/>
      <w:r w:rsidRPr="005B0796">
        <w:t xml:space="preserve"> in Transitioned ADF</w:t>
      </w:r>
      <w:bookmarkEnd w:id="1095"/>
      <w:bookmarkEnd w:id="1096"/>
      <w:bookmarkEnd w:id="1097"/>
      <w:r w:rsidRPr="005B0796">
        <w:t xml:space="preserve"> </w:t>
      </w:r>
    </w:p>
    <w:p w:rsidR="00941897" w:rsidRPr="005B0796" w:rsidRDefault="00941897" w:rsidP="00941897">
      <w:pPr>
        <w:pStyle w:val="ShadedBullet"/>
      </w:pPr>
      <w:r w:rsidRPr="005B0796">
        <w:t>An estimated 39.3% of Ex-Serving ADF members have used illicit drugs in their lifetime, with 16.4% reporting illicit drug use in the last 12 months.</w:t>
      </w:r>
    </w:p>
    <w:p w:rsidR="00941897" w:rsidRPr="005B0796" w:rsidRDefault="00941897" w:rsidP="00941897">
      <w:pPr>
        <w:pStyle w:val="ShadedBullet"/>
      </w:pPr>
      <w:r w:rsidRPr="005B0796">
        <w:t>An estimated 11.3% of Ex-Serving ADF members have reported using prescription drugs for non-medical purposes in their lifetime, with more than half (6.7%) reporting using them in the last 12 months.</w:t>
      </w:r>
    </w:p>
    <w:p w:rsidR="00941897" w:rsidRPr="005B0796" w:rsidRDefault="00941897" w:rsidP="00941897">
      <w:pPr>
        <w:pStyle w:val="ShadedBullet"/>
      </w:pPr>
      <w:r w:rsidRPr="005B0796">
        <w:t>Ex-Serving ADF members and Inactive Reservists reported similar patterns of lifetime and 12-month drug use and were significantly more likely to report 12-month and lifetime illicit drug use, as well as 12-month and lifetime use of prescription drugs for non-medical purposes than those who remained in the Active Reserves.</w:t>
      </w:r>
    </w:p>
    <w:p w:rsidR="00941897" w:rsidRPr="005B0796" w:rsidRDefault="00941897" w:rsidP="00941897">
      <w:pPr>
        <w:pStyle w:val="ShadedBullet"/>
      </w:pPr>
      <w:r w:rsidRPr="005B0796">
        <w:t>Both types of drug use (illicit and non-medical use of prescription drugs) increased gradually over the first few years after transition, reaching a peak at three years post-transition.</w:t>
      </w:r>
    </w:p>
    <w:p w:rsidR="00941897" w:rsidRPr="005B0796" w:rsidRDefault="00941897" w:rsidP="00941897">
      <w:pPr>
        <w:pStyle w:val="ShadedBoxText"/>
      </w:pPr>
      <w:r w:rsidRPr="005B0796">
        <w:rPr>
          <w:b/>
        </w:rPr>
        <w:t xml:space="preserve">Glossary: </w:t>
      </w:r>
      <w:r w:rsidRPr="005B0796">
        <w:t>refer to the Glossary of terms for definitions of key terms in this section.</w:t>
      </w:r>
    </w:p>
    <w:p w:rsidR="00893AD6" w:rsidRPr="005B0796" w:rsidRDefault="00893AD6" w:rsidP="00941897">
      <w:r w:rsidRPr="005B0796">
        <w:rPr>
          <w:rFonts w:eastAsia="Times"/>
        </w:rPr>
        <w:t>Lifetime and 12-month drug use in Transitioned ADF only was measured using modified i</w:t>
      </w:r>
      <w:r w:rsidRPr="005B0796">
        <w:t xml:space="preserve">tems from the 2013 National Drug Strategy Household Survey </w:t>
      </w:r>
      <w:r w:rsidRPr="005B0796">
        <w:fldChar w:fldCharType="begin"/>
      </w:r>
      <w:r w:rsidRPr="005B0796">
        <w:instrText xml:space="preserve"> ADDIN EN.CITE &lt;EndNote&gt;&lt;Cite&gt;&lt;Author&gt;Australian Institute of Health and Welfare&lt;/Author&gt;&lt;Year&gt;2011&lt;/Year&gt;&lt;RecNum&gt;438&lt;/RecNum&gt;&lt;DisplayText&gt;(Australian Institute of Health and Welfare, 2011)&lt;/DisplayText&gt;&lt;record&gt;&lt;rec-number&gt;438&lt;/rec-number&gt;&lt;foreign-keys&gt;&lt;key app="EN" db-id="arwdrezp9sdawxevtfyxtfw10exvr5exxfed" timestamp="1478233743"&gt;438&lt;/key&gt;&lt;/foreign-keys&gt;&lt;ref-type name="Book"&gt;6&lt;/ref-type&gt;&lt;contributors&gt;&lt;authors&gt;&lt;author&gt;Australian Institute of Health and Welfare,&lt;/author&gt;&lt;/authors&gt;&lt;/contributors&gt;&lt;titles&gt;&lt;title&gt;2010 National Drug Strategy Household Survey report.&lt;/title&gt;&lt;/titles&gt;&lt;dates&gt;&lt;year&gt;2011&lt;/year&gt;&lt;/dates&gt;&lt;pub-location&gt; Canberra&lt;/pub-location&gt;&lt;urls&gt;&lt;/urls&gt;&lt;/record&gt;&lt;/Cite&gt;&lt;/EndNote&gt;</w:instrText>
      </w:r>
      <w:r w:rsidRPr="005B0796">
        <w:fldChar w:fldCharType="separate"/>
      </w:r>
      <w:r w:rsidRPr="005B0796">
        <w:t>(Australian Institute of Health and Welfare, 2011)</w:t>
      </w:r>
      <w:r w:rsidRPr="005B0796">
        <w:fldChar w:fldCharType="end"/>
      </w:r>
      <w:r w:rsidRPr="005B0796">
        <w:t xml:space="preserve">. </w:t>
      </w:r>
    </w:p>
    <w:p w:rsidR="00893AD6" w:rsidRPr="005B0796" w:rsidRDefault="00893AD6" w:rsidP="00941897">
      <w:r w:rsidRPr="005B0796">
        <w:t xml:space="preserve">Transitioned ADF were asked questions about two categories of drugs: </w:t>
      </w:r>
    </w:p>
    <w:p w:rsidR="00893AD6" w:rsidRPr="005B0796" w:rsidRDefault="00893AD6" w:rsidP="00941897">
      <w:pPr>
        <w:pStyle w:val="Bullet"/>
        <w:spacing w:after="120"/>
      </w:pPr>
      <w:r w:rsidRPr="005B0796">
        <w:t xml:space="preserve">Illicit drugs: </w:t>
      </w:r>
    </w:p>
    <w:p w:rsidR="00893AD6" w:rsidRPr="005B0796" w:rsidRDefault="00893AD6" w:rsidP="00941897">
      <w:pPr>
        <w:pStyle w:val="Dash"/>
      </w:pPr>
      <w:r w:rsidRPr="005B0796">
        <w:t>Includes methamphetamines, marijuana, heroin, methadone, buprenorphine, cocaine, hallucinogens, ecstasy, ketamine, GHB, inhalants, opiates and opioids</w:t>
      </w:r>
    </w:p>
    <w:p w:rsidR="00893AD6" w:rsidRPr="005B0796" w:rsidRDefault="00893AD6" w:rsidP="00941897">
      <w:pPr>
        <w:pStyle w:val="Bullet"/>
        <w:spacing w:after="120"/>
      </w:pPr>
      <w:r w:rsidRPr="005B0796">
        <w:t>Prescription drugs for non-medical purposes:</w:t>
      </w:r>
    </w:p>
    <w:p w:rsidR="00893AD6" w:rsidRPr="005B0796" w:rsidRDefault="00893AD6" w:rsidP="00941897">
      <w:pPr>
        <w:pStyle w:val="Dash"/>
      </w:pPr>
      <w:r w:rsidRPr="005B0796">
        <w:t xml:space="preserve">Includes painkillers/analgesics and tranquilisers/sleeping pills. </w:t>
      </w:r>
    </w:p>
    <w:p w:rsidR="00893AD6" w:rsidRPr="005B0796" w:rsidRDefault="00893AD6" w:rsidP="00941897">
      <w:r w:rsidRPr="005B0796">
        <w:t xml:space="preserve">For this study, the phrase </w:t>
      </w:r>
      <w:r w:rsidR="00462A0C" w:rsidRPr="005B0796">
        <w:t>‘</w:t>
      </w:r>
      <w:r w:rsidRPr="005B0796">
        <w:t>non-medical purposes</w:t>
      </w:r>
      <w:r w:rsidR="00462A0C" w:rsidRPr="005B0796">
        <w:t>’</w:t>
      </w:r>
      <w:r w:rsidRPr="005B0796">
        <w:t xml:space="preserve"> was defined as either alone or with other drugs to induce or enhance a drug experience. </w:t>
      </w:r>
    </w:p>
    <w:p w:rsidR="00893AD6" w:rsidRPr="005B0796" w:rsidRDefault="00893AD6" w:rsidP="00941897">
      <w:r w:rsidRPr="005B0796">
        <w:t xml:space="preserve">Participants were asked if they had ever used these drugs in their lifetime or the last 12 months, and the age at which they first used them. This section will only report 12-month and lifetime drug use. </w:t>
      </w:r>
    </w:p>
    <w:p w:rsidR="00893AD6" w:rsidRPr="005B0796" w:rsidRDefault="00893AD6" w:rsidP="00941897">
      <w:r w:rsidRPr="005B0796">
        <w:t>Due to the ADF</w:t>
      </w:r>
      <w:r w:rsidR="00462A0C" w:rsidRPr="005B0796">
        <w:t>’</w:t>
      </w:r>
      <w:r w:rsidRPr="005B0796">
        <w:t xml:space="preserve">s </w:t>
      </w:r>
      <w:r w:rsidR="00462A0C" w:rsidRPr="005B0796">
        <w:t>‘</w:t>
      </w:r>
      <w:r w:rsidRPr="005B0796">
        <w:t>zero-tolerance policy</w:t>
      </w:r>
      <w:r w:rsidR="00462A0C" w:rsidRPr="005B0796">
        <w:t>’</w:t>
      </w:r>
      <w:r w:rsidRPr="005B0796">
        <w:t xml:space="preserve"> on full-time and Active Reserve ADF members using illicit drugs (members found to be using illicit drugs are required to </w:t>
      </w:r>
      <w:r w:rsidR="00462A0C" w:rsidRPr="005B0796">
        <w:t>‘</w:t>
      </w:r>
      <w:r w:rsidRPr="005B0796">
        <w:t>show cause</w:t>
      </w:r>
      <w:r w:rsidR="00462A0C" w:rsidRPr="005B0796">
        <w:t>’</w:t>
      </w:r>
      <w:r w:rsidRPr="005B0796">
        <w:t xml:space="preserve"> as to why they should be permitted to remain in the ADF), 2010 and 2015 Regular ADF members were not asked about illicit or prescription drug use. As such, limited analysis of lifetime and 12</w:t>
      </w:r>
      <w:r w:rsidRPr="005B0796">
        <w:noBreakHyphen/>
        <w:t>month drug use was examined in the Transitioned ADF, using transition status (Ex</w:t>
      </w:r>
      <w:r w:rsidRPr="005B0796">
        <w:noBreakHyphen/>
        <w:t>Serving, Active Reservist, Inactive Reservist) and years since transition.</w:t>
      </w:r>
    </w:p>
    <w:p w:rsidR="00893AD6" w:rsidRPr="005B0796" w:rsidRDefault="00893AD6" w:rsidP="00941897">
      <w:pPr>
        <w:pStyle w:val="Heading3"/>
      </w:pPr>
      <w:bookmarkStart w:id="1099" w:name="_Toc482021388"/>
      <w:bookmarkStart w:id="1100" w:name="_Toc482024479"/>
      <w:bookmarkStart w:id="1101" w:name="_Toc487011234"/>
      <w:bookmarkStart w:id="1102" w:name="_Toc494449754"/>
      <w:bookmarkStart w:id="1103" w:name="_Toc511900336"/>
      <w:r w:rsidRPr="005B0796">
        <w:t>Drug use in different transition population subgroups</w:t>
      </w:r>
      <w:bookmarkEnd w:id="1099"/>
      <w:bookmarkEnd w:id="1100"/>
      <w:bookmarkEnd w:id="1101"/>
      <w:bookmarkEnd w:id="1102"/>
      <w:bookmarkEnd w:id="1103"/>
    </w:p>
    <w:p w:rsidR="00893AD6" w:rsidRPr="005B0796" w:rsidRDefault="00893AD6" w:rsidP="00941897">
      <w:pPr>
        <w:pStyle w:val="Heading4"/>
      </w:pPr>
      <w:r w:rsidRPr="005B0796">
        <w:t>Drug use in Transitioned ADF members</w:t>
      </w:r>
      <w:r w:rsidR="00C01061">
        <w:t>,</w:t>
      </w:r>
      <w:r w:rsidRPr="005B0796">
        <w:t xml:space="preserve"> by transition status</w:t>
      </w:r>
    </w:p>
    <w:p w:rsidR="00893AD6" w:rsidRPr="005B0796" w:rsidRDefault="00893AD6" w:rsidP="00941897">
      <w:r w:rsidRPr="005B0796">
        <w:t>Almost 40% of the Transitioned ADF reported using illicit drugs in their lifetime, with 11.3% reporting ever using prescription drugs for non-medical purposes. In the last 12</w:t>
      </w:r>
      <w:r w:rsidR="00941897" w:rsidRPr="005B0796">
        <w:t> </w:t>
      </w:r>
      <w:r w:rsidRPr="005B0796">
        <w:t>months, 16.4% (95% CI 14.2, 19.0) of the Transitioned ADF reported using illicit drugs, and 6.73% (95% CI 5.31, 8.50) reported using prescription drugs for non-medical purposes.</w:t>
      </w:r>
    </w:p>
    <w:p w:rsidR="00893AD6" w:rsidRPr="005B0796" w:rsidRDefault="009E72D3" w:rsidP="00941897">
      <w:r w:rsidRPr="005B0796">
        <w:t>Table 5.21</w:t>
      </w:r>
      <w:r w:rsidR="00893AD6" w:rsidRPr="005B0796">
        <w:t xml:space="preserve"> and Figure 5.23 compare drug use in Ex-Serving, Inactive and Active Reservists who have transitioned from the Regular ADF since 2010.</w:t>
      </w:r>
    </w:p>
    <w:p w:rsidR="00893AD6" w:rsidRPr="005B0796" w:rsidRDefault="00893AD6" w:rsidP="00941897">
      <w:r w:rsidRPr="005B0796">
        <w:t xml:space="preserve">Self-reported drug use was highest among Ex-Serving ADF members and lowest among Active Reservists. Both Ex-Serving ADF members and Inactive Reservists were significantly more likely than Active Reservists to report 12-month and lifetime illicit drug use. They were also more likely to report 12-month and lifetime use of prescription drugs for non-medical purposes. In contrast, there was little difference between drug use patterns among Transitioned ADF members who were Ex-Serving and members of the Inactive Reserves (see Annex </w:t>
      </w:r>
      <w:r w:rsidR="00411B45" w:rsidRPr="005B0796">
        <w:t>B</w:t>
      </w:r>
      <w:r w:rsidRPr="005B0796">
        <w:t xml:space="preserve"> for odds ratios comparing 12-month and lifetime drug use among Transitioned ADF members who were Ex-Serving, Inactive or Active Reservists).</w:t>
      </w:r>
    </w:p>
    <w:p w:rsidR="00941897" w:rsidRPr="005B0796" w:rsidRDefault="00941897" w:rsidP="00941897">
      <w:pPr>
        <w:pStyle w:val="TableName"/>
      </w:pPr>
      <w:bookmarkStart w:id="1104" w:name="_Ref484523483"/>
      <w:bookmarkStart w:id="1105" w:name="_Toc487014322"/>
      <w:bookmarkStart w:id="1106" w:name="_Toc492995625"/>
      <w:bookmarkStart w:id="1107" w:name="_Toc51190047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21</w:t>
      </w:r>
      <w:r w:rsidR="00D30A3C">
        <w:rPr>
          <w:noProof/>
        </w:rPr>
        <w:fldChar w:fldCharType="end"/>
      </w:r>
      <w:bookmarkEnd w:id="1104"/>
      <w:r w:rsidRPr="005B0796">
        <w:tab/>
        <w:t xml:space="preserve">Estimated proportions </w:t>
      </w:r>
      <w:r w:rsidR="00C01061">
        <w:t>of</w:t>
      </w:r>
      <w:r w:rsidRPr="005B0796">
        <w:t xml:space="preserve"> Transitioned ADF </w:t>
      </w:r>
      <w:r w:rsidR="00C01061">
        <w:t xml:space="preserve">who have used </w:t>
      </w:r>
      <w:r w:rsidRPr="005B0796">
        <w:t>drug</w:t>
      </w:r>
      <w:r w:rsidR="00C01061">
        <w:t>s,</w:t>
      </w:r>
      <w:r w:rsidRPr="005B0796">
        <w:t xml:space="preserve"> by transition status</w:t>
      </w:r>
      <w:bookmarkEnd w:id="1105"/>
      <w:bookmarkEnd w:id="1106"/>
      <w:bookmarkEnd w:id="1107"/>
    </w:p>
    <w:tbl>
      <w:tblPr>
        <w:tblStyle w:val="TWRPTable"/>
        <w:tblW w:w="5057" w:type="pct"/>
        <w:tblLayout w:type="fixed"/>
        <w:tblLook w:val="01E0" w:firstRow="1" w:lastRow="1" w:firstColumn="1" w:lastColumn="1" w:noHBand="0" w:noVBand="0"/>
        <w:tblDescription w:val="Table 5.21 Estimated proportions in Transitioned ADF of drug use by transition status"/>
      </w:tblPr>
      <w:tblGrid>
        <w:gridCol w:w="1278"/>
        <w:gridCol w:w="810"/>
        <w:gridCol w:w="450"/>
        <w:gridCol w:w="780"/>
        <w:gridCol w:w="750"/>
        <w:gridCol w:w="450"/>
        <w:gridCol w:w="840"/>
        <w:gridCol w:w="780"/>
        <w:gridCol w:w="450"/>
        <w:gridCol w:w="810"/>
      </w:tblGrid>
      <w:tr w:rsidR="00D844BE" w:rsidRPr="005B0796" w:rsidTr="00D844BE">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val="restart"/>
            <w:hideMark/>
          </w:tcPr>
          <w:p w:rsidR="00D844BE" w:rsidRPr="005B0796" w:rsidRDefault="00D844BE" w:rsidP="00D844BE">
            <w:pPr>
              <w:pStyle w:val="TableText"/>
              <w:rPr>
                <w:rFonts w:eastAsia="Times New Roman"/>
                <w:lang w:eastAsia="en-AU"/>
              </w:rPr>
            </w:pPr>
            <w:r w:rsidRPr="005B0796">
              <w:rPr>
                <w:lang w:eastAsia="en-AU"/>
              </w:rPr>
              <w:t>Drug use</w:t>
            </w:r>
          </w:p>
        </w:tc>
        <w:tc>
          <w:tcPr>
            <w:tcW w:w="2040" w:type="dxa"/>
            <w:gridSpan w:val="3"/>
          </w:tcPr>
          <w:p w:rsidR="00D844BE" w:rsidRPr="005B0796" w:rsidRDefault="00D844BE" w:rsidP="00D844BE">
            <w:pPr>
              <w:pStyle w:val="TableText"/>
              <w:jc w:val="center"/>
              <w:rPr>
                <w:lang w:eastAsia="en-AU"/>
              </w:rPr>
            </w:pPr>
            <w:r w:rsidRPr="005B0796">
              <w:rPr>
                <w:bCs/>
                <w:lang w:eastAsia="en-AU"/>
              </w:rPr>
              <w:t xml:space="preserve">Ex-serving </w:t>
            </w:r>
            <w:r w:rsidRPr="005B0796">
              <w:rPr>
                <w:bCs/>
                <w:lang w:eastAsia="en-AU"/>
              </w:rPr>
              <w:br/>
              <w:t>(n = 11,440)</w:t>
            </w:r>
          </w:p>
        </w:tc>
        <w:tc>
          <w:tcPr>
            <w:tcW w:w="2040" w:type="dxa"/>
            <w:gridSpan w:val="3"/>
          </w:tcPr>
          <w:p w:rsidR="00D844BE" w:rsidRPr="005B0796" w:rsidRDefault="00D844BE" w:rsidP="00D844BE">
            <w:pPr>
              <w:pStyle w:val="TableText"/>
              <w:jc w:val="center"/>
              <w:rPr>
                <w:lang w:eastAsia="en-AU"/>
              </w:rPr>
            </w:pPr>
            <w:r w:rsidRPr="005B0796">
              <w:rPr>
                <w:bCs/>
                <w:lang w:eastAsia="en-AU"/>
              </w:rPr>
              <w:t xml:space="preserve">Inactive Reservist </w:t>
            </w:r>
            <w:r w:rsidRPr="005B0796">
              <w:rPr>
                <w:bCs/>
                <w:lang w:eastAsia="en-AU"/>
              </w:rPr>
              <w:br/>
              <w:t>(n = 6447)</w:t>
            </w:r>
          </w:p>
        </w:tc>
        <w:tc>
          <w:tcPr>
            <w:tcW w:w="2040" w:type="dxa"/>
            <w:gridSpan w:val="3"/>
          </w:tcPr>
          <w:p w:rsidR="00D844BE" w:rsidRPr="005B0796" w:rsidRDefault="00D844BE" w:rsidP="00D844BE">
            <w:pPr>
              <w:pStyle w:val="TableText"/>
              <w:jc w:val="center"/>
              <w:rPr>
                <w:bCs/>
                <w:lang w:eastAsia="en-AU"/>
              </w:rPr>
            </w:pPr>
            <w:r w:rsidRPr="005B0796">
              <w:rPr>
                <w:bCs/>
                <w:lang w:eastAsia="en-AU"/>
              </w:rPr>
              <w:t xml:space="preserve">Active Reservist </w:t>
            </w:r>
            <w:r w:rsidRPr="005B0796">
              <w:rPr>
                <w:bCs/>
                <w:lang w:eastAsia="en-AU"/>
              </w:rPr>
              <w:br/>
              <w:t>(n = 6968)</w:t>
            </w:r>
          </w:p>
        </w:tc>
      </w:tr>
      <w:tr w:rsidR="00D844BE" w:rsidRPr="005B0796" w:rsidTr="00D844BE">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tcPr>
          <w:p w:rsidR="00D844BE" w:rsidRPr="005B0796" w:rsidRDefault="00D844BE" w:rsidP="00D844BE">
            <w:pPr>
              <w:pStyle w:val="TableText"/>
              <w:rPr>
                <w:rFonts w:eastAsia="GillSans"/>
                <w:lang w:eastAsia="en-AU"/>
              </w:rPr>
            </w:pPr>
          </w:p>
        </w:tc>
        <w:tc>
          <w:tcPr>
            <w:tcW w:w="810" w:type="dxa"/>
            <w:hideMark/>
          </w:tcPr>
          <w:p w:rsidR="00D844BE" w:rsidRPr="005B0796" w:rsidRDefault="00D844BE" w:rsidP="00D844BE">
            <w:pPr>
              <w:pStyle w:val="TableText"/>
              <w:jc w:val="right"/>
              <w:rPr>
                <w:rFonts w:eastAsia="Times New Roman"/>
                <w:bCs/>
                <w:lang w:eastAsia="en-AU"/>
              </w:rPr>
            </w:pPr>
            <w:r w:rsidRPr="005B0796">
              <w:rPr>
                <w:lang w:eastAsia="en-AU"/>
              </w:rPr>
              <w:t>Weighted n</w:t>
            </w:r>
          </w:p>
        </w:tc>
        <w:tc>
          <w:tcPr>
            <w:tcW w:w="450" w:type="dxa"/>
            <w:hideMark/>
          </w:tcPr>
          <w:p w:rsidR="00D844BE" w:rsidRPr="005B0796" w:rsidRDefault="00D844BE" w:rsidP="00D844BE">
            <w:pPr>
              <w:pStyle w:val="TableText"/>
              <w:jc w:val="right"/>
              <w:rPr>
                <w:bCs/>
                <w:lang w:eastAsia="en-AU"/>
              </w:rPr>
            </w:pPr>
            <w:r w:rsidRPr="005B0796">
              <w:rPr>
                <w:bCs/>
                <w:lang w:eastAsia="en-AU"/>
              </w:rPr>
              <w:t>%</w:t>
            </w:r>
          </w:p>
        </w:tc>
        <w:tc>
          <w:tcPr>
            <w:tcW w:w="780" w:type="dxa"/>
            <w:hideMark/>
          </w:tcPr>
          <w:p w:rsidR="00D844BE" w:rsidRPr="005B0796" w:rsidRDefault="00D844BE" w:rsidP="00D844BE">
            <w:pPr>
              <w:pStyle w:val="TableText"/>
              <w:jc w:val="right"/>
              <w:rPr>
                <w:bCs/>
                <w:lang w:eastAsia="en-AU"/>
              </w:rPr>
            </w:pPr>
            <w:r w:rsidRPr="005B0796">
              <w:rPr>
                <w:bCs/>
                <w:lang w:eastAsia="en-AU"/>
              </w:rPr>
              <w:t xml:space="preserve"> 95% CI</w:t>
            </w:r>
          </w:p>
        </w:tc>
        <w:tc>
          <w:tcPr>
            <w:tcW w:w="750" w:type="dxa"/>
            <w:hideMark/>
          </w:tcPr>
          <w:p w:rsidR="00D844BE" w:rsidRPr="005B0796" w:rsidRDefault="00D844BE" w:rsidP="00D844BE">
            <w:pPr>
              <w:pStyle w:val="TableText"/>
              <w:jc w:val="right"/>
              <w:rPr>
                <w:bCs/>
                <w:lang w:eastAsia="en-AU"/>
              </w:rPr>
            </w:pPr>
            <w:r w:rsidRPr="005B0796">
              <w:rPr>
                <w:lang w:eastAsia="en-AU"/>
              </w:rPr>
              <w:t>Weighted n</w:t>
            </w:r>
          </w:p>
        </w:tc>
        <w:tc>
          <w:tcPr>
            <w:tcW w:w="450" w:type="dxa"/>
            <w:hideMark/>
          </w:tcPr>
          <w:p w:rsidR="00D844BE" w:rsidRPr="005B0796" w:rsidRDefault="00D844BE" w:rsidP="00D844BE">
            <w:pPr>
              <w:pStyle w:val="TableText"/>
              <w:jc w:val="right"/>
              <w:rPr>
                <w:bCs/>
                <w:lang w:eastAsia="en-AU"/>
              </w:rPr>
            </w:pPr>
            <w:r w:rsidRPr="005B0796">
              <w:rPr>
                <w:bCs/>
                <w:lang w:eastAsia="en-AU"/>
              </w:rPr>
              <w:t>%</w:t>
            </w:r>
          </w:p>
        </w:tc>
        <w:tc>
          <w:tcPr>
            <w:tcW w:w="840" w:type="dxa"/>
            <w:hideMark/>
          </w:tcPr>
          <w:p w:rsidR="00D844BE" w:rsidRPr="005B0796" w:rsidRDefault="00D844BE" w:rsidP="00D844BE">
            <w:pPr>
              <w:pStyle w:val="TableText"/>
              <w:jc w:val="right"/>
              <w:rPr>
                <w:bCs/>
                <w:lang w:eastAsia="en-AU"/>
              </w:rPr>
            </w:pPr>
            <w:r w:rsidRPr="005B0796">
              <w:rPr>
                <w:bCs/>
                <w:lang w:eastAsia="en-AU"/>
              </w:rPr>
              <w:t xml:space="preserve"> 95% CI</w:t>
            </w:r>
          </w:p>
        </w:tc>
        <w:tc>
          <w:tcPr>
            <w:tcW w:w="780" w:type="dxa"/>
            <w:hideMark/>
          </w:tcPr>
          <w:p w:rsidR="00D844BE" w:rsidRPr="005B0796" w:rsidRDefault="00D844BE" w:rsidP="00D844BE">
            <w:pPr>
              <w:pStyle w:val="TableText"/>
              <w:jc w:val="right"/>
              <w:rPr>
                <w:bCs/>
                <w:lang w:eastAsia="en-AU"/>
              </w:rPr>
            </w:pPr>
            <w:r w:rsidRPr="005B0796">
              <w:rPr>
                <w:lang w:eastAsia="en-AU"/>
              </w:rPr>
              <w:t>Weighted n</w:t>
            </w:r>
          </w:p>
        </w:tc>
        <w:tc>
          <w:tcPr>
            <w:tcW w:w="450" w:type="dxa"/>
            <w:hideMark/>
          </w:tcPr>
          <w:p w:rsidR="00D844BE" w:rsidRPr="005B0796" w:rsidRDefault="00D844BE" w:rsidP="00D844BE">
            <w:pPr>
              <w:pStyle w:val="TableText"/>
              <w:jc w:val="right"/>
              <w:rPr>
                <w:bCs/>
                <w:lang w:eastAsia="en-AU"/>
              </w:rPr>
            </w:pPr>
            <w:r w:rsidRPr="005B0796">
              <w:rPr>
                <w:bCs/>
                <w:lang w:eastAsia="en-AU"/>
              </w:rPr>
              <w:t>%</w:t>
            </w:r>
          </w:p>
        </w:tc>
        <w:tc>
          <w:tcPr>
            <w:tcW w:w="810" w:type="dxa"/>
            <w:hideMark/>
          </w:tcPr>
          <w:p w:rsidR="00D844BE" w:rsidRPr="005B0796" w:rsidRDefault="00D844BE" w:rsidP="00D844BE">
            <w:pPr>
              <w:pStyle w:val="TableText"/>
              <w:jc w:val="right"/>
              <w:rPr>
                <w:bCs/>
                <w:lang w:eastAsia="en-AU"/>
              </w:rPr>
            </w:pPr>
            <w:r w:rsidRPr="005B0796">
              <w:rPr>
                <w:bCs/>
                <w:lang w:eastAsia="en-AU"/>
              </w:rPr>
              <w:t xml:space="preserve"> 95% CI</w:t>
            </w:r>
          </w:p>
        </w:tc>
      </w:tr>
      <w:tr w:rsidR="00D844BE" w:rsidRPr="005B0796" w:rsidTr="00D844BE">
        <w:trPr>
          <w:cnfStyle w:val="000000100000" w:firstRow="0" w:lastRow="0" w:firstColumn="0" w:lastColumn="0" w:oddVBand="0" w:evenVBand="0" w:oddHBand="1" w:evenHBand="0" w:firstRowFirstColumn="0" w:firstRowLastColumn="0" w:lastRowFirstColumn="0" w:lastRowLastColumn="0"/>
          <w:cantSplit/>
        </w:trPr>
        <w:tc>
          <w:tcPr>
            <w:tcW w:w="1278" w:type="dxa"/>
            <w:hideMark/>
          </w:tcPr>
          <w:p w:rsidR="00893AD6" w:rsidRPr="005B0796" w:rsidRDefault="00893AD6" w:rsidP="00D844BE">
            <w:pPr>
              <w:pStyle w:val="TableText"/>
              <w:rPr>
                <w:rFonts w:eastAsia="Times New Roman"/>
                <w:lang w:eastAsia="en-AU"/>
              </w:rPr>
            </w:pPr>
            <w:r w:rsidRPr="005B0796">
              <w:rPr>
                <w:lang w:eastAsia="en-AU"/>
              </w:rPr>
              <w:t xml:space="preserve">Lifetime </w:t>
            </w:r>
            <w:r w:rsidR="00D844BE" w:rsidRPr="005B0796">
              <w:rPr>
                <w:lang w:eastAsia="en-AU"/>
              </w:rPr>
              <w:t xml:space="preserve">illicit </w:t>
            </w:r>
            <w:r w:rsidRPr="005B0796">
              <w:rPr>
                <w:lang w:eastAsia="en-AU"/>
              </w:rPr>
              <w:t xml:space="preserve">drug use </w:t>
            </w:r>
          </w:p>
        </w:tc>
        <w:tc>
          <w:tcPr>
            <w:tcW w:w="810" w:type="dxa"/>
            <w:hideMark/>
          </w:tcPr>
          <w:p w:rsidR="00893AD6" w:rsidRPr="005B0796" w:rsidRDefault="00893AD6" w:rsidP="00D844BE">
            <w:pPr>
              <w:pStyle w:val="TableText"/>
              <w:jc w:val="right"/>
              <w:rPr>
                <w:lang w:eastAsia="en-AU"/>
              </w:rPr>
            </w:pPr>
            <w:r w:rsidRPr="005B0796">
              <w:rPr>
                <w:lang w:eastAsia="en-AU"/>
              </w:rPr>
              <w:t>4496</w:t>
            </w:r>
          </w:p>
        </w:tc>
        <w:tc>
          <w:tcPr>
            <w:tcW w:w="450" w:type="dxa"/>
            <w:hideMark/>
          </w:tcPr>
          <w:p w:rsidR="00893AD6" w:rsidRPr="005B0796" w:rsidRDefault="00893AD6" w:rsidP="00D844BE">
            <w:pPr>
              <w:pStyle w:val="TableText"/>
              <w:jc w:val="right"/>
              <w:rPr>
                <w:lang w:eastAsia="en-AU"/>
              </w:rPr>
            </w:pPr>
            <w:r w:rsidRPr="005B0796">
              <w:rPr>
                <w:lang w:eastAsia="en-AU"/>
              </w:rPr>
              <w:t>39.3</w:t>
            </w:r>
          </w:p>
        </w:tc>
        <w:tc>
          <w:tcPr>
            <w:tcW w:w="780" w:type="dxa"/>
            <w:hideMark/>
          </w:tcPr>
          <w:p w:rsidR="00893AD6" w:rsidRPr="005B0796" w:rsidRDefault="00893AD6" w:rsidP="00D844BE">
            <w:pPr>
              <w:pStyle w:val="TableText"/>
              <w:jc w:val="right"/>
              <w:rPr>
                <w:lang w:eastAsia="en-AU"/>
              </w:rPr>
            </w:pPr>
            <w:r w:rsidRPr="005B0796">
              <w:rPr>
                <w:lang w:eastAsia="en-AU"/>
              </w:rPr>
              <w:t>36.3, 42.4</w:t>
            </w:r>
          </w:p>
        </w:tc>
        <w:tc>
          <w:tcPr>
            <w:tcW w:w="750" w:type="dxa"/>
            <w:hideMark/>
          </w:tcPr>
          <w:p w:rsidR="00893AD6" w:rsidRPr="005B0796" w:rsidRDefault="00893AD6" w:rsidP="00D844BE">
            <w:pPr>
              <w:pStyle w:val="TableText"/>
              <w:jc w:val="right"/>
              <w:rPr>
                <w:lang w:eastAsia="en-AU"/>
              </w:rPr>
            </w:pPr>
            <w:r w:rsidRPr="005B0796">
              <w:rPr>
                <w:lang w:eastAsia="en-AU"/>
              </w:rPr>
              <w:t>2439</w:t>
            </w:r>
          </w:p>
        </w:tc>
        <w:tc>
          <w:tcPr>
            <w:tcW w:w="450" w:type="dxa"/>
            <w:hideMark/>
          </w:tcPr>
          <w:p w:rsidR="00893AD6" w:rsidRPr="005B0796" w:rsidRDefault="00893AD6" w:rsidP="00D844BE">
            <w:pPr>
              <w:pStyle w:val="TableText"/>
              <w:jc w:val="right"/>
              <w:rPr>
                <w:lang w:eastAsia="en-AU"/>
              </w:rPr>
            </w:pPr>
            <w:r w:rsidRPr="005B0796">
              <w:rPr>
                <w:lang w:eastAsia="en-AU"/>
              </w:rPr>
              <w:t>37.8</w:t>
            </w:r>
          </w:p>
        </w:tc>
        <w:tc>
          <w:tcPr>
            <w:tcW w:w="840" w:type="dxa"/>
            <w:hideMark/>
          </w:tcPr>
          <w:p w:rsidR="00893AD6" w:rsidRPr="005B0796" w:rsidRDefault="00893AD6" w:rsidP="00D844BE">
            <w:pPr>
              <w:pStyle w:val="TableText"/>
              <w:jc w:val="right"/>
              <w:rPr>
                <w:lang w:eastAsia="en-AU"/>
              </w:rPr>
            </w:pPr>
            <w:r w:rsidRPr="005B0796">
              <w:rPr>
                <w:lang w:eastAsia="en-AU"/>
              </w:rPr>
              <w:t>34.1, 41.7</w:t>
            </w:r>
          </w:p>
        </w:tc>
        <w:tc>
          <w:tcPr>
            <w:tcW w:w="780" w:type="dxa"/>
            <w:hideMark/>
          </w:tcPr>
          <w:p w:rsidR="00893AD6" w:rsidRPr="005B0796" w:rsidRDefault="00893AD6" w:rsidP="00D844BE">
            <w:pPr>
              <w:pStyle w:val="TableText"/>
              <w:jc w:val="right"/>
              <w:rPr>
                <w:lang w:eastAsia="en-AU"/>
              </w:rPr>
            </w:pPr>
            <w:r w:rsidRPr="005B0796">
              <w:rPr>
                <w:lang w:eastAsia="en-AU"/>
              </w:rPr>
              <w:t>1619</w:t>
            </w:r>
          </w:p>
        </w:tc>
        <w:tc>
          <w:tcPr>
            <w:tcW w:w="450" w:type="dxa"/>
            <w:hideMark/>
          </w:tcPr>
          <w:p w:rsidR="00893AD6" w:rsidRPr="005B0796" w:rsidRDefault="00893AD6" w:rsidP="00D844BE">
            <w:pPr>
              <w:pStyle w:val="TableText"/>
              <w:jc w:val="right"/>
              <w:rPr>
                <w:lang w:eastAsia="en-AU"/>
              </w:rPr>
            </w:pPr>
            <w:r w:rsidRPr="005B0796">
              <w:rPr>
                <w:lang w:eastAsia="en-AU"/>
              </w:rPr>
              <w:t>23.2</w:t>
            </w:r>
          </w:p>
        </w:tc>
        <w:tc>
          <w:tcPr>
            <w:tcW w:w="810" w:type="dxa"/>
            <w:hideMark/>
          </w:tcPr>
          <w:p w:rsidR="00893AD6" w:rsidRPr="005B0796" w:rsidRDefault="00893AD6" w:rsidP="00D844BE">
            <w:pPr>
              <w:pStyle w:val="TableText"/>
              <w:jc w:val="right"/>
              <w:rPr>
                <w:lang w:eastAsia="en-AU"/>
              </w:rPr>
            </w:pPr>
            <w:r w:rsidRPr="005B0796">
              <w:rPr>
                <w:lang w:eastAsia="en-AU"/>
              </w:rPr>
              <w:t>20.4, 26.4</w:t>
            </w:r>
          </w:p>
        </w:tc>
      </w:tr>
      <w:tr w:rsidR="00D844BE" w:rsidRPr="005B0796" w:rsidTr="00D844BE">
        <w:trPr>
          <w:cantSplit/>
        </w:trPr>
        <w:tc>
          <w:tcPr>
            <w:tcW w:w="1278" w:type="dxa"/>
            <w:hideMark/>
          </w:tcPr>
          <w:p w:rsidR="00893AD6" w:rsidRPr="005B0796" w:rsidRDefault="00893AD6" w:rsidP="00D844BE">
            <w:pPr>
              <w:pStyle w:val="TableText"/>
              <w:rPr>
                <w:rFonts w:eastAsia="Times New Roman"/>
                <w:lang w:eastAsia="en-AU"/>
              </w:rPr>
            </w:pPr>
            <w:r w:rsidRPr="005B0796">
              <w:rPr>
                <w:lang w:eastAsia="en-AU"/>
              </w:rPr>
              <w:t xml:space="preserve">12-month </w:t>
            </w:r>
            <w:r w:rsidR="00D844BE" w:rsidRPr="005B0796">
              <w:rPr>
                <w:lang w:eastAsia="en-AU"/>
              </w:rPr>
              <w:t xml:space="preserve">illicit </w:t>
            </w:r>
            <w:r w:rsidRPr="005B0796">
              <w:rPr>
                <w:lang w:eastAsia="en-AU"/>
              </w:rPr>
              <w:t>drug use</w:t>
            </w:r>
          </w:p>
        </w:tc>
        <w:tc>
          <w:tcPr>
            <w:tcW w:w="810" w:type="dxa"/>
            <w:hideMark/>
          </w:tcPr>
          <w:p w:rsidR="00893AD6" w:rsidRPr="005B0796" w:rsidRDefault="00893AD6" w:rsidP="00D844BE">
            <w:pPr>
              <w:pStyle w:val="TableText"/>
              <w:jc w:val="right"/>
              <w:rPr>
                <w:lang w:eastAsia="en-AU"/>
              </w:rPr>
            </w:pPr>
            <w:r w:rsidRPr="005B0796">
              <w:rPr>
                <w:lang w:eastAsia="en-AU"/>
              </w:rPr>
              <w:t>1877</w:t>
            </w:r>
          </w:p>
        </w:tc>
        <w:tc>
          <w:tcPr>
            <w:tcW w:w="450" w:type="dxa"/>
            <w:hideMark/>
          </w:tcPr>
          <w:p w:rsidR="00893AD6" w:rsidRPr="005B0796" w:rsidRDefault="00893AD6" w:rsidP="00D844BE">
            <w:pPr>
              <w:pStyle w:val="TableText"/>
              <w:jc w:val="right"/>
              <w:rPr>
                <w:lang w:eastAsia="en-AU"/>
              </w:rPr>
            </w:pPr>
            <w:r w:rsidRPr="005B0796">
              <w:rPr>
                <w:lang w:eastAsia="en-AU"/>
              </w:rPr>
              <w:t>16.4</w:t>
            </w:r>
          </w:p>
        </w:tc>
        <w:tc>
          <w:tcPr>
            <w:tcW w:w="780" w:type="dxa"/>
            <w:hideMark/>
          </w:tcPr>
          <w:p w:rsidR="00893AD6" w:rsidRPr="005B0796" w:rsidRDefault="00893AD6" w:rsidP="00D844BE">
            <w:pPr>
              <w:pStyle w:val="TableText"/>
              <w:jc w:val="right"/>
              <w:rPr>
                <w:lang w:eastAsia="en-AU"/>
              </w:rPr>
            </w:pPr>
            <w:r w:rsidRPr="005B0796">
              <w:rPr>
                <w:lang w:eastAsia="en-AU"/>
              </w:rPr>
              <w:t>14.2, 19.0</w:t>
            </w:r>
          </w:p>
        </w:tc>
        <w:tc>
          <w:tcPr>
            <w:tcW w:w="750" w:type="dxa"/>
            <w:hideMark/>
          </w:tcPr>
          <w:p w:rsidR="00893AD6" w:rsidRPr="005B0796" w:rsidRDefault="00893AD6" w:rsidP="00D844BE">
            <w:pPr>
              <w:pStyle w:val="TableText"/>
              <w:jc w:val="right"/>
              <w:rPr>
                <w:lang w:eastAsia="en-AU"/>
              </w:rPr>
            </w:pPr>
            <w:r w:rsidRPr="005B0796">
              <w:rPr>
                <w:lang w:eastAsia="en-AU"/>
              </w:rPr>
              <w:t>828</w:t>
            </w:r>
          </w:p>
        </w:tc>
        <w:tc>
          <w:tcPr>
            <w:tcW w:w="450" w:type="dxa"/>
            <w:hideMark/>
          </w:tcPr>
          <w:p w:rsidR="00893AD6" w:rsidRPr="005B0796" w:rsidRDefault="00893AD6" w:rsidP="00D844BE">
            <w:pPr>
              <w:pStyle w:val="TableText"/>
              <w:jc w:val="right"/>
              <w:rPr>
                <w:lang w:eastAsia="en-AU"/>
              </w:rPr>
            </w:pPr>
            <w:r w:rsidRPr="005B0796">
              <w:rPr>
                <w:lang w:eastAsia="en-AU"/>
              </w:rPr>
              <w:t>12.8</w:t>
            </w:r>
          </w:p>
        </w:tc>
        <w:tc>
          <w:tcPr>
            <w:tcW w:w="840" w:type="dxa"/>
            <w:hideMark/>
          </w:tcPr>
          <w:p w:rsidR="00893AD6" w:rsidRPr="005B0796" w:rsidRDefault="00893AD6" w:rsidP="00D844BE">
            <w:pPr>
              <w:pStyle w:val="TableText"/>
              <w:jc w:val="right"/>
              <w:rPr>
                <w:lang w:eastAsia="en-AU"/>
              </w:rPr>
            </w:pPr>
            <w:r w:rsidRPr="005B0796">
              <w:rPr>
                <w:lang w:eastAsia="en-AU"/>
              </w:rPr>
              <w:t>10.2, 16.0</w:t>
            </w:r>
          </w:p>
        </w:tc>
        <w:tc>
          <w:tcPr>
            <w:tcW w:w="780" w:type="dxa"/>
            <w:hideMark/>
          </w:tcPr>
          <w:p w:rsidR="00893AD6" w:rsidRPr="005B0796" w:rsidRDefault="00893AD6" w:rsidP="00D844BE">
            <w:pPr>
              <w:pStyle w:val="TableText"/>
              <w:jc w:val="right"/>
              <w:rPr>
                <w:lang w:eastAsia="en-AU"/>
              </w:rPr>
            </w:pPr>
            <w:r w:rsidRPr="005B0796">
              <w:rPr>
                <w:lang w:eastAsia="en-AU"/>
              </w:rPr>
              <w:t>226</w:t>
            </w:r>
          </w:p>
        </w:tc>
        <w:tc>
          <w:tcPr>
            <w:tcW w:w="450" w:type="dxa"/>
            <w:hideMark/>
          </w:tcPr>
          <w:p w:rsidR="00893AD6" w:rsidRPr="005B0796" w:rsidRDefault="00893AD6" w:rsidP="00D844BE">
            <w:pPr>
              <w:pStyle w:val="TableText"/>
              <w:jc w:val="right"/>
              <w:rPr>
                <w:lang w:eastAsia="en-AU"/>
              </w:rPr>
            </w:pPr>
            <w:r w:rsidRPr="005B0796">
              <w:rPr>
                <w:lang w:eastAsia="en-AU"/>
              </w:rPr>
              <w:t>3.3</w:t>
            </w:r>
          </w:p>
        </w:tc>
        <w:tc>
          <w:tcPr>
            <w:tcW w:w="810" w:type="dxa"/>
            <w:hideMark/>
          </w:tcPr>
          <w:p w:rsidR="00893AD6" w:rsidRPr="005B0796" w:rsidRDefault="00893AD6" w:rsidP="00D844BE">
            <w:pPr>
              <w:pStyle w:val="TableText"/>
              <w:jc w:val="right"/>
              <w:rPr>
                <w:lang w:eastAsia="en-AU"/>
              </w:rPr>
            </w:pPr>
            <w:r w:rsidRPr="005B0796">
              <w:rPr>
                <w:lang w:eastAsia="en-AU"/>
              </w:rPr>
              <w:t>2.0, 5.2</w:t>
            </w:r>
          </w:p>
        </w:tc>
      </w:tr>
      <w:tr w:rsidR="00D844BE" w:rsidRPr="005B0796" w:rsidTr="00D844BE">
        <w:trPr>
          <w:cnfStyle w:val="000000100000" w:firstRow="0" w:lastRow="0" w:firstColumn="0" w:lastColumn="0" w:oddVBand="0" w:evenVBand="0" w:oddHBand="1" w:evenHBand="0" w:firstRowFirstColumn="0" w:firstRowLastColumn="0" w:lastRowFirstColumn="0" w:lastRowLastColumn="0"/>
          <w:cantSplit/>
        </w:trPr>
        <w:tc>
          <w:tcPr>
            <w:tcW w:w="1278" w:type="dxa"/>
            <w:hideMark/>
          </w:tcPr>
          <w:p w:rsidR="00893AD6" w:rsidRPr="005B0796" w:rsidRDefault="00893AD6" w:rsidP="00D844BE">
            <w:pPr>
              <w:pStyle w:val="TableText"/>
              <w:rPr>
                <w:rFonts w:eastAsia="Times New Roman"/>
                <w:lang w:eastAsia="en-AU"/>
              </w:rPr>
            </w:pPr>
            <w:r w:rsidRPr="005B0796">
              <w:rPr>
                <w:lang w:eastAsia="en-AU"/>
              </w:rPr>
              <w:t>Lifetime prescription drug use for non-medical purposes</w:t>
            </w:r>
          </w:p>
        </w:tc>
        <w:tc>
          <w:tcPr>
            <w:tcW w:w="810" w:type="dxa"/>
            <w:hideMark/>
          </w:tcPr>
          <w:p w:rsidR="00893AD6" w:rsidRPr="005B0796" w:rsidRDefault="00893AD6" w:rsidP="00D844BE">
            <w:pPr>
              <w:pStyle w:val="TableText"/>
              <w:jc w:val="right"/>
              <w:rPr>
                <w:lang w:eastAsia="en-AU"/>
              </w:rPr>
            </w:pPr>
            <w:r w:rsidRPr="005B0796">
              <w:rPr>
                <w:lang w:eastAsia="en-AU"/>
              </w:rPr>
              <w:t>1297</w:t>
            </w:r>
          </w:p>
        </w:tc>
        <w:tc>
          <w:tcPr>
            <w:tcW w:w="450" w:type="dxa"/>
            <w:hideMark/>
          </w:tcPr>
          <w:p w:rsidR="00893AD6" w:rsidRPr="005B0796" w:rsidRDefault="00893AD6" w:rsidP="00D844BE">
            <w:pPr>
              <w:pStyle w:val="TableText"/>
              <w:jc w:val="right"/>
              <w:rPr>
                <w:lang w:eastAsia="en-AU"/>
              </w:rPr>
            </w:pPr>
            <w:r w:rsidRPr="005B0796">
              <w:rPr>
                <w:lang w:eastAsia="en-AU"/>
              </w:rPr>
              <w:t>11.3</w:t>
            </w:r>
          </w:p>
        </w:tc>
        <w:tc>
          <w:tcPr>
            <w:tcW w:w="780" w:type="dxa"/>
            <w:hideMark/>
          </w:tcPr>
          <w:p w:rsidR="00893AD6" w:rsidRPr="005B0796" w:rsidRDefault="00893AD6" w:rsidP="00D844BE">
            <w:pPr>
              <w:pStyle w:val="TableText"/>
              <w:jc w:val="right"/>
              <w:rPr>
                <w:lang w:eastAsia="en-AU"/>
              </w:rPr>
            </w:pPr>
            <w:r w:rsidRPr="005B0796">
              <w:rPr>
                <w:lang w:eastAsia="en-AU"/>
              </w:rPr>
              <w:t>9.5, 13.4</w:t>
            </w:r>
          </w:p>
        </w:tc>
        <w:tc>
          <w:tcPr>
            <w:tcW w:w="750" w:type="dxa"/>
            <w:hideMark/>
          </w:tcPr>
          <w:p w:rsidR="00893AD6" w:rsidRPr="005B0796" w:rsidRDefault="00893AD6" w:rsidP="00D844BE">
            <w:pPr>
              <w:pStyle w:val="TableText"/>
              <w:jc w:val="right"/>
              <w:rPr>
                <w:lang w:eastAsia="en-AU"/>
              </w:rPr>
            </w:pPr>
            <w:r w:rsidRPr="005B0796">
              <w:rPr>
                <w:lang w:eastAsia="en-AU"/>
              </w:rPr>
              <w:t>550</w:t>
            </w:r>
          </w:p>
        </w:tc>
        <w:tc>
          <w:tcPr>
            <w:tcW w:w="450" w:type="dxa"/>
            <w:hideMark/>
          </w:tcPr>
          <w:p w:rsidR="00893AD6" w:rsidRPr="005B0796" w:rsidRDefault="00893AD6" w:rsidP="00D844BE">
            <w:pPr>
              <w:pStyle w:val="TableText"/>
              <w:jc w:val="right"/>
              <w:rPr>
                <w:lang w:eastAsia="en-AU"/>
              </w:rPr>
            </w:pPr>
            <w:r w:rsidRPr="005B0796">
              <w:rPr>
                <w:lang w:eastAsia="en-AU"/>
              </w:rPr>
              <w:t>8.5</w:t>
            </w:r>
          </w:p>
        </w:tc>
        <w:tc>
          <w:tcPr>
            <w:tcW w:w="840" w:type="dxa"/>
            <w:hideMark/>
          </w:tcPr>
          <w:p w:rsidR="00893AD6" w:rsidRPr="005B0796" w:rsidRDefault="00893AD6" w:rsidP="00D844BE">
            <w:pPr>
              <w:pStyle w:val="TableText"/>
              <w:jc w:val="right"/>
              <w:rPr>
                <w:lang w:eastAsia="en-AU"/>
              </w:rPr>
            </w:pPr>
            <w:r w:rsidRPr="005B0796">
              <w:rPr>
                <w:lang w:eastAsia="en-AU"/>
              </w:rPr>
              <w:t>6.5, 11.2</w:t>
            </w:r>
          </w:p>
        </w:tc>
        <w:tc>
          <w:tcPr>
            <w:tcW w:w="780" w:type="dxa"/>
            <w:hideMark/>
          </w:tcPr>
          <w:p w:rsidR="00893AD6" w:rsidRPr="005B0796" w:rsidRDefault="00893AD6" w:rsidP="00D844BE">
            <w:pPr>
              <w:pStyle w:val="TableText"/>
              <w:jc w:val="right"/>
              <w:rPr>
                <w:lang w:eastAsia="en-AU"/>
              </w:rPr>
            </w:pPr>
            <w:r w:rsidRPr="005B0796">
              <w:rPr>
                <w:lang w:eastAsia="en-AU"/>
              </w:rPr>
              <w:t>193</w:t>
            </w:r>
          </w:p>
        </w:tc>
        <w:tc>
          <w:tcPr>
            <w:tcW w:w="450" w:type="dxa"/>
            <w:hideMark/>
          </w:tcPr>
          <w:p w:rsidR="00893AD6" w:rsidRPr="005B0796" w:rsidRDefault="00893AD6" w:rsidP="00D844BE">
            <w:pPr>
              <w:pStyle w:val="TableText"/>
              <w:jc w:val="right"/>
              <w:rPr>
                <w:lang w:eastAsia="en-AU"/>
              </w:rPr>
            </w:pPr>
            <w:r w:rsidRPr="005B0796">
              <w:rPr>
                <w:lang w:eastAsia="en-AU"/>
              </w:rPr>
              <w:t>2.8</w:t>
            </w:r>
          </w:p>
        </w:tc>
        <w:tc>
          <w:tcPr>
            <w:tcW w:w="810" w:type="dxa"/>
            <w:hideMark/>
          </w:tcPr>
          <w:p w:rsidR="00893AD6" w:rsidRPr="005B0796" w:rsidRDefault="00893AD6" w:rsidP="00D844BE">
            <w:pPr>
              <w:pStyle w:val="TableText"/>
              <w:jc w:val="right"/>
              <w:rPr>
                <w:lang w:eastAsia="en-AU"/>
              </w:rPr>
            </w:pPr>
            <w:r w:rsidRPr="005B0796">
              <w:rPr>
                <w:lang w:eastAsia="en-AU"/>
              </w:rPr>
              <w:t>1.8, 4.1</w:t>
            </w:r>
          </w:p>
        </w:tc>
      </w:tr>
      <w:tr w:rsidR="00893AD6" w:rsidRPr="005B0796" w:rsidTr="00D844BE">
        <w:trPr>
          <w:cnfStyle w:val="010000000000" w:firstRow="0" w:lastRow="1" w:firstColumn="0" w:lastColumn="0" w:oddVBand="0" w:evenVBand="0" w:oddHBand="0" w:evenHBand="0" w:firstRowFirstColumn="0" w:firstRowLastColumn="0" w:lastRowFirstColumn="0" w:lastRowLastColumn="0"/>
          <w:cantSplit/>
        </w:trPr>
        <w:tc>
          <w:tcPr>
            <w:tcW w:w="1278" w:type="dxa"/>
            <w:hideMark/>
          </w:tcPr>
          <w:p w:rsidR="00893AD6" w:rsidRPr="005B0796" w:rsidRDefault="00893AD6" w:rsidP="00D844BE">
            <w:pPr>
              <w:pStyle w:val="TableText"/>
              <w:rPr>
                <w:rFonts w:eastAsia="Times New Roman"/>
                <w:lang w:eastAsia="en-AU"/>
              </w:rPr>
            </w:pPr>
            <w:r w:rsidRPr="005B0796">
              <w:rPr>
                <w:lang w:eastAsia="en-AU"/>
              </w:rPr>
              <w:t>12-month prescription drug use for non-medical purposes</w:t>
            </w:r>
          </w:p>
        </w:tc>
        <w:tc>
          <w:tcPr>
            <w:tcW w:w="810" w:type="dxa"/>
            <w:hideMark/>
          </w:tcPr>
          <w:p w:rsidR="00893AD6" w:rsidRPr="005B0796" w:rsidRDefault="00893AD6" w:rsidP="00D844BE">
            <w:pPr>
              <w:pStyle w:val="TableText"/>
              <w:jc w:val="right"/>
              <w:rPr>
                <w:lang w:eastAsia="en-AU"/>
              </w:rPr>
            </w:pPr>
            <w:r w:rsidRPr="005B0796">
              <w:rPr>
                <w:lang w:eastAsia="en-AU"/>
              </w:rPr>
              <w:t>770</w:t>
            </w:r>
          </w:p>
        </w:tc>
        <w:tc>
          <w:tcPr>
            <w:tcW w:w="450" w:type="dxa"/>
            <w:hideMark/>
          </w:tcPr>
          <w:p w:rsidR="00893AD6" w:rsidRPr="005B0796" w:rsidRDefault="00893AD6" w:rsidP="00D844BE">
            <w:pPr>
              <w:pStyle w:val="TableText"/>
              <w:jc w:val="right"/>
              <w:rPr>
                <w:lang w:eastAsia="en-AU"/>
              </w:rPr>
            </w:pPr>
            <w:r w:rsidRPr="005B0796">
              <w:rPr>
                <w:lang w:eastAsia="en-AU"/>
              </w:rPr>
              <w:t>6.7</w:t>
            </w:r>
          </w:p>
        </w:tc>
        <w:tc>
          <w:tcPr>
            <w:tcW w:w="780" w:type="dxa"/>
            <w:hideMark/>
          </w:tcPr>
          <w:p w:rsidR="00893AD6" w:rsidRPr="005B0796" w:rsidRDefault="00893AD6" w:rsidP="00D844BE">
            <w:pPr>
              <w:pStyle w:val="TableText"/>
              <w:jc w:val="right"/>
              <w:rPr>
                <w:lang w:eastAsia="en-AU"/>
              </w:rPr>
            </w:pPr>
            <w:r w:rsidRPr="005B0796">
              <w:rPr>
                <w:lang w:eastAsia="en-AU"/>
              </w:rPr>
              <w:t>5.3, 8.5</w:t>
            </w:r>
          </w:p>
        </w:tc>
        <w:tc>
          <w:tcPr>
            <w:tcW w:w="750" w:type="dxa"/>
            <w:hideMark/>
          </w:tcPr>
          <w:p w:rsidR="00893AD6" w:rsidRPr="005B0796" w:rsidRDefault="00893AD6" w:rsidP="00D844BE">
            <w:pPr>
              <w:pStyle w:val="TableText"/>
              <w:jc w:val="right"/>
              <w:rPr>
                <w:lang w:eastAsia="en-AU"/>
              </w:rPr>
            </w:pPr>
            <w:r w:rsidRPr="005B0796">
              <w:rPr>
                <w:lang w:eastAsia="en-AU"/>
              </w:rPr>
              <w:t>244</w:t>
            </w:r>
          </w:p>
        </w:tc>
        <w:tc>
          <w:tcPr>
            <w:tcW w:w="450" w:type="dxa"/>
            <w:hideMark/>
          </w:tcPr>
          <w:p w:rsidR="00893AD6" w:rsidRPr="005B0796" w:rsidRDefault="00893AD6" w:rsidP="00D844BE">
            <w:pPr>
              <w:pStyle w:val="TableText"/>
              <w:jc w:val="right"/>
              <w:rPr>
                <w:lang w:eastAsia="en-AU"/>
              </w:rPr>
            </w:pPr>
            <w:r w:rsidRPr="005B0796">
              <w:rPr>
                <w:lang w:eastAsia="en-AU"/>
              </w:rPr>
              <w:t>3.8</w:t>
            </w:r>
          </w:p>
        </w:tc>
        <w:tc>
          <w:tcPr>
            <w:tcW w:w="840" w:type="dxa"/>
            <w:hideMark/>
          </w:tcPr>
          <w:p w:rsidR="00893AD6" w:rsidRPr="005B0796" w:rsidRDefault="00893AD6" w:rsidP="00D844BE">
            <w:pPr>
              <w:pStyle w:val="TableText"/>
              <w:jc w:val="right"/>
              <w:rPr>
                <w:lang w:eastAsia="en-AU"/>
              </w:rPr>
            </w:pPr>
            <w:r w:rsidRPr="005B0796">
              <w:rPr>
                <w:lang w:eastAsia="en-AU"/>
              </w:rPr>
              <w:t>2.5, 5.7</w:t>
            </w:r>
          </w:p>
        </w:tc>
        <w:tc>
          <w:tcPr>
            <w:tcW w:w="780" w:type="dxa"/>
            <w:hideMark/>
          </w:tcPr>
          <w:p w:rsidR="00893AD6" w:rsidRPr="005B0796" w:rsidRDefault="00893AD6" w:rsidP="00D844BE">
            <w:pPr>
              <w:pStyle w:val="TableText"/>
              <w:jc w:val="right"/>
              <w:rPr>
                <w:lang w:eastAsia="en-AU"/>
              </w:rPr>
            </w:pPr>
            <w:r w:rsidRPr="005B0796">
              <w:rPr>
                <w:lang w:eastAsia="en-AU"/>
              </w:rPr>
              <w:t>82</w:t>
            </w:r>
          </w:p>
        </w:tc>
        <w:tc>
          <w:tcPr>
            <w:tcW w:w="450" w:type="dxa"/>
            <w:hideMark/>
          </w:tcPr>
          <w:p w:rsidR="00893AD6" w:rsidRPr="005B0796" w:rsidRDefault="00893AD6" w:rsidP="00D844BE">
            <w:pPr>
              <w:pStyle w:val="TableText"/>
              <w:jc w:val="right"/>
              <w:rPr>
                <w:lang w:eastAsia="en-AU"/>
              </w:rPr>
            </w:pPr>
            <w:r w:rsidRPr="005B0796">
              <w:rPr>
                <w:lang w:eastAsia="en-AU"/>
              </w:rPr>
              <w:t>1.2</w:t>
            </w:r>
          </w:p>
        </w:tc>
        <w:tc>
          <w:tcPr>
            <w:tcW w:w="810" w:type="dxa"/>
            <w:hideMark/>
          </w:tcPr>
          <w:p w:rsidR="00893AD6" w:rsidRPr="005B0796" w:rsidRDefault="00893AD6" w:rsidP="00D844BE">
            <w:pPr>
              <w:pStyle w:val="TableText"/>
              <w:jc w:val="right"/>
              <w:rPr>
                <w:lang w:eastAsia="en-AU"/>
              </w:rPr>
            </w:pPr>
            <w:r w:rsidRPr="005B0796">
              <w:rPr>
                <w:lang w:eastAsia="en-AU"/>
              </w:rPr>
              <w:t>0.6, 2.3</w:t>
            </w:r>
          </w:p>
        </w:tc>
      </w:tr>
    </w:tbl>
    <w:p w:rsidR="00893AD6" w:rsidRPr="005B0796" w:rsidRDefault="00D844BE" w:rsidP="00D844BE">
      <w:pPr>
        <w:pStyle w:val="TableNotes"/>
      </w:pPr>
      <w:r w:rsidRPr="005B0796">
        <w:t xml:space="preserve">Note: 95% CI: 95% </w:t>
      </w:r>
      <w:r w:rsidR="00564689" w:rsidRPr="005B0796">
        <w:t>confidence interval</w:t>
      </w:r>
    </w:p>
    <w:p w:rsidR="00893AD6" w:rsidRPr="005B0796" w:rsidRDefault="00D844BE" w:rsidP="00D844BE">
      <w:pPr>
        <w:pStyle w:val="FigureName"/>
      </w:pPr>
      <w:bookmarkStart w:id="1108" w:name="_Toc487014411"/>
      <w:bookmarkStart w:id="1109" w:name="_Toc51190058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21</w:t>
      </w:r>
      <w:r w:rsidR="00D30A3C">
        <w:rPr>
          <w:noProof/>
        </w:rPr>
        <w:fldChar w:fldCharType="end"/>
      </w:r>
      <w:r w:rsidR="00C01061">
        <w:tab/>
        <w:t>Estimated proportions of</w:t>
      </w:r>
      <w:r w:rsidRPr="005B0796">
        <w:t xml:space="preserve"> Transitioned ADF </w:t>
      </w:r>
      <w:r w:rsidR="00C01061">
        <w:t xml:space="preserve">who have used </w:t>
      </w:r>
      <w:r w:rsidRPr="005B0796">
        <w:t>drug</w:t>
      </w:r>
      <w:r w:rsidR="00C01061">
        <w:t>s,</w:t>
      </w:r>
      <w:r w:rsidRPr="005B0796">
        <w:t xml:space="preserve"> by transition status</w:t>
      </w:r>
      <w:bookmarkEnd w:id="1108"/>
      <w:bookmarkEnd w:id="1109"/>
    </w:p>
    <w:tbl>
      <w:tblPr>
        <w:tblW w:w="5000" w:type="pct"/>
        <w:tblLayout w:type="fixed"/>
        <w:tblCellMar>
          <w:left w:w="115" w:type="dxa"/>
          <w:right w:w="115" w:type="dxa"/>
        </w:tblCellMar>
        <w:tblLook w:val="04A0" w:firstRow="1" w:lastRow="0" w:firstColumn="1" w:lastColumn="0" w:noHBand="0" w:noVBand="1"/>
      </w:tblPr>
      <w:tblGrid>
        <w:gridCol w:w="7329"/>
      </w:tblGrid>
      <w:tr w:rsidR="00893AD6" w:rsidRPr="005B0796" w:rsidTr="00D844BE">
        <w:trPr>
          <w:cantSplit/>
        </w:trPr>
        <w:tc>
          <w:tcPr>
            <w:tcW w:w="7315" w:type="dxa"/>
          </w:tcPr>
          <w:p w:rsidR="00893AD6" w:rsidRPr="005B0796" w:rsidRDefault="00893AD6" w:rsidP="0064122F">
            <w:r w:rsidRPr="005B0796">
              <w:rPr>
                <w:noProof/>
                <w:lang w:eastAsia="en-AU"/>
              </w:rPr>
              <w:drawing>
                <wp:inline distT="0" distB="0" distL="0" distR="0" wp14:anchorId="063E120A" wp14:editId="1646C32E">
                  <wp:extent cx="4572000" cy="2743200"/>
                  <wp:effectExtent l="0" t="0" r="0" b="0"/>
                  <wp:docPr id="314" name="Chart 314" descr="Figure 5.21 Estimated proportions in Transitioned ADF of drug use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r>
    </w:tbl>
    <w:p w:rsidR="00BF4089" w:rsidRPr="005B0796" w:rsidRDefault="00BF4089" w:rsidP="00D844BE">
      <w:pPr>
        <w:pStyle w:val="Heading4"/>
      </w:pPr>
      <w:r w:rsidRPr="005B0796">
        <w:t>Drug use among Transitioned ADF members</w:t>
      </w:r>
      <w:r w:rsidR="00C01061">
        <w:t>,</w:t>
      </w:r>
      <w:r w:rsidRPr="005B0796">
        <w:t xml:space="preserve"> by years since transition</w:t>
      </w:r>
    </w:p>
    <w:p w:rsidR="00BF4089" w:rsidRPr="005B0796" w:rsidRDefault="009E72D3" w:rsidP="00D844BE">
      <w:r w:rsidRPr="005B0796">
        <w:t>Table 5.22</w:t>
      </w:r>
      <w:r w:rsidR="00BF4089" w:rsidRPr="005B0796">
        <w:t xml:space="preserve"> compares 12-month drug use among Transitioned ADF members, by years since transition.</w:t>
      </w:r>
    </w:p>
    <w:p w:rsidR="006F51CF" w:rsidRPr="005B0796" w:rsidRDefault="00BF4089" w:rsidP="00D844BE">
      <w:r w:rsidRPr="005B0796">
        <w:t>Overall, both types of drug use (illicit and non-medical use of prescription drugs) showed a gradual increase over the first few years after transition, reaching a peak at three years post-transition. From this point, rates of 12-month drug use declined. Years since transition did not significantly impact 12</w:t>
      </w:r>
      <w:r w:rsidRPr="005B0796">
        <w:noBreakHyphen/>
        <w:t xml:space="preserve">month rates of illicit or non-medical use of prescription drugs. </w:t>
      </w:r>
    </w:p>
    <w:p w:rsidR="00BF4089" w:rsidRPr="005B0796" w:rsidRDefault="00BF4089" w:rsidP="00D844BE"/>
    <w:p w:rsidR="00BF4089" w:rsidRPr="005B0796" w:rsidRDefault="00BF4089" w:rsidP="00D844BE">
      <w:pPr>
        <w:sectPr w:rsidR="00BF4089" w:rsidRPr="005B0796" w:rsidSect="005A477D">
          <w:footerReference w:type="even" r:id="rId223"/>
          <w:footerReference w:type="default" r:id="rId224"/>
          <w:pgSz w:w="9979" w:h="14170" w:code="243"/>
          <w:pgMar w:top="1440" w:right="1152" w:bottom="1440" w:left="1728" w:header="576" w:footer="576" w:gutter="0"/>
          <w:cols w:space="708"/>
          <w:docGrid w:linePitch="360"/>
        </w:sectPr>
      </w:pPr>
    </w:p>
    <w:p w:rsidR="00D844BE" w:rsidRPr="005B0796" w:rsidRDefault="00D844BE" w:rsidP="00D844BE">
      <w:pPr>
        <w:pStyle w:val="TableName"/>
      </w:pPr>
      <w:bookmarkStart w:id="1110" w:name="_Toc511900475"/>
      <w:bookmarkStart w:id="1111" w:name="_Ref484523484"/>
      <w:bookmarkStart w:id="1112" w:name="_Toc487014323"/>
      <w:bookmarkStart w:id="1113" w:name="_Toc49299562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22</w:t>
      </w:r>
      <w:r w:rsidR="00D30A3C">
        <w:rPr>
          <w:noProof/>
        </w:rPr>
        <w:fldChar w:fldCharType="end"/>
      </w:r>
      <w:r w:rsidRPr="005B0796">
        <w:tab/>
        <w:t xml:space="preserve">Estimated proportions </w:t>
      </w:r>
      <w:r w:rsidR="00C01061">
        <w:t>of</w:t>
      </w:r>
      <w:r w:rsidRPr="005B0796">
        <w:t xml:space="preserve"> Transitioned ADF </w:t>
      </w:r>
      <w:r w:rsidR="00C01061">
        <w:t xml:space="preserve">reporting </w:t>
      </w:r>
      <w:r w:rsidRPr="005B0796">
        <w:t>12-month drug use, by years since transition</w:t>
      </w:r>
      <w:bookmarkEnd w:id="1110"/>
    </w:p>
    <w:tbl>
      <w:tblPr>
        <w:tblStyle w:val="TWRPTable"/>
        <w:tblW w:w="5000" w:type="pct"/>
        <w:tblLayout w:type="fixed"/>
        <w:tblLook w:val="04A0" w:firstRow="1" w:lastRow="0" w:firstColumn="1" w:lastColumn="0" w:noHBand="0" w:noVBand="1"/>
        <w:tblDescription w:val="Table 5.22 Estimated proportions in Transitioned ADF for 12-month drug use, by years since transition"/>
      </w:tblPr>
      <w:tblGrid>
        <w:gridCol w:w="1748"/>
        <w:gridCol w:w="1084"/>
        <w:gridCol w:w="1084"/>
        <w:gridCol w:w="1084"/>
        <w:gridCol w:w="1083"/>
        <w:gridCol w:w="1083"/>
        <w:gridCol w:w="1085"/>
        <w:gridCol w:w="1085"/>
        <w:gridCol w:w="1085"/>
        <w:gridCol w:w="1085"/>
      </w:tblGrid>
      <w:tr w:rsidR="00D844BE" w:rsidRPr="005B0796" w:rsidTr="00D844BE">
        <w:trPr>
          <w:cnfStyle w:val="100000000000" w:firstRow="1" w:lastRow="0" w:firstColumn="0" w:lastColumn="0" w:oddVBand="0" w:evenVBand="0" w:oddHBand="0" w:evenHBand="0" w:firstRowFirstColumn="0" w:firstRowLastColumn="0" w:lastRowFirstColumn="0" w:lastRowLastColumn="0"/>
          <w:cantSplit/>
          <w:tblHeader/>
        </w:trPr>
        <w:tc>
          <w:tcPr>
            <w:tcW w:w="945" w:type="dxa"/>
            <w:vMerge w:val="restart"/>
            <w:hideMark/>
          </w:tcPr>
          <w:bookmarkEnd w:id="1111"/>
          <w:bookmarkEnd w:id="1112"/>
          <w:bookmarkEnd w:id="1113"/>
          <w:p w:rsidR="00D844BE" w:rsidRPr="005B0796" w:rsidRDefault="00D844BE" w:rsidP="00D844BE">
            <w:pPr>
              <w:pStyle w:val="TableText"/>
            </w:pPr>
            <w:r w:rsidRPr="005B0796">
              <w:t xml:space="preserve">Drug </w:t>
            </w:r>
            <w:r w:rsidR="00395E49" w:rsidRPr="005B0796">
              <w:t>use</w:t>
            </w:r>
          </w:p>
        </w:tc>
        <w:tc>
          <w:tcPr>
            <w:tcW w:w="1758" w:type="dxa"/>
            <w:gridSpan w:val="3"/>
            <w:hideMark/>
          </w:tcPr>
          <w:p w:rsidR="00D844BE" w:rsidRPr="005B0796" w:rsidRDefault="00D844BE" w:rsidP="00D844BE">
            <w:pPr>
              <w:pStyle w:val="TableText"/>
              <w:jc w:val="center"/>
            </w:pPr>
            <w:r w:rsidRPr="005B0796">
              <w:t xml:space="preserve">0 (1–11months) </w:t>
            </w:r>
            <w:r w:rsidRPr="005B0796">
              <w:br/>
              <w:t>(n = 1945)</w:t>
            </w:r>
          </w:p>
        </w:tc>
        <w:tc>
          <w:tcPr>
            <w:tcW w:w="1759" w:type="dxa"/>
            <w:gridSpan w:val="3"/>
            <w:hideMark/>
          </w:tcPr>
          <w:p w:rsidR="00D844BE" w:rsidRPr="005B0796" w:rsidRDefault="00D844BE" w:rsidP="00D844BE">
            <w:pPr>
              <w:pStyle w:val="TableText"/>
              <w:jc w:val="center"/>
            </w:pPr>
            <w:r w:rsidRPr="005B0796">
              <w:t xml:space="preserve">1 year </w:t>
            </w:r>
            <w:r w:rsidRPr="005B0796">
              <w:br/>
              <w:t>(n = 4874)</w:t>
            </w:r>
          </w:p>
        </w:tc>
        <w:tc>
          <w:tcPr>
            <w:tcW w:w="1761" w:type="dxa"/>
            <w:gridSpan w:val="3"/>
            <w:hideMark/>
          </w:tcPr>
          <w:p w:rsidR="00D844BE" w:rsidRPr="005B0796" w:rsidRDefault="00D844BE" w:rsidP="00D844BE">
            <w:pPr>
              <w:pStyle w:val="TableText"/>
              <w:jc w:val="center"/>
            </w:pPr>
            <w:r w:rsidRPr="005B0796">
              <w:t xml:space="preserve">2 years </w:t>
            </w:r>
            <w:r w:rsidRPr="005B0796">
              <w:br/>
              <w:t>(n = 4944)</w:t>
            </w:r>
          </w:p>
        </w:tc>
      </w:tr>
      <w:tr w:rsidR="00D844BE" w:rsidRPr="005B0796" w:rsidTr="00D844BE">
        <w:trPr>
          <w:cnfStyle w:val="100000000000" w:firstRow="1" w:lastRow="0" w:firstColumn="0" w:lastColumn="0" w:oddVBand="0" w:evenVBand="0" w:oddHBand="0" w:evenHBand="0" w:firstRowFirstColumn="0" w:firstRowLastColumn="0" w:lastRowFirstColumn="0" w:lastRowLastColumn="0"/>
          <w:cantSplit/>
          <w:tblHeader/>
        </w:trPr>
        <w:tc>
          <w:tcPr>
            <w:tcW w:w="945" w:type="dxa"/>
            <w:vMerge/>
            <w:hideMark/>
          </w:tcPr>
          <w:p w:rsidR="00D844BE" w:rsidRPr="005B0796" w:rsidRDefault="00D844BE" w:rsidP="00D844BE">
            <w:pPr>
              <w:pStyle w:val="TableText"/>
            </w:pPr>
          </w:p>
        </w:tc>
        <w:tc>
          <w:tcPr>
            <w:tcW w:w="586" w:type="dxa"/>
            <w:hideMark/>
          </w:tcPr>
          <w:p w:rsidR="00D844BE" w:rsidRPr="005B0796" w:rsidRDefault="00D844BE" w:rsidP="00D844BE">
            <w:pPr>
              <w:pStyle w:val="TableText"/>
              <w:jc w:val="right"/>
              <w:rPr>
                <w:rFonts w:eastAsia="Times New Roman"/>
              </w:rPr>
            </w:pPr>
            <w:r w:rsidRPr="005B0796">
              <w:t>Weighted n</w:t>
            </w:r>
          </w:p>
        </w:tc>
        <w:tc>
          <w:tcPr>
            <w:tcW w:w="586" w:type="dxa"/>
            <w:hideMark/>
          </w:tcPr>
          <w:p w:rsidR="00D844BE" w:rsidRPr="005B0796" w:rsidRDefault="00D844BE" w:rsidP="00D844BE">
            <w:pPr>
              <w:pStyle w:val="TableText"/>
              <w:jc w:val="right"/>
              <w:rPr>
                <w:rFonts w:eastAsia="Times New Roman"/>
              </w:rPr>
            </w:pPr>
            <w:r w:rsidRPr="005B0796">
              <w:t>%</w:t>
            </w:r>
          </w:p>
        </w:tc>
        <w:tc>
          <w:tcPr>
            <w:tcW w:w="586" w:type="dxa"/>
            <w:hideMark/>
          </w:tcPr>
          <w:p w:rsidR="00D844BE" w:rsidRPr="005B0796" w:rsidRDefault="00D844BE" w:rsidP="00D844BE">
            <w:pPr>
              <w:pStyle w:val="TableText"/>
              <w:jc w:val="right"/>
              <w:rPr>
                <w:rFonts w:eastAsia="Times New Roman"/>
              </w:rPr>
            </w:pPr>
            <w:r w:rsidRPr="005B0796">
              <w:t>95% CI</w:t>
            </w:r>
          </w:p>
        </w:tc>
        <w:tc>
          <w:tcPr>
            <w:tcW w:w="586" w:type="dxa"/>
            <w:hideMark/>
          </w:tcPr>
          <w:p w:rsidR="00D844BE" w:rsidRPr="005B0796" w:rsidRDefault="00D844BE" w:rsidP="00D844BE">
            <w:pPr>
              <w:pStyle w:val="TableText"/>
              <w:jc w:val="right"/>
              <w:rPr>
                <w:rFonts w:eastAsia="Times New Roman"/>
              </w:rPr>
            </w:pPr>
            <w:r w:rsidRPr="005B0796">
              <w:t>Weighted n</w:t>
            </w:r>
          </w:p>
        </w:tc>
        <w:tc>
          <w:tcPr>
            <w:tcW w:w="586" w:type="dxa"/>
            <w:hideMark/>
          </w:tcPr>
          <w:p w:rsidR="00D844BE" w:rsidRPr="005B0796" w:rsidRDefault="00D844BE" w:rsidP="00D844BE">
            <w:pPr>
              <w:pStyle w:val="TableText"/>
              <w:jc w:val="right"/>
              <w:rPr>
                <w:rFonts w:eastAsia="Times New Roman"/>
              </w:rPr>
            </w:pPr>
            <w:r w:rsidRPr="005B0796">
              <w:t>%</w:t>
            </w:r>
          </w:p>
        </w:tc>
        <w:tc>
          <w:tcPr>
            <w:tcW w:w="587" w:type="dxa"/>
            <w:hideMark/>
          </w:tcPr>
          <w:p w:rsidR="00D844BE" w:rsidRPr="005B0796" w:rsidRDefault="00D844BE" w:rsidP="00D844BE">
            <w:pPr>
              <w:pStyle w:val="TableText"/>
              <w:jc w:val="right"/>
              <w:rPr>
                <w:rFonts w:eastAsia="Times New Roman"/>
              </w:rPr>
            </w:pPr>
            <w:r w:rsidRPr="005B0796">
              <w:t>95% CI</w:t>
            </w:r>
          </w:p>
        </w:tc>
        <w:tc>
          <w:tcPr>
            <w:tcW w:w="587" w:type="dxa"/>
            <w:hideMark/>
          </w:tcPr>
          <w:p w:rsidR="00D844BE" w:rsidRPr="005B0796" w:rsidRDefault="00D844BE" w:rsidP="00D844BE">
            <w:pPr>
              <w:pStyle w:val="TableText"/>
              <w:jc w:val="right"/>
              <w:rPr>
                <w:rFonts w:eastAsia="Times New Roman"/>
              </w:rPr>
            </w:pPr>
            <w:r w:rsidRPr="005B0796">
              <w:t>Weighted n</w:t>
            </w:r>
          </w:p>
        </w:tc>
        <w:tc>
          <w:tcPr>
            <w:tcW w:w="587" w:type="dxa"/>
            <w:hideMark/>
          </w:tcPr>
          <w:p w:rsidR="00D844BE" w:rsidRPr="005B0796" w:rsidRDefault="00D844BE" w:rsidP="00D844BE">
            <w:pPr>
              <w:pStyle w:val="TableText"/>
              <w:jc w:val="right"/>
              <w:rPr>
                <w:rFonts w:eastAsia="Times New Roman"/>
              </w:rPr>
            </w:pPr>
            <w:r w:rsidRPr="005B0796">
              <w:t>%</w:t>
            </w:r>
          </w:p>
        </w:tc>
        <w:tc>
          <w:tcPr>
            <w:tcW w:w="587" w:type="dxa"/>
            <w:hideMark/>
          </w:tcPr>
          <w:p w:rsidR="00D844BE" w:rsidRPr="005B0796" w:rsidRDefault="00D844BE" w:rsidP="00D844BE">
            <w:pPr>
              <w:pStyle w:val="TableText"/>
              <w:jc w:val="right"/>
              <w:rPr>
                <w:rFonts w:eastAsia="Times New Roman"/>
              </w:rPr>
            </w:pPr>
            <w:r w:rsidRPr="005B0796">
              <w:t>95% CI</w:t>
            </w:r>
          </w:p>
        </w:tc>
      </w:tr>
      <w:tr w:rsidR="00D844BE" w:rsidRPr="005B0796" w:rsidTr="00D844BE">
        <w:trPr>
          <w:cnfStyle w:val="000000100000" w:firstRow="0" w:lastRow="0" w:firstColumn="0" w:lastColumn="0" w:oddVBand="0" w:evenVBand="0" w:oddHBand="1" w:evenHBand="0" w:firstRowFirstColumn="0" w:firstRowLastColumn="0" w:lastRowFirstColumn="0" w:lastRowLastColumn="0"/>
          <w:cantSplit/>
        </w:trPr>
        <w:tc>
          <w:tcPr>
            <w:tcW w:w="945" w:type="dxa"/>
            <w:hideMark/>
          </w:tcPr>
          <w:p w:rsidR="00D844BE" w:rsidRPr="005B0796" w:rsidRDefault="00D844BE" w:rsidP="00D844BE">
            <w:pPr>
              <w:pStyle w:val="TableText"/>
              <w:rPr>
                <w:rFonts w:eastAsia="Times New Roman"/>
              </w:rPr>
            </w:pPr>
            <w:r w:rsidRPr="005B0796">
              <w:rPr>
                <w:rFonts w:eastAsia="Times New Roman"/>
              </w:rPr>
              <w:t>12-month illicit drug use</w:t>
            </w:r>
          </w:p>
        </w:tc>
        <w:tc>
          <w:tcPr>
            <w:tcW w:w="586" w:type="dxa"/>
            <w:hideMark/>
          </w:tcPr>
          <w:p w:rsidR="00D844BE" w:rsidRPr="005B0796" w:rsidRDefault="00D844BE" w:rsidP="00D844BE">
            <w:pPr>
              <w:pStyle w:val="TableText"/>
              <w:jc w:val="right"/>
            </w:pPr>
            <w:r w:rsidRPr="005B0796">
              <w:rPr>
                <w:rFonts w:eastAsia="Times New Roman"/>
              </w:rPr>
              <w:t>153</w:t>
            </w:r>
          </w:p>
        </w:tc>
        <w:tc>
          <w:tcPr>
            <w:tcW w:w="586" w:type="dxa"/>
            <w:hideMark/>
          </w:tcPr>
          <w:p w:rsidR="00D844BE" w:rsidRPr="005B0796" w:rsidRDefault="00D844BE" w:rsidP="00D844BE">
            <w:pPr>
              <w:pStyle w:val="TableText"/>
              <w:jc w:val="right"/>
            </w:pPr>
            <w:r w:rsidRPr="005B0796">
              <w:rPr>
                <w:rFonts w:eastAsia="Times New Roman"/>
              </w:rPr>
              <w:t>7.9</w:t>
            </w:r>
          </w:p>
        </w:tc>
        <w:tc>
          <w:tcPr>
            <w:tcW w:w="586" w:type="dxa"/>
            <w:hideMark/>
          </w:tcPr>
          <w:p w:rsidR="00D844BE" w:rsidRPr="005B0796" w:rsidRDefault="00D844BE" w:rsidP="00D844BE">
            <w:pPr>
              <w:pStyle w:val="TableText"/>
              <w:jc w:val="right"/>
            </w:pPr>
            <w:r w:rsidRPr="005B0796">
              <w:rPr>
                <w:rFonts w:eastAsia="Times New Roman"/>
              </w:rPr>
              <w:t>4.8, 12.8</w:t>
            </w:r>
          </w:p>
        </w:tc>
        <w:tc>
          <w:tcPr>
            <w:tcW w:w="586" w:type="dxa"/>
            <w:hideMark/>
          </w:tcPr>
          <w:p w:rsidR="00D844BE" w:rsidRPr="005B0796" w:rsidRDefault="00D844BE" w:rsidP="00D844BE">
            <w:pPr>
              <w:pStyle w:val="TableText"/>
              <w:jc w:val="right"/>
            </w:pPr>
            <w:r w:rsidRPr="005B0796">
              <w:rPr>
                <w:rFonts w:eastAsia="Times New Roman"/>
              </w:rPr>
              <w:t>578</w:t>
            </w:r>
          </w:p>
        </w:tc>
        <w:tc>
          <w:tcPr>
            <w:tcW w:w="586" w:type="dxa"/>
            <w:hideMark/>
          </w:tcPr>
          <w:p w:rsidR="00D844BE" w:rsidRPr="005B0796" w:rsidRDefault="00D844BE" w:rsidP="00D844BE">
            <w:pPr>
              <w:pStyle w:val="TableText"/>
              <w:jc w:val="right"/>
            </w:pPr>
            <w:r w:rsidRPr="005B0796">
              <w:rPr>
                <w:rFonts w:eastAsia="Times New Roman"/>
              </w:rPr>
              <w:t>11.9</w:t>
            </w:r>
          </w:p>
        </w:tc>
        <w:tc>
          <w:tcPr>
            <w:tcW w:w="587" w:type="dxa"/>
            <w:hideMark/>
          </w:tcPr>
          <w:p w:rsidR="00D844BE" w:rsidRPr="005B0796" w:rsidRDefault="00D844BE" w:rsidP="00D844BE">
            <w:pPr>
              <w:pStyle w:val="TableText"/>
              <w:jc w:val="right"/>
            </w:pPr>
            <w:r w:rsidRPr="005B0796">
              <w:rPr>
                <w:rFonts w:eastAsia="Times New Roman"/>
              </w:rPr>
              <w:t>9.0, 15.4</w:t>
            </w:r>
          </w:p>
        </w:tc>
        <w:tc>
          <w:tcPr>
            <w:tcW w:w="587" w:type="dxa"/>
            <w:hideMark/>
          </w:tcPr>
          <w:p w:rsidR="00D844BE" w:rsidRPr="005B0796" w:rsidRDefault="00D844BE" w:rsidP="00D844BE">
            <w:pPr>
              <w:pStyle w:val="TableText"/>
              <w:jc w:val="right"/>
            </w:pPr>
            <w:r w:rsidRPr="005B0796">
              <w:rPr>
                <w:rFonts w:eastAsia="Times New Roman"/>
              </w:rPr>
              <w:t>694</w:t>
            </w:r>
          </w:p>
        </w:tc>
        <w:tc>
          <w:tcPr>
            <w:tcW w:w="587" w:type="dxa"/>
            <w:hideMark/>
          </w:tcPr>
          <w:p w:rsidR="00D844BE" w:rsidRPr="005B0796" w:rsidRDefault="00D844BE" w:rsidP="00D844BE">
            <w:pPr>
              <w:pStyle w:val="TableText"/>
              <w:jc w:val="right"/>
            </w:pPr>
            <w:r w:rsidRPr="005B0796">
              <w:rPr>
                <w:rFonts w:eastAsia="Times New Roman"/>
              </w:rPr>
              <w:t>14.0</w:t>
            </w:r>
          </w:p>
        </w:tc>
        <w:tc>
          <w:tcPr>
            <w:tcW w:w="587" w:type="dxa"/>
            <w:hideMark/>
          </w:tcPr>
          <w:p w:rsidR="00D844BE" w:rsidRPr="005B0796" w:rsidRDefault="00D844BE" w:rsidP="00D844BE">
            <w:pPr>
              <w:pStyle w:val="TableText"/>
              <w:jc w:val="right"/>
            </w:pPr>
            <w:r w:rsidRPr="005B0796">
              <w:rPr>
                <w:rFonts w:eastAsia="Times New Roman"/>
              </w:rPr>
              <w:t>10.9, 17.9</w:t>
            </w:r>
          </w:p>
        </w:tc>
      </w:tr>
      <w:tr w:rsidR="00D844BE" w:rsidRPr="005B0796" w:rsidTr="00D844BE">
        <w:trPr>
          <w:cantSplit/>
        </w:trPr>
        <w:tc>
          <w:tcPr>
            <w:tcW w:w="945" w:type="dxa"/>
            <w:hideMark/>
          </w:tcPr>
          <w:p w:rsidR="00D844BE" w:rsidRPr="005B0796" w:rsidRDefault="00D844BE" w:rsidP="00D844BE">
            <w:pPr>
              <w:pStyle w:val="TableText"/>
              <w:rPr>
                <w:rFonts w:eastAsia="Times New Roman"/>
              </w:rPr>
            </w:pPr>
            <w:r w:rsidRPr="005B0796">
              <w:rPr>
                <w:rFonts w:eastAsia="Times New Roman"/>
              </w:rPr>
              <w:t>12-month prescription drug use for non-medical purposes</w:t>
            </w:r>
          </w:p>
        </w:tc>
        <w:tc>
          <w:tcPr>
            <w:tcW w:w="586" w:type="dxa"/>
            <w:hideMark/>
          </w:tcPr>
          <w:p w:rsidR="00D844BE" w:rsidRPr="005B0796" w:rsidRDefault="00D844BE" w:rsidP="00D844BE">
            <w:pPr>
              <w:pStyle w:val="TableText"/>
              <w:jc w:val="right"/>
            </w:pPr>
            <w:r w:rsidRPr="005B0796">
              <w:rPr>
                <w:rFonts w:eastAsia="Times New Roman"/>
              </w:rPr>
              <w:t>67</w:t>
            </w:r>
          </w:p>
        </w:tc>
        <w:tc>
          <w:tcPr>
            <w:tcW w:w="586" w:type="dxa"/>
            <w:hideMark/>
          </w:tcPr>
          <w:p w:rsidR="00D844BE" w:rsidRPr="005B0796" w:rsidRDefault="00D844BE" w:rsidP="00D844BE">
            <w:pPr>
              <w:pStyle w:val="TableText"/>
              <w:jc w:val="right"/>
            </w:pPr>
            <w:r w:rsidRPr="005B0796">
              <w:rPr>
                <w:rFonts w:eastAsia="Times New Roman"/>
              </w:rPr>
              <w:t>3.5</w:t>
            </w:r>
          </w:p>
        </w:tc>
        <w:tc>
          <w:tcPr>
            <w:tcW w:w="586" w:type="dxa"/>
            <w:hideMark/>
          </w:tcPr>
          <w:p w:rsidR="00D844BE" w:rsidRPr="005B0796" w:rsidRDefault="00D844BE" w:rsidP="00D844BE">
            <w:pPr>
              <w:pStyle w:val="TableText"/>
              <w:jc w:val="right"/>
            </w:pPr>
            <w:r w:rsidRPr="005B0796">
              <w:rPr>
                <w:rFonts w:eastAsia="Times New Roman"/>
              </w:rPr>
              <w:t>1.7, 7.1</w:t>
            </w:r>
          </w:p>
        </w:tc>
        <w:tc>
          <w:tcPr>
            <w:tcW w:w="586" w:type="dxa"/>
            <w:hideMark/>
          </w:tcPr>
          <w:p w:rsidR="00D844BE" w:rsidRPr="005B0796" w:rsidRDefault="00D844BE" w:rsidP="00D844BE">
            <w:pPr>
              <w:pStyle w:val="TableText"/>
              <w:jc w:val="right"/>
            </w:pPr>
            <w:r w:rsidRPr="005B0796">
              <w:rPr>
                <w:rFonts w:eastAsia="Times New Roman"/>
              </w:rPr>
              <w:t>173</w:t>
            </w:r>
          </w:p>
        </w:tc>
        <w:tc>
          <w:tcPr>
            <w:tcW w:w="586" w:type="dxa"/>
            <w:hideMark/>
          </w:tcPr>
          <w:p w:rsidR="00D844BE" w:rsidRPr="005B0796" w:rsidRDefault="00D844BE" w:rsidP="00D844BE">
            <w:pPr>
              <w:pStyle w:val="TableText"/>
              <w:jc w:val="right"/>
            </w:pPr>
            <w:r w:rsidRPr="005B0796">
              <w:rPr>
                <w:rFonts w:eastAsia="Times New Roman"/>
              </w:rPr>
              <w:t>3.6</w:t>
            </w:r>
          </w:p>
        </w:tc>
        <w:tc>
          <w:tcPr>
            <w:tcW w:w="587" w:type="dxa"/>
            <w:hideMark/>
          </w:tcPr>
          <w:p w:rsidR="00D844BE" w:rsidRPr="005B0796" w:rsidRDefault="00D844BE" w:rsidP="00D844BE">
            <w:pPr>
              <w:pStyle w:val="TableText"/>
              <w:jc w:val="right"/>
            </w:pPr>
            <w:r w:rsidRPr="005B0796">
              <w:rPr>
                <w:rFonts w:eastAsia="Times New Roman"/>
              </w:rPr>
              <w:t>2.2, 5.7</w:t>
            </w:r>
          </w:p>
        </w:tc>
        <w:tc>
          <w:tcPr>
            <w:tcW w:w="587" w:type="dxa"/>
            <w:hideMark/>
          </w:tcPr>
          <w:p w:rsidR="00D844BE" w:rsidRPr="005B0796" w:rsidRDefault="00D844BE" w:rsidP="00D844BE">
            <w:pPr>
              <w:pStyle w:val="TableText"/>
              <w:jc w:val="right"/>
            </w:pPr>
            <w:r w:rsidRPr="005B0796">
              <w:rPr>
                <w:rFonts w:eastAsia="Times New Roman"/>
              </w:rPr>
              <w:t>222</w:t>
            </w:r>
          </w:p>
        </w:tc>
        <w:tc>
          <w:tcPr>
            <w:tcW w:w="587" w:type="dxa"/>
            <w:hideMark/>
          </w:tcPr>
          <w:p w:rsidR="00D844BE" w:rsidRPr="005B0796" w:rsidRDefault="00D844BE" w:rsidP="00D844BE">
            <w:pPr>
              <w:pStyle w:val="TableText"/>
              <w:jc w:val="right"/>
            </w:pPr>
            <w:r w:rsidRPr="005B0796">
              <w:rPr>
                <w:rFonts w:eastAsia="Times New Roman"/>
              </w:rPr>
              <w:t>4.5</w:t>
            </w:r>
          </w:p>
        </w:tc>
        <w:tc>
          <w:tcPr>
            <w:tcW w:w="587" w:type="dxa"/>
            <w:hideMark/>
          </w:tcPr>
          <w:p w:rsidR="00D844BE" w:rsidRPr="005B0796" w:rsidRDefault="00D844BE" w:rsidP="00D844BE">
            <w:pPr>
              <w:pStyle w:val="TableText"/>
              <w:jc w:val="right"/>
            </w:pPr>
            <w:r w:rsidRPr="005B0796">
              <w:rPr>
                <w:rFonts w:eastAsia="Times New Roman"/>
              </w:rPr>
              <w:t>2.9, 6.7</w:t>
            </w:r>
          </w:p>
        </w:tc>
      </w:tr>
    </w:tbl>
    <w:p w:rsidR="00D844BE" w:rsidRPr="005B0796" w:rsidRDefault="00D844BE" w:rsidP="00D844BE">
      <w:pPr>
        <w:pStyle w:val="TableText"/>
      </w:pPr>
    </w:p>
    <w:tbl>
      <w:tblPr>
        <w:tblStyle w:val="TWRPTable"/>
        <w:tblW w:w="5000" w:type="pct"/>
        <w:tblLayout w:type="fixed"/>
        <w:tblLook w:val="04A0" w:firstRow="1" w:lastRow="0" w:firstColumn="1" w:lastColumn="0" w:noHBand="0" w:noVBand="1"/>
        <w:tblDescription w:val="Table 5.22 (cont) Estimated proportions in Transitioned ADF for 12-month drug use, by years since transition"/>
      </w:tblPr>
      <w:tblGrid>
        <w:gridCol w:w="1747"/>
        <w:gridCol w:w="1085"/>
        <w:gridCol w:w="1085"/>
        <w:gridCol w:w="1085"/>
        <w:gridCol w:w="1084"/>
        <w:gridCol w:w="1084"/>
        <w:gridCol w:w="1084"/>
        <w:gridCol w:w="1084"/>
        <w:gridCol w:w="1084"/>
        <w:gridCol w:w="1084"/>
      </w:tblGrid>
      <w:tr w:rsidR="00D844BE" w:rsidRPr="005B0796" w:rsidTr="00D844BE">
        <w:trPr>
          <w:cnfStyle w:val="100000000000" w:firstRow="1" w:lastRow="0" w:firstColumn="0" w:lastColumn="0" w:oddVBand="0" w:evenVBand="0" w:oddHBand="0" w:evenHBand="0" w:firstRowFirstColumn="0" w:firstRowLastColumn="0" w:lastRowFirstColumn="0" w:lastRowLastColumn="0"/>
          <w:tblHeader/>
        </w:trPr>
        <w:tc>
          <w:tcPr>
            <w:tcW w:w="945" w:type="dxa"/>
            <w:vMerge w:val="restart"/>
            <w:hideMark/>
          </w:tcPr>
          <w:p w:rsidR="00D844BE" w:rsidRPr="005B0796" w:rsidRDefault="00D844BE" w:rsidP="00D844BE">
            <w:pPr>
              <w:pStyle w:val="TableText"/>
            </w:pPr>
            <w:r w:rsidRPr="005B0796">
              <w:t xml:space="preserve">Drug </w:t>
            </w:r>
            <w:r w:rsidR="00395E49" w:rsidRPr="005B0796">
              <w:t>use</w:t>
            </w:r>
          </w:p>
        </w:tc>
        <w:tc>
          <w:tcPr>
            <w:tcW w:w="1761" w:type="dxa"/>
            <w:gridSpan w:val="3"/>
            <w:hideMark/>
          </w:tcPr>
          <w:p w:rsidR="00D844BE" w:rsidRPr="005B0796" w:rsidRDefault="00D844BE" w:rsidP="00D844BE">
            <w:pPr>
              <w:pStyle w:val="TableText"/>
              <w:jc w:val="center"/>
            </w:pPr>
            <w:r w:rsidRPr="005B0796">
              <w:t xml:space="preserve">3 years </w:t>
            </w:r>
            <w:r w:rsidRPr="005B0796">
              <w:br/>
              <w:t>(n = 5234)</w:t>
            </w:r>
          </w:p>
        </w:tc>
        <w:tc>
          <w:tcPr>
            <w:tcW w:w="1761" w:type="dxa"/>
            <w:gridSpan w:val="3"/>
            <w:hideMark/>
          </w:tcPr>
          <w:p w:rsidR="00D844BE" w:rsidRPr="005B0796" w:rsidRDefault="00D844BE" w:rsidP="00D844BE">
            <w:pPr>
              <w:pStyle w:val="TableText"/>
              <w:jc w:val="center"/>
            </w:pPr>
            <w:r w:rsidRPr="005B0796">
              <w:t xml:space="preserve">4 years </w:t>
            </w:r>
            <w:r w:rsidRPr="005B0796">
              <w:br/>
              <w:t>(n = 3582)</w:t>
            </w:r>
          </w:p>
        </w:tc>
        <w:tc>
          <w:tcPr>
            <w:tcW w:w="1761" w:type="dxa"/>
            <w:gridSpan w:val="3"/>
            <w:hideMark/>
          </w:tcPr>
          <w:p w:rsidR="00D844BE" w:rsidRPr="005B0796" w:rsidRDefault="00D844BE" w:rsidP="00D844BE">
            <w:pPr>
              <w:pStyle w:val="TableText"/>
              <w:jc w:val="center"/>
            </w:pPr>
            <w:r w:rsidRPr="005B0796">
              <w:t xml:space="preserve">5+ years </w:t>
            </w:r>
            <w:r w:rsidRPr="005B0796">
              <w:br/>
              <w:t>(n = 2785)</w:t>
            </w:r>
          </w:p>
        </w:tc>
      </w:tr>
      <w:tr w:rsidR="00D844BE" w:rsidRPr="005B0796" w:rsidTr="00D844BE">
        <w:trPr>
          <w:cnfStyle w:val="100000000000" w:firstRow="1" w:lastRow="0" w:firstColumn="0" w:lastColumn="0" w:oddVBand="0" w:evenVBand="0" w:oddHBand="0" w:evenHBand="0" w:firstRowFirstColumn="0" w:firstRowLastColumn="0" w:lastRowFirstColumn="0" w:lastRowLastColumn="0"/>
          <w:tblHeader/>
        </w:trPr>
        <w:tc>
          <w:tcPr>
            <w:tcW w:w="945" w:type="dxa"/>
            <w:vMerge/>
            <w:hideMark/>
          </w:tcPr>
          <w:p w:rsidR="00D844BE" w:rsidRPr="005B0796" w:rsidRDefault="00D844BE" w:rsidP="00D844BE">
            <w:pPr>
              <w:pStyle w:val="TableText"/>
            </w:pPr>
          </w:p>
        </w:tc>
        <w:tc>
          <w:tcPr>
            <w:tcW w:w="587" w:type="dxa"/>
            <w:hideMark/>
          </w:tcPr>
          <w:p w:rsidR="00D844BE" w:rsidRPr="005B0796" w:rsidRDefault="00D844BE" w:rsidP="00D844BE">
            <w:pPr>
              <w:pStyle w:val="TableText"/>
              <w:jc w:val="right"/>
              <w:rPr>
                <w:rFonts w:eastAsia="Times New Roman"/>
              </w:rPr>
            </w:pPr>
            <w:r w:rsidRPr="005B0796">
              <w:t>Weighted n</w:t>
            </w:r>
          </w:p>
        </w:tc>
        <w:tc>
          <w:tcPr>
            <w:tcW w:w="587" w:type="dxa"/>
            <w:hideMark/>
          </w:tcPr>
          <w:p w:rsidR="00D844BE" w:rsidRPr="005B0796" w:rsidRDefault="00D844BE" w:rsidP="00D844BE">
            <w:pPr>
              <w:pStyle w:val="TableText"/>
              <w:jc w:val="right"/>
              <w:rPr>
                <w:rFonts w:eastAsia="Times New Roman"/>
              </w:rPr>
            </w:pPr>
            <w:r w:rsidRPr="005B0796">
              <w:t>%</w:t>
            </w:r>
          </w:p>
        </w:tc>
        <w:tc>
          <w:tcPr>
            <w:tcW w:w="587" w:type="dxa"/>
            <w:hideMark/>
          </w:tcPr>
          <w:p w:rsidR="00D844BE" w:rsidRPr="005B0796" w:rsidRDefault="00D844BE" w:rsidP="00D844BE">
            <w:pPr>
              <w:pStyle w:val="TableText"/>
              <w:jc w:val="right"/>
              <w:rPr>
                <w:rFonts w:eastAsia="Times New Roman"/>
              </w:rPr>
            </w:pPr>
            <w:r w:rsidRPr="005B0796">
              <w:t>95% CI</w:t>
            </w:r>
          </w:p>
        </w:tc>
        <w:tc>
          <w:tcPr>
            <w:tcW w:w="587" w:type="dxa"/>
            <w:hideMark/>
          </w:tcPr>
          <w:p w:rsidR="00D844BE" w:rsidRPr="005B0796" w:rsidRDefault="00D844BE" w:rsidP="00D844BE">
            <w:pPr>
              <w:pStyle w:val="TableText"/>
              <w:jc w:val="right"/>
              <w:rPr>
                <w:rFonts w:eastAsia="Times New Roman"/>
              </w:rPr>
            </w:pPr>
            <w:r w:rsidRPr="005B0796">
              <w:t>Weighted n</w:t>
            </w:r>
          </w:p>
        </w:tc>
        <w:tc>
          <w:tcPr>
            <w:tcW w:w="587" w:type="dxa"/>
            <w:hideMark/>
          </w:tcPr>
          <w:p w:rsidR="00D844BE" w:rsidRPr="005B0796" w:rsidRDefault="00D844BE" w:rsidP="00D844BE">
            <w:pPr>
              <w:pStyle w:val="TableText"/>
              <w:jc w:val="right"/>
              <w:rPr>
                <w:rFonts w:eastAsia="Times New Roman"/>
              </w:rPr>
            </w:pPr>
            <w:r w:rsidRPr="005B0796">
              <w:t>%</w:t>
            </w:r>
          </w:p>
        </w:tc>
        <w:tc>
          <w:tcPr>
            <w:tcW w:w="587" w:type="dxa"/>
            <w:hideMark/>
          </w:tcPr>
          <w:p w:rsidR="00D844BE" w:rsidRPr="005B0796" w:rsidRDefault="00D844BE" w:rsidP="00D844BE">
            <w:pPr>
              <w:pStyle w:val="TableText"/>
              <w:jc w:val="right"/>
              <w:rPr>
                <w:rFonts w:eastAsia="Times New Roman"/>
              </w:rPr>
            </w:pPr>
            <w:r w:rsidRPr="005B0796">
              <w:t>95% CI</w:t>
            </w:r>
          </w:p>
        </w:tc>
        <w:tc>
          <w:tcPr>
            <w:tcW w:w="587" w:type="dxa"/>
            <w:hideMark/>
          </w:tcPr>
          <w:p w:rsidR="00D844BE" w:rsidRPr="005B0796" w:rsidRDefault="00D844BE" w:rsidP="00D844BE">
            <w:pPr>
              <w:pStyle w:val="TableText"/>
              <w:jc w:val="right"/>
              <w:rPr>
                <w:rFonts w:eastAsia="Times New Roman"/>
              </w:rPr>
            </w:pPr>
            <w:r w:rsidRPr="005B0796">
              <w:t>Weighted n</w:t>
            </w:r>
          </w:p>
        </w:tc>
        <w:tc>
          <w:tcPr>
            <w:tcW w:w="587" w:type="dxa"/>
            <w:hideMark/>
          </w:tcPr>
          <w:p w:rsidR="00D844BE" w:rsidRPr="005B0796" w:rsidRDefault="00D844BE" w:rsidP="00D844BE">
            <w:pPr>
              <w:pStyle w:val="TableText"/>
              <w:jc w:val="right"/>
              <w:rPr>
                <w:rFonts w:eastAsia="Times New Roman"/>
              </w:rPr>
            </w:pPr>
            <w:r w:rsidRPr="005B0796">
              <w:t>%</w:t>
            </w:r>
          </w:p>
        </w:tc>
        <w:tc>
          <w:tcPr>
            <w:tcW w:w="587" w:type="dxa"/>
            <w:hideMark/>
          </w:tcPr>
          <w:p w:rsidR="00D844BE" w:rsidRPr="005B0796" w:rsidRDefault="00D844BE" w:rsidP="00D844BE">
            <w:pPr>
              <w:pStyle w:val="TableText"/>
              <w:jc w:val="right"/>
              <w:rPr>
                <w:rFonts w:eastAsia="Times New Roman"/>
              </w:rPr>
            </w:pPr>
            <w:r w:rsidRPr="005B0796">
              <w:t>95% CI</w:t>
            </w:r>
          </w:p>
        </w:tc>
      </w:tr>
      <w:tr w:rsidR="00D844BE" w:rsidRPr="005B0796" w:rsidTr="00D844BE">
        <w:trPr>
          <w:cnfStyle w:val="000000100000" w:firstRow="0" w:lastRow="0" w:firstColumn="0" w:lastColumn="0" w:oddVBand="0" w:evenVBand="0" w:oddHBand="1" w:evenHBand="0" w:firstRowFirstColumn="0" w:firstRowLastColumn="0" w:lastRowFirstColumn="0" w:lastRowLastColumn="0"/>
        </w:trPr>
        <w:tc>
          <w:tcPr>
            <w:tcW w:w="945" w:type="dxa"/>
            <w:hideMark/>
          </w:tcPr>
          <w:p w:rsidR="00D844BE" w:rsidRPr="005B0796" w:rsidRDefault="00D844BE" w:rsidP="00D844BE">
            <w:pPr>
              <w:pStyle w:val="TableText"/>
              <w:rPr>
                <w:rFonts w:eastAsia="Times New Roman"/>
              </w:rPr>
            </w:pPr>
            <w:r w:rsidRPr="005B0796">
              <w:rPr>
                <w:rFonts w:eastAsia="Times New Roman"/>
              </w:rPr>
              <w:t>12-month illicit drug use</w:t>
            </w:r>
          </w:p>
        </w:tc>
        <w:tc>
          <w:tcPr>
            <w:tcW w:w="587" w:type="dxa"/>
            <w:hideMark/>
          </w:tcPr>
          <w:p w:rsidR="00D844BE" w:rsidRPr="005B0796" w:rsidRDefault="00D844BE" w:rsidP="00D844BE">
            <w:pPr>
              <w:pStyle w:val="TableText"/>
              <w:jc w:val="right"/>
            </w:pPr>
            <w:r w:rsidRPr="005B0796">
              <w:rPr>
                <w:rFonts w:eastAsia="Times New Roman"/>
              </w:rPr>
              <w:t>775</w:t>
            </w:r>
          </w:p>
        </w:tc>
        <w:tc>
          <w:tcPr>
            <w:tcW w:w="587" w:type="dxa"/>
            <w:hideMark/>
          </w:tcPr>
          <w:p w:rsidR="00D844BE" w:rsidRPr="005B0796" w:rsidRDefault="00D844BE" w:rsidP="00D844BE">
            <w:pPr>
              <w:pStyle w:val="TableText"/>
              <w:jc w:val="right"/>
            </w:pPr>
            <w:r w:rsidRPr="005B0796">
              <w:rPr>
                <w:rFonts w:eastAsia="Times New Roman"/>
              </w:rPr>
              <w:t>14.8</w:t>
            </w:r>
          </w:p>
        </w:tc>
        <w:tc>
          <w:tcPr>
            <w:tcW w:w="587" w:type="dxa"/>
            <w:hideMark/>
          </w:tcPr>
          <w:p w:rsidR="00D844BE" w:rsidRPr="005B0796" w:rsidRDefault="00D844BE" w:rsidP="00D844BE">
            <w:pPr>
              <w:pStyle w:val="TableText"/>
              <w:jc w:val="right"/>
            </w:pPr>
            <w:r w:rsidRPr="005B0796">
              <w:rPr>
                <w:rFonts w:eastAsia="Times New Roman"/>
              </w:rPr>
              <w:t>11.6, 18.7</w:t>
            </w:r>
          </w:p>
        </w:tc>
        <w:tc>
          <w:tcPr>
            <w:tcW w:w="587" w:type="dxa"/>
            <w:hideMark/>
          </w:tcPr>
          <w:p w:rsidR="00D844BE" w:rsidRPr="005B0796" w:rsidRDefault="00D844BE" w:rsidP="00D844BE">
            <w:pPr>
              <w:pStyle w:val="TableText"/>
              <w:jc w:val="right"/>
            </w:pPr>
            <w:r w:rsidRPr="005B0796">
              <w:rPr>
                <w:rFonts w:eastAsia="Times New Roman"/>
              </w:rPr>
              <w:t>382</w:t>
            </w:r>
          </w:p>
        </w:tc>
        <w:tc>
          <w:tcPr>
            <w:tcW w:w="587" w:type="dxa"/>
            <w:hideMark/>
          </w:tcPr>
          <w:p w:rsidR="00D844BE" w:rsidRPr="005B0796" w:rsidRDefault="00D844BE" w:rsidP="00D844BE">
            <w:pPr>
              <w:pStyle w:val="TableText"/>
              <w:jc w:val="right"/>
            </w:pPr>
            <w:r w:rsidRPr="005B0796">
              <w:rPr>
                <w:rFonts w:eastAsia="Times New Roman"/>
              </w:rPr>
              <w:t>10.7</w:t>
            </w:r>
          </w:p>
        </w:tc>
        <w:tc>
          <w:tcPr>
            <w:tcW w:w="587" w:type="dxa"/>
            <w:hideMark/>
          </w:tcPr>
          <w:p w:rsidR="00D844BE" w:rsidRPr="005B0796" w:rsidRDefault="00D844BE" w:rsidP="00D844BE">
            <w:pPr>
              <w:pStyle w:val="TableText"/>
              <w:jc w:val="right"/>
            </w:pPr>
            <w:r w:rsidRPr="005B0796">
              <w:rPr>
                <w:rFonts w:eastAsia="Times New Roman"/>
              </w:rPr>
              <w:t>7.8, 14.5</w:t>
            </w:r>
          </w:p>
        </w:tc>
        <w:tc>
          <w:tcPr>
            <w:tcW w:w="587" w:type="dxa"/>
            <w:hideMark/>
          </w:tcPr>
          <w:p w:rsidR="00D844BE" w:rsidRPr="005B0796" w:rsidRDefault="00D844BE" w:rsidP="00D844BE">
            <w:pPr>
              <w:pStyle w:val="TableText"/>
              <w:jc w:val="right"/>
              <w:rPr>
                <w:rFonts w:eastAsia="Times New Roman"/>
              </w:rPr>
            </w:pPr>
            <w:r w:rsidRPr="005B0796">
              <w:rPr>
                <w:rFonts w:eastAsia="Times New Roman"/>
              </w:rPr>
              <w:t>275</w:t>
            </w:r>
          </w:p>
        </w:tc>
        <w:tc>
          <w:tcPr>
            <w:tcW w:w="587" w:type="dxa"/>
            <w:hideMark/>
          </w:tcPr>
          <w:p w:rsidR="00D844BE" w:rsidRPr="005B0796" w:rsidRDefault="00D844BE" w:rsidP="00D844BE">
            <w:pPr>
              <w:pStyle w:val="TableText"/>
              <w:jc w:val="right"/>
              <w:rPr>
                <w:rFonts w:eastAsia="Times New Roman"/>
              </w:rPr>
            </w:pPr>
            <w:r w:rsidRPr="005B0796">
              <w:rPr>
                <w:rFonts w:eastAsia="Times New Roman"/>
              </w:rPr>
              <w:t>9.9</w:t>
            </w:r>
          </w:p>
        </w:tc>
        <w:tc>
          <w:tcPr>
            <w:tcW w:w="587" w:type="dxa"/>
            <w:hideMark/>
          </w:tcPr>
          <w:p w:rsidR="00D844BE" w:rsidRPr="005B0796" w:rsidRDefault="00D844BE" w:rsidP="00D844BE">
            <w:pPr>
              <w:pStyle w:val="TableText"/>
              <w:jc w:val="right"/>
              <w:rPr>
                <w:rFonts w:eastAsia="Times New Roman"/>
              </w:rPr>
            </w:pPr>
            <w:r w:rsidRPr="005B0796">
              <w:rPr>
                <w:rFonts w:eastAsia="Times New Roman"/>
              </w:rPr>
              <w:t>6.6, 14.4</w:t>
            </w:r>
          </w:p>
        </w:tc>
      </w:tr>
      <w:tr w:rsidR="00D844BE" w:rsidRPr="005B0796" w:rsidTr="00D844BE">
        <w:tc>
          <w:tcPr>
            <w:tcW w:w="945" w:type="dxa"/>
            <w:hideMark/>
          </w:tcPr>
          <w:p w:rsidR="00D844BE" w:rsidRPr="005B0796" w:rsidRDefault="00D844BE" w:rsidP="00D844BE">
            <w:pPr>
              <w:pStyle w:val="TableText"/>
              <w:rPr>
                <w:rFonts w:eastAsia="Times New Roman"/>
              </w:rPr>
            </w:pPr>
            <w:r w:rsidRPr="005B0796">
              <w:rPr>
                <w:rFonts w:eastAsia="Times New Roman"/>
              </w:rPr>
              <w:t>12-month prescription drug use for non-medical purposes</w:t>
            </w:r>
          </w:p>
        </w:tc>
        <w:tc>
          <w:tcPr>
            <w:tcW w:w="587" w:type="dxa"/>
            <w:hideMark/>
          </w:tcPr>
          <w:p w:rsidR="00D844BE" w:rsidRPr="005B0796" w:rsidRDefault="00D844BE" w:rsidP="00D844BE">
            <w:pPr>
              <w:pStyle w:val="TableText"/>
              <w:jc w:val="right"/>
            </w:pPr>
            <w:r w:rsidRPr="005B0796">
              <w:rPr>
                <w:rFonts w:eastAsia="Times New Roman"/>
              </w:rPr>
              <w:t>337</w:t>
            </w:r>
          </w:p>
        </w:tc>
        <w:tc>
          <w:tcPr>
            <w:tcW w:w="587" w:type="dxa"/>
            <w:hideMark/>
          </w:tcPr>
          <w:p w:rsidR="00D844BE" w:rsidRPr="005B0796" w:rsidRDefault="00D844BE" w:rsidP="00D844BE">
            <w:pPr>
              <w:pStyle w:val="TableText"/>
              <w:jc w:val="right"/>
            </w:pPr>
            <w:r w:rsidRPr="005B0796">
              <w:rPr>
                <w:rFonts w:eastAsia="Times New Roman"/>
              </w:rPr>
              <w:t>6.5</w:t>
            </w:r>
          </w:p>
        </w:tc>
        <w:tc>
          <w:tcPr>
            <w:tcW w:w="587" w:type="dxa"/>
            <w:hideMark/>
          </w:tcPr>
          <w:p w:rsidR="00D844BE" w:rsidRPr="005B0796" w:rsidRDefault="00D844BE" w:rsidP="00D844BE">
            <w:pPr>
              <w:pStyle w:val="TableText"/>
              <w:jc w:val="right"/>
            </w:pPr>
            <w:r w:rsidRPr="005B0796">
              <w:rPr>
                <w:rFonts w:eastAsia="Times New Roman"/>
              </w:rPr>
              <w:t>4.4, 9.5</w:t>
            </w:r>
          </w:p>
        </w:tc>
        <w:tc>
          <w:tcPr>
            <w:tcW w:w="587" w:type="dxa"/>
            <w:hideMark/>
          </w:tcPr>
          <w:p w:rsidR="00D844BE" w:rsidRPr="005B0796" w:rsidRDefault="00D844BE" w:rsidP="00D844BE">
            <w:pPr>
              <w:pStyle w:val="TableText"/>
              <w:jc w:val="right"/>
            </w:pPr>
            <w:r w:rsidRPr="005B0796">
              <w:rPr>
                <w:rFonts w:eastAsia="Times New Roman"/>
              </w:rPr>
              <w:t>152</w:t>
            </w:r>
          </w:p>
        </w:tc>
        <w:tc>
          <w:tcPr>
            <w:tcW w:w="587" w:type="dxa"/>
            <w:hideMark/>
          </w:tcPr>
          <w:p w:rsidR="00D844BE" w:rsidRPr="005B0796" w:rsidRDefault="00D844BE" w:rsidP="00D844BE">
            <w:pPr>
              <w:pStyle w:val="TableText"/>
              <w:jc w:val="right"/>
            </w:pPr>
            <w:r w:rsidRPr="005B0796">
              <w:rPr>
                <w:rFonts w:eastAsia="Times New Roman"/>
              </w:rPr>
              <w:t>4.2</w:t>
            </w:r>
          </w:p>
        </w:tc>
        <w:tc>
          <w:tcPr>
            <w:tcW w:w="587" w:type="dxa"/>
            <w:hideMark/>
          </w:tcPr>
          <w:p w:rsidR="00D844BE" w:rsidRPr="005B0796" w:rsidRDefault="00D844BE" w:rsidP="00D844BE">
            <w:pPr>
              <w:pStyle w:val="TableText"/>
              <w:jc w:val="right"/>
            </w:pPr>
            <w:r w:rsidRPr="005B0796">
              <w:rPr>
                <w:rFonts w:eastAsia="Times New Roman"/>
              </w:rPr>
              <w:t>2.6, 6.9</w:t>
            </w:r>
          </w:p>
        </w:tc>
        <w:tc>
          <w:tcPr>
            <w:tcW w:w="587" w:type="dxa"/>
            <w:hideMark/>
          </w:tcPr>
          <w:p w:rsidR="00D844BE" w:rsidRPr="005B0796" w:rsidRDefault="00D844BE" w:rsidP="00D844BE">
            <w:pPr>
              <w:pStyle w:val="TableText"/>
              <w:jc w:val="right"/>
              <w:rPr>
                <w:rFonts w:eastAsia="Times New Roman"/>
              </w:rPr>
            </w:pPr>
            <w:r w:rsidRPr="005B0796">
              <w:rPr>
                <w:rFonts w:eastAsia="Times New Roman"/>
              </w:rPr>
              <w:t>81</w:t>
            </w:r>
          </w:p>
        </w:tc>
        <w:tc>
          <w:tcPr>
            <w:tcW w:w="587" w:type="dxa"/>
            <w:hideMark/>
          </w:tcPr>
          <w:p w:rsidR="00D844BE" w:rsidRPr="005B0796" w:rsidRDefault="00D844BE" w:rsidP="00D844BE">
            <w:pPr>
              <w:pStyle w:val="TableText"/>
              <w:jc w:val="right"/>
              <w:rPr>
                <w:rFonts w:eastAsia="Times New Roman"/>
              </w:rPr>
            </w:pPr>
            <w:r w:rsidRPr="005B0796">
              <w:rPr>
                <w:rFonts w:eastAsia="Times New Roman"/>
              </w:rPr>
              <w:t>2.9</w:t>
            </w:r>
          </w:p>
        </w:tc>
        <w:tc>
          <w:tcPr>
            <w:tcW w:w="587" w:type="dxa"/>
            <w:hideMark/>
          </w:tcPr>
          <w:p w:rsidR="00D844BE" w:rsidRPr="005B0796" w:rsidRDefault="00D844BE" w:rsidP="00D844BE">
            <w:pPr>
              <w:pStyle w:val="TableText"/>
              <w:jc w:val="right"/>
              <w:rPr>
                <w:rFonts w:eastAsia="Times New Roman"/>
              </w:rPr>
            </w:pPr>
            <w:r w:rsidRPr="005B0796">
              <w:rPr>
                <w:rFonts w:eastAsia="Times New Roman"/>
              </w:rPr>
              <w:t>1.5, 5.7</w:t>
            </w:r>
          </w:p>
        </w:tc>
      </w:tr>
    </w:tbl>
    <w:p w:rsidR="00BF4089" w:rsidRPr="005B0796" w:rsidRDefault="00D844BE" w:rsidP="00D844BE">
      <w:pPr>
        <w:pStyle w:val="TableNotes"/>
      </w:pPr>
      <w:r w:rsidRPr="005B0796">
        <w:t xml:space="preserve">Note: 95% CI: 95% </w:t>
      </w:r>
      <w:r w:rsidR="00564689" w:rsidRPr="005B0796">
        <w:t>confidence interval</w:t>
      </w:r>
    </w:p>
    <w:p w:rsidR="00BF4089" w:rsidRPr="005B0796" w:rsidRDefault="00BF4089" w:rsidP="00BF4089">
      <w:pPr>
        <w:sectPr w:rsidR="00BF4089" w:rsidRPr="005B0796" w:rsidSect="00BE66A5">
          <w:headerReference w:type="even" r:id="rId225"/>
          <w:headerReference w:type="default" r:id="rId226"/>
          <w:footerReference w:type="even" r:id="rId227"/>
          <w:footerReference w:type="default" r:id="rId228"/>
          <w:pgSz w:w="14170" w:h="9979" w:orient="landscape" w:code="243"/>
          <w:pgMar w:top="1872" w:right="1440" w:bottom="1152" w:left="1440" w:header="576" w:footer="576" w:gutter="0"/>
          <w:cols w:space="708"/>
          <w:docGrid w:linePitch="360"/>
        </w:sectPr>
      </w:pPr>
    </w:p>
    <w:p w:rsidR="00BF4089" w:rsidRPr="005B0796" w:rsidRDefault="00D844BE" w:rsidP="00D844BE">
      <w:pPr>
        <w:pStyle w:val="FigureName"/>
      </w:pPr>
      <w:bookmarkStart w:id="1114" w:name="_Toc487014412"/>
      <w:bookmarkStart w:id="1115" w:name="_Toc51190058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22</w:t>
      </w:r>
      <w:r w:rsidR="00D30A3C">
        <w:rPr>
          <w:noProof/>
        </w:rPr>
        <w:fldChar w:fldCharType="end"/>
      </w:r>
      <w:r w:rsidR="00C01061">
        <w:tab/>
        <w:t>Estimated proportions of</w:t>
      </w:r>
      <w:r w:rsidRPr="005B0796">
        <w:t xml:space="preserve"> Transitioned ADF </w:t>
      </w:r>
      <w:r w:rsidR="00C01061">
        <w:t xml:space="preserve">reporting </w:t>
      </w:r>
      <w:r w:rsidRPr="005B0796">
        <w:t>12-month drug use, by years since transition</w:t>
      </w:r>
      <w:bookmarkEnd w:id="1114"/>
      <w:bookmarkEnd w:id="1115"/>
    </w:p>
    <w:tbl>
      <w:tblPr>
        <w:tblW w:w="5000" w:type="pct"/>
        <w:tblLayout w:type="fixed"/>
        <w:tblCellMar>
          <w:left w:w="115" w:type="dxa"/>
          <w:right w:w="115" w:type="dxa"/>
        </w:tblCellMar>
        <w:tblLook w:val="04A0" w:firstRow="1" w:lastRow="0" w:firstColumn="1" w:lastColumn="0" w:noHBand="0" w:noVBand="1"/>
      </w:tblPr>
      <w:tblGrid>
        <w:gridCol w:w="7329"/>
      </w:tblGrid>
      <w:tr w:rsidR="00BF4089" w:rsidRPr="005B0796" w:rsidTr="00D844BE">
        <w:trPr>
          <w:cantSplit/>
        </w:trPr>
        <w:tc>
          <w:tcPr>
            <w:tcW w:w="7315" w:type="dxa"/>
          </w:tcPr>
          <w:p w:rsidR="00BF4089" w:rsidRPr="005B0796" w:rsidRDefault="00BF4089" w:rsidP="0064122F">
            <w:r w:rsidRPr="005B0796">
              <w:rPr>
                <w:noProof/>
                <w:lang w:eastAsia="en-AU"/>
              </w:rPr>
              <w:drawing>
                <wp:inline distT="0" distB="0" distL="0" distR="0" wp14:anchorId="5F9BD97E" wp14:editId="78F3A883">
                  <wp:extent cx="4572000" cy="2743200"/>
                  <wp:effectExtent l="0" t="0" r="0" b="0"/>
                  <wp:docPr id="67" name="Chart 67" descr="Figure 5.22 Estimated proportions in Transitioned ADF for 12-month drug use,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bl>
    <w:p w:rsidR="00BF4089" w:rsidRPr="005B0796" w:rsidRDefault="00BF4089" w:rsidP="00D844BE">
      <w:pPr>
        <w:pStyle w:val="Heading2"/>
      </w:pPr>
      <w:bookmarkStart w:id="1116" w:name="_Toc482021389"/>
      <w:bookmarkStart w:id="1117" w:name="_Toc482024480"/>
      <w:bookmarkStart w:id="1118" w:name="_Toc487011235"/>
      <w:bookmarkStart w:id="1119" w:name="_Toc494449755"/>
      <w:bookmarkStart w:id="1120" w:name="_Toc511900337"/>
      <w:r w:rsidRPr="005B0796">
        <w:t>Generalised anxiety</w:t>
      </w:r>
      <w:bookmarkEnd w:id="1116"/>
      <w:bookmarkEnd w:id="1117"/>
      <w:r w:rsidRPr="005B0796">
        <w:t xml:space="preserve"> (GAD-7)</w:t>
      </w:r>
      <w:bookmarkEnd w:id="1118"/>
      <w:bookmarkEnd w:id="1119"/>
      <w:bookmarkEnd w:id="1120"/>
    </w:p>
    <w:p w:rsidR="00D3192D" w:rsidRPr="005B0796" w:rsidRDefault="00D3192D" w:rsidP="00D3192D">
      <w:pPr>
        <w:pStyle w:val="ShadedBullet"/>
      </w:pPr>
      <w:r w:rsidRPr="005B0796">
        <w:t>An estimated 22.3% of the Transitioned ADF were in the moderate to severe category for general anxiety disorder (GAD) symptoms compared to an estimated 9.6% of the 2015 Regular ADF.</w:t>
      </w:r>
    </w:p>
    <w:p w:rsidR="00D3192D" w:rsidRPr="005B0796" w:rsidRDefault="00D3192D" w:rsidP="00D3192D">
      <w:pPr>
        <w:pStyle w:val="ShadedBullet"/>
      </w:pPr>
      <w:r w:rsidRPr="005B0796">
        <w:t>The Transitioned ADF reported a significantly higher mean generalised anxiety total score than the 2015 Regular ADF.</w:t>
      </w:r>
    </w:p>
    <w:p w:rsidR="00D3192D" w:rsidRPr="005B0796" w:rsidRDefault="00D3192D" w:rsidP="00D3192D">
      <w:pPr>
        <w:pStyle w:val="ShadedBullet"/>
      </w:pPr>
      <w:r w:rsidRPr="005B0796">
        <w:t>In the Transitioned ADF:</w:t>
      </w:r>
    </w:p>
    <w:p w:rsidR="00D3192D" w:rsidRPr="005B0796" w:rsidRDefault="00D3192D" w:rsidP="00D3192D">
      <w:pPr>
        <w:pStyle w:val="ShadedDash"/>
      </w:pPr>
      <w:r w:rsidRPr="005B0796">
        <w:tab/>
        <w:t>–</w:t>
      </w:r>
      <w:r w:rsidRPr="005B0796">
        <w:tab/>
        <w:t>Ex-Serving ADF members were significantly more likely to experience symptoms of generalised anxiety than Active or Inactive Reservists</w:t>
      </w:r>
      <w:r w:rsidR="00C01061">
        <w:t>.</w:t>
      </w:r>
    </w:p>
    <w:p w:rsidR="00D3192D" w:rsidRPr="005B0796" w:rsidRDefault="00D3192D" w:rsidP="00D3192D">
      <w:pPr>
        <w:pStyle w:val="ShadedDash"/>
      </w:pPr>
      <w:r w:rsidRPr="005B0796">
        <w:tab/>
        <w:t>–</w:t>
      </w:r>
      <w:r w:rsidRPr="005B0796">
        <w:tab/>
      </w:r>
      <w:r w:rsidR="00C01061" w:rsidRPr="005B0796">
        <w:t xml:space="preserve">There </w:t>
      </w:r>
      <w:r w:rsidRPr="005B0796">
        <w:t>was no significant difference in the proportion of Transitioned ADF who were Active and Inactive Reservists reporting generalised anxiety symptoms.</w:t>
      </w:r>
    </w:p>
    <w:p w:rsidR="00D3192D" w:rsidRPr="005B0796" w:rsidRDefault="00D3192D" w:rsidP="00D3192D">
      <w:pPr>
        <w:pStyle w:val="ShadedBoxText"/>
      </w:pPr>
      <w:r w:rsidRPr="005B0796">
        <w:rPr>
          <w:b/>
        </w:rPr>
        <w:t>Glossary:</w:t>
      </w:r>
      <w:r w:rsidRPr="005B0796">
        <w:t xml:space="preserve"> refer to the Glossary of terms for definitions of key terms in this section.</w:t>
      </w:r>
    </w:p>
    <w:p w:rsidR="00BF4089" w:rsidRPr="005B0796" w:rsidRDefault="00BF4089" w:rsidP="00D3192D">
      <w:r w:rsidRPr="005B0796">
        <w:t xml:space="preserve">This section provides a detailed summary of the pattern of self-reported GAD symptoms reported by ADF members who transitioned from the Regular ADF between 2010 and 2014 (Transitioned ADF) compared to 2015 Regular ADF members. </w:t>
      </w:r>
    </w:p>
    <w:p w:rsidR="00BF4089" w:rsidRPr="005B0796" w:rsidRDefault="00BF4089" w:rsidP="00D3192D">
      <w:r w:rsidRPr="005B0796">
        <w:t>The distribution of GAD symptoms in the Transitioned ADF compared to the 2015 Regular ADF will be reported first. The Generalised Anxiety Disorder 7-item Scale (GAD</w:t>
      </w:r>
      <w:r w:rsidR="00D3192D" w:rsidRPr="005B0796">
        <w:noBreakHyphen/>
      </w:r>
      <w:r w:rsidRPr="005B0796">
        <w:t xml:space="preserve">7) was not included in the 2010 ADF Mental Health Prevalence and Wellbeing Study; therefore, this section will not comment on changes in generalised anxiety in the Regular ADF since 2010. The section then reports on the distribution of GAD symptoms in the Transitioned ADF, transition status (Ex-Serving, Active Reservist, Inactive Reservist) and years since transition. </w:t>
      </w:r>
    </w:p>
    <w:p w:rsidR="00BF4089" w:rsidRPr="005B0796" w:rsidRDefault="00BF4089" w:rsidP="00D3192D">
      <w:r w:rsidRPr="005B0796">
        <w:t xml:space="preserve">The GAD-7 </w:t>
      </w:r>
      <w:r w:rsidRPr="005B0796">
        <w:fldChar w:fldCharType="begin"/>
      </w:r>
      <w:r w:rsidRPr="005B0796">
        <w:instrText xml:space="preserve"> ADDIN EN.CITE &lt;EndNote&gt;&lt;Cite&gt;&lt;Author&gt;Spitzer&lt;/Author&gt;&lt;Year&gt;2006&lt;/Year&gt;&lt;RecNum&gt;450&lt;/RecNum&gt;&lt;DisplayText&gt;(Spitzer, 2006)&lt;/DisplayText&gt;&lt;record&gt;&lt;rec-number&gt;450&lt;/rec-number&gt;&lt;foreign-keys&gt;&lt;key app="EN" db-id="arwdrezp9sdawxevtfyxtfw10exvr5exxfed" timestamp="1478238710"&gt;450&lt;/key&gt;&lt;/foreign-keys&gt;&lt;ref-type name="Journal Article"&gt;17&lt;/ref-type&gt;&lt;contributors&gt;&lt;authors&gt;&lt;author&gt;Spitzer, Rl, Kroenke K. Williams J. W. Löwe B.&lt;/author&gt;&lt;/authors&gt;&lt;/contributors&gt;&lt;titles&gt;&lt;title&gt;A brief measure for assessing generalized anxiety disorder: The GAD-7&lt;/title&gt;&lt;secondary-title&gt;Archives of Internal Medicine&lt;/secondary-title&gt;&lt;/titles&gt;&lt;periodical&gt;&lt;full-title&gt;Archives of Internal Medicine&lt;/full-title&gt;&lt;abbr-1&gt;Archives of internal medicine&lt;/abbr-1&gt;&lt;/periodical&gt;&lt;pages&gt;1092-1097&lt;/pages&gt;&lt;volume&gt;166&lt;/volume&gt;&lt;number&gt;10&lt;/number&gt;&lt;dates&gt;&lt;year&gt;2006&lt;/year&gt;&lt;/dates&gt;&lt;isbn&gt;0003-9926&lt;/isbn&gt;&lt;urls&gt;&lt;related-urls&gt;&lt;url&gt;http://dx.doi.org/10.1001/archinte.166.10.1092&lt;/url&gt;&lt;url&gt;http://archinte.jamanetwork.com/data/Journals/INTEMED/5536/ioi60000.pdf&lt;/url&gt;&lt;/related-urls&gt;&lt;/urls&gt;&lt;electronic-resource-num&gt;10.1001/archinte.166.10.1092&lt;/electronic-resource-num&gt;&lt;/record&gt;&lt;/Cite&gt;&lt;/EndNote&gt;</w:instrText>
      </w:r>
      <w:r w:rsidRPr="005B0796">
        <w:fldChar w:fldCharType="separate"/>
      </w:r>
      <w:r w:rsidRPr="005B0796">
        <w:t>(Spitzer, 2006)</w:t>
      </w:r>
      <w:r w:rsidRPr="005B0796">
        <w:fldChar w:fldCharType="end"/>
      </w:r>
      <w:r w:rsidRPr="005B0796">
        <w:t xml:space="preserve"> is a brief 7-item screening measure based on the Diagnostic and Statistical Manual of Mental Disorders – Fourth Edition (DSM-IV) criteria for GAD. Originally validated for use in primary care, the GAD-7 performs well in detecting probable cases of GAD, with a sensitivity of 89% and a specificity of 82%. It is also moderately good at screening three other common anxiety disorders – panic disorder (sensitivity 74%, specificity 81%), social anxiety disorder (sensitivity 72%, specificity 80%) and PTSD (sensitivity 66%, specificity 81%) – in primary care settings [3]. Furthermore, increasing scores of generalised anxiety symptoms are associated with multiple types of functional impairment and self</w:t>
      </w:r>
      <w:r w:rsidRPr="005B0796">
        <w:noBreakHyphen/>
        <w:t>reported disability days; therefore, high scores are strongly indicative of anxiety severity.</w:t>
      </w:r>
    </w:p>
    <w:p w:rsidR="00BF4089" w:rsidRPr="005B0796" w:rsidRDefault="00BF4089" w:rsidP="00D3192D">
      <w:r w:rsidRPr="005B0796">
        <w:t xml:space="preserve">Respondents were instructed to rate the amount of time they experienced each of the seven symptoms the last 2 weeks, and questions were scored 1–3. Respondents used one of the following response options: </w:t>
      </w:r>
      <w:r w:rsidR="00462A0C" w:rsidRPr="005B0796">
        <w:t>‘</w:t>
      </w:r>
      <w:r w:rsidRPr="005B0796">
        <w:t>not at all (0)</w:t>
      </w:r>
      <w:r w:rsidR="00462A0C" w:rsidRPr="005B0796">
        <w:t>’</w:t>
      </w:r>
      <w:r w:rsidRPr="005B0796">
        <w:t xml:space="preserve"> </w:t>
      </w:r>
      <w:r w:rsidR="00462A0C" w:rsidRPr="005B0796">
        <w:t>‘</w:t>
      </w:r>
      <w:r w:rsidRPr="005B0796">
        <w:t>several days</w:t>
      </w:r>
      <w:r w:rsidR="00462A0C" w:rsidRPr="005B0796">
        <w:t>’</w:t>
      </w:r>
      <w:r w:rsidRPr="005B0796">
        <w:t xml:space="preserve"> (1), </w:t>
      </w:r>
      <w:r w:rsidR="00462A0C" w:rsidRPr="005B0796">
        <w:t>‘</w:t>
      </w:r>
      <w:r w:rsidRPr="005B0796">
        <w:t>more than half the days</w:t>
      </w:r>
      <w:r w:rsidR="00462A0C" w:rsidRPr="005B0796">
        <w:t>’</w:t>
      </w:r>
      <w:r w:rsidRPr="005B0796">
        <w:t xml:space="preserve"> (2) and </w:t>
      </w:r>
      <w:r w:rsidR="00462A0C" w:rsidRPr="005B0796">
        <w:t>‘</w:t>
      </w:r>
      <w:r w:rsidRPr="005B0796">
        <w:t>nearly every day</w:t>
      </w:r>
      <w:r w:rsidR="00462A0C" w:rsidRPr="005B0796">
        <w:t>’</w:t>
      </w:r>
      <w:r w:rsidRPr="005B0796">
        <w:t xml:space="preserve"> (3). Scores for the seven questions were then added up to give a total score of 0–21. </w:t>
      </w:r>
    </w:p>
    <w:p w:rsidR="00BF4089" w:rsidRPr="005B0796" w:rsidRDefault="00BF4089" w:rsidP="00D3192D">
      <w:r w:rsidRPr="005B0796">
        <w:t>The categories of minimal (0–4), mild (5–9), moderate (10–14) and severe (15–21) used in this report are derived from 2740 primary care patients in the United States. When used as a screening tool, further evaluation is recommended if the score is 10 or greater.</w:t>
      </w:r>
    </w:p>
    <w:p w:rsidR="00BF4089" w:rsidRPr="005B0796" w:rsidRDefault="00BF4089" w:rsidP="00D3192D">
      <w:pPr>
        <w:pStyle w:val="Heading3"/>
      </w:pPr>
      <w:bookmarkStart w:id="1121" w:name="_Toc482021390"/>
      <w:bookmarkStart w:id="1122" w:name="_Toc482024481"/>
      <w:bookmarkStart w:id="1123" w:name="_Toc487011236"/>
      <w:bookmarkStart w:id="1124" w:name="_Toc494449756"/>
      <w:bookmarkStart w:id="1125" w:name="_Toc511900338"/>
      <w:r w:rsidRPr="005B0796">
        <w:t>Generalised anxiety symptoms in Transitioned ADF and 2015 Regular ADF</w:t>
      </w:r>
      <w:bookmarkEnd w:id="1121"/>
      <w:bookmarkEnd w:id="1122"/>
      <w:bookmarkEnd w:id="1123"/>
      <w:bookmarkEnd w:id="1124"/>
      <w:bookmarkEnd w:id="1125"/>
      <w:r w:rsidRPr="005B0796">
        <w:t xml:space="preserve"> </w:t>
      </w:r>
    </w:p>
    <w:p w:rsidR="00BF4089" w:rsidRPr="005B0796" w:rsidRDefault="009E72D3" w:rsidP="00D3192D">
      <w:r w:rsidRPr="005B0796">
        <w:t>Table 5.23</w:t>
      </w:r>
      <w:r w:rsidR="00BF4089" w:rsidRPr="005B0796">
        <w:t xml:space="preserve"> compares generalised anxiety symptoms as measured by the GAD-7 scoring bands in the Transitioned ADF and the 2015 Regular ADF.</w:t>
      </w:r>
    </w:p>
    <w:p w:rsidR="00BF4089" w:rsidRPr="005B0796" w:rsidRDefault="00BF4089" w:rsidP="00D3192D">
      <w:r w:rsidRPr="005B0796">
        <w:t>The Transitioned ADF had significantly higher levels of self-reported symptoms of generalised anxiety than the 2015 Regular ADF, (p &lt; </w:t>
      </w:r>
      <w:r w:rsidR="00C01061">
        <w:t>0</w:t>
      </w:r>
      <w:r w:rsidRPr="005B0796">
        <w:t>.001), and members were significantly more likely to score above the recommended screening cut-off of 10 (OR 2.4, 95% CI 1.8, 3.4).</w:t>
      </w:r>
    </w:p>
    <w:p w:rsidR="00D3192D" w:rsidRPr="005B0796" w:rsidRDefault="00D3192D" w:rsidP="00D3192D">
      <w:pPr>
        <w:pStyle w:val="TableName"/>
      </w:pPr>
      <w:bookmarkStart w:id="1126" w:name="_Ref484523485"/>
      <w:bookmarkStart w:id="1127" w:name="_Toc487014324"/>
      <w:bookmarkStart w:id="1128" w:name="_Toc492995627"/>
      <w:bookmarkStart w:id="1129" w:name="_Toc51190047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23</w:t>
      </w:r>
      <w:r w:rsidR="00D30A3C">
        <w:rPr>
          <w:noProof/>
        </w:rPr>
        <w:fldChar w:fldCharType="end"/>
      </w:r>
      <w:bookmarkEnd w:id="1126"/>
      <w:r w:rsidRPr="005B0796">
        <w:tab/>
        <w:t xml:space="preserve">Estimated proportions </w:t>
      </w:r>
      <w:r w:rsidR="00C01061">
        <w:t>of</w:t>
      </w:r>
      <w:r w:rsidRPr="005B0796">
        <w:t xml:space="preserve"> Transitioned ADF and entire 2015 Regular ADF for GAD-7 scoring bands for generalised anxiety disorder symptoms</w:t>
      </w:r>
      <w:bookmarkEnd w:id="1127"/>
      <w:bookmarkEnd w:id="1128"/>
      <w:bookmarkEnd w:id="1129"/>
    </w:p>
    <w:tbl>
      <w:tblPr>
        <w:tblStyle w:val="TWRPTable"/>
        <w:tblW w:w="5000" w:type="pct"/>
        <w:tblLayout w:type="fixed"/>
        <w:tblLook w:val="04A0" w:firstRow="1" w:lastRow="0" w:firstColumn="1" w:lastColumn="0" w:noHBand="0" w:noVBand="1"/>
        <w:tblDescription w:val="Table 5.23 Estimated proportions in Transitioned ADF and entire 2015 Regular ADF for GAD-7 scoring bands for generalised anxiety disorder symptoms"/>
      </w:tblPr>
      <w:tblGrid>
        <w:gridCol w:w="1822"/>
        <w:gridCol w:w="915"/>
        <w:gridCol w:w="916"/>
        <w:gridCol w:w="915"/>
        <w:gridCol w:w="916"/>
        <w:gridCol w:w="915"/>
        <w:gridCol w:w="916"/>
      </w:tblGrid>
      <w:tr w:rsidR="00EF7180" w:rsidRPr="005B0796" w:rsidTr="00EF7180">
        <w:trPr>
          <w:cnfStyle w:val="100000000000" w:firstRow="1" w:lastRow="0" w:firstColumn="0" w:lastColumn="0" w:oddVBand="0" w:evenVBand="0" w:oddHBand="0" w:evenHBand="0" w:firstRowFirstColumn="0" w:firstRowLastColumn="0" w:lastRowFirstColumn="0" w:lastRowLastColumn="0"/>
          <w:tblHeader/>
        </w:trPr>
        <w:tc>
          <w:tcPr>
            <w:tcW w:w="1822" w:type="dxa"/>
            <w:vMerge w:val="restart"/>
          </w:tcPr>
          <w:p w:rsidR="00EF7180" w:rsidRPr="005B0796" w:rsidRDefault="00EF7180" w:rsidP="00EF7180">
            <w:pPr>
              <w:pStyle w:val="TableText"/>
            </w:pPr>
            <w:r w:rsidRPr="005B0796">
              <w:rPr>
                <w:lang w:eastAsia="en-AU"/>
              </w:rPr>
              <w:t>GAD-7 scoring bands</w:t>
            </w:r>
          </w:p>
        </w:tc>
        <w:tc>
          <w:tcPr>
            <w:tcW w:w="2746" w:type="dxa"/>
            <w:gridSpan w:val="3"/>
          </w:tcPr>
          <w:p w:rsidR="00EF7180" w:rsidRPr="005B0796" w:rsidRDefault="00EF7180" w:rsidP="004E699B">
            <w:pPr>
              <w:pStyle w:val="TableText"/>
              <w:jc w:val="center"/>
              <w:rPr>
                <w:lang w:eastAsia="en-AU"/>
              </w:rPr>
            </w:pPr>
            <w:r w:rsidRPr="005B0796">
              <w:rPr>
                <w:lang w:eastAsia="en-AU"/>
              </w:rPr>
              <w:t>Transitioned ADF 2015 (n = 24,932)</w:t>
            </w:r>
          </w:p>
        </w:tc>
        <w:tc>
          <w:tcPr>
            <w:tcW w:w="2747" w:type="dxa"/>
            <w:gridSpan w:val="3"/>
          </w:tcPr>
          <w:p w:rsidR="00EF7180" w:rsidRPr="005B0796" w:rsidRDefault="00EF7180" w:rsidP="004E699B">
            <w:pPr>
              <w:pStyle w:val="TableText"/>
              <w:jc w:val="center"/>
              <w:rPr>
                <w:lang w:eastAsia="en-AU"/>
              </w:rPr>
            </w:pPr>
            <w:r w:rsidRPr="005B0796">
              <w:rPr>
                <w:lang w:eastAsia="en-AU"/>
              </w:rPr>
              <w:t>2015 Regular ADF (n = 52,500)</w:t>
            </w:r>
          </w:p>
        </w:tc>
      </w:tr>
      <w:tr w:rsidR="00EF7180" w:rsidRPr="005B0796" w:rsidTr="00EF7180">
        <w:trPr>
          <w:cnfStyle w:val="100000000000" w:firstRow="1" w:lastRow="0" w:firstColumn="0" w:lastColumn="0" w:oddVBand="0" w:evenVBand="0" w:oddHBand="0" w:evenHBand="0" w:firstRowFirstColumn="0" w:firstRowLastColumn="0" w:lastRowFirstColumn="0" w:lastRowLastColumn="0"/>
          <w:tblHeader/>
        </w:trPr>
        <w:tc>
          <w:tcPr>
            <w:tcW w:w="1822" w:type="dxa"/>
            <w:vMerge/>
          </w:tcPr>
          <w:p w:rsidR="00EF7180" w:rsidRPr="005B0796" w:rsidRDefault="00EF7180" w:rsidP="00EF7180">
            <w:pPr>
              <w:pStyle w:val="TableText"/>
            </w:pPr>
          </w:p>
        </w:tc>
        <w:tc>
          <w:tcPr>
            <w:tcW w:w="915" w:type="dxa"/>
          </w:tcPr>
          <w:p w:rsidR="00EF7180" w:rsidRPr="005B0796" w:rsidRDefault="00EF7180" w:rsidP="00EF7180">
            <w:pPr>
              <w:pStyle w:val="TableText"/>
              <w:jc w:val="right"/>
              <w:rPr>
                <w:rFonts w:eastAsia="Times New Roman"/>
                <w:lang w:eastAsia="en-AU"/>
              </w:rPr>
            </w:pPr>
            <w:r w:rsidRPr="005B0796">
              <w:rPr>
                <w:lang w:eastAsia="en-AU"/>
              </w:rPr>
              <w:t>Weighted n</w:t>
            </w:r>
          </w:p>
        </w:tc>
        <w:tc>
          <w:tcPr>
            <w:tcW w:w="916" w:type="dxa"/>
          </w:tcPr>
          <w:p w:rsidR="00EF7180" w:rsidRPr="005B0796" w:rsidRDefault="00EF7180" w:rsidP="00EF7180">
            <w:pPr>
              <w:pStyle w:val="TableText"/>
              <w:jc w:val="right"/>
              <w:rPr>
                <w:lang w:eastAsia="en-AU"/>
              </w:rPr>
            </w:pPr>
            <w:r w:rsidRPr="005B0796">
              <w:rPr>
                <w:lang w:eastAsia="en-AU"/>
              </w:rPr>
              <w:t>%</w:t>
            </w:r>
          </w:p>
        </w:tc>
        <w:tc>
          <w:tcPr>
            <w:tcW w:w="915" w:type="dxa"/>
          </w:tcPr>
          <w:p w:rsidR="00EF7180" w:rsidRPr="005B0796" w:rsidRDefault="00EF7180" w:rsidP="00EF7180">
            <w:pPr>
              <w:pStyle w:val="TableText"/>
              <w:jc w:val="right"/>
              <w:rPr>
                <w:lang w:eastAsia="en-AU"/>
              </w:rPr>
            </w:pPr>
            <w:r w:rsidRPr="005B0796">
              <w:rPr>
                <w:lang w:eastAsia="en-AU"/>
              </w:rPr>
              <w:t>95% CI</w:t>
            </w:r>
          </w:p>
        </w:tc>
        <w:tc>
          <w:tcPr>
            <w:tcW w:w="916" w:type="dxa"/>
          </w:tcPr>
          <w:p w:rsidR="00EF7180" w:rsidRPr="005B0796" w:rsidRDefault="00EF7180" w:rsidP="00EF7180">
            <w:pPr>
              <w:pStyle w:val="TableText"/>
              <w:jc w:val="right"/>
              <w:rPr>
                <w:lang w:eastAsia="en-AU"/>
              </w:rPr>
            </w:pPr>
            <w:r w:rsidRPr="005B0796">
              <w:rPr>
                <w:lang w:eastAsia="en-AU"/>
              </w:rPr>
              <w:t>Weighted n</w:t>
            </w:r>
          </w:p>
        </w:tc>
        <w:tc>
          <w:tcPr>
            <w:tcW w:w="915" w:type="dxa"/>
          </w:tcPr>
          <w:p w:rsidR="00EF7180" w:rsidRPr="005B0796" w:rsidRDefault="00EF7180" w:rsidP="00EF7180">
            <w:pPr>
              <w:pStyle w:val="TableText"/>
              <w:jc w:val="right"/>
              <w:rPr>
                <w:lang w:eastAsia="en-AU"/>
              </w:rPr>
            </w:pPr>
            <w:r w:rsidRPr="005B0796">
              <w:rPr>
                <w:lang w:eastAsia="en-AU"/>
              </w:rPr>
              <w:t>%</w:t>
            </w:r>
          </w:p>
        </w:tc>
        <w:tc>
          <w:tcPr>
            <w:tcW w:w="916" w:type="dxa"/>
          </w:tcPr>
          <w:p w:rsidR="00EF7180" w:rsidRPr="005B0796" w:rsidRDefault="00EF7180" w:rsidP="00EF7180">
            <w:pPr>
              <w:pStyle w:val="TableText"/>
              <w:jc w:val="right"/>
              <w:rPr>
                <w:lang w:eastAsia="en-AU"/>
              </w:rPr>
            </w:pPr>
            <w:r w:rsidRPr="005B0796">
              <w:rPr>
                <w:lang w:eastAsia="en-AU"/>
              </w:rPr>
              <w:t>95% CI</w:t>
            </w:r>
          </w:p>
        </w:tc>
      </w:tr>
      <w:tr w:rsidR="00EF7180" w:rsidRPr="005B0796" w:rsidTr="00EF7180">
        <w:trPr>
          <w:cnfStyle w:val="000000100000" w:firstRow="0" w:lastRow="0" w:firstColumn="0" w:lastColumn="0" w:oddVBand="0" w:evenVBand="0" w:oddHBand="1" w:evenHBand="0" w:firstRowFirstColumn="0" w:firstRowLastColumn="0" w:lastRowFirstColumn="0" w:lastRowLastColumn="0"/>
        </w:trPr>
        <w:tc>
          <w:tcPr>
            <w:tcW w:w="1822" w:type="dxa"/>
          </w:tcPr>
          <w:p w:rsidR="00EF7180" w:rsidRPr="005B0796" w:rsidRDefault="00EF7180" w:rsidP="00EF7180">
            <w:pPr>
              <w:pStyle w:val="TableText"/>
              <w:rPr>
                <w:rFonts w:eastAsia="Times New Roman"/>
                <w:lang w:eastAsia="en-AU"/>
              </w:rPr>
            </w:pPr>
            <w:r w:rsidRPr="005B0796">
              <w:rPr>
                <w:lang w:eastAsia="en-AU"/>
              </w:rPr>
              <w:t>Minimal (0–4)</w:t>
            </w:r>
          </w:p>
        </w:tc>
        <w:tc>
          <w:tcPr>
            <w:tcW w:w="915" w:type="dxa"/>
          </w:tcPr>
          <w:p w:rsidR="00EF7180" w:rsidRPr="005B0796" w:rsidRDefault="00EF7180" w:rsidP="00EF7180">
            <w:pPr>
              <w:pStyle w:val="TableText"/>
              <w:jc w:val="right"/>
              <w:rPr>
                <w:lang w:eastAsia="en-AU"/>
              </w:rPr>
            </w:pPr>
            <w:r w:rsidRPr="005B0796">
              <w:rPr>
                <w:lang w:eastAsia="en-AU"/>
              </w:rPr>
              <w:t>13,545</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54.3</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52.5, 56.1</w:t>
            </w:r>
          </w:p>
        </w:tc>
        <w:tc>
          <w:tcPr>
            <w:tcW w:w="916" w:type="dxa"/>
          </w:tcPr>
          <w:p w:rsidR="00EF7180" w:rsidRPr="005B0796" w:rsidRDefault="00EF7180" w:rsidP="00EF7180">
            <w:pPr>
              <w:pStyle w:val="TableText"/>
              <w:jc w:val="right"/>
              <w:rPr>
                <w:lang w:eastAsia="en-AU"/>
              </w:rPr>
            </w:pPr>
            <w:r w:rsidRPr="005B0796">
              <w:rPr>
                <w:lang w:eastAsia="en-AU"/>
              </w:rPr>
              <w:t>36,907</w:t>
            </w:r>
          </w:p>
        </w:tc>
        <w:tc>
          <w:tcPr>
            <w:tcW w:w="915" w:type="dxa"/>
          </w:tcPr>
          <w:p w:rsidR="00EF7180" w:rsidRPr="005B0796" w:rsidRDefault="00EF7180" w:rsidP="00EF7180">
            <w:pPr>
              <w:pStyle w:val="TableText"/>
              <w:jc w:val="right"/>
              <w:rPr>
                <w:lang w:eastAsia="en-AU"/>
              </w:rPr>
            </w:pPr>
            <w:r w:rsidRPr="005B0796">
              <w:rPr>
                <w:lang w:eastAsia="en-AU"/>
              </w:rPr>
              <w:t>70.3</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66.8, 73.6</w:t>
            </w:r>
          </w:p>
        </w:tc>
      </w:tr>
      <w:tr w:rsidR="00EF7180" w:rsidRPr="005B0796" w:rsidTr="00EF7180">
        <w:tc>
          <w:tcPr>
            <w:tcW w:w="1822" w:type="dxa"/>
          </w:tcPr>
          <w:p w:rsidR="00EF7180" w:rsidRPr="005B0796" w:rsidRDefault="00EF7180" w:rsidP="00EF7180">
            <w:pPr>
              <w:pStyle w:val="TableText"/>
              <w:rPr>
                <w:rFonts w:eastAsia="Times New Roman"/>
                <w:lang w:eastAsia="en-AU"/>
              </w:rPr>
            </w:pPr>
            <w:r w:rsidRPr="005B0796">
              <w:rPr>
                <w:lang w:eastAsia="en-AU"/>
              </w:rPr>
              <w:t>Mild (5–9)</w:t>
            </w:r>
          </w:p>
        </w:tc>
        <w:tc>
          <w:tcPr>
            <w:tcW w:w="915" w:type="dxa"/>
          </w:tcPr>
          <w:p w:rsidR="00EF7180" w:rsidRPr="005B0796" w:rsidRDefault="00EF7180" w:rsidP="00EF7180">
            <w:pPr>
              <w:pStyle w:val="TableText"/>
              <w:jc w:val="right"/>
              <w:rPr>
                <w:lang w:eastAsia="en-AU"/>
              </w:rPr>
            </w:pPr>
            <w:r w:rsidRPr="005B0796">
              <w:rPr>
                <w:lang w:eastAsia="en-AU"/>
              </w:rPr>
              <w:t>5523</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22.2</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20.7, 23.7</w:t>
            </w:r>
          </w:p>
        </w:tc>
        <w:tc>
          <w:tcPr>
            <w:tcW w:w="916" w:type="dxa"/>
          </w:tcPr>
          <w:p w:rsidR="00EF7180" w:rsidRPr="005B0796" w:rsidRDefault="00EF7180" w:rsidP="00EF7180">
            <w:pPr>
              <w:pStyle w:val="TableText"/>
              <w:jc w:val="right"/>
              <w:rPr>
                <w:lang w:eastAsia="en-AU"/>
              </w:rPr>
            </w:pPr>
            <w:r w:rsidRPr="005B0796">
              <w:rPr>
                <w:lang w:eastAsia="en-AU"/>
              </w:rPr>
              <w:t>10,049</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19.1</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16.4, 22.2</w:t>
            </w:r>
          </w:p>
        </w:tc>
      </w:tr>
      <w:tr w:rsidR="00EF7180" w:rsidRPr="005B0796" w:rsidTr="00EF7180">
        <w:trPr>
          <w:cnfStyle w:val="000000100000" w:firstRow="0" w:lastRow="0" w:firstColumn="0" w:lastColumn="0" w:oddVBand="0" w:evenVBand="0" w:oddHBand="1" w:evenHBand="0" w:firstRowFirstColumn="0" w:firstRowLastColumn="0" w:lastRowFirstColumn="0" w:lastRowLastColumn="0"/>
        </w:trPr>
        <w:tc>
          <w:tcPr>
            <w:tcW w:w="1822" w:type="dxa"/>
          </w:tcPr>
          <w:p w:rsidR="00EF7180" w:rsidRPr="005B0796" w:rsidRDefault="00EF7180" w:rsidP="00EF7180">
            <w:pPr>
              <w:pStyle w:val="TableText"/>
              <w:rPr>
                <w:rFonts w:eastAsia="Times New Roman"/>
                <w:lang w:eastAsia="en-AU"/>
              </w:rPr>
            </w:pPr>
            <w:r w:rsidRPr="005B0796">
              <w:rPr>
                <w:lang w:eastAsia="en-AU"/>
              </w:rPr>
              <w:t>Moderate (10–14)</w:t>
            </w:r>
          </w:p>
        </w:tc>
        <w:tc>
          <w:tcPr>
            <w:tcW w:w="915" w:type="dxa"/>
          </w:tcPr>
          <w:p w:rsidR="00EF7180" w:rsidRPr="005B0796" w:rsidRDefault="00EF7180" w:rsidP="00EF7180">
            <w:pPr>
              <w:pStyle w:val="TableText"/>
              <w:jc w:val="right"/>
              <w:rPr>
                <w:lang w:eastAsia="en-AU"/>
              </w:rPr>
            </w:pPr>
            <w:r w:rsidRPr="005B0796">
              <w:rPr>
                <w:lang w:eastAsia="en-AU"/>
              </w:rPr>
              <w:t>2734</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11.0</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9.9, 12.2</w:t>
            </w:r>
          </w:p>
        </w:tc>
        <w:tc>
          <w:tcPr>
            <w:tcW w:w="916" w:type="dxa"/>
          </w:tcPr>
          <w:p w:rsidR="00EF7180" w:rsidRPr="005B0796" w:rsidRDefault="00EF7180" w:rsidP="00EF7180">
            <w:pPr>
              <w:pStyle w:val="TableText"/>
              <w:jc w:val="right"/>
              <w:rPr>
                <w:lang w:eastAsia="en-AU"/>
              </w:rPr>
            </w:pPr>
            <w:r w:rsidRPr="005B0796">
              <w:rPr>
                <w:lang w:eastAsia="en-AU"/>
              </w:rPr>
              <w:t>2671</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5.1</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3.7, 6.9</w:t>
            </w:r>
          </w:p>
        </w:tc>
      </w:tr>
      <w:tr w:rsidR="00EF7180" w:rsidRPr="005B0796" w:rsidTr="00EF7180">
        <w:tc>
          <w:tcPr>
            <w:tcW w:w="1822" w:type="dxa"/>
          </w:tcPr>
          <w:p w:rsidR="00EF7180" w:rsidRPr="005B0796" w:rsidRDefault="00EF7180" w:rsidP="00EF7180">
            <w:pPr>
              <w:pStyle w:val="TableText"/>
              <w:rPr>
                <w:rFonts w:eastAsia="Times New Roman"/>
                <w:lang w:eastAsia="en-AU"/>
              </w:rPr>
            </w:pPr>
            <w:r w:rsidRPr="005B0796">
              <w:rPr>
                <w:lang w:eastAsia="en-AU"/>
              </w:rPr>
              <w:t>Severe (15–21)</w:t>
            </w:r>
          </w:p>
        </w:tc>
        <w:tc>
          <w:tcPr>
            <w:tcW w:w="915" w:type="dxa"/>
          </w:tcPr>
          <w:p w:rsidR="00EF7180" w:rsidRPr="005B0796" w:rsidRDefault="00EF7180" w:rsidP="00EF7180">
            <w:pPr>
              <w:pStyle w:val="TableText"/>
              <w:jc w:val="right"/>
              <w:rPr>
                <w:lang w:eastAsia="en-AU"/>
              </w:rPr>
            </w:pPr>
            <w:r w:rsidRPr="005B0796">
              <w:rPr>
                <w:lang w:eastAsia="en-AU"/>
              </w:rPr>
              <w:t>2850</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11.4</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10.3, 12.6</w:t>
            </w:r>
          </w:p>
        </w:tc>
        <w:tc>
          <w:tcPr>
            <w:tcW w:w="916" w:type="dxa"/>
          </w:tcPr>
          <w:p w:rsidR="00EF7180" w:rsidRPr="005B0796" w:rsidRDefault="00EF7180" w:rsidP="00EF7180">
            <w:pPr>
              <w:pStyle w:val="TableText"/>
              <w:jc w:val="right"/>
              <w:rPr>
                <w:lang w:eastAsia="en-AU"/>
              </w:rPr>
            </w:pPr>
            <w:r w:rsidRPr="005B0796">
              <w:rPr>
                <w:lang w:eastAsia="en-AU"/>
              </w:rPr>
              <w:t>2384</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4.5</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2.9, 6.9</w:t>
            </w:r>
          </w:p>
        </w:tc>
      </w:tr>
      <w:tr w:rsidR="00EF7180" w:rsidRPr="005B0796" w:rsidTr="00EF7180">
        <w:trPr>
          <w:cnfStyle w:val="000000100000" w:firstRow="0" w:lastRow="0" w:firstColumn="0" w:lastColumn="0" w:oddVBand="0" w:evenVBand="0" w:oddHBand="1" w:evenHBand="0" w:firstRowFirstColumn="0" w:firstRowLastColumn="0" w:lastRowFirstColumn="0" w:lastRowLastColumn="0"/>
        </w:trPr>
        <w:tc>
          <w:tcPr>
            <w:tcW w:w="1822" w:type="dxa"/>
          </w:tcPr>
          <w:p w:rsidR="00EF7180" w:rsidRPr="005B0796" w:rsidRDefault="00EF7180" w:rsidP="004E699B">
            <w:pPr>
              <w:pStyle w:val="TableText"/>
              <w:rPr>
                <w:rFonts w:eastAsia="Times New Roman"/>
                <w:lang w:eastAsia="en-AU"/>
              </w:rPr>
            </w:pPr>
            <w:r w:rsidRPr="005B0796">
              <w:rPr>
                <w:lang w:eastAsia="en-AU"/>
              </w:rPr>
              <w:t>GAD-7 total score</w:t>
            </w:r>
            <w:r w:rsidR="004E699B" w:rsidRPr="005B0796">
              <w:rPr>
                <w:lang w:eastAsia="en-AU"/>
              </w:rPr>
              <w:t xml:space="preserve"> (</w:t>
            </w:r>
            <w:r w:rsidRPr="005B0796">
              <w:rPr>
                <w:lang w:eastAsia="en-AU"/>
              </w:rPr>
              <w:t>M 95% CI</w:t>
            </w:r>
            <w:r w:rsidR="004E699B" w:rsidRPr="005B0796">
              <w:rPr>
                <w:lang w:eastAsia="en-AU"/>
              </w:rPr>
              <w:t>)</w:t>
            </w:r>
          </w:p>
        </w:tc>
        <w:tc>
          <w:tcPr>
            <w:tcW w:w="915" w:type="dxa"/>
          </w:tcPr>
          <w:p w:rsidR="00EF7180" w:rsidRPr="005B0796" w:rsidRDefault="00EF7180" w:rsidP="00EF7180">
            <w:pPr>
              <w:pStyle w:val="TableText"/>
              <w:jc w:val="right"/>
              <w:rPr>
                <w:lang w:eastAsia="en-AU"/>
              </w:rPr>
            </w:pPr>
          </w:p>
        </w:tc>
        <w:tc>
          <w:tcPr>
            <w:tcW w:w="916" w:type="dxa"/>
          </w:tcPr>
          <w:p w:rsidR="00EF7180" w:rsidRPr="005B0796" w:rsidRDefault="00EF7180" w:rsidP="00EF7180">
            <w:pPr>
              <w:pStyle w:val="TableText"/>
              <w:jc w:val="right"/>
              <w:rPr>
                <w:rFonts w:eastAsia="Times New Roman"/>
                <w:lang w:eastAsia="en-AU"/>
              </w:rPr>
            </w:pPr>
            <w:r w:rsidRPr="005B0796">
              <w:rPr>
                <w:lang w:eastAsia="en-AU"/>
              </w:rPr>
              <w:t>16.8</w:t>
            </w:r>
          </w:p>
        </w:tc>
        <w:tc>
          <w:tcPr>
            <w:tcW w:w="915" w:type="dxa"/>
          </w:tcPr>
          <w:p w:rsidR="00EF7180" w:rsidRPr="005B0796" w:rsidRDefault="00EF7180" w:rsidP="00EF7180">
            <w:pPr>
              <w:pStyle w:val="TableText"/>
              <w:jc w:val="right"/>
              <w:rPr>
                <w:rFonts w:eastAsia="Times New Roman"/>
                <w:lang w:eastAsia="en-AU"/>
              </w:rPr>
            </w:pPr>
            <w:r w:rsidRPr="005B0796">
              <w:rPr>
                <w:lang w:eastAsia="en-AU"/>
              </w:rPr>
              <w:t>12.6, 21.0</w:t>
            </w:r>
          </w:p>
        </w:tc>
        <w:tc>
          <w:tcPr>
            <w:tcW w:w="916" w:type="dxa"/>
          </w:tcPr>
          <w:p w:rsidR="00EF7180" w:rsidRPr="005B0796" w:rsidRDefault="00EF7180" w:rsidP="00EF7180">
            <w:pPr>
              <w:pStyle w:val="TableText"/>
              <w:jc w:val="right"/>
              <w:rPr>
                <w:lang w:eastAsia="en-AU"/>
              </w:rPr>
            </w:pPr>
          </w:p>
        </w:tc>
        <w:tc>
          <w:tcPr>
            <w:tcW w:w="915" w:type="dxa"/>
          </w:tcPr>
          <w:p w:rsidR="00EF7180" w:rsidRPr="005B0796" w:rsidRDefault="00EF7180" w:rsidP="00EF7180">
            <w:pPr>
              <w:pStyle w:val="TableText"/>
              <w:jc w:val="right"/>
              <w:rPr>
                <w:rFonts w:eastAsia="Times New Roman"/>
                <w:lang w:eastAsia="en-AU"/>
              </w:rPr>
            </w:pPr>
            <w:r w:rsidRPr="005B0796">
              <w:rPr>
                <w:lang w:eastAsia="en-AU"/>
              </w:rPr>
              <w:t>12.8</w:t>
            </w:r>
          </w:p>
        </w:tc>
        <w:tc>
          <w:tcPr>
            <w:tcW w:w="916" w:type="dxa"/>
          </w:tcPr>
          <w:p w:rsidR="00EF7180" w:rsidRPr="005B0796" w:rsidRDefault="00EF7180" w:rsidP="00EF7180">
            <w:pPr>
              <w:pStyle w:val="TableText"/>
              <w:jc w:val="right"/>
              <w:rPr>
                <w:rFonts w:eastAsia="Times New Roman"/>
                <w:lang w:eastAsia="en-AU"/>
              </w:rPr>
            </w:pPr>
            <w:r w:rsidRPr="005B0796">
              <w:rPr>
                <w:lang w:eastAsia="en-AU"/>
              </w:rPr>
              <w:t>5.8,19.9</w:t>
            </w:r>
          </w:p>
        </w:tc>
      </w:tr>
    </w:tbl>
    <w:p w:rsidR="00BF4089" w:rsidRPr="005B0796" w:rsidRDefault="00EF7180" w:rsidP="00EF7180">
      <w:pPr>
        <w:pStyle w:val="TableNotes"/>
      </w:pPr>
      <w:r w:rsidRPr="005B0796">
        <w:t xml:space="preserve">Note: 95% CI: 95% </w:t>
      </w:r>
      <w:r w:rsidR="00564689" w:rsidRPr="005B0796">
        <w:t>confidence interval</w:t>
      </w:r>
    </w:p>
    <w:p w:rsidR="00BF4089" w:rsidRPr="005B0796" w:rsidRDefault="00EF7180" w:rsidP="00EF7180">
      <w:pPr>
        <w:pStyle w:val="FigureName"/>
      </w:pPr>
      <w:bookmarkStart w:id="1130" w:name="_Toc487014413"/>
      <w:bookmarkStart w:id="1131" w:name="_Toc51190058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23</w:t>
      </w:r>
      <w:r w:rsidR="00D30A3C">
        <w:rPr>
          <w:noProof/>
        </w:rPr>
        <w:fldChar w:fldCharType="end"/>
      </w:r>
      <w:r w:rsidRPr="005B0796">
        <w:tab/>
        <w:t xml:space="preserve">Estimated proportions </w:t>
      </w:r>
      <w:r w:rsidR="00C01061">
        <w:t>of</w:t>
      </w:r>
      <w:r w:rsidRPr="005B0796">
        <w:t xml:space="preserve"> Transitioned ADF and entire 2015 Regular ADF for GAD-7 scoring bands for generalised anxiety disorder symptoms</w:t>
      </w:r>
      <w:bookmarkEnd w:id="1130"/>
      <w:bookmarkEnd w:id="1131"/>
    </w:p>
    <w:tbl>
      <w:tblPr>
        <w:tblW w:w="5000" w:type="pct"/>
        <w:tblLayout w:type="fixed"/>
        <w:tblCellMar>
          <w:left w:w="115" w:type="dxa"/>
          <w:right w:w="115" w:type="dxa"/>
        </w:tblCellMar>
        <w:tblLook w:val="04A0" w:firstRow="1" w:lastRow="0" w:firstColumn="1" w:lastColumn="0" w:noHBand="0" w:noVBand="1"/>
      </w:tblPr>
      <w:tblGrid>
        <w:gridCol w:w="7329"/>
      </w:tblGrid>
      <w:tr w:rsidR="00BF4089" w:rsidRPr="005B0796" w:rsidTr="00EF7180">
        <w:trPr>
          <w:cantSplit/>
        </w:trPr>
        <w:tc>
          <w:tcPr>
            <w:tcW w:w="7315" w:type="dxa"/>
          </w:tcPr>
          <w:p w:rsidR="00BF4089" w:rsidRPr="005B0796" w:rsidRDefault="00BF4089" w:rsidP="0064122F">
            <w:r w:rsidRPr="005B0796">
              <w:rPr>
                <w:noProof/>
                <w:lang w:eastAsia="en-AU"/>
              </w:rPr>
              <w:drawing>
                <wp:inline distT="0" distB="0" distL="0" distR="0" wp14:anchorId="5BC9E1F4" wp14:editId="6AEE42C0">
                  <wp:extent cx="4572000" cy="2743200"/>
                  <wp:effectExtent l="0" t="0" r="0" b="0"/>
                  <wp:docPr id="317" name="Chart 317" descr="Figure 5.23 Estimated proportions in Transitioned ADF and entire 2015 Regular ADF for GAD-7 scoring bands for generalised anxiety disorder sympto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r>
    </w:tbl>
    <w:p w:rsidR="00BF4089" w:rsidRPr="005B0796" w:rsidRDefault="00BF4089" w:rsidP="00EF7180">
      <w:pPr>
        <w:pStyle w:val="Heading3"/>
        <w:rPr>
          <w:rFonts w:eastAsia="Times New Roman"/>
        </w:rPr>
      </w:pPr>
      <w:bookmarkStart w:id="1132" w:name="_Toc482021391"/>
      <w:bookmarkStart w:id="1133" w:name="_Toc482024482"/>
      <w:bookmarkStart w:id="1134" w:name="_Toc487011237"/>
      <w:bookmarkStart w:id="1135" w:name="_Toc494449757"/>
      <w:bookmarkStart w:id="1136" w:name="_Toc511900339"/>
      <w:r w:rsidRPr="005B0796">
        <w:t>Generalised anxiety symptoms in different transition population subgroups</w:t>
      </w:r>
      <w:bookmarkEnd w:id="1132"/>
      <w:bookmarkEnd w:id="1133"/>
      <w:bookmarkEnd w:id="1134"/>
      <w:bookmarkEnd w:id="1135"/>
      <w:bookmarkEnd w:id="1136"/>
    </w:p>
    <w:p w:rsidR="00BF4089" w:rsidRPr="005B0796" w:rsidRDefault="00BF4089" w:rsidP="00EF7180">
      <w:pPr>
        <w:pStyle w:val="Heading4"/>
      </w:pPr>
      <w:r w:rsidRPr="005B0796">
        <w:t>Generalised anxiety symptoms in Transitioned ADF members</w:t>
      </w:r>
      <w:r w:rsidR="00C01061">
        <w:t>,</w:t>
      </w:r>
      <w:r w:rsidRPr="005B0796">
        <w:t xml:space="preserve"> by transition status</w:t>
      </w:r>
    </w:p>
    <w:p w:rsidR="00BF4089" w:rsidRPr="005B0796" w:rsidRDefault="009E72D3" w:rsidP="00EF7180">
      <w:r w:rsidRPr="005B0796">
        <w:t>Table 5.24</w:t>
      </w:r>
      <w:r w:rsidR="00BF4089" w:rsidRPr="005B0796">
        <w:t xml:space="preserve"> and Figure 5.26 compare generalised anxiety symptoms in Ex-Serving, Inactive and Active Reservists who transitioned from the Regular ADF between 2010 and 2014.</w:t>
      </w:r>
    </w:p>
    <w:p w:rsidR="00BF4089" w:rsidRPr="005B0796" w:rsidRDefault="00BF4089" w:rsidP="00EF7180">
      <w:r w:rsidRPr="005B0796">
        <w:t>In 2015, Ex-Serving ADF members were significantly more likely to score above the GAD-7 screening cut-off of 10 compared to Inactive Reservists (OR 2.7, 95% CI 2.1, 3.5) or Active Reservists (OR 3.6, 95% CI 2.8, 4.7). There was no significant difference between Active Reservists and Inactive Reservists in the proportion scoring abo</w:t>
      </w:r>
      <w:r w:rsidR="00EF7180" w:rsidRPr="005B0796">
        <w:t>ve the GAD-7 screening cut</w:t>
      </w:r>
      <w:r w:rsidR="00EF7180" w:rsidRPr="005B0796">
        <w:noBreakHyphen/>
        <w:t>off.</w:t>
      </w:r>
    </w:p>
    <w:p w:rsidR="00EF7180" w:rsidRPr="005B0796" w:rsidRDefault="00EF7180" w:rsidP="00EF7180">
      <w:pPr>
        <w:pStyle w:val="TableName"/>
      </w:pPr>
      <w:bookmarkStart w:id="1137" w:name="_Ref484523486"/>
      <w:bookmarkStart w:id="1138" w:name="_Toc487014325"/>
      <w:bookmarkStart w:id="1139" w:name="_Toc492995628"/>
      <w:bookmarkStart w:id="1140" w:name="_Toc511900477"/>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24</w:t>
      </w:r>
      <w:r w:rsidR="00D30A3C">
        <w:rPr>
          <w:noProof/>
        </w:rPr>
        <w:fldChar w:fldCharType="end"/>
      </w:r>
      <w:bookmarkEnd w:id="1137"/>
      <w:r w:rsidRPr="005B0796">
        <w:tab/>
        <w:t xml:space="preserve">Estimated proportions </w:t>
      </w:r>
      <w:r w:rsidR="00C01061">
        <w:t>of</w:t>
      </w:r>
      <w:r w:rsidRPr="005B0796">
        <w:t xml:space="preserve"> Transitioned ADF for GAD-7 scoring bands</w:t>
      </w:r>
      <w:r w:rsidR="00C01061">
        <w:t>,</w:t>
      </w:r>
      <w:r w:rsidRPr="005B0796">
        <w:t xml:space="preserve"> by transition status</w:t>
      </w:r>
      <w:bookmarkEnd w:id="1138"/>
      <w:bookmarkEnd w:id="1139"/>
      <w:bookmarkEnd w:id="1140"/>
    </w:p>
    <w:tbl>
      <w:tblPr>
        <w:tblStyle w:val="TWRPTable"/>
        <w:tblW w:w="5000" w:type="pct"/>
        <w:tblLayout w:type="fixed"/>
        <w:tblLook w:val="04A0" w:firstRow="1" w:lastRow="0" w:firstColumn="1" w:lastColumn="0" w:noHBand="0" w:noVBand="1"/>
        <w:tblDescription w:val="Table 5.24 Estimated proportions in Transitioned ADF for GAD-7 scoring bands by transition status"/>
      </w:tblPr>
      <w:tblGrid>
        <w:gridCol w:w="1245"/>
        <w:gridCol w:w="753"/>
        <w:gridCol w:w="450"/>
        <w:gridCol w:w="820"/>
        <w:gridCol w:w="800"/>
        <w:gridCol w:w="450"/>
        <w:gridCol w:w="773"/>
        <w:gridCol w:w="757"/>
        <w:gridCol w:w="450"/>
        <w:gridCol w:w="817"/>
      </w:tblGrid>
      <w:tr w:rsidR="00EF7180" w:rsidRPr="005B0796" w:rsidTr="00EF7180">
        <w:trPr>
          <w:cnfStyle w:val="100000000000" w:firstRow="1" w:lastRow="0" w:firstColumn="0" w:lastColumn="0" w:oddVBand="0" w:evenVBand="0" w:oddHBand="0" w:evenHBand="0" w:firstRowFirstColumn="0" w:firstRowLastColumn="0" w:lastRowFirstColumn="0" w:lastRowLastColumn="0"/>
          <w:cantSplit/>
          <w:tblHeader/>
        </w:trPr>
        <w:tc>
          <w:tcPr>
            <w:tcW w:w="1245" w:type="dxa"/>
            <w:vMerge w:val="restart"/>
          </w:tcPr>
          <w:p w:rsidR="00EF7180" w:rsidRPr="005B0796" w:rsidRDefault="00EF7180" w:rsidP="00EF7180">
            <w:pPr>
              <w:pStyle w:val="TableText"/>
            </w:pPr>
            <w:r w:rsidRPr="005B0796">
              <w:rPr>
                <w:lang w:eastAsia="en-AU"/>
              </w:rPr>
              <w:t>GAD-7 scoring bands</w:t>
            </w:r>
          </w:p>
        </w:tc>
        <w:tc>
          <w:tcPr>
            <w:tcW w:w="2023" w:type="dxa"/>
            <w:gridSpan w:val="3"/>
          </w:tcPr>
          <w:p w:rsidR="00EF7180" w:rsidRPr="005B0796" w:rsidRDefault="00EF7180" w:rsidP="00EF7180">
            <w:pPr>
              <w:pStyle w:val="TableText"/>
              <w:jc w:val="center"/>
              <w:rPr>
                <w:lang w:eastAsia="en-AU"/>
              </w:rPr>
            </w:pPr>
            <w:r w:rsidRPr="005B0796">
              <w:rPr>
                <w:lang w:eastAsia="en-AU"/>
              </w:rPr>
              <w:t>Ex-Serving</w:t>
            </w:r>
            <w:r w:rsidRPr="005B0796">
              <w:rPr>
                <w:lang w:eastAsia="en-AU"/>
              </w:rPr>
              <w:br/>
              <w:t>(n = 11,440)</w:t>
            </w:r>
          </w:p>
        </w:tc>
        <w:tc>
          <w:tcPr>
            <w:tcW w:w="2023" w:type="dxa"/>
            <w:gridSpan w:val="3"/>
          </w:tcPr>
          <w:p w:rsidR="00EF7180" w:rsidRPr="005B0796" w:rsidRDefault="00EF7180" w:rsidP="00EF7180">
            <w:pPr>
              <w:pStyle w:val="TableText"/>
              <w:jc w:val="center"/>
              <w:rPr>
                <w:lang w:eastAsia="en-AU"/>
              </w:rPr>
            </w:pPr>
            <w:r w:rsidRPr="005B0796">
              <w:rPr>
                <w:lang w:eastAsia="en-AU"/>
              </w:rPr>
              <w:t xml:space="preserve">Inactive Reservist </w:t>
            </w:r>
            <w:r w:rsidRPr="005B0796">
              <w:rPr>
                <w:lang w:eastAsia="en-AU"/>
              </w:rPr>
              <w:br/>
              <w:t>(n = 6447)</w:t>
            </w:r>
          </w:p>
        </w:tc>
        <w:tc>
          <w:tcPr>
            <w:tcW w:w="2024" w:type="dxa"/>
            <w:gridSpan w:val="3"/>
          </w:tcPr>
          <w:p w:rsidR="00EF7180" w:rsidRPr="005B0796" w:rsidRDefault="00EF7180" w:rsidP="00EF7180">
            <w:pPr>
              <w:pStyle w:val="TableText"/>
              <w:jc w:val="center"/>
              <w:rPr>
                <w:lang w:eastAsia="en-AU"/>
              </w:rPr>
            </w:pPr>
            <w:r w:rsidRPr="005B0796">
              <w:rPr>
                <w:lang w:eastAsia="en-AU"/>
              </w:rPr>
              <w:t xml:space="preserve">Active Reservist </w:t>
            </w:r>
            <w:r w:rsidRPr="005B0796">
              <w:rPr>
                <w:lang w:eastAsia="en-AU"/>
              </w:rPr>
              <w:br/>
              <w:t>(n = 6968)</w:t>
            </w:r>
          </w:p>
        </w:tc>
      </w:tr>
      <w:tr w:rsidR="00EF7180" w:rsidRPr="005B0796" w:rsidTr="00A7183F">
        <w:trPr>
          <w:cnfStyle w:val="100000000000" w:firstRow="1" w:lastRow="0" w:firstColumn="0" w:lastColumn="0" w:oddVBand="0" w:evenVBand="0" w:oddHBand="0" w:evenHBand="0" w:firstRowFirstColumn="0" w:firstRowLastColumn="0" w:lastRowFirstColumn="0" w:lastRowLastColumn="0"/>
          <w:cantSplit/>
          <w:tblHeader/>
        </w:trPr>
        <w:tc>
          <w:tcPr>
            <w:tcW w:w="1245" w:type="dxa"/>
            <w:vMerge/>
          </w:tcPr>
          <w:p w:rsidR="00EF7180" w:rsidRPr="005B0796" w:rsidRDefault="00EF7180" w:rsidP="00EF7180">
            <w:pPr>
              <w:pStyle w:val="TableText"/>
            </w:pPr>
          </w:p>
        </w:tc>
        <w:tc>
          <w:tcPr>
            <w:tcW w:w="753" w:type="dxa"/>
          </w:tcPr>
          <w:p w:rsidR="00EF7180" w:rsidRPr="005B0796" w:rsidRDefault="00EF7180" w:rsidP="00EF7180">
            <w:pPr>
              <w:pStyle w:val="TableText"/>
              <w:jc w:val="right"/>
              <w:rPr>
                <w:rFonts w:eastAsia="Times New Roman"/>
                <w:lang w:eastAsia="en-AU"/>
              </w:rPr>
            </w:pPr>
            <w:r w:rsidRPr="005B0796">
              <w:rPr>
                <w:lang w:eastAsia="en-AU"/>
              </w:rPr>
              <w:t>Weighted n</w:t>
            </w:r>
          </w:p>
        </w:tc>
        <w:tc>
          <w:tcPr>
            <w:tcW w:w="450" w:type="dxa"/>
          </w:tcPr>
          <w:p w:rsidR="00EF7180" w:rsidRPr="005B0796" w:rsidRDefault="00EF7180" w:rsidP="00EF7180">
            <w:pPr>
              <w:pStyle w:val="TableText"/>
              <w:jc w:val="right"/>
              <w:rPr>
                <w:rFonts w:eastAsia="Times New Roman"/>
                <w:lang w:eastAsia="en-AU"/>
              </w:rPr>
            </w:pPr>
            <w:r w:rsidRPr="005B0796">
              <w:rPr>
                <w:lang w:eastAsia="en-AU"/>
              </w:rPr>
              <w:t>%</w:t>
            </w:r>
          </w:p>
        </w:tc>
        <w:tc>
          <w:tcPr>
            <w:tcW w:w="820" w:type="dxa"/>
          </w:tcPr>
          <w:p w:rsidR="00EF7180" w:rsidRPr="005B0796" w:rsidRDefault="00EF7180" w:rsidP="00EF7180">
            <w:pPr>
              <w:pStyle w:val="TableText"/>
              <w:jc w:val="right"/>
              <w:rPr>
                <w:lang w:eastAsia="en-AU"/>
              </w:rPr>
            </w:pPr>
            <w:r w:rsidRPr="005B0796">
              <w:rPr>
                <w:lang w:eastAsia="en-AU"/>
              </w:rPr>
              <w:t>95% CI</w:t>
            </w:r>
          </w:p>
        </w:tc>
        <w:tc>
          <w:tcPr>
            <w:tcW w:w="800" w:type="dxa"/>
          </w:tcPr>
          <w:p w:rsidR="00EF7180" w:rsidRPr="005B0796" w:rsidRDefault="00EF7180" w:rsidP="00EF7180">
            <w:pPr>
              <w:pStyle w:val="TableText"/>
              <w:jc w:val="right"/>
              <w:rPr>
                <w:lang w:eastAsia="en-AU"/>
              </w:rPr>
            </w:pPr>
            <w:r w:rsidRPr="005B0796">
              <w:rPr>
                <w:lang w:eastAsia="en-AU"/>
              </w:rPr>
              <w:t>Weighted n</w:t>
            </w:r>
          </w:p>
        </w:tc>
        <w:tc>
          <w:tcPr>
            <w:tcW w:w="450" w:type="dxa"/>
          </w:tcPr>
          <w:p w:rsidR="00EF7180" w:rsidRPr="005B0796" w:rsidRDefault="00EF7180" w:rsidP="00EF7180">
            <w:pPr>
              <w:pStyle w:val="TableText"/>
              <w:jc w:val="right"/>
              <w:rPr>
                <w:lang w:eastAsia="en-AU"/>
              </w:rPr>
            </w:pPr>
            <w:r w:rsidRPr="005B0796">
              <w:rPr>
                <w:lang w:eastAsia="en-AU"/>
              </w:rPr>
              <w:t>%</w:t>
            </w:r>
          </w:p>
        </w:tc>
        <w:tc>
          <w:tcPr>
            <w:tcW w:w="773" w:type="dxa"/>
          </w:tcPr>
          <w:p w:rsidR="00EF7180" w:rsidRPr="005B0796" w:rsidRDefault="00EF7180" w:rsidP="00EF7180">
            <w:pPr>
              <w:pStyle w:val="TableText"/>
              <w:jc w:val="right"/>
              <w:rPr>
                <w:lang w:eastAsia="en-AU"/>
              </w:rPr>
            </w:pPr>
            <w:r w:rsidRPr="005B0796">
              <w:rPr>
                <w:lang w:eastAsia="en-AU"/>
              </w:rPr>
              <w:t>95% CI</w:t>
            </w:r>
          </w:p>
        </w:tc>
        <w:tc>
          <w:tcPr>
            <w:tcW w:w="757" w:type="dxa"/>
          </w:tcPr>
          <w:p w:rsidR="00EF7180" w:rsidRPr="005B0796" w:rsidRDefault="00EF7180" w:rsidP="00EF7180">
            <w:pPr>
              <w:pStyle w:val="TableText"/>
              <w:jc w:val="right"/>
              <w:rPr>
                <w:lang w:eastAsia="en-AU"/>
              </w:rPr>
            </w:pPr>
            <w:r w:rsidRPr="005B0796">
              <w:rPr>
                <w:lang w:eastAsia="en-AU"/>
              </w:rPr>
              <w:t>Weighted n</w:t>
            </w:r>
          </w:p>
        </w:tc>
        <w:tc>
          <w:tcPr>
            <w:tcW w:w="450" w:type="dxa"/>
          </w:tcPr>
          <w:p w:rsidR="00EF7180" w:rsidRPr="005B0796" w:rsidRDefault="00EF7180" w:rsidP="00EF7180">
            <w:pPr>
              <w:pStyle w:val="TableText"/>
              <w:jc w:val="right"/>
              <w:rPr>
                <w:lang w:eastAsia="en-AU"/>
              </w:rPr>
            </w:pPr>
            <w:r w:rsidRPr="005B0796">
              <w:rPr>
                <w:lang w:eastAsia="en-AU"/>
              </w:rPr>
              <w:t>%</w:t>
            </w:r>
          </w:p>
        </w:tc>
        <w:tc>
          <w:tcPr>
            <w:tcW w:w="817" w:type="dxa"/>
          </w:tcPr>
          <w:p w:rsidR="00EF7180" w:rsidRPr="005B0796" w:rsidRDefault="00EF7180" w:rsidP="00EF7180">
            <w:pPr>
              <w:pStyle w:val="TableText"/>
              <w:jc w:val="right"/>
              <w:rPr>
                <w:lang w:eastAsia="en-AU"/>
              </w:rPr>
            </w:pPr>
            <w:r w:rsidRPr="005B0796">
              <w:rPr>
                <w:lang w:eastAsia="en-AU"/>
              </w:rPr>
              <w:t>95% CI</w:t>
            </w:r>
          </w:p>
        </w:tc>
      </w:tr>
      <w:tr w:rsidR="00EF7180" w:rsidRPr="005B0796" w:rsidTr="00A7183F">
        <w:trPr>
          <w:cnfStyle w:val="000000100000" w:firstRow="0" w:lastRow="0" w:firstColumn="0" w:lastColumn="0" w:oddVBand="0" w:evenVBand="0" w:oddHBand="1" w:evenHBand="0" w:firstRowFirstColumn="0" w:firstRowLastColumn="0" w:lastRowFirstColumn="0" w:lastRowLastColumn="0"/>
          <w:cantSplit/>
        </w:trPr>
        <w:tc>
          <w:tcPr>
            <w:tcW w:w="1245" w:type="dxa"/>
          </w:tcPr>
          <w:p w:rsidR="00EF7180" w:rsidRPr="005B0796" w:rsidRDefault="00EF7180" w:rsidP="00EF7180">
            <w:pPr>
              <w:pStyle w:val="TableText"/>
              <w:rPr>
                <w:rFonts w:eastAsia="Times New Roman"/>
                <w:lang w:eastAsia="en-AU"/>
              </w:rPr>
            </w:pPr>
            <w:r w:rsidRPr="005B0796">
              <w:rPr>
                <w:lang w:eastAsia="en-AU"/>
              </w:rPr>
              <w:t>Minimal (0–4)</w:t>
            </w:r>
          </w:p>
        </w:tc>
        <w:tc>
          <w:tcPr>
            <w:tcW w:w="753" w:type="dxa"/>
          </w:tcPr>
          <w:p w:rsidR="00EF7180" w:rsidRPr="005B0796" w:rsidRDefault="00EF7180" w:rsidP="00EF7180">
            <w:pPr>
              <w:pStyle w:val="TableText"/>
              <w:jc w:val="right"/>
              <w:rPr>
                <w:lang w:eastAsia="en-AU"/>
              </w:rPr>
            </w:pPr>
            <w:r w:rsidRPr="005B0796">
              <w:rPr>
                <w:lang w:eastAsia="en-AU"/>
              </w:rPr>
              <w:t>4936</w:t>
            </w:r>
          </w:p>
        </w:tc>
        <w:tc>
          <w:tcPr>
            <w:tcW w:w="450" w:type="dxa"/>
          </w:tcPr>
          <w:p w:rsidR="00EF7180" w:rsidRPr="005B0796" w:rsidRDefault="00EF7180" w:rsidP="00EF7180">
            <w:pPr>
              <w:pStyle w:val="TableText"/>
              <w:jc w:val="right"/>
              <w:rPr>
                <w:lang w:eastAsia="en-AU"/>
              </w:rPr>
            </w:pPr>
            <w:r w:rsidRPr="005B0796">
              <w:rPr>
                <w:lang w:eastAsia="en-AU"/>
              </w:rPr>
              <w:t>43.2</w:t>
            </w:r>
          </w:p>
        </w:tc>
        <w:tc>
          <w:tcPr>
            <w:tcW w:w="820" w:type="dxa"/>
          </w:tcPr>
          <w:p w:rsidR="00EF7180" w:rsidRPr="005B0796" w:rsidRDefault="00EF7180" w:rsidP="00EF7180">
            <w:pPr>
              <w:pStyle w:val="TableText"/>
              <w:jc w:val="right"/>
              <w:rPr>
                <w:lang w:eastAsia="en-AU"/>
              </w:rPr>
            </w:pPr>
            <w:r w:rsidRPr="005B0796">
              <w:rPr>
                <w:lang w:eastAsia="en-AU"/>
              </w:rPr>
              <w:t>40.3, 46.1</w:t>
            </w:r>
          </w:p>
        </w:tc>
        <w:tc>
          <w:tcPr>
            <w:tcW w:w="800" w:type="dxa"/>
          </w:tcPr>
          <w:p w:rsidR="00EF7180" w:rsidRPr="005B0796" w:rsidRDefault="00EF7180" w:rsidP="00EF7180">
            <w:pPr>
              <w:pStyle w:val="TableText"/>
              <w:jc w:val="right"/>
              <w:rPr>
                <w:lang w:eastAsia="en-AU"/>
              </w:rPr>
            </w:pPr>
            <w:r w:rsidRPr="005B0796">
              <w:rPr>
                <w:lang w:eastAsia="en-AU"/>
              </w:rPr>
              <w:t>3915</w:t>
            </w:r>
          </w:p>
        </w:tc>
        <w:tc>
          <w:tcPr>
            <w:tcW w:w="450" w:type="dxa"/>
          </w:tcPr>
          <w:p w:rsidR="00EF7180" w:rsidRPr="005B0796" w:rsidRDefault="00EF7180" w:rsidP="00EF7180">
            <w:pPr>
              <w:pStyle w:val="TableText"/>
              <w:jc w:val="right"/>
              <w:rPr>
                <w:lang w:eastAsia="en-AU"/>
              </w:rPr>
            </w:pPr>
            <w:r w:rsidRPr="005B0796">
              <w:rPr>
                <w:lang w:eastAsia="en-AU"/>
              </w:rPr>
              <w:t>60.7</w:t>
            </w:r>
          </w:p>
        </w:tc>
        <w:tc>
          <w:tcPr>
            <w:tcW w:w="773" w:type="dxa"/>
          </w:tcPr>
          <w:p w:rsidR="00EF7180" w:rsidRPr="005B0796" w:rsidRDefault="00EF7180" w:rsidP="00EF7180">
            <w:pPr>
              <w:pStyle w:val="TableText"/>
              <w:jc w:val="right"/>
              <w:rPr>
                <w:lang w:eastAsia="en-AU"/>
              </w:rPr>
            </w:pPr>
            <w:r w:rsidRPr="005B0796">
              <w:rPr>
                <w:lang w:eastAsia="en-AU"/>
              </w:rPr>
              <w:t>57.2, 64.2</w:t>
            </w:r>
          </w:p>
        </w:tc>
        <w:tc>
          <w:tcPr>
            <w:tcW w:w="757" w:type="dxa"/>
          </w:tcPr>
          <w:p w:rsidR="00EF7180" w:rsidRPr="005B0796" w:rsidRDefault="00EF7180" w:rsidP="00EF7180">
            <w:pPr>
              <w:pStyle w:val="TableText"/>
              <w:jc w:val="right"/>
              <w:rPr>
                <w:lang w:eastAsia="en-AU"/>
              </w:rPr>
            </w:pPr>
            <w:r w:rsidRPr="005B0796">
              <w:rPr>
                <w:lang w:eastAsia="en-AU"/>
              </w:rPr>
              <w:t>4596</w:t>
            </w:r>
          </w:p>
        </w:tc>
        <w:tc>
          <w:tcPr>
            <w:tcW w:w="450" w:type="dxa"/>
          </w:tcPr>
          <w:p w:rsidR="00EF7180" w:rsidRPr="005B0796" w:rsidRDefault="00EF7180" w:rsidP="00EF7180">
            <w:pPr>
              <w:pStyle w:val="TableText"/>
              <w:jc w:val="right"/>
              <w:rPr>
                <w:lang w:eastAsia="en-AU"/>
              </w:rPr>
            </w:pPr>
            <w:r w:rsidRPr="005B0796">
              <w:rPr>
                <w:lang w:eastAsia="en-AU"/>
              </w:rPr>
              <w:t>66.0</w:t>
            </w:r>
          </w:p>
        </w:tc>
        <w:tc>
          <w:tcPr>
            <w:tcW w:w="817" w:type="dxa"/>
          </w:tcPr>
          <w:p w:rsidR="00EF7180" w:rsidRPr="005B0796" w:rsidRDefault="00EF7180" w:rsidP="00EF7180">
            <w:pPr>
              <w:pStyle w:val="TableText"/>
              <w:jc w:val="right"/>
              <w:rPr>
                <w:lang w:eastAsia="en-AU"/>
              </w:rPr>
            </w:pPr>
            <w:r w:rsidRPr="005B0796">
              <w:rPr>
                <w:lang w:eastAsia="en-AU"/>
              </w:rPr>
              <w:t>62.9, 68.9</w:t>
            </w:r>
          </w:p>
        </w:tc>
      </w:tr>
      <w:tr w:rsidR="00EF7180" w:rsidRPr="005B0796" w:rsidTr="00A7183F">
        <w:trPr>
          <w:cantSplit/>
        </w:trPr>
        <w:tc>
          <w:tcPr>
            <w:tcW w:w="1245" w:type="dxa"/>
          </w:tcPr>
          <w:p w:rsidR="00EF7180" w:rsidRPr="005B0796" w:rsidRDefault="00EF7180" w:rsidP="00EF7180">
            <w:pPr>
              <w:pStyle w:val="TableText"/>
              <w:rPr>
                <w:rFonts w:eastAsia="Times New Roman"/>
                <w:lang w:eastAsia="en-AU"/>
              </w:rPr>
            </w:pPr>
            <w:r w:rsidRPr="005B0796">
              <w:rPr>
                <w:lang w:eastAsia="en-AU"/>
              </w:rPr>
              <w:t>Mild (5–9)</w:t>
            </w:r>
          </w:p>
        </w:tc>
        <w:tc>
          <w:tcPr>
            <w:tcW w:w="753" w:type="dxa"/>
          </w:tcPr>
          <w:p w:rsidR="00EF7180" w:rsidRPr="005B0796" w:rsidRDefault="00EF7180" w:rsidP="00EF7180">
            <w:pPr>
              <w:pStyle w:val="TableText"/>
              <w:jc w:val="right"/>
              <w:rPr>
                <w:lang w:eastAsia="en-AU"/>
              </w:rPr>
            </w:pPr>
            <w:r w:rsidRPr="005B0796">
              <w:rPr>
                <w:lang w:eastAsia="en-AU"/>
              </w:rPr>
              <w:t>2531</w:t>
            </w:r>
          </w:p>
        </w:tc>
        <w:tc>
          <w:tcPr>
            <w:tcW w:w="450" w:type="dxa"/>
          </w:tcPr>
          <w:p w:rsidR="00EF7180" w:rsidRPr="005B0796" w:rsidRDefault="00EF7180" w:rsidP="00EF7180">
            <w:pPr>
              <w:pStyle w:val="TableText"/>
              <w:jc w:val="right"/>
              <w:rPr>
                <w:lang w:eastAsia="en-AU"/>
              </w:rPr>
            </w:pPr>
            <w:r w:rsidRPr="005B0796">
              <w:rPr>
                <w:lang w:eastAsia="en-AU"/>
              </w:rPr>
              <w:t>22.1</w:t>
            </w:r>
          </w:p>
        </w:tc>
        <w:tc>
          <w:tcPr>
            <w:tcW w:w="820" w:type="dxa"/>
          </w:tcPr>
          <w:p w:rsidR="00EF7180" w:rsidRPr="005B0796" w:rsidRDefault="00EF7180" w:rsidP="00EF7180">
            <w:pPr>
              <w:pStyle w:val="TableText"/>
              <w:jc w:val="right"/>
              <w:rPr>
                <w:lang w:eastAsia="en-AU"/>
              </w:rPr>
            </w:pPr>
            <w:r w:rsidRPr="005B0796">
              <w:rPr>
                <w:lang w:eastAsia="en-AU"/>
              </w:rPr>
              <w:t>19.8, 24.6</w:t>
            </w:r>
          </w:p>
        </w:tc>
        <w:tc>
          <w:tcPr>
            <w:tcW w:w="800" w:type="dxa"/>
          </w:tcPr>
          <w:p w:rsidR="00EF7180" w:rsidRPr="005B0796" w:rsidRDefault="00EF7180" w:rsidP="00EF7180">
            <w:pPr>
              <w:pStyle w:val="TableText"/>
              <w:jc w:val="right"/>
              <w:rPr>
                <w:lang w:eastAsia="en-AU"/>
              </w:rPr>
            </w:pPr>
            <w:r w:rsidRPr="005B0796">
              <w:rPr>
                <w:lang w:eastAsia="en-AU"/>
              </w:rPr>
              <w:t>1474</w:t>
            </w:r>
          </w:p>
        </w:tc>
        <w:tc>
          <w:tcPr>
            <w:tcW w:w="450" w:type="dxa"/>
          </w:tcPr>
          <w:p w:rsidR="00EF7180" w:rsidRPr="005B0796" w:rsidRDefault="00EF7180" w:rsidP="00EF7180">
            <w:pPr>
              <w:pStyle w:val="TableText"/>
              <w:jc w:val="right"/>
              <w:rPr>
                <w:lang w:eastAsia="en-AU"/>
              </w:rPr>
            </w:pPr>
            <w:r w:rsidRPr="005B0796">
              <w:rPr>
                <w:lang w:eastAsia="en-AU"/>
              </w:rPr>
              <w:t>22.9</w:t>
            </w:r>
          </w:p>
        </w:tc>
        <w:tc>
          <w:tcPr>
            <w:tcW w:w="773" w:type="dxa"/>
          </w:tcPr>
          <w:p w:rsidR="00EF7180" w:rsidRPr="005B0796" w:rsidRDefault="00EF7180" w:rsidP="00EF7180">
            <w:pPr>
              <w:pStyle w:val="TableText"/>
              <w:jc w:val="right"/>
              <w:rPr>
                <w:lang w:eastAsia="en-AU"/>
              </w:rPr>
            </w:pPr>
            <w:r w:rsidRPr="005B0796">
              <w:rPr>
                <w:lang w:eastAsia="en-AU"/>
              </w:rPr>
              <w:t>19.9, 26.0</w:t>
            </w:r>
          </w:p>
        </w:tc>
        <w:tc>
          <w:tcPr>
            <w:tcW w:w="757" w:type="dxa"/>
          </w:tcPr>
          <w:p w:rsidR="00EF7180" w:rsidRPr="005B0796" w:rsidRDefault="00EF7180" w:rsidP="00EF7180">
            <w:pPr>
              <w:pStyle w:val="TableText"/>
              <w:jc w:val="right"/>
              <w:rPr>
                <w:lang w:eastAsia="en-AU"/>
              </w:rPr>
            </w:pPr>
            <w:r w:rsidRPr="005B0796">
              <w:rPr>
                <w:lang w:eastAsia="en-AU"/>
              </w:rPr>
              <w:t>1491</w:t>
            </w:r>
          </w:p>
        </w:tc>
        <w:tc>
          <w:tcPr>
            <w:tcW w:w="450" w:type="dxa"/>
          </w:tcPr>
          <w:p w:rsidR="00EF7180" w:rsidRPr="005B0796" w:rsidRDefault="00EF7180" w:rsidP="00EF7180">
            <w:pPr>
              <w:pStyle w:val="TableText"/>
              <w:jc w:val="right"/>
              <w:rPr>
                <w:lang w:eastAsia="en-AU"/>
              </w:rPr>
            </w:pPr>
            <w:r w:rsidRPr="005B0796">
              <w:rPr>
                <w:lang w:eastAsia="en-AU"/>
              </w:rPr>
              <w:t>21.4</w:t>
            </w:r>
          </w:p>
        </w:tc>
        <w:tc>
          <w:tcPr>
            <w:tcW w:w="817" w:type="dxa"/>
          </w:tcPr>
          <w:p w:rsidR="00EF7180" w:rsidRPr="005B0796" w:rsidRDefault="00EF7180" w:rsidP="00EF7180">
            <w:pPr>
              <w:pStyle w:val="TableText"/>
              <w:jc w:val="right"/>
              <w:rPr>
                <w:lang w:eastAsia="en-AU"/>
              </w:rPr>
            </w:pPr>
            <w:r w:rsidRPr="005B0796">
              <w:rPr>
                <w:lang w:eastAsia="en-AU"/>
              </w:rPr>
              <w:t>19.0, 24.0</w:t>
            </w:r>
          </w:p>
        </w:tc>
      </w:tr>
      <w:tr w:rsidR="00EF7180" w:rsidRPr="005B0796" w:rsidTr="00A7183F">
        <w:trPr>
          <w:cnfStyle w:val="000000100000" w:firstRow="0" w:lastRow="0" w:firstColumn="0" w:lastColumn="0" w:oddVBand="0" w:evenVBand="0" w:oddHBand="1" w:evenHBand="0" w:firstRowFirstColumn="0" w:firstRowLastColumn="0" w:lastRowFirstColumn="0" w:lastRowLastColumn="0"/>
          <w:cantSplit/>
        </w:trPr>
        <w:tc>
          <w:tcPr>
            <w:tcW w:w="1245" w:type="dxa"/>
          </w:tcPr>
          <w:p w:rsidR="00EF7180" w:rsidRPr="005B0796" w:rsidRDefault="00EF7180" w:rsidP="00EF7180">
            <w:pPr>
              <w:pStyle w:val="TableText"/>
              <w:rPr>
                <w:rFonts w:eastAsia="Times New Roman"/>
                <w:lang w:eastAsia="en-AU"/>
              </w:rPr>
            </w:pPr>
            <w:r w:rsidRPr="005B0796">
              <w:rPr>
                <w:lang w:eastAsia="en-AU"/>
              </w:rPr>
              <w:t>Moderate (10–14)</w:t>
            </w:r>
          </w:p>
        </w:tc>
        <w:tc>
          <w:tcPr>
            <w:tcW w:w="753" w:type="dxa"/>
          </w:tcPr>
          <w:p w:rsidR="00EF7180" w:rsidRPr="005B0796" w:rsidRDefault="00EF7180" w:rsidP="00EF7180">
            <w:pPr>
              <w:pStyle w:val="TableText"/>
              <w:jc w:val="right"/>
              <w:rPr>
                <w:lang w:eastAsia="en-AU"/>
              </w:rPr>
            </w:pPr>
            <w:r w:rsidRPr="005B0796">
              <w:rPr>
                <w:lang w:eastAsia="en-AU"/>
              </w:rPr>
              <w:t>1657</w:t>
            </w:r>
          </w:p>
        </w:tc>
        <w:tc>
          <w:tcPr>
            <w:tcW w:w="450" w:type="dxa"/>
          </w:tcPr>
          <w:p w:rsidR="00EF7180" w:rsidRPr="005B0796" w:rsidRDefault="00EF7180" w:rsidP="00EF7180">
            <w:pPr>
              <w:pStyle w:val="TableText"/>
              <w:jc w:val="right"/>
              <w:rPr>
                <w:lang w:eastAsia="en-AU"/>
              </w:rPr>
            </w:pPr>
            <w:r w:rsidRPr="005B0796">
              <w:rPr>
                <w:lang w:eastAsia="en-AU"/>
              </w:rPr>
              <w:t>14.5</w:t>
            </w:r>
          </w:p>
        </w:tc>
        <w:tc>
          <w:tcPr>
            <w:tcW w:w="820" w:type="dxa"/>
          </w:tcPr>
          <w:p w:rsidR="00EF7180" w:rsidRPr="005B0796" w:rsidRDefault="00EF7180" w:rsidP="00EF7180">
            <w:pPr>
              <w:pStyle w:val="TableText"/>
              <w:jc w:val="right"/>
              <w:rPr>
                <w:lang w:eastAsia="en-AU"/>
              </w:rPr>
            </w:pPr>
            <w:r w:rsidRPr="005B0796">
              <w:rPr>
                <w:lang w:eastAsia="en-AU"/>
              </w:rPr>
              <w:t>12.7, 16.5</w:t>
            </w:r>
          </w:p>
        </w:tc>
        <w:tc>
          <w:tcPr>
            <w:tcW w:w="800" w:type="dxa"/>
          </w:tcPr>
          <w:p w:rsidR="00EF7180" w:rsidRPr="005B0796" w:rsidRDefault="00EF7180" w:rsidP="00EF7180">
            <w:pPr>
              <w:pStyle w:val="TableText"/>
              <w:jc w:val="right"/>
              <w:rPr>
                <w:lang w:eastAsia="en-AU"/>
              </w:rPr>
            </w:pPr>
            <w:r w:rsidRPr="005B0796">
              <w:rPr>
                <w:lang w:eastAsia="en-AU"/>
              </w:rPr>
              <w:t>618</w:t>
            </w:r>
          </w:p>
        </w:tc>
        <w:tc>
          <w:tcPr>
            <w:tcW w:w="450" w:type="dxa"/>
          </w:tcPr>
          <w:p w:rsidR="00EF7180" w:rsidRPr="005B0796" w:rsidRDefault="00EF7180" w:rsidP="00EF7180">
            <w:pPr>
              <w:pStyle w:val="TableText"/>
              <w:jc w:val="right"/>
              <w:rPr>
                <w:lang w:eastAsia="en-AU"/>
              </w:rPr>
            </w:pPr>
            <w:r w:rsidRPr="005B0796">
              <w:rPr>
                <w:lang w:eastAsia="en-AU"/>
              </w:rPr>
              <w:t>9.6</w:t>
            </w:r>
          </w:p>
        </w:tc>
        <w:tc>
          <w:tcPr>
            <w:tcW w:w="773" w:type="dxa"/>
          </w:tcPr>
          <w:p w:rsidR="00EF7180" w:rsidRPr="005B0796" w:rsidRDefault="00EF7180" w:rsidP="00EF7180">
            <w:pPr>
              <w:pStyle w:val="TableText"/>
              <w:jc w:val="right"/>
              <w:rPr>
                <w:lang w:eastAsia="en-AU"/>
              </w:rPr>
            </w:pPr>
            <w:r w:rsidRPr="005B0796">
              <w:rPr>
                <w:lang w:eastAsia="en-AU"/>
              </w:rPr>
              <w:t>7.6, 12.0</w:t>
            </w:r>
          </w:p>
        </w:tc>
        <w:tc>
          <w:tcPr>
            <w:tcW w:w="757" w:type="dxa"/>
          </w:tcPr>
          <w:p w:rsidR="00EF7180" w:rsidRPr="005B0796" w:rsidRDefault="00EF7180" w:rsidP="00EF7180">
            <w:pPr>
              <w:pStyle w:val="TableText"/>
              <w:jc w:val="right"/>
              <w:rPr>
                <w:lang w:eastAsia="en-AU"/>
              </w:rPr>
            </w:pPr>
            <w:r w:rsidRPr="005B0796">
              <w:rPr>
                <w:lang w:eastAsia="en-AU"/>
              </w:rPr>
              <w:t>475</w:t>
            </w:r>
          </w:p>
        </w:tc>
        <w:tc>
          <w:tcPr>
            <w:tcW w:w="450" w:type="dxa"/>
          </w:tcPr>
          <w:p w:rsidR="00EF7180" w:rsidRPr="005B0796" w:rsidRDefault="00EF7180" w:rsidP="00EF7180">
            <w:pPr>
              <w:pStyle w:val="TableText"/>
              <w:jc w:val="right"/>
              <w:rPr>
                <w:lang w:eastAsia="en-AU"/>
              </w:rPr>
            </w:pPr>
            <w:r w:rsidRPr="005B0796">
              <w:rPr>
                <w:lang w:eastAsia="en-AU"/>
              </w:rPr>
              <w:t>6.8</w:t>
            </w:r>
          </w:p>
        </w:tc>
        <w:tc>
          <w:tcPr>
            <w:tcW w:w="817" w:type="dxa"/>
          </w:tcPr>
          <w:p w:rsidR="00EF7180" w:rsidRPr="005B0796" w:rsidRDefault="00EF7180" w:rsidP="00EF7180">
            <w:pPr>
              <w:pStyle w:val="TableText"/>
              <w:jc w:val="right"/>
              <w:rPr>
                <w:lang w:eastAsia="en-AU"/>
              </w:rPr>
            </w:pPr>
            <w:r w:rsidRPr="005B0796">
              <w:rPr>
                <w:lang w:eastAsia="en-AU"/>
              </w:rPr>
              <w:t>5.3, 8.8</w:t>
            </w:r>
          </w:p>
        </w:tc>
      </w:tr>
      <w:tr w:rsidR="00EF7180" w:rsidRPr="005B0796" w:rsidTr="00A7183F">
        <w:trPr>
          <w:cantSplit/>
        </w:trPr>
        <w:tc>
          <w:tcPr>
            <w:tcW w:w="1245" w:type="dxa"/>
          </w:tcPr>
          <w:p w:rsidR="00EF7180" w:rsidRPr="005B0796" w:rsidRDefault="00EF7180" w:rsidP="00EF7180">
            <w:pPr>
              <w:pStyle w:val="TableText"/>
              <w:rPr>
                <w:rFonts w:eastAsia="Times New Roman"/>
                <w:lang w:eastAsia="en-AU"/>
              </w:rPr>
            </w:pPr>
            <w:r w:rsidRPr="005B0796">
              <w:rPr>
                <w:lang w:eastAsia="en-AU"/>
              </w:rPr>
              <w:t>Severe (15–21)</w:t>
            </w:r>
          </w:p>
        </w:tc>
        <w:tc>
          <w:tcPr>
            <w:tcW w:w="753" w:type="dxa"/>
          </w:tcPr>
          <w:p w:rsidR="00EF7180" w:rsidRPr="005B0796" w:rsidRDefault="00EF7180" w:rsidP="00EF7180">
            <w:pPr>
              <w:pStyle w:val="TableText"/>
              <w:jc w:val="right"/>
              <w:rPr>
                <w:lang w:eastAsia="en-AU"/>
              </w:rPr>
            </w:pPr>
            <w:r w:rsidRPr="005B0796">
              <w:rPr>
                <w:lang w:eastAsia="en-AU"/>
              </w:rPr>
              <w:t>2150</w:t>
            </w:r>
          </w:p>
        </w:tc>
        <w:tc>
          <w:tcPr>
            <w:tcW w:w="450" w:type="dxa"/>
          </w:tcPr>
          <w:p w:rsidR="00EF7180" w:rsidRPr="005B0796" w:rsidRDefault="00EF7180" w:rsidP="00EF7180">
            <w:pPr>
              <w:pStyle w:val="TableText"/>
              <w:jc w:val="right"/>
              <w:rPr>
                <w:lang w:eastAsia="en-AU"/>
              </w:rPr>
            </w:pPr>
            <w:r w:rsidRPr="005B0796">
              <w:rPr>
                <w:lang w:eastAsia="en-AU"/>
              </w:rPr>
              <w:t>18.8</w:t>
            </w:r>
          </w:p>
        </w:tc>
        <w:tc>
          <w:tcPr>
            <w:tcW w:w="820" w:type="dxa"/>
          </w:tcPr>
          <w:p w:rsidR="00EF7180" w:rsidRPr="005B0796" w:rsidRDefault="00EF7180" w:rsidP="00EF7180">
            <w:pPr>
              <w:pStyle w:val="TableText"/>
              <w:jc w:val="right"/>
              <w:rPr>
                <w:lang w:eastAsia="en-AU"/>
              </w:rPr>
            </w:pPr>
            <w:r w:rsidRPr="005B0796">
              <w:rPr>
                <w:lang w:eastAsia="en-AU"/>
              </w:rPr>
              <w:t>16.7, 21.1</w:t>
            </w:r>
          </w:p>
        </w:tc>
        <w:tc>
          <w:tcPr>
            <w:tcW w:w="800" w:type="dxa"/>
          </w:tcPr>
          <w:p w:rsidR="00EF7180" w:rsidRPr="005B0796" w:rsidRDefault="00EF7180" w:rsidP="00EF7180">
            <w:pPr>
              <w:pStyle w:val="TableText"/>
              <w:jc w:val="right"/>
              <w:rPr>
                <w:lang w:eastAsia="en-AU"/>
              </w:rPr>
            </w:pPr>
            <w:r w:rsidRPr="005B0796">
              <w:rPr>
                <w:lang w:eastAsia="en-AU"/>
              </w:rPr>
              <w:t>385</w:t>
            </w:r>
          </w:p>
        </w:tc>
        <w:tc>
          <w:tcPr>
            <w:tcW w:w="450" w:type="dxa"/>
          </w:tcPr>
          <w:p w:rsidR="00EF7180" w:rsidRPr="005B0796" w:rsidRDefault="00EF7180" w:rsidP="00EF7180">
            <w:pPr>
              <w:pStyle w:val="TableText"/>
              <w:jc w:val="right"/>
              <w:rPr>
                <w:lang w:eastAsia="en-AU"/>
              </w:rPr>
            </w:pPr>
            <w:r w:rsidRPr="005B0796">
              <w:rPr>
                <w:lang w:eastAsia="en-AU"/>
              </w:rPr>
              <w:t>6.0</w:t>
            </w:r>
          </w:p>
        </w:tc>
        <w:tc>
          <w:tcPr>
            <w:tcW w:w="773" w:type="dxa"/>
          </w:tcPr>
          <w:p w:rsidR="00EF7180" w:rsidRPr="005B0796" w:rsidRDefault="00EF7180" w:rsidP="00EF7180">
            <w:pPr>
              <w:pStyle w:val="TableText"/>
              <w:jc w:val="right"/>
              <w:rPr>
                <w:lang w:eastAsia="en-AU"/>
              </w:rPr>
            </w:pPr>
            <w:r w:rsidRPr="005B0796">
              <w:rPr>
                <w:lang w:eastAsia="en-AU"/>
              </w:rPr>
              <w:t>4.5, 7.9</w:t>
            </w:r>
          </w:p>
        </w:tc>
        <w:tc>
          <w:tcPr>
            <w:tcW w:w="757" w:type="dxa"/>
          </w:tcPr>
          <w:p w:rsidR="00EF7180" w:rsidRPr="005B0796" w:rsidRDefault="00EF7180" w:rsidP="00EF7180">
            <w:pPr>
              <w:pStyle w:val="TableText"/>
              <w:jc w:val="right"/>
              <w:rPr>
                <w:lang w:eastAsia="en-AU"/>
              </w:rPr>
            </w:pPr>
            <w:r w:rsidRPr="005B0796">
              <w:rPr>
                <w:lang w:eastAsia="en-AU"/>
              </w:rPr>
              <w:t>346</w:t>
            </w:r>
          </w:p>
        </w:tc>
        <w:tc>
          <w:tcPr>
            <w:tcW w:w="450" w:type="dxa"/>
          </w:tcPr>
          <w:p w:rsidR="00EF7180" w:rsidRPr="005B0796" w:rsidRDefault="00EF7180" w:rsidP="00EF7180">
            <w:pPr>
              <w:pStyle w:val="TableText"/>
              <w:jc w:val="right"/>
              <w:rPr>
                <w:lang w:eastAsia="en-AU"/>
              </w:rPr>
            </w:pPr>
            <w:r w:rsidRPr="005B0796">
              <w:rPr>
                <w:lang w:eastAsia="en-AU"/>
              </w:rPr>
              <w:t>5.0</w:t>
            </w:r>
          </w:p>
        </w:tc>
        <w:tc>
          <w:tcPr>
            <w:tcW w:w="817" w:type="dxa"/>
          </w:tcPr>
          <w:p w:rsidR="00EF7180" w:rsidRPr="005B0796" w:rsidRDefault="00EF7180" w:rsidP="00EF7180">
            <w:pPr>
              <w:pStyle w:val="TableText"/>
              <w:jc w:val="right"/>
              <w:rPr>
                <w:lang w:eastAsia="en-AU"/>
              </w:rPr>
            </w:pPr>
            <w:r w:rsidRPr="005B0796">
              <w:rPr>
                <w:lang w:eastAsia="en-AU"/>
              </w:rPr>
              <w:t>3.7, 6.7</w:t>
            </w:r>
          </w:p>
        </w:tc>
      </w:tr>
      <w:tr w:rsidR="00EF7180" w:rsidRPr="005B0796" w:rsidTr="00A7183F">
        <w:trPr>
          <w:cnfStyle w:val="000000100000" w:firstRow="0" w:lastRow="0" w:firstColumn="0" w:lastColumn="0" w:oddVBand="0" w:evenVBand="0" w:oddHBand="1" w:evenHBand="0" w:firstRowFirstColumn="0" w:firstRowLastColumn="0" w:lastRowFirstColumn="0" w:lastRowLastColumn="0"/>
          <w:cantSplit/>
        </w:trPr>
        <w:tc>
          <w:tcPr>
            <w:tcW w:w="1245" w:type="dxa"/>
          </w:tcPr>
          <w:p w:rsidR="00EF7180" w:rsidRPr="005B0796" w:rsidRDefault="00EF7180" w:rsidP="00EF7180">
            <w:pPr>
              <w:pStyle w:val="TableText"/>
              <w:rPr>
                <w:rFonts w:eastAsia="Times New Roman"/>
                <w:lang w:eastAsia="en-AU"/>
              </w:rPr>
            </w:pPr>
            <w:r w:rsidRPr="005B0796">
              <w:rPr>
                <w:lang w:eastAsia="en-AU"/>
              </w:rPr>
              <w:t>GAD-7 total score M 95% CI</w:t>
            </w:r>
          </w:p>
        </w:tc>
        <w:tc>
          <w:tcPr>
            <w:tcW w:w="753" w:type="dxa"/>
          </w:tcPr>
          <w:p w:rsidR="00EF7180" w:rsidRPr="005B0796" w:rsidRDefault="00EF7180" w:rsidP="00EF7180">
            <w:pPr>
              <w:pStyle w:val="TableText"/>
              <w:jc w:val="right"/>
              <w:rPr>
                <w:lang w:eastAsia="en-AU"/>
              </w:rPr>
            </w:pPr>
          </w:p>
        </w:tc>
        <w:tc>
          <w:tcPr>
            <w:tcW w:w="450" w:type="dxa"/>
          </w:tcPr>
          <w:p w:rsidR="00EF7180" w:rsidRPr="005B0796" w:rsidRDefault="00EF7180" w:rsidP="00EF7180">
            <w:pPr>
              <w:pStyle w:val="TableText"/>
              <w:jc w:val="right"/>
              <w:rPr>
                <w:lang w:eastAsia="en-AU"/>
              </w:rPr>
            </w:pPr>
            <w:r w:rsidRPr="005B0796">
              <w:rPr>
                <w:rFonts w:cs="Calibri"/>
                <w:lang w:eastAsia="en-AU"/>
              </w:rPr>
              <w:t>7.4</w:t>
            </w:r>
          </w:p>
        </w:tc>
        <w:tc>
          <w:tcPr>
            <w:tcW w:w="820" w:type="dxa"/>
          </w:tcPr>
          <w:p w:rsidR="00EF7180" w:rsidRPr="005B0796" w:rsidRDefault="00EF7180" w:rsidP="00EF7180">
            <w:pPr>
              <w:pStyle w:val="TableText"/>
              <w:jc w:val="right"/>
              <w:rPr>
                <w:lang w:eastAsia="en-AU"/>
              </w:rPr>
            </w:pPr>
            <w:r w:rsidRPr="005B0796">
              <w:rPr>
                <w:rFonts w:cs="Calibri"/>
                <w:lang w:eastAsia="en-AU"/>
              </w:rPr>
              <w:t>7.1, 7.8</w:t>
            </w:r>
          </w:p>
        </w:tc>
        <w:tc>
          <w:tcPr>
            <w:tcW w:w="800" w:type="dxa"/>
          </w:tcPr>
          <w:p w:rsidR="00EF7180" w:rsidRPr="005B0796" w:rsidRDefault="00EF7180" w:rsidP="00EF7180">
            <w:pPr>
              <w:pStyle w:val="TableText"/>
              <w:jc w:val="right"/>
              <w:rPr>
                <w:lang w:eastAsia="en-AU"/>
              </w:rPr>
            </w:pPr>
          </w:p>
        </w:tc>
        <w:tc>
          <w:tcPr>
            <w:tcW w:w="450" w:type="dxa"/>
          </w:tcPr>
          <w:p w:rsidR="00EF7180" w:rsidRPr="005B0796" w:rsidRDefault="00EF7180" w:rsidP="00EF7180">
            <w:pPr>
              <w:pStyle w:val="TableText"/>
              <w:jc w:val="right"/>
              <w:rPr>
                <w:lang w:eastAsia="en-AU"/>
              </w:rPr>
            </w:pPr>
            <w:r w:rsidRPr="005B0796">
              <w:rPr>
                <w:rFonts w:cs="Calibri"/>
                <w:lang w:eastAsia="en-AU"/>
              </w:rPr>
              <w:t>4.6</w:t>
            </w:r>
          </w:p>
        </w:tc>
        <w:tc>
          <w:tcPr>
            <w:tcW w:w="773" w:type="dxa"/>
          </w:tcPr>
          <w:p w:rsidR="00EF7180" w:rsidRPr="005B0796" w:rsidRDefault="00EF7180" w:rsidP="00EF7180">
            <w:pPr>
              <w:pStyle w:val="TableText"/>
              <w:jc w:val="right"/>
              <w:rPr>
                <w:lang w:eastAsia="en-AU"/>
              </w:rPr>
            </w:pPr>
            <w:r w:rsidRPr="005B0796">
              <w:rPr>
                <w:rFonts w:cs="Calibri"/>
                <w:lang w:eastAsia="en-AU"/>
              </w:rPr>
              <w:t>4.2, 4.9</w:t>
            </w:r>
          </w:p>
        </w:tc>
        <w:tc>
          <w:tcPr>
            <w:tcW w:w="757" w:type="dxa"/>
          </w:tcPr>
          <w:p w:rsidR="00EF7180" w:rsidRPr="005B0796" w:rsidRDefault="00EF7180" w:rsidP="00EF7180">
            <w:pPr>
              <w:pStyle w:val="TableText"/>
              <w:jc w:val="right"/>
              <w:rPr>
                <w:lang w:eastAsia="en-AU"/>
              </w:rPr>
            </w:pPr>
          </w:p>
        </w:tc>
        <w:tc>
          <w:tcPr>
            <w:tcW w:w="450" w:type="dxa"/>
          </w:tcPr>
          <w:p w:rsidR="00EF7180" w:rsidRPr="005B0796" w:rsidRDefault="00EF7180" w:rsidP="00EF7180">
            <w:pPr>
              <w:pStyle w:val="TableText"/>
              <w:jc w:val="right"/>
              <w:rPr>
                <w:lang w:eastAsia="en-AU"/>
              </w:rPr>
            </w:pPr>
            <w:r w:rsidRPr="005B0796">
              <w:rPr>
                <w:rFonts w:cs="Calibri"/>
                <w:lang w:eastAsia="en-AU"/>
              </w:rPr>
              <w:t>3.9</w:t>
            </w:r>
          </w:p>
        </w:tc>
        <w:tc>
          <w:tcPr>
            <w:tcW w:w="817" w:type="dxa"/>
          </w:tcPr>
          <w:p w:rsidR="00EF7180" w:rsidRPr="005B0796" w:rsidRDefault="00EF7180" w:rsidP="00EF7180">
            <w:pPr>
              <w:pStyle w:val="TableText"/>
              <w:jc w:val="right"/>
              <w:rPr>
                <w:lang w:eastAsia="en-AU"/>
              </w:rPr>
            </w:pPr>
            <w:r w:rsidRPr="005B0796">
              <w:rPr>
                <w:rFonts w:cs="Calibri"/>
                <w:lang w:eastAsia="en-AU"/>
              </w:rPr>
              <w:t>3.6, 4.2</w:t>
            </w:r>
          </w:p>
        </w:tc>
      </w:tr>
    </w:tbl>
    <w:p w:rsidR="00BF4089" w:rsidRPr="005B0796" w:rsidRDefault="00EF7180" w:rsidP="00EF7180">
      <w:pPr>
        <w:pStyle w:val="TableNotes"/>
      </w:pPr>
      <w:r w:rsidRPr="005B0796">
        <w:t xml:space="preserve">Note: 95% CI: 95% </w:t>
      </w:r>
      <w:r w:rsidR="00564689" w:rsidRPr="005B0796">
        <w:t>confidence interval</w:t>
      </w:r>
    </w:p>
    <w:p w:rsidR="00EF7180" w:rsidRPr="005B0796" w:rsidRDefault="004E699B" w:rsidP="004E699B">
      <w:pPr>
        <w:pStyle w:val="FigureName"/>
      </w:pPr>
      <w:bookmarkStart w:id="1141" w:name="_Toc487014414"/>
      <w:bookmarkStart w:id="1142" w:name="_Toc51190058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24</w:t>
      </w:r>
      <w:r w:rsidR="00D30A3C">
        <w:rPr>
          <w:noProof/>
        </w:rPr>
        <w:fldChar w:fldCharType="end"/>
      </w:r>
      <w:r w:rsidR="00C01061">
        <w:tab/>
        <w:t>Estimated proportions of</w:t>
      </w:r>
      <w:r w:rsidRPr="005B0796">
        <w:t xml:space="preserve"> Transitioned ADF for GAD-7 scoring bands</w:t>
      </w:r>
      <w:r w:rsidR="00C01061">
        <w:t>,</w:t>
      </w:r>
      <w:r w:rsidRPr="005B0796">
        <w:t xml:space="preserve"> by transition status</w:t>
      </w:r>
      <w:bookmarkEnd w:id="1141"/>
      <w:bookmarkEnd w:id="1142"/>
    </w:p>
    <w:tbl>
      <w:tblPr>
        <w:tblW w:w="5000" w:type="pct"/>
        <w:tblLayout w:type="fixed"/>
        <w:tblCellMar>
          <w:left w:w="115" w:type="dxa"/>
          <w:right w:w="115" w:type="dxa"/>
        </w:tblCellMar>
        <w:tblLook w:val="04A0" w:firstRow="1" w:lastRow="0" w:firstColumn="1" w:lastColumn="0" w:noHBand="0" w:noVBand="1"/>
      </w:tblPr>
      <w:tblGrid>
        <w:gridCol w:w="7329"/>
      </w:tblGrid>
      <w:tr w:rsidR="00BF4089" w:rsidRPr="005B0796" w:rsidTr="004E699B">
        <w:trPr>
          <w:cantSplit/>
        </w:trPr>
        <w:tc>
          <w:tcPr>
            <w:tcW w:w="7315" w:type="dxa"/>
          </w:tcPr>
          <w:p w:rsidR="00BF4089" w:rsidRPr="005B0796" w:rsidRDefault="00BF4089" w:rsidP="0064122F">
            <w:r w:rsidRPr="005B0796">
              <w:rPr>
                <w:noProof/>
                <w:lang w:eastAsia="en-AU"/>
              </w:rPr>
              <w:drawing>
                <wp:inline distT="0" distB="0" distL="0" distR="0" wp14:anchorId="2D4E9F87" wp14:editId="3C4AC2FA">
                  <wp:extent cx="4572000" cy="2743200"/>
                  <wp:effectExtent l="0" t="0" r="0" b="0"/>
                  <wp:docPr id="318" name="Chart 318" descr="Figure 5.24 Estimated proportions in Transitioned ADF for GAD-7 scoring bands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r>
    </w:tbl>
    <w:p w:rsidR="00BF4089" w:rsidRPr="005B0796" w:rsidRDefault="00BF4089" w:rsidP="004E699B">
      <w:pPr>
        <w:pStyle w:val="Heading4"/>
      </w:pPr>
      <w:r w:rsidRPr="005B0796">
        <w:t>Generalised anxiety symptoms in Transitioned ADF members</w:t>
      </w:r>
      <w:r w:rsidR="00C01061">
        <w:t>,</w:t>
      </w:r>
      <w:r w:rsidRPr="005B0796">
        <w:t xml:space="preserve"> by years since transition</w:t>
      </w:r>
    </w:p>
    <w:p w:rsidR="00BF4089" w:rsidRPr="005B0796" w:rsidRDefault="009E72D3" w:rsidP="004E699B">
      <w:r w:rsidRPr="005B0796">
        <w:t>Table 5.25</w:t>
      </w:r>
      <w:r w:rsidR="00BF4089" w:rsidRPr="005B0796">
        <w:t xml:space="preserve"> compares the GAD-7 scoring bands for Transitioned ADF members, by years since transition.</w:t>
      </w:r>
    </w:p>
    <w:p w:rsidR="00BF4089" w:rsidRPr="005B0796" w:rsidRDefault="00BF4089" w:rsidP="004E699B">
      <w:r w:rsidRPr="005B0796">
        <w:t>Although overall the passing of time since transition did not significantly affect the scoring bands for generalised anxiety symptoms, ADF members who transitioned less than a year ago had significantly lower total scores for generalised anxiety symptoms than those who were three years post-transition, when the greatest inc</w:t>
      </w:r>
      <w:r w:rsidR="004E699B" w:rsidRPr="005B0796">
        <w:t>rease in symptoms was observed.</w:t>
      </w:r>
    </w:p>
    <w:p w:rsidR="00BF4089" w:rsidRPr="005B0796" w:rsidRDefault="00BF4089" w:rsidP="00BF4089">
      <w:pPr>
        <w:sectPr w:rsidR="00BF4089" w:rsidRPr="005B0796" w:rsidSect="005A477D">
          <w:footerReference w:type="even" r:id="rId232"/>
          <w:footerReference w:type="default" r:id="rId233"/>
          <w:pgSz w:w="9979" w:h="14170" w:code="243"/>
          <w:pgMar w:top="1440" w:right="1152" w:bottom="1440" w:left="1728" w:header="576" w:footer="576" w:gutter="0"/>
          <w:cols w:space="708"/>
          <w:docGrid w:linePitch="360"/>
        </w:sectPr>
      </w:pPr>
    </w:p>
    <w:p w:rsidR="004E699B" w:rsidRPr="005B0796" w:rsidRDefault="004E699B" w:rsidP="004E699B">
      <w:pPr>
        <w:pStyle w:val="TableName"/>
      </w:pPr>
      <w:bookmarkStart w:id="1143" w:name="_Toc511900478"/>
      <w:bookmarkStart w:id="1144" w:name="_Ref484523487"/>
      <w:bookmarkStart w:id="1145" w:name="_Toc487014326"/>
      <w:bookmarkStart w:id="1146" w:name="_Toc49299562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25</w:t>
      </w:r>
      <w:r w:rsidR="00D30A3C">
        <w:rPr>
          <w:noProof/>
        </w:rPr>
        <w:fldChar w:fldCharType="end"/>
      </w:r>
      <w:r w:rsidRPr="005B0796">
        <w:tab/>
        <w:t>Proportion of Transitioned ADF in each of the GAD-7 scoring bands for GAD symptoms, by years since transition</w:t>
      </w:r>
      <w:bookmarkEnd w:id="1143"/>
    </w:p>
    <w:tbl>
      <w:tblPr>
        <w:tblStyle w:val="TWRPTable"/>
        <w:tblW w:w="5000" w:type="pct"/>
        <w:tblLayout w:type="fixed"/>
        <w:tblLook w:val="04A0" w:firstRow="1" w:lastRow="0" w:firstColumn="1" w:lastColumn="0" w:noHBand="0" w:noVBand="1"/>
        <w:tblDescription w:val="Table 5.25 Proportion of Transitioned ADF in each of the GAD-7 scoring bands for GAD symptoms, by years since transition"/>
      </w:tblPr>
      <w:tblGrid>
        <w:gridCol w:w="2153"/>
        <w:gridCol w:w="1039"/>
        <w:gridCol w:w="1039"/>
        <w:gridCol w:w="1039"/>
        <w:gridCol w:w="1039"/>
        <w:gridCol w:w="1040"/>
        <w:gridCol w:w="1039"/>
        <w:gridCol w:w="1039"/>
        <w:gridCol w:w="1039"/>
        <w:gridCol w:w="1040"/>
      </w:tblGrid>
      <w:tr w:rsidR="004E699B" w:rsidRPr="005B0796" w:rsidTr="004E699B">
        <w:trPr>
          <w:cnfStyle w:val="100000000000" w:firstRow="1" w:lastRow="0" w:firstColumn="0" w:lastColumn="0" w:oddVBand="0" w:evenVBand="0" w:oddHBand="0" w:evenHBand="0" w:firstRowFirstColumn="0" w:firstRowLastColumn="0" w:lastRowFirstColumn="0" w:lastRowLastColumn="0"/>
          <w:tblHeader/>
        </w:trPr>
        <w:tc>
          <w:tcPr>
            <w:tcW w:w="2153" w:type="dxa"/>
            <w:vMerge w:val="restart"/>
            <w:hideMark/>
          </w:tcPr>
          <w:bookmarkEnd w:id="1144"/>
          <w:bookmarkEnd w:id="1145"/>
          <w:bookmarkEnd w:id="1146"/>
          <w:p w:rsidR="004E699B" w:rsidRPr="005B0796" w:rsidRDefault="004E699B" w:rsidP="004E699B">
            <w:pPr>
              <w:pStyle w:val="TableText"/>
            </w:pPr>
            <w:r w:rsidRPr="005B0796">
              <w:t>GAD-7 scoring bands</w:t>
            </w:r>
          </w:p>
        </w:tc>
        <w:tc>
          <w:tcPr>
            <w:tcW w:w="3117" w:type="dxa"/>
            <w:gridSpan w:val="3"/>
            <w:hideMark/>
          </w:tcPr>
          <w:p w:rsidR="004E699B" w:rsidRPr="005B0796" w:rsidRDefault="004E699B" w:rsidP="004E699B">
            <w:pPr>
              <w:pStyle w:val="TableText"/>
              <w:jc w:val="center"/>
            </w:pPr>
            <w:r w:rsidRPr="005B0796">
              <w:t xml:space="preserve">0 (1–11months) </w:t>
            </w:r>
            <w:r w:rsidRPr="005B0796">
              <w:br/>
              <w:t>(n = 1945)</w:t>
            </w:r>
          </w:p>
        </w:tc>
        <w:tc>
          <w:tcPr>
            <w:tcW w:w="3118" w:type="dxa"/>
            <w:gridSpan w:val="3"/>
            <w:hideMark/>
          </w:tcPr>
          <w:p w:rsidR="004E699B" w:rsidRPr="005B0796" w:rsidRDefault="004E699B" w:rsidP="004E699B">
            <w:pPr>
              <w:pStyle w:val="TableText"/>
              <w:jc w:val="center"/>
            </w:pPr>
            <w:r w:rsidRPr="005B0796">
              <w:t xml:space="preserve">1 year </w:t>
            </w:r>
            <w:r w:rsidRPr="005B0796">
              <w:br/>
              <w:t>(n = 4874)</w:t>
            </w:r>
          </w:p>
        </w:tc>
        <w:tc>
          <w:tcPr>
            <w:tcW w:w="3118" w:type="dxa"/>
            <w:gridSpan w:val="3"/>
            <w:hideMark/>
          </w:tcPr>
          <w:p w:rsidR="004E699B" w:rsidRPr="005B0796" w:rsidRDefault="004E699B" w:rsidP="004E699B">
            <w:pPr>
              <w:pStyle w:val="TableText"/>
              <w:jc w:val="center"/>
            </w:pPr>
            <w:r w:rsidRPr="005B0796">
              <w:t xml:space="preserve">2 years </w:t>
            </w:r>
            <w:r w:rsidRPr="005B0796">
              <w:br/>
              <w:t>(n = 4944)</w:t>
            </w:r>
          </w:p>
        </w:tc>
      </w:tr>
      <w:tr w:rsidR="004E699B" w:rsidRPr="005B0796" w:rsidTr="004E699B">
        <w:trPr>
          <w:cnfStyle w:val="100000000000" w:firstRow="1" w:lastRow="0" w:firstColumn="0" w:lastColumn="0" w:oddVBand="0" w:evenVBand="0" w:oddHBand="0" w:evenHBand="0" w:firstRowFirstColumn="0" w:firstRowLastColumn="0" w:lastRowFirstColumn="0" w:lastRowLastColumn="0"/>
          <w:tblHeader/>
        </w:trPr>
        <w:tc>
          <w:tcPr>
            <w:tcW w:w="2153" w:type="dxa"/>
            <w:vMerge/>
            <w:hideMark/>
          </w:tcPr>
          <w:p w:rsidR="004E699B" w:rsidRPr="005B0796" w:rsidRDefault="004E699B" w:rsidP="004E699B">
            <w:pPr>
              <w:pStyle w:val="TableText"/>
            </w:pPr>
          </w:p>
        </w:tc>
        <w:tc>
          <w:tcPr>
            <w:tcW w:w="1039" w:type="dxa"/>
            <w:hideMark/>
          </w:tcPr>
          <w:p w:rsidR="004E699B" w:rsidRPr="005B0796" w:rsidRDefault="004E699B" w:rsidP="004E699B">
            <w:pPr>
              <w:pStyle w:val="TableText"/>
              <w:jc w:val="right"/>
              <w:rPr>
                <w:rFonts w:eastAsia="Times New Roman"/>
              </w:rPr>
            </w:pPr>
            <w:r w:rsidRPr="005B0796">
              <w:t>Weighted n</w:t>
            </w:r>
          </w:p>
        </w:tc>
        <w:tc>
          <w:tcPr>
            <w:tcW w:w="1039" w:type="dxa"/>
            <w:hideMark/>
          </w:tcPr>
          <w:p w:rsidR="004E699B" w:rsidRPr="005B0796" w:rsidRDefault="004E699B" w:rsidP="004E699B">
            <w:pPr>
              <w:pStyle w:val="TableText"/>
              <w:jc w:val="right"/>
              <w:rPr>
                <w:rFonts w:eastAsia="Times New Roman"/>
              </w:rPr>
            </w:pPr>
            <w:r w:rsidRPr="005B0796">
              <w:t>%</w:t>
            </w:r>
          </w:p>
        </w:tc>
        <w:tc>
          <w:tcPr>
            <w:tcW w:w="1039" w:type="dxa"/>
            <w:hideMark/>
          </w:tcPr>
          <w:p w:rsidR="004E699B" w:rsidRPr="005B0796" w:rsidRDefault="004E699B" w:rsidP="004E699B">
            <w:pPr>
              <w:pStyle w:val="TableText"/>
              <w:jc w:val="right"/>
              <w:rPr>
                <w:rFonts w:eastAsia="Times New Roman"/>
              </w:rPr>
            </w:pPr>
            <w:r w:rsidRPr="005B0796">
              <w:t>95% CI</w:t>
            </w:r>
          </w:p>
        </w:tc>
        <w:tc>
          <w:tcPr>
            <w:tcW w:w="1039" w:type="dxa"/>
            <w:hideMark/>
          </w:tcPr>
          <w:p w:rsidR="004E699B" w:rsidRPr="005B0796" w:rsidRDefault="004E699B" w:rsidP="004E699B">
            <w:pPr>
              <w:pStyle w:val="TableText"/>
              <w:jc w:val="right"/>
              <w:rPr>
                <w:rFonts w:eastAsia="Times New Roman"/>
              </w:rPr>
            </w:pPr>
            <w:r w:rsidRPr="005B0796">
              <w:t>Weighted n</w:t>
            </w:r>
          </w:p>
        </w:tc>
        <w:tc>
          <w:tcPr>
            <w:tcW w:w="1040" w:type="dxa"/>
            <w:hideMark/>
          </w:tcPr>
          <w:p w:rsidR="004E699B" w:rsidRPr="005B0796" w:rsidRDefault="004E699B" w:rsidP="004E699B">
            <w:pPr>
              <w:pStyle w:val="TableText"/>
              <w:jc w:val="right"/>
              <w:rPr>
                <w:rFonts w:eastAsia="Times New Roman"/>
              </w:rPr>
            </w:pPr>
            <w:r w:rsidRPr="005B0796">
              <w:t>%</w:t>
            </w:r>
          </w:p>
        </w:tc>
        <w:tc>
          <w:tcPr>
            <w:tcW w:w="1039" w:type="dxa"/>
            <w:hideMark/>
          </w:tcPr>
          <w:p w:rsidR="004E699B" w:rsidRPr="005B0796" w:rsidRDefault="004E699B" w:rsidP="004E699B">
            <w:pPr>
              <w:pStyle w:val="TableText"/>
              <w:jc w:val="right"/>
              <w:rPr>
                <w:rFonts w:eastAsia="Times New Roman"/>
              </w:rPr>
            </w:pPr>
            <w:r w:rsidRPr="005B0796">
              <w:t>95% CI</w:t>
            </w:r>
          </w:p>
        </w:tc>
        <w:tc>
          <w:tcPr>
            <w:tcW w:w="1039" w:type="dxa"/>
            <w:hideMark/>
          </w:tcPr>
          <w:p w:rsidR="004E699B" w:rsidRPr="005B0796" w:rsidRDefault="004E699B" w:rsidP="004E699B">
            <w:pPr>
              <w:pStyle w:val="TableText"/>
              <w:jc w:val="right"/>
              <w:rPr>
                <w:rFonts w:eastAsia="Times New Roman"/>
              </w:rPr>
            </w:pPr>
            <w:r w:rsidRPr="005B0796">
              <w:t>Weighted n</w:t>
            </w:r>
          </w:p>
        </w:tc>
        <w:tc>
          <w:tcPr>
            <w:tcW w:w="1039" w:type="dxa"/>
            <w:hideMark/>
          </w:tcPr>
          <w:p w:rsidR="004E699B" w:rsidRPr="005B0796" w:rsidRDefault="004E699B" w:rsidP="004E699B">
            <w:pPr>
              <w:pStyle w:val="TableText"/>
              <w:jc w:val="right"/>
              <w:rPr>
                <w:rFonts w:eastAsia="Times New Roman"/>
              </w:rPr>
            </w:pPr>
            <w:r w:rsidRPr="005B0796">
              <w:t>%</w:t>
            </w:r>
          </w:p>
        </w:tc>
        <w:tc>
          <w:tcPr>
            <w:tcW w:w="1040" w:type="dxa"/>
            <w:hideMark/>
          </w:tcPr>
          <w:p w:rsidR="004E699B" w:rsidRPr="005B0796" w:rsidRDefault="004E699B" w:rsidP="004E699B">
            <w:pPr>
              <w:pStyle w:val="TableText"/>
              <w:jc w:val="right"/>
              <w:rPr>
                <w:rFonts w:eastAsia="Times New Roman"/>
              </w:rPr>
            </w:pPr>
            <w:r w:rsidRPr="005B0796">
              <w:t>95% CI</w:t>
            </w:r>
          </w:p>
        </w:tc>
      </w:tr>
      <w:tr w:rsidR="004E699B" w:rsidRPr="005B0796" w:rsidTr="004E699B">
        <w:trPr>
          <w:cnfStyle w:val="000000100000" w:firstRow="0" w:lastRow="0" w:firstColumn="0" w:lastColumn="0" w:oddVBand="0" w:evenVBand="0" w:oddHBand="1" w:evenHBand="0" w:firstRowFirstColumn="0" w:firstRowLastColumn="0" w:lastRowFirstColumn="0" w:lastRowLastColumn="0"/>
        </w:trPr>
        <w:tc>
          <w:tcPr>
            <w:tcW w:w="2153" w:type="dxa"/>
            <w:hideMark/>
          </w:tcPr>
          <w:p w:rsidR="004E699B" w:rsidRPr="005B0796" w:rsidRDefault="004E699B" w:rsidP="004E699B">
            <w:pPr>
              <w:pStyle w:val="TableText"/>
              <w:rPr>
                <w:rFonts w:eastAsia="Times New Roman"/>
              </w:rPr>
            </w:pPr>
            <w:r w:rsidRPr="005B0796">
              <w:t>Minimal (0–4)</w:t>
            </w:r>
          </w:p>
        </w:tc>
        <w:tc>
          <w:tcPr>
            <w:tcW w:w="1039" w:type="dxa"/>
            <w:hideMark/>
          </w:tcPr>
          <w:p w:rsidR="004E699B" w:rsidRPr="005B0796" w:rsidRDefault="004E699B" w:rsidP="004E699B">
            <w:pPr>
              <w:pStyle w:val="TableText"/>
              <w:jc w:val="right"/>
            </w:pPr>
            <w:r w:rsidRPr="005B0796">
              <w:rPr>
                <w:rFonts w:eastAsia="Times New Roman"/>
              </w:rPr>
              <w:t>1142</w:t>
            </w:r>
          </w:p>
        </w:tc>
        <w:tc>
          <w:tcPr>
            <w:tcW w:w="1039" w:type="dxa"/>
            <w:hideMark/>
          </w:tcPr>
          <w:p w:rsidR="004E699B" w:rsidRPr="005B0796" w:rsidRDefault="004E699B" w:rsidP="004E699B">
            <w:pPr>
              <w:pStyle w:val="TableText"/>
              <w:jc w:val="right"/>
            </w:pPr>
            <w:r w:rsidRPr="005B0796">
              <w:rPr>
                <w:rFonts w:eastAsia="Times New Roman"/>
              </w:rPr>
              <w:t>58.7</w:t>
            </w:r>
          </w:p>
        </w:tc>
        <w:tc>
          <w:tcPr>
            <w:tcW w:w="1039" w:type="dxa"/>
            <w:hideMark/>
          </w:tcPr>
          <w:p w:rsidR="004E699B" w:rsidRPr="005B0796" w:rsidRDefault="004E699B" w:rsidP="004E699B">
            <w:pPr>
              <w:pStyle w:val="TableText"/>
              <w:jc w:val="right"/>
            </w:pPr>
            <w:r w:rsidRPr="005B0796">
              <w:rPr>
                <w:rFonts w:eastAsia="Times New Roman"/>
              </w:rPr>
              <w:t>52.4, 64.8</w:t>
            </w:r>
          </w:p>
        </w:tc>
        <w:tc>
          <w:tcPr>
            <w:tcW w:w="1039" w:type="dxa"/>
            <w:hideMark/>
          </w:tcPr>
          <w:p w:rsidR="004E699B" w:rsidRPr="005B0796" w:rsidRDefault="004E699B" w:rsidP="004E699B">
            <w:pPr>
              <w:pStyle w:val="TableText"/>
              <w:jc w:val="right"/>
            </w:pPr>
            <w:r w:rsidRPr="005B0796">
              <w:rPr>
                <w:rFonts w:eastAsia="Times New Roman"/>
              </w:rPr>
              <w:t>2702</w:t>
            </w:r>
          </w:p>
        </w:tc>
        <w:tc>
          <w:tcPr>
            <w:tcW w:w="1040" w:type="dxa"/>
            <w:hideMark/>
          </w:tcPr>
          <w:p w:rsidR="004E699B" w:rsidRPr="005B0796" w:rsidRDefault="004E699B" w:rsidP="004E699B">
            <w:pPr>
              <w:pStyle w:val="TableText"/>
              <w:jc w:val="right"/>
            </w:pPr>
            <w:r w:rsidRPr="005B0796">
              <w:rPr>
                <w:rFonts w:eastAsia="Times New Roman"/>
              </w:rPr>
              <w:t>55.4</w:t>
            </w:r>
          </w:p>
        </w:tc>
        <w:tc>
          <w:tcPr>
            <w:tcW w:w="1039" w:type="dxa"/>
            <w:hideMark/>
          </w:tcPr>
          <w:p w:rsidR="004E699B" w:rsidRPr="005B0796" w:rsidRDefault="004E699B" w:rsidP="004E699B">
            <w:pPr>
              <w:pStyle w:val="TableText"/>
              <w:jc w:val="right"/>
            </w:pPr>
            <w:r w:rsidRPr="005B0796">
              <w:rPr>
                <w:rFonts w:eastAsia="Times New Roman"/>
              </w:rPr>
              <w:t>51.4, 59.5</w:t>
            </w:r>
          </w:p>
        </w:tc>
        <w:tc>
          <w:tcPr>
            <w:tcW w:w="1039" w:type="dxa"/>
            <w:hideMark/>
          </w:tcPr>
          <w:p w:rsidR="004E699B" w:rsidRPr="005B0796" w:rsidRDefault="004E699B" w:rsidP="004E699B">
            <w:pPr>
              <w:pStyle w:val="TableText"/>
              <w:jc w:val="right"/>
            </w:pPr>
            <w:r w:rsidRPr="005B0796">
              <w:rPr>
                <w:rFonts w:eastAsia="Times New Roman"/>
              </w:rPr>
              <w:t>2729</w:t>
            </w:r>
          </w:p>
        </w:tc>
        <w:tc>
          <w:tcPr>
            <w:tcW w:w="1039" w:type="dxa"/>
            <w:hideMark/>
          </w:tcPr>
          <w:p w:rsidR="004E699B" w:rsidRPr="005B0796" w:rsidRDefault="004E699B" w:rsidP="004E699B">
            <w:pPr>
              <w:pStyle w:val="TableText"/>
              <w:jc w:val="right"/>
            </w:pPr>
            <w:r w:rsidRPr="005B0796">
              <w:rPr>
                <w:rFonts w:eastAsia="Times New Roman"/>
              </w:rPr>
              <w:t>55.2</w:t>
            </w:r>
          </w:p>
        </w:tc>
        <w:tc>
          <w:tcPr>
            <w:tcW w:w="1040" w:type="dxa"/>
            <w:hideMark/>
          </w:tcPr>
          <w:p w:rsidR="004E699B" w:rsidRPr="005B0796" w:rsidRDefault="004E699B" w:rsidP="004E699B">
            <w:pPr>
              <w:pStyle w:val="TableText"/>
              <w:jc w:val="right"/>
            </w:pPr>
            <w:r w:rsidRPr="005B0796">
              <w:rPr>
                <w:rFonts w:eastAsia="Times New Roman"/>
              </w:rPr>
              <w:t>50.9, 59.4</w:t>
            </w:r>
          </w:p>
        </w:tc>
      </w:tr>
      <w:tr w:rsidR="004E699B" w:rsidRPr="005B0796" w:rsidTr="004E699B">
        <w:tc>
          <w:tcPr>
            <w:tcW w:w="2153" w:type="dxa"/>
            <w:hideMark/>
          </w:tcPr>
          <w:p w:rsidR="004E699B" w:rsidRPr="005B0796" w:rsidRDefault="004E699B" w:rsidP="004E699B">
            <w:pPr>
              <w:pStyle w:val="TableText"/>
              <w:rPr>
                <w:rFonts w:eastAsia="Times New Roman"/>
              </w:rPr>
            </w:pPr>
            <w:r w:rsidRPr="005B0796">
              <w:t>Mild (5–9)</w:t>
            </w:r>
          </w:p>
        </w:tc>
        <w:tc>
          <w:tcPr>
            <w:tcW w:w="1039" w:type="dxa"/>
            <w:hideMark/>
          </w:tcPr>
          <w:p w:rsidR="004E699B" w:rsidRPr="005B0796" w:rsidRDefault="004E699B" w:rsidP="004E699B">
            <w:pPr>
              <w:pStyle w:val="TableText"/>
              <w:jc w:val="right"/>
            </w:pPr>
            <w:r w:rsidRPr="005B0796">
              <w:rPr>
                <w:rFonts w:eastAsia="Times New Roman"/>
              </w:rPr>
              <w:t>462</w:t>
            </w:r>
          </w:p>
        </w:tc>
        <w:tc>
          <w:tcPr>
            <w:tcW w:w="1039" w:type="dxa"/>
            <w:hideMark/>
          </w:tcPr>
          <w:p w:rsidR="004E699B" w:rsidRPr="005B0796" w:rsidRDefault="004E699B" w:rsidP="004E699B">
            <w:pPr>
              <w:pStyle w:val="TableText"/>
              <w:jc w:val="right"/>
            </w:pPr>
            <w:r w:rsidRPr="005B0796">
              <w:rPr>
                <w:rFonts w:eastAsia="Times New Roman"/>
              </w:rPr>
              <w:t>23.7</w:t>
            </w:r>
          </w:p>
        </w:tc>
        <w:tc>
          <w:tcPr>
            <w:tcW w:w="1039" w:type="dxa"/>
            <w:hideMark/>
          </w:tcPr>
          <w:p w:rsidR="004E699B" w:rsidRPr="005B0796" w:rsidRDefault="004E699B" w:rsidP="004E699B">
            <w:pPr>
              <w:pStyle w:val="TableText"/>
              <w:jc w:val="right"/>
            </w:pPr>
            <w:r w:rsidRPr="005B0796">
              <w:rPr>
                <w:rFonts w:eastAsia="Times New Roman"/>
              </w:rPr>
              <w:t>18.6, 29.8</w:t>
            </w:r>
          </w:p>
        </w:tc>
        <w:tc>
          <w:tcPr>
            <w:tcW w:w="1039" w:type="dxa"/>
            <w:hideMark/>
          </w:tcPr>
          <w:p w:rsidR="004E699B" w:rsidRPr="005B0796" w:rsidRDefault="004E699B" w:rsidP="004E699B">
            <w:pPr>
              <w:pStyle w:val="TableText"/>
              <w:jc w:val="right"/>
            </w:pPr>
            <w:r w:rsidRPr="005B0796">
              <w:rPr>
                <w:rFonts w:eastAsia="Times New Roman"/>
              </w:rPr>
              <w:t>935</w:t>
            </w:r>
          </w:p>
        </w:tc>
        <w:tc>
          <w:tcPr>
            <w:tcW w:w="1040" w:type="dxa"/>
            <w:hideMark/>
          </w:tcPr>
          <w:p w:rsidR="004E699B" w:rsidRPr="005B0796" w:rsidRDefault="004E699B" w:rsidP="004E699B">
            <w:pPr>
              <w:pStyle w:val="TableText"/>
              <w:jc w:val="right"/>
            </w:pPr>
            <w:r w:rsidRPr="005B0796">
              <w:rPr>
                <w:rFonts w:eastAsia="Times New Roman"/>
              </w:rPr>
              <w:t>19.2</w:t>
            </w:r>
          </w:p>
        </w:tc>
        <w:tc>
          <w:tcPr>
            <w:tcW w:w="1039" w:type="dxa"/>
            <w:hideMark/>
          </w:tcPr>
          <w:p w:rsidR="004E699B" w:rsidRPr="005B0796" w:rsidRDefault="004E699B" w:rsidP="004E699B">
            <w:pPr>
              <w:pStyle w:val="TableText"/>
              <w:jc w:val="right"/>
            </w:pPr>
            <w:r w:rsidRPr="005B0796">
              <w:rPr>
                <w:rFonts w:eastAsia="Times New Roman"/>
              </w:rPr>
              <w:t>16.3, 22.5</w:t>
            </w:r>
          </w:p>
        </w:tc>
        <w:tc>
          <w:tcPr>
            <w:tcW w:w="1039" w:type="dxa"/>
            <w:hideMark/>
          </w:tcPr>
          <w:p w:rsidR="004E699B" w:rsidRPr="005B0796" w:rsidRDefault="004E699B" w:rsidP="004E699B">
            <w:pPr>
              <w:pStyle w:val="TableText"/>
              <w:jc w:val="right"/>
            </w:pPr>
            <w:r w:rsidRPr="005B0796">
              <w:rPr>
                <w:rFonts w:eastAsia="Times New Roman"/>
              </w:rPr>
              <w:t>1045</w:t>
            </w:r>
          </w:p>
        </w:tc>
        <w:tc>
          <w:tcPr>
            <w:tcW w:w="1039" w:type="dxa"/>
            <w:hideMark/>
          </w:tcPr>
          <w:p w:rsidR="004E699B" w:rsidRPr="005B0796" w:rsidRDefault="004E699B" w:rsidP="004E699B">
            <w:pPr>
              <w:pStyle w:val="TableText"/>
              <w:jc w:val="right"/>
            </w:pPr>
            <w:r w:rsidRPr="005B0796">
              <w:rPr>
                <w:rFonts w:eastAsia="Times New Roman"/>
              </w:rPr>
              <w:t>21.1</w:t>
            </w:r>
          </w:p>
        </w:tc>
        <w:tc>
          <w:tcPr>
            <w:tcW w:w="1040" w:type="dxa"/>
            <w:hideMark/>
          </w:tcPr>
          <w:p w:rsidR="004E699B" w:rsidRPr="005B0796" w:rsidRDefault="004E699B" w:rsidP="004E699B">
            <w:pPr>
              <w:pStyle w:val="TableText"/>
              <w:jc w:val="right"/>
            </w:pPr>
            <w:r w:rsidRPr="005B0796">
              <w:rPr>
                <w:rFonts w:eastAsia="Times New Roman"/>
              </w:rPr>
              <w:t>17.9, 24.7</w:t>
            </w:r>
          </w:p>
        </w:tc>
      </w:tr>
      <w:tr w:rsidR="004E699B" w:rsidRPr="005B0796" w:rsidTr="004E699B">
        <w:trPr>
          <w:cnfStyle w:val="000000100000" w:firstRow="0" w:lastRow="0" w:firstColumn="0" w:lastColumn="0" w:oddVBand="0" w:evenVBand="0" w:oddHBand="1" w:evenHBand="0" w:firstRowFirstColumn="0" w:firstRowLastColumn="0" w:lastRowFirstColumn="0" w:lastRowLastColumn="0"/>
        </w:trPr>
        <w:tc>
          <w:tcPr>
            <w:tcW w:w="2153" w:type="dxa"/>
            <w:hideMark/>
          </w:tcPr>
          <w:p w:rsidR="004E699B" w:rsidRPr="005B0796" w:rsidRDefault="004E699B" w:rsidP="004E699B">
            <w:pPr>
              <w:pStyle w:val="TableText"/>
              <w:rPr>
                <w:rFonts w:eastAsia="Times New Roman"/>
              </w:rPr>
            </w:pPr>
            <w:r w:rsidRPr="005B0796">
              <w:t>Moderate (10–14)</w:t>
            </w:r>
          </w:p>
        </w:tc>
        <w:tc>
          <w:tcPr>
            <w:tcW w:w="1039" w:type="dxa"/>
            <w:hideMark/>
          </w:tcPr>
          <w:p w:rsidR="004E699B" w:rsidRPr="005B0796" w:rsidRDefault="004E699B" w:rsidP="004E699B">
            <w:pPr>
              <w:pStyle w:val="TableText"/>
              <w:jc w:val="right"/>
            </w:pPr>
            <w:r w:rsidRPr="005B0796">
              <w:rPr>
                <w:rFonts w:eastAsia="Times New Roman"/>
              </w:rPr>
              <w:t>208</w:t>
            </w:r>
          </w:p>
        </w:tc>
        <w:tc>
          <w:tcPr>
            <w:tcW w:w="1039" w:type="dxa"/>
            <w:hideMark/>
          </w:tcPr>
          <w:p w:rsidR="004E699B" w:rsidRPr="005B0796" w:rsidRDefault="004E699B" w:rsidP="004E699B">
            <w:pPr>
              <w:pStyle w:val="TableText"/>
              <w:jc w:val="right"/>
            </w:pPr>
            <w:r w:rsidRPr="005B0796">
              <w:rPr>
                <w:rFonts w:eastAsia="Times New Roman"/>
              </w:rPr>
              <w:t>10.7</w:t>
            </w:r>
          </w:p>
        </w:tc>
        <w:tc>
          <w:tcPr>
            <w:tcW w:w="1039" w:type="dxa"/>
            <w:hideMark/>
          </w:tcPr>
          <w:p w:rsidR="004E699B" w:rsidRPr="005B0796" w:rsidRDefault="004E699B" w:rsidP="004E699B">
            <w:pPr>
              <w:pStyle w:val="TableText"/>
              <w:jc w:val="right"/>
            </w:pPr>
            <w:r w:rsidRPr="005B0796">
              <w:rPr>
                <w:rFonts w:eastAsia="Times New Roman"/>
              </w:rPr>
              <w:t>7.2, 15.6</w:t>
            </w:r>
          </w:p>
        </w:tc>
        <w:tc>
          <w:tcPr>
            <w:tcW w:w="1039" w:type="dxa"/>
            <w:hideMark/>
          </w:tcPr>
          <w:p w:rsidR="004E699B" w:rsidRPr="005B0796" w:rsidRDefault="004E699B" w:rsidP="004E699B">
            <w:pPr>
              <w:pStyle w:val="TableText"/>
              <w:jc w:val="right"/>
            </w:pPr>
            <w:r w:rsidRPr="005B0796">
              <w:rPr>
                <w:rFonts w:eastAsia="Times New Roman"/>
              </w:rPr>
              <w:t>484</w:t>
            </w:r>
          </w:p>
        </w:tc>
        <w:tc>
          <w:tcPr>
            <w:tcW w:w="1040" w:type="dxa"/>
            <w:hideMark/>
          </w:tcPr>
          <w:p w:rsidR="004E699B" w:rsidRPr="005B0796" w:rsidRDefault="004E699B" w:rsidP="004E699B">
            <w:pPr>
              <w:pStyle w:val="TableText"/>
              <w:jc w:val="right"/>
            </w:pPr>
            <w:r w:rsidRPr="005B0796">
              <w:rPr>
                <w:rFonts w:eastAsia="Times New Roman"/>
              </w:rPr>
              <w:t>9.9</w:t>
            </w:r>
          </w:p>
        </w:tc>
        <w:tc>
          <w:tcPr>
            <w:tcW w:w="1039" w:type="dxa"/>
            <w:hideMark/>
          </w:tcPr>
          <w:p w:rsidR="004E699B" w:rsidRPr="005B0796" w:rsidRDefault="004E699B" w:rsidP="004E699B">
            <w:pPr>
              <w:pStyle w:val="TableText"/>
              <w:jc w:val="right"/>
            </w:pPr>
            <w:r w:rsidRPr="005B0796">
              <w:rPr>
                <w:rFonts w:eastAsia="Times New Roman"/>
              </w:rPr>
              <w:t>7.9, 12.5</w:t>
            </w:r>
          </w:p>
        </w:tc>
        <w:tc>
          <w:tcPr>
            <w:tcW w:w="1039" w:type="dxa"/>
            <w:hideMark/>
          </w:tcPr>
          <w:p w:rsidR="004E699B" w:rsidRPr="005B0796" w:rsidRDefault="004E699B" w:rsidP="004E699B">
            <w:pPr>
              <w:pStyle w:val="TableText"/>
              <w:jc w:val="right"/>
            </w:pPr>
            <w:r w:rsidRPr="005B0796">
              <w:rPr>
                <w:rFonts w:eastAsia="Times New Roman"/>
              </w:rPr>
              <w:t>547</w:t>
            </w:r>
          </w:p>
        </w:tc>
        <w:tc>
          <w:tcPr>
            <w:tcW w:w="1039" w:type="dxa"/>
            <w:hideMark/>
          </w:tcPr>
          <w:p w:rsidR="004E699B" w:rsidRPr="005B0796" w:rsidRDefault="004E699B" w:rsidP="004E699B">
            <w:pPr>
              <w:pStyle w:val="TableText"/>
              <w:jc w:val="right"/>
            </w:pPr>
            <w:r w:rsidRPr="005B0796">
              <w:rPr>
                <w:rFonts w:eastAsia="Times New Roman"/>
              </w:rPr>
              <w:t>11.1</w:t>
            </w:r>
          </w:p>
        </w:tc>
        <w:tc>
          <w:tcPr>
            <w:tcW w:w="1040" w:type="dxa"/>
            <w:hideMark/>
          </w:tcPr>
          <w:p w:rsidR="004E699B" w:rsidRPr="005B0796" w:rsidRDefault="004E699B" w:rsidP="004E699B">
            <w:pPr>
              <w:pStyle w:val="TableText"/>
              <w:jc w:val="right"/>
            </w:pPr>
            <w:r w:rsidRPr="005B0796">
              <w:rPr>
                <w:rFonts w:eastAsia="Times New Roman"/>
              </w:rPr>
              <w:t>8.6, 14.1</w:t>
            </w:r>
          </w:p>
        </w:tc>
      </w:tr>
      <w:tr w:rsidR="004E699B" w:rsidRPr="005B0796" w:rsidTr="004E699B">
        <w:tc>
          <w:tcPr>
            <w:tcW w:w="2153" w:type="dxa"/>
            <w:hideMark/>
          </w:tcPr>
          <w:p w:rsidR="004E699B" w:rsidRPr="005B0796" w:rsidRDefault="004E699B" w:rsidP="004E699B">
            <w:pPr>
              <w:pStyle w:val="TableText"/>
              <w:rPr>
                <w:rFonts w:eastAsia="Times New Roman"/>
              </w:rPr>
            </w:pPr>
            <w:r w:rsidRPr="005B0796">
              <w:t>Severe (15–21)</w:t>
            </w:r>
          </w:p>
        </w:tc>
        <w:tc>
          <w:tcPr>
            <w:tcW w:w="1039" w:type="dxa"/>
            <w:hideMark/>
          </w:tcPr>
          <w:p w:rsidR="004E699B" w:rsidRPr="005B0796" w:rsidRDefault="004E699B" w:rsidP="004E699B">
            <w:pPr>
              <w:pStyle w:val="TableText"/>
              <w:jc w:val="right"/>
            </w:pPr>
            <w:r w:rsidRPr="005B0796">
              <w:rPr>
                <w:rFonts w:eastAsia="Times New Roman"/>
              </w:rPr>
              <w:t>111</w:t>
            </w:r>
          </w:p>
        </w:tc>
        <w:tc>
          <w:tcPr>
            <w:tcW w:w="1039" w:type="dxa"/>
            <w:hideMark/>
          </w:tcPr>
          <w:p w:rsidR="004E699B" w:rsidRPr="005B0796" w:rsidRDefault="004E699B" w:rsidP="004E699B">
            <w:pPr>
              <w:pStyle w:val="TableText"/>
              <w:jc w:val="right"/>
            </w:pPr>
            <w:r w:rsidRPr="005B0796">
              <w:rPr>
                <w:rFonts w:eastAsia="Times New Roman"/>
              </w:rPr>
              <w:t>5.7</w:t>
            </w:r>
          </w:p>
        </w:tc>
        <w:tc>
          <w:tcPr>
            <w:tcW w:w="1039" w:type="dxa"/>
            <w:hideMark/>
          </w:tcPr>
          <w:p w:rsidR="004E699B" w:rsidRPr="005B0796" w:rsidRDefault="004E699B" w:rsidP="004E699B">
            <w:pPr>
              <w:pStyle w:val="TableText"/>
              <w:jc w:val="right"/>
            </w:pPr>
            <w:r w:rsidRPr="005B0796">
              <w:rPr>
                <w:rFonts w:eastAsia="Times New Roman"/>
              </w:rPr>
              <w:t>4.0, 8.1</w:t>
            </w:r>
          </w:p>
        </w:tc>
        <w:tc>
          <w:tcPr>
            <w:tcW w:w="1039" w:type="dxa"/>
            <w:hideMark/>
          </w:tcPr>
          <w:p w:rsidR="004E699B" w:rsidRPr="005B0796" w:rsidRDefault="004E699B" w:rsidP="004E699B">
            <w:pPr>
              <w:pStyle w:val="TableText"/>
              <w:jc w:val="right"/>
            </w:pPr>
            <w:r w:rsidRPr="005B0796">
              <w:rPr>
                <w:rFonts w:eastAsia="Times New Roman"/>
              </w:rPr>
              <w:t>704</w:t>
            </w:r>
          </w:p>
        </w:tc>
        <w:tc>
          <w:tcPr>
            <w:tcW w:w="1040" w:type="dxa"/>
            <w:hideMark/>
          </w:tcPr>
          <w:p w:rsidR="004E699B" w:rsidRPr="005B0796" w:rsidRDefault="004E699B" w:rsidP="004E699B">
            <w:pPr>
              <w:pStyle w:val="TableText"/>
              <w:jc w:val="right"/>
            </w:pPr>
            <w:r w:rsidRPr="005B0796">
              <w:rPr>
                <w:rFonts w:eastAsia="Times New Roman"/>
              </w:rPr>
              <w:t>14.5</w:t>
            </w:r>
          </w:p>
        </w:tc>
        <w:tc>
          <w:tcPr>
            <w:tcW w:w="1039" w:type="dxa"/>
            <w:hideMark/>
          </w:tcPr>
          <w:p w:rsidR="004E699B" w:rsidRPr="005B0796" w:rsidRDefault="004E699B" w:rsidP="004E699B">
            <w:pPr>
              <w:pStyle w:val="TableText"/>
              <w:jc w:val="right"/>
            </w:pPr>
            <w:r w:rsidRPr="005B0796">
              <w:rPr>
                <w:rFonts w:eastAsia="Times New Roman"/>
              </w:rPr>
              <w:t>11.8, 17.7</w:t>
            </w:r>
          </w:p>
        </w:tc>
        <w:tc>
          <w:tcPr>
            <w:tcW w:w="1039" w:type="dxa"/>
            <w:hideMark/>
          </w:tcPr>
          <w:p w:rsidR="004E699B" w:rsidRPr="005B0796" w:rsidRDefault="004E699B" w:rsidP="004E699B">
            <w:pPr>
              <w:pStyle w:val="TableText"/>
              <w:jc w:val="right"/>
            </w:pPr>
            <w:r w:rsidRPr="005B0796">
              <w:rPr>
                <w:rFonts w:eastAsia="Times New Roman"/>
              </w:rPr>
              <w:t>574</w:t>
            </w:r>
          </w:p>
        </w:tc>
        <w:tc>
          <w:tcPr>
            <w:tcW w:w="1039" w:type="dxa"/>
            <w:hideMark/>
          </w:tcPr>
          <w:p w:rsidR="004E699B" w:rsidRPr="005B0796" w:rsidRDefault="004E699B" w:rsidP="004E699B">
            <w:pPr>
              <w:pStyle w:val="TableText"/>
              <w:jc w:val="right"/>
            </w:pPr>
            <w:r w:rsidRPr="005B0796">
              <w:rPr>
                <w:rFonts w:eastAsia="Times New Roman"/>
              </w:rPr>
              <w:t>11.6</w:t>
            </w:r>
          </w:p>
        </w:tc>
        <w:tc>
          <w:tcPr>
            <w:tcW w:w="1040" w:type="dxa"/>
            <w:hideMark/>
          </w:tcPr>
          <w:p w:rsidR="004E699B" w:rsidRPr="005B0796" w:rsidRDefault="004E699B" w:rsidP="004E699B">
            <w:pPr>
              <w:pStyle w:val="TableText"/>
              <w:jc w:val="right"/>
            </w:pPr>
            <w:r w:rsidRPr="005B0796">
              <w:rPr>
                <w:rFonts w:eastAsia="Times New Roman"/>
              </w:rPr>
              <w:t>9.2, 14.6</w:t>
            </w:r>
          </w:p>
        </w:tc>
      </w:tr>
      <w:tr w:rsidR="004E699B" w:rsidRPr="005B0796" w:rsidTr="004E699B">
        <w:trPr>
          <w:cnfStyle w:val="000000100000" w:firstRow="0" w:lastRow="0" w:firstColumn="0" w:lastColumn="0" w:oddVBand="0" w:evenVBand="0" w:oddHBand="1" w:evenHBand="0" w:firstRowFirstColumn="0" w:firstRowLastColumn="0" w:lastRowFirstColumn="0" w:lastRowLastColumn="0"/>
        </w:trPr>
        <w:tc>
          <w:tcPr>
            <w:tcW w:w="2153" w:type="dxa"/>
            <w:hideMark/>
          </w:tcPr>
          <w:p w:rsidR="004E699B" w:rsidRPr="005B0796" w:rsidRDefault="004E699B" w:rsidP="004E699B">
            <w:pPr>
              <w:pStyle w:val="TableText"/>
              <w:rPr>
                <w:rFonts w:eastAsia="Times New Roman"/>
              </w:rPr>
            </w:pPr>
            <w:r w:rsidRPr="005B0796">
              <w:t>GAD-7 total score (M 95% CI)</w:t>
            </w:r>
          </w:p>
        </w:tc>
        <w:tc>
          <w:tcPr>
            <w:tcW w:w="1039" w:type="dxa"/>
          </w:tcPr>
          <w:p w:rsidR="004E699B" w:rsidRPr="005B0796" w:rsidRDefault="004E699B" w:rsidP="004E699B">
            <w:pPr>
              <w:pStyle w:val="TableText"/>
              <w:jc w:val="right"/>
            </w:pPr>
          </w:p>
        </w:tc>
        <w:tc>
          <w:tcPr>
            <w:tcW w:w="1039" w:type="dxa"/>
            <w:hideMark/>
          </w:tcPr>
          <w:p w:rsidR="004E699B" w:rsidRPr="005B0796" w:rsidRDefault="004E699B" w:rsidP="004E699B">
            <w:pPr>
              <w:pStyle w:val="TableText"/>
              <w:jc w:val="right"/>
            </w:pPr>
            <w:r w:rsidRPr="005B0796">
              <w:t>15.8</w:t>
            </w:r>
          </w:p>
        </w:tc>
        <w:tc>
          <w:tcPr>
            <w:tcW w:w="1039" w:type="dxa"/>
            <w:hideMark/>
          </w:tcPr>
          <w:p w:rsidR="004E699B" w:rsidRPr="005B0796" w:rsidRDefault="004E699B" w:rsidP="004E699B">
            <w:pPr>
              <w:pStyle w:val="TableText"/>
              <w:jc w:val="right"/>
            </w:pPr>
            <w:r w:rsidRPr="005B0796">
              <w:rPr>
                <w:rFonts w:eastAsia="Times New Roman"/>
              </w:rPr>
              <w:t>5.2, 26.4</w:t>
            </w:r>
          </w:p>
        </w:tc>
        <w:tc>
          <w:tcPr>
            <w:tcW w:w="1039" w:type="dxa"/>
          </w:tcPr>
          <w:p w:rsidR="004E699B" w:rsidRPr="005B0796" w:rsidRDefault="004E699B" w:rsidP="004E699B">
            <w:pPr>
              <w:pStyle w:val="TableText"/>
              <w:jc w:val="right"/>
            </w:pPr>
          </w:p>
        </w:tc>
        <w:tc>
          <w:tcPr>
            <w:tcW w:w="1040" w:type="dxa"/>
            <w:hideMark/>
          </w:tcPr>
          <w:p w:rsidR="004E699B" w:rsidRPr="005B0796" w:rsidRDefault="004E699B" w:rsidP="004E699B">
            <w:pPr>
              <w:pStyle w:val="TableText"/>
              <w:jc w:val="right"/>
            </w:pPr>
            <w:r w:rsidRPr="005B0796">
              <w:rPr>
                <w:rFonts w:eastAsia="Times New Roman"/>
              </w:rPr>
              <w:t>15.7</w:t>
            </w:r>
          </w:p>
        </w:tc>
        <w:tc>
          <w:tcPr>
            <w:tcW w:w="1039" w:type="dxa"/>
            <w:hideMark/>
          </w:tcPr>
          <w:p w:rsidR="004E699B" w:rsidRPr="005B0796" w:rsidRDefault="004E699B" w:rsidP="004E699B">
            <w:pPr>
              <w:pStyle w:val="TableText"/>
              <w:jc w:val="right"/>
            </w:pPr>
            <w:r w:rsidRPr="005B0796">
              <w:rPr>
                <w:rFonts w:eastAsia="Times New Roman"/>
              </w:rPr>
              <w:t>7.1, 24.2</w:t>
            </w:r>
          </w:p>
        </w:tc>
        <w:tc>
          <w:tcPr>
            <w:tcW w:w="1039" w:type="dxa"/>
          </w:tcPr>
          <w:p w:rsidR="004E699B" w:rsidRPr="005B0796" w:rsidRDefault="004E699B" w:rsidP="004E699B">
            <w:pPr>
              <w:pStyle w:val="TableText"/>
              <w:jc w:val="right"/>
            </w:pPr>
          </w:p>
        </w:tc>
        <w:tc>
          <w:tcPr>
            <w:tcW w:w="1039" w:type="dxa"/>
            <w:hideMark/>
          </w:tcPr>
          <w:p w:rsidR="004E699B" w:rsidRPr="005B0796" w:rsidRDefault="004E699B" w:rsidP="004E699B">
            <w:pPr>
              <w:pStyle w:val="TableText"/>
              <w:jc w:val="right"/>
            </w:pPr>
            <w:r w:rsidRPr="005B0796">
              <w:rPr>
                <w:rFonts w:eastAsia="Times New Roman"/>
              </w:rPr>
              <w:t>15.2</w:t>
            </w:r>
          </w:p>
        </w:tc>
        <w:tc>
          <w:tcPr>
            <w:tcW w:w="1040" w:type="dxa"/>
            <w:hideMark/>
          </w:tcPr>
          <w:p w:rsidR="004E699B" w:rsidRPr="005B0796" w:rsidRDefault="004E699B" w:rsidP="004E699B">
            <w:pPr>
              <w:pStyle w:val="TableText"/>
              <w:jc w:val="right"/>
            </w:pPr>
            <w:r w:rsidRPr="005B0796">
              <w:rPr>
                <w:rFonts w:eastAsia="Times New Roman"/>
              </w:rPr>
              <w:t>6.4, 24.1</w:t>
            </w:r>
          </w:p>
        </w:tc>
      </w:tr>
    </w:tbl>
    <w:p w:rsidR="004E699B" w:rsidRPr="005B0796" w:rsidRDefault="004E699B" w:rsidP="004E699B">
      <w:pPr>
        <w:pStyle w:val="TableText"/>
      </w:pPr>
    </w:p>
    <w:tbl>
      <w:tblPr>
        <w:tblStyle w:val="TWRPTable"/>
        <w:tblW w:w="5000" w:type="pct"/>
        <w:tblLayout w:type="fixed"/>
        <w:tblLook w:val="04A0" w:firstRow="1" w:lastRow="0" w:firstColumn="1" w:lastColumn="0" w:noHBand="0" w:noVBand="1"/>
        <w:tblDescription w:val="Table 5.25 (cont) Proportion of Transitioned ADF in each of the GAD-7 scoring bands for GAD symptoms, by years since transition"/>
      </w:tblPr>
      <w:tblGrid>
        <w:gridCol w:w="2153"/>
        <w:gridCol w:w="1038"/>
        <w:gridCol w:w="1038"/>
        <w:gridCol w:w="1039"/>
        <w:gridCol w:w="1039"/>
        <w:gridCol w:w="1041"/>
        <w:gridCol w:w="1039"/>
        <w:gridCol w:w="1039"/>
        <w:gridCol w:w="1039"/>
        <w:gridCol w:w="1041"/>
      </w:tblGrid>
      <w:tr w:rsidR="004E699B" w:rsidRPr="005B0796" w:rsidTr="004E699B">
        <w:trPr>
          <w:cnfStyle w:val="100000000000" w:firstRow="1" w:lastRow="0" w:firstColumn="0" w:lastColumn="0" w:oddVBand="0" w:evenVBand="0" w:oddHBand="0" w:evenHBand="0" w:firstRowFirstColumn="0" w:firstRowLastColumn="0" w:lastRowFirstColumn="0" w:lastRowLastColumn="0"/>
          <w:cantSplit/>
          <w:tblHeader/>
        </w:trPr>
        <w:tc>
          <w:tcPr>
            <w:tcW w:w="1188" w:type="dxa"/>
            <w:vMerge w:val="restart"/>
            <w:hideMark/>
          </w:tcPr>
          <w:p w:rsidR="004E699B" w:rsidRPr="005B0796" w:rsidRDefault="004E699B" w:rsidP="0099117C">
            <w:pPr>
              <w:pStyle w:val="TableText"/>
            </w:pPr>
            <w:r w:rsidRPr="005B0796">
              <w:t>GAD-7 scoring bands</w:t>
            </w:r>
          </w:p>
        </w:tc>
        <w:tc>
          <w:tcPr>
            <w:tcW w:w="1719" w:type="dxa"/>
            <w:gridSpan w:val="3"/>
            <w:hideMark/>
          </w:tcPr>
          <w:p w:rsidR="004E699B" w:rsidRPr="005B0796" w:rsidRDefault="004E699B" w:rsidP="0099117C">
            <w:pPr>
              <w:pStyle w:val="TableText"/>
              <w:jc w:val="center"/>
            </w:pPr>
            <w:r w:rsidRPr="005B0796">
              <w:t xml:space="preserve">3 years </w:t>
            </w:r>
            <w:r w:rsidRPr="005B0796">
              <w:br/>
              <w:t>(n = 5234)</w:t>
            </w:r>
          </w:p>
        </w:tc>
        <w:tc>
          <w:tcPr>
            <w:tcW w:w="1720" w:type="dxa"/>
            <w:gridSpan w:val="3"/>
            <w:hideMark/>
          </w:tcPr>
          <w:p w:rsidR="004E699B" w:rsidRPr="005B0796" w:rsidRDefault="004E699B" w:rsidP="0099117C">
            <w:pPr>
              <w:pStyle w:val="TableText"/>
              <w:jc w:val="center"/>
            </w:pPr>
            <w:r w:rsidRPr="005B0796">
              <w:t xml:space="preserve">4 years </w:t>
            </w:r>
            <w:r w:rsidRPr="005B0796">
              <w:br/>
              <w:t>(n = 3582)</w:t>
            </w:r>
          </w:p>
        </w:tc>
        <w:tc>
          <w:tcPr>
            <w:tcW w:w="1720" w:type="dxa"/>
            <w:gridSpan w:val="3"/>
            <w:hideMark/>
          </w:tcPr>
          <w:p w:rsidR="004E699B" w:rsidRPr="005B0796" w:rsidRDefault="004E699B" w:rsidP="0099117C">
            <w:pPr>
              <w:pStyle w:val="TableText"/>
              <w:jc w:val="center"/>
            </w:pPr>
            <w:r w:rsidRPr="005B0796">
              <w:t xml:space="preserve">5+ years </w:t>
            </w:r>
            <w:r w:rsidRPr="005B0796">
              <w:br/>
              <w:t>(n = 2785)</w:t>
            </w:r>
          </w:p>
        </w:tc>
      </w:tr>
      <w:tr w:rsidR="004E699B" w:rsidRPr="005B0796" w:rsidTr="004E699B">
        <w:trPr>
          <w:cnfStyle w:val="100000000000" w:firstRow="1" w:lastRow="0" w:firstColumn="0" w:lastColumn="0" w:oddVBand="0" w:evenVBand="0" w:oddHBand="0" w:evenHBand="0" w:firstRowFirstColumn="0" w:firstRowLastColumn="0" w:lastRowFirstColumn="0" w:lastRowLastColumn="0"/>
          <w:cantSplit/>
          <w:tblHeader/>
        </w:trPr>
        <w:tc>
          <w:tcPr>
            <w:tcW w:w="1188" w:type="dxa"/>
            <w:vMerge/>
            <w:hideMark/>
          </w:tcPr>
          <w:p w:rsidR="004E699B" w:rsidRPr="005B0796" w:rsidRDefault="004E699B" w:rsidP="0099117C">
            <w:pPr>
              <w:pStyle w:val="TableText"/>
            </w:pPr>
          </w:p>
        </w:tc>
        <w:tc>
          <w:tcPr>
            <w:tcW w:w="573" w:type="dxa"/>
            <w:hideMark/>
          </w:tcPr>
          <w:p w:rsidR="004E699B" w:rsidRPr="005B0796" w:rsidRDefault="004E699B" w:rsidP="0099117C">
            <w:pPr>
              <w:pStyle w:val="TableText"/>
              <w:jc w:val="right"/>
              <w:rPr>
                <w:rFonts w:eastAsia="Times New Roman"/>
              </w:rPr>
            </w:pPr>
            <w:r w:rsidRPr="005B0796">
              <w:t>Weighted n</w:t>
            </w:r>
          </w:p>
        </w:tc>
        <w:tc>
          <w:tcPr>
            <w:tcW w:w="573" w:type="dxa"/>
            <w:hideMark/>
          </w:tcPr>
          <w:p w:rsidR="004E699B" w:rsidRPr="005B0796" w:rsidRDefault="004E699B" w:rsidP="0099117C">
            <w:pPr>
              <w:pStyle w:val="TableText"/>
              <w:jc w:val="right"/>
              <w:rPr>
                <w:rFonts w:eastAsia="Times New Roman"/>
              </w:rPr>
            </w:pPr>
            <w:r w:rsidRPr="005B0796">
              <w:t>%</w:t>
            </w:r>
          </w:p>
        </w:tc>
        <w:tc>
          <w:tcPr>
            <w:tcW w:w="573" w:type="dxa"/>
            <w:hideMark/>
          </w:tcPr>
          <w:p w:rsidR="004E699B" w:rsidRPr="005B0796" w:rsidRDefault="004E699B" w:rsidP="0099117C">
            <w:pPr>
              <w:pStyle w:val="TableText"/>
              <w:jc w:val="right"/>
              <w:rPr>
                <w:rFonts w:eastAsia="Times New Roman"/>
              </w:rPr>
            </w:pPr>
            <w:r w:rsidRPr="005B0796">
              <w:t>95% CI</w:t>
            </w:r>
          </w:p>
        </w:tc>
        <w:tc>
          <w:tcPr>
            <w:tcW w:w="573" w:type="dxa"/>
            <w:hideMark/>
          </w:tcPr>
          <w:p w:rsidR="004E699B" w:rsidRPr="005B0796" w:rsidRDefault="004E699B" w:rsidP="0099117C">
            <w:pPr>
              <w:pStyle w:val="TableText"/>
              <w:jc w:val="right"/>
              <w:rPr>
                <w:rFonts w:eastAsia="Times New Roman"/>
              </w:rPr>
            </w:pPr>
            <w:r w:rsidRPr="005B0796">
              <w:t>Weighted n</w:t>
            </w:r>
          </w:p>
        </w:tc>
        <w:tc>
          <w:tcPr>
            <w:tcW w:w="574" w:type="dxa"/>
            <w:hideMark/>
          </w:tcPr>
          <w:p w:rsidR="004E699B" w:rsidRPr="005B0796" w:rsidRDefault="004E699B" w:rsidP="0099117C">
            <w:pPr>
              <w:pStyle w:val="TableText"/>
              <w:jc w:val="right"/>
              <w:rPr>
                <w:rFonts w:eastAsia="Times New Roman"/>
              </w:rPr>
            </w:pPr>
            <w:r w:rsidRPr="005B0796">
              <w:t>%</w:t>
            </w:r>
          </w:p>
        </w:tc>
        <w:tc>
          <w:tcPr>
            <w:tcW w:w="573" w:type="dxa"/>
            <w:hideMark/>
          </w:tcPr>
          <w:p w:rsidR="004E699B" w:rsidRPr="005B0796" w:rsidRDefault="004E699B" w:rsidP="0099117C">
            <w:pPr>
              <w:pStyle w:val="TableText"/>
              <w:jc w:val="right"/>
              <w:rPr>
                <w:rFonts w:eastAsia="Times New Roman"/>
              </w:rPr>
            </w:pPr>
            <w:r w:rsidRPr="005B0796">
              <w:t>95% CI</w:t>
            </w:r>
          </w:p>
        </w:tc>
        <w:tc>
          <w:tcPr>
            <w:tcW w:w="573" w:type="dxa"/>
            <w:hideMark/>
          </w:tcPr>
          <w:p w:rsidR="004E699B" w:rsidRPr="005B0796" w:rsidRDefault="004E699B" w:rsidP="0099117C">
            <w:pPr>
              <w:pStyle w:val="TableText"/>
              <w:jc w:val="right"/>
              <w:rPr>
                <w:rFonts w:eastAsia="Times New Roman"/>
              </w:rPr>
            </w:pPr>
            <w:r w:rsidRPr="005B0796">
              <w:t>Weighted n</w:t>
            </w:r>
          </w:p>
        </w:tc>
        <w:tc>
          <w:tcPr>
            <w:tcW w:w="573" w:type="dxa"/>
            <w:hideMark/>
          </w:tcPr>
          <w:p w:rsidR="004E699B" w:rsidRPr="005B0796" w:rsidRDefault="004E699B" w:rsidP="0099117C">
            <w:pPr>
              <w:pStyle w:val="TableText"/>
              <w:jc w:val="right"/>
              <w:rPr>
                <w:rFonts w:eastAsia="Times New Roman"/>
              </w:rPr>
            </w:pPr>
            <w:r w:rsidRPr="005B0796">
              <w:t>%</w:t>
            </w:r>
          </w:p>
        </w:tc>
        <w:tc>
          <w:tcPr>
            <w:tcW w:w="574" w:type="dxa"/>
            <w:hideMark/>
          </w:tcPr>
          <w:p w:rsidR="004E699B" w:rsidRPr="005B0796" w:rsidRDefault="004E699B" w:rsidP="0099117C">
            <w:pPr>
              <w:pStyle w:val="TableText"/>
              <w:jc w:val="right"/>
              <w:rPr>
                <w:rFonts w:eastAsia="Times New Roman"/>
              </w:rPr>
            </w:pPr>
            <w:r w:rsidRPr="005B0796">
              <w:t>95% CI</w:t>
            </w:r>
          </w:p>
        </w:tc>
      </w:tr>
      <w:tr w:rsidR="004E699B" w:rsidRPr="005B0796" w:rsidTr="004E699B">
        <w:trPr>
          <w:cnfStyle w:val="000000100000" w:firstRow="0" w:lastRow="0" w:firstColumn="0" w:lastColumn="0" w:oddVBand="0" w:evenVBand="0" w:oddHBand="1" w:evenHBand="0" w:firstRowFirstColumn="0" w:firstRowLastColumn="0" w:lastRowFirstColumn="0" w:lastRowLastColumn="0"/>
          <w:cantSplit/>
        </w:trPr>
        <w:tc>
          <w:tcPr>
            <w:tcW w:w="1188" w:type="dxa"/>
            <w:hideMark/>
          </w:tcPr>
          <w:p w:rsidR="004E699B" w:rsidRPr="005B0796" w:rsidRDefault="004E699B" w:rsidP="0099117C">
            <w:pPr>
              <w:pStyle w:val="TableText"/>
              <w:rPr>
                <w:rFonts w:eastAsia="Times New Roman"/>
              </w:rPr>
            </w:pPr>
            <w:r w:rsidRPr="005B0796">
              <w:t>Minimal (0–4)</w:t>
            </w:r>
          </w:p>
        </w:tc>
        <w:tc>
          <w:tcPr>
            <w:tcW w:w="573" w:type="dxa"/>
            <w:hideMark/>
          </w:tcPr>
          <w:p w:rsidR="004E699B" w:rsidRPr="005B0796" w:rsidRDefault="004E699B" w:rsidP="0099117C">
            <w:pPr>
              <w:pStyle w:val="TableText"/>
              <w:jc w:val="right"/>
            </w:pPr>
            <w:r w:rsidRPr="005B0796">
              <w:rPr>
                <w:rFonts w:eastAsia="Times New Roman"/>
              </w:rPr>
              <w:t>2632</w:t>
            </w:r>
          </w:p>
        </w:tc>
        <w:tc>
          <w:tcPr>
            <w:tcW w:w="573" w:type="dxa"/>
            <w:hideMark/>
          </w:tcPr>
          <w:p w:rsidR="004E699B" w:rsidRPr="005B0796" w:rsidRDefault="004E699B" w:rsidP="0099117C">
            <w:pPr>
              <w:pStyle w:val="TableText"/>
              <w:jc w:val="right"/>
            </w:pPr>
            <w:r w:rsidRPr="005B0796">
              <w:rPr>
                <w:rFonts w:eastAsia="Times New Roman"/>
              </w:rPr>
              <w:t>50.3</w:t>
            </w:r>
          </w:p>
        </w:tc>
        <w:tc>
          <w:tcPr>
            <w:tcW w:w="573" w:type="dxa"/>
            <w:hideMark/>
          </w:tcPr>
          <w:p w:rsidR="004E699B" w:rsidRPr="005B0796" w:rsidRDefault="004E699B" w:rsidP="0099117C">
            <w:pPr>
              <w:pStyle w:val="TableText"/>
              <w:jc w:val="right"/>
            </w:pPr>
            <w:r w:rsidRPr="005B0796">
              <w:rPr>
                <w:rFonts w:eastAsia="Times New Roman"/>
              </w:rPr>
              <w:t>46.2, 54.4</w:t>
            </w:r>
          </w:p>
        </w:tc>
        <w:tc>
          <w:tcPr>
            <w:tcW w:w="573" w:type="dxa"/>
            <w:hideMark/>
          </w:tcPr>
          <w:p w:rsidR="004E699B" w:rsidRPr="005B0796" w:rsidRDefault="004E699B" w:rsidP="0099117C">
            <w:pPr>
              <w:pStyle w:val="TableText"/>
              <w:jc w:val="right"/>
            </w:pPr>
            <w:r w:rsidRPr="005B0796">
              <w:rPr>
                <w:rFonts w:eastAsia="Times New Roman"/>
              </w:rPr>
              <w:t>1860</w:t>
            </w:r>
          </w:p>
        </w:tc>
        <w:tc>
          <w:tcPr>
            <w:tcW w:w="574" w:type="dxa"/>
            <w:hideMark/>
          </w:tcPr>
          <w:p w:rsidR="004E699B" w:rsidRPr="005B0796" w:rsidRDefault="004E699B" w:rsidP="0099117C">
            <w:pPr>
              <w:pStyle w:val="TableText"/>
              <w:jc w:val="right"/>
            </w:pPr>
            <w:r w:rsidRPr="005B0796">
              <w:rPr>
                <w:rFonts w:eastAsia="Times New Roman"/>
              </w:rPr>
              <w:t>51.9</w:t>
            </w:r>
          </w:p>
        </w:tc>
        <w:tc>
          <w:tcPr>
            <w:tcW w:w="573" w:type="dxa"/>
            <w:hideMark/>
          </w:tcPr>
          <w:p w:rsidR="004E699B" w:rsidRPr="005B0796" w:rsidRDefault="004E699B" w:rsidP="0099117C">
            <w:pPr>
              <w:pStyle w:val="TableText"/>
              <w:jc w:val="right"/>
            </w:pPr>
            <w:r w:rsidRPr="005B0796">
              <w:rPr>
                <w:rFonts w:eastAsia="Times New Roman"/>
              </w:rPr>
              <w:t>47.2, 56.6</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1543</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55.4</w:t>
            </w:r>
          </w:p>
        </w:tc>
        <w:tc>
          <w:tcPr>
            <w:tcW w:w="574" w:type="dxa"/>
            <w:hideMark/>
          </w:tcPr>
          <w:p w:rsidR="004E699B" w:rsidRPr="005B0796" w:rsidRDefault="004E699B" w:rsidP="0099117C">
            <w:pPr>
              <w:pStyle w:val="TableText"/>
              <w:jc w:val="right"/>
              <w:rPr>
                <w:rFonts w:eastAsia="Times New Roman"/>
              </w:rPr>
            </w:pPr>
            <w:r w:rsidRPr="005B0796">
              <w:rPr>
                <w:rFonts w:eastAsia="Times New Roman"/>
              </w:rPr>
              <w:t>50.0, 60.7</w:t>
            </w:r>
          </w:p>
        </w:tc>
      </w:tr>
      <w:tr w:rsidR="004E699B" w:rsidRPr="005B0796" w:rsidTr="004E699B">
        <w:trPr>
          <w:cantSplit/>
        </w:trPr>
        <w:tc>
          <w:tcPr>
            <w:tcW w:w="1188" w:type="dxa"/>
            <w:hideMark/>
          </w:tcPr>
          <w:p w:rsidR="004E699B" w:rsidRPr="005B0796" w:rsidRDefault="004E699B" w:rsidP="0099117C">
            <w:pPr>
              <w:pStyle w:val="TableText"/>
              <w:rPr>
                <w:rFonts w:eastAsia="Times New Roman"/>
              </w:rPr>
            </w:pPr>
            <w:r w:rsidRPr="005B0796">
              <w:t>Mild (5–9)</w:t>
            </w:r>
          </w:p>
        </w:tc>
        <w:tc>
          <w:tcPr>
            <w:tcW w:w="573" w:type="dxa"/>
            <w:hideMark/>
          </w:tcPr>
          <w:p w:rsidR="004E699B" w:rsidRPr="005B0796" w:rsidRDefault="004E699B" w:rsidP="0099117C">
            <w:pPr>
              <w:pStyle w:val="TableText"/>
              <w:jc w:val="right"/>
            </w:pPr>
            <w:r w:rsidRPr="005B0796">
              <w:rPr>
                <w:rFonts w:eastAsia="Times New Roman"/>
              </w:rPr>
              <w:t>1254</w:t>
            </w:r>
          </w:p>
        </w:tc>
        <w:tc>
          <w:tcPr>
            <w:tcW w:w="573" w:type="dxa"/>
            <w:hideMark/>
          </w:tcPr>
          <w:p w:rsidR="004E699B" w:rsidRPr="005B0796" w:rsidRDefault="004E699B" w:rsidP="0099117C">
            <w:pPr>
              <w:pStyle w:val="TableText"/>
              <w:jc w:val="right"/>
            </w:pPr>
            <w:r w:rsidRPr="005B0796">
              <w:rPr>
                <w:rFonts w:eastAsia="Times New Roman"/>
              </w:rPr>
              <w:t>24.0</w:t>
            </w:r>
          </w:p>
        </w:tc>
        <w:tc>
          <w:tcPr>
            <w:tcW w:w="573" w:type="dxa"/>
            <w:hideMark/>
          </w:tcPr>
          <w:p w:rsidR="004E699B" w:rsidRPr="005B0796" w:rsidRDefault="004E699B" w:rsidP="0099117C">
            <w:pPr>
              <w:pStyle w:val="TableText"/>
              <w:jc w:val="right"/>
            </w:pPr>
            <w:r w:rsidRPr="005B0796">
              <w:rPr>
                <w:rFonts w:eastAsia="Times New Roman"/>
              </w:rPr>
              <w:t>20.6, 27.7</w:t>
            </w:r>
          </w:p>
        </w:tc>
        <w:tc>
          <w:tcPr>
            <w:tcW w:w="573" w:type="dxa"/>
            <w:hideMark/>
          </w:tcPr>
          <w:p w:rsidR="004E699B" w:rsidRPr="005B0796" w:rsidRDefault="004E699B" w:rsidP="0099117C">
            <w:pPr>
              <w:pStyle w:val="TableText"/>
              <w:jc w:val="right"/>
            </w:pPr>
            <w:r w:rsidRPr="005B0796">
              <w:rPr>
                <w:rFonts w:eastAsia="Times New Roman"/>
              </w:rPr>
              <w:t>932</w:t>
            </w:r>
          </w:p>
        </w:tc>
        <w:tc>
          <w:tcPr>
            <w:tcW w:w="574" w:type="dxa"/>
            <w:hideMark/>
          </w:tcPr>
          <w:p w:rsidR="004E699B" w:rsidRPr="005B0796" w:rsidRDefault="004E699B" w:rsidP="0099117C">
            <w:pPr>
              <w:pStyle w:val="TableText"/>
              <w:jc w:val="right"/>
            </w:pPr>
            <w:r w:rsidRPr="005B0796">
              <w:rPr>
                <w:rFonts w:eastAsia="Times New Roman"/>
              </w:rPr>
              <w:t>26.0</w:t>
            </w:r>
          </w:p>
        </w:tc>
        <w:tc>
          <w:tcPr>
            <w:tcW w:w="573" w:type="dxa"/>
            <w:hideMark/>
          </w:tcPr>
          <w:p w:rsidR="004E699B" w:rsidRPr="005B0796" w:rsidRDefault="004E699B" w:rsidP="0099117C">
            <w:pPr>
              <w:pStyle w:val="TableText"/>
              <w:jc w:val="right"/>
            </w:pPr>
            <w:r w:rsidRPr="005B0796">
              <w:rPr>
                <w:rFonts w:eastAsia="Times New Roman"/>
              </w:rPr>
              <w:t>22.1, 30.4</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605</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21.7</w:t>
            </w:r>
          </w:p>
        </w:tc>
        <w:tc>
          <w:tcPr>
            <w:tcW w:w="574" w:type="dxa"/>
            <w:hideMark/>
          </w:tcPr>
          <w:p w:rsidR="004E699B" w:rsidRPr="005B0796" w:rsidRDefault="004E699B" w:rsidP="0099117C">
            <w:pPr>
              <w:pStyle w:val="TableText"/>
              <w:jc w:val="right"/>
              <w:rPr>
                <w:rFonts w:eastAsia="Times New Roman"/>
              </w:rPr>
            </w:pPr>
            <w:r w:rsidRPr="005B0796">
              <w:rPr>
                <w:rFonts w:eastAsia="Times New Roman"/>
              </w:rPr>
              <w:t>17.6, 26.5</w:t>
            </w:r>
          </w:p>
        </w:tc>
      </w:tr>
      <w:tr w:rsidR="004E699B" w:rsidRPr="005B0796" w:rsidTr="004E699B">
        <w:trPr>
          <w:cnfStyle w:val="000000100000" w:firstRow="0" w:lastRow="0" w:firstColumn="0" w:lastColumn="0" w:oddVBand="0" w:evenVBand="0" w:oddHBand="1" w:evenHBand="0" w:firstRowFirstColumn="0" w:firstRowLastColumn="0" w:lastRowFirstColumn="0" w:lastRowLastColumn="0"/>
          <w:cantSplit/>
        </w:trPr>
        <w:tc>
          <w:tcPr>
            <w:tcW w:w="1188" w:type="dxa"/>
            <w:hideMark/>
          </w:tcPr>
          <w:p w:rsidR="004E699B" w:rsidRPr="005B0796" w:rsidRDefault="004E699B" w:rsidP="0099117C">
            <w:pPr>
              <w:pStyle w:val="TableText"/>
              <w:rPr>
                <w:rFonts w:eastAsia="Times New Roman"/>
              </w:rPr>
            </w:pPr>
            <w:r w:rsidRPr="005B0796">
              <w:t>Moderate (10–14)</w:t>
            </w:r>
          </w:p>
        </w:tc>
        <w:tc>
          <w:tcPr>
            <w:tcW w:w="573" w:type="dxa"/>
            <w:hideMark/>
          </w:tcPr>
          <w:p w:rsidR="004E699B" w:rsidRPr="005B0796" w:rsidRDefault="004E699B" w:rsidP="0099117C">
            <w:pPr>
              <w:pStyle w:val="TableText"/>
              <w:jc w:val="right"/>
            </w:pPr>
            <w:r w:rsidRPr="005B0796">
              <w:rPr>
                <w:rFonts w:eastAsia="Times New Roman"/>
              </w:rPr>
              <w:t>698</w:t>
            </w:r>
          </w:p>
        </w:tc>
        <w:tc>
          <w:tcPr>
            <w:tcW w:w="573" w:type="dxa"/>
            <w:hideMark/>
          </w:tcPr>
          <w:p w:rsidR="004E699B" w:rsidRPr="005B0796" w:rsidRDefault="004E699B" w:rsidP="0099117C">
            <w:pPr>
              <w:pStyle w:val="TableText"/>
              <w:jc w:val="right"/>
            </w:pPr>
            <w:r w:rsidRPr="005B0796">
              <w:rPr>
                <w:rFonts w:eastAsia="Times New Roman"/>
              </w:rPr>
              <w:t>13.3</w:t>
            </w:r>
          </w:p>
        </w:tc>
        <w:tc>
          <w:tcPr>
            <w:tcW w:w="573" w:type="dxa"/>
            <w:hideMark/>
          </w:tcPr>
          <w:p w:rsidR="004E699B" w:rsidRPr="005B0796" w:rsidRDefault="004E699B" w:rsidP="0099117C">
            <w:pPr>
              <w:pStyle w:val="TableText"/>
              <w:jc w:val="right"/>
            </w:pPr>
            <w:r w:rsidRPr="005B0796">
              <w:rPr>
                <w:rFonts w:eastAsia="Times New Roman"/>
              </w:rPr>
              <w:t>10.7, 16.5</w:t>
            </w:r>
          </w:p>
        </w:tc>
        <w:tc>
          <w:tcPr>
            <w:tcW w:w="573" w:type="dxa"/>
            <w:hideMark/>
          </w:tcPr>
          <w:p w:rsidR="004E699B" w:rsidRPr="005B0796" w:rsidRDefault="004E699B" w:rsidP="0099117C">
            <w:pPr>
              <w:pStyle w:val="TableText"/>
              <w:jc w:val="right"/>
            </w:pPr>
            <w:r w:rsidRPr="005B0796">
              <w:rPr>
                <w:rFonts w:eastAsia="Times New Roman"/>
              </w:rPr>
              <w:t>343</w:t>
            </w:r>
          </w:p>
        </w:tc>
        <w:tc>
          <w:tcPr>
            <w:tcW w:w="574" w:type="dxa"/>
            <w:hideMark/>
          </w:tcPr>
          <w:p w:rsidR="004E699B" w:rsidRPr="005B0796" w:rsidRDefault="004E699B" w:rsidP="0099117C">
            <w:pPr>
              <w:pStyle w:val="TableText"/>
              <w:jc w:val="right"/>
            </w:pPr>
            <w:r w:rsidRPr="005B0796">
              <w:rPr>
                <w:rFonts w:eastAsia="Times New Roman"/>
              </w:rPr>
              <w:t>9.6</w:t>
            </w:r>
          </w:p>
        </w:tc>
        <w:tc>
          <w:tcPr>
            <w:tcW w:w="573" w:type="dxa"/>
            <w:hideMark/>
          </w:tcPr>
          <w:p w:rsidR="004E699B" w:rsidRPr="005B0796" w:rsidRDefault="004E699B" w:rsidP="0099117C">
            <w:pPr>
              <w:pStyle w:val="TableText"/>
              <w:jc w:val="right"/>
            </w:pPr>
            <w:r w:rsidRPr="005B0796">
              <w:rPr>
                <w:rFonts w:eastAsia="Times New Roman"/>
              </w:rPr>
              <w:t>7.2, 12.6</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324</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11.6</w:t>
            </w:r>
          </w:p>
        </w:tc>
        <w:tc>
          <w:tcPr>
            <w:tcW w:w="574" w:type="dxa"/>
            <w:hideMark/>
          </w:tcPr>
          <w:p w:rsidR="004E699B" w:rsidRPr="005B0796" w:rsidRDefault="004E699B" w:rsidP="0099117C">
            <w:pPr>
              <w:pStyle w:val="TableText"/>
              <w:jc w:val="right"/>
              <w:rPr>
                <w:rFonts w:eastAsia="Times New Roman"/>
              </w:rPr>
            </w:pPr>
            <w:r w:rsidRPr="005B0796">
              <w:rPr>
                <w:rFonts w:eastAsia="Times New Roman"/>
              </w:rPr>
              <w:t>8.6, 15.5</w:t>
            </w:r>
          </w:p>
        </w:tc>
      </w:tr>
      <w:tr w:rsidR="004E699B" w:rsidRPr="005B0796" w:rsidTr="004E699B">
        <w:trPr>
          <w:cantSplit/>
        </w:trPr>
        <w:tc>
          <w:tcPr>
            <w:tcW w:w="1188" w:type="dxa"/>
            <w:hideMark/>
          </w:tcPr>
          <w:p w:rsidR="004E699B" w:rsidRPr="005B0796" w:rsidRDefault="004E699B" w:rsidP="0099117C">
            <w:pPr>
              <w:pStyle w:val="TableText"/>
              <w:rPr>
                <w:rFonts w:eastAsia="Times New Roman"/>
              </w:rPr>
            </w:pPr>
            <w:r w:rsidRPr="005B0796">
              <w:t>Severe (15–21)</w:t>
            </w:r>
          </w:p>
        </w:tc>
        <w:tc>
          <w:tcPr>
            <w:tcW w:w="573" w:type="dxa"/>
            <w:hideMark/>
          </w:tcPr>
          <w:p w:rsidR="004E699B" w:rsidRPr="005B0796" w:rsidRDefault="004E699B" w:rsidP="0099117C">
            <w:pPr>
              <w:pStyle w:val="TableText"/>
              <w:jc w:val="right"/>
            </w:pPr>
            <w:r w:rsidRPr="005B0796">
              <w:rPr>
                <w:rFonts w:eastAsia="Times New Roman"/>
              </w:rPr>
              <w:t>578</w:t>
            </w:r>
          </w:p>
        </w:tc>
        <w:tc>
          <w:tcPr>
            <w:tcW w:w="573" w:type="dxa"/>
            <w:hideMark/>
          </w:tcPr>
          <w:p w:rsidR="004E699B" w:rsidRPr="005B0796" w:rsidRDefault="004E699B" w:rsidP="0099117C">
            <w:pPr>
              <w:pStyle w:val="TableText"/>
              <w:jc w:val="right"/>
            </w:pPr>
            <w:r w:rsidRPr="005B0796">
              <w:rPr>
                <w:rFonts w:eastAsia="Times New Roman"/>
              </w:rPr>
              <w:t>11.0</w:t>
            </w:r>
          </w:p>
        </w:tc>
        <w:tc>
          <w:tcPr>
            <w:tcW w:w="573" w:type="dxa"/>
            <w:hideMark/>
          </w:tcPr>
          <w:p w:rsidR="004E699B" w:rsidRPr="005B0796" w:rsidRDefault="004E699B" w:rsidP="0099117C">
            <w:pPr>
              <w:pStyle w:val="TableText"/>
              <w:jc w:val="right"/>
            </w:pPr>
            <w:r w:rsidRPr="005B0796">
              <w:rPr>
                <w:rFonts w:eastAsia="Times New Roman"/>
              </w:rPr>
              <w:t>8.6, 14.1</w:t>
            </w:r>
          </w:p>
        </w:tc>
        <w:tc>
          <w:tcPr>
            <w:tcW w:w="573" w:type="dxa"/>
            <w:hideMark/>
          </w:tcPr>
          <w:p w:rsidR="004E699B" w:rsidRPr="005B0796" w:rsidRDefault="004E699B" w:rsidP="0099117C">
            <w:pPr>
              <w:pStyle w:val="TableText"/>
              <w:jc w:val="right"/>
            </w:pPr>
            <w:r w:rsidRPr="005B0796">
              <w:rPr>
                <w:rFonts w:eastAsia="Times New Roman"/>
              </w:rPr>
              <w:t>395</w:t>
            </w:r>
          </w:p>
        </w:tc>
        <w:tc>
          <w:tcPr>
            <w:tcW w:w="574" w:type="dxa"/>
            <w:hideMark/>
          </w:tcPr>
          <w:p w:rsidR="004E699B" w:rsidRPr="005B0796" w:rsidRDefault="004E699B" w:rsidP="0099117C">
            <w:pPr>
              <w:pStyle w:val="TableText"/>
              <w:jc w:val="right"/>
            </w:pPr>
            <w:r w:rsidRPr="005B0796">
              <w:rPr>
                <w:rFonts w:eastAsia="Times New Roman"/>
              </w:rPr>
              <w:t>11.0</w:t>
            </w:r>
          </w:p>
        </w:tc>
        <w:tc>
          <w:tcPr>
            <w:tcW w:w="573" w:type="dxa"/>
            <w:hideMark/>
          </w:tcPr>
          <w:p w:rsidR="004E699B" w:rsidRPr="005B0796" w:rsidRDefault="004E699B" w:rsidP="0099117C">
            <w:pPr>
              <w:pStyle w:val="TableText"/>
              <w:jc w:val="right"/>
            </w:pPr>
            <w:r w:rsidRPr="005B0796">
              <w:rPr>
                <w:rFonts w:eastAsia="Times New Roman"/>
              </w:rPr>
              <w:t>8.5, 14.1</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303</w:t>
            </w: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10.9</w:t>
            </w:r>
          </w:p>
        </w:tc>
        <w:tc>
          <w:tcPr>
            <w:tcW w:w="574" w:type="dxa"/>
            <w:hideMark/>
          </w:tcPr>
          <w:p w:rsidR="004E699B" w:rsidRPr="005B0796" w:rsidRDefault="004E699B" w:rsidP="0099117C">
            <w:pPr>
              <w:pStyle w:val="TableText"/>
              <w:jc w:val="right"/>
              <w:rPr>
                <w:rFonts w:eastAsia="Times New Roman"/>
              </w:rPr>
            </w:pPr>
            <w:r w:rsidRPr="005B0796">
              <w:rPr>
                <w:rFonts w:eastAsia="Times New Roman"/>
              </w:rPr>
              <w:t>7.9, 14.7</w:t>
            </w:r>
          </w:p>
        </w:tc>
      </w:tr>
      <w:tr w:rsidR="004E699B" w:rsidRPr="005B0796" w:rsidTr="004E699B">
        <w:trPr>
          <w:cnfStyle w:val="000000100000" w:firstRow="0" w:lastRow="0" w:firstColumn="0" w:lastColumn="0" w:oddVBand="0" w:evenVBand="0" w:oddHBand="1" w:evenHBand="0" w:firstRowFirstColumn="0" w:firstRowLastColumn="0" w:lastRowFirstColumn="0" w:lastRowLastColumn="0"/>
          <w:cantSplit/>
        </w:trPr>
        <w:tc>
          <w:tcPr>
            <w:tcW w:w="1188" w:type="dxa"/>
            <w:hideMark/>
          </w:tcPr>
          <w:p w:rsidR="004E699B" w:rsidRPr="005B0796" w:rsidRDefault="004E699B" w:rsidP="0099117C">
            <w:pPr>
              <w:pStyle w:val="TableText"/>
              <w:rPr>
                <w:rFonts w:eastAsia="Times New Roman"/>
              </w:rPr>
            </w:pPr>
            <w:r w:rsidRPr="005B0796">
              <w:t>GAD-7 total score (M 95% CI)</w:t>
            </w:r>
          </w:p>
        </w:tc>
        <w:tc>
          <w:tcPr>
            <w:tcW w:w="573" w:type="dxa"/>
          </w:tcPr>
          <w:p w:rsidR="004E699B" w:rsidRPr="005B0796" w:rsidRDefault="004E699B" w:rsidP="0099117C">
            <w:pPr>
              <w:pStyle w:val="TableText"/>
              <w:jc w:val="right"/>
            </w:pPr>
          </w:p>
        </w:tc>
        <w:tc>
          <w:tcPr>
            <w:tcW w:w="573" w:type="dxa"/>
            <w:hideMark/>
          </w:tcPr>
          <w:p w:rsidR="004E699B" w:rsidRPr="005B0796" w:rsidRDefault="004E699B" w:rsidP="0099117C">
            <w:pPr>
              <w:pStyle w:val="TableText"/>
              <w:jc w:val="right"/>
            </w:pPr>
            <w:r w:rsidRPr="005B0796">
              <w:t>19.4</w:t>
            </w:r>
          </w:p>
        </w:tc>
        <w:tc>
          <w:tcPr>
            <w:tcW w:w="573" w:type="dxa"/>
            <w:hideMark/>
          </w:tcPr>
          <w:p w:rsidR="004E699B" w:rsidRPr="005B0796" w:rsidRDefault="004E699B" w:rsidP="0099117C">
            <w:pPr>
              <w:pStyle w:val="TableText"/>
              <w:jc w:val="right"/>
            </w:pPr>
            <w:r w:rsidRPr="005B0796">
              <w:rPr>
                <w:rFonts w:eastAsia="Times New Roman"/>
              </w:rPr>
              <w:t>7.5, 31.4</w:t>
            </w:r>
          </w:p>
        </w:tc>
        <w:tc>
          <w:tcPr>
            <w:tcW w:w="573" w:type="dxa"/>
          </w:tcPr>
          <w:p w:rsidR="004E699B" w:rsidRPr="005B0796" w:rsidRDefault="004E699B" w:rsidP="0099117C">
            <w:pPr>
              <w:pStyle w:val="TableText"/>
              <w:jc w:val="right"/>
            </w:pPr>
          </w:p>
        </w:tc>
        <w:tc>
          <w:tcPr>
            <w:tcW w:w="574" w:type="dxa"/>
            <w:hideMark/>
          </w:tcPr>
          <w:p w:rsidR="004E699B" w:rsidRPr="005B0796" w:rsidRDefault="004E699B" w:rsidP="0099117C">
            <w:pPr>
              <w:pStyle w:val="TableText"/>
              <w:jc w:val="right"/>
            </w:pPr>
            <w:r w:rsidRPr="005B0796">
              <w:rPr>
                <w:rFonts w:eastAsia="Times New Roman"/>
              </w:rPr>
              <w:t>20.5</w:t>
            </w:r>
          </w:p>
        </w:tc>
        <w:tc>
          <w:tcPr>
            <w:tcW w:w="573" w:type="dxa"/>
            <w:hideMark/>
          </w:tcPr>
          <w:p w:rsidR="004E699B" w:rsidRPr="005B0796" w:rsidRDefault="004E699B" w:rsidP="0099117C">
            <w:pPr>
              <w:pStyle w:val="TableText"/>
              <w:jc w:val="right"/>
            </w:pPr>
            <w:r w:rsidRPr="005B0796">
              <w:rPr>
                <w:rFonts w:eastAsia="Times New Roman"/>
              </w:rPr>
              <w:t>7.0, 32.9</w:t>
            </w:r>
          </w:p>
        </w:tc>
        <w:tc>
          <w:tcPr>
            <w:tcW w:w="573" w:type="dxa"/>
          </w:tcPr>
          <w:p w:rsidR="004E699B" w:rsidRPr="005B0796" w:rsidRDefault="004E699B" w:rsidP="0099117C">
            <w:pPr>
              <w:pStyle w:val="TableText"/>
              <w:jc w:val="right"/>
              <w:rPr>
                <w:rFonts w:eastAsia="Times New Roman"/>
              </w:rPr>
            </w:pPr>
          </w:p>
        </w:tc>
        <w:tc>
          <w:tcPr>
            <w:tcW w:w="573" w:type="dxa"/>
            <w:hideMark/>
          </w:tcPr>
          <w:p w:rsidR="004E699B" w:rsidRPr="005B0796" w:rsidRDefault="004E699B" w:rsidP="0099117C">
            <w:pPr>
              <w:pStyle w:val="TableText"/>
              <w:jc w:val="right"/>
              <w:rPr>
                <w:rFonts w:eastAsia="Times New Roman"/>
              </w:rPr>
            </w:pPr>
            <w:r w:rsidRPr="005B0796">
              <w:rPr>
                <w:rFonts w:eastAsia="Times New Roman"/>
              </w:rPr>
              <w:t>9.1</w:t>
            </w:r>
          </w:p>
        </w:tc>
        <w:tc>
          <w:tcPr>
            <w:tcW w:w="574" w:type="dxa"/>
            <w:hideMark/>
          </w:tcPr>
          <w:p w:rsidR="004E699B" w:rsidRPr="005B0796" w:rsidRDefault="004E699B" w:rsidP="0099117C">
            <w:pPr>
              <w:pStyle w:val="TableText"/>
              <w:jc w:val="right"/>
              <w:rPr>
                <w:rFonts w:eastAsia="Times New Roman"/>
              </w:rPr>
            </w:pPr>
            <w:r w:rsidRPr="005B0796">
              <w:rPr>
                <w:rFonts w:eastAsia="Times New Roman"/>
              </w:rPr>
              <w:t>4.6, 13.6</w:t>
            </w:r>
          </w:p>
        </w:tc>
      </w:tr>
    </w:tbl>
    <w:p w:rsidR="00BF4089" w:rsidRPr="005B0796" w:rsidRDefault="004E699B" w:rsidP="004E699B">
      <w:pPr>
        <w:pStyle w:val="TableNotes"/>
      </w:pPr>
      <w:r w:rsidRPr="005B0796">
        <w:t xml:space="preserve">Note: 95% CI: 95% </w:t>
      </w:r>
      <w:r w:rsidR="00564689" w:rsidRPr="005B0796">
        <w:t>confidence interval</w:t>
      </w:r>
    </w:p>
    <w:p w:rsidR="00BF4089" w:rsidRPr="005B0796" w:rsidRDefault="00BF4089" w:rsidP="00BF4089"/>
    <w:p w:rsidR="00BF4089" w:rsidRPr="005B0796" w:rsidRDefault="00BF4089" w:rsidP="00BF4089">
      <w:pPr>
        <w:sectPr w:rsidR="00BF4089" w:rsidRPr="005B0796" w:rsidSect="00BE66A5">
          <w:headerReference w:type="even" r:id="rId234"/>
          <w:headerReference w:type="default" r:id="rId235"/>
          <w:footerReference w:type="even" r:id="rId236"/>
          <w:footerReference w:type="default" r:id="rId237"/>
          <w:pgSz w:w="14170" w:h="9979" w:orient="landscape" w:code="243"/>
          <w:pgMar w:top="1872" w:right="1440" w:bottom="1152" w:left="1440" w:header="576" w:footer="576" w:gutter="0"/>
          <w:cols w:space="708"/>
          <w:docGrid w:linePitch="360"/>
        </w:sectPr>
      </w:pPr>
    </w:p>
    <w:p w:rsidR="00BF4089" w:rsidRPr="005B0796" w:rsidRDefault="00EE2CFA" w:rsidP="00EE2CFA">
      <w:pPr>
        <w:pStyle w:val="FigureName"/>
        <w:rPr>
          <w:lang w:eastAsia="en-AU"/>
        </w:rPr>
      </w:pPr>
      <w:bookmarkStart w:id="1147" w:name="_Toc487014415"/>
      <w:bookmarkStart w:id="1148" w:name="_Toc51190058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25</w:t>
      </w:r>
      <w:r w:rsidR="00D30A3C">
        <w:rPr>
          <w:noProof/>
        </w:rPr>
        <w:fldChar w:fldCharType="end"/>
      </w:r>
      <w:r w:rsidRPr="005B0796">
        <w:tab/>
        <w:t>Proportion of Transitioned ADF in each of the GAD-7 scoring bands for GAD symptoms</w:t>
      </w:r>
      <w:r w:rsidR="0057443B">
        <w:t>,</w:t>
      </w:r>
      <w:r w:rsidRPr="005B0796">
        <w:t xml:space="preserve"> by years since transition</w:t>
      </w:r>
      <w:bookmarkEnd w:id="1147"/>
      <w:bookmarkEnd w:id="1148"/>
    </w:p>
    <w:tbl>
      <w:tblPr>
        <w:tblW w:w="5000" w:type="pct"/>
        <w:tblLayout w:type="fixed"/>
        <w:tblCellMar>
          <w:left w:w="115" w:type="dxa"/>
          <w:right w:w="115" w:type="dxa"/>
        </w:tblCellMar>
        <w:tblLook w:val="04A0" w:firstRow="1" w:lastRow="0" w:firstColumn="1" w:lastColumn="0" w:noHBand="0" w:noVBand="1"/>
      </w:tblPr>
      <w:tblGrid>
        <w:gridCol w:w="7329"/>
      </w:tblGrid>
      <w:tr w:rsidR="00BF4089" w:rsidRPr="005B0796" w:rsidTr="00EE2CFA">
        <w:trPr>
          <w:cantSplit/>
        </w:trPr>
        <w:tc>
          <w:tcPr>
            <w:tcW w:w="7315" w:type="dxa"/>
          </w:tcPr>
          <w:p w:rsidR="00BF4089" w:rsidRPr="005B0796" w:rsidRDefault="00BF4089" w:rsidP="0064122F">
            <w:r w:rsidRPr="005B0796">
              <w:rPr>
                <w:noProof/>
                <w:lang w:eastAsia="en-AU"/>
              </w:rPr>
              <w:drawing>
                <wp:inline distT="0" distB="0" distL="0" distR="0" wp14:anchorId="3628E311" wp14:editId="599BD8BE">
                  <wp:extent cx="4572000" cy="2743200"/>
                  <wp:effectExtent l="0" t="0" r="0" b="0"/>
                  <wp:docPr id="72" name="Chart 72" descr="Figure 5.25 Proportion of Transitioned ADF in each of the GAD-7 scoring bands for GAD symptoms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c>
      </w:tr>
    </w:tbl>
    <w:p w:rsidR="00BF4089" w:rsidRPr="005B0796" w:rsidRDefault="00BF4089" w:rsidP="00EE2CFA">
      <w:pPr>
        <w:pStyle w:val="Heading2"/>
      </w:pPr>
      <w:r w:rsidRPr="005B0796">
        <w:t xml:space="preserve"> </w:t>
      </w:r>
      <w:bookmarkStart w:id="1149" w:name="_Toc482024483"/>
      <w:bookmarkStart w:id="1150" w:name="_Toc487011238"/>
      <w:bookmarkStart w:id="1151" w:name="_Toc494449758"/>
      <w:bookmarkStart w:id="1152" w:name="_Toc511900340"/>
      <w:r w:rsidRPr="005B0796">
        <w:t>Deployment exposures</w:t>
      </w:r>
      <w:bookmarkEnd w:id="1149"/>
      <w:bookmarkEnd w:id="1150"/>
      <w:bookmarkEnd w:id="1151"/>
      <w:bookmarkEnd w:id="1152"/>
    </w:p>
    <w:p w:rsidR="001701EA" w:rsidRPr="005B0796" w:rsidRDefault="001701EA" w:rsidP="001701EA">
      <w:pPr>
        <w:pStyle w:val="ShadedBullet"/>
      </w:pPr>
      <w:r w:rsidRPr="005B0796">
        <w:t>An estimated 85% or more of the entire Transitioned ADF and 2015 Regular ADF have experienced a potentially adverse deployment exposure.</w:t>
      </w:r>
    </w:p>
    <w:p w:rsidR="001701EA" w:rsidRPr="005B0796" w:rsidRDefault="001701EA" w:rsidP="001701EA">
      <w:pPr>
        <w:pStyle w:val="ShadedBullet"/>
      </w:pPr>
      <w:r w:rsidRPr="005B0796">
        <w:t>Exposure to toxins was the most common exposure type, with more than 50% of Transitioned ADF and 2015 Regular ADF members reporting exposure to smoke, fumes, chemicals, and local food or water.</w:t>
      </w:r>
    </w:p>
    <w:p w:rsidR="001701EA" w:rsidRPr="005B0796" w:rsidRDefault="001701EA" w:rsidP="001701EA">
      <w:pPr>
        <w:pStyle w:val="ShadedBullet"/>
      </w:pPr>
      <w:r w:rsidRPr="005B0796">
        <w:t>Transitioned ADF members were significantly more likely to report the most deployment exposure types, except for potentially toxic/environmental exposures (smoke, fumes, chemicals, and local food or water), fear of encountering an improvised explosive device (IED) and coming under fire.</w:t>
      </w:r>
    </w:p>
    <w:p w:rsidR="001701EA" w:rsidRPr="005B0796" w:rsidRDefault="001701EA" w:rsidP="001701EA">
      <w:pPr>
        <w:pStyle w:val="ShadedBoxText"/>
      </w:pPr>
      <w:r w:rsidRPr="005B0796">
        <w:rPr>
          <w:b/>
        </w:rPr>
        <w:t xml:space="preserve">Glossary: </w:t>
      </w:r>
      <w:r w:rsidRPr="005B0796">
        <w:t>refer to the Glossary of terms for definitions of key terms in this section.</w:t>
      </w:r>
    </w:p>
    <w:p w:rsidR="00BF4089" w:rsidRPr="005B0796" w:rsidRDefault="00BF4089" w:rsidP="001701EA">
      <w:r w:rsidRPr="005B0796">
        <w:t xml:space="preserve">This section provides a detailed summary of the estimated prevalence of self-reported lifetime deployment exposures among ADF members who transitioned from the Regular ADF between 2010 and 2014 (Transitioned ADF) compared to 2015 Regular ADF members. These potentially adverse events may or may not have had an impact on the physical or mental health of the deployed ADF member. However, they are included in this report to provide details of the background morbidity (in terms of risk and protective factors) in the Transitioned ADF and the 2015 Regular ADF. </w:t>
      </w:r>
    </w:p>
    <w:p w:rsidR="00BF4089" w:rsidRPr="005B0796" w:rsidRDefault="00BF4089" w:rsidP="001701EA">
      <w:r w:rsidRPr="005B0796">
        <w:t xml:space="preserve">Deployment exposure items in this section were drawn directly from the Middle East Area of Operations Census Study </w:t>
      </w:r>
      <w:r w:rsidRPr="005B0796">
        <w:fldChar w:fldCharType="begin"/>
      </w:r>
      <w:r w:rsidRPr="005B0796">
        <w:instrText xml:space="preserve"> ADDIN EN.CITE &lt;EndNote&gt;&lt;Cite&gt;&lt;Author&gt;Dobson&lt;/Author&gt;&lt;Year&gt;2012&lt;/Year&gt;&lt;RecNum&gt;440&lt;/RecNum&gt;&lt;DisplayText&gt;(Dobson et al., 2012)&lt;/DisplayText&gt;&lt;record&gt;&lt;rec-number&gt;440&lt;/rec-number&gt;&lt;foreign-keys&gt;&lt;key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Health.&lt;/publisher&gt;&lt;urls&gt;&lt;/urls&gt;&lt;/record&gt;&lt;/Cite&gt;&lt;/EndNote&gt;</w:instrText>
      </w:r>
      <w:r w:rsidRPr="005B0796">
        <w:fldChar w:fldCharType="separate"/>
      </w:r>
      <w:r w:rsidRPr="005B0796">
        <w:t>(Dobson et al., 2012)</w:t>
      </w:r>
      <w:r w:rsidRPr="005B0796">
        <w:fldChar w:fldCharType="end"/>
      </w:r>
      <w:r w:rsidRPr="005B0796">
        <w:t xml:space="preserve">. Participants were given a list of potential adverse exposures likely to be experienced on deployment and asked to indicate how many times they had experienced each one during their military career. Response categories ranged from </w:t>
      </w:r>
      <w:r w:rsidR="00462A0C" w:rsidRPr="005B0796">
        <w:t>‘</w:t>
      </w:r>
      <w:r w:rsidRPr="005B0796">
        <w:t>never</w:t>
      </w:r>
      <w:r w:rsidR="00462A0C" w:rsidRPr="005B0796">
        <w:t>’</w:t>
      </w:r>
      <w:r w:rsidRPr="005B0796">
        <w:t xml:space="preserve"> to </w:t>
      </w:r>
      <w:r w:rsidR="00462A0C" w:rsidRPr="005B0796">
        <w:t>‘</w:t>
      </w:r>
      <w:r w:rsidRPr="005B0796">
        <w:t>10+ times</w:t>
      </w:r>
      <w:r w:rsidR="00462A0C" w:rsidRPr="005B0796">
        <w:t>’</w:t>
      </w:r>
      <w:r w:rsidRPr="005B0796">
        <w:t xml:space="preserve">. Examples of events included exposure to </w:t>
      </w:r>
      <w:r w:rsidR="00462A0C" w:rsidRPr="005B0796">
        <w:t>‘</w:t>
      </w:r>
      <w:r w:rsidRPr="005B0796">
        <w:t>hazardous materials</w:t>
      </w:r>
      <w:r w:rsidR="00462A0C" w:rsidRPr="005B0796">
        <w:t>’</w:t>
      </w:r>
      <w:r w:rsidRPr="005B0796">
        <w:t xml:space="preserve">, </w:t>
      </w:r>
      <w:r w:rsidR="00462A0C" w:rsidRPr="005B0796">
        <w:t>‘</w:t>
      </w:r>
      <w:r w:rsidRPr="005B0796">
        <w:t>discharge of weapon in direct combat</w:t>
      </w:r>
      <w:r w:rsidR="00462A0C" w:rsidRPr="005B0796">
        <w:t>’</w:t>
      </w:r>
      <w:r w:rsidRPr="005B0796">
        <w:t xml:space="preserve"> and </w:t>
      </w:r>
      <w:r w:rsidR="00462A0C" w:rsidRPr="005B0796">
        <w:t>‘</w:t>
      </w:r>
      <w:r w:rsidRPr="005B0796">
        <w:t>handled or saw dead bodies</w:t>
      </w:r>
      <w:r w:rsidR="00462A0C" w:rsidRPr="005B0796">
        <w:t>’</w:t>
      </w:r>
      <w:r w:rsidRPr="005B0796">
        <w:t>. For this section, deployment exposures were included if the participant indicated they had been exposed once, 2–4 times, 5–9 times or 10+ times.</w:t>
      </w:r>
    </w:p>
    <w:p w:rsidR="00BF4089" w:rsidRPr="005B0796" w:rsidRDefault="00BF4089" w:rsidP="001701EA">
      <w:pPr>
        <w:pStyle w:val="Heading3"/>
        <w:rPr>
          <w:rFonts w:cs="Times New Roman"/>
        </w:rPr>
      </w:pPr>
      <w:bookmarkStart w:id="1153" w:name="_Toc482021393"/>
      <w:bookmarkStart w:id="1154" w:name="_Toc482024484"/>
      <w:bookmarkStart w:id="1155" w:name="_Toc487011239"/>
      <w:bookmarkStart w:id="1156" w:name="_Toc494449759"/>
      <w:bookmarkStart w:id="1157" w:name="_Toc511900341"/>
      <w:r w:rsidRPr="005B0796">
        <w:t>Deployment exposures in Transitioned ADF and 2015 Regular ADF</w:t>
      </w:r>
      <w:bookmarkEnd w:id="1153"/>
      <w:bookmarkEnd w:id="1154"/>
      <w:bookmarkEnd w:id="1155"/>
      <w:bookmarkEnd w:id="1156"/>
      <w:bookmarkEnd w:id="1157"/>
      <w:r w:rsidRPr="005B0796">
        <w:t xml:space="preserve"> </w:t>
      </w:r>
    </w:p>
    <w:p w:rsidR="00BF4089" w:rsidRPr="005B0796" w:rsidRDefault="009E72D3" w:rsidP="001701EA">
      <w:r w:rsidRPr="005B0796">
        <w:t>Table 5.26</w:t>
      </w:r>
      <w:r w:rsidR="00BF4089" w:rsidRPr="005B0796">
        <w:t xml:space="preserve"> presents the distribution of deployment exposures in the Transitioned ADF and the 2015 Regular ADF. </w:t>
      </w:r>
    </w:p>
    <w:p w:rsidR="00BF4089" w:rsidRPr="005B0796" w:rsidRDefault="00BF4089" w:rsidP="001701EA">
      <w:r w:rsidRPr="005B0796">
        <w:t>Overall, more than 85% of both the Transitioned ADF and the 2015 Regular ADF reported experiencing a deployment exposure in their lifetime. Toxic exposures in particular (i.e. smoke, fumes, noise, chemicals</w:t>
      </w:r>
      <w:r w:rsidR="0057443B">
        <w:t>,</w:t>
      </w:r>
      <w:r w:rsidRPr="005B0796">
        <w:t xml:space="preserve"> and local food and water</w:t>
      </w:r>
      <w:r w:rsidR="0057443B">
        <w:t>)</w:t>
      </w:r>
      <w:r w:rsidRPr="005B0796">
        <w:t xml:space="preserve"> were the most common exposure type with 50% or more of both groups reporting exposure to these toxins. </w:t>
      </w:r>
    </w:p>
    <w:p w:rsidR="00BF4089" w:rsidRPr="005B0796" w:rsidRDefault="00BF4089" w:rsidP="001701EA">
      <w:r w:rsidRPr="005B0796">
        <w:t xml:space="preserve">The next most common exposure types in both the Transitioned ADF and the 2015 Regular ADF were being in danger of being killed or injured (46.8% and 39.4% respectively) and being concerned about self or others having an unauthorised discharge of a weapon (40.3% and 34.2% respectively). </w:t>
      </w:r>
    </w:p>
    <w:p w:rsidR="00BF4089" w:rsidRPr="005B0796" w:rsidRDefault="00BF4089" w:rsidP="001701EA">
      <w:r w:rsidRPr="005B0796">
        <w:t xml:space="preserve">Interestingly, Transitioned ADF members were significantly more likely to report the most deployment exposure types, except for toxic exposures (smoke, fumes, noise, chemicals, and local food or water), fear of encountering an improvised explosive device (IED) and coming under fire. (Significant differences are highlighted in bold in Table 5.26. See Annex </w:t>
      </w:r>
      <w:r w:rsidR="00411B45" w:rsidRPr="005B0796">
        <w:t>B</w:t>
      </w:r>
      <w:r w:rsidRPr="005B0796">
        <w:t xml:space="preserve"> for detailed results.)</w:t>
      </w:r>
    </w:p>
    <w:p w:rsidR="00BF4089" w:rsidRPr="005B0796" w:rsidRDefault="00BF4089" w:rsidP="001701EA">
      <w:pPr>
        <w:sectPr w:rsidR="00BF4089" w:rsidRPr="005B0796" w:rsidSect="005A477D">
          <w:footerReference w:type="even" r:id="rId239"/>
          <w:footerReference w:type="default" r:id="rId240"/>
          <w:pgSz w:w="9979" w:h="14170" w:code="243"/>
          <w:pgMar w:top="1440" w:right="1152" w:bottom="1440" w:left="1728" w:header="576" w:footer="576" w:gutter="0"/>
          <w:cols w:space="708"/>
          <w:docGrid w:linePitch="360"/>
        </w:sectPr>
      </w:pPr>
    </w:p>
    <w:p w:rsidR="00BF4089" w:rsidRPr="005B0796" w:rsidRDefault="001701EA" w:rsidP="001701EA">
      <w:pPr>
        <w:pStyle w:val="TableName"/>
      </w:pPr>
      <w:bookmarkStart w:id="1158" w:name="_Ref484523488"/>
      <w:bookmarkStart w:id="1159" w:name="_Toc487014327"/>
      <w:bookmarkStart w:id="1160" w:name="_Toc492995630"/>
      <w:bookmarkStart w:id="1161" w:name="_Toc51190047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26</w:t>
      </w:r>
      <w:r w:rsidR="00D30A3C">
        <w:rPr>
          <w:noProof/>
        </w:rPr>
        <w:fldChar w:fldCharType="end"/>
      </w:r>
      <w:bookmarkEnd w:id="1158"/>
      <w:r w:rsidRPr="005B0796">
        <w:tab/>
        <w:t>Estimated prevalence of deployment exposures in Transitioned ADF and 2015 Regular ADF</w:t>
      </w:r>
      <w:bookmarkEnd w:id="1159"/>
      <w:bookmarkEnd w:id="1160"/>
      <w:bookmarkEnd w:id="1161"/>
    </w:p>
    <w:tbl>
      <w:tblPr>
        <w:tblStyle w:val="TWRPTable"/>
        <w:tblW w:w="5000" w:type="pct"/>
        <w:tblLayout w:type="fixed"/>
        <w:tblLook w:val="04A0" w:firstRow="1" w:lastRow="0" w:firstColumn="1" w:lastColumn="0" w:noHBand="0" w:noVBand="1"/>
        <w:tblDescription w:val="Table 5.26 Estimated prevalence of deployment exposures in Transitioned ADF and 2015 Regular ADF"/>
      </w:tblPr>
      <w:tblGrid>
        <w:gridCol w:w="3997"/>
        <w:gridCol w:w="1251"/>
        <w:gridCol w:w="1252"/>
        <w:gridCol w:w="1251"/>
        <w:gridCol w:w="1252"/>
        <w:gridCol w:w="1251"/>
        <w:gridCol w:w="1252"/>
      </w:tblGrid>
      <w:tr w:rsidR="00BF4089" w:rsidRPr="005B0796" w:rsidTr="001701EA">
        <w:trPr>
          <w:cnfStyle w:val="100000000000" w:firstRow="1" w:lastRow="0" w:firstColumn="0" w:lastColumn="0" w:oddVBand="0" w:evenVBand="0" w:oddHBand="0" w:evenHBand="0" w:firstRowFirstColumn="0" w:firstRowLastColumn="0" w:lastRowFirstColumn="0" w:lastRowLastColumn="0"/>
          <w:tblHeader/>
        </w:trPr>
        <w:tc>
          <w:tcPr>
            <w:tcW w:w="3997" w:type="dxa"/>
            <w:vMerge w:val="restart"/>
          </w:tcPr>
          <w:p w:rsidR="00BF4089" w:rsidRPr="005B0796" w:rsidRDefault="00BF4089" w:rsidP="001701EA">
            <w:pPr>
              <w:pStyle w:val="TableText"/>
            </w:pPr>
          </w:p>
        </w:tc>
        <w:tc>
          <w:tcPr>
            <w:tcW w:w="3754" w:type="dxa"/>
            <w:gridSpan w:val="3"/>
            <w:hideMark/>
          </w:tcPr>
          <w:p w:rsidR="00BF4089" w:rsidRPr="005B0796" w:rsidRDefault="00BF4089" w:rsidP="001701EA">
            <w:pPr>
              <w:pStyle w:val="TableText"/>
              <w:jc w:val="center"/>
            </w:pPr>
            <w:r w:rsidRPr="005B0796">
              <w:t>Transitioned ADF 2015 (n = 24,932)</w:t>
            </w:r>
          </w:p>
        </w:tc>
        <w:tc>
          <w:tcPr>
            <w:tcW w:w="3755" w:type="dxa"/>
            <w:gridSpan w:val="3"/>
          </w:tcPr>
          <w:p w:rsidR="00BF4089" w:rsidRPr="005B0796" w:rsidRDefault="00BF4089" w:rsidP="001701EA">
            <w:pPr>
              <w:pStyle w:val="TableText"/>
              <w:jc w:val="center"/>
            </w:pPr>
            <w:r w:rsidRPr="005B0796">
              <w:t>2015 Regular ADF (n = 52,500)</w:t>
            </w:r>
          </w:p>
        </w:tc>
      </w:tr>
      <w:tr w:rsidR="00BF4089" w:rsidRPr="005B0796" w:rsidTr="001701EA">
        <w:trPr>
          <w:cnfStyle w:val="100000000000" w:firstRow="1" w:lastRow="0" w:firstColumn="0" w:lastColumn="0" w:oddVBand="0" w:evenVBand="0" w:oddHBand="0" w:evenHBand="0" w:firstRowFirstColumn="0" w:firstRowLastColumn="0" w:lastRowFirstColumn="0" w:lastRowLastColumn="0"/>
          <w:tblHeader/>
        </w:trPr>
        <w:tc>
          <w:tcPr>
            <w:tcW w:w="3997" w:type="dxa"/>
            <w:vMerge/>
            <w:hideMark/>
          </w:tcPr>
          <w:p w:rsidR="00BF4089" w:rsidRPr="005B0796" w:rsidRDefault="00BF4089" w:rsidP="001701EA">
            <w:pPr>
              <w:pStyle w:val="TableText"/>
            </w:pPr>
          </w:p>
        </w:tc>
        <w:tc>
          <w:tcPr>
            <w:tcW w:w="1251" w:type="dxa"/>
            <w:hideMark/>
          </w:tcPr>
          <w:p w:rsidR="00BF4089" w:rsidRPr="005B0796" w:rsidRDefault="00BF4089" w:rsidP="001701EA">
            <w:pPr>
              <w:pStyle w:val="TableText"/>
              <w:jc w:val="right"/>
            </w:pPr>
            <w:r w:rsidRPr="005B0796">
              <w:t>Weighted n</w:t>
            </w:r>
          </w:p>
        </w:tc>
        <w:tc>
          <w:tcPr>
            <w:tcW w:w="1252" w:type="dxa"/>
            <w:hideMark/>
          </w:tcPr>
          <w:p w:rsidR="00BF4089" w:rsidRPr="005B0796" w:rsidRDefault="00BF4089" w:rsidP="001701EA">
            <w:pPr>
              <w:pStyle w:val="TableText"/>
              <w:jc w:val="right"/>
            </w:pPr>
            <w:r w:rsidRPr="005B0796">
              <w:t>%</w:t>
            </w:r>
          </w:p>
        </w:tc>
        <w:tc>
          <w:tcPr>
            <w:tcW w:w="1251" w:type="dxa"/>
            <w:hideMark/>
          </w:tcPr>
          <w:p w:rsidR="00BF4089" w:rsidRPr="005B0796" w:rsidRDefault="00BF4089" w:rsidP="001701EA">
            <w:pPr>
              <w:pStyle w:val="TableText"/>
              <w:jc w:val="right"/>
            </w:pPr>
            <w:r w:rsidRPr="005B0796">
              <w:t>95% CI</w:t>
            </w:r>
          </w:p>
        </w:tc>
        <w:tc>
          <w:tcPr>
            <w:tcW w:w="1252" w:type="dxa"/>
            <w:hideMark/>
          </w:tcPr>
          <w:p w:rsidR="00BF4089" w:rsidRPr="005B0796" w:rsidRDefault="00BF4089" w:rsidP="001701EA">
            <w:pPr>
              <w:pStyle w:val="TableText"/>
              <w:jc w:val="right"/>
            </w:pPr>
            <w:r w:rsidRPr="005B0796">
              <w:t>Weighted n</w:t>
            </w:r>
          </w:p>
        </w:tc>
        <w:tc>
          <w:tcPr>
            <w:tcW w:w="1251" w:type="dxa"/>
            <w:hideMark/>
          </w:tcPr>
          <w:p w:rsidR="00BF4089" w:rsidRPr="005B0796" w:rsidRDefault="00BF4089" w:rsidP="001701EA">
            <w:pPr>
              <w:pStyle w:val="TableText"/>
              <w:jc w:val="right"/>
            </w:pPr>
            <w:r w:rsidRPr="005B0796">
              <w:t>%</w:t>
            </w:r>
          </w:p>
        </w:tc>
        <w:tc>
          <w:tcPr>
            <w:tcW w:w="1252" w:type="dxa"/>
            <w:hideMark/>
          </w:tcPr>
          <w:p w:rsidR="00BF4089" w:rsidRPr="005B0796" w:rsidRDefault="00BF4089" w:rsidP="001701EA">
            <w:pPr>
              <w:pStyle w:val="TableText"/>
              <w:jc w:val="right"/>
            </w:pPr>
            <w:r w:rsidRPr="005B0796">
              <w:t>(95% CI)</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Seriously fear you would encounter IED</w:t>
            </w:r>
          </w:p>
        </w:tc>
        <w:tc>
          <w:tcPr>
            <w:tcW w:w="1251" w:type="dxa"/>
            <w:hideMark/>
          </w:tcPr>
          <w:p w:rsidR="00BF4089" w:rsidRPr="005B0796" w:rsidRDefault="00BF4089" w:rsidP="001701EA">
            <w:pPr>
              <w:pStyle w:val="TableText"/>
              <w:jc w:val="right"/>
              <w:rPr>
                <w:lang w:eastAsia="en-AU"/>
              </w:rPr>
            </w:pPr>
            <w:r w:rsidRPr="005B0796">
              <w:rPr>
                <w:lang w:eastAsia="en-AU"/>
              </w:rPr>
              <w:t>8209</w:t>
            </w:r>
          </w:p>
        </w:tc>
        <w:tc>
          <w:tcPr>
            <w:tcW w:w="1252" w:type="dxa"/>
            <w:hideMark/>
          </w:tcPr>
          <w:p w:rsidR="00BF4089" w:rsidRPr="005B0796" w:rsidRDefault="00BF4089" w:rsidP="001701EA">
            <w:pPr>
              <w:pStyle w:val="TableText"/>
              <w:jc w:val="right"/>
              <w:rPr>
                <w:lang w:eastAsia="en-AU"/>
              </w:rPr>
            </w:pPr>
            <w:r w:rsidRPr="005B0796">
              <w:rPr>
                <w:lang w:eastAsia="en-AU"/>
              </w:rPr>
              <w:t>33.9</w:t>
            </w:r>
          </w:p>
        </w:tc>
        <w:tc>
          <w:tcPr>
            <w:tcW w:w="1251" w:type="dxa"/>
            <w:hideMark/>
          </w:tcPr>
          <w:p w:rsidR="00BF4089" w:rsidRPr="005B0796" w:rsidRDefault="00BF4089" w:rsidP="001701EA">
            <w:pPr>
              <w:pStyle w:val="TableText"/>
              <w:jc w:val="right"/>
              <w:rPr>
                <w:lang w:eastAsia="en-AU"/>
              </w:rPr>
            </w:pPr>
            <w:r w:rsidRPr="005B0796">
              <w:rPr>
                <w:lang w:eastAsia="en-AU"/>
              </w:rPr>
              <w:t>32.4, 35.5</w:t>
            </w:r>
          </w:p>
        </w:tc>
        <w:tc>
          <w:tcPr>
            <w:tcW w:w="1252" w:type="dxa"/>
            <w:hideMark/>
          </w:tcPr>
          <w:p w:rsidR="00BF4089" w:rsidRPr="005B0796" w:rsidRDefault="00BF4089" w:rsidP="001701EA">
            <w:pPr>
              <w:pStyle w:val="TableText"/>
              <w:jc w:val="right"/>
              <w:rPr>
                <w:lang w:eastAsia="en-AU"/>
              </w:rPr>
            </w:pPr>
            <w:r w:rsidRPr="005B0796">
              <w:rPr>
                <w:lang w:eastAsia="en-AU"/>
              </w:rPr>
              <w:t>15,187</w:t>
            </w:r>
          </w:p>
        </w:tc>
        <w:tc>
          <w:tcPr>
            <w:tcW w:w="1251" w:type="dxa"/>
            <w:hideMark/>
          </w:tcPr>
          <w:p w:rsidR="00BF4089" w:rsidRPr="005B0796" w:rsidRDefault="00BF4089" w:rsidP="001701EA">
            <w:pPr>
              <w:pStyle w:val="TableText"/>
              <w:jc w:val="right"/>
              <w:rPr>
                <w:lang w:eastAsia="en-AU"/>
              </w:rPr>
            </w:pPr>
            <w:r w:rsidRPr="005B0796">
              <w:rPr>
                <w:lang w:eastAsia="en-AU"/>
              </w:rPr>
              <w:t>29.5</w:t>
            </w:r>
          </w:p>
        </w:tc>
        <w:tc>
          <w:tcPr>
            <w:tcW w:w="1252" w:type="dxa"/>
            <w:hideMark/>
          </w:tcPr>
          <w:p w:rsidR="00BF4089" w:rsidRPr="005B0796" w:rsidRDefault="00BF4089" w:rsidP="001701EA">
            <w:pPr>
              <w:pStyle w:val="TableText"/>
              <w:jc w:val="right"/>
              <w:rPr>
                <w:lang w:eastAsia="en-AU"/>
              </w:rPr>
            </w:pPr>
            <w:r w:rsidRPr="005B0796">
              <w:rPr>
                <w:lang w:eastAsia="en-AU"/>
              </w:rPr>
              <w:t>26.5, 32.6</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Go on combat patrols</w:t>
            </w:r>
          </w:p>
        </w:tc>
        <w:tc>
          <w:tcPr>
            <w:tcW w:w="1251" w:type="dxa"/>
            <w:hideMark/>
          </w:tcPr>
          <w:p w:rsidR="00BF4089" w:rsidRPr="005B0796" w:rsidRDefault="00BF4089" w:rsidP="001701EA">
            <w:pPr>
              <w:pStyle w:val="TableText"/>
              <w:jc w:val="right"/>
              <w:rPr>
                <w:lang w:eastAsia="en-AU"/>
              </w:rPr>
            </w:pPr>
            <w:r w:rsidRPr="005B0796">
              <w:rPr>
                <w:lang w:eastAsia="en-AU"/>
              </w:rPr>
              <w:t>9233</w:t>
            </w:r>
          </w:p>
        </w:tc>
        <w:tc>
          <w:tcPr>
            <w:tcW w:w="1252" w:type="dxa"/>
            <w:hideMark/>
          </w:tcPr>
          <w:p w:rsidR="00BF4089" w:rsidRPr="005B0796" w:rsidRDefault="00BF4089" w:rsidP="001701EA">
            <w:pPr>
              <w:pStyle w:val="TableText"/>
              <w:jc w:val="right"/>
              <w:rPr>
                <w:lang w:eastAsia="en-AU"/>
              </w:rPr>
            </w:pPr>
            <w:r w:rsidRPr="005B0796">
              <w:rPr>
                <w:lang w:eastAsia="en-AU"/>
              </w:rPr>
              <w:t>38.3</w:t>
            </w:r>
          </w:p>
        </w:tc>
        <w:tc>
          <w:tcPr>
            <w:tcW w:w="1251" w:type="dxa"/>
            <w:hideMark/>
          </w:tcPr>
          <w:p w:rsidR="00BF4089" w:rsidRPr="005B0796" w:rsidRDefault="00BF4089" w:rsidP="001701EA">
            <w:pPr>
              <w:pStyle w:val="TableText"/>
              <w:jc w:val="right"/>
              <w:rPr>
                <w:lang w:eastAsia="en-AU"/>
              </w:rPr>
            </w:pPr>
            <w:r w:rsidRPr="005B0796">
              <w:rPr>
                <w:lang w:eastAsia="en-AU"/>
              </w:rPr>
              <w:t>36.6, 39.9</w:t>
            </w:r>
          </w:p>
        </w:tc>
        <w:tc>
          <w:tcPr>
            <w:tcW w:w="1252" w:type="dxa"/>
            <w:hideMark/>
          </w:tcPr>
          <w:p w:rsidR="00BF4089" w:rsidRPr="005B0796" w:rsidRDefault="00BF4089" w:rsidP="001701EA">
            <w:pPr>
              <w:pStyle w:val="TableText"/>
              <w:jc w:val="right"/>
              <w:rPr>
                <w:lang w:eastAsia="en-AU"/>
              </w:rPr>
            </w:pPr>
            <w:r w:rsidRPr="005B0796">
              <w:rPr>
                <w:lang w:eastAsia="en-AU"/>
              </w:rPr>
              <w:t>15,375</w:t>
            </w:r>
          </w:p>
        </w:tc>
        <w:tc>
          <w:tcPr>
            <w:tcW w:w="1251" w:type="dxa"/>
            <w:hideMark/>
          </w:tcPr>
          <w:p w:rsidR="00BF4089" w:rsidRPr="005B0796" w:rsidRDefault="00BF4089" w:rsidP="001701EA">
            <w:pPr>
              <w:pStyle w:val="TableText"/>
              <w:jc w:val="right"/>
              <w:rPr>
                <w:lang w:eastAsia="en-AU"/>
              </w:rPr>
            </w:pPr>
            <w:r w:rsidRPr="005B0796">
              <w:rPr>
                <w:lang w:eastAsia="en-AU"/>
              </w:rPr>
              <w:t>29.9</w:t>
            </w:r>
          </w:p>
        </w:tc>
        <w:tc>
          <w:tcPr>
            <w:tcW w:w="1252" w:type="dxa"/>
            <w:hideMark/>
          </w:tcPr>
          <w:p w:rsidR="00BF4089" w:rsidRPr="005B0796" w:rsidRDefault="00BF4089" w:rsidP="001701EA">
            <w:pPr>
              <w:pStyle w:val="TableText"/>
              <w:jc w:val="right"/>
              <w:rPr>
                <w:lang w:eastAsia="en-AU"/>
              </w:rPr>
            </w:pPr>
            <w:r w:rsidRPr="005B0796">
              <w:rPr>
                <w:lang w:eastAsia="en-AU"/>
              </w:rPr>
              <w:t>26.9, 33.1</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Concern about unauthorised discharge of weapon</w:t>
            </w:r>
          </w:p>
        </w:tc>
        <w:tc>
          <w:tcPr>
            <w:tcW w:w="1251" w:type="dxa"/>
            <w:hideMark/>
          </w:tcPr>
          <w:p w:rsidR="00BF4089" w:rsidRPr="005B0796" w:rsidRDefault="00BF4089" w:rsidP="001701EA">
            <w:pPr>
              <w:pStyle w:val="TableText"/>
              <w:jc w:val="right"/>
              <w:rPr>
                <w:lang w:eastAsia="en-AU"/>
              </w:rPr>
            </w:pPr>
            <w:r w:rsidRPr="005B0796">
              <w:rPr>
                <w:lang w:eastAsia="en-AU"/>
              </w:rPr>
              <w:t>9743</w:t>
            </w:r>
          </w:p>
        </w:tc>
        <w:tc>
          <w:tcPr>
            <w:tcW w:w="1252" w:type="dxa"/>
            <w:hideMark/>
          </w:tcPr>
          <w:p w:rsidR="00BF4089" w:rsidRPr="005B0796" w:rsidRDefault="00BF4089" w:rsidP="001701EA">
            <w:pPr>
              <w:pStyle w:val="TableText"/>
              <w:jc w:val="right"/>
              <w:rPr>
                <w:lang w:eastAsia="en-AU"/>
              </w:rPr>
            </w:pPr>
            <w:r w:rsidRPr="005B0796">
              <w:rPr>
                <w:lang w:eastAsia="en-AU"/>
              </w:rPr>
              <w:t>40.3</w:t>
            </w:r>
          </w:p>
        </w:tc>
        <w:tc>
          <w:tcPr>
            <w:tcW w:w="1251" w:type="dxa"/>
            <w:hideMark/>
          </w:tcPr>
          <w:p w:rsidR="00BF4089" w:rsidRPr="005B0796" w:rsidRDefault="00BF4089" w:rsidP="001701EA">
            <w:pPr>
              <w:pStyle w:val="TableText"/>
              <w:jc w:val="right"/>
              <w:rPr>
                <w:lang w:eastAsia="en-AU"/>
              </w:rPr>
            </w:pPr>
            <w:r w:rsidRPr="005B0796">
              <w:rPr>
                <w:lang w:eastAsia="en-AU"/>
              </w:rPr>
              <w:t>38.6, 42.1</w:t>
            </w:r>
          </w:p>
        </w:tc>
        <w:tc>
          <w:tcPr>
            <w:tcW w:w="1252" w:type="dxa"/>
            <w:hideMark/>
          </w:tcPr>
          <w:p w:rsidR="00BF4089" w:rsidRPr="005B0796" w:rsidRDefault="00BF4089" w:rsidP="001701EA">
            <w:pPr>
              <w:pStyle w:val="TableText"/>
              <w:jc w:val="right"/>
              <w:rPr>
                <w:lang w:eastAsia="en-AU"/>
              </w:rPr>
            </w:pPr>
            <w:r w:rsidRPr="005B0796">
              <w:rPr>
                <w:lang w:eastAsia="en-AU"/>
              </w:rPr>
              <w:t>17,574</w:t>
            </w:r>
          </w:p>
        </w:tc>
        <w:tc>
          <w:tcPr>
            <w:tcW w:w="1251" w:type="dxa"/>
            <w:hideMark/>
          </w:tcPr>
          <w:p w:rsidR="00BF4089" w:rsidRPr="005B0796" w:rsidRDefault="00BF4089" w:rsidP="001701EA">
            <w:pPr>
              <w:pStyle w:val="TableText"/>
              <w:jc w:val="right"/>
              <w:rPr>
                <w:lang w:eastAsia="en-AU"/>
              </w:rPr>
            </w:pPr>
            <w:r w:rsidRPr="005B0796">
              <w:rPr>
                <w:lang w:eastAsia="en-AU"/>
              </w:rPr>
              <w:t>34.2</w:t>
            </w:r>
          </w:p>
        </w:tc>
        <w:tc>
          <w:tcPr>
            <w:tcW w:w="1252" w:type="dxa"/>
            <w:hideMark/>
          </w:tcPr>
          <w:p w:rsidR="00BF4089" w:rsidRPr="005B0796" w:rsidRDefault="00BF4089" w:rsidP="001701EA">
            <w:pPr>
              <w:pStyle w:val="TableText"/>
              <w:jc w:val="right"/>
              <w:rPr>
                <w:lang w:eastAsia="en-AU"/>
              </w:rPr>
            </w:pPr>
            <w:r w:rsidRPr="005B0796">
              <w:rPr>
                <w:lang w:eastAsia="en-AU"/>
              </w:rPr>
              <w:t>30.9, 37.5</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Clear/search buildings</w:t>
            </w:r>
          </w:p>
        </w:tc>
        <w:tc>
          <w:tcPr>
            <w:tcW w:w="1251" w:type="dxa"/>
            <w:hideMark/>
          </w:tcPr>
          <w:p w:rsidR="00BF4089" w:rsidRPr="005B0796" w:rsidRDefault="00BF4089" w:rsidP="001701EA">
            <w:pPr>
              <w:pStyle w:val="TableText"/>
              <w:jc w:val="right"/>
              <w:rPr>
                <w:lang w:eastAsia="en-AU"/>
              </w:rPr>
            </w:pPr>
            <w:r w:rsidRPr="005B0796">
              <w:rPr>
                <w:lang w:eastAsia="en-AU"/>
              </w:rPr>
              <w:t>6981</w:t>
            </w:r>
          </w:p>
        </w:tc>
        <w:tc>
          <w:tcPr>
            <w:tcW w:w="1252" w:type="dxa"/>
            <w:hideMark/>
          </w:tcPr>
          <w:p w:rsidR="00BF4089" w:rsidRPr="005B0796" w:rsidRDefault="00BF4089" w:rsidP="001701EA">
            <w:pPr>
              <w:pStyle w:val="TableText"/>
              <w:jc w:val="right"/>
              <w:rPr>
                <w:lang w:eastAsia="en-AU"/>
              </w:rPr>
            </w:pPr>
            <w:r w:rsidRPr="005B0796">
              <w:rPr>
                <w:lang w:eastAsia="en-AU"/>
              </w:rPr>
              <w:t>28.9</w:t>
            </w:r>
          </w:p>
        </w:tc>
        <w:tc>
          <w:tcPr>
            <w:tcW w:w="1251" w:type="dxa"/>
            <w:hideMark/>
          </w:tcPr>
          <w:p w:rsidR="00BF4089" w:rsidRPr="005B0796" w:rsidRDefault="00BF4089" w:rsidP="001701EA">
            <w:pPr>
              <w:pStyle w:val="TableText"/>
              <w:jc w:val="right"/>
              <w:rPr>
                <w:lang w:eastAsia="en-AU"/>
              </w:rPr>
            </w:pPr>
            <w:r w:rsidRPr="005B0796">
              <w:rPr>
                <w:lang w:eastAsia="en-AU"/>
              </w:rPr>
              <w:t>27.3, 30.7</w:t>
            </w:r>
          </w:p>
        </w:tc>
        <w:tc>
          <w:tcPr>
            <w:tcW w:w="1252" w:type="dxa"/>
            <w:hideMark/>
          </w:tcPr>
          <w:p w:rsidR="00BF4089" w:rsidRPr="005B0796" w:rsidRDefault="00BF4089" w:rsidP="001701EA">
            <w:pPr>
              <w:pStyle w:val="TableText"/>
              <w:jc w:val="right"/>
              <w:rPr>
                <w:lang w:eastAsia="en-AU"/>
              </w:rPr>
            </w:pPr>
            <w:r w:rsidRPr="005B0796">
              <w:rPr>
                <w:lang w:eastAsia="en-AU"/>
              </w:rPr>
              <w:t>10,383</w:t>
            </w:r>
          </w:p>
        </w:tc>
        <w:tc>
          <w:tcPr>
            <w:tcW w:w="1251" w:type="dxa"/>
            <w:hideMark/>
          </w:tcPr>
          <w:p w:rsidR="00BF4089" w:rsidRPr="005B0796" w:rsidRDefault="00BF4089" w:rsidP="001701EA">
            <w:pPr>
              <w:pStyle w:val="TableText"/>
              <w:jc w:val="right"/>
              <w:rPr>
                <w:lang w:eastAsia="en-AU"/>
              </w:rPr>
            </w:pPr>
            <w:r w:rsidRPr="005B0796">
              <w:rPr>
                <w:lang w:eastAsia="en-AU"/>
              </w:rPr>
              <w:t>20.2</w:t>
            </w:r>
          </w:p>
        </w:tc>
        <w:tc>
          <w:tcPr>
            <w:tcW w:w="1252" w:type="dxa"/>
            <w:hideMark/>
          </w:tcPr>
          <w:p w:rsidR="00BF4089" w:rsidRPr="005B0796" w:rsidRDefault="00BF4089" w:rsidP="001701EA">
            <w:pPr>
              <w:pStyle w:val="TableText"/>
              <w:jc w:val="right"/>
              <w:rPr>
                <w:lang w:eastAsia="en-AU"/>
              </w:rPr>
            </w:pPr>
            <w:r w:rsidRPr="005B0796">
              <w:rPr>
                <w:lang w:eastAsia="en-AU"/>
              </w:rPr>
              <w:t>17.5, 23.2</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Come under fire</w:t>
            </w:r>
          </w:p>
        </w:tc>
        <w:tc>
          <w:tcPr>
            <w:tcW w:w="1251" w:type="dxa"/>
            <w:hideMark/>
          </w:tcPr>
          <w:p w:rsidR="00BF4089" w:rsidRPr="005B0796" w:rsidRDefault="00BF4089" w:rsidP="001701EA">
            <w:pPr>
              <w:pStyle w:val="TableText"/>
              <w:jc w:val="right"/>
              <w:rPr>
                <w:lang w:eastAsia="en-AU"/>
              </w:rPr>
            </w:pPr>
            <w:r w:rsidRPr="005B0796">
              <w:rPr>
                <w:lang w:eastAsia="en-AU"/>
              </w:rPr>
              <w:t>8950</w:t>
            </w:r>
          </w:p>
        </w:tc>
        <w:tc>
          <w:tcPr>
            <w:tcW w:w="1252" w:type="dxa"/>
            <w:hideMark/>
          </w:tcPr>
          <w:p w:rsidR="00BF4089" w:rsidRPr="005B0796" w:rsidRDefault="00BF4089" w:rsidP="001701EA">
            <w:pPr>
              <w:pStyle w:val="TableText"/>
              <w:jc w:val="right"/>
              <w:rPr>
                <w:lang w:eastAsia="en-AU"/>
              </w:rPr>
            </w:pPr>
            <w:r w:rsidRPr="005B0796">
              <w:rPr>
                <w:lang w:eastAsia="en-AU"/>
              </w:rPr>
              <w:t>37.1</w:t>
            </w:r>
          </w:p>
        </w:tc>
        <w:tc>
          <w:tcPr>
            <w:tcW w:w="1251" w:type="dxa"/>
            <w:hideMark/>
          </w:tcPr>
          <w:p w:rsidR="00BF4089" w:rsidRPr="005B0796" w:rsidRDefault="00BF4089" w:rsidP="001701EA">
            <w:pPr>
              <w:pStyle w:val="TableText"/>
              <w:jc w:val="right"/>
              <w:rPr>
                <w:lang w:eastAsia="en-AU"/>
              </w:rPr>
            </w:pPr>
            <w:r w:rsidRPr="005B0796">
              <w:rPr>
                <w:lang w:eastAsia="en-AU"/>
              </w:rPr>
              <w:t>35.5, 38.8</w:t>
            </w:r>
          </w:p>
        </w:tc>
        <w:tc>
          <w:tcPr>
            <w:tcW w:w="1252" w:type="dxa"/>
            <w:hideMark/>
          </w:tcPr>
          <w:p w:rsidR="00BF4089" w:rsidRPr="005B0796" w:rsidRDefault="00BF4089" w:rsidP="001701EA">
            <w:pPr>
              <w:pStyle w:val="TableText"/>
              <w:jc w:val="right"/>
              <w:rPr>
                <w:lang w:eastAsia="en-AU"/>
              </w:rPr>
            </w:pPr>
            <w:r w:rsidRPr="005B0796">
              <w:rPr>
                <w:lang w:eastAsia="en-AU"/>
              </w:rPr>
              <w:t>16,650</w:t>
            </w:r>
          </w:p>
        </w:tc>
        <w:tc>
          <w:tcPr>
            <w:tcW w:w="1251" w:type="dxa"/>
            <w:hideMark/>
          </w:tcPr>
          <w:p w:rsidR="00BF4089" w:rsidRPr="005B0796" w:rsidRDefault="00BF4089" w:rsidP="001701EA">
            <w:pPr>
              <w:pStyle w:val="TableText"/>
              <w:jc w:val="right"/>
              <w:rPr>
                <w:lang w:eastAsia="en-AU"/>
              </w:rPr>
            </w:pPr>
            <w:r w:rsidRPr="005B0796">
              <w:rPr>
                <w:lang w:eastAsia="en-AU"/>
              </w:rPr>
              <w:t>32.4</w:t>
            </w:r>
          </w:p>
        </w:tc>
        <w:tc>
          <w:tcPr>
            <w:tcW w:w="1252" w:type="dxa"/>
            <w:hideMark/>
          </w:tcPr>
          <w:p w:rsidR="00BF4089" w:rsidRPr="005B0796" w:rsidRDefault="00BF4089" w:rsidP="001701EA">
            <w:pPr>
              <w:pStyle w:val="TableText"/>
              <w:jc w:val="right"/>
              <w:rPr>
                <w:lang w:eastAsia="en-AU"/>
              </w:rPr>
            </w:pPr>
            <w:r w:rsidRPr="005B0796">
              <w:rPr>
                <w:lang w:eastAsia="en-AU"/>
              </w:rPr>
              <w:t>29.4, 35.1</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In danger of being killed or injured</w:t>
            </w:r>
          </w:p>
        </w:tc>
        <w:tc>
          <w:tcPr>
            <w:tcW w:w="1251" w:type="dxa"/>
            <w:hideMark/>
          </w:tcPr>
          <w:p w:rsidR="00BF4089" w:rsidRPr="005B0796" w:rsidRDefault="00BF4089" w:rsidP="001701EA">
            <w:pPr>
              <w:pStyle w:val="TableText"/>
              <w:jc w:val="right"/>
              <w:rPr>
                <w:lang w:eastAsia="en-AU"/>
              </w:rPr>
            </w:pPr>
            <w:r w:rsidRPr="005B0796">
              <w:rPr>
                <w:lang w:eastAsia="en-AU"/>
              </w:rPr>
              <w:t>11,258</w:t>
            </w:r>
          </w:p>
        </w:tc>
        <w:tc>
          <w:tcPr>
            <w:tcW w:w="1252" w:type="dxa"/>
            <w:hideMark/>
          </w:tcPr>
          <w:p w:rsidR="00BF4089" w:rsidRPr="005B0796" w:rsidRDefault="00BF4089" w:rsidP="001701EA">
            <w:pPr>
              <w:pStyle w:val="TableText"/>
              <w:jc w:val="right"/>
              <w:rPr>
                <w:lang w:eastAsia="en-AU"/>
              </w:rPr>
            </w:pPr>
            <w:r w:rsidRPr="005B0796">
              <w:rPr>
                <w:lang w:eastAsia="en-AU"/>
              </w:rPr>
              <w:t>46.8</w:t>
            </w:r>
          </w:p>
        </w:tc>
        <w:tc>
          <w:tcPr>
            <w:tcW w:w="1251" w:type="dxa"/>
            <w:hideMark/>
          </w:tcPr>
          <w:p w:rsidR="00BF4089" w:rsidRPr="005B0796" w:rsidRDefault="00BF4089" w:rsidP="001701EA">
            <w:pPr>
              <w:pStyle w:val="TableText"/>
              <w:jc w:val="right"/>
              <w:rPr>
                <w:lang w:eastAsia="en-AU"/>
              </w:rPr>
            </w:pPr>
            <w:r w:rsidRPr="005B0796">
              <w:rPr>
                <w:lang w:eastAsia="en-AU"/>
              </w:rPr>
              <w:t>45.1, 48.6</w:t>
            </w:r>
          </w:p>
        </w:tc>
        <w:tc>
          <w:tcPr>
            <w:tcW w:w="1252" w:type="dxa"/>
            <w:hideMark/>
          </w:tcPr>
          <w:p w:rsidR="00BF4089" w:rsidRPr="005B0796" w:rsidRDefault="00BF4089" w:rsidP="001701EA">
            <w:pPr>
              <w:pStyle w:val="TableText"/>
              <w:jc w:val="right"/>
              <w:rPr>
                <w:lang w:eastAsia="en-AU"/>
              </w:rPr>
            </w:pPr>
            <w:r w:rsidRPr="005B0796">
              <w:rPr>
                <w:lang w:eastAsia="en-AU"/>
              </w:rPr>
              <w:t>20,217</w:t>
            </w:r>
          </w:p>
        </w:tc>
        <w:tc>
          <w:tcPr>
            <w:tcW w:w="1251" w:type="dxa"/>
            <w:hideMark/>
          </w:tcPr>
          <w:p w:rsidR="00BF4089" w:rsidRPr="005B0796" w:rsidRDefault="00BF4089" w:rsidP="001701EA">
            <w:pPr>
              <w:pStyle w:val="TableText"/>
              <w:jc w:val="right"/>
              <w:rPr>
                <w:lang w:eastAsia="en-AU"/>
              </w:rPr>
            </w:pPr>
            <w:r w:rsidRPr="005B0796">
              <w:rPr>
                <w:lang w:eastAsia="en-AU"/>
              </w:rPr>
              <w:t>39.4</w:t>
            </w:r>
          </w:p>
        </w:tc>
        <w:tc>
          <w:tcPr>
            <w:tcW w:w="1252" w:type="dxa"/>
            <w:hideMark/>
          </w:tcPr>
          <w:p w:rsidR="00BF4089" w:rsidRPr="005B0796" w:rsidRDefault="00BF4089" w:rsidP="001701EA">
            <w:pPr>
              <w:pStyle w:val="TableText"/>
              <w:jc w:val="right"/>
              <w:rPr>
                <w:lang w:eastAsia="en-AU"/>
              </w:rPr>
            </w:pPr>
            <w:r w:rsidRPr="005B0796">
              <w:rPr>
                <w:lang w:eastAsia="en-AU"/>
              </w:rPr>
              <w:t>36.1, 42.9</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Have casualties among people close to you</w:t>
            </w:r>
          </w:p>
        </w:tc>
        <w:tc>
          <w:tcPr>
            <w:tcW w:w="1251" w:type="dxa"/>
            <w:hideMark/>
          </w:tcPr>
          <w:p w:rsidR="00BF4089" w:rsidRPr="005B0796" w:rsidRDefault="00BF4089" w:rsidP="001701EA">
            <w:pPr>
              <w:pStyle w:val="TableText"/>
              <w:jc w:val="right"/>
              <w:rPr>
                <w:lang w:eastAsia="en-AU"/>
              </w:rPr>
            </w:pPr>
            <w:r w:rsidRPr="005B0796">
              <w:rPr>
                <w:lang w:eastAsia="en-AU"/>
              </w:rPr>
              <w:t>9449</w:t>
            </w:r>
          </w:p>
        </w:tc>
        <w:tc>
          <w:tcPr>
            <w:tcW w:w="1252" w:type="dxa"/>
            <w:hideMark/>
          </w:tcPr>
          <w:p w:rsidR="00BF4089" w:rsidRPr="005B0796" w:rsidRDefault="00BF4089" w:rsidP="001701EA">
            <w:pPr>
              <w:pStyle w:val="TableText"/>
              <w:jc w:val="right"/>
              <w:rPr>
                <w:lang w:eastAsia="en-AU"/>
              </w:rPr>
            </w:pPr>
            <w:r w:rsidRPr="005B0796">
              <w:rPr>
                <w:lang w:eastAsia="en-AU"/>
              </w:rPr>
              <w:t>39.1</w:t>
            </w:r>
          </w:p>
        </w:tc>
        <w:tc>
          <w:tcPr>
            <w:tcW w:w="1251" w:type="dxa"/>
            <w:hideMark/>
          </w:tcPr>
          <w:p w:rsidR="00BF4089" w:rsidRPr="005B0796" w:rsidRDefault="00BF4089" w:rsidP="001701EA">
            <w:pPr>
              <w:pStyle w:val="TableText"/>
              <w:jc w:val="right"/>
              <w:rPr>
                <w:lang w:eastAsia="en-AU"/>
              </w:rPr>
            </w:pPr>
            <w:r w:rsidRPr="005B0796">
              <w:rPr>
                <w:lang w:eastAsia="en-AU"/>
              </w:rPr>
              <w:t>37.4, 40.8</w:t>
            </w:r>
          </w:p>
        </w:tc>
        <w:tc>
          <w:tcPr>
            <w:tcW w:w="1252" w:type="dxa"/>
            <w:hideMark/>
          </w:tcPr>
          <w:p w:rsidR="00BF4089" w:rsidRPr="005B0796" w:rsidRDefault="00BF4089" w:rsidP="001701EA">
            <w:pPr>
              <w:pStyle w:val="TableText"/>
              <w:jc w:val="right"/>
              <w:rPr>
                <w:lang w:eastAsia="en-AU"/>
              </w:rPr>
            </w:pPr>
            <w:r w:rsidRPr="005B0796">
              <w:rPr>
                <w:lang w:eastAsia="en-AU"/>
              </w:rPr>
              <w:t>14,017</w:t>
            </w:r>
          </w:p>
        </w:tc>
        <w:tc>
          <w:tcPr>
            <w:tcW w:w="1251" w:type="dxa"/>
            <w:hideMark/>
          </w:tcPr>
          <w:p w:rsidR="00BF4089" w:rsidRPr="005B0796" w:rsidRDefault="00BF4089" w:rsidP="001701EA">
            <w:pPr>
              <w:pStyle w:val="TableText"/>
              <w:jc w:val="right"/>
              <w:rPr>
                <w:lang w:eastAsia="en-AU"/>
              </w:rPr>
            </w:pPr>
            <w:r w:rsidRPr="005B0796">
              <w:rPr>
                <w:lang w:eastAsia="en-AU"/>
              </w:rPr>
              <w:t>27.3</w:t>
            </w:r>
          </w:p>
        </w:tc>
        <w:tc>
          <w:tcPr>
            <w:tcW w:w="1252" w:type="dxa"/>
            <w:hideMark/>
          </w:tcPr>
          <w:p w:rsidR="00BF4089" w:rsidRPr="005B0796" w:rsidRDefault="00BF4089" w:rsidP="001701EA">
            <w:pPr>
              <w:pStyle w:val="TableText"/>
              <w:jc w:val="right"/>
              <w:rPr>
                <w:lang w:eastAsia="en-AU"/>
              </w:rPr>
            </w:pPr>
            <w:r w:rsidRPr="005B0796">
              <w:rPr>
                <w:lang w:eastAsia="en-AU"/>
              </w:rPr>
              <w:t>24.4, 30.5</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Handle or see dead bodies</w:t>
            </w:r>
          </w:p>
        </w:tc>
        <w:tc>
          <w:tcPr>
            <w:tcW w:w="1251" w:type="dxa"/>
            <w:hideMark/>
          </w:tcPr>
          <w:p w:rsidR="00BF4089" w:rsidRPr="005B0796" w:rsidRDefault="00BF4089" w:rsidP="001701EA">
            <w:pPr>
              <w:pStyle w:val="TableText"/>
              <w:jc w:val="right"/>
              <w:rPr>
                <w:lang w:eastAsia="en-AU"/>
              </w:rPr>
            </w:pPr>
            <w:r w:rsidRPr="005B0796">
              <w:rPr>
                <w:lang w:eastAsia="en-AU"/>
              </w:rPr>
              <w:t>9005</w:t>
            </w:r>
          </w:p>
        </w:tc>
        <w:tc>
          <w:tcPr>
            <w:tcW w:w="1252" w:type="dxa"/>
            <w:hideMark/>
          </w:tcPr>
          <w:p w:rsidR="00BF4089" w:rsidRPr="005B0796" w:rsidRDefault="00BF4089" w:rsidP="001701EA">
            <w:pPr>
              <w:pStyle w:val="TableText"/>
              <w:jc w:val="right"/>
              <w:rPr>
                <w:lang w:eastAsia="en-AU"/>
              </w:rPr>
            </w:pPr>
            <w:r w:rsidRPr="005B0796">
              <w:rPr>
                <w:lang w:eastAsia="en-AU"/>
              </w:rPr>
              <w:t>37.4</w:t>
            </w:r>
          </w:p>
        </w:tc>
        <w:tc>
          <w:tcPr>
            <w:tcW w:w="1251" w:type="dxa"/>
            <w:hideMark/>
          </w:tcPr>
          <w:p w:rsidR="00BF4089" w:rsidRPr="005B0796" w:rsidRDefault="00BF4089" w:rsidP="001701EA">
            <w:pPr>
              <w:pStyle w:val="TableText"/>
              <w:jc w:val="right"/>
              <w:rPr>
                <w:lang w:eastAsia="en-AU"/>
              </w:rPr>
            </w:pPr>
            <w:r w:rsidRPr="005B0796">
              <w:rPr>
                <w:lang w:eastAsia="en-AU"/>
              </w:rPr>
              <w:t>35.7, 39.1</w:t>
            </w:r>
          </w:p>
        </w:tc>
        <w:tc>
          <w:tcPr>
            <w:tcW w:w="1252" w:type="dxa"/>
            <w:hideMark/>
          </w:tcPr>
          <w:p w:rsidR="00BF4089" w:rsidRPr="005B0796" w:rsidRDefault="00BF4089" w:rsidP="001701EA">
            <w:pPr>
              <w:pStyle w:val="TableText"/>
              <w:jc w:val="right"/>
              <w:rPr>
                <w:lang w:eastAsia="en-AU"/>
              </w:rPr>
            </w:pPr>
            <w:r w:rsidRPr="005B0796">
              <w:rPr>
                <w:lang w:eastAsia="en-AU"/>
              </w:rPr>
              <w:t>15,434</w:t>
            </w:r>
          </w:p>
        </w:tc>
        <w:tc>
          <w:tcPr>
            <w:tcW w:w="1251" w:type="dxa"/>
            <w:hideMark/>
          </w:tcPr>
          <w:p w:rsidR="00BF4089" w:rsidRPr="005B0796" w:rsidRDefault="00BF4089" w:rsidP="001701EA">
            <w:pPr>
              <w:pStyle w:val="TableText"/>
              <w:jc w:val="right"/>
              <w:rPr>
                <w:lang w:eastAsia="en-AU"/>
              </w:rPr>
            </w:pPr>
            <w:r w:rsidRPr="005B0796">
              <w:rPr>
                <w:lang w:eastAsia="en-AU"/>
              </w:rPr>
              <w:t>30.2</w:t>
            </w:r>
          </w:p>
        </w:tc>
        <w:tc>
          <w:tcPr>
            <w:tcW w:w="1252" w:type="dxa"/>
            <w:hideMark/>
          </w:tcPr>
          <w:p w:rsidR="00BF4089" w:rsidRPr="005B0796" w:rsidRDefault="00BF4089" w:rsidP="001701EA">
            <w:pPr>
              <w:pStyle w:val="TableText"/>
              <w:jc w:val="right"/>
              <w:rPr>
                <w:lang w:eastAsia="en-AU"/>
              </w:rPr>
            </w:pPr>
            <w:r w:rsidRPr="005B0796">
              <w:rPr>
                <w:lang w:eastAsia="en-AU"/>
              </w:rPr>
              <w:t>27.2, 33.3</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Experience threatening situation and unable to respond</w:t>
            </w:r>
          </w:p>
        </w:tc>
        <w:tc>
          <w:tcPr>
            <w:tcW w:w="1251" w:type="dxa"/>
            <w:hideMark/>
          </w:tcPr>
          <w:p w:rsidR="00BF4089" w:rsidRPr="005B0796" w:rsidRDefault="00BF4089" w:rsidP="001701EA">
            <w:pPr>
              <w:pStyle w:val="TableText"/>
              <w:jc w:val="right"/>
              <w:rPr>
                <w:lang w:eastAsia="en-AU"/>
              </w:rPr>
            </w:pPr>
            <w:r w:rsidRPr="005B0796">
              <w:rPr>
                <w:lang w:eastAsia="en-AU"/>
              </w:rPr>
              <w:t>5224</w:t>
            </w:r>
          </w:p>
        </w:tc>
        <w:tc>
          <w:tcPr>
            <w:tcW w:w="1252" w:type="dxa"/>
            <w:hideMark/>
          </w:tcPr>
          <w:p w:rsidR="00BF4089" w:rsidRPr="005B0796" w:rsidRDefault="00BF4089" w:rsidP="001701EA">
            <w:pPr>
              <w:pStyle w:val="TableText"/>
              <w:jc w:val="right"/>
              <w:rPr>
                <w:lang w:eastAsia="en-AU"/>
              </w:rPr>
            </w:pPr>
            <w:r w:rsidRPr="005B0796">
              <w:rPr>
                <w:lang w:eastAsia="en-AU"/>
              </w:rPr>
              <w:t>21.7</w:t>
            </w:r>
          </w:p>
        </w:tc>
        <w:tc>
          <w:tcPr>
            <w:tcW w:w="1251" w:type="dxa"/>
            <w:hideMark/>
          </w:tcPr>
          <w:p w:rsidR="00BF4089" w:rsidRPr="005B0796" w:rsidRDefault="00BF4089" w:rsidP="001701EA">
            <w:pPr>
              <w:pStyle w:val="TableText"/>
              <w:jc w:val="right"/>
              <w:rPr>
                <w:lang w:eastAsia="en-AU"/>
              </w:rPr>
            </w:pPr>
            <w:r w:rsidRPr="005B0796">
              <w:rPr>
                <w:lang w:eastAsia="en-AU"/>
              </w:rPr>
              <w:t>20.3, 23.2</w:t>
            </w:r>
          </w:p>
        </w:tc>
        <w:tc>
          <w:tcPr>
            <w:tcW w:w="1252" w:type="dxa"/>
            <w:hideMark/>
          </w:tcPr>
          <w:p w:rsidR="00BF4089" w:rsidRPr="005B0796" w:rsidRDefault="00BF4089" w:rsidP="001701EA">
            <w:pPr>
              <w:pStyle w:val="TableText"/>
              <w:jc w:val="right"/>
              <w:rPr>
                <w:lang w:eastAsia="en-AU"/>
              </w:rPr>
            </w:pPr>
            <w:r w:rsidRPr="005B0796">
              <w:rPr>
                <w:lang w:eastAsia="en-AU"/>
              </w:rPr>
              <w:t>6811</w:t>
            </w:r>
          </w:p>
        </w:tc>
        <w:tc>
          <w:tcPr>
            <w:tcW w:w="1251" w:type="dxa"/>
            <w:hideMark/>
          </w:tcPr>
          <w:p w:rsidR="00BF4089" w:rsidRPr="005B0796" w:rsidRDefault="00BF4089" w:rsidP="001701EA">
            <w:pPr>
              <w:pStyle w:val="TableText"/>
              <w:jc w:val="right"/>
              <w:rPr>
                <w:lang w:eastAsia="en-AU"/>
              </w:rPr>
            </w:pPr>
            <w:r w:rsidRPr="005B0796">
              <w:rPr>
                <w:lang w:eastAsia="en-AU"/>
              </w:rPr>
              <w:t>13.2</w:t>
            </w:r>
          </w:p>
        </w:tc>
        <w:tc>
          <w:tcPr>
            <w:tcW w:w="1252" w:type="dxa"/>
            <w:hideMark/>
          </w:tcPr>
          <w:p w:rsidR="00BF4089" w:rsidRPr="005B0796" w:rsidRDefault="00BF4089" w:rsidP="001701EA">
            <w:pPr>
              <w:pStyle w:val="TableText"/>
              <w:jc w:val="right"/>
              <w:rPr>
                <w:lang w:eastAsia="en-AU"/>
              </w:rPr>
            </w:pPr>
            <w:r w:rsidRPr="005B0796">
              <w:rPr>
                <w:lang w:eastAsia="en-AU"/>
              </w:rPr>
              <w:t>11.2, 15.6</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Witness human degradation</w:t>
            </w:r>
          </w:p>
        </w:tc>
        <w:tc>
          <w:tcPr>
            <w:tcW w:w="1251" w:type="dxa"/>
            <w:hideMark/>
          </w:tcPr>
          <w:p w:rsidR="00BF4089" w:rsidRPr="005B0796" w:rsidRDefault="00BF4089" w:rsidP="001701EA">
            <w:pPr>
              <w:pStyle w:val="TableText"/>
              <w:jc w:val="right"/>
              <w:rPr>
                <w:lang w:eastAsia="en-AU"/>
              </w:rPr>
            </w:pPr>
            <w:r w:rsidRPr="005B0796">
              <w:rPr>
                <w:lang w:eastAsia="en-AU"/>
              </w:rPr>
              <w:t>8140</w:t>
            </w:r>
          </w:p>
        </w:tc>
        <w:tc>
          <w:tcPr>
            <w:tcW w:w="1252" w:type="dxa"/>
            <w:hideMark/>
          </w:tcPr>
          <w:p w:rsidR="00BF4089" w:rsidRPr="005B0796" w:rsidRDefault="00BF4089" w:rsidP="001701EA">
            <w:pPr>
              <w:pStyle w:val="TableText"/>
              <w:jc w:val="right"/>
              <w:rPr>
                <w:lang w:eastAsia="en-AU"/>
              </w:rPr>
            </w:pPr>
            <w:r w:rsidRPr="005B0796">
              <w:rPr>
                <w:lang w:eastAsia="en-AU"/>
              </w:rPr>
              <w:t>33.8</w:t>
            </w:r>
          </w:p>
        </w:tc>
        <w:tc>
          <w:tcPr>
            <w:tcW w:w="1251" w:type="dxa"/>
            <w:hideMark/>
          </w:tcPr>
          <w:p w:rsidR="00BF4089" w:rsidRPr="005B0796" w:rsidRDefault="00BF4089" w:rsidP="001701EA">
            <w:pPr>
              <w:pStyle w:val="TableText"/>
              <w:jc w:val="right"/>
              <w:rPr>
                <w:lang w:eastAsia="en-AU"/>
              </w:rPr>
            </w:pPr>
            <w:r w:rsidRPr="005B0796">
              <w:rPr>
                <w:lang w:eastAsia="en-AU"/>
              </w:rPr>
              <w:t>32.2, 35.6</w:t>
            </w:r>
          </w:p>
        </w:tc>
        <w:tc>
          <w:tcPr>
            <w:tcW w:w="1252" w:type="dxa"/>
            <w:hideMark/>
          </w:tcPr>
          <w:p w:rsidR="00BF4089" w:rsidRPr="005B0796" w:rsidRDefault="00BF4089" w:rsidP="001701EA">
            <w:pPr>
              <w:pStyle w:val="TableText"/>
              <w:jc w:val="right"/>
              <w:rPr>
                <w:lang w:eastAsia="en-AU"/>
              </w:rPr>
            </w:pPr>
            <w:r w:rsidRPr="005B0796">
              <w:rPr>
                <w:lang w:eastAsia="en-AU"/>
              </w:rPr>
              <w:t>14,150</w:t>
            </w:r>
          </w:p>
        </w:tc>
        <w:tc>
          <w:tcPr>
            <w:tcW w:w="1251" w:type="dxa"/>
            <w:hideMark/>
          </w:tcPr>
          <w:p w:rsidR="00BF4089" w:rsidRPr="005B0796" w:rsidRDefault="00BF4089" w:rsidP="001701EA">
            <w:pPr>
              <w:pStyle w:val="TableText"/>
              <w:jc w:val="right"/>
              <w:rPr>
                <w:lang w:eastAsia="en-AU"/>
              </w:rPr>
            </w:pPr>
            <w:r w:rsidRPr="005B0796">
              <w:rPr>
                <w:lang w:eastAsia="en-AU"/>
              </w:rPr>
              <w:t>27.5</w:t>
            </w:r>
          </w:p>
        </w:tc>
        <w:tc>
          <w:tcPr>
            <w:tcW w:w="1252" w:type="dxa"/>
            <w:hideMark/>
          </w:tcPr>
          <w:p w:rsidR="00BF4089" w:rsidRPr="005B0796" w:rsidRDefault="00BF4089" w:rsidP="001701EA">
            <w:pPr>
              <w:pStyle w:val="TableText"/>
              <w:jc w:val="right"/>
              <w:rPr>
                <w:lang w:eastAsia="en-AU"/>
              </w:rPr>
            </w:pPr>
            <w:r w:rsidRPr="005B0796">
              <w:rPr>
                <w:lang w:eastAsia="en-AU"/>
              </w:rPr>
              <w:t>24.9, 30.4</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Discharge weapon in direct combat</w:t>
            </w:r>
          </w:p>
        </w:tc>
        <w:tc>
          <w:tcPr>
            <w:tcW w:w="1251" w:type="dxa"/>
            <w:hideMark/>
          </w:tcPr>
          <w:p w:rsidR="00BF4089" w:rsidRPr="005B0796" w:rsidRDefault="00BF4089" w:rsidP="001701EA">
            <w:pPr>
              <w:pStyle w:val="TableText"/>
              <w:jc w:val="right"/>
              <w:rPr>
                <w:lang w:eastAsia="en-AU"/>
              </w:rPr>
            </w:pPr>
            <w:r w:rsidRPr="005B0796">
              <w:rPr>
                <w:lang w:eastAsia="en-AU"/>
              </w:rPr>
              <w:t>2863</w:t>
            </w:r>
          </w:p>
        </w:tc>
        <w:tc>
          <w:tcPr>
            <w:tcW w:w="1252" w:type="dxa"/>
            <w:hideMark/>
          </w:tcPr>
          <w:p w:rsidR="00BF4089" w:rsidRPr="005B0796" w:rsidRDefault="00BF4089" w:rsidP="001701EA">
            <w:pPr>
              <w:pStyle w:val="TableText"/>
              <w:jc w:val="right"/>
              <w:rPr>
                <w:lang w:eastAsia="en-AU"/>
              </w:rPr>
            </w:pPr>
            <w:r w:rsidRPr="005B0796">
              <w:rPr>
                <w:lang w:eastAsia="en-AU"/>
              </w:rPr>
              <w:t>11.9</w:t>
            </w:r>
          </w:p>
        </w:tc>
        <w:tc>
          <w:tcPr>
            <w:tcW w:w="1251" w:type="dxa"/>
            <w:hideMark/>
          </w:tcPr>
          <w:p w:rsidR="00BF4089" w:rsidRPr="005B0796" w:rsidRDefault="00BF4089" w:rsidP="001701EA">
            <w:pPr>
              <w:pStyle w:val="TableText"/>
              <w:jc w:val="right"/>
              <w:rPr>
                <w:lang w:eastAsia="en-AU"/>
              </w:rPr>
            </w:pPr>
            <w:r w:rsidRPr="005B0796">
              <w:rPr>
                <w:lang w:eastAsia="en-AU"/>
              </w:rPr>
              <w:t>10.7, 13.1</w:t>
            </w:r>
          </w:p>
        </w:tc>
        <w:tc>
          <w:tcPr>
            <w:tcW w:w="1252" w:type="dxa"/>
            <w:hideMark/>
          </w:tcPr>
          <w:p w:rsidR="00BF4089" w:rsidRPr="005B0796" w:rsidRDefault="00BF4089" w:rsidP="001701EA">
            <w:pPr>
              <w:pStyle w:val="TableText"/>
              <w:jc w:val="right"/>
              <w:rPr>
                <w:lang w:eastAsia="en-AU"/>
              </w:rPr>
            </w:pPr>
            <w:r w:rsidRPr="005B0796">
              <w:rPr>
                <w:lang w:eastAsia="en-AU"/>
              </w:rPr>
              <w:t>3528</w:t>
            </w:r>
          </w:p>
        </w:tc>
        <w:tc>
          <w:tcPr>
            <w:tcW w:w="1251" w:type="dxa"/>
            <w:hideMark/>
          </w:tcPr>
          <w:p w:rsidR="00BF4089" w:rsidRPr="005B0796" w:rsidRDefault="00BF4089" w:rsidP="001701EA">
            <w:pPr>
              <w:pStyle w:val="TableText"/>
              <w:jc w:val="right"/>
              <w:rPr>
                <w:lang w:eastAsia="en-AU"/>
              </w:rPr>
            </w:pPr>
            <w:r w:rsidRPr="005B0796">
              <w:rPr>
                <w:lang w:eastAsia="en-AU"/>
              </w:rPr>
              <w:t>6.9</w:t>
            </w:r>
          </w:p>
        </w:tc>
        <w:tc>
          <w:tcPr>
            <w:tcW w:w="1252" w:type="dxa"/>
            <w:hideMark/>
          </w:tcPr>
          <w:p w:rsidR="00BF4089" w:rsidRPr="005B0796" w:rsidRDefault="00BF4089" w:rsidP="001701EA">
            <w:pPr>
              <w:pStyle w:val="TableText"/>
              <w:jc w:val="right"/>
              <w:rPr>
                <w:lang w:eastAsia="en-AU"/>
              </w:rPr>
            </w:pPr>
            <w:r w:rsidRPr="005B0796">
              <w:rPr>
                <w:lang w:eastAsia="en-AU"/>
              </w:rPr>
              <w:t>5.1, 9.1</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Believe your action resulted in injury or death</w:t>
            </w:r>
          </w:p>
        </w:tc>
        <w:tc>
          <w:tcPr>
            <w:tcW w:w="1251" w:type="dxa"/>
            <w:hideMark/>
          </w:tcPr>
          <w:p w:rsidR="00BF4089" w:rsidRPr="005B0796" w:rsidRDefault="00BF4089" w:rsidP="001701EA">
            <w:pPr>
              <w:pStyle w:val="TableText"/>
              <w:jc w:val="right"/>
              <w:rPr>
                <w:lang w:eastAsia="en-AU"/>
              </w:rPr>
            </w:pPr>
            <w:r w:rsidRPr="005B0796">
              <w:rPr>
                <w:lang w:eastAsia="en-AU"/>
              </w:rPr>
              <w:t>2962</w:t>
            </w:r>
          </w:p>
        </w:tc>
        <w:tc>
          <w:tcPr>
            <w:tcW w:w="1252" w:type="dxa"/>
            <w:hideMark/>
          </w:tcPr>
          <w:p w:rsidR="00BF4089" w:rsidRPr="005B0796" w:rsidRDefault="00BF4089" w:rsidP="001701EA">
            <w:pPr>
              <w:pStyle w:val="TableText"/>
              <w:jc w:val="right"/>
              <w:rPr>
                <w:lang w:eastAsia="en-AU"/>
              </w:rPr>
            </w:pPr>
            <w:r w:rsidRPr="005B0796">
              <w:rPr>
                <w:lang w:eastAsia="en-AU"/>
              </w:rPr>
              <w:t>12.3</w:t>
            </w:r>
          </w:p>
        </w:tc>
        <w:tc>
          <w:tcPr>
            <w:tcW w:w="1251" w:type="dxa"/>
            <w:hideMark/>
          </w:tcPr>
          <w:p w:rsidR="00BF4089" w:rsidRPr="005B0796" w:rsidRDefault="00BF4089" w:rsidP="001701EA">
            <w:pPr>
              <w:pStyle w:val="TableText"/>
              <w:jc w:val="right"/>
              <w:rPr>
                <w:lang w:eastAsia="en-AU"/>
              </w:rPr>
            </w:pPr>
            <w:r w:rsidRPr="005B0796">
              <w:rPr>
                <w:lang w:eastAsia="en-AU"/>
              </w:rPr>
              <w:t>11.2, 13.5</w:t>
            </w:r>
          </w:p>
        </w:tc>
        <w:tc>
          <w:tcPr>
            <w:tcW w:w="1252" w:type="dxa"/>
            <w:hideMark/>
          </w:tcPr>
          <w:p w:rsidR="00BF4089" w:rsidRPr="005B0796" w:rsidRDefault="00BF4089" w:rsidP="001701EA">
            <w:pPr>
              <w:pStyle w:val="TableText"/>
              <w:jc w:val="right"/>
              <w:rPr>
                <w:lang w:eastAsia="en-AU"/>
              </w:rPr>
            </w:pPr>
            <w:r w:rsidRPr="005B0796">
              <w:rPr>
                <w:lang w:eastAsia="en-AU"/>
              </w:rPr>
              <w:t>3871</w:t>
            </w:r>
          </w:p>
        </w:tc>
        <w:tc>
          <w:tcPr>
            <w:tcW w:w="1251" w:type="dxa"/>
            <w:hideMark/>
          </w:tcPr>
          <w:p w:rsidR="00BF4089" w:rsidRPr="005B0796" w:rsidRDefault="00BF4089" w:rsidP="001701EA">
            <w:pPr>
              <w:pStyle w:val="TableText"/>
              <w:jc w:val="right"/>
              <w:rPr>
                <w:lang w:eastAsia="en-AU"/>
              </w:rPr>
            </w:pPr>
            <w:r w:rsidRPr="005B0796">
              <w:rPr>
                <w:lang w:eastAsia="en-AU"/>
              </w:rPr>
              <w:t>7.5</w:t>
            </w:r>
          </w:p>
        </w:tc>
        <w:tc>
          <w:tcPr>
            <w:tcW w:w="1252" w:type="dxa"/>
            <w:hideMark/>
          </w:tcPr>
          <w:p w:rsidR="00BF4089" w:rsidRPr="005B0796" w:rsidRDefault="00BF4089" w:rsidP="001701EA">
            <w:pPr>
              <w:pStyle w:val="TableText"/>
              <w:jc w:val="right"/>
              <w:rPr>
                <w:lang w:eastAsia="en-AU"/>
              </w:rPr>
            </w:pPr>
            <w:r w:rsidRPr="005B0796">
              <w:rPr>
                <w:lang w:eastAsia="en-AU"/>
              </w:rPr>
              <w:t>6.2, 9.1</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Exposed to smoke</w:t>
            </w:r>
          </w:p>
        </w:tc>
        <w:tc>
          <w:tcPr>
            <w:tcW w:w="1251" w:type="dxa"/>
            <w:hideMark/>
          </w:tcPr>
          <w:p w:rsidR="00BF4089" w:rsidRPr="005B0796" w:rsidRDefault="00BF4089" w:rsidP="001701EA">
            <w:pPr>
              <w:pStyle w:val="TableText"/>
              <w:jc w:val="right"/>
              <w:rPr>
                <w:lang w:eastAsia="en-AU"/>
              </w:rPr>
            </w:pPr>
            <w:r w:rsidRPr="005B0796">
              <w:rPr>
                <w:lang w:eastAsia="en-AU"/>
              </w:rPr>
              <w:t>15,833</w:t>
            </w:r>
          </w:p>
        </w:tc>
        <w:tc>
          <w:tcPr>
            <w:tcW w:w="1252" w:type="dxa"/>
            <w:hideMark/>
          </w:tcPr>
          <w:p w:rsidR="00BF4089" w:rsidRPr="005B0796" w:rsidRDefault="00BF4089" w:rsidP="001701EA">
            <w:pPr>
              <w:pStyle w:val="TableText"/>
              <w:jc w:val="right"/>
              <w:rPr>
                <w:lang w:eastAsia="en-AU"/>
              </w:rPr>
            </w:pPr>
            <w:r w:rsidRPr="005B0796">
              <w:rPr>
                <w:lang w:eastAsia="en-AU"/>
              </w:rPr>
              <w:t>65.3</w:t>
            </w:r>
          </w:p>
        </w:tc>
        <w:tc>
          <w:tcPr>
            <w:tcW w:w="1251" w:type="dxa"/>
            <w:hideMark/>
          </w:tcPr>
          <w:p w:rsidR="00BF4089" w:rsidRPr="005B0796" w:rsidRDefault="00BF4089" w:rsidP="001701EA">
            <w:pPr>
              <w:pStyle w:val="TableText"/>
              <w:jc w:val="right"/>
              <w:rPr>
                <w:lang w:eastAsia="en-AU"/>
              </w:rPr>
            </w:pPr>
            <w:r w:rsidRPr="005B0796">
              <w:rPr>
                <w:lang w:eastAsia="en-AU"/>
              </w:rPr>
              <w:t>63.5, 67.0</w:t>
            </w:r>
          </w:p>
        </w:tc>
        <w:tc>
          <w:tcPr>
            <w:tcW w:w="1252" w:type="dxa"/>
            <w:hideMark/>
          </w:tcPr>
          <w:p w:rsidR="00BF4089" w:rsidRPr="005B0796" w:rsidRDefault="00BF4089" w:rsidP="001701EA">
            <w:pPr>
              <w:pStyle w:val="TableText"/>
              <w:jc w:val="right"/>
              <w:rPr>
                <w:lang w:eastAsia="en-AU"/>
              </w:rPr>
            </w:pPr>
            <w:r w:rsidRPr="005B0796">
              <w:rPr>
                <w:lang w:eastAsia="en-AU"/>
              </w:rPr>
              <w:t>32,162</w:t>
            </w:r>
          </w:p>
        </w:tc>
        <w:tc>
          <w:tcPr>
            <w:tcW w:w="1251" w:type="dxa"/>
            <w:hideMark/>
          </w:tcPr>
          <w:p w:rsidR="00BF4089" w:rsidRPr="005B0796" w:rsidRDefault="00BF4089" w:rsidP="001701EA">
            <w:pPr>
              <w:pStyle w:val="TableText"/>
              <w:jc w:val="right"/>
              <w:rPr>
                <w:lang w:eastAsia="en-AU"/>
              </w:rPr>
            </w:pPr>
            <w:r w:rsidRPr="005B0796">
              <w:rPr>
                <w:lang w:eastAsia="en-AU"/>
              </w:rPr>
              <w:t>62.7</w:t>
            </w:r>
          </w:p>
        </w:tc>
        <w:tc>
          <w:tcPr>
            <w:tcW w:w="1252" w:type="dxa"/>
            <w:hideMark/>
          </w:tcPr>
          <w:p w:rsidR="00BF4089" w:rsidRPr="005B0796" w:rsidRDefault="00BF4089" w:rsidP="001701EA">
            <w:pPr>
              <w:pStyle w:val="TableText"/>
              <w:jc w:val="right"/>
              <w:rPr>
                <w:lang w:eastAsia="en-AU"/>
              </w:rPr>
            </w:pPr>
            <w:r w:rsidRPr="005B0796">
              <w:rPr>
                <w:lang w:eastAsia="en-AU"/>
              </w:rPr>
              <w:t>59.0, 66.2</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Exposed to fumes</w:t>
            </w:r>
          </w:p>
        </w:tc>
        <w:tc>
          <w:tcPr>
            <w:tcW w:w="1251" w:type="dxa"/>
            <w:hideMark/>
          </w:tcPr>
          <w:p w:rsidR="00BF4089" w:rsidRPr="005B0796" w:rsidRDefault="00BF4089" w:rsidP="001701EA">
            <w:pPr>
              <w:pStyle w:val="TableText"/>
              <w:jc w:val="right"/>
              <w:rPr>
                <w:lang w:eastAsia="en-AU"/>
              </w:rPr>
            </w:pPr>
            <w:r w:rsidRPr="005B0796">
              <w:rPr>
                <w:lang w:eastAsia="en-AU"/>
              </w:rPr>
              <w:t>16,314</w:t>
            </w:r>
          </w:p>
        </w:tc>
        <w:tc>
          <w:tcPr>
            <w:tcW w:w="1252" w:type="dxa"/>
            <w:hideMark/>
          </w:tcPr>
          <w:p w:rsidR="00BF4089" w:rsidRPr="005B0796" w:rsidRDefault="00BF4089" w:rsidP="001701EA">
            <w:pPr>
              <w:pStyle w:val="TableText"/>
              <w:jc w:val="right"/>
              <w:rPr>
                <w:lang w:eastAsia="en-AU"/>
              </w:rPr>
            </w:pPr>
            <w:r w:rsidRPr="005B0796">
              <w:rPr>
                <w:lang w:eastAsia="en-AU"/>
              </w:rPr>
              <w:t>67.0</w:t>
            </w:r>
          </w:p>
        </w:tc>
        <w:tc>
          <w:tcPr>
            <w:tcW w:w="1251" w:type="dxa"/>
            <w:hideMark/>
          </w:tcPr>
          <w:p w:rsidR="00BF4089" w:rsidRPr="005B0796" w:rsidRDefault="00BF4089" w:rsidP="001701EA">
            <w:pPr>
              <w:pStyle w:val="TableText"/>
              <w:jc w:val="right"/>
              <w:rPr>
                <w:lang w:eastAsia="en-AU"/>
              </w:rPr>
            </w:pPr>
            <w:r w:rsidRPr="005B0796">
              <w:rPr>
                <w:lang w:eastAsia="en-AU"/>
              </w:rPr>
              <w:t>65.3, 68.8</w:t>
            </w:r>
          </w:p>
        </w:tc>
        <w:tc>
          <w:tcPr>
            <w:tcW w:w="1252" w:type="dxa"/>
            <w:hideMark/>
          </w:tcPr>
          <w:p w:rsidR="00BF4089" w:rsidRPr="005B0796" w:rsidRDefault="00BF4089" w:rsidP="001701EA">
            <w:pPr>
              <w:pStyle w:val="TableText"/>
              <w:jc w:val="right"/>
              <w:rPr>
                <w:lang w:eastAsia="en-AU"/>
              </w:rPr>
            </w:pPr>
            <w:r w:rsidRPr="005B0796">
              <w:rPr>
                <w:lang w:eastAsia="en-AU"/>
              </w:rPr>
              <w:t>33,506</w:t>
            </w:r>
          </w:p>
        </w:tc>
        <w:tc>
          <w:tcPr>
            <w:tcW w:w="1251" w:type="dxa"/>
            <w:hideMark/>
          </w:tcPr>
          <w:p w:rsidR="00BF4089" w:rsidRPr="005B0796" w:rsidRDefault="00BF4089" w:rsidP="001701EA">
            <w:pPr>
              <w:pStyle w:val="TableText"/>
              <w:jc w:val="right"/>
              <w:rPr>
                <w:lang w:eastAsia="en-AU"/>
              </w:rPr>
            </w:pPr>
            <w:r w:rsidRPr="005B0796">
              <w:rPr>
                <w:lang w:eastAsia="en-AU"/>
              </w:rPr>
              <w:t>64.8</w:t>
            </w:r>
          </w:p>
        </w:tc>
        <w:tc>
          <w:tcPr>
            <w:tcW w:w="1252" w:type="dxa"/>
            <w:hideMark/>
          </w:tcPr>
          <w:p w:rsidR="00BF4089" w:rsidRPr="005B0796" w:rsidRDefault="00BF4089" w:rsidP="001701EA">
            <w:pPr>
              <w:pStyle w:val="TableText"/>
              <w:jc w:val="right"/>
              <w:rPr>
                <w:lang w:eastAsia="en-AU"/>
              </w:rPr>
            </w:pPr>
            <w:r w:rsidRPr="005B0796">
              <w:rPr>
                <w:lang w:eastAsia="en-AU"/>
              </w:rPr>
              <w:t>61.2, 68.3</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Exposed to chemicals</w:t>
            </w:r>
          </w:p>
        </w:tc>
        <w:tc>
          <w:tcPr>
            <w:tcW w:w="1251" w:type="dxa"/>
            <w:hideMark/>
          </w:tcPr>
          <w:p w:rsidR="00BF4089" w:rsidRPr="005B0796" w:rsidRDefault="00BF4089" w:rsidP="001701EA">
            <w:pPr>
              <w:pStyle w:val="TableText"/>
              <w:jc w:val="right"/>
              <w:rPr>
                <w:lang w:eastAsia="en-AU"/>
              </w:rPr>
            </w:pPr>
            <w:r w:rsidRPr="005B0796">
              <w:rPr>
                <w:lang w:eastAsia="en-AU"/>
              </w:rPr>
              <w:t>13,466</w:t>
            </w:r>
          </w:p>
        </w:tc>
        <w:tc>
          <w:tcPr>
            <w:tcW w:w="1252" w:type="dxa"/>
            <w:hideMark/>
          </w:tcPr>
          <w:p w:rsidR="00BF4089" w:rsidRPr="005B0796" w:rsidRDefault="00BF4089" w:rsidP="001701EA">
            <w:pPr>
              <w:pStyle w:val="TableText"/>
              <w:jc w:val="right"/>
              <w:rPr>
                <w:lang w:eastAsia="en-AU"/>
              </w:rPr>
            </w:pPr>
            <w:r w:rsidRPr="005B0796">
              <w:rPr>
                <w:lang w:eastAsia="en-AU"/>
              </w:rPr>
              <w:t>55.8</w:t>
            </w:r>
          </w:p>
        </w:tc>
        <w:tc>
          <w:tcPr>
            <w:tcW w:w="1251" w:type="dxa"/>
            <w:hideMark/>
          </w:tcPr>
          <w:p w:rsidR="00BF4089" w:rsidRPr="005B0796" w:rsidRDefault="00BF4089" w:rsidP="001701EA">
            <w:pPr>
              <w:pStyle w:val="TableText"/>
              <w:jc w:val="right"/>
              <w:rPr>
                <w:lang w:eastAsia="en-AU"/>
              </w:rPr>
            </w:pPr>
            <w:r w:rsidRPr="005B0796">
              <w:rPr>
                <w:lang w:eastAsia="en-AU"/>
              </w:rPr>
              <w:t>53.9, 57.6</w:t>
            </w:r>
          </w:p>
        </w:tc>
        <w:tc>
          <w:tcPr>
            <w:tcW w:w="1252" w:type="dxa"/>
            <w:hideMark/>
          </w:tcPr>
          <w:p w:rsidR="00BF4089" w:rsidRPr="005B0796" w:rsidRDefault="00BF4089" w:rsidP="001701EA">
            <w:pPr>
              <w:pStyle w:val="TableText"/>
              <w:jc w:val="right"/>
              <w:rPr>
                <w:lang w:eastAsia="en-AU"/>
              </w:rPr>
            </w:pPr>
            <w:r w:rsidRPr="005B0796">
              <w:rPr>
                <w:lang w:eastAsia="en-AU"/>
              </w:rPr>
              <w:t>25,974</w:t>
            </w:r>
          </w:p>
        </w:tc>
        <w:tc>
          <w:tcPr>
            <w:tcW w:w="1251" w:type="dxa"/>
            <w:hideMark/>
          </w:tcPr>
          <w:p w:rsidR="00BF4089" w:rsidRPr="005B0796" w:rsidRDefault="00BF4089" w:rsidP="001701EA">
            <w:pPr>
              <w:pStyle w:val="TableText"/>
              <w:jc w:val="right"/>
              <w:rPr>
                <w:lang w:eastAsia="en-AU"/>
              </w:rPr>
            </w:pPr>
            <w:r w:rsidRPr="005B0796">
              <w:rPr>
                <w:lang w:eastAsia="en-AU"/>
              </w:rPr>
              <w:t>50.5</w:t>
            </w:r>
          </w:p>
        </w:tc>
        <w:tc>
          <w:tcPr>
            <w:tcW w:w="1252" w:type="dxa"/>
            <w:hideMark/>
          </w:tcPr>
          <w:p w:rsidR="00BF4089" w:rsidRPr="005B0796" w:rsidRDefault="00BF4089" w:rsidP="001701EA">
            <w:pPr>
              <w:pStyle w:val="TableText"/>
              <w:jc w:val="right"/>
              <w:rPr>
                <w:lang w:eastAsia="en-AU"/>
              </w:rPr>
            </w:pPr>
            <w:r w:rsidRPr="005B0796">
              <w:rPr>
                <w:lang w:eastAsia="en-AU"/>
              </w:rPr>
              <w:t>46.9, 54.0</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Exposed to hazardous materials</w:t>
            </w:r>
          </w:p>
        </w:tc>
        <w:tc>
          <w:tcPr>
            <w:tcW w:w="1251" w:type="dxa"/>
            <w:hideMark/>
          </w:tcPr>
          <w:p w:rsidR="00BF4089" w:rsidRPr="005B0796" w:rsidRDefault="00BF4089" w:rsidP="001701EA">
            <w:pPr>
              <w:pStyle w:val="TableText"/>
              <w:jc w:val="right"/>
              <w:rPr>
                <w:lang w:eastAsia="en-AU"/>
              </w:rPr>
            </w:pPr>
            <w:r w:rsidRPr="005B0796">
              <w:rPr>
                <w:lang w:eastAsia="en-AU"/>
              </w:rPr>
              <w:t>6151</w:t>
            </w:r>
          </w:p>
        </w:tc>
        <w:tc>
          <w:tcPr>
            <w:tcW w:w="1252" w:type="dxa"/>
            <w:hideMark/>
          </w:tcPr>
          <w:p w:rsidR="00BF4089" w:rsidRPr="005B0796" w:rsidRDefault="00BF4089" w:rsidP="001701EA">
            <w:pPr>
              <w:pStyle w:val="TableText"/>
              <w:jc w:val="right"/>
              <w:rPr>
                <w:lang w:eastAsia="en-AU"/>
              </w:rPr>
            </w:pPr>
            <w:r w:rsidRPr="005B0796">
              <w:rPr>
                <w:lang w:eastAsia="en-AU"/>
              </w:rPr>
              <w:t>25.5</w:t>
            </w:r>
          </w:p>
        </w:tc>
        <w:tc>
          <w:tcPr>
            <w:tcW w:w="1251" w:type="dxa"/>
            <w:hideMark/>
          </w:tcPr>
          <w:p w:rsidR="00BF4089" w:rsidRPr="005B0796" w:rsidRDefault="00BF4089" w:rsidP="001701EA">
            <w:pPr>
              <w:pStyle w:val="TableText"/>
              <w:jc w:val="right"/>
              <w:rPr>
                <w:lang w:eastAsia="en-AU"/>
              </w:rPr>
            </w:pPr>
            <w:r w:rsidRPr="005B0796">
              <w:rPr>
                <w:lang w:eastAsia="en-AU"/>
              </w:rPr>
              <w:t>23.9, 27.2</w:t>
            </w:r>
          </w:p>
        </w:tc>
        <w:tc>
          <w:tcPr>
            <w:tcW w:w="1252" w:type="dxa"/>
            <w:hideMark/>
          </w:tcPr>
          <w:p w:rsidR="00BF4089" w:rsidRPr="005B0796" w:rsidRDefault="00BF4089" w:rsidP="001701EA">
            <w:pPr>
              <w:pStyle w:val="TableText"/>
              <w:jc w:val="right"/>
              <w:rPr>
                <w:lang w:eastAsia="en-AU"/>
              </w:rPr>
            </w:pPr>
            <w:r w:rsidRPr="005B0796">
              <w:rPr>
                <w:lang w:eastAsia="en-AU"/>
              </w:rPr>
              <w:t>10,634</w:t>
            </w:r>
          </w:p>
        </w:tc>
        <w:tc>
          <w:tcPr>
            <w:tcW w:w="1251" w:type="dxa"/>
            <w:hideMark/>
          </w:tcPr>
          <w:p w:rsidR="00BF4089" w:rsidRPr="005B0796" w:rsidRDefault="00BF4089" w:rsidP="001701EA">
            <w:pPr>
              <w:pStyle w:val="TableText"/>
              <w:jc w:val="right"/>
              <w:rPr>
                <w:lang w:eastAsia="en-AU"/>
              </w:rPr>
            </w:pPr>
            <w:r w:rsidRPr="005B0796">
              <w:rPr>
                <w:lang w:eastAsia="en-AU"/>
              </w:rPr>
              <w:t>20.8</w:t>
            </w:r>
          </w:p>
        </w:tc>
        <w:tc>
          <w:tcPr>
            <w:tcW w:w="1252" w:type="dxa"/>
            <w:hideMark/>
          </w:tcPr>
          <w:p w:rsidR="00BF4089" w:rsidRPr="005B0796" w:rsidRDefault="00BF4089" w:rsidP="001701EA">
            <w:pPr>
              <w:pStyle w:val="TableText"/>
              <w:jc w:val="right"/>
              <w:rPr>
                <w:lang w:eastAsia="en-AU"/>
              </w:rPr>
            </w:pPr>
            <w:r w:rsidRPr="005B0796">
              <w:rPr>
                <w:lang w:eastAsia="en-AU"/>
              </w:rPr>
              <w:t>18.2, 23.6</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lang w:eastAsia="en-AU"/>
              </w:rPr>
            </w:pPr>
            <w:r w:rsidRPr="005B0796">
              <w:rPr>
                <w:rFonts w:cs="Arial"/>
                <w:lang w:eastAsia="en-AU"/>
              </w:rPr>
              <w:t>Exposed to local food or water</w:t>
            </w:r>
          </w:p>
        </w:tc>
        <w:tc>
          <w:tcPr>
            <w:tcW w:w="1251" w:type="dxa"/>
            <w:hideMark/>
          </w:tcPr>
          <w:p w:rsidR="00BF4089" w:rsidRPr="005B0796" w:rsidRDefault="00BF4089" w:rsidP="001701EA">
            <w:pPr>
              <w:pStyle w:val="TableText"/>
              <w:jc w:val="right"/>
              <w:rPr>
                <w:lang w:eastAsia="en-AU"/>
              </w:rPr>
            </w:pPr>
            <w:r w:rsidRPr="005B0796">
              <w:rPr>
                <w:lang w:eastAsia="en-AU"/>
              </w:rPr>
              <w:t>12,658</w:t>
            </w:r>
          </w:p>
        </w:tc>
        <w:tc>
          <w:tcPr>
            <w:tcW w:w="1252" w:type="dxa"/>
            <w:hideMark/>
          </w:tcPr>
          <w:p w:rsidR="00BF4089" w:rsidRPr="005B0796" w:rsidRDefault="00BF4089" w:rsidP="001701EA">
            <w:pPr>
              <w:pStyle w:val="TableText"/>
              <w:jc w:val="right"/>
              <w:rPr>
                <w:lang w:eastAsia="en-AU"/>
              </w:rPr>
            </w:pPr>
            <w:r w:rsidRPr="005B0796">
              <w:rPr>
                <w:lang w:eastAsia="en-AU"/>
              </w:rPr>
              <w:t>52.6</w:t>
            </w:r>
          </w:p>
        </w:tc>
        <w:tc>
          <w:tcPr>
            <w:tcW w:w="1251" w:type="dxa"/>
            <w:hideMark/>
          </w:tcPr>
          <w:p w:rsidR="00BF4089" w:rsidRPr="005B0796" w:rsidRDefault="00BF4089" w:rsidP="001701EA">
            <w:pPr>
              <w:pStyle w:val="TableText"/>
              <w:jc w:val="right"/>
              <w:rPr>
                <w:lang w:eastAsia="en-AU"/>
              </w:rPr>
            </w:pPr>
            <w:r w:rsidRPr="005B0796">
              <w:rPr>
                <w:lang w:eastAsia="en-AU"/>
              </w:rPr>
              <w:t>50.8, 54.4</w:t>
            </w:r>
          </w:p>
        </w:tc>
        <w:tc>
          <w:tcPr>
            <w:tcW w:w="1252" w:type="dxa"/>
            <w:hideMark/>
          </w:tcPr>
          <w:p w:rsidR="00BF4089" w:rsidRPr="005B0796" w:rsidRDefault="00BF4089" w:rsidP="001701EA">
            <w:pPr>
              <w:pStyle w:val="TableText"/>
              <w:jc w:val="right"/>
              <w:rPr>
                <w:lang w:eastAsia="en-AU"/>
              </w:rPr>
            </w:pPr>
            <w:r w:rsidRPr="005B0796">
              <w:rPr>
                <w:lang w:eastAsia="en-AU"/>
              </w:rPr>
              <w:t>25,748</w:t>
            </w:r>
          </w:p>
        </w:tc>
        <w:tc>
          <w:tcPr>
            <w:tcW w:w="1251" w:type="dxa"/>
            <w:hideMark/>
          </w:tcPr>
          <w:p w:rsidR="00BF4089" w:rsidRPr="005B0796" w:rsidRDefault="00BF4089" w:rsidP="001701EA">
            <w:pPr>
              <w:pStyle w:val="TableText"/>
              <w:jc w:val="right"/>
              <w:rPr>
                <w:lang w:eastAsia="en-AU"/>
              </w:rPr>
            </w:pPr>
            <w:r w:rsidRPr="005B0796">
              <w:rPr>
                <w:lang w:eastAsia="en-AU"/>
              </w:rPr>
              <w:t>49.8</w:t>
            </w:r>
          </w:p>
        </w:tc>
        <w:tc>
          <w:tcPr>
            <w:tcW w:w="1252" w:type="dxa"/>
            <w:hideMark/>
          </w:tcPr>
          <w:p w:rsidR="00BF4089" w:rsidRPr="005B0796" w:rsidRDefault="00BF4089" w:rsidP="001701EA">
            <w:pPr>
              <w:pStyle w:val="TableText"/>
              <w:jc w:val="right"/>
              <w:rPr>
                <w:lang w:eastAsia="en-AU"/>
              </w:rPr>
            </w:pPr>
            <w:r w:rsidRPr="005B0796">
              <w:rPr>
                <w:lang w:eastAsia="en-AU"/>
              </w:rPr>
              <w:t>46.3, 53.3</w:t>
            </w:r>
          </w:p>
        </w:tc>
      </w:tr>
      <w:tr w:rsidR="00BF4089" w:rsidRPr="005B0796" w:rsidTr="001701EA">
        <w:tc>
          <w:tcPr>
            <w:tcW w:w="3997" w:type="dxa"/>
            <w:hideMark/>
          </w:tcPr>
          <w:p w:rsidR="00BF4089" w:rsidRPr="005B0796" w:rsidRDefault="00BF4089" w:rsidP="001701EA">
            <w:pPr>
              <w:pStyle w:val="TableText"/>
              <w:rPr>
                <w:lang w:eastAsia="en-AU"/>
              </w:rPr>
            </w:pPr>
            <w:r w:rsidRPr="005B0796">
              <w:rPr>
                <w:rFonts w:cs="Arial"/>
                <w:lang w:eastAsia="en-AU"/>
              </w:rPr>
              <w:t>Exposed to close loud noise</w:t>
            </w:r>
          </w:p>
        </w:tc>
        <w:tc>
          <w:tcPr>
            <w:tcW w:w="1251" w:type="dxa"/>
            <w:hideMark/>
          </w:tcPr>
          <w:p w:rsidR="00BF4089" w:rsidRPr="005B0796" w:rsidRDefault="00BF4089" w:rsidP="001701EA">
            <w:pPr>
              <w:pStyle w:val="TableText"/>
              <w:jc w:val="right"/>
              <w:rPr>
                <w:lang w:eastAsia="en-AU"/>
              </w:rPr>
            </w:pPr>
            <w:r w:rsidRPr="005B0796">
              <w:rPr>
                <w:lang w:eastAsia="en-AU"/>
              </w:rPr>
              <w:t>16,129</w:t>
            </w:r>
          </w:p>
        </w:tc>
        <w:tc>
          <w:tcPr>
            <w:tcW w:w="1252" w:type="dxa"/>
            <w:hideMark/>
          </w:tcPr>
          <w:p w:rsidR="00BF4089" w:rsidRPr="005B0796" w:rsidRDefault="00BF4089" w:rsidP="001701EA">
            <w:pPr>
              <w:pStyle w:val="TableText"/>
              <w:jc w:val="right"/>
              <w:rPr>
                <w:lang w:eastAsia="en-AU"/>
              </w:rPr>
            </w:pPr>
            <w:r w:rsidRPr="005B0796">
              <w:rPr>
                <w:lang w:eastAsia="en-AU"/>
              </w:rPr>
              <w:t>66.3</w:t>
            </w:r>
          </w:p>
        </w:tc>
        <w:tc>
          <w:tcPr>
            <w:tcW w:w="1251" w:type="dxa"/>
            <w:hideMark/>
          </w:tcPr>
          <w:p w:rsidR="00BF4089" w:rsidRPr="005B0796" w:rsidRDefault="00BF4089" w:rsidP="001701EA">
            <w:pPr>
              <w:pStyle w:val="TableText"/>
              <w:jc w:val="right"/>
              <w:rPr>
                <w:lang w:eastAsia="en-AU"/>
              </w:rPr>
            </w:pPr>
            <w:r w:rsidRPr="005B0796">
              <w:rPr>
                <w:lang w:eastAsia="en-AU"/>
              </w:rPr>
              <w:t>64.5, 67.9</w:t>
            </w:r>
          </w:p>
        </w:tc>
        <w:tc>
          <w:tcPr>
            <w:tcW w:w="1252" w:type="dxa"/>
            <w:hideMark/>
          </w:tcPr>
          <w:p w:rsidR="00BF4089" w:rsidRPr="005B0796" w:rsidRDefault="00BF4089" w:rsidP="001701EA">
            <w:pPr>
              <w:pStyle w:val="TableText"/>
              <w:jc w:val="right"/>
              <w:rPr>
                <w:lang w:eastAsia="en-AU"/>
              </w:rPr>
            </w:pPr>
            <w:r w:rsidRPr="005B0796">
              <w:rPr>
                <w:lang w:eastAsia="en-AU"/>
              </w:rPr>
              <w:t>31,664</w:t>
            </w:r>
          </w:p>
        </w:tc>
        <w:tc>
          <w:tcPr>
            <w:tcW w:w="1251" w:type="dxa"/>
            <w:hideMark/>
          </w:tcPr>
          <w:p w:rsidR="00BF4089" w:rsidRPr="005B0796" w:rsidRDefault="00BF4089" w:rsidP="001701EA">
            <w:pPr>
              <w:pStyle w:val="TableText"/>
              <w:jc w:val="right"/>
              <w:rPr>
                <w:lang w:eastAsia="en-AU"/>
              </w:rPr>
            </w:pPr>
            <w:r w:rsidRPr="005B0796">
              <w:rPr>
                <w:lang w:eastAsia="en-AU"/>
              </w:rPr>
              <w:t>61.1</w:t>
            </w:r>
          </w:p>
        </w:tc>
        <w:tc>
          <w:tcPr>
            <w:tcW w:w="1252" w:type="dxa"/>
            <w:hideMark/>
          </w:tcPr>
          <w:p w:rsidR="00BF4089" w:rsidRPr="005B0796" w:rsidRDefault="00BF4089" w:rsidP="001701EA">
            <w:pPr>
              <w:pStyle w:val="TableText"/>
              <w:jc w:val="right"/>
              <w:rPr>
                <w:lang w:eastAsia="en-AU"/>
              </w:rPr>
            </w:pPr>
            <w:r w:rsidRPr="005B0796">
              <w:rPr>
                <w:lang w:eastAsia="en-AU"/>
              </w:rPr>
              <w:t>57.5, 64.7</w:t>
            </w:r>
          </w:p>
        </w:tc>
      </w:tr>
      <w:tr w:rsidR="00BF4089" w:rsidRPr="005B0796" w:rsidTr="001701EA">
        <w:trPr>
          <w:cnfStyle w:val="000000100000" w:firstRow="0" w:lastRow="0" w:firstColumn="0" w:lastColumn="0" w:oddVBand="0" w:evenVBand="0" w:oddHBand="1" w:evenHBand="0" w:firstRowFirstColumn="0" w:firstRowLastColumn="0" w:lastRowFirstColumn="0" w:lastRowLastColumn="0"/>
        </w:trPr>
        <w:tc>
          <w:tcPr>
            <w:tcW w:w="3997" w:type="dxa"/>
            <w:hideMark/>
          </w:tcPr>
          <w:p w:rsidR="00BF4089" w:rsidRPr="005B0796" w:rsidRDefault="00BF4089" w:rsidP="001701EA">
            <w:pPr>
              <w:pStyle w:val="TableText"/>
              <w:rPr>
                <w:rFonts w:cs="Arial"/>
                <w:lang w:eastAsia="en-AU"/>
              </w:rPr>
            </w:pPr>
            <w:r w:rsidRPr="005B0796">
              <w:rPr>
                <w:rFonts w:cs="Arial"/>
                <w:lang w:eastAsia="en-AU"/>
              </w:rPr>
              <w:t>Any lifetime deployment</w:t>
            </w:r>
          </w:p>
        </w:tc>
        <w:tc>
          <w:tcPr>
            <w:tcW w:w="1251" w:type="dxa"/>
            <w:hideMark/>
          </w:tcPr>
          <w:p w:rsidR="00BF4089" w:rsidRPr="005B0796" w:rsidRDefault="00BF4089" w:rsidP="001701EA">
            <w:pPr>
              <w:pStyle w:val="TableText"/>
              <w:jc w:val="right"/>
              <w:rPr>
                <w:lang w:eastAsia="en-AU"/>
              </w:rPr>
            </w:pPr>
            <w:r w:rsidRPr="005B0796">
              <w:rPr>
                <w:lang w:eastAsia="en-AU"/>
              </w:rPr>
              <w:t>18,146</w:t>
            </w:r>
          </w:p>
        </w:tc>
        <w:tc>
          <w:tcPr>
            <w:tcW w:w="1252" w:type="dxa"/>
            <w:hideMark/>
          </w:tcPr>
          <w:p w:rsidR="00BF4089" w:rsidRPr="005B0796" w:rsidRDefault="00BF4089" w:rsidP="001701EA">
            <w:pPr>
              <w:pStyle w:val="TableText"/>
              <w:jc w:val="right"/>
              <w:rPr>
                <w:lang w:eastAsia="en-AU"/>
              </w:rPr>
            </w:pPr>
            <w:r w:rsidRPr="005B0796">
              <w:rPr>
                <w:lang w:eastAsia="en-AU"/>
              </w:rPr>
              <w:t>89.8</w:t>
            </w:r>
          </w:p>
        </w:tc>
        <w:tc>
          <w:tcPr>
            <w:tcW w:w="1251" w:type="dxa"/>
            <w:hideMark/>
          </w:tcPr>
          <w:p w:rsidR="00BF4089" w:rsidRPr="005B0796" w:rsidRDefault="00BF4089" w:rsidP="001701EA">
            <w:pPr>
              <w:pStyle w:val="TableText"/>
              <w:jc w:val="right"/>
              <w:rPr>
                <w:lang w:eastAsia="en-AU"/>
              </w:rPr>
            </w:pPr>
            <w:r w:rsidRPr="005B0796">
              <w:rPr>
                <w:lang w:eastAsia="en-AU"/>
              </w:rPr>
              <w:t>88.4, 91.0</w:t>
            </w:r>
          </w:p>
        </w:tc>
        <w:tc>
          <w:tcPr>
            <w:tcW w:w="1252" w:type="dxa"/>
            <w:hideMark/>
          </w:tcPr>
          <w:p w:rsidR="00BF4089" w:rsidRPr="005B0796" w:rsidRDefault="00BF4089" w:rsidP="001701EA">
            <w:pPr>
              <w:pStyle w:val="TableText"/>
              <w:jc w:val="right"/>
              <w:rPr>
                <w:lang w:eastAsia="en-AU"/>
              </w:rPr>
            </w:pPr>
            <w:r w:rsidRPr="005B0796">
              <w:rPr>
                <w:lang w:eastAsia="en-AU"/>
              </w:rPr>
              <w:t>37,353</w:t>
            </w:r>
          </w:p>
        </w:tc>
        <w:tc>
          <w:tcPr>
            <w:tcW w:w="1251" w:type="dxa"/>
            <w:hideMark/>
          </w:tcPr>
          <w:p w:rsidR="00BF4089" w:rsidRPr="005B0796" w:rsidRDefault="00BF4089" w:rsidP="001701EA">
            <w:pPr>
              <w:pStyle w:val="TableText"/>
              <w:jc w:val="right"/>
              <w:rPr>
                <w:lang w:eastAsia="en-AU"/>
              </w:rPr>
            </w:pPr>
            <w:r w:rsidRPr="005B0796">
              <w:rPr>
                <w:lang w:eastAsia="en-AU"/>
              </w:rPr>
              <w:t>86.0</w:t>
            </w:r>
          </w:p>
        </w:tc>
        <w:tc>
          <w:tcPr>
            <w:tcW w:w="1252" w:type="dxa"/>
            <w:hideMark/>
          </w:tcPr>
          <w:p w:rsidR="00BF4089" w:rsidRPr="005B0796" w:rsidRDefault="00BF4089" w:rsidP="001701EA">
            <w:pPr>
              <w:pStyle w:val="TableText"/>
              <w:jc w:val="right"/>
              <w:rPr>
                <w:lang w:eastAsia="en-AU"/>
              </w:rPr>
            </w:pPr>
            <w:r w:rsidRPr="005B0796">
              <w:rPr>
                <w:lang w:eastAsia="en-AU"/>
              </w:rPr>
              <w:t>82.6, 88.8</w:t>
            </w:r>
          </w:p>
        </w:tc>
      </w:tr>
    </w:tbl>
    <w:p w:rsidR="001701EA" w:rsidRPr="005B0796" w:rsidRDefault="001701EA" w:rsidP="001701EA">
      <w:pPr>
        <w:pStyle w:val="TableNotes"/>
        <w:rPr>
          <w:i/>
        </w:rPr>
      </w:pPr>
      <w:r w:rsidRPr="005B0796">
        <w:t xml:space="preserve">* See Annex </w:t>
      </w:r>
      <w:r w:rsidR="00411B45" w:rsidRPr="005B0796">
        <w:t>B</w:t>
      </w:r>
      <w:r w:rsidRPr="005B0796">
        <w:t xml:space="preserve"> for odds ratios</w:t>
      </w:r>
    </w:p>
    <w:p w:rsidR="001701EA" w:rsidRPr="005B0796" w:rsidRDefault="001701EA" w:rsidP="001701EA">
      <w:pPr>
        <w:pStyle w:val="TableNotes"/>
        <w:rPr>
          <w:rFonts w:cs="Calibri"/>
          <w:bCs/>
        </w:rPr>
      </w:pPr>
      <w:r w:rsidRPr="005B0796">
        <w:rPr>
          <w:rFonts w:cs="Calibri"/>
          <w:bCs/>
        </w:rPr>
        <w:t xml:space="preserve">Note: 95% CI: 95% </w:t>
      </w:r>
      <w:r w:rsidR="00564689" w:rsidRPr="005B0796">
        <w:rPr>
          <w:rFonts w:cs="Calibri"/>
          <w:bCs/>
        </w:rPr>
        <w:t>confidence interval</w:t>
      </w:r>
    </w:p>
    <w:p w:rsidR="00BF4089" w:rsidRPr="005B0796" w:rsidRDefault="001701EA" w:rsidP="001701EA">
      <w:pPr>
        <w:pStyle w:val="FigureName"/>
      </w:pPr>
      <w:bookmarkStart w:id="1162" w:name="_Toc487014416"/>
      <w:bookmarkStart w:id="1163" w:name="_Toc51190058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26</w:t>
      </w:r>
      <w:r w:rsidR="00D30A3C">
        <w:rPr>
          <w:noProof/>
        </w:rPr>
        <w:fldChar w:fldCharType="end"/>
      </w:r>
      <w:r w:rsidRPr="005B0796">
        <w:tab/>
        <w:t>Estimated prevalence of deployment exposures in Transitioned ADF, and 2015 Regular ADF</w:t>
      </w:r>
      <w:bookmarkEnd w:id="1162"/>
      <w:bookmarkEnd w:id="1163"/>
    </w:p>
    <w:tbl>
      <w:tblPr>
        <w:tblW w:w="5000" w:type="pct"/>
        <w:tblLayout w:type="fixed"/>
        <w:tblCellMar>
          <w:left w:w="115" w:type="dxa"/>
          <w:right w:w="115" w:type="dxa"/>
        </w:tblCellMar>
        <w:tblLook w:val="04A0" w:firstRow="1" w:lastRow="0" w:firstColumn="1" w:lastColumn="0" w:noHBand="0" w:noVBand="1"/>
      </w:tblPr>
      <w:tblGrid>
        <w:gridCol w:w="11520"/>
      </w:tblGrid>
      <w:tr w:rsidR="00BF4089" w:rsidRPr="005B0796" w:rsidTr="00C11D51">
        <w:trPr>
          <w:cantSplit/>
        </w:trPr>
        <w:tc>
          <w:tcPr>
            <w:tcW w:w="9476" w:type="dxa"/>
          </w:tcPr>
          <w:p w:rsidR="00BF4089" w:rsidRPr="005B0796" w:rsidRDefault="00BF4089" w:rsidP="0064122F">
            <w:r w:rsidRPr="005B0796">
              <w:rPr>
                <w:noProof/>
                <w:lang w:eastAsia="en-AU"/>
              </w:rPr>
              <w:drawing>
                <wp:inline distT="0" distB="0" distL="0" distR="0" wp14:anchorId="7C592494" wp14:editId="02DD3E13">
                  <wp:extent cx="7132320" cy="3840480"/>
                  <wp:effectExtent l="0" t="0" r="0" b="7620"/>
                  <wp:docPr id="78" name="Chart 78" descr="Figure 5.26 Estimated prevalence of deployment exposures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c>
      </w:tr>
    </w:tbl>
    <w:p w:rsidR="00BF4089" w:rsidRPr="005B0796" w:rsidRDefault="00BF4089" w:rsidP="00BF4089"/>
    <w:p w:rsidR="00BF4089" w:rsidRPr="005B0796" w:rsidRDefault="00BF4089" w:rsidP="00BF4089">
      <w:pPr>
        <w:sectPr w:rsidR="00BF4089" w:rsidRPr="005B0796" w:rsidSect="00BE66A5">
          <w:headerReference w:type="even" r:id="rId242"/>
          <w:headerReference w:type="default" r:id="rId243"/>
          <w:footerReference w:type="even" r:id="rId244"/>
          <w:footerReference w:type="default" r:id="rId245"/>
          <w:pgSz w:w="14170" w:h="9979" w:orient="landscape" w:code="243"/>
          <w:pgMar w:top="1872" w:right="1440" w:bottom="1152" w:left="1440" w:header="576" w:footer="576" w:gutter="0"/>
          <w:cols w:space="708"/>
          <w:docGrid w:linePitch="360"/>
        </w:sectPr>
      </w:pPr>
    </w:p>
    <w:p w:rsidR="00BF4089" w:rsidRPr="005B0796" w:rsidRDefault="00BF4089" w:rsidP="00C11D51">
      <w:pPr>
        <w:pStyle w:val="Heading2"/>
        <w:rPr>
          <w:smallCaps/>
        </w:rPr>
      </w:pPr>
      <w:bookmarkStart w:id="1164" w:name="_Toc482024485"/>
      <w:bookmarkStart w:id="1165" w:name="_Toc487011240"/>
      <w:bookmarkStart w:id="1166" w:name="_Toc494449760"/>
      <w:bookmarkStart w:id="1167" w:name="_Toc511900342"/>
      <w:r w:rsidRPr="005B0796">
        <w:t>Self-reported lifetime trauma</w:t>
      </w:r>
      <w:bookmarkEnd w:id="1164"/>
      <w:bookmarkEnd w:id="1165"/>
      <w:bookmarkEnd w:id="1166"/>
      <w:bookmarkEnd w:id="1167"/>
    </w:p>
    <w:p w:rsidR="00C11D51" w:rsidRPr="005B0796" w:rsidRDefault="00C11D51" w:rsidP="00C11D51">
      <w:pPr>
        <w:pStyle w:val="ShadedBullet"/>
      </w:pPr>
      <w:r w:rsidRPr="005B0796">
        <w:t>Overall, Transitioned ADF members reported significantly higher rates of lifetime trauma than 2015 Regular ADF members.</w:t>
      </w:r>
    </w:p>
    <w:p w:rsidR="00C11D51" w:rsidRPr="005B0796" w:rsidRDefault="00C11D51" w:rsidP="00C11D51">
      <w:pPr>
        <w:pStyle w:val="ShadedBullet"/>
      </w:pPr>
      <w:r w:rsidRPr="005B0796">
        <w:t xml:space="preserve">The most common lifetime events were similar across both groups: seeing someone badly injured or killed or unexpectedly seeing a dead body; having someone close die unexpectedly; being in combat or being a peacekeeper; and being exposed to a toxic chemical that could cause harm. </w:t>
      </w:r>
    </w:p>
    <w:p w:rsidR="00C11D51" w:rsidRPr="005B0796" w:rsidRDefault="00C11D51" w:rsidP="00C11D51">
      <w:pPr>
        <w:pStyle w:val="ShadedBullet"/>
      </w:pPr>
      <w:r w:rsidRPr="005B0796">
        <w:t>Overall, Transitioned ADF members reported significantly higher rates of most individual event types compared to 2015 Regular ADF members, with the largest differences observed for purposely injured/tortured/killed someone, being kidnapped or held captive, and being stalked.</w:t>
      </w:r>
    </w:p>
    <w:p w:rsidR="00C11D51" w:rsidRPr="005B0796" w:rsidRDefault="00C11D51" w:rsidP="00C11D51">
      <w:pPr>
        <w:pStyle w:val="ShadedBoxText"/>
      </w:pPr>
      <w:r w:rsidRPr="005B0796">
        <w:rPr>
          <w:b/>
        </w:rPr>
        <w:t xml:space="preserve">Glossary: </w:t>
      </w:r>
      <w:r w:rsidRPr="005B0796">
        <w:t>refer to the Glossary of terms for definitions of key terms in this section.</w:t>
      </w:r>
    </w:p>
    <w:p w:rsidR="00BF4089" w:rsidRPr="005B0796" w:rsidRDefault="00BF4089" w:rsidP="00C11D51">
      <w:r w:rsidRPr="005B0796">
        <w:t xml:space="preserve">This section provides a detailed summary of the estimated prevalence of self-reported lifetime trauma </w:t>
      </w:r>
      <w:r w:rsidR="0057443B">
        <w:t>among</w:t>
      </w:r>
      <w:r w:rsidRPr="005B0796">
        <w:t xml:space="preserve"> ADF members who transitioned from the Regular ADF between 2010 and 2014 (Transitioned ADF) compared to 2015 Regular ADF members. Estimates provided in this chapter may differ slightly from those reported in chapter 4 because they are drawn from the self-report survey and not from the clinical interview. This variation in rates between self-reported and interview-based methods of data collection are well known and readily acknowledged in the scientific literature </w:t>
      </w:r>
      <w:r w:rsidRPr="005B0796">
        <w:fldChar w:fldCharType="begin"/>
      </w:r>
      <w:r w:rsidRPr="005B0796">
        <w:instrText xml:space="preserve"> ADDIN EN.CITE &lt;EndNote&gt;&lt;Cite&gt;&lt;Author&gt;Bowling&lt;/Author&gt;&lt;Year&gt;2005&lt;/Year&gt;&lt;RecNum&gt;971&lt;/RecNum&gt;&lt;DisplayText&gt;(Bowling, 2005)&lt;/DisplayText&gt;&lt;record&gt;&lt;rec-number&gt;971&lt;/rec-number&gt;&lt;foreign-keys&gt;&lt;key app="EN" db-id="arwdrezp9sdawxevtfyxtfw10exvr5exxfed" timestamp="1498632269"&gt;971&lt;/key&gt;&lt;/foreign-keys&gt;&lt;ref-type name="Journal Article"&gt;17&lt;/ref-type&gt;&lt;contributors&gt;&lt;authors&gt;&lt;author&gt;Bowling, Ann&lt;/author&gt;&lt;/authors&gt;&lt;/contributors&gt;&lt;titles&gt;&lt;title&gt;Mode of questionnaire administration can have serious effects on data quality&lt;/title&gt;&lt;secondary-title&gt;Journal of public health&lt;/secondary-title&gt;&lt;/titles&gt;&lt;periodical&gt;&lt;full-title&gt;Journal of public health&lt;/full-title&gt;&lt;/periodical&gt;&lt;pages&gt;281-291&lt;/pages&gt;&lt;volume&gt;27&lt;/volume&gt;&lt;number&gt;3&lt;/number&gt;&lt;dates&gt;&lt;year&gt;2005&lt;/year&gt;&lt;/dates&gt;&lt;isbn&gt;1741-3842&lt;/isbn&gt;&lt;urls&gt;&lt;/urls&gt;&lt;/record&gt;&lt;/Cite&gt;&lt;/EndNote&gt;</w:instrText>
      </w:r>
      <w:r w:rsidRPr="005B0796">
        <w:fldChar w:fldCharType="separate"/>
      </w:r>
      <w:r w:rsidRPr="005B0796">
        <w:t>(Bowling, 2005)</w:t>
      </w:r>
      <w:r w:rsidRPr="005B0796">
        <w:fldChar w:fldCharType="end"/>
      </w:r>
      <w:r w:rsidRPr="005B0796">
        <w:t>. The primary purpose of including self-reported trauma exposure in this section is to provide details of background morbidity, and to compare the rates of trauma exposure in the Transitioned ADF and the 2015 Regular ADF to provide valuable insight into the possible risk factors for poor mental health in these two populations.</w:t>
      </w:r>
    </w:p>
    <w:p w:rsidR="00BF4089" w:rsidRPr="005B0796" w:rsidRDefault="00BF4089" w:rsidP="00C11D51">
      <w:r w:rsidRPr="005B0796">
        <w:t xml:space="preserve">The self-reported lifetime trauma exposure questions used in this section were drawn from the PTSD module of the CIDI </w:t>
      </w:r>
      <w:r w:rsidRPr="005B0796">
        <w:fldChar w:fldCharType="begin"/>
      </w:r>
      <w:r w:rsidRPr="005B0796">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fldChar w:fldCharType="separate"/>
      </w:r>
      <w:r w:rsidRPr="005B0796">
        <w:t>(Haro et al., 2006)</w:t>
      </w:r>
      <w:r w:rsidRPr="005B0796">
        <w:fldChar w:fldCharType="end"/>
      </w:r>
      <w:r w:rsidRPr="005B0796">
        <w:t>. Participants were given a list of traumatic events and asked to indicate whether they had experienced each event. For each applicable event, participants had to provide further information, including their age, the first and last time the event took place, the number of times each event took place, and the number of times each event related to their ADF service. Participants then had to indicate the worst event.</w:t>
      </w:r>
    </w:p>
    <w:p w:rsidR="00BF4089" w:rsidRPr="005B0796" w:rsidRDefault="00BF4089" w:rsidP="00C11D51">
      <w:r w:rsidRPr="005B0796">
        <w:t>This section reports only the prevalence of each trauma type.</w:t>
      </w:r>
    </w:p>
    <w:p w:rsidR="00BF4089" w:rsidRPr="005B0796" w:rsidRDefault="00BF4089" w:rsidP="00C11D51">
      <w:pPr>
        <w:pStyle w:val="Heading3"/>
      </w:pPr>
      <w:bookmarkStart w:id="1168" w:name="_Toc482021395"/>
      <w:bookmarkStart w:id="1169" w:name="_Toc482024486"/>
      <w:bookmarkStart w:id="1170" w:name="_Toc487011241"/>
      <w:bookmarkStart w:id="1171" w:name="_Toc494449761"/>
      <w:bookmarkStart w:id="1172" w:name="_Toc511900343"/>
      <w:r w:rsidRPr="005B0796">
        <w:t>Lifetime trauma exposure in Transitioned ADF and the 2015 Regular ADF</w:t>
      </w:r>
      <w:bookmarkEnd w:id="1168"/>
      <w:bookmarkEnd w:id="1169"/>
      <w:bookmarkEnd w:id="1170"/>
      <w:bookmarkEnd w:id="1171"/>
      <w:bookmarkEnd w:id="1172"/>
    </w:p>
    <w:p w:rsidR="00BF4089" w:rsidRPr="005B0796" w:rsidRDefault="009E72D3" w:rsidP="00C11D51">
      <w:r w:rsidRPr="005B0796">
        <w:t>Table 5.27</w:t>
      </w:r>
      <w:r w:rsidR="00BF4089" w:rsidRPr="005B0796">
        <w:t xml:space="preserve"> presents the distribution of lifetime trauma in the Transitioned ADF and the 2015 Regular ADF. </w:t>
      </w:r>
    </w:p>
    <w:p w:rsidR="00BF4089" w:rsidRPr="005B0796" w:rsidRDefault="00BF4089" w:rsidP="00C11D51">
      <w:r w:rsidRPr="005B0796">
        <w:t xml:space="preserve">Overall, Transitioned ADF reported significantly higher rates of lifetime trauma compared to the 2015 Regular ADF (OR 1.5, 95% CI 1.1, 1.9), with 77.0% (95% CI 75.3, 78.6) of the Transitioned ADF and 69.3% (95% CI 65.5, 72.7) of the 2015 Regular ADF reporting being exposed to a traumatic event in their lifetime. </w:t>
      </w:r>
    </w:p>
    <w:p w:rsidR="00BF4089" w:rsidRPr="005B0796" w:rsidRDefault="00BF4089" w:rsidP="00C11D51">
      <w:r w:rsidRPr="005B0796">
        <w:t>Transitioned ADF members (mean (SE 2.9) (0.1)) also reported being exposed to a greater number of different lifetime traumatic events (mean (SE 2.2) (0.09)) than 2015 Regular ADF members.</w:t>
      </w:r>
    </w:p>
    <w:p w:rsidR="00BF4089" w:rsidRPr="005B0796" w:rsidRDefault="00BF4089" w:rsidP="00C11D51">
      <w:r w:rsidRPr="005B0796">
        <w:t>The five most commonly reported events in both groups were seeing someone badly injured or killed or unexpectedly seeing a dead body (37.8% Transitioned ADF, 28.8% 2015 Regular ADF), having someone close die unexpectedly (29.1% vs 24.4%), combat (26.8% vs 18.4%), being a peacekeeper (25.8% vs 19.0%) and being exposed to a toxic chemical that could cause harm (25.6% vs 18.8%).</w:t>
      </w:r>
    </w:p>
    <w:p w:rsidR="00BF4089" w:rsidRPr="005B0796" w:rsidRDefault="00BF4089" w:rsidP="00C11D51">
      <w:r w:rsidRPr="005B0796">
        <w:t xml:space="preserve">Overall, Transitioned ADF members reported significantly higher rates of most individual event types compared to 2015 Regular ADF members, with the largest differences observed for purposely injured/tortured/killed someone (OR 2.4, 95% CI 1.2, 4.8), being kidnapped or held captive (OR 2.0, 95% CI 1.3, 3.3) and being stalked (OR 2.0, 95% CI 1.6, 2.4). (Significant differences are highlighted in bold in Table 5.29. See Annex </w:t>
      </w:r>
      <w:r w:rsidR="00411B45" w:rsidRPr="005B0796">
        <w:t>B</w:t>
      </w:r>
      <w:r w:rsidRPr="005B0796">
        <w:t xml:space="preserve"> for detailed results, including odds ratios.)</w:t>
      </w:r>
    </w:p>
    <w:p w:rsidR="00685E20" w:rsidRPr="005B0796" w:rsidRDefault="00685E20" w:rsidP="00C11D51">
      <w:pPr>
        <w:pStyle w:val="TableName"/>
      </w:pPr>
      <w:bookmarkStart w:id="1173" w:name="_Ref484523489"/>
      <w:bookmarkStart w:id="1174" w:name="_Toc487014328"/>
      <w:bookmarkStart w:id="1175" w:name="_Toc492995631"/>
      <w:bookmarkStart w:id="1176" w:name="_Toc511900480"/>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27</w:t>
      </w:r>
      <w:r w:rsidR="00D30A3C">
        <w:rPr>
          <w:noProof/>
        </w:rPr>
        <w:fldChar w:fldCharType="end"/>
      </w:r>
      <w:bookmarkEnd w:id="1173"/>
      <w:r w:rsidRPr="005B0796">
        <w:tab/>
        <w:t>Estimated proportion</w:t>
      </w:r>
      <w:r w:rsidR="0057443B">
        <w:t>s</w:t>
      </w:r>
      <w:r w:rsidRPr="005B0796">
        <w:t xml:space="preserve"> </w:t>
      </w:r>
      <w:r w:rsidR="0057443B">
        <w:t>of</w:t>
      </w:r>
      <w:r w:rsidRPr="005B0796">
        <w:t xml:space="preserve"> Transitioned ADF and 2015 Regular ADF </w:t>
      </w:r>
      <w:r w:rsidR="0057443B">
        <w:t>who have experienced l</w:t>
      </w:r>
      <w:r w:rsidRPr="005B0796">
        <w:t>ifetime trauma</w:t>
      </w:r>
      <w:bookmarkEnd w:id="1174"/>
      <w:bookmarkEnd w:id="1175"/>
      <w:bookmarkEnd w:id="1176"/>
    </w:p>
    <w:tbl>
      <w:tblPr>
        <w:tblStyle w:val="TWRPTable"/>
        <w:tblW w:w="5000" w:type="pct"/>
        <w:tblLayout w:type="fixed"/>
        <w:tblLook w:val="04A0" w:firstRow="1" w:lastRow="0" w:firstColumn="1" w:lastColumn="0" w:noHBand="0" w:noVBand="1"/>
        <w:tblDescription w:val="Table 5.27 Estimated proportion in Transitioned ADF and 2015 Regular ADF of Lifetime trauma"/>
      </w:tblPr>
      <w:tblGrid>
        <w:gridCol w:w="2956"/>
        <w:gridCol w:w="752"/>
        <w:gridCol w:w="630"/>
        <w:gridCol w:w="797"/>
        <w:gridCol w:w="823"/>
        <w:gridCol w:w="540"/>
        <w:gridCol w:w="817"/>
      </w:tblGrid>
      <w:tr w:rsidR="00685E20" w:rsidRPr="005B0796" w:rsidTr="00685E20">
        <w:trPr>
          <w:cnfStyle w:val="100000000000" w:firstRow="1" w:lastRow="0" w:firstColumn="0" w:lastColumn="0" w:oddVBand="0" w:evenVBand="0" w:oddHBand="0" w:evenHBand="0" w:firstRowFirstColumn="0" w:firstRowLastColumn="0" w:lastRowFirstColumn="0" w:lastRowLastColumn="0"/>
          <w:tblHeader/>
        </w:trPr>
        <w:tc>
          <w:tcPr>
            <w:tcW w:w="2956" w:type="dxa"/>
            <w:vMerge w:val="restart"/>
          </w:tcPr>
          <w:p w:rsidR="00685E20" w:rsidRPr="005B0796" w:rsidRDefault="00685E20" w:rsidP="00685E20">
            <w:pPr>
              <w:pStyle w:val="TableText"/>
            </w:pPr>
          </w:p>
        </w:tc>
        <w:tc>
          <w:tcPr>
            <w:tcW w:w="2179" w:type="dxa"/>
            <w:gridSpan w:val="3"/>
            <w:hideMark/>
          </w:tcPr>
          <w:p w:rsidR="00685E20" w:rsidRPr="005B0796" w:rsidRDefault="00685E20" w:rsidP="00685E20">
            <w:pPr>
              <w:pStyle w:val="TableText"/>
              <w:jc w:val="center"/>
            </w:pPr>
            <w:r w:rsidRPr="005B0796">
              <w:t>Transitioned ADF 2015 (N = 24,932)</w:t>
            </w:r>
          </w:p>
        </w:tc>
        <w:tc>
          <w:tcPr>
            <w:tcW w:w="2180" w:type="dxa"/>
            <w:gridSpan w:val="3"/>
          </w:tcPr>
          <w:p w:rsidR="00685E20" w:rsidRPr="005B0796" w:rsidRDefault="00685E20" w:rsidP="00685E20">
            <w:pPr>
              <w:pStyle w:val="TableText"/>
              <w:jc w:val="center"/>
            </w:pPr>
            <w:r w:rsidRPr="005B0796">
              <w:t>2015 Regular ADF (N = 52,500)</w:t>
            </w:r>
          </w:p>
        </w:tc>
      </w:tr>
      <w:tr w:rsidR="00685E20" w:rsidRPr="005B0796" w:rsidTr="00685E20">
        <w:trPr>
          <w:cnfStyle w:val="100000000000" w:firstRow="1" w:lastRow="0" w:firstColumn="0" w:lastColumn="0" w:oddVBand="0" w:evenVBand="0" w:oddHBand="0" w:evenHBand="0" w:firstRowFirstColumn="0" w:firstRowLastColumn="0" w:lastRowFirstColumn="0" w:lastRowLastColumn="0"/>
          <w:tblHeader/>
        </w:trPr>
        <w:tc>
          <w:tcPr>
            <w:tcW w:w="2956" w:type="dxa"/>
            <w:vMerge/>
            <w:hideMark/>
          </w:tcPr>
          <w:p w:rsidR="00685E20" w:rsidRPr="005B0796" w:rsidRDefault="00685E20" w:rsidP="00685E20">
            <w:pPr>
              <w:pStyle w:val="TableText"/>
            </w:pPr>
          </w:p>
        </w:tc>
        <w:tc>
          <w:tcPr>
            <w:tcW w:w="752" w:type="dxa"/>
            <w:hideMark/>
          </w:tcPr>
          <w:p w:rsidR="00685E20" w:rsidRPr="005B0796" w:rsidRDefault="00685E20" w:rsidP="00685E20">
            <w:pPr>
              <w:pStyle w:val="TableText"/>
              <w:jc w:val="right"/>
            </w:pPr>
            <w:r w:rsidRPr="005B0796">
              <w:t>Weighted n</w:t>
            </w:r>
          </w:p>
        </w:tc>
        <w:tc>
          <w:tcPr>
            <w:tcW w:w="630" w:type="dxa"/>
            <w:hideMark/>
          </w:tcPr>
          <w:p w:rsidR="00685E20" w:rsidRPr="005B0796" w:rsidRDefault="00685E20" w:rsidP="00685E20">
            <w:pPr>
              <w:pStyle w:val="TableText"/>
              <w:jc w:val="right"/>
            </w:pPr>
            <w:r w:rsidRPr="005B0796">
              <w:t>%</w:t>
            </w:r>
          </w:p>
        </w:tc>
        <w:tc>
          <w:tcPr>
            <w:tcW w:w="797" w:type="dxa"/>
            <w:hideMark/>
          </w:tcPr>
          <w:p w:rsidR="00685E20" w:rsidRPr="005B0796" w:rsidRDefault="00685E20" w:rsidP="00685E20">
            <w:pPr>
              <w:pStyle w:val="TableText"/>
              <w:jc w:val="right"/>
            </w:pPr>
            <w:r w:rsidRPr="005B0796">
              <w:t>95% CI</w:t>
            </w:r>
          </w:p>
        </w:tc>
        <w:tc>
          <w:tcPr>
            <w:tcW w:w="823" w:type="dxa"/>
            <w:hideMark/>
          </w:tcPr>
          <w:p w:rsidR="00685E20" w:rsidRPr="005B0796" w:rsidRDefault="00685E20" w:rsidP="00685E20">
            <w:pPr>
              <w:pStyle w:val="TableText"/>
              <w:jc w:val="right"/>
            </w:pPr>
            <w:r w:rsidRPr="005B0796">
              <w:t>Weighted n</w:t>
            </w:r>
          </w:p>
        </w:tc>
        <w:tc>
          <w:tcPr>
            <w:tcW w:w="540" w:type="dxa"/>
            <w:hideMark/>
          </w:tcPr>
          <w:p w:rsidR="00685E20" w:rsidRPr="005B0796" w:rsidRDefault="00685E20" w:rsidP="00685E20">
            <w:pPr>
              <w:pStyle w:val="TableText"/>
              <w:jc w:val="right"/>
            </w:pPr>
            <w:r w:rsidRPr="005B0796">
              <w:t>%</w:t>
            </w:r>
          </w:p>
        </w:tc>
        <w:tc>
          <w:tcPr>
            <w:tcW w:w="817" w:type="dxa"/>
            <w:hideMark/>
          </w:tcPr>
          <w:p w:rsidR="00685E20" w:rsidRPr="005B0796" w:rsidRDefault="00685E20" w:rsidP="00685E20">
            <w:pPr>
              <w:pStyle w:val="TableText"/>
              <w:jc w:val="right"/>
            </w:pPr>
            <w:r w:rsidRPr="005B0796">
              <w:t>(95% CI)</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Combat (military or organised group)</w:t>
            </w:r>
          </w:p>
        </w:tc>
        <w:tc>
          <w:tcPr>
            <w:tcW w:w="752" w:type="dxa"/>
            <w:hideMark/>
          </w:tcPr>
          <w:p w:rsidR="00685E20" w:rsidRPr="005B0796" w:rsidRDefault="00685E20" w:rsidP="00685E20">
            <w:pPr>
              <w:pStyle w:val="TableText"/>
              <w:jc w:val="right"/>
              <w:rPr>
                <w:lang w:eastAsia="en-AU"/>
              </w:rPr>
            </w:pPr>
            <w:r w:rsidRPr="005B0796">
              <w:rPr>
                <w:lang w:eastAsia="en-AU"/>
              </w:rPr>
              <w:t>6597</w:t>
            </w:r>
          </w:p>
        </w:tc>
        <w:tc>
          <w:tcPr>
            <w:tcW w:w="630" w:type="dxa"/>
            <w:hideMark/>
          </w:tcPr>
          <w:p w:rsidR="00685E20" w:rsidRPr="005B0796" w:rsidRDefault="00685E20" w:rsidP="00685E20">
            <w:pPr>
              <w:pStyle w:val="TableText"/>
              <w:jc w:val="right"/>
              <w:rPr>
                <w:lang w:eastAsia="en-AU"/>
              </w:rPr>
            </w:pPr>
            <w:r w:rsidRPr="005B0796">
              <w:rPr>
                <w:lang w:eastAsia="en-AU"/>
              </w:rPr>
              <w:t>26.8</w:t>
            </w:r>
          </w:p>
        </w:tc>
        <w:tc>
          <w:tcPr>
            <w:tcW w:w="797" w:type="dxa"/>
            <w:hideMark/>
          </w:tcPr>
          <w:p w:rsidR="00685E20" w:rsidRPr="005B0796" w:rsidRDefault="00685E20" w:rsidP="00685E20">
            <w:pPr>
              <w:pStyle w:val="TableText"/>
              <w:jc w:val="right"/>
              <w:rPr>
                <w:lang w:eastAsia="en-AU"/>
              </w:rPr>
            </w:pPr>
            <w:r w:rsidRPr="005B0796">
              <w:rPr>
                <w:lang w:eastAsia="en-AU"/>
              </w:rPr>
              <w:t>25.2, 28.4</w:t>
            </w:r>
          </w:p>
        </w:tc>
        <w:tc>
          <w:tcPr>
            <w:tcW w:w="823" w:type="dxa"/>
            <w:hideMark/>
          </w:tcPr>
          <w:p w:rsidR="00685E20" w:rsidRPr="005B0796" w:rsidRDefault="00685E20" w:rsidP="00685E20">
            <w:pPr>
              <w:pStyle w:val="TableText"/>
              <w:jc w:val="right"/>
              <w:rPr>
                <w:lang w:eastAsia="en-AU"/>
              </w:rPr>
            </w:pPr>
            <w:r w:rsidRPr="005B0796">
              <w:rPr>
                <w:lang w:eastAsia="en-AU"/>
              </w:rPr>
              <w:t>9626</w:t>
            </w:r>
          </w:p>
        </w:tc>
        <w:tc>
          <w:tcPr>
            <w:tcW w:w="540" w:type="dxa"/>
            <w:hideMark/>
          </w:tcPr>
          <w:p w:rsidR="00685E20" w:rsidRPr="005B0796" w:rsidRDefault="00685E20" w:rsidP="00685E20">
            <w:pPr>
              <w:pStyle w:val="TableText"/>
              <w:jc w:val="right"/>
              <w:rPr>
                <w:lang w:eastAsia="en-AU"/>
              </w:rPr>
            </w:pPr>
            <w:r w:rsidRPr="005B0796">
              <w:rPr>
                <w:lang w:eastAsia="en-AU"/>
              </w:rPr>
              <w:t>18.4</w:t>
            </w:r>
          </w:p>
        </w:tc>
        <w:tc>
          <w:tcPr>
            <w:tcW w:w="817" w:type="dxa"/>
            <w:hideMark/>
          </w:tcPr>
          <w:p w:rsidR="00685E20" w:rsidRPr="005B0796" w:rsidRDefault="00685E20" w:rsidP="00685E20">
            <w:pPr>
              <w:pStyle w:val="TableText"/>
              <w:jc w:val="right"/>
              <w:rPr>
                <w:lang w:eastAsia="en-AU"/>
              </w:rPr>
            </w:pPr>
            <w:r w:rsidRPr="005B0796">
              <w:rPr>
                <w:lang w:eastAsia="en-AU"/>
              </w:rPr>
              <w:t>15.9, 21.3</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Peacekeeper (in a war zone or place of ongoing terror)</w:t>
            </w:r>
          </w:p>
        </w:tc>
        <w:tc>
          <w:tcPr>
            <w:tcW w:w="752" w:type="dxa"/>
            <w:hideMark/>
          </w:tcPr>
          <w:p w:rsidR="00685E20" w:rsidRPr="005B0796" w:rsidRDefault="00685E20" w:rsidP="00685E20">
            <w:pPr>
              <w:pStyle w:val="TableText"/>
              <w:jc w:val="right"/>
              <w:rPr>
                <w:lang w:eastAsia="en-AU"/>
              </w:rPr>
            </w:pPr>
            <w:r w:rsidRPr="005B0796">
              <w:rPr>
                <w:lang w:eastAsia="en-AU"/>
              </w:rPr>
              <w:t>6332</w:t>
            </w:r>
          </w:p>
        </w:tc>
        <w:tc>
          <w:tcPr>
            <w:tcW w:w="630" w:type="dxa"/>
            <w:hideMark/>
          </w:tcPr>
          <w:p w:rsidR="00685E20" w:rsidRPr="005B0796" w:rsidRDefault="00685E20" w:rsidP="00685E20">
            <w:pPr>
              <w:pStyle w:val="TableText"/>
              <w:jc w:val="right"/>
              <w:rPr>
                <w:lang w:eastAsia="en-AU"/>
              </w:rPr>
            </w:pPr>
            <w:r w:rsidRPr="005B0796">
              <w:rPr>
                <w:lang w:eastAsia="en-AU"/>
              </w:rPr>
              <w:t>25.8</w:t>
            </w:r>
          </w:p>
        </w:tc>
        <w:tc>
          <w:tcPr>
            <w:tcW w:w="797" w:type="dxa"/>
            <w:hideMark/>
          </w:tcPr>
          <w:p w:rsidR="00685E20" w:rsidRPr="005B0796" w:rsidRDefault="00685E20" w:rsidP="00685E20">
            <w:pPr>
              <w:pStyle w:val="TableText"/>
              <w:jc w:val="right"/>
              <w:rPr>
                <w:lang w:eastAsia="en-AU"/>
              </w:rPr>
            </w:pPr>
            <w:r w:rsidRPr="005B0796">
              <w:rPr>
                <w:lang w:eastAsia="en-AU"/>
              </w:rPr>
              <w:t>24.3, 27.3</w:t>
            </w:r>
          </w:p>
        </w:tc>
        <w:tc>
          <w:tcPr>
            <w:tcW w:w="823" w:type="dxa"/>
            <w:hideMark/>
          </w:tcPr>
          <w:p w:rsidR="00685E20" w:rsidRPr="005B0796" w:rsidRDefault="00685E20" w:rsidP="00685E20">
            <w:pPr>
              <w:pStyle w:val="TableText"/>
              <w:jc w:val="right"/>
              <w:rPr>
                <w:lang w:eastAsia="en-AU"/>
              </w:rPr>
            </w:pPr>
            <w:r w:rsidRPr="005B0796">
              <w:rPr>
                <w:lang w:eastAsia="en-AU"/>
              </w:rPr>
              <w:t>9877</w:t>
            </w:r>
          </w:p>
        </w:tc>
        <w:tc>
          <w:tcPr>
            <w:tcW w:w="540" w:type="dxa"/>
            <w:hideMark/>
          </w:tcPr>
          <w:p w:rsidR="00685E20" w:rsidRPr="005B0796" w:rsidRDefault="00685E20" w:rsidP="00685E20">
            <w:pPr>
              <w:pStyle w:val="TableText"/>
              <w:jc w:val="right"/>
              <w:rPr>
                <w:lang w:eastAsia="en-AU"/>
              </w:rPr>
            </w:pPr>
            <w:r w:rsidRPr="005B0796">
              <w:rPr>
                <w:lang w:eastAsia="en-AU"/>
              </w:rPr>
              <w:t>19.0</w:t>
            </w:r>
          </w:p>
        </w:tc>
        <w:tc>
          <w:tcPr>
            <w:tcW w:w="817" w:type="dxa"/>
            <w:hideMark/>
          </w:tcPr>
          <w:p w:rsidR="00685E20" w:rsidRPr="005B0796" w:rsidRDefault="00685E20" w:rsidP="00685E20">
            <w:pPr>
              <w:pStyle w:val="TableText"/>
              <w:jc w:val="right"/>
              <w:rPr>
                <w:lang w:eastAsia="en-AU"/>
              </w:rPr>
            </w:pPr>
            <w:r w:rsidRPr="005B0796">
              <w:rPr>
                <w:lang w:eastAsia="en-AU"/>
              </w:rPr>
              <w:t>17.1, 21.1</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Unarmed civilian (in a place of war, revolution, military coup or invasion)</w:t>
            </w:r>
          </w:p>
        </w:tc>
        <w:tc>
          <w:tcPr>
            <w:tcW w:w="752" w:type="dxa"/>
            <w:hideMark/>
          </w:tcPr>
          <w:p w:rsidR="00685E20" w:rsidRPr="005B0796" w:rsidRDefault="00685E20" w:rsidP="00685E20">
            <w:pPr>
              <w:pStyle w:val="TableText"/>
              <w:jc w:val="right"/>
              <w:rPr>
                <w:lang w:eastAsia="en-AU"/>
              </w:rPr>
            </w:pPr>
            <w:r w:rsidRPr="005B0796">
              <w:rPr>
                <w:lang w:eastAsia="en-AU"/>
              </w:rPr>
              <w:t>746</w:t>
            </w:r>
          </w:p>
        </w:tc>
        <w:tc>
          <w:tcPr>
            <w:tcW w:w="630" w:type="dxa"/>
            <w:hideMark/>
          </w:tcPr>
          <w:p w:rsidR="00685E20" w:rsidRPr="005B0796" w:rsidRDefault="00685E20" w:rsidP="00685E20">
            <w:pPr>
              <w:pStyle w:val="TableText"/>
              <w:jc w:val="right"/>
              <w:rPr>
                <w:lang w:eastAsia="en-AU"/>
              </w:rPr>
            </w:pPr>
            <w:r w:rsidRPr="005B0796">
              <w:rPr>
                <w:lang w:eastAsia="en-AU"/>
              </w:rPr>
              <w:t>3.0</w:t>
            </w:r>
          </w:p>
        </w:tc>
        <w:tc>
          <w:tcPr>
            <w:tcW w:w="797" w:type="dxa"/>
            <w:hideMark/>
          </w:tcPr>
          <w:p w:rsidR="00685E20" w:rsidRPr="005B0796" w:rsidRDefault="00685E20" w:rsidP="00685E20">
            <w:pPr>
              <w:pStyle w:val="TableText"/>
              <w:jc w:val="right"/>
              <w:rPr>
                <w:lang w:eastAsia="en-AU"/>
              </w:rPr>
            </w:pPr>
            <w:r w:rsidRPr="005B0796">
              <w:rPr>
                <w:lang w:eastAsia="en-AU"/>
              </w:rPr>
              <w:t>2.5, 3.8</w:t>
            </w:r>
          </w:p>
        </w:tc>
        <w:tc>
          <w:tcPr>
            <w:tcW w:w="823" w:type="dxa"/>
            <w:hideMark/>
          </w:tcPr>
          <w:p w:rsidR="00685E20" w:rsidRPr="005B0796" w:rsidRDefault="00685E20" w:rsidP="00685E20">
            <w:pPr>
              <w:pStyle w:val="TableText"/>
              <w:jc w:val="right"/>
              <w:rPr>
                <w:lang w:eastAsia="en-AU"/>
              </w:rPr>
            </w:pPr>
            <w:r w:rsidRPr="005B0796">
              <w:rPr>
                <w:lang w:eastAsia="en-AU"/>
              </w:rPr>
              <w:t>1349</w:t>
            </w:r>
          </w:p>
        </w:tc>
        <w:tc>
          <w:tcPr>
            <w:tcW w:w="540" w:type="dxa"/>
            <w:hideMark/>
          </w:tcPr>
          <w:p w:rsidR="00685E20" w:rsidRPr="005B0796" w:rsidRDefault="00685E20" w:rsidP="00685E20">
            <w:pPr>
              <w:pStyle w:val="TableText"/>
              <w:jc w:val="right"/>
              <w:rPr>
                <w:lang w:eastAsia="en-AU"/>
              </w:rPr>
            </w:pPr>
            <w:r w:rsidRPr="005B0796">
              <w:rPr>
                <w:lang w:eastAsia="en-AU"/>
              </w:rPr>
              <w:t>2.6</w:t>
            </w:r>
          </w:p>
        </w:tc>
        <w:tc>
          <w:tcPr>
            <w:tcW w:w="817" w:type="dxa"/>
            <w:hideMark/>
          </w:tcPr>
          <w:p w:rsidR="00685E20" w:rsidRPr="005B0796" w:rsidRDefault="00685E20" w:rsidP="00685E20">
            <w:pPr>
              <w:pStyle w:val="TableText"/>
              <w:jc w:val="right"/>
              <w:rPr>
                <w:lang w:eastAsia="en-AU"/>
              </w:rPr>
            </w:pPr>
            <w:r w:rsidRPr="005B0796">
              <w:rPr>
                <w:lang w:eastAsia="en-AU"/>
              </w:rPr>
              <w:t>1.5, 4.4</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Lived as a civilian (in a place of ongoing terror for political, ethnic, religious or other reason)</w:t>
            </w:r>
          </w:p>
        </w:tc>
        <w:tc>
          <w:tcPr>
            <w:tcW w:w="752" w:type="dxa"/>
            <w:hideMark/>
          </w:tcPr>
          <w:p w:rsidR="00685E20" w:rsidRPr="005B0796" w:rsidRDefault="00685E20" w:rsidP="00685E20">
            <w:pPr>
              <w:pStyle w:val="TableText"/>
              <w:jc w:val="right"/>
              <w:rPr>
                <w:lang w:eastAsia="en-AU"/>
              </w:rPr>
            </w:pPr>
            <w:r w:rsidRPr="005B0796">
              <w:rPr>
                <w:lang w:eastAsia="en-AU"/>
              </w:rPr>
              <w:t>754</w:t>
            </w:r>
          </w:p>
        </w:tc>
        <w:tc>
          <w:tcPr>
            <w:tcW w:w="630" w:type="dxa"/>
            <w:hideMark/>
          </w:tcPr>
          <w:p w:rsidR="00685E20" w:rsidRPr="005B0796" w:rsidRDefault="00685E20" w:rsidP="00685E20">
            <w:pPr>
              <w:pStyle w:val="TableText"/>
              <w:jc w:val="right"/>
              <w:rPr>
                <w:lang w:eastAsia="en-AU"/>
              </w:rPr>
            </w:pPr>
            <w:r w:rsidRPr="005B0796">
              <w:rPr>
                <w:lang w:eastAsia="en-AU"/>
              </w:rPr>
              <w:t>3.1</w:t>
            </w:r>
          </w:p>
        </w:tc>
        <w:tc>
          <w:tcPr>
            <w:tcW w:w="797" w:type="dxa"/>
            <w:hideMark/>
          </w:tcPr>
          <w:p w:rsidR="00685E20" w:rsidRPr="005B0796" w:rsidRDefault="00685E20" w:rsidP="00685E20">
            <w:pPr>
              <w:pStyle w:val="TableText"/>
              <w:jc w:val="right"/>
              <w:rPr>
                <w:lang w:eastAsia="en-AU"/>
              </w:rPr>
            </w:pPr>
            <w:r w:rsidRPr="005B0796">
              <w:rPr>
                <w:lang w:eastAsia="en-AU"/>
              </w:rPr>
              <w:t>2.5, 3.7</w:t>
            </w:r>
          </w:p>
        </w:tc>
        <w:tc>
          <w:tcPr>
            <w:tcW w:w="823" w:type="dxa"/>
            <w:hideMark/>
          </w:tcPr>
          <w:p w:rsidR="00685E20" w:rsidRPr="005B0796" w:rsidRDefault="00685E20" w:rsidP="00685E20">
            <w:pPr>
              <w:pStyle w:val="TableText"/>
              <w:jc w:val="right"/>
              <w:rPr>
                <w:lang w:eastAsia="en-AU"/>
              </w:rPr>
            </w:pPr>
            <w:r w:rsidRPr="005B0796">
              <w:rPr>
                <w:lang w:eastAsia="en-AU"/>
              </w:rPr>
              <w:t>1146</w:t>
            </w:r>
          </w:p>
        </w:tc>
        <w:tc>
          <w:tcPr>
            <w:tcW w:w="540" w:type="dxa"/>
            <w:hideMark/>
          </w:tcPr>
          <w:p w:rsidR="00685E20" w:rsidRPr="005B0796" w:rsidRDefault="00685E20" w:rsidP="00685E20">
            <w:pPr>
              <w:pStyle w:val="TableText"/>
              <w:jc w:val="right"/>
              <w:rPr>
                <w:lang w:eastAsia="en-AU"/>
              </w:rPr>
            </w:pPr>
            <w:r w:rsidRPr="005B0796">
              <w:rPr>
                <w:lang w:eastAsia="en-AU"/>
              </w:rPr>
              <w:t>2.2</w:t>
            </w:r>
          </w:p>
        </w:tc>
        <w:tc>
          <w:tcPr>
            <w:tcW w:w="817" w:type="dxa"/>
            <w:hideMark/>
          </w:tcPr>
          <w:p w:rsidR="00685E20" w:rsidRPr="005B0796" w:rsidRDefault="00685E20" w:rsidP="00685E20">
            <w:pPr>
              <w:pStyle w:val="TableText"/>
              <w:jc w:val="right"/>
              <w:rPr>
                <w:lang w:eastAsia="en-AU"/>
              </w:rPr>
            </w:pPr>
            <w:r w:rsidRPr="005B0796">
              <w:rPr>
                <w:lang w:eastAsia="en-AU"/>
              </w:rPr>
              <w:t>1.8, 2.7</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Refugee</w:t>
            </w:r>
          </w:p>
        </w:tc>
        <w:tc>
          <w:tcPr>
            <w:tcW w:w="752" w:type="dxa"/>
            <w:hideMark/>
          </w:tcPr>
          <w:p w:rsidR="00685E20" w:rsidRPr="005B0796" w:rsidRDefault="00685E20" w:rsidP="00685E20">
            <w:pPr>
              <w:pStyle w:val="TableText"/>
              <w:jc w:val="right"/>
              <w:rPr>
                <w:lang w:eastAsia="en-AU"/>
              </w:rPr>
            </w:pPr>
            <w:r w:rsidRPr="005B0796">
              <w:rPr>
                <w:lang w:eastAsia="en-AU"/>
              </w:rPr>
              <w:t>117</w:t>
            </w:r>
          </w:p>
        </w:tc>
        <w:tc>
          <w:tcPr>
            <w:tcW w:w="630" w:type="dxa"/>
            <w:hideMark/>
          </w:tcPr>
          <w:p w:rsidR="00685E20" w:rsidRPr="005B0796" w:rsidRDefault="00685E20" w:rsidP="00685E20">
            <w:pPr>
              <w:pStyle w:val="TableText"/>
              <w:jc w:val="right"/>
              <w:rPr>
                <w:lang w:eastAsia="en-AU"/>
              </w:rPr>
            </w:pPr>
            <w:r w:rsidRPr="005B0796">
              <w:rPr>
                <w:lang w:eastAsia="en-AU"/>
              </w:rPr>
              <w:t>0.5</w:t>
            </w:r>
          </w:p>
        </w:tc>
        <w:tc>
          <w:tcPr>
            <w:tcW w:w="797" w:type="dxa"/>
            <w:hideMark/>
          </w:tcPr>
          <w:p w:rsidR="00685E20" w:rsidRPr="005B0796" w:rsidRDefault="00685E20" w:rsidP="00685E20">
            <w:pPr>
              <w:pStyle w:val="TableText"/>
              <w:jc w:val="right"/>
              <w:rPr>
                <w:lang w:eastAsia="en-AU"/>
              </w:rPr>
            </w:pPr>
            <w:r w:rsidRPr="005B0796">
              <w:rPr>
                <w:lang w:eastAsia="en-AU"/>
              </w:rPr>
              <w:t>0.3, 0.8</w:t>
            </w:r>
          </w:p>
        </w:tc>
        <w:tc>
          <w:tcPr>
            <w:tcW w:w="823" w:type="dxa"/>
            <w:hideMark/>
          </w:tcPr>
          <w:p w:rsidR="00685E20" w:rsidRPr="005B0796" w:rsidRDefault="00685E20" w:rsidP="00685E20">
            <w:pPr>
              <w:pStyle w:val="TableText"/>
              <w:jc w:val="right"/>
              <w:rPr>
                <w:lang w:eastAsia="en-AU"/>
              </w:rPr>
            </w:pPr>
            <w:r w:rsidRPr="005B0796">
              <w:rPr>
                <w:lang w:eastAsia="en-AU"/>
              </w:rPr>
              <w:t>200</w:t>
            </w:r>
          </w:p>
        </w:tc>
        <w:tc>
          <w:tcPr>
            <w:tcW w:w="540" w:type="dxa"/>
            <w:hideMark/>
          </w:tcPr>
          <w:p w:rsidR="00685E20" w:rsidRPr="005B0796" w:rsidRDefault="00685E20" w:rsidP="00685E20">
            <w:pPr>
              <w:pStyle w:val="TableText"/>
              <w:jc w:val="right"/>
              <w:rPr>
                <w:lang w:eastAsia="en-AU"/>
              </w:rPr>
            </w:pPr>
            <w:r w:rsidRPr="005B0796">
              <w:rPr>
                <w:lang w:eastAsia="en-AU"/>
              </w:rPr>
              <w:t>0.4</w:t>
            </w:r>
          </w:p>
        </w:tc>
        <w:tc>
          <w:tcPr>
            <w:tcW w:w="817" w:type="dxa"/>
            <w:hideMark/>
          </w:tcPr>
          <w:p w:rsidR="00685E20" w:rsidRPr="005B0796" w:rsidRDefault="00685E20" w:rsidP="00685E20">
            <w:pPr>
              <w:pStyle w:val="TableText"/>
              <w:jc w:val="right"/>
              <w:rPr>
                <w:lang w:eastAsia="en-AU"/>
              </w:rPr>
            </w:pPr>
            <w:r w:rsidRPr="005B0796">
              <w:rPr>
                <w:lang w:eastAsia="en-AU"/>
              </w:rPr>
              <w:t>0.2, 0.8</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Kidnapped or held captive</w:t>
            </w:r>
          </w:p>
        </w:tc>
        <w:tc>
          <w:tcPr>
            <w:tcW w:w="752" w:type="dxa"/>
            <w:hideMark/>
          </w:tcPr>
          <w:p w:rsidR="00685E20" w:rsidRPr="005B0796" w:rsidRDefault="00685E20" w:rsidP="00685E20">
            <w:pPr>
              <w:pStyle w:val="TableText"/>
              <w:jc w:val="right"/>
              <w:rPr>
                <w:lang w:eastAsia="en-AU"/>
              </w:rPr>
            </w:pPr>
            <w:r w:rsidRPr="005B0796">
              <w:rPr>
                <w:lang w:eastAsia="en-AU"/>
              </w:rPr>
              <w:t>190</w:t>
            </w:r>
          </w:p>
        </w:tc>
        <w:tc>
          <w:tcPr>
            <w:tcW w:w="630" w:type="dxa"/>
            <w:hideMark/>
          </w:tcPr>
          <w:p w:rsidR="00685E20" w:rsidRPr="005B0796" w:rsidRDefault="00685E20" w:rsidP="00685E20">
            <w:pPr>
              <w:pStyle w:val="TableText"/>
              <w:jc w:val="right"/>
              <w:rPr>
                <w:lang w:eastAsia="en-AU"/>
              </w:rPr>
            </w:pPr>
            <w:r w:rsidRPr="005B0796">
              <w:rPr>
                <w:lang w:eastAsia="en-AU"/>
              </w:rPr>
              <w:t>0.8</w:t>
            </w:r>
          </w:p>
        </w:tc>
        <w:tc>
          <w:tcPr>
            <w:tcW w:w="797" w:type="dxa"/>
            <w:hideMark/>
          </w:tcPr>
          <w:p w:rsidR="00685E20" w:rsidRPr="005B0796" w:rsidRDefault="00685E20" w:rsidP="00685E20">
            <w:pPr>
              <w:pStyle w:val="TableText"/>
              <w:jc w:val="right"/>
              <w:rPr>
                <w:lang w:eastAsia="en-AU"/>
              </w:rPr>
            </w:pPr>
            <w:r w:rsidRPr="005B0796">
              <w:rPr>
                <w:lang w:eastAsia="en-AU"/>
              </w:rPr>
              <w:t>0.5, 1.1</w:t>
            </w:r>
          </w:p>
        </w:tc>
        <w:tc>
          <w:tcPr>
            <w:tcW w:w="823" w:type="dxa"/>
            <w:hideMark/>
          </w:tcPr>
          <w:p w:rsidR="00685E20" w:rsidRPr="005B0796" w:rsidRDefault="00685E20" w:rsidP="00685E20">
            <w:pPr>
              <w:pStyle w:val="TableText"/>
              <w:jc w:val="right"/>
              <w:rPr>
                <w:lang w:eastAsia="en-AU"/>
              </w:rPr>
            </w:pPr>
            <w:r w:rsidRPr="005B0796">
              <w:rPr>
                <w:lang w:eastAsia="en-AU"/>
              </w:rPr>
              <w:t>211</w:t>
            </w:r>
          </w:p>
        </w:tc>
        <w:tc>
          <w:tcPr>
            <w:tcW w:w="540" w:type="dxa"/>
            <w:hideMark/>
          </w:tcPr>
          <w:p w:rsidR="00685E20" w:rsidRPr="005B0796" w:rsidRDefault="00685E20" w:rsidP="00685E20">
            <w:pPr>
              <w:pStyle w:val="TableText"/>
              <w:jc w:val="right"/>
              <w:rPr>
                <w:lang w:eastAsia="en-AU"/>
              </w:rPr>
            </w:pPr>
            <w:r w:rsidRPr="005B0796">
              <w:rPr>
                <w:lang w:eastAsia="en-AU"/>
              </w:rPr>
              <w:t>0.4</w:t>
            </w:r>
          </w:p>
        </w:tc>
        <w:tc>
          <w:tcPr>
            <w:tcW w:w="817" w:type="dxa"/>
            <w:hideMark/>
          </w:tcPr>
          <w:p w:rsidR="00685E20" w:rsidRPr="005B0796" w:rsidRDefault="00685E20" w:rsidP="00685E20">
            <w:pPr>
              <w:pStyle w:val="TableText"/>
              <w:jc w:val="right"/>
              <w:rPr>
                <w:lang w:eastAsia="en-AU"/>
              </w:rPr>
            </w:pPr>
            <w:r w:rsidRPr="005B0796">
              <w:rPr>
                <w:lang w:eastAsia="en-AU"/>
              </w:rPr>
              <w:t>0.3, 0.6</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Exposed to a toxic chemical that could cause harm</w:t>
            </w:r>
          </w:p>
        </w:tc>
        <w:tc>
          <w:tcPr>
            <w:tcW w:w="752" w:type="dxa"/>
            <w:hideMark/>
          </w:tcPr>
          <w:p w:rsidR="00685E20" w:rsidRPr="005B0796" w:rsidRDefault="00685E20" w:rsidP="00685E20">
            <w:pPr>
              <w:pStyle w:val="TableText"/>
              <w:jc w:val="right"/>
              <w:rPr>
                <w:lang w:eastAsia="en-AU"/>
              </w:rPr>
            </w:pPr>
            <w:r w:rsidRPr="005B0796">
              <w:rPr>
                <w:lang w:eastAsia="en-AU"/>
              </w:rPr>
              <w:t>6203</w:t>
            </w:r>
          </w:p>
        </w:tc>
        <w:tc>
          <w:tcPr>
            <w:tcW w:w="630" w:type="dxa"/>
            <w:hideMark/>
          </w:tcPr>
          <w:p w:rsidR="00685E20" w:rsidRPr="005B0796" w:rsidRDefault="00685E20" w:rsidP="00685E20">
            <w:pPr>
              <w:pStyle w:val="TableText"/>
              <w:jc w:val="right"/>
              <w:rPr>
                <w:lang w:eastAsia="en-AU"/>
              </w:rPr>
            </w:pPr>
            <w:r w:rsidRPr="005B0796">
              <w:rPr>
                <w:lang w:eastAsia="en-AU"/>
              </w:rPr>
              <w:t>25.6</w:t>
            </w:r>
          </w:p>
        </w:tc>
        <w:tc>
          <w:tcPr>
            <w:tcW w:w="797" w:type="dxa"/>
            <w:hideMark/>
          </w:tcPr>
          <w:p w:rsidR="00685E20" w:rsidRPr="005B0796" w:rsidRDefault="00685E20" w:rsidP="00685E20">
            <w:pPr>
              <w:pStyle w:val="TableText"/>
              <w:jc w:val="right"/>
              <w:rPr>
                <w:lang w:eastAsia="en-AU"/>
              </w:rPr>
            </w:pPr>
            <w:r w:rsidRPr="005B0796">
              <w:rPr>
                <w:lang w:eastAsia="en-AU"/>
              </w:rPr>
              <w:t>24.0, 27.2</w:t>
            </w:r>
          </w:p>
        </w:tc>
        <w:tc>
          <w:tcPr>
            <w:tcW w:w="823" w:type="dxa"/>
            <w:hideMark/>
          </w:tcPr>
          <w:p w:rsidR="00685E20" w:rsidRPr="005B0796" w:rsidRDefault="00685E20" w:rsidP="00685E20">
            <w:pPr>
              <w:pStyle w:val="TableText"/>
              <w:jc w:val="right"/>
              <w:rPr>
                <w:lang w:eastAsia="en-AU"/>
              </w:rPr>
            </w:pPr>
            <w:r w:rsidRPr="005B0796">
              <w:rPr>
                <w:lang w:eastAsia="en-AU"/>
              </w:rPr>
              <w:t>9663</w:t>
            </w:r>
          </w:p>
        </w:tc>
        <w:tc>
          <w:tcPr>
            <w:tcW w:w="540" w:type="dxa"/>
            <w:hideMark/>
          </w:tcPr>
          <w:p w:rsidR="00685E20" w:rsidRPr="005B0796" w:rsidRDefault="00685E20" w:rsidP="00685E20">
            <w:pPr>
              <w:pStyle w:val="TableText"/>
              <w:jc w:val="right"/>
              <w:rPr>
                <w:lang w:eastAsia="en-AU"/>
              </w:rPr>
            </w:pPr>
            <w:r w:rsidRPr="005B0796">
              <w:rPr>
                <w:lang w:eastAsia="en-AU"/>
              </w:rPr>
              <w:t>18.8</w:t>
            </w:r>
          </w:p>
        </w:tc>
        <w:tc>
          <w:tcPr>
            <w:tcW w:w="817" w:type="dxa"/>
            <w:hideMark/>
          </w:tcPr>
          <w:p w:rsidR="00685E20" w:rsidRPr="005B0796" w:rsidRDefault="00685E20" w:rsidP="00685E20">
            <w:pPr>
              <w:pStyle w:val="TableText"/>
              <w:jc w:val="right"/>
              <w:rPr>
                <w:lang w:eastAsia="en-AU"/>
              </w:rPr>
            </w:pPr>
            <w:r w:rsidRPr="005B0796">
              <w:rPr>
                <w:lang w:eastAsia="en-AU"/>
              </w:rPr>
              <w:t>16.3, 21.5</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Life-threatening automobile accident</w:t>
            </w:r>
          </w:p>
        </w:tc>
        <w:tc>
          <w:tcPr>
            <w:tcW w:w="752" w:type="dxa"/>
            <w:hideMark/>
          </w:tcPr>
          <w:p w:rsidR="00685E20" w:rsidRPr="005B0796" w:rsidRDefault="00685E20" w:rsidP="00685E20">
            <w:pPr>
              <w:pStyle w:val="TableText"/>
              <w:jc w:val="right"/>
              <w:rPr>
                <w:lang w:eastAsia="en-AU"/>
              </w:rPr>
            </w:pPr>
            <w:r w:rsidRPr="005B0796">
              <w:rPr>
                <w:lang w:eastAsia="en-AU"/>
              </w:rPr>
              <w:t>3266</w:t>
            </w:r>
          </w:p>
        </w:tc>
        <w:tc>
          <w:tcPr>
            <w:tcW w:w="630" w:type="dxa"/>
            <w:hideMark/>
          </w:tcPr>
          <w:p w:rsidR="00685E20" w:rsidRPr="005B0796" w:rsidRDefault="00685E20" w:rsidP="00685E20">
            <w:pPr>
              <w:pStyle w:val="TableText"/>
              <w:jc w:val="right"/>
              <w:rPr>
                <w:lang w:eastAsia="en-AU"/>
              </w:rPr>
            </w:pPr>
            <w:r w:rsidRPr="005B0796">
              <w:rPr>
                <w:lang w:eastAsia="en-AU"/>
              </w:rPr>
              <w:t>13.4</w:t>
            </w:r>
          </w:p>
        </w:tc>
        <w:tc>
          <w:tcPr>
            <w:tcW w:w="797" w:type="dxa"/>
            <w:hideMark/>
          </w:tcPr>
          <w:p w:rsidR="00685E20" w:rsidRPr="005B0796" w:rsidRDefault="00685E20" w:rsidP="00685E20">
            <w:pPr>
              <w:pStyle w:val="TableText"/>
              <w:jc w:val="right"/>
              <w:rPr>
                <w:lang w:eastAsia="en-AU"/>
              </w:rPr>
            </w:pPr>
            <w:r w:rsidRPr="005B0796">
              <w:rPr>
                <w:lang w:eastAsia="en-AU"/>
              </w:rPr>
              <w:t>12.2, 14.7</w:t>
            </w:r>
          </w:p>
        </w:tc>
        <w:tc>
          <w:tcPr>
            <w:tcW w:w="823" w:type="dxa"/>
            <w:hideMark/>
          </w:tcPr>
          <w:p w:rsidR="00685E20" w:rsidRPr="005B0796" w:rsidRDefault="00685E20" w:rsidP="00685E20">
            <w:pPr>
              <w:pStyle w:val="TableText"/>
              <w:jc w:val="right"/>
              <w:rPr>
                <w:lang w:eastAsia="en-AU"/>
              </w:rPr>
            </w:pPr>
            <w:r w:rsidRPr="005B0796">
              <w:rPr>
                <w:lang w:eastAsia="en-AU"/>
              </w:rPr>
              <w:t>5832</w:t>
            </w:r>
          </w:p>
        </w:tc>
        <w:tc>
          <w:tcPr>
            <w:tcW w:w="540" w:type="dxa"/>
            <w:hideMark/>
          </w:tcPr>
          <w:p w:rsidR="00685E20" w:rsidRPr="005B0796" w:rsidRDefault="00685E20" w:rsidP="00685E20">
            <w:pPr>
              <w:pStyle w:val="TableText"/>
              <w:jc w:val="right"/>
              <w:rPr>
                <w:lang w:eastAsia="en-AU"/>
              </w:rPr>
            </w:pPr>
            <w:r w:rsidRPr="005B0796">
              <w:rPr>
                <w:lang w:eastAsia="en-AU"/>
              </w:rPr>
              <w:t>11.3</w:t>
            </w:r>
          </w:p>
        </w:tc>
        <w:tc>
          <w:tcPr>
            <w:tcW w:w="817" w:type="dxa"/>
            <w:hideMark/>
          </w:tcPr>
          <w:p w:rsidR="00685E20" w:rsidRPr="005B0796" w:rsidRDefault="00685E20" w:rsidP="00685E20">
            <w:pPr>
              <w:pStyle w:val="TableText"/>
              <w:jc w:val="right"/>
              <w:rPr>
                <w:lang w:eastAsia="en-AU"/>
              </w:rPr>
            </w:pPr>
            <w:r w:rsidRPr="005B0796">
              <w:rPr>
                <w:lang w:eastAsia="en-AU"/>
              </w:rPr>
              <w:t>9.3, 13.5</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Other life-threatening accident</w:t>
            </w:r>
          </w:p>
        </w:tc>
        <w:tc>
          <w:tcPr>
            <w:tcW w:w="752" w:type="dxa"/>
            <w:hideMark/>
          </w:tcPr>
          <w:p w:rsidR="00685E20" w:rsidRPr="005B0796" w:rsidRDefault="00685E20" w:rsidP="00685E20">
            <w:pPr>
              <w:pStyle w:val="TableText"/>
              <w:jc w:val="right"/>
              <w:rPr>
                <w:lang w:eastAsia="en-AU"/>
              </w:rPr>
            </w:pPr>
            <w:r w:rsidRPr="005B0796">
              <w:rPr>
                <w:lang w:eastAsia="en-AU"/>
              </w:rPr>
              <w:t>3569</w:t>
            </w:r>
          </w:p>
        </w:tc>
        <w:tc>
          <w:tcPr>
            <w:tcW w:w="630" w:type="dxa"/>
            <w:hideMark/>
          </w:tcPr>
          <w:p w:rsidR="00685E20" w:rsidRPr="005B0796" w:rsidRDefault="00685E20" w:rsidP="00685E20">
            <w:pPr>
              <w:pStyle w:val="TableText"/>
              <w:jc w:val="right"/>
              <w:rPr>
                <w:lang w:eastAsia="en-AU"/>
              </w:rPr>
            </w:pPr>
            <w:r w:rsidRPr="005B0796">
              <w:rPr>
                <w:lang w:eastAsia="en-AU"/>
              </w:rPr>
              <w:t>14.7</w:t>
            </w:r>
          </w:p>
        </w:tc>
        <w:tc>
          <w:tcPr>
            <w:tcW w:w="797" w:type="dxa"/>
            <w:hideMark/>
          </w:tcPr>
          <w:p w:rsidR="00685E20" w:rsidRPr="005B0796" w:rsidRDefault="00685E20" w:rsidP="00685E20">
            <w:pPr>
              <w:pStyle w:val="TableText"/>
              <w:jc w:val="right"/>
              <w:rPr>
                <w:lang w:eastAsia="en-AU"/>
              </w:rPr>
            </w:pPr>
            <w:r w:rsidRPr="005B0796">
              <w:rPr>
                <w:lang w:eastAsia="en-AU"/>
              </w:rPr>
              <w:t>13.4, 16.1</w:t>
            </w:r>
          </w:p>
        </w:tc>
        <w:tc>
          <w:tcPr>
            <w:tcW w:w="823" w:type="dxa"/>
            <w:hideMark/>
          </w:tcPr>
          <w:p w:rsidR="00685E20" w:rsidRPr="005B0796" w:rsidRDefault="00685E20" w:rsidP="00685E20">
            <w:pPr>
              <w:pStyle w:val="TableText"/>
              <w:jc w:val="right"/>
              <w:rPr>
                <w:lang w:eastAsia="en-AU"/>
              </w:rPr>
            </w:pPr>
            <w:r w:rsidRPr="005B0796">
              <w:rPr>
                <w:lang w:eastAsia="en-AU"/>
              </w:rPr>
              <w:t>5051</w:t>
            </w:r>
          </w:p>
        </w:tc>
        <w:tc>
          <w:tcPr>
            <w:tcW w:w="540" w:type="dxa"/>
            <w:hideMark/>
          </w:tcPr>
          <w:p w:rsidR="00685E20" w:rsidRPr="005B0796" w:rsidRDefault="00685E20" w:rsidP="00685E20">
            <w:pPr>
              <w:pStyle w:val="TableText"/>
              <w:jc w:val="right"/>
              <w:rPr>
                <w:lang w:eastAsia="en-AU"/>
              </w:rPr>
            </w:pPr>
            <w:r w:rsidRPr="005B0796">
              <w:rPr>
                <w:lang w:eastAsia="en-AU"/>
              </w:rPr>
              <w:t>9.8</w:t>
            </w:r>
          </w:p>
        </w:tc>
        <w:tc>
          <w:tcPr>
            <w:tcW w:w="817" w:type="dxa"/>
            <w:hideMark/>
          </w:tcPr>
          <w:p w:rsidR="00685E20" w:rsidRPr="005B0796" w:rsidRDefault="00685E20" w:rsidP="00685E20">
            <w:pPr>
              <w:pStyle w:val="TableText"/>
              <w:jc w:val="right"/>
              <w:rPr>
                <w:lang w:eastAsia="en-AU"/>
              </w:rPr>
            </w:pPr>
            <w:r w:rsidRPr="005B0796">
              <w:rPr>
                <w:lang w:eastAsia="en-AU"/>
              </w:rPr>
              <w:t>7.8, 12.2</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Major natural disaster</w:t>
            </w:r>
          </w:p>
        </w:tc>
        <w:tc>
          <w:tcPr>
            <w:tcW w:w="752" w:type="dxa"/>
            <w:hideMark/>
          </w:tcPr>
          <w:p w:rsidR="00685E20" w:rsidRPr="005B0796" w:rsidRDefault="00685E20" w:rsidP="00685E20">
            <w:pPr>
              <w:pStyle w:val="TableText"/>
              <w:jc w:val="right"/>
              <w:rPr>
                <w:lang w:eastAsia="en-AU"/>
              </w:rPr>
            </w:pPr>
            <w:r w:rsidRPr="005B0796">
              <w:rPr>
                <w:lang w:eastAsia="en-AU"/>
              </w:rPr>
              <w:t>3833</w:t>
            </w:r>
          </w:p>
        </w:tc>
        <w:tc>
          <w:tcPr>
            <w:tcW w:w="630" w:type="dxa"/>
            <w:hideMark/>
          </w:tcPr>
          <w:p w:rsidR="00685E20" w:rsidRPr="005B0796" w:rsidRDefault="00685E20" w:rsidP="00685E20">
            <w:pPr>
              <w:pStyle w:val="TableText"/>
              <w:jc w:val="right"/>
              <w:rPr>
                <w:lang w:eastAsia="en-AU"/>
              </w:rPr>
            </w:pPr>
            <w:r w:rsidRPr="005B0796">
              <w:rPr>
                <w:lang w:eastAsia="en-AU"/>
              </w:rPr>
              <w:t>15.7</w:t>
            </w:r>
          </w:p>
        </w:tc>
        <w:tc>
          <w:tcPr>
            <w:tcW w:w="797" w:type="dxa"/>
            <w:hideMark/>
          </w:tcPr>
          <w:p w:rsidR="00685E20" w:rsidRPr="005B0796" w:rsidRDefault="00685E20" w:rsidP="00685E20">
            <w:pPr>
              <w:pStyle w:val="TableText"/>
              <w:jc w:val="right"/>
              <w:rPr>
                <w:lang w:eastAsia="en-AU"/>
              </w:rPr>
            </w:pPr>
            <w:r w:rsidRPr="005B0796">
              <w:rPr>
                <w:lang w:eastAsia="en-AU"/>
              </w:rPr>
              <w:t>14.4, 17.1</w:t>
            </w:r>
          </w:p>
        </w:tc>
        <w:tc>
          <w:tcPr>
            <w:tcW w:w="823" w:type="dxa"/>
            <w:hideMark/>
          </w:tcPr>
          <w:p w:rsidR="00685E20" w:rsidRPr="005B0796" w:rsidRDefault="00685E20" w:rsidP="00685E20">
            <w:pPr>
              <w:pStyle w:val="TableText"/>
              <w:jc w:val="right"/>
              <w:rPr>
                <w:lang w:eastAsia="en-AU"/>
              </w:rPr>
            </w:pPr>
            <w:r w:rsidRPr="005B0796">
              <w:rPr>
                <w:lang w:eastAsia="en-AU"/>
              </w:rPr>
              <w:t>6269</w:t>
            </w:r>
          </w:p>
        </w:tc>
        <w:tc>
          <w:tcPr>
            <w:tcW w:w="540" w:type="dxa"/>
            <w:hideMark/>
          </w:tcPr>
          <w:p w:rsidR="00685E20" w:rsidRPr="005B0796" w:rsidRDefault="00685E20" w:rsidP="00685E20">
            <w:pPr>
              <w:pStyle w:val="TableText"/>
              <w:jc w:val="right"/>
              <w:rPr>
                <w:lang w:eastAsia="en-AU"/>
              </w:rPr>
            </w:pPr>
            <w:r w:rsidRPr="005B0796">
              <w:rPr>
                <w:lang w:eastAsia="en-AU"/>
              </w:rPr>
              <w:t>12.1</w:t>
            </w:r>
          </w:p>
        </w:tc>
        <w:tc>
          <w:tcPr>
            <w:tcW w:w="817" w:type="dxa"/>
            <w:hideMark/>
          </w:tcPr>
          <w:p w:rsidR="00685E20" w:rsidRPr="005B0796" w:rsidRDefault="00685E20" w:rsidP="00685E20">
            <w:pPr>
              <w:pStyle w:val="TableText"/>
              <w:jc w:val="right"/>
              <w:rPr>
                <w:lang w:eastAsia="en-AU"/>
              </w:rPr>
            </w:pPr>
            <w:r w:rsidRPr="005B0796">
              <w:rPr>
                <w:lang w:eastAsia="en-AU"/>
              </w:rPr>
              <w:t>10.1, 14.4</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Man-made disaster</w:t>
            </w:r>
          </w:p>
        </w:tc>
        <w:tc>
          <w:tcPr>
            <w:tcW w:w="752" w:type="dxa"/>
            <w:hideMark/>
          </w:tcPr>
          <w:p w:rsidR="00685E20" w:rsidRPr="005B0796" w:rsidRDefault="00685E20" w:rsidP="00685E20">
            <w:pPr>
              <w:pStyle w:val="TableText"/>
              <w:jc w:val="right"/>
              <w:rPr>
                <w:lang w:eastAsia="en-AU"/>
              </w:rPr>
            </w:pPr>
            <w:r w:rsidRPr="005B0796">
              <w:rPr>
                <w:lang w:eastAsia="en-AU"/>
              </w:rPr>
              <w:t>2589</w:t>
            </w:r>
          </w:p>
        </w:tc>
        <w:tc>
          <w:tcPr>
            <w:tcW w:w="630" w:type="dxa"/>
            <w:hideMark/>
          </w:tcPr>
          <w:p w:rsidR="00685E20" w:rsidRPr="005B0796" w:rsidRDefault="00685E20" w:rsidP="00685E20">
            <w:pPr>
              <w:pStyle w:val="TableText"/>
              <w:jc w:val="right"/>
              <w:rPr>
                <w:lang w:eastAsia="en-AU"/>
              </w:rPr>
            </w:pPr>
            <w:r w:rsidRPr="005B0796">
              <w:rPr>
                <w:lang w:eastAsia="en-AU"/>
              </w:rPr>
              <w:t>10.6</w:t>
            </w:r>
          </w:p>
        </w:tc>
        <w:tc>
          <w:tcPr>
            <w:tcW w:w="797" w:type="dxa"/>
            <w:hideMark/>
          </w:tcPr>
          <w:p w:rsidR="00685E20" w:rsidRPr="005B0796" w:rsidRDefault="00685E20" w:rsidP="00685E20">
            <w:pPr>
              <w:pStyle w:val="TableText"/>
              <w:jc w:val="right"/>
              <w:rPr>
                <w:lang w:eastAsia="en-AU"/>
              </w:rPr>
            </w:pPr>
            <w:r w:rsidRPr="005B0796">
              <w:rPr>
                <w:lang w:eastAsia="en-AU"/>
              </w:rPr>
              <w:t>9.5, 11.9</w:t>
            </w:r>
          </w:p>
        </w:tc>
        <w:tc>
          <w:tcPr>
            <w:tcW w:w="823" w:type="dxa"/>
            <w:hideMark/>
          </w:tcPr>
          <w:p w:rsidR="00685E20" w:rsidRPr="005B0796" w:rsidRDefault="00685E20" w:rsidP="00685E20">
            <w:pPr>
              <w:pStyle w:val="TableText"/>
              <w:jc w:val="right"/>
              <w:rPr>
                <w:lang w:eastAsia="en-AU"/>
              </w:rPr>
            </w:pPr>
            <w:r w:rsidRPr="005B0796">
              <w:rPr>
                <w:lang w:eastAsia="en-AU"/>
              </w:rPr>
              <w:t>2980</w:t>
            </w:r>
          </w:p>
        </w:tc>
        <w:tc>
          <w:tcPr>
            <w:tcW w:w="540" w:type="dxa"/>
            <w:hideMark/>
          </w:tcPr>
          <w:p w:rsidR="00685E20" w:rsidRPr="005B0796" w:rsidRDefault="00685E20" w:rsidP="00685E20">
            <w:pPr>
              <w:pStyle w:val="TableText"/>
              <w:jc w:val="right"/>
              <w:rPr>
                <w:lang w:eastAsia="en-AU"/>
              </w:rPr>
            </w:pPr>
            <w:r w:rsidRPr="005B0796">
              <w:rPr>
                <w:lang w:eastAsia="en-AU"/>
              </w:rPr>
              <w:t>5.8</w:t>
            </w:r>
          </w:p>
        </w:tc>
        <w:tc>
          <w:tcPr>
            <w:tcW w:w="817" w:type="dxa"/>
            <w:hideMark/>
          </w:tcPr>
          <w:p w:rsidR="00685E20" w:rsidRPr="005B0796" w:rsidRDefault="00685E20" w:rsidP="00685E20">
            <w:pPr>
              <w:pStyle w:val="TableText"/>
              <w:jc w:val="right"/>
              <w:rPr>
                <w:lang w:eastAsia="en-AU"/>
              </w:rPr>
            </w:pPr>
            <w:r w:rsidRPr="005B0796">
              <w:rPr>
                <w:lang w:eastAsia="en-AU"/>
              </w:rPr>
              <w:t>4.4, 7.6</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Life-threatening illness</w:t>
            </w:r>
          </w:p>
        </w:tc>
        <w:tc>
          <w:tcPr>
            <w:tcW w:w="752" w:type="dxa"/>
            <w:hideMark/>
          </w:tcPr>
          <w:p w:rsidR="00685E20" w:rsidRPr="005B0796" w:rsidRDefault="00685E20" w:rsidP="00685E20">
            <w:pPr>
              <w:pStyle w:val="TableText"/>
              <w:jc w:val="right"/>
              <w:rPr>
                <w:lang w:eastAsia="en-AU"/>
              </w:rPr>
            </w:pPr>
            <w:r w:rsidRPr="005B0796">
              <w:rPr>
                <w:lang w:eastAsia="en-AU"/>
              </w:rPr>
              <w:t>1777</w:t>
            </w:r>
          </w:p>
        </w:tc>
        <w:tc>
          <w:tcPr>
            <w:tcW w:w="630" w:type="dxa"/>
            <w:hideMark/>
          </w:tcPr>
          <w:p w:rsidR="00685E20" w:rsidRPr="005B0796" w:rsidRDefault="00685E20" w:rsidP="00685E20">
            <w:pPr>
              <w:pStyle w:val="TableText"/>
              <w:jc w:val="right"/>
              <w:rPr>
                <w:lang w:eastAsia="en-AU"/>
              </w:rPr>
            </w:pPr>
            <w:r w:rsidRPr="005B0796">
              <w:rPr>
                <w:lang w:eastAsia="en-AU"/>
              </w:rPr>
              <w:t>7.3</w:t>
            </w:r>
          </w:p>
        </w:tc>
        <w:tc>
          <w:tcPr>
            <w:tcW w:w="797" w:type="dxa"/>
            <w:hideMark/>
          </w:tcPr>
          <w:p w:rsidR="00685E20" w:rsidRPr="005B0796" w:rsidRDefault="00685E20" w:rsidP="00685E20">
            <w:pPr>
              <w:pStyle w:val="TableText"/>
              <w:jc w:val="right"/>
              <w:rPr>
                <w:lang w:eastAsia="en-AU"/>
              </w:rPr>
            </w:pPr>
            <w:r w:rsidRPr="005B0796">
              <w:rPr>
                <w:lang w:eastAsia="en-AU"/>
              </w:rPr>
              <w:t>6.5, 8.2</w:t>
            </w:r>
          </w:p>
        </w:tc>
        <w:tc>
          <w:tcPr>
            <w:tcW w:w="823" w:type="dxa"/>
            <w:hideMark/>
          </w:tcPr>
          <w:p w:rsidR="00685E20" w:rsidRPr="005B0796" w:rsidRDefault="00685E20" w:rsidP="00685E20">
            <w:pPr>
              <w:pStyle w:val="TableText"/>
              <w:jc w:val="right"/>
              <w:rPr>
                <w:lang w:eastAsia="en-AU"/>
              </w:rPr>
            </w:pPr>
            <w:r w:rsidRPr="005B0796">
              <w:rPr>
                <w:lang w:eastAsia="en-AU"/>
              </w:rPr>
              <w:t>2054</w:t>
            </w:r>
          </w:p>
        </w:tc>
        <w:tc>
          <w:tcPr>
            <w:tcW w:w="540" w:type="dxa"/>
            <w:hideMark/>
          </w:tcPr>
          <w:p w:rsidR="00685E20" w:rsidRPr="005B0796" w:rsidRDefault="00685E20" w:rsidP="00685E20">
            <w:pPr>
              <w:pStyle w:val="TableText"/>
              <w:jc w:val="right"/>
              <w:rPr>
                <w:lang w:eastAsia="en-AU"/>
              </w:rPr>
            </w:pPr>
            <w:r w:rsidRPr="005B0796">
              <w:rPr>
                <w:lang w:eastAsia="en-AU"/>
              </w:rPr>
              <w:t>3.9</w:t>
            </w:r>
          </w:p>
        </w:tc>
        <w:tc>
          <w:tcPr>
            <w:tcW w:w="817" w:type="dxa"/>
            <w:hideMark/>
          </w:tcPr>
          <w:p w:rsidR="00685E20" w:rsidRPr="005B0796" w:rsidRDefault="00685E20" w:rsidP="00685E20">
            <w:pPr>
              <w:pStyle w:val="TableText"/>
              <w:jc w:val="right"/>
              <w:rPr>
                <w:lang w:eastAsia="en-AU"/>
              </w:rPr>
            </w:pPr>
            <w:r w:rsidRPr="005B0796">
              <w:rPr>
                <w:lang w:eastAsia="en-AU"/>
              </w:rPr>
              <w:t>3.5, 4.5</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Beaten by spouse/romantic partner</w:t>
            </w:r>
          </w:p>
        </w:tc>
        <w:tc>
          <w:tcPr>
            <w:tcW w:w="752" w:type="dxa"/>
            <w:hideMark/>
          </w:tcPr>
          <w:p w:rsidR="00685E20" w:rsidRPr="005B0796" w:rsidRDefault="00685E20" w:rsidP="00685E20">
            <w:pPr>
              <w:pStyle w:val="TableText"/>
              <w:jc w:val="right"/>
              <w:rPr>
                <w:lang w:eastAsia="en-AU"/>
              </w:rPr>
            </w:pPr>
            <w:r w:rsidRPr="005B0796">
              <w:rPr>
                <w:lang w:eastAsia="en-AU"/>
              </w:rPr>
              <w:t>590</w:t>
            </w:r>
          </w:p>
        </w:tc>
        <w:tc>
          <w:tcPr>
            <w:tcW w:w="630" w:type="dxa"/>
            <w:hideMark/>
          </w:tcPr>
          <w:p w:rsidR="00685E20" w:rsidRPr="005B0796" w:rsidRDefault="00685E20" w:rsidP="00685E20">
            <w:pPr>
              <w:pStyle w:val="TableText"/>
              <w:jc w:val="right"/>
              <w:rPr>
                <w:lang w:eastAsia="en-AU"/>
              </w:rPr>
            </w:pPr>
            <w:r w:rsidRPr="005B0796">
              <w:rPr>
                <w:lang w:eastAsia="en-AU"/>
              </w:rPr>
              <w:t>2.4</w:t>
            </w:r>
          </w:p>
        </w:tc>
        <w:tc>
          <w:tcPr>
            <w:tcW w:w="797" w:type="dxa"/>
            <w:hideMark/>
          </w:tcPr>
          <w:p w:rsidR="00685E20" w:rsidRPr="005B0796" w:rsidRDefault="00685E20" w:rsidP="00685E20">
            <w:pPr>
              <w:pStyle w:val="TableText"/>
              <w:jc w:val="right"/>
              <w:rPr>
                <w:lang w:eastAsia="en-AU"/>
              </w:rPr>
            </w:pPr>
            <w:r w:rsidRPr="005B0796">
              <w:rPr>
                <w:lang w:eastAsia="en-AU"/>
              </w:rPr>
              <w:t>1.9, 3.1</w:t>
            </w:r>
          </w:p>
        </w:tc>
        <w:tc>
          <w:tcPr>
            <w:tcW w:w="823" w:type="dxa"/>
            <w:hideMark/>
          </w:tcPr>
          <w:p w:rsidR="00685E20" w:rsidRPr="005B0796" w:rsidRDefault="00685E20" w:rsidP="00685E20">
            <w:pPr>
              <w:pStyle w:val="TableText"/>
              <w:jc w:val="right"/>
              <w:rPr>
                <w:lang w:eastAsia="en-AU"/>
              </w:rPr>
            </w:pPr>
            <w:r w:rsidRPr="005B0796">
              <w:rPr>
                <w:lang w:eastAsia="en-AU"/>
              </w:rPr>
              <w:t>606</w:t>
            </w:r>
          </w:p>
        </w:tc>
        <w:tc>
          <w:tcPr>
            <w:tcW w:w="540" w:type="dxa"/>
            <w:hideMark/>
          </w:tcPr>
          <w:p w:rsidR="00685E20" w:rsidRPr="005B0796" w:rsidRDefault="00685E20" w:rsidP="00685E20">
            <w:pPr>
              <w:pStyle w:val="TableText"/>
              <w:jc w:val="right"/>
              <w:rPr>
                <w:lang w:eastAsia="en-AU"/>
              </w:rPr>
            </w:pPr>
            <w:r w:rsidRPr="005B0796">
              <w:rPr>
                <w:lang w:eastAsia="en-AU"/>
              </w:rPr>
              <w:t>1.2</w:t>
            </w:r>
          </w:p>
        </w:tc>
        <w:tc>
          <w:tcPr>
            <w:tcW w:w="817" w:type="dxa"/>
            <w:hideMark/>
          </w:tcPr>
          <w:p w:rsidR="00685E20" w:rsidRPr="005B0796" w:rsidRDefault="00685E20" w:rsidP="00685E20">
            <w:pPr>
              <w:pStyle w:val="TableText"/>
              <w:jc w:val="right"/>
              <w:rPr>
                <w:lang w:eastAsia="en-AU"/>
              </w:rPr>
            </w:pPr>
            <w:r w:rsidRPr="005B0796">
              <w:rPr>
                <w:lang w:eastAsia="en-AU"/>
              </w:rPr>
              <w:t>0.9, 1.5</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Badly beaten by anyone else</w:t>
            </w:r>
          </w:p>
        </w:tc>
        <w:tc>
          <w:tcPr>
            <w:tcW w:w="752" w:type="dxa"/>
            <w:hideMark/>
          </w:tcPr>
          <w:p w:rsidR="00685E20" w:rsidRPr="005B0796" w:rsidRDefault="00685E20" w:rsidP="00685E20">
            <w:pPr>
              <w:pStyle w:val="TableText"/>
              <w:jc w:val="right"/>
              <w:rPr>
                <w:lang w:eastAsia="en-AU"/>
              </w:rPr>
            </w:pPr>
            <w:r w:rsidRPr="005B0796">
              <w:rPr>
                <w:lang w:eastAsia="en-AU"/>
              </w:rPr>
              <w:t>2124</w:t>
            </w:r>
          </w:p>
        </w:tc>
        <w:tc>
          <w:tcPr>
            <w:tcW w:w="630" w:type="dxa"/>
            <w:hideMark/>
          </w:tcPr>
          <w:p w:rsidR="00685E20" w:rsidRPr="005B0796" w:rsidRDefault="00685E20" w:rsidP="00685E20">
            <w:pPr>
              <w:pStyle w:val="TableText"/>
              <w:jc w:val="right"/>
              <w:rPr>
                <w:lang w:eastAsia="en-AU"/>
              </w:rPr>
            </w:pPr>
            <w:r w:rsidRPr="005B0796">
              <w:rPr>
                <w:lang w:eastAsia="en-AU"/>
              </w:rPr>
              <w:t>8.7</w:t>
            </w:r>
          </w:p>
        </w:tc>
        <w:tc>
          <w:tcPr>
            <w:tcW w:w="797" w:type="dxa"/>
            <w:hideMark/>
          </w:tcPr>
          <w:p w:rsidR="00685E20" w:rsidRPr="005B0796" w:rsidRDefault="00685E20" w:rsidP="00685E20">
            <w:pPr>
              <w:pStyle w:val="TableText"/>
              <w:jc w:val="right"/>
              <w:rPr>
                <w:lang w:eastAsia="en-AU"/>
              </w:rPr>
            </w:pPr>
            <w:r w:rsidRPr="005B0796">
              <w:rPr>
                <w:lang w:eastAsia="en-AU"/>
              </w:rPr>
              <w:t>7.7, 9.9</w:t>
            </w:r>
          </w:p>
        </w:tc>
        <w:tc>
          <w:tcPr>
            <w:tcW w:w="823" w:type="dxa"/>
            <w:hideMark/>
          </w:tcPr>
          <w:p w:rsidR="00685E20" w:rsidRPr="005B0796" w:rsidRDefault="00685E20" w:rsidP="00685E20">
            <w:pPr>
              <w:pStyle w:val="TableText"/>
              <w:jc w:val="right"/>
              <w:rPr>
                <w:lang w:eastAsia="en-AU"/>
              </w:rPr>
            </w:pPr>
            <w:r w:rsidRPr="005B0796">
              <w:rPr>
                <w:lang w:eastAsia="en-AU"/>
              </w:rPr>
              <w:t>4121</w:t>
            </w:r>
          </w:p>
        </w:tc>
        <w:tc>
          <w:tcPr>
            <w:tcW w:w="540" w:type="dxa"/>
            <w:hideMark/>
          </w:tcPr>
          <w:p w:rsidR="00685E20" w:rsidRPr="005B0796" w:rsidRDefault="00685E20" w:rsidP="00685E20">
            <w:pPr>
              <w:pStyle w:val="TableText"/>
              <w:jc w:val="right"/>
              <w:rPr>
                <w:lang w:eastAsia="en-AU"/>
              </w:rPr>
            </w:pPr>
            <w:r w:rsidRPr="005B0796">
              <w:rPr>
                <w:lang w:eastAsia="en-AU"/>
              </w:rPr>
              <w:t>8.0</w:t>
            </w:r>
          </w:p>
        </w:tc>
        <w:tc>
          <w:tcPr>
            <w:tcW w:w="817" w:type="dxa"/>
            <w:hideMark/>
          </w:tcPr>
          <w:p w:rsidR="00685E20" w:rsidRPr="005B0796" w:rsidRDefault="00685E20" w:rsidP="00685E20">
            <w:pPr>
              <w:pStyle w:val="TableText"/>
              <w:jc w:val="right"/>
              <w:rPr>
                <w:lang w:eastAsia="en-AU"/>
              </w:rPr>
            </w:pPr>
            <w:r w:rsidRPr="005B0796">
              <w:rPr>
                <w:lang w:eastAsia="en-AU"/>
              </w:rPr>
              <w:t>6.1, 10.4</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Mugged, held up, threatened with a weapon</w:t>
            </w:r>
          </w:p>
        </w:tc>
        <w:tc>
          <w:tcPr>
            <w:tcW w:w="752" w:type="dxa"/>
            <w:hideMark/>
          </w:tcPr>
          <w:p w:rsidR="00685E20" w:rsidRPr="005B0796" w:rsidRDefault="00685E20" w:rsidP="00685E20">
            <w:pPr>
              <w:pStyle w:val="TableText"/>
              <w:jc w:val="right"/>
              <w:rPr>
                <w:lang w:eastAsia="en-AU"/>
              </w:rPr>
            </w:pPr>
            <w:r w:rsidRPr="005B0796">
              <w:rPr>
                <w:lang w:eastAsia="en-AU"/>
              </w:rPr>
              <w:t>4065</w:t>
            </w:r>
          </w:p>
        </w:tc>
        <w:tc>
          <w:tcPr>
            <w:tcW w:w="630" w:type="dxa"/>
            <w:hideMark/>
          </w:tcPr>
          <w:p w:rsidR="00685E20" w:rsidRPr="005B0796" w:rsidRDefault="00685E20" w:rsidP="00685E20">
            <w:pPr>
              <w:pStyle w:val="TableText"/>
              <w:jc w:val="right"/>
              <w:rPr>
                <w:lang w:eastAsia="en-AU"/>
              </w:rPr>
            </w:pPr>
            <w:r w:rsidRPr="005B0796">
              <w:rPr>
                <w:lang w:eastAsia="en-AU"/>
              </w:rPr>
              <w:t>16.6</w:t>
            </w:r>
          </w:p>
        </w:tc>
        <w:tc>
          <w:tcPr>
            <w:tcW w:w="797" w:type="dxa"/>
            <w:hideMark/>
          </w:tcPr>
          <w:p w:rsidR="00685E20" w:rsidRPr="005B0796" w:rsidRDefault="00685E20" w:rsidP="00685E20">
            <w:pPr>
              <w:pStyle w:val="TableText"/>
              <w:jc w:val="right"/>
              <w:rPr>
                <w:lang w:eastAsia="en-AU"/>
              </w:rPr>
            </w:pPr>
            <w:r w:rsidRPr="005B0796">
              <w:rPr>
                <w:lang w:eastAsia="en-AU"/>
              </w:rPr>
              <w:t>15.2, 18.1</w:t>
            </w:r>
          </w:p>
        </w:tc>
        <w:tc>
          <w:tcPr>
            <w:tcW w:w="823" w:type="dxa"/>
            <w:hideMark/>
          </w:tcPr>
          <w:p w:rsidR="00685E20" w:rsidRPr="005B0796" w:rsidRDefault="00685E20" w:rsidP="00685E20">
            <w:pPr>
              <w:pStyle w:val="TableText"/>
              <w:jc w:val="right"/>
              <w:rPr>
                <w:lang w:eastAsia="en-AU"/>
              </w:rPr>
            </w:pPr>
            <w:r w:rsidRPr="005B0796">
              <w:rPr>
                <w:lang w:eastAsia="en-AU"/>
              </w:rPr>
              <w:t>7014</w:t>
            </w:r>
          </w:p>
        </w:tc>
        <w:tc>
          <w:tcPr>
            <w:tcW w:w="540" w:type="dxa"/>
            <w:hideMark/>
          </w:tcPr>
          <w:p w:rsidR="00685E20" w:rsidRPr="005B0796" w:rsidRDefault="00685E20" w:rsidP="00685E20">
            <w:pPr>
              <w:pStyle w:val="TableText"/>
              <w:jc w:val="right"/>
              <w:rPr>
                <w:lang w:eastAsia="en-AU"/>
              </w:rPr>
            </w:pPr>
            <w:r w:rsidRPr="005B0796">
              <w:rPr>
                <w:lang w:eastAsia="en-AU"/>
              </w:rPr>
              <w:t>13.5</w:t>
            </w:r>
          </w:p>
        </w:tc>
        <w:tc>
          <w:tcPr>
            <w:tcW w:w="817" w:type="dxa"/>
            <w:hideMark/>
          </w:tcPr>
          <w:p w:rsidR="00685E20" w:rsidRPr="005B0796" w:rsidRDefault="00685E20" w:rsidP="00685E20">
            <w:pPr>
              <w:pStyle w:val="TableText"/>
              <w:jc w:val="right"/>
              <w:rPr>
                <w:lang w:eastAsia="en-AU"/>
              </w:rPr>
            </w:pPr>
            <w:r w:rsidRPr="005B0796">
              <w:rPr>
                <w:lang w:eastAsia="en-AU"/>
              </w:rPr>
              <w:t>11.1, 16.2</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Raped</w:t>
            </w:r>
          </w:p>
        </w:tc>
        <w:tc>
          <w:tcPr>
            <w:tcW w:w="752" w:type="dxa"/>
            <w:hideMark/>
          </w:tcPr>
          <w:p w:rsidR="00685E20" w:rsidRPr="005B0796" w:rsidRDefault="00685E20" w:rsidP="00685E20">
            <w:pPr>
              <w:pStyle w:val="TableText"/>
              <w:jc w:val="right"/>
              <w:rPr>
                <w:lang w:eastAsia="en-AU"/>
              </w:rPr>
            </w:pPr>
            <w:r w:rsidRPr="005B0796">
              <w:rPr>
                <w:lang w:eastAsia="en-AU"/>
              </w:rPr>
              <w:t>916</w:t>
            </w:r>
          </w:p>
        </w:tc>
        <w:tc>
          <w:tcPr>
            <w:tcW w:w="630" w:type="dxa"/>
            <w:hideMark/>
          </w:tcPr>
          <w:p w:rsidR="00685E20" w:rsidRPr="005B0796" w:rsidRDefault="00685E20" w:rsidP="00685E20">
            <w:pPr>
              <w:pStyle w:val="TableText"/>
              <w:jc w:val="right"/>
              <w:rPr>
                <w:lang w:eastAsia="en-AU"/>
              </w:rPr>
            </w:pPr>
            <w:r w:rsidRPr="005B0796">
              <w:rPr>
                <w:lang w:eastAsia="en-AU"/>
              </w:rPr>
              <w:t>3.8</w:t>
            </w:r>
          </w:p>
        </w:tc>
        <w:tc>
          <w:tcPr>
            <w:tcW w:w="797" w:type="dxa"/>
            <w:hideMark/>
          </w:tcPr>
          <w:p w:rsidR="00685E20" w:rsidRPr="005B0796" w:rsidRDefault="00685E20" w:rsidP="00685E20">
            <w:pPr>
              <w:pStyle w:val="TableText"/>
              <w:jc w:val="right"/>
              <w:rPr>
                <w:lang w:eastAsia="en-AU"/>
              </w:rPr>
            </w:pPr>
            <w:r w:rsidRPr="005B0796">
              <w:rPr>
                <w:lang w:eastAsia="en-AU"/>
              </w:rPr>
              <w:t>3.2, 4.5</w:t>
            </w:r>
          </w:p>
        </w:tc>
        <w:tc>
          <w:tcPr>
            <w:tcW w:w="823" w:type="dxa"/>
            <w:hideMark/>
          </w:tcPr>
          <w:p w:rsidR="00685E20" w:rsidRPr="005B0796" w:rsidRDefault="00685E20" w:rsidP="00685E20">
            <w:pPr>
              <w:pStyle w:val="TableText"/>
              <w:jc w:val="right"/>
              <w:rPr>
                <w:lang w:eastAsia="en-AU"/>
              </w:rPr>
            </w:pPr>
            <w:r w:rsidRPr="005B0796">
              <w:rPr>
                <w:lang w:eastAsia="en-AU"/>
              </w:rPr>
              <w:t>1254</w:t>
            </w:r>
          </w:p>
        </w:tc>
        <w:tc>
          <w:tcPr>
            <w:tcW w:w="540" w:type="dxa"/>
            <w:hideMark/>
          </w:tcPr>
          <w:p w:rsidR="00685E20" w:rsidRPr="005B0796" w:rsidRDefault="00685E20" w:rsidP="00685E20">
            <w:pPr>
              <w:pStyle w:val="TableText"/>
              <w:jc w:val="right"/>
              <w:rPr>
                <w:lang w:eastAsia="en-AU"/>
              </w:rPr>
            </w:pPr>
            <w:r w:rsidRPr="005B0796">
              <w:rPr>
                <w:lang w:eastAsia="en-AU"/>
              </w:rPr>
              <w:t>2.4</w:t>
            </w:r>
          </w:p>
        </w:tc>
        <w:tc>
          <w:tcPr>
            <w:tcW w:w="817" w:type="dxa"/>
            <w:hideMark/>
          </w:tcPr>
          <w:p w:rsidR="00685E20" w:rsidRPr="005B0796" w:rsidRDefault="00685E20" w:rsidP="00685E20">
            <w:pPr>
              <w:pStyle w:val="TableText"/>
              <w:jc w:val="right"/>
              <w:rPr>
                <w:lang w:eastAsia="en-AU"/>
              </w:rPr>
            </w:pPr>
            <w:r w:rsidRPr="005B0796">
              <w:rPr>
                <w:lang w:eastAsia="en-AU"/>
              </w:rPr>
              <w:t>1.6, 3.6</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Sexually assaulted</w:t>
            </w:r>
          </w:p>
        </w:tc>
        <w:tc>
          <w:tcPr>
            <w:tcW w:w="752" w:type="dxa"/>
            <w:hideMark/>
          </w:tcPr>
          <w:p w:rsidR="00685E20" w:rsidRPr="005B0796" w:rsidRDefault="00685E20" w:rsidP="00685E20">
            <w:pPr>
              <w:pStyle w:val="TableText"/>
              <w:jc w:val="right"/>
              <w:rPr>
                <w:lang w:eastAsia="en-AU"/>
              </w:rPr>
            </w:pPr>
            <w:r w:rsidRPr="005B0796">
              <w:rPr>
                <w:lang w:eastAsia="en-AU"/>
              </w:rPr>
              <w:t>1773</w:t>
            </w:r>
          </w:p>
        </w:tc>
        <w:tc>
          <w:tcPr>
            <w:tcW w:w="630" w:type="dxa"/>
            <w:hideMark/>
          </w:tcPr>
          <w:p w:rsidR="00685E20" w:rsidRPr="005B0796" w:rsidRDefault="00685E20" w:rsidP="00685E20">
            <w:pPr>
              <w:pStyle w:val="TableText"/>
              <w:jc w:val="right"/>
              <w:rPr>
                <w:lang w:eastAsia="en-AU"/>
              </w:rPr>
            </w:pPr>
            <w:r w:rsidRPr="005B0796">
              <w:rPr>
                <w:lang w:eastAsia="en-AU"/>
              </w:rPr>
              <w:t>7.3</w:t>
            </w:r>
          </w:p>
        </w:tc>
        <w:tc>
          <w:tcPr>
            <w:tcW w:w="797" w:type="dxa"/>
            <w:hideMark/>
          </w:tcPr>
          <w:p w:rsidR="00685E20" w:rsidRPr="005B0796" w:rsidRDefault="00685E20" w:rsidP="00685E20">
            <w:pPr>
              <w:pStyle w:val="TableText"/>
              <w:jc w:val="right"/>
              <w:rPr>
                <w:lang w:eastAsia="en-AU"/>
              </w:rPr>
            </w:pPr>
            <w:r w:rsidRPr="005B0796">
              <w:rPr>
                <w:lang w:eastAsia="en-AU"/>
              </w:rPr>
              <w:t>6.5, 8.2</w:t>
            </w:r>
          </w:p>
        </w:tc>
        <w:tc>
          <w:tcPr>
            <w:tcW w:w="823" w:type="dxa"/>
            <w:hideMark/>
          </w:tcPr>
          <w:p w:rsidR="00685E20" w:rsidRPr="005B0796" w:rsidRDefault="00685E20" w:rsidP="00685E20">
            <w:pPr>
              <w:pStyle w:val="TableText"/>
              <w:jc w:val="right"/>
              <w:rPr>
                <w:lang w:eastAsia="en-AU"/>
              </w:rPr>
            </w:pPr>
            <w:r w:rsidRPr="005B0796">
              <w:rPr>
                <w:lang w:eastAsia="en-AU"/>
              </w:rPr>
              <w:t>2703</w:t>
            </w:r>
          </w:p>
        </w:tc>
        <w:tc>
          <w:tcPr>
            <w:tcW w:w="540" w:type="dxa"/>
            <w:hideMark/>
          </w:tcPr>
          <w:p w:rsidR="00685E20" w:rsidRPr="005B0796" w:rsidRDefault="00685E20" w:rsidP="00685E20">
            <w:pPr>
              <w:pStyle w:val="TableText"/>
              <w:jc w:val="right"/>
              <w:rPr>
                <w:lang w:eastAsia="en-AU"/>
              </w:rPr>
            </w:pPr>
            <w:r w:rsidRPr="005B0796">
              <w:rPr>
                <w:lang w:eastAsia="en-AU"/>
              </w:rPr>
              <w:t>5.2</w:t>
            </w:r>
          </w:p>
        </w:tc>
        <w:tc>
          <w:tcPr>
            <w:tcW w:w="817" w:type="dxa"/>
            <w:hideMark/>
          </w:tcPr>
          <w:p w:rsidR="00685E20" w:rsidRPr="005B0796" w:rsidRDefault="00685E20" w:rsidP="00685E20">
            <w:pPr>
              <w:pStyle w:val="TableText"/>
              <w:jc w:val="right"/>
              <w:rPr>
                <w:lang w:eastAsia="en-AU"/>
              </w:rPr>
            </w:pPr>
            <w:r w:rsidRPr="005B0796">
              <w:rPr>
                <w:lang w:eastAsia="en-AU"/>
              </w:rPr>
              <w:t>4.1, 6.6</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Stalked</w:t>
            </w:r>
          </w:p>
        </w:tc>
        <w:tc>
          <w:tcPr>
            <w:tcW w:w="752" w:type="dxa"/>
            <w:hideMark/>
          </w:tcPr>
          <w:p w:rsidR="00685E20" w:rsidRPr="005B0796" w:rsidRDefault="00685E20" w:rsidP="00685E20">
            <w:pPr>
              <w:pStyle w:val="TableText"/>
              <w:jc w:val="right"/>
              <w:rPr>
                <w:lang w:eastAsia="en-AU"/>
              </w:rPr>
            </w:pPr>
            <w:r w:rsidRPr="005B0796">
              <w:rPr>
                <w:lang w:eastAsia="en-AU"/>
              </w:rPr>
              <w:t>1302</w:t>
            </w:r>
          </w:p>
        </w:tc>
        <w:tc>
          <w:tcPr>
            <w:tcW w:w="630" w:type="dxa"/>
            <w:hideMark/>
          </w:tcPr>
          <w:p w:rsidR="00685E20" w:rsidRPr="005B0796" w:rsidRDefault="00685E20" w:rsidP="00685E20">
            <w:pPr>
              <w:pStyle w:val="TableText"/>
              <w:jc w:val="right"/>
              <w:rPr>
                <w:lang w:eastAsia="en-AU"/>
              </w:rPr>
            </w:pPr>
            <w:r w:rsidRPr="005B0796">
              <w:rPr>
                <w:lang w:eastAsia="en-AU"/>
              </w:rPr>
              <w:t>5.3</w:t>
            </w:r>
          </w:p>
        </w:tc>
        <w:tc>
          <w:tcPr>
            <w:tcW w:w="797" w:type="dxa"/>
            <w:hideMark/>
          </w:tcPr>
          <w:p w:rsidR="00685E20" w:rsidRPr="005B0796" w:rsidRDefault="00685E20" w:rsidP="00685E20">
            <w:pPr>
              <w:pStyle w:val="TableText"/>
              <w:jc w:val="right"/>
              <w:rPr>
                <w:lang w:eastAsia="en-AU"/>
              </w:rPr>
            </w:pPr>
            <w:r w:rsidRPr="005B0796">
              <w:rPr>
                <w:lang w:eastAsia="en-AU"/>
              </w:rPr>
              <w:t>4.6, 6.2</w:t>
            </w:r>
          </w:p>
        </w:tc>
        <w:tc>
          <w:tcPr>
            <w:tcW w:w="823" w:type="dxa"/>
            <w:hideMark/>
          </w:tcPr>
          <w:p w:rsidR="00685E20" w:rsidRPr="005B0796" w:rsidRDefault="00685E20" w:rsidP="00685E20">
            <w:pPr>
              <w:pStyle w:val="TableText"/>
              <w:jc w:val="right"/>
              <w:rPr>
                <w:lang w:eastAsia="en-AU"/>
              </w:rPr>
            </w:pPr>
            <w:r w:rsidRPr="005B0796">
              <w:rPr>
                <w:lang w:eastAsia="en-AU"/>
              </w:rPr>
              <w:t>1644</w:t>
            </w:r>
          </w:p>
        </w:tc>
        <w:tc>
          <w:tcPr>
            <w:tcW w:w="540" w:type="dxa"/>
            <w:hideMark/>
          </w:tcPr>
          <w:p w:rsidR="00685E20" w:rsidRPr="005B0796" w:rsidRDefault="00685E20" w:rsidP="00685E20">
            <w:pPr>
              <w:pStyle w:val="TableText"/>
              <w:jc w:val="right"/>
              <w:rPr>
                <w:lang w:eastAsia="en-AU"/>
              </w:rPr>
            </w:pPr>
            <w:r w:rsidRPr="005B0796">
              <w:rPr>
                <w:lang w:eastAsia="en-AU"/>
              </w:rPr>
              <w:t>3.2</w:t>
            </w:r>
          </w:p>
        </w:tc>
        <w:tc>
          <w:tcPr>
            <w:tcW w:w="817" w:type="dxa"/>
            <w:hideMark/>
          </w:tcPr>
          <w:p w:rsidR="00685E20" w:rsidRPr="005B0796" w:rsidRDefault="00685E20" w:rsidP="00685E20">
            <w:pPr>
              <w:pStyle w:val="TableText"/>
              <w:jc w:val="right"/>
              <w:rPr>
                <w:lang w:eastAsia="en-AU"/>
              </w:rPr>
            </w:pPr>
            <w:r w:rsidRPr="005B0796">
              <w:rPr>
                <w:lang w:eastAsia="en-AU"/>
              </w:rPr>
              <w:t>2.3, 4.4</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Someone close died unexpectedly</w:t>
            </w:r>
          </w:p>
        </w:tc>
        <w:tc>
          <w:tcPr>
            <w:tcW w:w="752" w:type="dxa"/>
            <w:hideMark/>
          </w:tcPr>
          <w:p w:rsidR="00685E20" w:rsidRPr="005B0796" w:rsidRDefault="00685E20" w:rsidP="00685E20">
            <w:pPr>
              <w:pStyle w:val="TableText"/>
              <w:jc w:val="right"/>
              <w:rPr>
                <w:lang w:eastAsia="en-AU"/>
              </w:rPr>
            </w:pPr>
            <w:r w:rsidRPr="005B0796">
              <w:rPr>
                <w:lang w:eastAsia="en-AU"/>
              </w:rPr>
              <w:t>7127</w:t>
            </w:r>
          </w:p>
        </w:tc>
        <w:tc>
          <w:tcPr>
            <w:tcW w:w="630" w:type="dxa"/>
            <w:hideMark/>
          </w:tcPr>
          <w:p w:rsidR="00685E20" w:rsidRPr="005B0796" w:rsidRDefault="00685E20" w:rsidP="00685E20">
            <w:pPr>
              <w:pStyle w:val="TableText"/>
              <w:jc w:val="right"/>
              <w:rPr>
                <w:lang w:eastAsia="en-AU"/>
              </w:rPr>
            </w:pPr>
            <w:r w:rsidRPr="005B0796">
              <w:rPr>
                <w:lang w:eastAsia="en-AU"/>
              </w:rPr>
              <w:t>29.1</w:t>
            </w:r>
          </w:p>
        </w:tc>
        <w:tc>
          <w:tcPr>
            <w:tcW w:w="797" w:type="dxa"/>
            <w:hideMark/>
          </w:tcPr>
          <w:p w:rsidR="00685E20" w:rsidRPr="005B0796" w:rsidRDefault="00685E20" w:rsidP="00685E20">
            <w:pPr>
              <w:pStyle w:val="TableText"/>
              <w:jc w:val="right"/>
              <w:rPr>
                <w:lang w:eastAsia="en-AU"/>
              </w:rPr>
            </w:pPr>
            <w:r w:rsidRPr="005B0796">
              <w:rPr>
                <w:lang w:eastAsia="en-AU"/>
              </w:rPr>
              <w:t>27.5, 30.9</w:t>
            </w:r>
          </w:p>
        </w:tc>
        <w:tc>
          <w:tcPr>
            <w:tcW w:w="823" w:type="dxa"/>
            <w:hideMark/>
          </w:tcPr>
          <w:p w:rsidR="00685E20" w:rsidRPr="005B0796" w:rsidRDefault="00685E20" w:rsidP="00685E20">
            <w:pPr>
              <w:pStyle w:val="TableText"/>
              <w:jc w:val="right"/>
              <w:rPr>
                <w:lang w:eastAsia="en-AU"/>
              </w:rPr>
            </w:pPr>
            <w:r w:rsidRPr="005B0796">
              <w:rPr>
                <w:lang w:eastAsia="en-AU"/>
              </w:rPr>
              <w:t>12,729</w:t>
            </w:r>
          </w:p>
        </w:tc>
        <w:tc>
          <w:tcPr>
            <w:tcW w:w="540" w:type="dxa"/>
            <w:hideMark/>
          </w:tcPr>
          <w:p w:rsidR="00685E20" w:rsidRPr="005B0796" w:rsidRDefault="00685E20" w:rsidP="00685E20">
            <w:pPr>
              <w:pStyle w:val="TableText"/>
              <w:jc w:val="right"/>
              <w:rPr>
                <w:lang w:eastAsia="en-AU"/>
              </w:rPr>
            </w:pPr>
            <w:r w:rsidRPr="005B0796">
              <w:rPr>
                <w:lang w:eastAsia="en-AU"/>
              </w:rPr>
              <w:t>24.4</w:t>
            </w:r>
          </w:p>
        </w:tc>
        <w:tc>
          <w:tcPr>
            <w:tcW w:w="817" w:type="dxa"/>
            <w:hideMark/>
          </w:tcPr>
          <w:p w:rsidR="00685E20" w:rsidRPr="005B0796" w:rsidRDefault="00685E20" w:rsidP="00685E20">
            <w:pPr>
              <w:pStyle w:val="TableText"/>
              <w:jc w:val="right"/>
              <w:rPr>
                <w:lang w:eastAsia="en-AU"/>
              </w:rPr>
            </w:pPr>
            <w:r w:rsidRPr="005B0796">
              <w:rPr>
                <w:lang w:eastAsia="en-AU"/>
              </w:rPr>
              <w:t>21.6, 27.5</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Child had life-threatening illness/injury</w:t>
            </w:r>
          </w:p>
        </w:tc>
        <w:tc>
          <w:tcPr>
            <w:tcW w:w="752" w:type="dxa"/>
            <w:hideMark/>
          </w:tcPr>
          <w:p w:rsidR="00685E20" w:rsidRPr="005B0796" w:rsidRDefault="00685E20" w:rsidP="00685E20">
            <w:pPr>
              <w:pStyle w:val="TableText"/>
              <w:jc w:val="right"/>
              <w:rPr>
                <w:lang w:eastAsia="en-AU"/>
              </w:rPr>
            </w:pPr>
            <w:r w:rsidRPr="005B0796">
              <w:rPr>
                <w:lang w:eastAsia="en-AU"/>
              </w:rPr>
              <w:t>900</w:t>
            </w:r>
          </w:p>
        </w:tc>
        <w:tc>
          <w:tcPr>
            <w:tcW w:w="630" w:type="dxa"/>
            <w:hideMark/>
          </w:tcPr>
          <w:p w:rsidR="00685E20" w:rsidRPr="005B0796" w:rsidRDefault="00685E20" w:rsidP="00685E20">
            <w:pPr>
              <w:pStyle w:val="TableText"/>
              <w:jc w:val="right"/>
              <w:rPr>
                <w:lang w:eastAsia="en-AU"/>
              </w:rPr>
            </w:pPr>
            <w:r w:rsidRPr="005B0796">
              <w:rPr>
                <w:lang w:eastAsia="en-AU"/>
              </w:rPr>
              <w:t>3.7</w:t>
            </w:r>
          </w:p>
        </w:tc>
        <w:tc>
          <w:tcPr>
            <w:tcW w:w="797" w:type="dxa"/>
            <w:hideMark/>
          </w:tcPr>
          <w:p w:rsidR="00685E20" w:rsidRPr="005B0796" w:rsidRDefault="00685E20" w:rsidP="00685E20">
            <w:pPr>
              <w:pStyle w:val="TableText"/>
              <w:jc w:val="right"/>
              <w:rPr>
                <w:lang w:eastAsia="en-AU"/>
              </w:rPr>
            </w:pPr>
            <w:r w:rsidRPr="005B0796">
              <w:rPr>
                <w:lang w:eastAsia="en-AU"/>
              </w:rPr>
              <w:t>3.2, 4.3</w:t>
            </w:r>
          </w:p>
        </w:tc>
        <w:tc>
          <w:tcPr>
            <w:tcW w:w="823" w:type="dxa"/>
            <w:hideMark/>
          </w:tcPr>
          <w:p w:rsidR="00685E20" w:rsidRPr="005B0796" w:rsidRDefault="00685E20" w:rsidP="00685E20">
            <w:pPr>
              <w:pStyle w:val="TableText"/>
              <w:jc w:val="right"/>
              <w:rPr>
                <w:lang w:eastAsia="en-AU"/>
              </w:rPr>
            </w:pPr>
            <w:r w:rsidRPr="005B0796">
              <w:rPr>
                <w:lang w:eastAsia="en-AU"/>
              </w:rPr>
              <w:t>2149</w:t>
            </w:r>
          </w:p>
        </w:tc>
        <w:tc>
          <w:tcPr>
            <w:tcW w:w="540" w:type="dxa"/>
            <w:hideMark/>
          </w:tcPr>
          <w:p w:rsidR="00685E20" w:rsidRPr="005B0796" w:rsidRDefault="00685E20" w:rsidP="00685E20">
            <w:pPr>
              <w:pStyle w:val="TableText"/>
              <w:jc w:val="right"/>
              <w:rPr>
                <w:lang w:eastAsia="en-AU"/>
              </w:rPr>
            </w:pPr>
            <w:r w:rsidRPr="005B0796">
              <w:rPr>
                <w:lang w:eastAsia="en-AU"/>
              </w:rPr>
              <w:t>4.1</w:t>
            </w:r>
          </w:p>
        </w:tc>
        <w:tc>
          <w:tcPr>
            <w:tcW w:w="817" w:type="dxa"/>
            <w:hideMark/>
          </w:tcPr>
          <w:p w:rsidR="00685E20" w:rsidRPr="005B0796" w:rsidRDefault="00685E20" w:rsidP="00685E20">
            <w:pPr>
              <w:pStyle w:val="TableText"/>
              <w:jc w:val="right"/>
              <w:rPr>
                <w:lang w:eastAsia="en-AU"/>
              </w:rPr>
            </w:pPr>
            <w:r w:rsidRPr="005B0796">
              <w:rPr>
                <w:lang w:eastAsia="en-AU"/>
              </w:rPr>
              <w:t>3.1, 5.5</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Someone close had traumatic experience</w:t>
            </w:r>
          </w:p>
        </w:tc>
        <w:tc>
          <w:tcPr>
            <w:tcW w:w="752" w:type="dxa"/>
            <w:hideMark/>
          </w:tcPr>
          <w:p w:rsidR="00685E20" w:rsidRPr="005B0796" w:rsidRDefault="00685E20" w:rsidP="00685E20">
            <w:pPr>
              <w:pStyle w:val="TableText"/>
              <w:jc w:val="right"/>
              <w:rPr>
                <w:lang w:eastAsia="en-AU"/>
              </w:rPr>
            </w:pPr>
            <w:r w:rsidRPr="005B0796">
              <w:rPr>
                <w:lang w:eastAsia="en-AU"/>
              </w:rPr>
              <w:t>1928</w:t>
            </w:r>
          </w:p>
        </w:tc>
        <w:tc>
          <w:tcPr>
            <w:tcW w:w="630" w:type="dxa"/>
            <w:hideMark/>
          </w:tcPr>
          <w:p w:rsidR="00685E20" w:rsidRPr="005B0796" w:rsidRDefault="00685E20" w:rsidP="00685E20">
            <w:pPr>
              <w:pStyle w:val="TableText"/>
              <w:jc w:val="right"/>
              <w:rPr>
                <w:lang w:eastAsia="en-AU"/>
              </w:rPr>
            </w:pPr>
            <w:r w:rsidRPr="005B0796">
              <w:rPr>
                <w:lang w:eastAsia="en-AU"/>
              </w:rPr>
              <w:t>7.9</w:t>
            </w:r>
          </w:p>
        </w:tc>
        <w:tc>
          <w:tcPr>
            <w:tcW w:w="797" w:type="dxa"/>
            <w:hideMark/>
          </w:tcPr>
          <w:p w:rsidR="00685E20" w:rsidRPr="005B0796" w:rsidRDefault="00685E20" w:rsidP="00685E20">
            <w:pPr>
              <w:pStyle w:val="TableText"/>
              <w:jc w:val="right"/>
              <w:rPr>
                <w:lang w:eastAsia="en-AU"/>
              </w:rPr>
            </w:pPr>
            <w:r w:rsidRPr="005B0796">
              <w:rPr>
                <w:lang w:eastAsia="en-AU"/>
              </w:rPr>
              <w:t>6.9, 9.0</w:t>
            </w:r>
          </w:p>
        </w:tc>
        <w:tc>
          <w:tcPr>
            <w:tcW w:w="823" w:type="dxa"/>
            <w:hideMark/>
          </w:tcPr>
          <w:p w:rsidR="00685E20" w:rsidRPr="005B0796" w:rsidRDefault="00685E20" w:rsidP="00685E20">
            <w:pPr>
              <w:pStyle w:val="TableText"/>
              <w:jc w:val="right"/>
              <w:rPr>
                <w:lang w:eastAsia="en-AU"/>
              </w:rPr>
            </w:pPr>
            <w:r w:rsidRPr="005B0796">
              <w:rPr>
                <w:lang w:eastAsia="en-AU"/>
              </w:rPr>
              <w:t>3493</w:t>
            </w:r>
          </w:p>
        </w:tc>
        <w:tc>
          <w:tcPr>
            <w:tcW w:w="540" w:type="dxa"/>
            <w:hideMark/>
          </w:tcPr>
          <w:p w:rsidR="00685E20" w:rsidRPr="005B0796" w:rsidRDefault="00685E20" w:rsidP="00685E20">
            <w:pPr>
              <w:pStyle w:val="TableText"/>
              <w:jc w:val="right"/>
              <w:rPr>
                <w:lang w:eastAsia="en-AU"/>
              </w:rPr>
            </w:pPr>
            <w:r w:rsidRPr="005B0796">
              <w:rPr>
                <w:lang w:eastAsia="en-AU"/>
              </w:rPr>
              <w:t>6.7</w:t>
            </w:r>
          </w:p>
        </w:tc>
        <w:tc>
          <w:tcPr>
            <w:tcW w:w="817" w:type="dxa"/>
            <w:hideMark/>
          </w:tcPr>
          <w:p w:rsidR="00685E20" w:rsidRPr="005B0796" w:rsidRDefault="00685E20" w:rsidP="00685E20">
            <w:pPr>
              <w:pStyle w:val="TableText"/>
              <w:jc w:val="right"/>
              <w:rPr>
                <w:lang w:eastAsia="en-AU"/>
              </w:rPr>
            </w:pPr>
            <w:r w:rsidRPr="005B0796">
              <w:rPr>
                <w:lang w:eastAsia="en-AU"/>
              </w:rPr>
              <w:t>5.1, 8.9</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Saw someone badly injured/killed or unexpectedly saw a dead body</w:t>
            </w:r>
          </w:p>
        </w:tc>
        <w:tc>
          <w:tcPr>
            <w:tcW w:w="752" w:type="dxa"/>
            <w:hideMark/>
          </w:tcPr>
          <w:p w:rsidR="00685E20" w:rsidRPr="005B0796" w:rsidRDefault="00685E20" w:rsidP="00685E20">
            <w:pPr>
              <w:pStyle w:val="TableText"/>
              <w:jc w:val="right"/>
              <w:rPr>
                <w:lang w:eastAsia="en-AU"/>
              </w:rPr>
            </w:pPr>
            <w:r w:rsidRPr="005B0796">
              <w:rPr>
                <w:lang w:eastAsia="en-AU"/>
              </w:rPr>
              <w:t>9226</w:t>
            </w:r>
          </w:p>
        </w:tc>
        <w:tc>
          <w:tcPr>
            <w:tcW w:w="630" w:type="dxa"/>
            <w:hideMark/>
          </w:tcPr>
          <w:p w:rsidR="00685E20" w:rsidRPr="005B0796" w:rsidRDefault="00685E20" w:rsidP="00685E20">
            <w:pPr>
              <w:pStyle w:val="TableText"/>
              <w:jc w:val="right"/>
              <w:rPr>
                <w:lang w:eastAsia="en-AU"/>
              </w:rPr>
            </w:pPr>
            <w:r w:rsidRPr="005B0796">
              <w:rPr>
                <w:lang w:eastAsia="en-AU"/>
              </w:rPr>
              <w:t>37.8</w:t>
            </w:r>
          </w:p>
        </w:tc>
        <w:tc>
          <w:tcPr>
            <w:tcW w:w="797" w:type="dxa"/>
            <w:hideMark/>
          </w:tcPr>
          <w:p w:rsidR="00685E20" w:rsidRPr="005B0796" w:rsidRDefault="00685E20" w:rsidP="00685E20">
            <w:pPr>
              <w:pStyle w:val="TableText"/>
              <w:jc w:val="right"/>
              <w:rPr>
                <w:lang w:eastAsia="en-AU"/>
              </w:rPr>
            </w:pPr>
            <w:r w:rsidRPr="005B0796">
              <w:rPr>
                <w:lang w:eastAsia="en-AU"/>
              </w:rPr>
              <w:t>36.0, 39.7</w:t>
            </w:r>
          </w:p>
        </w:tc>
        <w:tc>
          <w:tcPr>
            <w:tcW w:w="823" w:type="dxa"/>
            <w:hideMark/>
          </w:tcPr>
          <w:p w:rsidR="00685E20" w:rsidRPr="005B0796" w:rsidRDefault="00685E20" w:rsidP="00685E20">
            <w:pPr>
              <w:pStyle w:val="TableText"/>
              <w:jc w:val="right"/>
              <w:rPr>
                <w:lang w:eastAsia="en-AU"/>
              </w:rPr>
            </w:pPr>
            <w:r w:rsidRPr="005B0796">
              <w:rPr>
                <w:lang w:eastAsia="en-AU"/>
              </w:rPr>
              <w:t>14,895</w:t>
            </w:r>
          </w:p>
        </w:tc>
        <w:tc>
          <w:tcPr>
            <w:tcW w:w="540" w:type="dxa"/>
            <w:hideMark/>
          </w:tcPr>
          <w:p w:rsidR="00685E20" w:rsidRPr="005B0796" w:rsidRDefault="00685E20" w:rsidP="00685E20">
            <w:pPr>
              <w:pStyle w:val="TableText"/>
              <w:jc w:val="right"/>
              <w:rPr>
                <w:lang w:eastAsia="en-AU"/>
              </w:rPr>
            </w:pPr>
            <w:r w:rsidRPr="005B0796">
              <w:rPr>
                <w:lang w:eastAsia="en-AU"/>
              </w:rPr>
              <w:t>28.8</w:t>
            </w:r>
          </w:p>
        </w:tc>
        <w:tc>
          <w:tcPr>
            <w:tcW w:w="817" w:type="dxa"/>
            <w:hideMark/>
          </w:tcPr>
          <w:p w:rsidR="00685E20" w:rsidRPr="005B0796" w:rsidRDefault="00685E20" w:rsidP="00685E20">
            <w:pPr>
              <w:pStyle w:val="TableText"/>
              <w:jc w:val="right"/>
              <w:rPr>
                <w:lang w:eastAsia="en-AU"/>
              </w:rPr>
            </w:pPr>
            <w:r w:rsidRPr="005B0796">
              <w:rPr>
                <w:lang w:eastAsia="en-AU"/>
              </w:rPr>
              <w:t>25.7, 32.1</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Accidently injured/killed someone</w:t>
            </w:r>
          </w:p>
        </w:tc>
        <w:tc>
          <w:tcPr>
            <w:tcW w:w="752" w:type="dxa"/>
            <w:hideMark/>
          </w:tcPr>
          <w:p w:rsidR="00685E20" w:rsidRPr="005B0796" w:rsidRDefault="00685E20" w:rsidP="00685E20">
            <w:pPr>
              <w:pStyle w:val="TableText"/>
              <w:jc w:val="right"/>
              <w:rPr>
                <w:lang w:eastAsia="en-AU"/>
              </w:rPr>
            </w:pPr>
            <w:r w:rsidRPr="005B0796">
              <w:rPr>
                <w:lang w:eastAsia="en-AU"/>
              </w:rPr>
              <w:t>981</w:t>
            </w:r>
          </w:p>
        </w:tc>
        <w:tc>
          <w:tcPr>
            <w:tcW w:w="630" w:type="dxa"/>
            <w:hideMark/>
          </w:tcPr>
          <w:p w:rsidR="00685E20" w:rsidRPr="005B0796" w:rsidRDefault="00685E20" w:rsidP="00685E20">
            <w:pPr>
              <w:pStyle w:val="TableText"/>
              <w:jc w:val="right"/>
              <w:rPr>
                <w:lang w:eastAsia="en-AU"/>
              </w:rPr>
            </w:pPr>
            <w:r w:rsidRPr="005B0796">
              <w:rPr>
                <w:lang w:eastAsia="en-AU"/>
              </w:rPr>
              <w:t>4.0</w:t>
            </w:r>
          </w:p>
        </w:tc>
        <w:tc>
          <w:tcPr>
            <w:tcW w:w="797" w:type="dxa"/>
            <w:hideMark/>
          </w:tcPr>
          <w:p w:rsidR="00685E20" w:rsidRPr="005B0796" w:rsidRDefault="00685E20" w:rsidP="00685E20">
            <w:pPr>
              <w:pStyle w:val="TableText"/>
              <w:jc w:val="right"/>
              <w:rPr>
                <w:lang w:eastAsia="en-AU"/>
              </w:rPr>
            </w:pPr>
            <w:r w:rsidRPr="005B0796">
              <w:rPr>
                <w:lang w:eastAsia="en-AU"/>
              </w:rPr>
              <w:t>3.4, 4.8</w:t>
            </w:r>
          </w:p>
        </w:tc>
        <w:tc>
          <w:tcPr>
            <w:tcW w:w="823" w:type="dxa"/>
            <w:hideMark/>
          </w:tcPr>
          <w:p w:rsidR="00685E20" w:rsidRPr="005B0796" w:rsidRDefault="00685E20" w:rsidP="00685E20">
            <w:pPr>
              <w:pStyle w:val="TableText"/>
              <w:jc w:val="right"/>
              <w:rPr>
                <w:lang w:eastAsia="en-AU"/>
              </w:rPr>
            </w:pPr>
            <w:r w:rsidRPr="005B0796">
              <w:rPr>
                <w:lang w:eastAsia="en-AU"/>
              </w:rPr>
              <w:t>1905</w:t>
            </w:r>
          </w:p>
        </w:tc>
        <w:tc>
          <w:tcPr>
            <w:tcW w:w="540" w:type="dxa"/>
            <w:hideMark/>
          </w:tcPr>
          <w:p w:rsidR="00685E20" w:rsidRPr="005B0796" w:rsidRDefault="00685E20" w:rsidP="00685E20">
            <w:pPr>
              <w:pStyle w:val="TableText"/>
              <w:jc w:val="right"/>
              <w:rPr>
                <w:lang w:eastAsia="en-AU"/>
              </w:rPr>
            </w:pPr>
            <w:r w:rsidRPr="005B0796">
              <w:rPr>
                <w:lang w:eastAsia="en-AU"/>
              </w:rPr>
              <w:t>3.7</w:t>
            </w:r>
          </w:p>
        </w:tc>
        <w:tc>
          <w:tcPr>
            <w:tcW w:w="817" w:type="dxa"/>
            <w:hideMark/>
          </w:tcPr>
          <w:p w:rsidR="00685E20" w:rsidRPr="005B0796" w:rsidRDefault="00685E20" w:rsidP="00685E20">
            <w:pPr>
              <w:pStyle w:val="TableText"/>
              <w:jc w:val="right"/>
              <w:rPr>
                <w:lang w:eastAsia="en-AU"/>
              </w:rPr>
            </w:pPr>
            <w:r w:rsidRPr="005B0796">
              <w:rPr>
                <w:lang w:eastAsia="en-AU"/>
              </w:rPr>
              <w:t>2.5, 5.4</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Purposely injured/tortured/killed someone</w:t>
            </w:r>
          </w:p>
        </w:tc>
        <w:tc>
          <w:tcPr>
            <w:tcW w:w="752" w:type="dxa"/>
            <w:hideMark/>
          </w:tcPr>
          <w:p w:rsidR="00685E20" w:rsidRPr="005B0796" w:rsidRDefault="00685E20" w:rsidP="00685E20">
            <w:pPr>
              <w:pStyle w:val="TableText"/>
              <w:jc w:val="right"/>
              <w:rPr>
                <w:lang w:eastAsia="en-AU"/>
              </w:rPr>
            </w:pPr>
            <w:r w:rsidRPr="005B0796">
              <w:rPr>
                <w:lang w:eastAsia="en-AU"/>
              </w:rPr>
              <w:t>1157</w:t>
            </w:r>
          </w:p>
        </w:tc>
        <w:tc>
          <w:tcPr>
            <w:tcW w:w="630" w:type="dxa"/>
            <w:hideMark/>
          </w:tcPr>
          <w:p w:rsidR="00685E20" w:rsidRPr="005B0796" w:rsidRDefault="00685E20" w:rsidP="00685E20">
            <w:pPr>
              <w:pStyle w:val="TableText"/>
              <w:jc w:val="right"/>
              <w:rPr>
                <w:lang w:eastAsia="en-AU"/>
              </w:rPr>
            </w:pPr>
            <w:r w:rsidRPr="005B0796">
              <w:rPr>
                <w:lang w:eastAsia="en-AU"/>
              </w:rPr>
              <w:t>4.8</w:t>
            </w:r>
          </w:p>
        </w:tc>
        <w:tc>
          <w:tcPr>
            <w:tcW w:w="797" w:type="dxa"/>
            <w:hideMark/>
          </w:tcPr>
          <w:p w:rsidR="00685E20" w:rsidRPr="005B0796" w:rsidRDefault="00685E20" w:rsidP="00685E20">
            <w:pPr>
              <w:pStyle w:val="TableText"/>
              <w:jc w:val="right"/>
              <w:rPr>
                <w:lang w:eastAsia="en-AU"/>
              </w:rPr>
            </w:pPr>
            <w:r w:rsidRPr="005B0796">
              <w:rPr>
                <w:lang w:eastAsia="en-AU"/>
              </w:rPr>
              <w:t>3.9, 5.7</w:t>
            </w:r>
          </w:p>
        </w:tc>
        <w:tc>
          <w:tcPr>
            <w:tcW w:w="823" w:type="dxa"/>
            <w:hideMark/>
          </w:tcPr>
          <w:p w:rsidR="00685E20" w:rsidRPr="005B0796" w:rsidRDefault="00685E20" w:rsidP="00685E20">
            <w:pPr>
              <w:pStyle w:val="TableText"/>
              <w:jc w:val="right"/>
              <w:rPr>
                <w:lang w:eastAsia="en-AU"/>
              </w:rPr>
            </w:pPr>
            <w:r w:rsidRPr="005B0796">
              <w:rPr>
                <w:lang w:eastAsia="en-AU"/>
              </w:rPr>
              <w:t>1021</w:t>
            </w:r>
          </w:p>
        </w:tc>
        <w:tc>
          <w:tcPr>
            <w:tcW w:w="540" w:type="dxa"/>
            <w:hideMark/>
          </w:tcPr>
          <w:p w:rsidR="00685E20" w:rsidRPr="005B0796" w:rsidRDefault="00685E20" w:rsidP="00685E20">
            <w:pPr>
              <w:pStyle w:val="TableText"/>
              <w:jc w:val="right"/>
              <w:rPr>
                <w:lang w:eastAsia="en-AU"/>
              </w:rPr>
            </w:pPr>
            <w:r w:rsidRPr="005B0796">
              <w:rPr>
                <w:lang w:eastAsia="en-AU"/>
              </w:rPr>
              <w:t>1.9</w:t>
            </w:r>
          </w:p>
        </w:tc>
        <w:tc>
          <w:tcPr>
            <w:tcW w:w="817" w:type="dxa"/>
            <w:hideMark/>
          </w:tcPr>
          <w:p w:rsidR="00685E20" w:rsidRPr="005B0796" w:rsidRDefault="00685E20" w:rsidP="00685E20">
            <w:pPr>
              <w:pStyle w:val="TableText"/>
              <w:jc w:val="right"/>
              <w:rPr>
                <w:lang w:eastAsia="en-AU"/>
              </w:rPr>
            </w:pPr>
            <w:r w:rsidRPr="005B0796">
              <w:rPr>
                <w:lang w:eastAsia="en-AU"/>
              </w:rPr>
              <w:t>1.2, 3.4</w:t>
            </w:r>
          </w:p>
        </w:tc>
      </w:tr>
      <w:tr w:rsidR="00685E20" w:rsidRPr="005B0796" w:rsidTr="00685E20">
        <w:trPr>
          <w:cnfStyle w:val="000000100000" w:firstRow="0" w:lastRow="0" w:firstColumn="0" w:lastColumn="0" w:oddVBand="0" w:evenVBand="0" w:oddHBand="1" w:evenHBand="0" w:firstRowFirstColumn="0" w:firstRowLastColumn="0" w:lastRowFirstColumn="0" w:lastRowLastColumn="0"/>
        </w:trPr>
        <w:tc>
          <w:tcPr>
            <w:tcW w:w="2956" w:type="dxa"/>
            <w:hideMark/>
          </w:tcPr>
          <w:p w:rsidR="00685E20" w:rsidRPr="005B0796" w:rsidRDefault="00685E20" w:rsidP="00C11D51">
            <w:pPr>
              <w:pStyle w:val="TableText"/>
              <w:rPr>
                <w:rFonts w:eastAsia="Times New Roman"/>
                <w:lang w:eastAsia="en-AU"/>
              </w:rPr>
            </w:pPr>
            <w:r w:rsidRPr="005B0796">
              <w:rPr>
                <w:lang w:eastAsia="en-AU"/>
              </w:rPr>
              <w:t>Saw atrocities or carnage such as mutilated bodies or mass killings</w:t>
            </w:r>
          </w:p>
        </w:tc>
        <w:tc>
          <w:tcPr>
            <w:tcW w:w="752" w:type="dxa"/>
            <w:hideMark/>
          </w:tcPr>
          <w:p w:rsidR="00685E20" w:rsidRPr="005B0796" w:rsidRDefault="00685E20" w:rsidP="00685E20">
            <w:pPr>
              <w:pStyle w:val="TableText"/>
              <w:jc w:val="right"/>
              <w:rPr>
                <w:lang w:eastAsia="en-AU"/>
              </w:rPr>
            </w:pPr>
            <w:r w:rsidRPr="005B0796">
              <w:rPr>
                <w:lang w:eastAsia="en-AU"/>
              </w:rPr>
              <w:t>2837</w:t>
            </w:r>
          </w:p>
        </w:tc>
        <w:tc>
          <w:tcPr>
            <w:tcW w:w="630" w:type="dxa"/>
            <w:hideMark/>
          </w:tcPr>
          <w:p w:rsidR="00685E20" w:rsidRPr="005B0796" w:rsidRDefault="00685E20" w:rsidP="00685E20">
            <w:pPr>
              <w:pStyle w:val="TableText"/>
              <w:jc w:val="right"/>
              <w:rPr>
                <w:lang w:eastAsia="en-AU"/>
              </w:rPr>
            </w:pPr>
            <w:r w:rsidRPr="005B0796">
              <w:rPr>
                <w:lang w:eastAsia="en-AU"/>
              </w:rPr>
              <w:t>11.6</w:t>
            </w:r>
          </w:p>
        </w:tc>
        <w:tc>
          <w:tcPr>
            <w:tcW w:w="797" w:type="dxa"/>
            <w:hideMark/>
          </w:tcPr>
          <w:p w:rsidR="00685E20" w:rsidRPr="005B0796" w:rsidRDefault="00685E20" w:rsidP="00685E20">
            <w:pPr>
              <w:pStyle w:val="TableText"/>
              <w:jc w:val="right"/>
              <w:rPr>
                <w:lang w:eastAsia="en-AU"/>
              </w:rPr>
            </w:pPr>
            <w:r w:rsidRPr="005B0796">
              <w:rPr>
                <w:lang w:eastAsia="en-AU"/>
              </w:rPr>
              <w:t>10.5, 12.8</w:t>
            </w:r>
          </w:p>
        </w:tc>
        <w:tc>
          <w:tcPr>
            <w:tcW w:w="823" w:type="dxa"/>
            <w:hideMark/>
          </w:tcPr>
          <w:p w:rsidR="00685E20" w:rsidRPr="005B0796" w:rsidRDefault="00685E20" w:rsidP="00685E20">
            <w:pPr>
              <w:pStyle w:val="TableText"/>
              <w:jc w:val="right"/>
              <w:rPr>
                <w:lang w:eastAsia="en-AU"/>
              </w:rPr>
            </w:pPr>
            <w:r w:rsidRPr="005B0796">
              <w:rPr>
                <w:lang w:eastAsia="en-AU"/>
              </w:rPr>
              <w:t>4006</w:t>
            </w:r>
          </w:p>
        </w:tc>
        <w:tc>
          <w:tcPr>
            <w:tcW w:w="540" w:type="dxa"/>
            <w:hideMark/>
          </w:tcPr>
          <w:p w:rsidR="00685E20" w:rsidRPr="005B0796" w:rsidRDefault="00685E20" w:rsidP="00685E20">
            <w:pPr>
              <w:pStyle w:val="TableText"/>
              <w:jc w:val="right"/>
              <w:rPr>
                <w:lang w:eastAsia="en-AU"/>
              </w:rPr>
            </w:pPr>
            <w:r w:rsidRPr="005B0796">
              <w:rPr>
                <w:lang w:eastAsia="en-AU"/>
              </w:rPr>
              <w:t>7.7</w:t>
            </w:r>
          </w:p>
        </w:tc>
        <w:tc>
          <w:tcPr>
            <w:tcW w:w="817" w:type="dxa"/>
            <w:hideMark/>
          </w:tcPr>
          <w:p w:rsidR="00685E20" w:rsidRPr="005B0796" w:rsidRDefault="00685E20" w:rsidP="00685E20">
            <w:pPr>
              <w:pStyle w:val="TableText"/>
              <w:jc w:val="right"/>
              <w:rPr>
                <w:lang w:eastAsia="en-AU"/>
              </w:rPr>
            </w:pPr>
            <w:r w:rsidRPr="005B0796">
              <w:rPr>
                <w:lang w:eastAsia="en-AU"/>
              </w:rPr>
              <w:t>6.2, 9.7</w:t>
            </w:r>
          </w:p>
        </w:tc>
      </w:tr>
      <w:tr w:rsidR="00685E20" w:rsidRPr="005B0796" w:rsidTr="00685E20">
        <w:tc>
          <w:tcPr>
            <w:tcW w:w="2956" w:type="dxa"/>
            <w:hideMark/>
          </w:tcPr>
          <w:p w:rsidR="00685E20" w:rsidRPr="005B0796" w:rsidRDefault="00685E20" w:rsidP="00C11D51">
            <w:pPr>
              <w:pStyle w:val="TableText"/>
              <w:rPr>
                <w:rFonts w:eastAsia="Times New Roman"/>
                <w:lang w:eastAsia="en-AU"/>
              </w:rPr>
            </w:pPr>
            <w:r w:rsidRPr="005B0796">
              <w:rPr>
                <w:lang w:eastAsia="en-AU"/>
              </w:rPr>
              <w:t>Other traumatic event</w:t>
            </w:r>
          </w:p>
        </w:tc>
        <w:tc>
          <w:tcPr>
            <w:tcW w:w="752" w:type="dxa"/>
            <w:hideMark/>
          </w:tcPr>
          <w:p w:rsidR="00685E20" w:rsidRPr="005B0796" w:rsidRDefault="00685E20" w:rsidP="00685E20">
            <w:pPr>
              <w:pStyle w:val="TableText"/>
              <w:jc w:val="right"/>
              <w:rPr>
                <w:lang w:eastAsia="en-AU"/>
              </w:rPr>
            </w:pPr>
            <w:r w:rsidRPr="005B0796">
              <w:rPr>
                <w:lang w:eastAsia="en-AU"/>
              </w:rPr>
              <w:t>2820</w:t>
            </w:r>
          </w:p>
        </w:tc>
        <w:tc>
          <w:tcPr>
            <w:tcW w:w="630" w:type="dxa"/>
            <w:hideMark/>
          </w:tcPr>
          <w:p w:rsidR="00685E20" w:rsidRPr="005B0796" w:rsidRDefault="00685E20" w:rsidP="00685E20">
            <w:pPr>
              <w:pStyle w:val="TableText"/>
              <w:jc w:val="right"/>
              <w:rPr>
                <w:lang w:eastAsia="en-AU"/>
              </w:rPr>
            </w:pPr>
            <w:r w:rsidRPr="005B0796">
              <w:rPr>
                <w:lang w:eastAsia="en-AU"/>
              </w:rPr>
              <w:t>11.7</w:t>
            </w:r>
          </w:p>
        </w:tc>
        <w:tc>
          <w:tcPr>
            <w:tcW w:w="797" w:type="dxa"/>
            <w:hideMark/>
          </w:tcPr>
          <w:p w:rsidR="00685E20" w:rsidRPr="005B0796" w:rsidRDefault="00685E20" w:rsidP="00685E20">
            <w:pPr>
              <w:pStyle w:val="TableText"/>
              <w:jc w:val="right"/>
              <w:rPr>
                <w:lang w:eastAsia="en-AU"/>
              </w:rPr>
            </w:pPr>
            <w:r w:rsidRPr="005B0796">
              <w:rPr>
                <w:lang w:eastAsia="en-AU"/>
              </w:rPr>
              <w:t>10.6, 12.9</w:t>
            </w:r>
          </w:p>
        </w:tc>
        <w:tc>
          <w:tcPr>
            <w:tcW w:w="823" w:type="dxa"/>
            <w:hideMark/>
          </w:tcPr>
          <w:p w:rsidR="00685E20" w:rsidRPr="005B0796" w:rsidRDefault="00685E20" w:rsidP="00685E20">
            <w:pPr>
              <w:pStyle w:val="TableText"/>
              <w:jc w:val="right"/>
              <w:rPr>
                <w:lang w:eastAsia="en-AU"/>
              </w:rPr>
            </w:pPr>
            <w:r w:rsidRPr="005B0796">
              <w:rPr>
                <w:lang w:eastAsia="en-AU"/>
              </w:rPr>
              <w:t>4409</w:t>
            </w:r>
          </w:p>
        </w:tc>
        <w:tc>
          <w:tcPr>
            <w:tcW w:w="540" w:type="dxa"/>
            <w:hideMark/>
          </w:tcPr>
          <w:p w:rsidR="00685E20" w:rsidRPr="005B0796" w:rsidRDefault="00685E20" w:rsidP="00685E20">
            <w:pPr>
              <w:pStyle w:val="TableText"/>
              <w:jc w:val="right"/>
              <w:rPr>
                <w:lang w:eastAsia="en-AU"/>
              </w:rPr>
            </w:pPr>
            <w:r w:rsidRPr="005B0796">
              <w:rPr>
                <w:lang w:eastAsia="en-AU"/>
              </w:rPr>
              <w:t>8.6</w:t>
            </w:r>
          </w:p>
        </w:tc>
        <w:tc>
          <w:tcPr>
            <w:tcW w:w="817" w:type="dxa"/>
            <w:hideMark/>
          </w:tcPr>
          <w:p w:rsidR="00685E20" w:rsidRPr="005B0796" w:rsidRDefault="00685E20" w:rsidP="00685E20">
            <w:pPr>
              <w:pStyle w:val="TableText"/>
              <w:jc w:val="right"/>
              <w:rPr>
                <w:lang w:eastAsia="en-AU"/>
              </w:rPr>
            </w:pPr>
            <w:r w:rsidRPr="005B0796">
              <w:rPr>
                <w:lang w:eastAsia="en-AU"/>
              </w:rPr>
              <w:t>6.8, 10.8</w:t>
            </w:r>
          </w:p>
        </w:tc>
      </w:tr>
    </w:tbl>
    <w:p w:rsidR="00685E20" w:rsidRPr="005B0796" w:rsidRDefault="00685E20" w:rsidP="00C11D51">
      <w:pPr>
        <w:pStyle w:val="TableNotes"/>
        <w:rPr>
          <w:lang w:eastAsia="en-AU"/>
        </w:rPr>
      </w:pPr>
      <w:r w:rsidRPr="005B0796">
        <w:rPr>
          <w:lang w:eastAsia="en-AU"/>
        </w:rPr>
        <w:t xml:space="preserve">*See Annex </w:t>
      </w:r>
      <w:r w:rsidR="00411B45" w:rsidRPr="005B0796">
        <w:rPr>
          <w:lang w:eastAsia="en-AU"/>
        </w:rPr>
        <w:t>B</w:t>
      </w:r>
      <w:r w:rsidRPr="005B0796">
        <w:rPr>
          <w:lang w:eastAsia="en-AU"/>
        </w:rPr>
        <w:t xml:space="preserve"> for odds ratios</w:t>
      </w:r>
    </w:p>
    <w:p w:rsidR="00685E20" w:rsidRPr="005B0796" w:rsidRDefault="00685E20" w:rsidP="00C11D51">
      <w:pPr>
        <w:pStyle w:val="TableNotes"/>
      </w:pPr>
      <w:r w:rsidRPr="005B0796">
        <w:t xml:space="preserve">Note: 95% CI: 95% </w:t>
      </w:r>
      <w:r w:rsidR="00564689" w:rsidRPr="005B0796">
        <w:t>confidence interval</w:t>
      </w:r>
    </w:p>
    <w:p w:rsidR="00BF4089" w:rsidRPr="005B0796" w:rsidRDefault="00BF4089" w:rsidP="00BF4089"/>
    <w:p w:rsidR="00BF4089" w:rsidRPr="005B0796" w:rsidRDefault="00BF4089" w:rsidP="00BF4089">
      <w:pPr>
        <w:sectPr w:rsidR="00BF4089" w:rsidRPr="005B0796" w:rsidSect="005A477D">
          <w:footerReference w:type="even" r:id="rId246"/>
          <w:footerReference w:type="default" r:id="rId247"/>
          <w:pgSz w:w="9979" w:h="14170" w:code="243"/>
          <w:pgMar w:top="1440" w:right="1152" w:bottom="1440" w:left="1728" w:header="576" w:footer="576" w:gutter="0"/>
          <w:cols w:space="708"/>
          <w:docGrid w:linePitch="360"/>
        </w:sectPr>
      </w:pPr>
    </w:p>
    <w:p w:rsidR="006C652D" w:rsidRPr="005B0796" w:rsidRDefault="00CE607E" w:rsidP="00685E20">
      <w:pPr>
        <w:pStyle w:val="FigureName"/>
      </w:pPr>
      <w:bookmarkStart w:id="1177" w:name="_Toc487014417"/>
      <w:bookmarkStart w:id="1178" w:name="_Toc511900586"/>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5</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27</w:t>
      </w:r>
      <w:r w:rsidR="00D30A3C">
        <w:rPr>
          <w:noProof/>
        </w:rPr>
        <w:fldChar w:fldCharType="end"/>
      </w:r>
      <w:r w:rsidRPr="005B0796">
        <w:tab/>
      </w:r>
      <w:r w:rsidR="0057443B">
        <w:t>Estimated proportion of</w:t>
      </w:r>
      <w:r w:rsidR="00685E20" w:rsidRPr="005B0796">
        <w:t xml:space="preserve"> Transitioned ADF and 2015 Regular ADF </w:t>
      </w:r>
      <w:r w:rsidR="0057443B">
        <w:t>who have experienced l</w:t>
      </w:r>
      <w:r w:rsidR="00685E20" w:rsidRPr="005B0796">
        <w:t>ifetime trauma</w:t>
      </w:r>
      <w:bookmarkEnd w:id="1177"/>
      <w:bookmarkEnd w:id="1178"/>
    </w:p>
    <w:tbl>
      <w:tblPr>
        <w:tblW w:w="5000" w:type="pct"/>
        <w:tblLayout w:type="fixed"/>
        <w:tblCellMar>
          <w:left w:w="115" w:type="dxa"/>
          <w:right w:w="115" w:type="dxa"/>
        </w:tblCellMar>
        <w:tblLook w:val="04A0" w:firstRow="1" w:lastRow="0" w:firstColumn="1" w:lastColumn="0" w:noHBand="0" w:noVBand="1"/>
      </w:tblPr>
      <w:tblGrid>
        <w:gridCol w:w="11520"/>
      </w:tblGrid>
      <w:tr w:rsidR="006C652D" w:rsidRPr="005B0796" w:rsidTr="00685E20">
        <w:trPr>
          <w:cantSplit/>
        </w:trPr>
        <w:tc>
          <w:tcPr>
            <w:tcW w:w="11520" w:type="dxa"/>
          </w:tcPr>
          <w:p w:rsidR="006C652D" w:rsidRPr="005B0796" w:rsidRDefault="006C652D" w:rsidP="0064122F">
            <w:r w:rsidRPr="005B0796">
              <w:rPr>
                <w:noProof/>
                <w:lang w:eastAsia="en-AU"/>
              </w:rPr>
              <w:drawing>
                <wp:inline distT="0" distB="0" distL="0" distR="0" wp14:anchorId="49B96FA5" wp14:editId="69FCDB50">
                  <wp:extent cx="7136296" cy="4161569"/>
                  <wp:effectExtent l="0" t="0" r="7620" b="0"/>
                  <wp:docPr id="92" name="Chart 92" descr="Figure 5.27 Estimated proportion in Transitioned ADF and 2015 Regular ADF of Lifetime traum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c>
      </w:tr>
    </w:tbl>
    <w:p w:rsidR="00BF4089" w:rsidRPr="005B0796" w:rsidRDefault="00BF4089" w:rsidP="00685E20"/>
    <w:p w:rsidR="00BF4089" w:rsidRPr="005B0796" w:rsidRDefault="00BF4089" w:rsidP="00BF4089">
      <w:pPr>
        <w:sectPr w:rsidR="00BF4089" w:rsidRPr="005B0796" w:rsidSect="00C95D88">
          <w:headerReference w:type="even" r:id="rId249"/>
          <w:headerReference w:type="default" r:id="rId250"/>
          <w:footerReference w:type="even" r:id="rId251"/>
          <w:footerReference w:type="default" r:id="rId252"/>
          <w:pgSz w:w="14170" w:h="9979" w:orient="landscape" w:code="243"/>
          <w:pgMar w:top="1440" w:right="1440" w:bottom="1152" w:left="1440" w:header="576" w:footer="576" w:gutter="0"/>
          <w:cols w:space="708"/>
          <w:docGrid w:linePitch="360"/>
        </w:sectPr>
      </w:pPr>
    </w:p>
    <w:p w:rsidR="00BF4089" w:rsidRPr="005B0796" w:rsidRDefault="00C52C4C" w:rsidP="00C52C4C">
      <w:pPr>
        <w:pStyle w:val="Heading1"/>
      </w:pPr>
      <w:bookmarkStart w:id="1179" w:name="_Toc494449762"/>
      <w:bookmarkStart w:id="1180" w:name="_Toc511900344"/>
      <w:r w:rsidRPr="005B0796">
        <w:t>Comparison of the mental health of Transitioned ADF with the Australian Community in 2015</w:t>
      </w:r>
      <w:bookmarkEnd w:id="1179"/>
      <w:bookmarkEnd w:id="1180"/>
    </w:p>
    <w:p w:rsidR="00CE607E" w:rsidRPr="005B0796" w:rsidRDefault="00CE607E" w:rsidP="00CE607E">
      <w:pPr>
        <w:pStyle w:val="ShadedBullet"/>
      </w:pPr>
      <w:r w:rsidRPr="005B0796">
        <w:t>National and International research has demonstrated that military service – both nationally and internationally – places high demands on those who serve.</w:t>
      </w:r>
    </w:p>
    <w:p w:rsidR="00CE607E" w:rsidRPr="005B0796" w:rsidRDefault="00CE607E" w:rsidP="00CE607E">
      <w:pPr>
        <w:pStyle w:val="ShadedBullet"/>
      </w:pPr>
      <w:r w:rsidRPr="005B0796">
        <w:t>The 2010 ADF Mental Health Prevalence and Wellbeing Study (MHPWS) showed that ADF members experienced a significantly higher prevalence of lifetime trauma (both deployment-related and pre-enlistment trauma) compared to a socio-demographically matched Australian Community (using Australian Bureau of Statistics (ABS) data).</w:t>
      </w:r>
    </w:p>
    <w:p w:rsidR="00CE607E" w:rsidRPr="005B0796" w:rsidRDefault="00CE607E" w:rsidP="00CE607E">
      <w:pPr>
        <w:pStyle w:val="ShadedBullet"/>
      </w:pPr>
      <w:r w:rsidRPr="005B0796">
        <w:t>The 2010 MHPWS study showed that the 2010 Regular ADF had a significantly higher prevalence of 12-month depressive episodes and posttraumatic stress compared to the Australian Community.</w:t>
      </w:r>
    </w:p>
    <w:p w:rsidR="00CE607E" w:rsidRPr="005B0796" w:rsidRDefault="00CE607E" w:rsidP="00CE607E">
      <w:pPr>
        <w:pStyle w:val="ShadedBullet"/>
      </w:pPr>
      <w:r w:rsidRPr="005B0796">
        <w:t xml:space="preserve">The increased risk of lifetime trauma exposure and mental disorder in ADF members, combined with transition related stressors places Transitioned ADF members at particular risk as they assimilate back into civilian society which has clear implications for service provision and support. </w:t>
      </w:r>
    </w:p>
    <w:p w:rsidR="00CE607E" w:rsidRPr="005B0796" w:rsidRDefault="00CE607E" w:rsidP="00CE607E">
      <w:pPr>
        <w:pStyle w:val="ShadedBullet"/>
      </w:pPr>
      <w:r w:rsidRPr="005B0796">
        <w:t>In this chapter, key measures of mental health are compared between Transitioned ADF members and a stratified sample of the Australian Community, placing the mental health of Transitioned ADF members within the civilian context.</w:t>
      </w:r>
    </w:p>
    <w:p w:rsidR="00CE607E" w:rsidRPr="005B0796" w:rsidRDefault="00CE607E" w:rsidP="00CE607E">
      <w:pPr>
        <w:pStyle w:val="ShadedBullet"/>
      </w:pPr>
      <w:r w:rsidRPr="005B0796">
        <w:t xml:space="preserve">Comparisons between the Transitioned ADF and the Australian Community were made using contemporaneous data obtained from the ABS 2014–2015 ABS National Health Survey (NHS) – in particular, data on the Kessler Psychological Distress Scale (K10) and a number of </w:t>
      </w:r>
      <w:r w:rsidR="00462A0C" w:rsidRPr="005B0796">
        <w:t>‘</w:t>
      </w:r>
      <w:r w:rsidRPr="005B0796">
        <w:t>alcohol use</w:t>
      </w:r>
      <w:r w:rsidR="00462A0C" w:rsidRPr="005B0796">
        <w:t>’</w:t>
      </w:r>
      <w:r w:rsidRPr="005B0796">
        <w:t xml:space="preserve"> questions</w:t>
      </w:r>
      <w:r w:rsidRPr="005B0796" w:rsidDel="00036D73">
        <w:t xml:space="preserve">. </w:t>
      </w:r>
    </w:p>
    <w:p w:rsidR="00CE607E" w:rsidRPr="005B0796" w:rsidRDefault="00CE607E" w:rsidP="00CE607E">
      <w:pPr>
        <w:pStyle w:val="ShadedBoxText"/>
      </w:pPr>
      <w:r w:rsidRPr="005B0796">
        <w:rPr>
          <w:b/>
        </w:rPr>
        <w:t xml:space="preserve">Glossary: </w:t>
      </w:r>
      <w:r w:rsidRPr="005B0796">
        <w:t>refer to the Glossary of terms for definitions of key terms in this section.</w:t>
      </w:r>
    </w:p>
    <w:p w:rsidR="00E54F55" w:rsidRPr="005B0796" w:rsidRDefault="00E54F55" w:rsidP="00CE607E">
      <w:r w:rsidRPr="005B0796">
        <w:t xml:space="preserve">Very little systematic research has been conducted into the mental health and wellbeing of Transitioned ADF members after they leave the Regular ADF. This is despite widespread concern among Ex-Serving ADF and the broader community, and acknowledgment that transition from regular military service and reintegration into civilian life is a significant stressor </w:t>
      </w:r>
      <w:r w:rsidRPr="005B0796">
        <w:fldChar w:fldCharType="begin">
          <w:fldData xml:space="preserve">PEVuZE5vdGU+PENpdGU+PEF1dGhvcj5Bc2hjcm9mdC48L0F1dGhvcj48WWVhcj4yMDE0PC9ZZWFy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</w:fldData>
        </w:fldChar>
      </w:r>
      <w:r w:rsidRPr="005B0796">
        <w:instrText xml:space="preserve"> ADDIN EN.CITE </w:instrText>
      </w:r>
      <w:r w:rsidRPr="005B0796">
        <w:fldChar w:fldCharType="begin">
          <w:fldData xml:space="preserve">PEVuZE5vdGU+PENpdGU+PEF1dGhvcj5Bc2hjcm9mdC48L0F1dGhvcj48WWVhcj4yMDE0PC9ZZWFy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</w:fldData>
        </w:fldChar>
      </w:r>
      <w:r w:rsidRPr="005B0796">
        <w:instrText xml:space="preserve"> ADDIN EN.CITE.DATA </w:instrText>
      </w:r>
      <w:r w:rsidRPr="005B0796">
        <w:fldChar w:fldCharType="end"/>
      </w:r>
      <w:r w:rsidRPr="005B0796">
        <w:fldChar w:fldCharType="separate"/>
      </w:r>
      <w:r w:rsidRPr="005B0796">
        <w:t>(Ashcroft, 2014; Pease et al., 2016)</w:t>
      </w:r>
      <w:r w:rsidRPr="005B0796">
        <w:fldChar w:fldCharType="end"/>
      </w:r>
      <w:r w:rsidRPr="005B0796">
        <w:t xml:space="preserve">. </w:t>
      </w:r>
    </w:p>
    <w:p w:rsidR="00E54F55" w:rsidRPr="005B0796" w:rsidRDefault="00E54F55" w:rsidP="00CE607E">
      <w:r w:rsidRPr="005B0796">
        <w:t xml:space="preserve">National and international research has demonstrated that military service – both nationally and internationally – places high demands on those who serve. It can include exposure to extreme physical, psychological and mental stressors above and beyond what is experienced by those in the community </w:t>
      </w:r>
      <w:r w:rsidRPr="005B0796">
        <w:fldChar w:fldCharType="begin"/>
      </w:r>
      <w:r w:rsidRPr="005B0796">
        <w:instrText xml:space="preserve"> ADDIN EN.CITE &lt;EndNote&gt;&lt;Cite&gt;&lt;Author&gt;Dobson&lt;/Author&gt;&lt;Year&gt;2012&lt;/Year&gt;&lt;RecNum&gt;440&lt;/RecNum&gt;&lt;DisplayText&gt;(Dobson et al., 2012; Thompson et al., 2015)&lt;/DisplayText&gt;&lt;record&gt;&lt;rec-number&gt;440&lt;/rec-number&gt;&lt;foreign-keys&gt;&lt;key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Health.&lt;/publisher&gt;&lt;urls&gt;&lt;/urls&gt;&lt;/record&gt;&lt;/Cite&gt;&lt;Cite&gt;&lt;Author&gt;Thompson&lt;/Author&gt;&lt;Year&gt;2015&lt;/Year&gt;&lt;RecNum&gt;389&lt;/RecNum&gt;&lt;record&gt;&lt;rec-number&gt;389&lt;/rec-number&gt;&lt;foreign-keys&gt;&lt;key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(Dobson et al., 2012; Thompson et al., 2015)</w:t>
      </w:r>
      <w:r w:rsidRPr="005B0796">
        <w:fldChar w:fldCharType="end"/>
      </w:r>
      <w:r w:rsidRPr="005B0796">
        <w:t xml:space="preserve">. </w:t>
      </w:r>
    </w:p>
    <w:p w:rsidR="00E54F55" w:rsidRPr="005B0796" w:rsidRDefault="00E54F55" w:rsidP="00CE607E">
      <w:pPr>
        <w:rPr>
          <w:spacing w:val="-2"/>
          <w:szCs w:val="22"/>
        </w:rPr>
      </w:pPr>
      <w:r w:rsidRPr="005B0796">
        <w:t xml:space="preserve">The 2010 MHPWS, for example, showed that ADF members experienced a significantly higher prevalence of lifetime trauma compared to a socio-demographically matched Australian Community (ABS). The largest prevalence differences reported between the 2010 ADF and the Australian Community were for traumas loosely categorised as </w:t>
      </w:r>
      <w:r w:rsidR="00462A0C" w:rsidRPr="005B0796">
        <w:t>‘</w:t>
      </w:r>
      <w:r w:rsidRPr="005B0796">
        <w:t>deployment-related</w:t>
      </w:r>
      <w:r w:rsidR="00462A0C" w:rsidRPr="005B0796">
        <w:t>’</w:t>
      </w:r>
      <w:r w:rsidRPr="005B0796">
        <w:t xml:space="preserve">. They include combat (as a </w:t>
      </w:r>
      <w:r w:rsidRPr="005B0796">
        <w:rPr>
          <w:szCs w:val="22"/>
        </w:rPr>
        <w:t xml:space="preserve">member of a military or organised non-military group), serving as a </w:t>
      </w:r>
      <w:r w:rsidRPr="005B0796">
        <w:rPr>
          <w:spacing w:val="-2"/>
          <w:szCs w:val="22"/>
        </w:rPr>
        <w:t xml:space="preserve">peacekeeper or relief worker in a war zone, and witnessing atrocities or carnage such as mutilated bodies or mass killings. In all categories, members of the 2010 Regular ADF reported significantly higher rates compared to the Australian Community, which is not unanticipated given the role that deployment plays in the careers of ADF members </w:t>
      </w:r>
      <w:r w:rsidRPr="005B0796">
        <w:rPr>
          <w:spacing w:val="-2"/>
          <w:szCs w:val="22"/>
        </w:rPr>
        <w:fldChar w:fldCharType="begin"/>
      </w:r>
      <w:r w:rsidRPr="005B0796">
        <w:rPr>
          <w:spacing w:val="-2"/>
          <w:szCs w:val="22"/>
        </w:rPr>
        <w:instrText xml:space="preserve"> ADDIN EN.CITE &lt;EndNote&gt;&lt;Cite&gt;&lt;Author&gt;Van Hooff&lt;/Author&gt;&lt;Year&gt;2012&lt;/Year&gt;&lt;RecNum&gt;613&lt;/RecNum&gt;&lt;DisplayText&gt;(Van Hooff et al., 2012)&lt;/DisplayText&gt;&lt;record&gt;&lt;rec-number&gt;613&lt;/rec-number&gt;&lt;foreign-keys&gt;&lt;key app="EN" db-id="arwdrezp9sdawxevtfyxtfw10exvr5exxfed" timestamp="1479951052"&gt;613&lt;/key&gt;&lt;/foreign-keys&gt;&lt;ref-type name="Book"&gt;6&lt;/ref-type&gt;&lt;contributors&gt;&lt;authors&gt;&lt;author&gt;Van Hooff, M. &lt;/author&gt;&lt;author&gt;McFarlane, A. C. &lt;/author&gt;&lt;author&gt;Lorimer, M. &lt;/author&gt;&lt;author&gt;Saccone, E. J.&lt;/author&gt;&lt;author&gt;Searle, A. K.&lt;/author&gt;&lt;author&gt;Fairweather-Schmidt, A. K. &lt;/author&gt;&lt;/authors&gt;&lt;/contributors&gt;&lt;titles&gt;&lt;title&gt;The prevalence of ICD 10 Trauma Exposure in the Australian Defence Force: Results from the 2010 ADF Mental Health Prevalence and Wellbeing Dataset&lt;/title&gt;&lt;secondary-title&gt;Report for Joint Health Command&lt;/secondary-title&gt;&lt;/titles&gt;&lt;dates&gt;&lt;year&gt;2012&lt;/year&gt;&lt;/dates&gt;&lt;pub-location&gt;Canberra.&lt;/pub-location&gt;&lt;publisher&gt;Department of Defence&lt;/publisher&gt;&lt;urls&gt;&lt;/urls&gt;&lt;/record&gt;&lt;/Cite&gt;&lt;/EndNote&gt;</w:instrText>
      </w:r>
      <w:r w:rsidRPr="005B0796">
        <w:rPr>
          <w:spacing w:val="-2"/>
          <w:szCs w:val="22"/>
        </w:rPr>
        <w:fldChar w:fldCharType="separate"/>
      </w:r>
      <w:r w:rsidRPr="005B0796">
        <w:rPr>
          <w:spacing w:val="-2"/>
          <w:szCs w:val="22"/>
        </w:rPr>
        <w:t>(Van Hooff et al., 2012)</w:t>
      </w:r>
      <w:r w:rsidRPr="005B0796">
        <w:rPr>
          <w:spacing w:val="-2"/>
          <w:szCs w:val="22"/>
        </w:rPr>
        <w:fldChar w:fldCharType="end"/>
      </w:r>
      <w:r w:rsidRPr="005B0796">
        <w:rPr>
          <w:spacing w:val="-2"/>
          <w:szCs w:val="22"/>
        </w:rPr>
        <w:t>.</w:t>
      </w:r>
    </w:p>
    <w:p w:rsidR="00E54F55" w:rsidRPr="005B0796" w:rsidRDefault="00E54F55" w:rsidP="00CE607E">
      <w:pPr>
        <w:rPr>
          <w:spacing w:val="-2"/>
        </w:rPr>
      </w:pPr>
      <w:r w:rsidRPr="005B0796">
        <w:t xml:space="preserve">Interestingly, the increased rates of trauma exposure were not limited to deployments, but included a significantly greater prevalence of pre-enlistment trauma. </w:t>
      </w:r>
      <w:r w:rsidRPr="005B0796">
        <w:rPr>
          <w:spacing w:val="-2"/>
        </w:rPr>
        <w:t xml:space="preserve">The lifetime rates of sexual trauma, such as experiencing rape and sexual assault, and some interpersonal traumas, such as witnessing domestic violence, were also significantly more prevalent in the 2010 Regular ADF than in the Australian Community, with the majority of these events first occurring before enlistment </w:t>
      </w:r>
      <w:r w:rsidRPr="005B0796">
        <w:rPr>
          <w:spacing w:val="-2"/>
        </w:rPr>
        <w:fldChar w:fldCharType="begin"/>
      </w:r>
      <w:r w:rsidRPr="005B0796">
        <w:rPr>
          <w:spacing w:val="-2"/>
        </w:rPr>
        <w:instrText xml:space="preserve"> ADDIN EN.CITE &lt;EndNote&gt;&lt;Cite&gt;&lt;Author&gt;Van Hooff&lt;/Author&gt;&lt;Year&gt;2012&lt;/Year&gt;&lt;RecNum&gt;613&lt;/RecNum&gt;&lt;DisplayText&gt;(Van Hooff et al., 2012)&lt;/DisplayText&gt;&lt;record&gt;&lt;rec-number&gt;613&lt;/rec-number&gt;&lt;foreign-keys&gt;&lt;key app="EN" db-id="arwdrezp9sdawxevtfyxtfw10exvr5exxfed" timestamp="1479951052"&gt;613&lt;/key&gt;&lt;/foreign-keys&gt;&lt;ref-type name="Book"&gt;6&lt;/ref-type&gt;&lt;contributors&gt;&lt;authors&gt;&lt;author&gt;Van Hooff, M. &lt;/author&gt;&lt;author&gt;McFarlane, A. C. &lt;/author&gt;&lt;author&gt;Lorimer, M. &lt;/author&gt;&lt;author&gt;Saccone, E. J.&lt;/author&gt;&lt;author&gt;Searle, A. K.&lt;/author&gt;&lt;author&gt;Fairweather-Schmidt, A. K. &lt;/author&gt;&lt;/authors&gt;&lt;/contributors&gt;&lt;titles&gt;&lt;title&gt;The prevalence of ICD 10 Trauma Exposure in the Australian Defence Force: Results from the 2010 ADF Mental Health Prevalence and Wellbeing Dataset&lt;/title&gt;&lt;secondary-title&gt;Report for Joint Health Command&lt;/secondary-title&gt;&lt;/titles&gt;&lt;dates&gt;&lt;year&gt;2012&lt;/year&gt;&lt;/dates&gt;&lt;pub-location&gt;Canberra.&lt;/pub-location&gt;&lt;publisher&gt;Department of Defence&lt;/publisher&gt;&lt;urls&gt;&lt;/urls&gt;&lt;/record&gt;&lt;/Cite&gt;&lt;/EndNote&gt;</w:instrText>
      </w:r>
      <w:r w:rsidRPr="005B0796">
        <w:rPr>
          <w:spacing w:val="-2"/>
        </w:rPr>
        <w:fldChar w:fldCharType="separate"/>
      </w:r>
      <w:r w:rsidRPr="005B0796">
        <w:rPr>
          <w:spacing w:val="-2"/>
        </w:rPr>
        <w:t>(Van Hooff et al., 2012)</w:t>
      </w:r>
      <w:r w:rsidRPr="005B0796">
        <w:rPr>
          <w:spacing w:val="-2"/>
        </w:rPr>
        <w:fldChar w:fldCharType="end"/>
      </w:r>
      <w:r w:rsidRPr="005B0796">
        <w:rPr>
          <w:spacing w:val="-2"/>
        </w:rPr>
        <w:t>.</w:t>
      </w:r>
    </w:p>
    <w:p w:rsidR="00E54F55" w:rsidRPr="005B0796" w:rsidRDefault="00E54F55" w:rsidP="00CE607E">
      <w:pPr>
        <w:rPr>
          <w:rFonts w:asciiTheme="minorHAnsi" w:hAnsiTheme="minorHAnsi"/>
        </w:rPr>
      </w:pPr>
      <w:r w:rsidRPr="005B0796">
        <w:t>Importantly, compared to the Australian Community, members of the 2010 Regular ADF also reported a significantly higher prevalence of affective disorders as classified by the International Statistical Classification of Diseases and Related Health Problems – 10th Revision</w:t>
      </w:r>
      <w:r w:rsidRPr="005B0796">
        <w:rPr>
          <w:rFonts w:eastAsia="MS ??" w:cs="Calibri"/>
        </w:rPr>
        <w:t xml:space="preserve"> (</w:t>
      </w:r>
      <w:r w:rsidRPr="005B0796">
        <w:t xml:space="preserve">ICD-10). Specifically, they experience more 12-month depressive episodes and posttraumatic stress disorder (PTSD) (McFarlane et al., 2011). This increased risk of lifetime trauma exposure and mental disorder before transition, combined with transition-related changes to </w:t>
      </w:r>
      <w:r w:rsidRPr="005B0796">
        <w:rPr>
          <w:rFonts w:asciiTheme="minorHAnsi" w:hAnsiTheme="minorHAnsi"/>
        </w:rPr>
        <w:t>identity, roles, social networks, employment, finances and community, places Transitioned ADF members at higher risk as they assimilate back into civilian society.</w:t>
      </w:r>
    </w:p>
    <w:p w:rsidR="00E54F55" w:rsidRPr="005B0796" w:rsidRDefault="00E54F55" w:rsidP="00CE607E">
      <w:r w:rsidRPr="005B0796">
        <w:t>Whether the impacts of military service emerge before transition or in the months or years following transition, there are clear implications for the delivery of services and provision of appropriate support in the community. Therefore, this chapter compares key measures of mental health between Transitioned ADF members, and a stratified sample of the Australian Community, placing the mental health of Transitioned ADF members within the civilian context.</w:t>
      </w:r>
    </w:p>
    <w:p w:rsidR="00E54F55" w:rsidRPr="005B0796" w:rsidRDefault="00E54F55" w:rsidP="00CE607E">
      <w:r w:rsidRPr="005B0796">
        <w:t xml:space="preserve">The 2010 MHPWS directly compared the prevalence of ICD-10 mental disorder in the 2010 Regular ADF with the Australian Community in 2007. However, it is not possible to do so in this report because the most recent estimates of mental disorder in the Australian Community are more than seven years old. Instead, contemporaneous data from the 2014–2015 NHS </w:t>
      </w:r>
      <w:r w:rsidRPr="005B0796">
        <w:fldChar w:fldCharType="begin"/>
      </w:r>
      <w:r w:rsidRPr="005B0796">
        <w:instrText xml:space="preserve"> ADDIN EN.CITE &lt;EndNote&gt;&lt;Cite&gt;&lt;Author&gt;Australian Bureau of Statistics&lt;/Author&gt;&lt;Year&gt;2015&lt;/Year&gt;&lt;RecNum&gt;585&lt;/RecNum&gt;&lt;DisplayText&gt;(Australian Bureau of Statistics, 2015)&lt;/DisplayText&gt;&lt;record&gt;&lt;rec-number&gt;585&lt;/rec-number&gt;&lt;foreign-keys&gt;&lt;key app="EN" db-id="arwdrezp9sdawxevtfyxtfw10exvr5exxfed" timestamp="1479250503"&gt;585&lt;/key&gt;&lt;/foreign-keys&gt;&lt;ref-type name="Report"&gt;27&lt;/ref-type&gt;&lt;contributors&gt;&lt;authors&gt;&lt;author&gt;Australian Bureau of Statistics,&lt;/author&gt;&lt;/authors&gt;&lt;/contributors&gt;&lt;titles&gt;&lt;title&gt;National Health Survey: First Results 2014-2015&lt;/title&gt;&lt;/titles&gt;&lt;dates&gt;&lt;year&gt;2015&lt;/year&gt;&lt;/dates&gt;&lt;pub-location&gt;Canberra&lt;/pub-location&gt;&lt;publisher&gt;Australian Bureau of Statistics&lt;/publisher&gt;&lt;urls&gt;&lt;/urls&gt;&lt;/record&gt;&lt;/Cite&gt;&lt;/EndNote&gt;</w:instrText>
      </w:r>
      <w:r w:rsidRPr="005B0796">
        <w:fldChar w:fldCharType="separate"/>
      </w:r>
      <w:r w:rsidRPr="005B0796">
        <w:t>(Australian Bureau of Statistics, 2015)</w:t>
      </w:r>
      <w:r w:rsidRPr="005B0796">
        <w:fldChar w:fldCharType="end"/>
      </w:r>
      <w:r w:rsidRPr="005B0796">
        <w:t xml:space="preserve"> was used, but was limited to comparable data – the K10 and a number of </w:t>
      </w:r>
      <w:r w:rsidR="00462A0C" w:rsidRPr="005B0796">
        <w:t>‘</w:t>
      </w:r>
      <w:r w:rsidRPr="005B0796">
        <w:t>alcohol use</w:t>
      </w:r>
      <w:r w:rsidR="00462A0C" w:rsidRPr="005B0796">
        <w:t>’</w:t>
      </w:r>
      <w:r w:rsidRPr="005B0796">
        <w:t xml:space="preserve"> questions were taken from the NHS (see section 7.2 for details of questions used).</w:t>
      </w:r>
    </w:p>
    <w:p w:rsidR="00E54F55" w:rsidRPr="005B0796" w:rsidRDefault="00E54F55" w:rsidP="00CE607E">
      <w:r w:rsidRPr="005B0796">
        <w:t xml:space="preserve">To enable comparison of estimates in the Transitioned ADF with an Australian Community population, direct standardisation was applied to estimates in the 2014–2015 ABS NHS data. The NHS is the most recent in a series of Australia-wide ABS health surveys, assessing various aspects of the health of Australians, including long-term health conditions, health risk factors, and health service use. The NHS data were restricted to those aged 18–71 (consistent with the Transitioned ADF). The NHS data were standardised by sex, employment status (employed or not) and age category (18–27, 28–37, 38–47, 48–57 and 58+), and estimates were generated on the outcomes of interest. Standard errors for the NHS data were estimated using the replication weights provided in the NHS data file. </w:t>
      </w:r>
    </w:p>
    <w:p w:rsidR="00E54F55" w:rsidRPr="005B0796" w:rsidRDefault="00E54F55" w:rsidP="00CE607E">
      <w:r w:rsidRPr="005B0796">
        <w:t xml:space="preserve">In addition to reporting estimated rates in each of the populations, this chapter also compares rates according to two key demographic factors: sex (male, female) and age: 18–27, 28–37, 38–47, 48–57 and 58+. </w:t>
      </w:r>
    </w:p>
    <w:p w:rsidR="00E54F55" w:rsidRPr="005B0796" w:rsidRDefault="00E54F55" w:rsidP="00CE607E">
      <w:r w:rsidRPr="005B0796">
        <w:t>Significant differences were determined by calculating the confidence intervals on the difference in proportions, and if these included unity, they were not significant.</w:t>
      </w:r>
    </w:p>
    <w:p w:rsidR="00CE607E" w:rsidRPr="005B0796" w:rsidRDefault="00E54F55" w:rsidP="00CE607E">
      <w:r w:rsidRPr="005B0796">
        <w:t>Further details about how each of the measures was scored are provided in the relevant subsections that follow.</w:t>
      </w:r>
    </w:p>
    <w:p w:rsidR="00E54F55" w:rsidRPr="005B0796" w:rsidRDefault="00E54F55" w:rsidP="00CE607E">
      <w:pPr>
        <w:pStyle w:val="Heading2"/>
      </w:pPr>
      <w:bookmarkStart w:id="1181" w:name="_Toc482024491"/>
      <w:bookmarkStart w:id="1182" w:name="_Toc487011243"/>
      <w:bookmarkStart w:id="1183" w:name="_Toc493663138"/>
      <w:bookmarkStart w:id="1184" w:name="_Toc494449763"/>
      <w:bookmarkStart w:id="1185" w:name="_Toc511900345"/>
      <w:r w:rsidRPr="005B0796">
        <w:t>Psychological distress (K10)</w:t>
      </w:r>
      <w:bookmarkEnd w:id="1181"/>
      <w:r w:rsidRPr="005B0796">
        <w:t xml:space="preserve"> in Transitioned ADF compared to the Australian Community in 2015</w:t>
      </w:r>
      <w:bookmarkEnd w:id="1182"/>
      <w:bookmarkEnd w:id="1183"/>
      <w:bookmarkEnd w:id="1184"/>
      <w:bookmarkEnd w:id="1185"/>
    </w:p>
    <w:p w:rsidR="00CE607E" w:rsidRPr="005B0796" w:rsidRDefault="00CE607E" w:rsidP="00CE607E">
      <w:pPr>
        <w:pStyle w:val="ShadedBullet"/>
      </w:pPr>
      <w:r w:rsidRPr="005B0796">
        <w:t>Levels of psychological distress in the Transitioned ADF were significantly higher than in the Australian Community.</w:t>
      </w:r>
    </w:p>
    <w:p w:rsidR="00CE607E" w:rsidRPr="005B0796" w:rsidRDefault="00CE607E" w:rsidP="00CE607E">
      <w:pPr>
        <w:pStyle w:val="ShadedBullet"/>
      </w:pPr>
      <w:r w:rsidRPr="005B0796">
        <w:t>Almost three times more Transitioned ADF members scored in the high to very high psychological distress bands (33.1%) compared to the Australian Community (12.8%).</w:t>
      </w:r>
    </w:p>
    <w:p w:rsidR="00CE607E" w:rsidRPr="005B0796" w:rsidRDefault="00CE607E" w:rsidP="00CE607E">
      <w:pPr>
        <w:pStyle w:val="ShadedBullet"/>
      </w:pPr>
      <w:r w:rsidRPr="005B0796">
        <w:t xml:space="preserve">The largest difference between the Transitioned ADF and the Australian Community was in the very high scoring band on the K10 for psychological distress where nearly one in five Transitioned ADF scored in this band compared with just under 5% of the Australian </w:t>
      </w:r>
      <w:r w:rsidR="00445732" w:rsidRPr="005B0796">
        <w:t>Community</w:t>
      </w:r>
      <w:r w:rsidRPr="005B0796">
        <w:t>.</w:t>
      </w:r>
    </w:p>
    <w:p w:rsidR="00CE607E" w:rsidRPr="005B0796" w:rsidRDefault="00CE607E" w:rsidP="00CE607E">
      <w:pPr>
        <w:pStyle w:val="ShadedBullet"/>
      </w:pPr>
      <w:r w:rsidRPr="005B0796">
        <w:t>Patterns of psychological distress were similar in both populations for males and females.</w:t>
      </w:r>
    </w:p>
    <w:p w:rsidR="00CE607E" w:rsidRPr="005B0796" w:rsidRDefault="00CE607E" w:rsidP="00CE607E">
      <w:pPr>
        <w:pStyle w:val="ShadedBullet"/>
      </w:pPr>
      <w:r w:rsidRPr="005B0796">
        <w:t xml:space="preserve">Transitioned ADF members across all age bands were significantly more likely to fall in the high to very high scoring band, and were significantly less likely to score in the low band for psychological distress compared to the Australian </w:t>
      </w:r>
      <w:r w:rsidR="00445732" w:rsidRPr="005B0796">
        <w:t>Community</w:t>
      </w:r>
      <w:r w:rsidRPr="005B0796">
        <w:t>.</w:t>
      </w:r>
    </w:p>
    <w:p w:rsidR="00CE607E" w:rsidRPr="005B0796" w:rsidRDefault="00CE607E" w:rsidP="00CE607E">
      <w:pPr>
        <w:pStyle w:val="ShadedBoxText"/>
      </w:pPr>
      <w:r w:rsidRPr="005B0796">
        <w:rPr>
          <w:b/>
        </w:rPr>
        <w:t xml:space="preserve">Glossary: </w:t>
      </w:r>
      <w:r w:rsidRPr="005B0796">
        <w:t>refer to the Glossary of terms for definitions of key terms in this section.</w:t>
      </w:r>
    </w:p>
    <w:p w:rsidR="00E54F55" w:rsidRPr="005B0796" w:rsidRDefault="00E54F55" w:rsidP="00CE607E">
      <w:r w:rsidRPr="005B0796">
        <w:t xml:space="preserve">This section provides a detailed summary of the pattern of psychological distress reported by Regular ADF members who transitioned between 2010 and 2014 (Transitioned ADF) compared to a matched sample of the Australian Community, by the key demographic variables of sex and age. </w:t>
      </w:r>
    </w:p>
    <w:p w:rsidR="00E54F55" w:rsidRPr="005B0796" w:rsidRDefault="00E54F55" w:rsidP="00CE607E">
      <w:r w:rsidRPr="005B0796">
        <w:t xml:space="preserve">First, the section will report on the distribution of K10 symptoms of psychological distress for the Transitioned ADF compared to the Australian </w:t>
      </w:r>
      <w:r w:rsidR="00445732" w:rsidRPr="005B0796">
        <w:t>Community</w:t>
      </w:r>
      <w:r w:rsidRPr="005B0796">
        <w:t xml:space="preserve">. It will then compare the distribution of K10 symptoms by the categories of sex and age. </w:t>
      </w:r>
    </w:p>
    <w:p w:rsidR="00E54F55" w:rsidRPr="005B0796" w:rsidRDefault="00E54F55" w:rsidP="00CE607E">
      <w:r w:rsidRPr="005B0796">
        <w:t xml:space="preserve">The K10 is a 10-item screening questionnaire for psychological distress that was developed for use in the United States National Health Interview Survey (US-NHIS) </w:t>
      </w:r>
      <w:r w:rsidRPr="005B0796">
        <w:fldChar w:fldCharType="begin"/>
      </w:r>
      <w:r w:rsidRPr="005B0796">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5B0796">
        <w:fldChar w:fldCharType="separate"/>
      </w:r>
      <w:r w:rsidRPr="005B0796">
        <w:t>(Kessler et al., 2002)</w:t>
      </w:r>
      <w:r w:rsidRPr="005B0796">
        <w:fldChar w:fldCharType="end"/>
      </w:r>
      <w:r w:rsidRPr="005B0796">
        <w:t>. Originally designed as a short, easily administered screen for psychological distress, the K10 is typically used to inform and complement clinical interviews and quantify levels of distress in those needing treatment. The ADF commonly uses it for mental health screening.</w:t>
      </w:r>
    </w:p>
    <w:p w:rsidR="00E54F55" w:rsidRPr="005B0796" w:rsidRDefault="00E54F55" w:rsidP="00CE607E">
      <w:r w:rsidRPr="005B0796">
        <w:t xml:space="preserve">Respondents were instructed to rate the amount of time they had experienced one of 10 emotional states during the last </w:t>
      </w:r>
      <w:r w:rsidR="0057443B">
        <w:t>four</w:t>
      </w:r>
      <w:r w:rsidRPr="005B0796">
        <w:t xml:space="preserve"> weeks (for example, </w:t>
      </w:r>
      <w:r w:rsidR="0057443B">
        <w:t>‘</w:t>
      </w:r>
      <w:r w:rsidRPr="005B0796">
        <w:t>tired for no good reason</w:t>
      </w:r>
      <w:r w:rsidR="0057443B">
        <w:t>’</w:t>
      </w:r>
      <w:r w:rsidRPr="005B0796">
        <w:t xml:space="preserve"> or </w:t>
      </w:r>
      <w:r w:rsidR="0057443B">
        <w:t>‘</w:t>
      </w:r>
      <w:r w:rsidRPr="005B0796">
        <w:t>felt nervous, hopeless or depressed</w:t>
      </w:r>
      <w:r w:rsidR="0057443B">
        <w:t>’</w:t>
      </w:r>
      <w:r w:rsidRPr="005B0796">
        <w:t xml:space="preserve">). The 10 questions were scored 1–5, with the respondent indicating how often they felt that way, using one of the following response options: </w:t>
      </w:r>
      <w:r w:rsidR="00462A0C" w:rsidRPr="005B0796">
        <w:t>‘</w:t>
      </w:r>
      <w:r w:rsidRPr="005B0796">
        <w:t>all of the time</w:t>
      </w:r>
      <w:r w:rsidR="00462A0C" w:rsidRPr="005B0796">
        <w:t>’</w:t>
      </w:r>
      <w:r w:rsidRPr="005B0796">
        <w:t xml:space="preserve"> (5), </w:t>
      </w:r>
      <w:r w:rsidR="00462A0C" w:rsidRPr="005B0796">
        <w:t>‘</w:t>
      </w:r>
      <w:r w:rsidRPr="005B0796">
        <w:t>most of the time</w:t>
      </w:r>
      <w:r w:rsidR="00462A0C" w:rsidRPr="005B0796">
        <w:t>’</w:t>
      </w:r>
      <w:r w:rsidR="0057443B">
        <w:t xml:space="preserve"> (4),</w:t>
      </w:r>
      <w:r w:rsidRPr="005B0796">
        <w:t xml:space="preserve"> </w:t>
      </w:r>
      <w:r w:rsidR="00462A0C" w:rsidRPr="005B0796">
        <w:t>‘</w:t>
      </w:r>
      <w:r w:rsidRPr="005B0796">
        <w:t>some of the time</w:t>
      </w:r>
      <w:r w:rsidR="00462A0C" w:rsidRPr="005B0796">
        <w:t>’</w:t>
      </w:r>
      <w:r w:rsidR="0057443B">
        <w:t xml:space="preserve"> (3)</w:t>
      </w:r>
      <w:r w:rsidRPr="005B0796">
        <w:t xml:space="preserve">, </w:t>
      </w:r>
      <w:r w:rsidR="00462A0C" w:rsidRPr="005B0796">
        <w:t>‘</w:t>
      </w:r>
      <w:r w:rsidRPr="005B0796">
        <w:t>a</w:t>
      </w:r>
      <w:r w:rsidR="0057443B">
        <w:t> </w:t>
      </w:r>
      <w:r w:rsidRPr="005B0796">
        <w:t>little of the time</w:t>
      </w:r>
      <w:r w:rsidR="00462A0C" w:rsidRPr="005B0796">
        <w:t>’</w:t>
      </w:r>
      <w:r w:rsidRPr="005B0796">
        <w:t xml:space="preserve"> </w:t>
      </w:r>
      <w:r w:rsidR="0057443B">
        <w:t xml:space="preserve">(2) </w:t>
      </w:r>
      <w:r w:rsidRPr="005B0796">
        <w:t xml:space="preserve">or </w:t>
      </w:r>
      <w:r w:rsidR="00462A0C" w:rsidRPr="005B0796">
        <w:t>‘</w:t>
      </w:r>
      <w:r w:rsidRPr="005B0796">
        <w:t>none of the time</w:t>
      </w:r>
      <w:r w:rsidR="00462A0C" w:rsidRPr="005B0796">
        <w:t>’</w:t>
      </w:r>
      <w:r w:rsidRPr="005B0796">
        <w:t xml:space="preserve"> (1). Scores for the 10 questions were then added up to give a total score from 10–50. The four scoring bands (low (10–15), moderate (16–21), high (22–29) and very high (30–50)) in this report are derived from the K10 cut-offs in the National Survey of Mental Health and Wellbeing </w:t>
      </w:r>
      <w:r w:rsidRPr="005B0796">
        <w:fldChar w:fldCharType="begin">
          <w:fldData xml:space="preserve">PEVuZE5vdGU+PENpdGU+PEF1dGhvcj5BdXN0cmFsaWFuIEJ1cmVhdSBvZiBTdGF0aXN0aWNzPC9B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</w:fldData>
        </w:fldChar>
      </w:r>
      <w:r w:rsidRPr="005B0796">
        <w:instrText xml:space="preserve"> ADDIN EN.CITE </w:instrText>
      </w:r>
      <w:r w:rsidRPr="005B0796">
        <w:fldChar w:fldCharType="begin">
          <w:fldData xml:space="preserve">PEVuZE5vdGU+PENpdGU+PEF1dGhvcj5BdXN0cmFsaWFuIEJ1cmVhdSBvZiBTdGF0aXN0aWNzPC9B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</w:fldData>
        </w:fldChar>
      </w:r>
      <w:r w:rsidRPr="005B0796">
        <w:instrText xml:space="preserve"> ADDIN EN.CITE.DATA </w:instrText>
      </w:r>
      <w:r w:rsidRPr="005B0796">
        <w:fldChar w:fldCharType="end"/>
      </w:r>
      <w:r w:rsidRPr="005B0796">
        <w:fldChar w:fldCharType="separate"/>
      </w:r>
      <w:r w:rsidRPr="005B0796">
        <w:t>(Australian Bureau of Statistics, 2008; Slade et al., 2009)</w:t>
      </w:r>
      <w:r w:rsidRPr="005B0796">
        <w:fldChar w:fldCharType="end"/>
      </w:r>
      <w:r w:rsidRPr="005B0796">
        <w:t xml:space="preserve">, and were also used to identify levels of psychological distress in the 2010 ADF MHPWS. </w:t>
      </w:r>
    </w:p>
    <w:p w:rsidR="00E54F55" w:rsidRPr="005B0796" w:rsidRDefault="00E54F55" w:rsidP="00CE607E">
      <w:pPr>
        <w:pStyle w:val="Heading3"/>
      </w:pPr>
      <w:bookmarkStart w:id="1186" w:name="_Toc482024492"/>
      <w:bookmarkStart w:id="1187" w:name="_Toc487011244"/>
      <w:bookmarkStart w:id="1188" w:name="_Toc493663139"/>
      <w:bookmarkStart w:id="1189" w:name="_Toc494449764"/>
      <w:bookmarkStart w:id="1190" w:name="_Toc511900346"/>
      <w:r w:rsidRPr="005B0796">
        <w:t xml:space="preserve">Psychological distress in the Transitioned ADF compared to the </w:t>
      </w:r>
      <w:bookmarkEnd w:id="1186"/>
      <w:bookmarkEnd w:id="1187"/>
      <w:r w:rsidRPr="005B0796">
        <w:t>Australian Community</w:t>
      </w:r>
      <w:bookmarkEnd w:id="1188"/>
      <w:bookmarkEnd w:id="1189"/>
      <w:bookmarkEnd w:id="1190"/>
    </w:p>
    <w:p w:rsidR="00E54F55" w:rsidRPr="005B0796" w:rsidRDefault="00E54F55" w:rsidP="00CE607E">
      <w:r w:rsidRPr="005B0796">
        <w:t xml:space="preserve">Table 6.1 and Figure 6.1 present the distribution of psychological distress, according to the K10 scoring bands, for the entire Transitioned ADF. </w:t>
      </w:r>
    </w:p>
    <w:p w:rsidR="00E54F55" w:rsidRPr="005B0796" w:rsidRDefault="00E54F55" w:rsidP="00CE607E">
      <w:r w:rsidRPr="005B0796">
        <w:t xml:space="preserve">Levels of psychological distress in the Transitioned ADF were significantly higher than in the Australian Community (as evidenced by the confidence intervals around the mean difference in proportions in Table 6.1 below not crossing unity). The proportion of Transitioned ADF scoring in the low band on the K10 (47.7%, 95% CI 45.9, 49.6) was significantly lower than in the Australian Community (66.3%, 95% CI 64.5, 68.2). In contrast, the proportion scoring in the high to very high band was significantly higher, at just over 33% in the Transitioned ADF compared to approximately 13% of the Australian Community. The largest difference between the Transitioned ADF and the Australian Community was in the very high scoring band, </w:t>
      </w:r>
      <w:r w:rsidRPr="005B0796">
        <w:rPr>
          <w:color w:val="000000" w:themeColor="text1"/>
        </w:rPr>
        <w:t xml:space="preserve">where nearly one in five Transitioned ADF scored </w:t>
      </w:r>
      <w:r w:rsidRPr="005B0796">
        <w:t>(19.6%, 95% CI 18.2, 21.1) compared to just under 5% of the Australian Community</w:t>
      </w:r>
      <w:r w:rsidR="00CE607E" w:rsidRPr="005B0796">
        <w:t xml:space="preserve"> (4.5%, 95% CI 3.5, 5.5).</w:t>
      </w:r>
    </w:p>
    <w:p w:rsidR="00CE607E" w:rsidRPr="005B0796" w:rsidRDefault="00CE607E" w:rsidP="00CE607E">
      <w:pPr>
        <w:pStyle w:val="TableName"/>
      </w:pPr>
      <w:bookmarkStart w:id="1191" w:name="_Ref484695177"/>
      <w:bookmarkStart w:id="1192" w:name="_Toc487014329"/>
      <w:bookmarkStart w:id="1193" w:name="_Toc492995632"/>
      <w:bookmarkStart w:id="1194" w:name="_Toc511900481"/>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1</w:t>
      </w:r>
      <w:r w:rsidR="00D30A3C">
        <w:rPr>
          <w:noProof/>
        </w:rPr>
        <w:fldChar w:fldCharType="end"/>
      </w:r>
      <w:bookmarkEnd w:id="1191"/>
      <w:r w:rsidRPr="005B0796">
        <w:tab/>
        <w:t xml:space="preserve">Estimated prevalence </w:t>
      </w:r>
      <w:r w:rsidR="00E13799">
        <w:t xml:space="preserve">of psychological distress </w:t>
      </w:r>
      <w:r w:rsidRPr="005B0796">
        <w:t>in the Transitioned ADF compared to the Australian Community using K10 scoring bands</w:t>
      </w:r>
      <w:bookmarkEnd w:id="1192"/>
      <w:bookmarkEnd w:id="1193"/>
      <w:bookmarkEnd w:id="1194"/>
    </w:p>
    <w:tbl>
      <w:tblPr>
        <w:tblStyle w:val="TWRPTable"/>
        <w:tblW w:w="5000" w:type="pct"/>
        <w:tblLayout w:type="fixed"/>
        <w:tblLook w:val="01E0" w:firstRow="1" w:lastRow="1" w:firstColumn="1" w:lastColumn="1" w:noHBand="0" w:noVBand="0"/>
        <w:tblDescription w:val="Table 6.1 Estimated prevalence in the Transitioned ADF compared to the Australian Community using K10 scoring bands for Psychological distress"/>
      </w:tblPr>
      <w:tblGrid>
        <w:gridCol w:w="829"/>
        <w:gridCol w:w="629"/>
        <w:gridCol w:w="628"/>
        <w:gridCol w:w="906"/>
        <w:gridCol w:w="625"/>
        <w:gridCol w:w="629"/>
        <w:gridCol w:w="909"/>
        <w:gridCol w:w="622"/>
        <w:gridCol w:w="631"/>
        <w:gridCol w:w="907"/>
      </w:tblGrid>
      <w:tr w:rsidR="0099117C" w:rsidRPr="005B0796" w:rsidTr="0099117C">
        <w:trPr>
          <w:cnfStyle w:val="100000000000" w:firstRow="1" w:lastRow="0" w:firstColumn="0" w:lastColumn="0" w:oddVBand="0" w:evenVBand="0" w:oddHBand="0" w:evenHBand="0" w:firstRowFirstColumn="0" w:firstRowLastColumn="0" w:lastRowFirstColumn="0" w:lastRowLastColumn="0"/>
          <w:tblHeader/>
        </w:trPr>
        <w:tc>
          <w:tcPr>
            <w:tcW w:w="567" w:type="pct"/>
            <w:vMerge w:val="restart"/>
          </w:tcPr>
          <w:p w:rsidR="0099117C" w:rsidRPr="005B0796" w:rsidRDefault="0099117C" w:rsidP="0099117C">
            <w:pPr>
              <w:pStyle w:val="TableText"/>
              <w:rPr>
                <w:lang w:eastAsia="en-AU"/>
              </w:rPr>
            </w:pPr>
          </w:p>
        </w:tc>
        <w:tc>
          <w:tcPr>
            <w:tcW w:w="1478" w:type="pct"/>
            <w:gridSpan w:val="3"/>
            <w:hideMark/>
          </w:tcPr>
          <w:p w:rsidR="0099117C" w:rsidRPr="005B0796" w:rsidRDefault="0099117C" w:rsidP="0099117C">
            <w:pPr>
              <w:pStyle w:val="TableText"/>
              <w:jc w:val="center"/>
              <w:rPr>
                <w:lang w:eastAsia="en-AU"/>
              </w:rPr>
            </w:pPr>
            <w:r w:rsidRPr="005B0796">
              <w:rPr>
                <w:bCs/>
                <w:lang w:eastAsia="en-AU"/>
              </w:rPr>
              <w:t>Transitioned ADF</w:t>
            </w:r>
            <w:r w:rsidRPr="005B0796">
              <w:rPr>
                <w:bCs/>
                <w:lang w:eastAsia="en-AU"/>
              </w:rPr>
              <w:br/>
            </w:r>
            <w:r w:rsidRPr="005B0796">
              <w:rPr>
                <w:lang w:eastAsia="en-AU"/>
              </w:rPr>
              <w:t>(n = 24,932)</w:t>
            </w:r>
          </w:p>
        </w:tc>
        <w:tc>
          <w:tcPr>
            <w:tcW w:w="1478" w:type="pct"/>
            <w:gridSpan w:val="3"/>
            <w:hideMark/>
          </w:tcPr>
          <w:p w:rsidR="0099117C" w:rsidRPr="005B0796" w:rsidRDefault="0099117C" w:rsidP="0099117C">
            <w:pPr>
              <w:pStyle w:val="TableText"/>
              <w:jc w:val="center"/>
              <w:rPr>
                <w:lang w:eastAsia="en-AU"/>
              </w:rPr>
            </w:pPr>
            <w:r w:rsidRPr="005B0796">
              <w:rPr>
                <w:bCs/>
                <w:lang w:eastAsia="en-AU"/>
              </w:rPr>
              <w:t>Australian Community</w:t>
            </w:r>
          </w:p>
        </w:tc>
        <w:tc>
          <w:tcPr>
            <w:tcW w:w="1476" w:type="pct"/>
            <w:gridSpan w:val="3"/>
            <w:hideMark/>
          </w:tcPr>
          <w:p w:rsidR="0099117C" w:rsidRPr="005B0796" w:rsidRDefault="0099117C" w:rsidP="0099117C">
            <w:pPr>
              <w:pStyle w:val="TableText"/>
              <w:jc w:val="center"/>
              <w:rPr>
                <w:bCs/>
                <w:lang w:eastAsia="en-AU"/>
              </w:rPr>
            </w:pPr>
            <w:r w:rsidRPr="005B0796">
              <w:rPr>
                <w:bCs/>
                <w:lang w:eastAsia="en-AU"/>
              </w:rPr>
              <w:t>Difference</w:t>
            </w:r>
          </w:p>
        </w:tc>
      </w:tr>
      <w:tr w:rsidR="0099117C" w:rsidRPr="005B0796" w:rsidTr="0099117C">
        <w:trPr>
          <w:cnfStyle w:val="100000000000" w:firstRow="1" w:lastRow="0" w:firstColumn="0" w:lastColumn="0" w:oddVBand="0" w:evenVBand="0" w:oddHBand="0" w:evenHBand="0" w:firstRowFirstColumn="0" w:firstRowLastColumn="0" w:lastRowFirstColumn="0" w:lastRowLastColumn="0"/>
          <w:tblHeader/>
        </w:trPr>
        <w:tc>
          <w:tcPr>
            <w:tcW w:w="567" w:type="pct"/>
            <w:vMerge/>
          </w:tcPr>
          <w:p w:rsidR="0099117C" w:rsidRPr="005B0796" w:rsidRDefault="0099117C" w:rsidP="0099117C">
            <w:pPr>
              <w:pStyle w:val="TableText"/>
              <w:rPr>
                <w:rFonts w:eastAsia="GillSans"/>
                <w:lang w:eastAsia="en-AU"/>
              </w:rPr>
            </w:pPr>
          </w:p>
        </w:tc>
        <w:tc>
          <w:tcPr>
            <w:tcW w:w="430" w:type="pct"/>
            <w:hideMark/>
          </w:tcPr>
          <w:p w:rsidR="0099117C" w:rsidRPr="005B0796" w:rsidRDefault="0099117C" w:rsidP="0099117C">
            <w:pPr>
              <w:pStyle w:val="TableText"/>
              <w:jc w:val="right"/>
              <w:rPr>
                <w:rFonts w:eastAsia="Times New Roman"/>
                <w:lang w:eastAsia="en-AU"/>
              </w:rPr>
            </w:pPr>
            <w:r w:rsidRPr="005B0796">
              <w:rPr>
                <w:lang w:eastAsia="en-AU"/>
              </w:rPr>
              <w:t>%</w:t>
            </w:r>
          </w:p>
        </w:tc>
        <w:tc>
          <w:tcPr>
            <w:tcW w:w="429" w:type="pct"/>
            <w:hideMark/>
          </w:tcPr>
          <w:p w:rsidR="0099117C" w:rsidRPr="005B0796" w:rsidRDefault="0099117C" w:rsidP="0099117C">
            <w:pPr>
              <w:pStyle w:val="TableText"/>
              <w:jc w:val="right"/>
              <w:rPr>
                <w:lang w:eastAsia="en-AU"/>
              </w:rPr>
            </w:pPr>
            <w:r w:rsidRPr="005B0796">
              <w:rPr>
                <w:lang w:eastAsia="en-AU"/>
              </w:rPr>
              <w:t>SE</w:t>
            </w:r>
          </w:p>
        </w:tc>
        <w:tc>
          <w:tcPr>
            <w:tcW w:w="619" w:type="pct"/>
            <w:hideMark/>
          </w:tcPr>
          <w:p w:rsidR="0099117C" w:rsidRPr="005B0796" w:rsidRDefault="0099117C" w:rsidP="0099117C">
            <w:pPr>
              <w:pStyle w:val="TableText"/>
              <w:jc w:val="right"/>
              <w:rPr>
                <w:lang w:eastAsia="en-AU"/>
              </w:rPr>
            </w:pPr>
            <w:r w:rsidRPr="005B0796">
              <w:rPr>
                <w:lang w:eastAsia="en-AU"/>
              </w:rPr>
              <w:t>95% CI</w:t>
            </w:r>
          </w:p>
        </w:tc>
        <w:tc>
          <w:tcPr>
            <w:tcW w:w="427" w:type="pct"/>
            <w:hideMark/>
          </w:tcPr>
          <w:p w:rsidR="0099117C" w:rsidRPr="005B0796" w:rsidRDefault="0099117C" w:rsidP="0099117C">
            <w:pPr>
              <w:pStyle w:val="TableText"/>
              <w:jc w:val="right"/>
              <w:rPr>
                <w:lang w:eastAsia="en-AU"/>
              </w:rPr>
            </w:pPr>
            <w:r w:rsidRPr="005B0796">
              <w:rPr>
                <w:lang w:eastAsia="en-AU"/>
              </w:rPr>
              <w:t>%</w:t>
            </w:r>
          </w:p>
        </w:tc>
        <w:tc>
          <w:tcPr>
            <w:tcW w:w="430" w:type="pct"/>
            <w:hideMark/>
          </w:tcPr>
          <w:p w:rsidR="0099117C" w:rsidRPr="005B0796" w:rsidRDefault="0099117C" w:rsidP="0099117C">
            <w:pPr>
              <w:pStyle w:val="TableText"/>
              <w:jc w:val="right"/>
              <w:rPr>
                <w:lang w:eastAsia="en-AU"/>
              </w:rPr>
            </w:pPr>
            <w:r w:rsidRPr="005B0796">
              <w:rPr>
                <w:lang w:eastAsia="en-AU"/>
              </w:rPr>
              <w:t>SE</w:t>
            </w:r>
          </w:p>
        </w:tc>
        <w:tc>
          <w:tcPr>
            <w:tcW w:w="621" w:type="pct"/>
            <w:hideMark/>
          </w:tcPr>
          <w:p w:rsidR="0099117C" w:rsidRPr="005B0796" w:rsidRDefault="0099117C" w:rsidP="0099117C">
            <w:pPr>
              <w:pStyle w:val="TableText"/>
              <w:jc w:val="right"/>
              <w:rPr>
                <w:lang w:eastAsia="en-AU"/>
              </w:rPr>
            </w:pPr>
            <w:r w:rsidRPr="005B0796">
              <w:rPr>
                <w:lang w:eastAsia="en-AU"/>
              </w:rPr>
              <w:t>95% CI</w:t>
            </w:r>
          </w:p>
        </w:tc>
        <w:tc>
          <w:tcPr>
            <w:tcW w:w="425" w:type="pct"/>
            <w:hideMark/>
          </w:tcPr>
          <w:p w:rsidR="0099117C" w:rsidRPr="005B0796" w:rsidRDefault="0099117C" w:rsidP="0099117C">
            <w:pPr>
              <w:pStyle w:val="TableText"/>
              <w:jc w:val="right"/>
              <w:rPr>
                <w:lang w:eastAsia="en-AU"/>
              </w:rPr>
            </w:pPr>
            <w:r w:rsidRPr="005B0796">
              <w:rPr>
                <w:lang w:eastAsia="en-AU"/>
              </w:rPr>
              <w:t>%</w:t>
            </w:r>
          </w:p>
        </w:tc>
        <w:tc>
          <w:tcPr>
            <w:tcW w:w="431" w:type="pct"/>
            <w:hideMark/>
          </w:tcPr>
          <w:p w:rsidR="0099117C" w:rsidRPr="005B0796" w:rsidRDefault="0099117C" w:rsidP="0099117C">
            <w:pPr>
              <w:pStyle w:val="TableText"/>
              <w:jc w:val="right"/>
              <w:rPr>
                <w:lang w:eastAsia="en-AU"/>
              </w:rPr>
            </w:pPr>
            <w:r w:rsidRPr="005B0796">
              <w:rPr>
                <w:lang w:eastAsia="en-AU"/>
              </w:rPr>
              <w:t>SE</w:t>
            </w:r>
          </w:p>
        </w:tc>
        <w:tc>
          <w:tcPr>
            <w:tcW w:w="620" w:type="pct"/>
            <w:hideMark/>
          </w:tcPr>
          <w:p w:rsidR="0099117C" w:rsidRPr="005B0796" w:rsidRDefault="0099117C" w:rsidP="0099117C">
            <w:pPr>
              <w:pStyle w:val="TableText"/>
              <w:jc w:val="right"/>
              <w:rPr>
                <w:lang w:eastAsia="en-AU"/>
              </w:rPr>
            </w:pPr>
            <w:r w:rsidRPr="005B0796">
              <w:rPr>
                <w:lang w:eastAsia="en-AU"/>
              </w:rPr>
              <w:t>95% CI</w:t>
            </w:r>
          </w:p>
        </w:tc>
      </w:tr>
      <w:tr w:rsidR="0099117C" w:rsidRPr="005B0796" w:rsidTr="0099117C">
        <w:trPr>
          <w:cnfStyle w:val="000000100000" w:firstRow="0" w:lastRow="0" w:firstColumn="0" w:lastColumn="0" w:oddVBand="0" w:evenVBand="0" w:oddHBand="1" w:evenHBand="0" w:firstRowFirstColumn="0" w:firstRowLastColumn="0" w:lastRowFirstColumn="0" w:lastRowLastColumn="0"/>
        </w:trPr>
        <w:tc>
          <w:tcPr>
            <w:tcW w:w="567" w:type="pct"/>
            <w:hideMark/>
          </w:tcPr>
          <w:p w:rsidR="00E54F55" w:rsidRPr="005B0796" w:rsidRDefault="00E54F55" w:rsidP="0099117C">
            <w:pPr>
              <w:pStyle w:val="TableText"/>
              <w:rPr>
                <w:rFonts w:eastAsia="GillSans"/>
                <w:lang w:eastAsia="en-AU"/>
              </w:rPr>
            </w:pPr>
            <w:r w:rsidRPr="005B0796">
              <w:rPr>
                <w:lang w:eastAsia="en-AU"/>
              </w:rPr>
              <w:t>Low</w:t>
            </w:r>
            <w:r w:rsidR="0099117C" w:rsidRPr="005B0796">
              <w:rPr>
                <w:lang w:eastAsia="en-AU"/>
              </w:rPr>
              <w:br/>
            </w:r>
            <w:r w:rsidRPr="005B0796">
              <w:rPr>
                <w:lang w:eastAsia="en-AU"/>
              </w:rPr>
              <w:t>(10–15)</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47.7</w:t>
            </w:r>
          </w:p>
        </w:tc>
        <w:tc>
          <w:tcPr>
            <w:tcW w:w="429" w:type="pct"/>
            <w:hideMark/>
          </w:tcPr>
          <w:p w:rsidR="00E54F55" w:rsidRPr="005B0796" w:rsidRDefault="00E54F55" w:rsidP="0099117C">
            <w:pPr>
              <w:pStyle w:val="TableText"/>
              <w:jc w:val="right"/>
              <w:rPr>
                <w:rFonts w:eastAsia="Times New Roman"/>
                <w:lang w:eastAsia="en-AU"/>
              </w:rPr>
            </w:pPr>
            <w:r w:rsidRPr="005B0796">
              <w:rPr>
                <w:lang w:eastAsia="en-AU"/>
              </w:rPr>
              <w:t>0.9</w:t>
            </w:r>
          </w:p>
        </w:tc>
        <w:tc>
          <w:tcPr>
            <w:tcW w:w="619" w:type="pct"/>
            <w:hideMark/>
          </w:tcPr>
          <w:p w:rsidR="00E54F55" w:rsidRPr="005B0796" w:rsidRDefault="00E54F55" w:rsidP="0099117C">
            <w:pPr>
              <w:pStyle w:val="TableText"/>
              <w:jc w:val="right"/>
              <w:rPr>
                <w:rFonts w:eastAsia="Times New Roman"/>
                <w:lang w:eastAsia="en-AU"/>
              </w:rPr>
            </w:pPr>
            <w:r w:rsidRPr="005B0796">
              <w:rPr>
                <w:lang w:eastAsia="en-AU"/>
              </w:rPr>
              <w:t>45.9, 49.6</w:t>
            </w:r>
          </w:p>
        </w:tc>
        <w:tc>
          <w:tcPr>
            <w:tcW w:w="427" w:type="pct"/>
            <w:hideMark/>
          </w:tcPr>
          <w:p w:rsidR="00E54F55" w:rsidRPr="005B0796" w:rsidRDefault="00E54F55" w:rsidP="0099117C">
            <w:pPr>
              <w:pStyle w:val="TableText"/>
              <w:jc w:val="right"/>
              <w:rPr>
                <w:rFonts w:eastAsia="Times New Roman"/>
                <w:lang w:eastAsia="en-AU"/>
              </w:rPr>
            </w:pPr>
            <w:r w:rsidRPr="005B0796">
              <w:rPr>
                <w:lang w:eastAsia="en-AU"/>
              </w:rPr>
              <w:t>66.3</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0.9</w:t>
            </w:r>
          </w:p>
        </w:tc>
        <w:tc>
          <w:tcPr>
            <w:tcW w:w="621" w:type="pct"/>
            <w:hideMark/>
          </w:tcPr>
          <w:p w:rsidR="00E54F55" w:rsidRPr="005B0796" w:rsidRDefault="00E54F55" w:rsidP="0099117C">
            <w:pPr>
              <w:pStyle w:val="TableText"/>
              <w:jc w:val="right"/>
              <w:rPr>
                <w:rFonts w:eastAsia="Times New Roman"/>
                <w:lang w:eastAsia="en-AU"/>
              </w:rPr>
            </w:pPr>
            <w:r w:rsidRPr="005B0796">
              <w:rPr>
                <w:lang w:eastAsia="en-AU"/>
              </w:rPr>
              <w:t>64.5, 68.2</w:t>
            </w:r>
          </w:p>
        </w:tc>
        <w:tc>
          <w:tcPr>
            <w:tcW w:w="425" w:type="pct"/>
            <w:hideMark/>
          </w:tcPr>
          <w:p w:rsidR="00E54F55" w:rsidRPr="005B0796" w:rsidRDefault="00E54F55" w:rsidP="0099117C">
            <w:pPr>
              <w:pStyle w:val="TableText"/>
              <w:jc w:val="right"/>
              <w:rPr>
                <w:lang w:eastAsia="en-AU"/>
              </w:rPr>
            </w:pPr>
            <w:r w:rsidRPr="005B0796">
              <w:rPr>
                <w:lang w:eastAsia="en-AU"/>
              </w:rPr>
              <w:t>-18.6</w:t>
            </w:r>
          </w:p>
        </w:tc>
        <w:tc>
          <w:tcPr>
            <w:tcW w:w="431" w:type="pct"/>
            <w:hideMark/>
          </w:tcPr>
          <w:p w:rsidR="00E54F55" w:rsidRPr="005B0796" w:rsidRDefault="00E54F55" w:rsidP="0099117C">
            <w:pPr>
              <w:pStyle w:val="TableText"/>
              <w:jc w:val="right"/>
              <w:rPr>
                <w:rFonts w:eastAsia="Times New Roman"/>
                <w:lang w:eastAsia="en-AU"/>
              </w:rPr>
            </w:pPr>
            <w:r w:rsidRPr="005B0796">
              <w:rPr>
                <w:lang w:eastAsia="en-AU"/>
              </w:rPr>
              <w:t>1.3</w:t>
            </w:r>
          </w:p>
        </w:tc>
        <w:tc>
          <w:tcPr>
            <w:tcW w:w="620" w:type="pct"/>
            <w:hideMark/>
          </w:tcPr>
          <w:p w:rsidR="00E54F55" w:rsidRPr="005B0796" w:rsidRDefault="00E54F55" w:rsidP="0099117C">
            <w:pPr>
              <w:pStyle w:val="TableText"/>
              <w:jc w:val="right"/>
              <w:rPr>
                <w:rFonts w:eastAsia="Times New Roman"/>
                <w:lang w:eastAsia="en-AU"/>
              </w:rPr>
            </w:pPr>
            <w:r w:rsidRPr="005B0796">
              <w:rPr>
                <w:lang w:eastAsia="en-AU"/>
              </w:rPr>
              <w:t>-21.2, -15.9</w:t>
            </w:r>
          </w:p>
        </w:tc>
      </w:tr>
      <w:tr w:rsidR="0099117C" w:rsidRPr="005B0796" w:rsidTr="0099117C">
        <w:tc>
          <w:tcPr>
            <w:tcW w:w="567" w:type="pct"/>
            <w:hideMark/>
          </w:tcPr>
          <w:p w:rsidR="00E54F55" w:rsidRPr="005B0796" w:rsidRDefault="00E54F55" w:rsidP="0099117C">
            <w:pPr>
              <w:pStyle w:val="TableText"/>
              <w:rPr>
                <w:rFonts w:eastAsia="GillSans"/>
                <w:lang w:eastAsia="en-AU"/>
              </w:rPr>
            </w:pPr>
            <w:r w:rsidRPr="005B0796">
              <w:rPr>
                <w:lang w:eastAsia="en-AU"/>
              </w:rPr>
              <w:t>Moderate</w:t>
            </w:r>
            <w:r w:rsidR="0099117C" w:rsidRPr="005B0796">
              <w:rPr>
                <w:lang w:eastAsia="en-AU"/>
              </w:rPr>
              <w:br/>
            </w:r>
            <w:r w:rsidRPr="005B0796">
              <w:rPr>
                <w:lang w:eastAsia="en-AU"/>
              </w:rPr>
              <w:t>(16–21)</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17.8</w:t>
            </w:r>
          </w:p>
        </w:tc>
        <w:tc>
          <w:tcPr>
            <w:tcW w:w="429" w:type="pct"/>
            <w:hideMark/>
          </w:tcPr>
          <w:p w:rsidR="00E54F55" w:rsidRPr="005B0796" w:rsidRDefault="00E54F55" w:rsidP="0099117C">
            <w:pPr>
              <w:pStyle w:val="TableText"/>
              <w:jc w:val="right"/>
              <w:rPr>
                <w:rFonts w:eastAsia="Times New Roman"/>
                <w:lang w:eastAsia="en-AU"/>
              </w:rPr>
            </w:pPr>
            <w:r w:rsidRPr="005B0796">
              <w:rPr>
                <w:lang w:eastAsia="en-AU"/>
              </w:rPr>
              <w:t>0.7</w:t>
            </w:r>
          </w:p>
        </w:tc>
        <w:tc>
          <w:tcPr>
            <w:tcW w:w="619" w:type="pct"/>
            <w:hideMark/>
          </w:tcPr>
          <w:p w:rsidR="00E54F55" w:rsidRPr="005B0796" w:rsidRDefault="00E54F55" w:rsidP="0099117C">
            <w:pPr>
              <w:pStyle w:val="TableText"/>
              <w:jc w:val="right"/>
              <w:rPr>
                <w:rFonts w:eastAsia="Times New Roman"/>
                <w:lang w:eastAsia="en-AU"/>
              </w:rPr>
            </w:pPr>
            <w:r w:rsidRPr="005B0796">
              <w:rPr>
                <w:lang w:eastAsia="en-AU"/>
              </w:rPr>
              <w:t>16.4, 19.3</w:t>
            </w:r>
          </w:p>
        </w:tc>
        <w:tc>
          <w:tcPr>
            <w:tcW w:w="427" w:type="pct"/>
            <w:hideMark/>
          </w:tcPr>
          <w:p w:rsidR="00E54F55" w:rsidRPr="005B0796" w:rsidRDefault="00E54F55" w:rsidP="0099117C">
            <w:pPr>
              <w:pStyle w:val="TableText"/>
              <w:jc w:val="right"/>
              <w:rPr>
                <w:rFonts w:eastAsia="Times New Roman"/>
                <w:lang w:eastAsia="en-AU"/>
              </w:rPr>
            </w:pPr>
            <w:r w:rsidRPr="005B0796">
              <w:rPr>
                <w:lang w:eastAsia="en-AU"/>
              </w:rPr>
              <w:t>20.1</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0.8</w:t>
            </w:r>
          </w:p>
        </w:tc>
        <w:tc>
          <w:tcPr>
            <w:tcW w:w="621" w:type="pct"/>
            <w:hideMark/>
          </w:tcPr>
          <w:p w:rsidR="00E54F55" w:rsidRPr="005B0796" w:rsidRDefault="00E54F55" w:rsidP="0099117C">
            <w:pPr>
              <w:pStyle w:val="TableText"/>
              <w:jc w:val="right"/>
              <w:rPr>
                <w:rFonts w:eastAsia="Times New Roman"/>
                <w:lang w:eastAsia="en-AU"/>
              </w:rPr>
            </w:pPr>
            <w:r w:rsidRPr="005B0796">
              <w:rPr>
                <w:lang w:eastAsia="en-AU"/>
              </w:rPr>
              <w:t>18.6, 21.6</w:t>
            </w:r>
          </w:p>
        </w:tc>
        <w:tc>
          <w:tcPr>
            <w:tcW w:w="425" w:type="pct"/>
            <w:hideMark/>
          </w:tcPr>
          <w:p w:rsidR="00E54F55" w:rsidRPr="005B0796" w:rsidRDefault="00E54F55" w:rsidP="0099117C">
            <w:pPr>
              <w:pStyle w:val="TableText"/>
              <w:jc w:val="right"/>
              <w:rPr>
                <w:lang w:eastAsia="en-AU"/>
              </w:rPr>
            </w:pPr>
            <w:r w:rsidRPr="005B0796">
              <w:rPr>
                <w:lang w:eastAsia="en-AU"/>
              </w:rPr>
              <w:t>-2.3</w:t>
            </w:r>
          </w:p>
        </w:tc>
        <w:tc>
          <w:tcPr>
            <w:tcW w:w="431" w:type="pct"/>
            <w:hideMark/>
          </w:tcPr>
          <w:p w:rsidR="00E54F55" w:rsidRPr="005B0796" w:rsidRDefault="00E54F55" w:rsidP="0099117C">
            <w:pPr>
              <w:pStyle w:val="TableText"/>
              <w:jc w:val="right"/>
              <w:rPr>
                <w:rFonts w:eastAsia="Times New Roman"/>
                <w:lang w:eastAsia="en-AU"/>
              </w:rPr>
            </w:pPr>
            <w:r w:rsidRPr="005B0796">
              <w:rPr>
                <w:lang w:eastAsia="en-AU"/>
              </w:rPr>
              <w:t>1.0</w:t>
            </w:r>
          </w:p>
        </w:tc>
        <w:tc>
          <w:tcPr>
            <w:tcW w:w="620" w:type="pct"/>
            <w:hideMark/>
          </w:tcPr>
          <w:p w:rsidR="00E54F55" w:rsidRPr="005B0796" w:rsidRDefault="00E54F55" w:rsidP="0099117C">
            <w:pPr>
              <w:pStyle w:val="TableText"/>
              <w:jc w:val="right"/>
              <w:rPr>
                <w:rFonts w:eastAsia="Times New Roman"/>
                <w:lang w:eastAsia="en-AU"/>
              </w:rPr>
            </w:pPr>
            <w:r w:rsidRPr="005B0796">
              <w:rPr>
                <w:lang w:eastAsia="en-AU"/>
              </w:rPr>
              <w:t>-4.3, -0.2</w:t>
            </w:r>
          </w:p>
        </w:tc>
      </w:tr>
      <w:tr w:rsidR="0099117C" w:rsidRPr="005B0796" w:rsidTr="0099117C">
        <w:trPr>
          <w:cnfStyle w:val="000000100000" w:firstRow="0" w:lastRow="0" w:firstColumn="0" w:lastColumn="0" w:oddVBand="0" w:evenVBand="0" w:oddHBand="1" w:evenHBand="0" w:firstRowFirstColumn="0" w:firstRowLastColumn="0" w:lastRowFirstColumn="0" w:lastRowLastColumn="0"/>
        </w:trPr>
        <w:tc>
          <w:tcPr>
            <w:tcW w:w="567" w:type="pct"/>
            <w:hideMark/>
          </w:tcPr>
          <w:p w:rsidR="00E54F55" w:rsidRPr="005B0796" w:rsidRDefault="00E54F55" w:rsidP="0099117C">
            <w:pPr>
              <w:pStyle w:val="TableText"/>
              <w:rPr>
                <w:rFonts w:eastAsia="GillSans"/>
                <w:lang w:eastAsia="en-AU"/>
              </w:rPr>
            </w:pPr>
            <w:r w:rsidRPr="005B0796">
              <w:rPr>
                <w:lang w:eastAsia="en-AU"/>
              </w:rPr>
              <w:t>High</w:t>
            </w:r>
            <w:r w:rsidR="0099117C" w:rsidRPr="005B0796">
              <w:rPr>
                <w:lang w:eastAsia="en-AU"/>
              </w:rPr>
              <w:br/>
            </w:r>
            <w:r w:rsidRPr="005B0796">
              <w:rPr>
                <w:lang w:eastAsia="en-AU"/>
              </w:rPr>
              <w:t>(22–29)</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13.5</w:t>
            </w:r>
          </w:p>
        </w:tc>
        <w:tc>
          <w:tcPr>
            <w:tcW w:w="429" w:type="pct"/>
            <w:hideMark/>
          </w:tcPr>
          <w:p w:rsidR="00E54F55" w:rsidRPr="005B0796" w:rsidRDefault="00E54F55" w:rsidP="0099117C">
            <w:pPr>
              <w:pStyle w:val="TableText"/>
              <w:jc w:val="right"/>
              <w:rPr>
                <w:rFonts w:eastAsia="Times New Roman"/>
                <w:lang w:eastAsia="en-AU"/>
              </w:rPr>
            </w:pPr>
            <w:r w:rsidRPr="005B0796">
              <w:rPr>
                <w:lang w:eastAsia="en-AU"/>
              </w:rPr>
              <w:t>0.7</w:t>
            </w:r>
          </w:p>
        </w:tc>
        <w:tc>
          <w:tcPr>
            <w:tcW w:w="619" w:type="pct"/>
            <w:hideMark/>
          </w:tcPr>
          <w:p w:rsidR="00E54F55" w:rsidRPr="005B0796" w:rsidRDefault="00E54F55" w:rsidP="0099117C">
            <w:pPr>
              <w:pStyle w:val="TableText"/>
              <w:jc w:val="right"/>
              <w:rPr>
                <w:rFonts w:eastAsia="Times New Roman"/>
                <w:lang w:eastAsia="en-AU"/>
              </w:rPr>
            </w:pPr>
            <w:r w:rsidRPr="005B0796">
              <w:rPr>
                <w:lang w:eastAsia="en-AU"/>
              </w:rPr>
              <w:t>12.3, 14.8</w:t>
            </w:r>
          </w:p>
        </w:tc>
        <w:tc>
          <w:tcPr>
            <w:tcW w:w="427" w:type="pct"/>
            <w:hideMark/>
          </w:tcPr>
          <w:p w:rsidR="00E54F55" w:rsidRPr="005B0796" w:rsidRDefault="00E54F55" w:rsidP="0099117C">
            <w:pPr>
              <w:pStyle w:val="TableText"/>
              <w:jc w:val="right"/>
              <w:rPr>
                <w:rFonts w:eastAsia="Times New Roman"/>
                <w:lang w:eastAsia="en-AU"/>
              </w:rPr>
            </w:pPr>
            <w:r w:rsidRPr="005B0796">
              <w:rPr>
                <w:lang w:eastAsia="en-AU"/>
              </w:rPr>
              <w:t>8.3</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0.6</w:t>
            </w:r>
          </w:p>
        </w:tc>
        <w:tc>
          <w:tcPr>
            <w:tcW w:w="621" w:type="pct"/>
            <w:hideMark/>
          </w:tcPr>
          <w:p w:rsidR="00E54F55" w:rsidRPr="005B0796" w:rsidRDefault="00E54F55" w:rsidP="0099117C">
            <w:pPr>
              <w:pStyle w:val="TableText"/>
              <w:jc w:val="right"/>
              <w:rPr>
                <w:rFonts w:eastAsia="Times New Roman"/>
                <w:lang w:eastAsia="en-AU"/>
              </w:rPr>
            </w:pPr>
            <w:r w:rsidRPr="005B0796">
              <w:rPr>
                <w:lang w:eastAsia="en-AU"/>
              </w:rPr>
              <w:t>7.1, 9.4</w:t>
            </w:r>
          </w:p>
        </w:tc>
        <w:tc>
          <w:tcPr>
            <w:tcW w:w="425" w:type="pct"/>
            <w:hideMark/>
          </w:tcPr>
          <w:p w:rsidR="00E54F55" w:rsidRPr="005B0796" w:rsidRDefault="00E54F55" w:rsidP="0099117C">
            <w:pPr>
              <w:pStyle w:val="TableText"/>
              <w:jc w:val="right"/>
              <w:rPr>
                <w:lang w:eastAsia="en-AU"/>
              </w:rPr>
            </w:pPr>
            <w:r w:rsidRPr="005B0796">
              <w:rPr>
                <w:lang w:eastAsia="en-AU"/>
              </w:rPr>
              <w:t>5.3</w:t>
            </w:r>
          </w:p>
        </w:tc>
        <w:tc>
          <w:tcPr>
            <w:tcW w:w="431" w:type="pct"/>
            <w:hideMark/>
          </w:tcPr>
          <w:p w:rsidR="00E54F55" w:rsidRPr="005B0796" w:rsidRDefault="00E54F55" w:rsidP="0099117C">
            <w:pPr>
              <w:pStyle w:val="TableText"/>
              <w:jc w:val="right"/>
              <w:rPr>
                <w:rFonts w:eastAsia="Times New Roman"/>
                <w:lang w:eastAsia="en-AU"/>
              </w:rPr>
            </w:pPr>
            <w:r w:rsidRPr="005B0796">
              <w:rPr>
                <w:lang w:eastAsia="en-AU"/>
              </w:rPr>
              <w:t>0.9</w:t>
            </w:r>
          </w:p>
        </w:tc>
        <w:tc>
          <w:tcPr>
            <w:tcW w:w="620" w:type="pct"/>
            <w:hideMark/>
          </w:tcPr>
          <w:p w:rsidR="00E54F55" w:rsidRPr="005B0796" w:rsidRDefault="00E54F55" w:rsidP="0099117C">
            <w:pPr>
              <w:pStyle w:val="TableText"/>
              <w:jc w:val="right"/>
              <w:rPr>
                <w:rFonts w:eastAsia="Times New Roman"/>
                <w:lang w:eastAsia="en-AU"/>
              </w:rPr>
            </w:pPr>
            <w:r w:rsidRPr="005B0796">
              <w:rPr>
                <w:lang w:eastAsia="en-AU"/>
              </w:rPr>
              <w:t>3.5, 6.9</w:t>
            </w:r>
          </w:p>
        </w:tc>
      </w:tr>
      <w:tr w:rsidR="0099117C" w:rsidRPr="005B0796" w:rsidTr="0099117C">
        <w:trPr>
          <w:cnfStyle w:val="010000000000" w:firstRow="0" w:lastRow="1" w:firstColumn="0" w:lastColumn="0" w:oddVBand="0" w:evenVBand="0" w:oddHBand="0" w:evenHBand="0" w:firstRowFirstColumn="0" w:firstRowLastColumn="0" w:lastRowFirstColumn="0" w:lastRowLastColumn="0"/>
        </w:trPr>
        <w:tc>
          <w:tcPr>
            <w:tcW w:w="567" w:type="pct"/>
            <w:hideMark/>
          </w:tcPr>
          <w:p w:rsidR="00E54F55" w:rsidRPr="005B0796" w:rsidRDefault="00E54F55" w:rsidP="0099117C">
            <w:pPr>
              <w:pStyle w:val="TableText"/>
              <w:rPr>
                <w:rFonts w:eastAsia="Times New Roman"/>
                <w:lang w:eastAsia="en-AU"/>
              </w:rPr>
            </w:pPr>
            <w:r w:rsidRPr="005B0796">
              <w:rPr>
                <w:lang w:eastAsia="en-AU"/>
              </w:rPr>
              <w:t xml:space="preserve">Very </w:t>
            </w:r>
            <w:r w:rsidR="0099117C" w:rsidRPr="005B0796">
              <w:rPr>
                <w:lang w:eastAsia="en-AU"/>
              </w:rPr>
              <w:t>high</w:t>
            </w:r>
            <w:r w:rsidR="0099117C" w:rsidRPr="005B0796">
              <w:rPr>
                <w:lang w:eastAsia="en-AU"/>
              </w:rPr>
              <w:br/>
            </w:r>
            <w:r w:rsidRPr="005B0796">
              <w:rPr>
                <w:lang w:eastAsia="en-AU"/>
              </w:rPr>
              <w:t>(30–50)</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19.6</w:t>
            </w:r>
          </w:p>
        </w:tc>
        <w:tc>
          <w:tcPr>
            <w:tcW w:w="429" w:type="pct"/>
            <w:hideMark/>
          </w:tcPr>
          <w:p w:rsidR="00E54F55" w:rsidRPr="005B0796" w:rsidRDefault="00E54F55" w:rsidP="0099117C">
            <w:pPr>
              <w:pStyle w:val="TableText"/>
              <w:jc w:val="right"/>
              <w:rPr>
                <w:rFonts w:eastAsia="Times New Roman"/>
                <w:lang w:eastAsia="en-AU"/>
              </w:rPr>
            </w:pPr>
            <w:r w:rsidRPr="005B0796">
              <w:rPr>
                <w:lang w:eastAsia="en-AU"/>
              </w:rPr>
              <w:t>0.7</w:t>
            </w:r>
          </w:p>
        </w:tc>
        <w:tc>
          <w:tcPr>
            <w:tcW w:w="619" w:type="pct"/>
            <w:hideMark/>
          </w:tcPr>
          <w:p w:rsidR="00E54F55" w:rsidRPr="005B0796" w:rsidRDefault="00E54F55" w:rsidP="0099117C">
            <w:pPr>
              <w:pStyle w:val="TableText"/>
              <w:jc w:val="right"/>
              <w:rPr>
                <w:rFonts w:eastAsia="Times New Roman"/>
                <w:lang w:eastAsia="en-AU"/>
              </w:rPr>
            </w:pPr>
            <w:r w:rsidRPr="005B0796">
              <w:rPr>
                <w:lang w:eastAsia="en-AU"/>
              </w:rPr>
              <w:t>18.2, 21.1</w:t>
            </w:r>
          </w:p>
        </w:tc>
        <w:tc>
          <w:tcPr>
            <w:tcW w:w="427" w:type="pct"/>
            <w:hideMark/>
          </w:tcPr>
          <w:p w:rsidR="00E54F55" w:rsidRPr="005B0796" w:rsidRDefault="00E54F55" w:rsidP="0099117C">
            <w:pPr>
              <w:pStyle w:val="TableText"/>
              <w:jc w:val="right"/>
              <w:rPr>
                <w:rFonts w:eastAsia="Times New Roman"/>
                <w:lang w:eastAsia="en-AU"/>
              </w:rPr>
            </w:pPr>
            <w:r w:rsidRPr="005B0796">
              <w:rPr>
                <w:lang w:eastAsia="en-AU"/>
              </w:rPr>
              <w:t>4.5</w:t>
            </w:r>
          </w:p>
        </w:tc>
        <w:tc>
          <w:tcPr>
            <w:tcW w:w="430" w:type="pct"/>
            <w:hideMark/>
          </w:tcPr>
          <w:p w:rsidR="00E54F55" w:rsidRPr="005B0796" w:rsidRDefault="00E54F55" w:rsidP="0099117C">
            <w:pPr>
              <w:pStyle w:val="TableText"/>
              <w:jc w:val="right"/>
              <w:rPr>
                <w:rFonts w:eastAsia="Times New Roman"/>
                <w:lang w:eastAsia="en-AU"/>
              </w:rPr>
            </w:pPr>
            <w:r w:rsidRPr="005B0796">
              <w:rPr>
                <w:lang w:eastAsia="en-AU"/>
              </w:rPr>
              <w:t>0.5</w:t>
            </w:r>
          </w:p>
        </w:tc>
        <w:tc>
          <w:tcPr>
            <w:tcW w:w="621" w:type="pct"/>
            <w:hideMark/>
          </w:tcPr>
          <w:p w:rsidR="00E54F55" w:rsidRPr="005B0796" w:rsidRDefault="00E54F55" w:rsidP="0099117C">
            <w:pPr>
              <w:pStyle w:val="TableText"/>
              <w:jc w:val="right"/>
              <w:rPr>
                <w:rFonts w:eastAsia="Times New Roman"/>
                <w:lang w:eastAsia="en-AU"/>
              </w:rPr>
            </w:pPr>
            <w:r w:rsidRPr="005B0796">
              <w:rPr>
                <w:lang w:eastAsia="en-AU"/>
              </w:rPr>
              <w:t>3.5, 5.5</w:t>
            </w:r>
          </w:p>
        </w:tc>
        <w:tc>
          <w:tcPr>
            <w:tcW w:w="425" w:type="pct"/>
            <w:hideMark/>
          </w:tcPr>
          <w:p w:rsidR="00E54F55" w:rsidRPr="005B0796" w:rsidRDefault="00E54F55" w:rsidP="0099117C">
            <w:pPr>
              <w:pStyle w:val="TableText"/>
              <w:jc w:val="right"/>
              <w:rPr>
                <w:lang w:eastAsia="en-AU"/>
              </w:rPr>
            </w:pPr>
            <w:r w:rsidRPr="005B0796">
              <w:rPr>
                <w:lang w:eastAsia="en-AU"/>
              </w:rPr>
              <w:t>15.1</w:t>
            </w:r>
          </w:p>
        </w:tc>
        <w:tc>
          <w:tcPr>
            <w:tcW w:w="431" w:type="pct"/>
            <w:hideMark/>
          </w:tcPr>
          <w:p w:rsidR="00E54F55" w:rsidRPr="005B0796" w:rsidRDefault="00E54F55" w:rsidP="0099117C">
            <w:pPr>
              <w:pStyle w:val="TableText"/>
              <w:jc w:val="right"/>
              <w:rPr>
                <w:rFonts w:eastAsia="Times New Roman"/>
                <w:lang w:eastAsia="en-AU"/>
              </w:rPr>
            </w:pPr>
            <w:r w:rsidRPr="005B0796">
              <w:rPr>
                <w:lang w:eastAsia="en-AU"/>
              </w:rPr>
              <w:t>0.9</w:t>
            </w:r>
          </w:p>
        </w:tc>
        <w:tc>
          <w:tcPr>
            <w:tcW w:w="620" w:type="pct"/>
            <w:hideMark/>
          </w:tcPr>
          <w:p w:rsidR="00E54F55" w:rsidRPr="005B0796" w:rsidRDefault="00E54F55" w:rsidP="0099117C">
            <w:pPr>
              <w:pStyle w:val="TableText"/>
              <w:jc w:val="right"/>
              <w:rPr>
                <w:rFonts w:eastAsia="Times New Roman"/>
                <w:lang w:eastAsia="en-AU"/>
              </w:rPr>
            </w:pPr>
            <w:r w:rsidRPr="005B0796">
              <w:rPr>
                <w:lang w:eastAsia="en-AU"/>
              </w:rPr>
              <w:t>13.3, 16.9</w:t>
            </w:r>
          </w:p>
        </w:tc>
      </w:tr>
    </w:tbl>
    <w:p w:rsidR="00E54F55" w:rsidRPr="005B0796" w:rsidRDefault="0099117C" w:rsidP="0099117C">
      <w:pPr>
        <w:pStyle w:val="TableNotes"/>
      </w:pPr>
      <w:r w:rsidRPr="005B0796">
        <w:t xml:space="preserve">Note: 95% CI: 95% </w:t>
      </w:r>
      <w:r w:rsidR="00564689" w:rsidRPr="005B0796">
        <w:t>confidence interval</w:t>
      </w:r>
    </w:p>
    <w:p w:rsidR="0099117C" w:rsidRPr="005B0796" w:rsidRDefault="0099117C" w:rsidP="0099117C">
      <w:pPr>
        <w:pStyle w:val="FigureName"/>
        <w:rPr>
          <w:rFonts w:asciiTheme="minorHAnsi" w:hAnsiTheme="minorHAnsi"/>
        </w:rPr>
      </w:pPr>
      <w:bookmarkStart w:id="1195" w:name="_Ref484695325"/>
      <w:bookmarkStart w:id="1196" w:name="_Toc487014418"/>
      <w:bookmarkStart w:id="1197" w:name="_Toc511900587"/>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1</w:t>
      </w:r>
      <w:r w:rsidR="00D30A3C">
        <w:rPr>
          <w:noProof/>
        </w:rPr>
        <w:fldChar w:fldCharType="end"/>
      </w:r>
      <w:bookmarkEnd w:id="1195"/>
      <w:r w:rsidRPr="005B0796">
        <w:tab/>
        <w:t xml:space="preserve">Estimated prevalence </w:t>
      </w:r>
      <w:r w:rsidR="00E13799" w:rsidRPr="005B0796">
        <w:t>o</w:t>
      </w:r>
      <w:r w:rsidR="00E13799">
        <w:t>f</w:t>
      </w:r>
      <w:r w:rsidR="00E13799" w:rsidRPr="005B0796">
        <w:t xml:space="preserve"> psychological distress</w:t>
      </w:r>
      <w:r w:rsidR="00E13799">
        <w:t xml:space="preserve"> </w:t>
      </w:r>
      <w:r w:rsidRPr="005B0796">
        <w:t xml:space="preserve">in the Transitioned ADF compared to the Australian Community </w:t>
      </w:r>
      <w:r w:rsidR="00E13799">
        <w:t xml:space="preserve">using </w:t>
      </w:r>
      <w:r w:rsidRPr="005B0796">
        <w:t>K10 scoring bands</w:t>
      </w:r>
      <w:bookmarkEnd w:id="1196"/>
      <w:bookmarkEnd w:id="1197"/>
    </w:p>
    <w:tbl>
      <w:tblPr>
        <w:tblW w:w="5000" w:type="pct"/>
        <w:tblLayout w:type="fixed"/>
        <w:tblCellMar>
          <w:left w:w="115" w:type="dxa"/>
          <w:right w:w="115" w:type="dxa"/>
        </w:tblCellMar>
        <w:tblLook w:val="04A0" w:firstRow="1" w:lastRow="0" w:firstColumn="1" w:lastColumn="0" w:noHBand="0" w:noVBand="1"/>
      </w:tblPr>
      <w:tblGrid>
        <w:gridCol w:w="7329"/>
      </w:tblGrid>
      <w:tr w:rsidR="00E54F55" w:rsidRPr="005B0796" w:rsidTr="0099117C">
        <w:trPr>
          <w:cantSplit/>
        </w:trPr>
        <w:tc>
          <w:tcPr>
            <w:tcW w:w="7315" w:type="dxa"/>
          </w:tcPr>
          <w:p w:rsidR="00E54F55" w:rsidRPr="005B0796" w:rsidRDefault="00E54F55" w:rsidP="0099117C">
            <w:r w:rsidRPr="005B0796">
              <w:rPr>
                <w:noProof/>
                <w:lang w:eastAsia="en-AU"/>
              </w:rPr>
              <w:drawing>
                <wp:inline distT="0" distB="0" distL="0" distR="0" wp14:anchorId="24768C1E" wp14:editId="72EA1EA1">
                  <wp:extent cx="4572000" cy="2743200"/>
                  <wp:effectExtent l="0" t="0" r="0" b="0"/>
                  <wp:docPr id="40" name="Chart 40" descr="Figure 6.1 Estimated prevalence in the Transitioned ADF compared to the Australian Community K10 scoring bands for Psychological distr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c>
      </w:tr>
    </w:tbl>
    <w:p w:rsidR="00E54F55" w:rsidRPr="005B0796" w:rsidRDefault="00E54F55" w:rsidP="0099117C">
      <w:pPr>
        <w:pStyle w:val="Heading3"/>
      </w:pPr>
      <w:bookmarkStart w:id="1198" w:name="_Toc482021400"/>
      <w:bookmarkStart w:id="1199" w:name="_Toc482024493"/>
      <w:bookmarkStart w:id="1200" w:name="_Toc487011245"/>
      <w:bookmarkStart w:id="1201" w:name="_Toc493663140"/>
      <w:bookmarkStart w:id="1202" w:name="_Toc494449765"/>
      <w:bookmarkStart w:id="1203" w:name="_Toc511900347"/>
      <w:r w:rsidRPr="005B0796">
        <w:t>Psychological distress</w:t>
      </w:r>
      <w:r w:rsidR="00E13799">
        <w:t>,</w:t>
      </w:r>
      <w:r w:rsidRPr="005B0796">
        <w:t xml:space="preserve"> by sex</w:t>
      </w:r>
      <w:bookmarkEnd w:id="1198"/>
      <w:bookmarkEnd w:id="1199"/>
      <w:bookmarkEnd w:id="1200"/>
      <w:bookmarkEnd w:id="1201"/>
      <w:bookmarkEnd w:id="1202"/>
      <w:bookmarkEnd w:id="1203"/>
    </w:p>
    <w:p w:rsidR="00E54F55" w:rsidRPr="005B0796" w:rsidRDefault="00E54F55" w:rsidP="0099117C">
      <w:r w:rsidRPr="005B0796">
        <w:t>Table 6.2 shows the distribution of psychological distress for males and females in the Transitioned ADF compared to the Australian Community. Patterns of psychological distress were similar in both populations for males and females. Similar to the overall pattern of results observed in the entire populations (Table 6.1 above), Transitioned ADF males were significantly more likely to score in the high to very high bands on the K10 compared to the Australian Community, and were significantly less likely to score in the low band. The same pattern was apparent for females, with Transitioned ADF females also significantly less likely to score in the moderate band.</w:t>
      </w:r>
    </w:p>
    <w:p w:rsidR="0099117C" w:rsidRPr="005B0796" w:rsidRDefault="0099117C" w:rsidP="0099117C">
      <w:pPr>
        <w:pStyle w:val="FigureName"/>
      </w:pPr>
      <w:bookmarkStart w:id="1204" w:name="_Toc511900588"/>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2</w:t>
      </w:r>
      <w:r w:rsidR="00D30A3C">
        <w:rPr>
          <w:noProof/>
        </w:rPr>
        <w:fldChar w:fldCharType="end"/>
      </w:r>
      <w:r w:rsidRPr="005B0796">
        <w:tab/>
      </w:r>
      <w:r w:rsidRPr="005B0796">
        <w:rPr>
          <w:lang w:eastAsia="en-AU"/>
        </w:rPr>
        <w:t xml:space="preserve">Estimated proportions of Transitioned ADF compared to the Australian Community in the K10 scoring bands for </w:t>
      </w:r>
      <w:r w:rsidR="00E13799" w:rsidRPr="005B0796">
        <w:rPr>
          <w:lang w:eastAsia="en-AU"/>
        </w:rPr>
        <w:t xml:space="preserve">psychological </w:t>
      </w:r>
      <w:r w:rsidRPr="005B0796">
        <w:rPr>
          <w:lang w:eastAsia="en-AU"/>
        </w:rPr>
        <w:t>distress</w:t>
      </w:r>
      <w:r w:rsidR="00E13799">
        <w:rPr>
          <w:lang w:eastAsia="en-AU"/>
        </w:rPr>
        <w:t>,</w:t>
      </w:r>
      <w:r w:rsidRPr="005B0796">
        <w:rPr>
          <w:lang w:eastAsia="en-AU"/>
        </w:rPr>
        <w:t xml:space="preserve"> by sex</w:t>
      </w:r>
      <w:bookmarkEnd w:id="1204"/>
    </w:p>
    <w:tbl>
      <w:tblPr>
        <w:tblW w:w="5000" w:type="pct"/>
        <w:tblLayout w:type="fixed"/>
        <w:tblCellMar>
          <w:left w:w="115" w:type="dxa"/>
          <w:right w:w="115" w:type="dxa"/>
        </w:tblCellMar>
        <w:tblLook w:val="04A0" w:firstRow="1" w:lastRow="0" w:firstColumn="1" w:lastColumn="0" w:noHBand="0" w:noVBand="1"/>
      </w:tblPr>
      <w:tblGrid>
        <w:gridCol w:w="7329"/>
      </w:tblGrid>
      <w:tr w:rsidR="00E54F55" w:rsidRPr="005B0796" w:rsidTr="0099117C">
        <w:trPr>
          <w:cantSplit/>
        </w:trPr>
        <w:tc>
          <w:tcPr>
            <w:tcW w:w="7315" w:type="dxa"/>
          </w:tcPr>
          <w:p w:rsidR="00E54F55" w:rsidRPr="005B0796" w:rsidRDefault="00E54F55" w:rsidP="0099117C">
            <w:r w:rsidRPr="005B0796">
              <w:rPr>
                <w:noProof/>
                <w:lang w:eastAsia="en-AU"/>
              </w:rPr>
              <w:drawing>
                <wp:inline distT="0" distB="0" distL="0" distR="0" wp14:anchorId="1AA60E7C" wp14:editId="6F867898">
                  <wp:extent cx="4572000" cy="2743200"/>
                  <wp:effectExtent l="0" t="0" r="0" b="0"/>
                  <wp:docPr id="306" name="Chart 306" descr="Figure 6.2 Estimated proportions of Transitioned ADF compared to the Australian Community in the K10 scoring bands for Psychological distres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c>
      </w:tr>
    </w:tbl>
    <w:p w:rsidR="00E54F55" w:rsidRPr="005B0796" w:rsidRDefault="00E54F55" w:rsidP="0099117C">
      <w:pPr>
        <w:pStyle w:val="Heading3"/>
      </w:pPr>
      <w:bookmarkStart w:id="1205" w:name="_Toc487011246"/>
      <w:bookmarkStart w:id="1206" w:name="_Toc493663141"/>
      <w:bookmarkStart w:id="1207" w:name="_Toc494449766"/>
      <w:bookmarkStart w:id="1208" w:name="_Toc511900348"/>
      <w:r w:rsidRPr="005B0796">
        <w:t>Psychological distress</w:t>
      </w:r>
      <w:r w:rsidR="00E13799">
        <w:t>,</w:t>
      </w:r>
      <w:r w:rsidRPr="005B0796">
        <w:t xml:space="preserve"> by age</w:t>
      </w:r>
      <w:bookmarkEnd w:id="1205"/>
      <w:bookmarkEnd w:id="1206"/>
      <w:bookmarkEnd w:id="1207"/>
      <w:bookmarkEnd w:id="1208"/>
    </w:p>
    <w:p w:rsidR="00E54F55" w:rsidRPr="005B0796" w:rsidRDefault="00E54F55" w:rsidP="0099117C">
      <w:r w:rsidRPr="005B0796">
        <w:t>Table 6.3 and Figure 6.3 summarise levels of psychological distress in the Transitioned ADF and the Australian Community</w:t>
      </w:r>
      <w:r w:rsidR="00E13799">
        <w:t>,</w:t>
      </w:r>
      <w:r w:rsidRPr="005B0796">
        <w:t xml:space="preserve"> by age band. As can be seen in Table 6.3, the Transitioned ADF in all age bands (except those aged 18–27) were significantly more likely to score in the high to very high scoring band. In contrast, they were significantly less likely to score in the low band for psychological distress compared to the Australian Community (Transitioned ADF members in the 18–27 age band were significantly more likely to score in the very high</w:t>
      </w:r>
      <w:r w:rsidR="00E13799">
        <w:t>-</w:t>
      </w:r>
      <w:r w:rsidRPr="005B0796">
        <w:t>scoring band only). Approximately 20% of each age group in the Transitioned ADF scored in the very high band on the K10 compared to just under 5% of the Australian Community sample. The only exception was those aged over 58. Around 13% of the Transitioned ADF aged over 58 scored in the very high band of the K10 compared to just under 3% of the Australian Community. Overall, the proportion of Transitioned ADF scoring in the high to very high K10 bands for psychological distress decreased after age 47, but remained relatively stable in the Australian Community.</w:t>
      </w:r>
    </w:p>
    <w:p w:rsidR="00E54F55" w:rsidRPr="005B0796" w:rsidRDefault="00E54F55" w:rsidP="00E54F55">
      <w:pPr>
        <w:sectPr w:rsidR="00E54F55" w:rsidRPr="005B0796" w:rsidSect="006C652D">
          <w:footerReference w:type="even" r:id="rId255"/>
          <w:footerReference w:type="default" r:id="rId256"/>
          <w:type w:val="oddPage"/>
          <w:pgSz w:w="9979" w:h="14170" w:code="243"/>
          <w:pgMar w:top="1440" w:right="1152" w:bottom="1440" w:left="1728" w:header="576" w:footer="576" w:gutter="0"/>
          <w:cols w:space="708"/>
          <w:docGrid w:linePitch="360"/>
        </w:sectPr>
      </w:pPr>
    </w:p>
    <w:p w:rsidR="00E54F55" w:rsidRPr="005B0796" w:rsidRDefault="0099117C" w:rsidP="0099117C">
      <w:pPr>
        <w:pStyle w:val="TableName"/>
      </w:pPr>
      <w:bookmarkStart w:id="1209" w:name="_Ref484695185"/>
      <w:bookmarkStart w:id="1210" w:name="_Toc487014330"/>
      <w:bookmarkStart w:id="1211" w:name="_Toc492995633"/>
      <w:bookmarkStart w:id="1212" w:name="_Toc51190048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2</w:t>
      </w:r>
      <w:r w:rsidR="00D30A3C">
        <w:rPr>
          <w:noProof/>
        </w:rPr>
        <w:fldChar w:fldCharType="end"/>
      </w:r>
      <w:bookmarkEnd w:id="1209"/>
      <w:r w:rsidRPr="005B0796">
        <w:tab/>
        <w:t xml:space="preserve">Estimated proportions of Transitioned ADF compared to the Australian Community in the K10 scoring bands for </w:t>
      </w:r>
      <w:r w:rsidR="00E13799" w:rsidRPr="005B0796">
        <w:t xml:space="preserve">psychological </w:t>
      </w:r>
      <w:r w:rsidRPr="005B0796">
        <w:t>distress</w:t>
      </w:r>
      <w:r w:rsidR="00E13799">
        <w:t>,</w:t>
      </w:r>
      <w:r w:rsidRPr="005B0796">
        <w:t xml:space="preserve"> by</w:t>
      </w:r>
      <w:r w:rsidR="00611091" w:rsidRPr="005B0796">
        <w:t> </w:t>
      </w:r>
      <w:r w:rsidRPr="005B0796">
        <w:t>sex</w:t>
      </w:r>
      <w:bookmarkEnd w:id="1210"/>
      <w:bookmarkEnd w:id="1211"/>
      <w:bookmarkEnd w:id="1212"/>
    </w:p>
    <w:tbl>
      <w:tblPr>
        <w:tblStyle w:val="TWRPTable"/>
        <w:tblW w:w="5000" w:type="pct"/>
        <w:tblLayout w:type="fixed"/>
        <w:tblLook w:val="01E0" w:firstRow="1" w:lastRow="1" w:firstColumn="1" w:lastColumn="1" w:noHBand="0" w:noVBand="0"/>
        <w:tblDescription w:val="Table 6.2 Estimated proportions of Transitioned ADF compared to the Australian Community in the K10 scoring bands for Psychological distress by sex"/>
      </w:tblPr>
      <w:tblGrid>
        <w:gridCol w:w="1008"/>
        <w:gridCol w:w="1530"/>
        <w:gridCol w:w="996"/>
        <w:gridCol w:w="996"/>
        <w:gridCol w:w="997"/>
        <w:gridCol w:w="996"/>
        <w:gridCol w:w="997"/>
        <w:gridCol w:w="996"/>
        <w:gridCol w:w="997"/>
        <w:gridCol w:w="996"/>
        <w:gridCol w:w="997"/>
      </w:tblGrid>
      <w:tr w:rsidR="00611091" w:rsidRPr="005B0796" w:rsidTr="00611091">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Pr>
          <w:p w:rsidR="00611091" w:rsidRPr="005B0796" w:rsidRDefault="00611091" w:rsidP="00611091">
            <w:pPr>
              <w:pStyle w:val="TableText"/>
              <w:rPr>
                <w:lang w:eastAsia="en-AU"/>
              </w:rPr>
            </w:pPr>
          </w:p>
        </w:tc>
        <w:tc>
          <w:tcPr>
            <w:tcW w:w="1530" w:type="dxa"/>
            <w:vMerge w:val="restart"/>
          </w:tcPr>
          <w:p w:rsidR="00611091" w:rsidRPr="005B0796" w:rsidRDefault="00611091" w:rsidP="00611091">
            <w:pPr>
              <w:pStyle w:val="TableText"/>
              <w:rPr>
                <w:lang w:eastAsia="en-AU"/>
              </w:rPr>
            </w:pPr>
          </w:p>
        </w:tc>
        <w:tc>
          <w:tcPr>
            <w:tcW w:w="2989" w:type="dxa"/>
            <w:gridSpan w:val="3"/>
            <w:hideMark/>
          </w:tcPr>
          <w:p w:rsidR="00611091" w:rsidRPr="005B0796" w:rsidRDefault="00611091" w:rsidP="00611091">
            <w:pPr>
              <w:pStyle w:val="TableText"/>
              <w:jc w:val="center"/>
              <w:rPr>
                <w:lang w:eastAsia="en-AU"/>
              </w:rPr>
            </w:pPr>
            <w:r w:rsidRPr="005B0796">
              <w:rPr>
                <w:bCs/>
                <w:lang w:eastAsia="en-AU"/>
              </w:rPr>
              <w:t xml:space="preserve">Transitioned ADF </w:t>
            </w:r>
            <w:r w:rsidRPr="005B0796">
              <w:rPr>
                <w:lang w:eastAsia="en-AU"/>
              </w:rPr>
              <w:t>(n = 24,932)</w:t>
            </w:r>
          </w:p>
        </w:tc>
        <w:tc>
          <w:tcPr>
            <w:tcW w:w="2989" w:type="dxa"/>
            <w:gridSpan w:val="3"/>
            <w:hideMark/>
          </w:tcPr>
          <w:p w:rsidR="00611091" w:rsidRPr="005B0796" w:rsidRDefault="00611091" w:rsidP="00611091">
            <w:pPr>
              <w:pStyle w:val="TableText"/>
              <w:jc w:val="center"/>
              <w:rPr>
                <w:lang w:eastAsia="en-AU"/>
              </w:rPr>
            </w:pPr>
            <w:r w:rsidRPr="005B0796">
              <w:rPr>
                <w:bCs/>
                <w:lang w:eastAsia="en-AU"/>
              </w:rPr>
              <w:t>Australian Community</w:t>
            </w:r>
          </w:p>
        </w:tc>
        <w:tc>
          <w:tcPr>
            <w:tcW w:w="2990" w:type="dxa"/>
            <w:gridSpan w:val="3"/>
            <w:hideMark/>
          </w:tcPr>
          <w:p w:rsidR="00611091" w:rsidRPr="005B0796" w:rsidRDefault="00611091" w:rsidP="00611091">
            <w:pPr>
              <w:pStyle w:val="TableText"/>
              <w:jc w:val="center"/>
              <w:rPr>
                <w:bCs/>
                <w:lang w:eastAsia="en-AU"/>
              </w:rPr>
            </w:pPr>
            <w:r w:rsidRPr="005B0796">
              <w:rPr>
                <w:bCs/>
                <w:lang w:eastAsia="en-AU"/>
              </w:rPr>
              <w:t>Difference</w:t>
            </w:r>
          </w:p>
        </w:tc>
      </w:tr>
      <w:tr w:rsidR="00611091" w:rsidRPr="005B0796" w:rsidTr="00611091">
        <w:trPr>
          <w:cnfStyle w:val="100000000000" w:firstRow="1" w:lastRow="0" w:firstColumn="0" w:lastColumn="0" w:oddVBand="0" w:evenVBand="0" w:oddHBand="0" w:evenHBand="0" w:firstRowFirstColumn="0" w:firstRowLastColumn="0" w:lastRowFirstColumn="0" w:lastRowLastColumn="0"/>
          <w:tblHeader/>
        </w:trPr>
        <w:tc>
          <w:tcPr>
            <w:tcW w:w="1008" w:type="dxa"/>
            <w:vMerge/>
          </w:tcPr>
          <w:p w:rsidR="00611091" w:rsidRPr="005B0796" w:rsidRDefault="00611091" w:rsidP="00611091">
            <w:pPr>
              <w:pStyle w:val="TableText"/>
              <w:rPr>
                <w:rFonts w:eastAsia="GillSans"/>
                <w:lang w:eastAsia="en-AU"/>
              </w:rPr>
            </w:pPr>
          </w:p>
        </w:tc>
        <w:tc>
          <w:tcPr>
            <w:tcW w:w="1530" w:type="dxa"/>
            <w:vMerge/>
          </w:tcPr>
          <w:p w:rsidR="00611091" w:rsidRPr="005B0796" w:rsidRDefault="00611091" w:rsidP="00611091">
            <w:pPr>
              <w:pStyle w:val="TableText"/>
              <w:rPr>
                <w:rFonts w:eastAsia="GillSans"/>
                <w:lang w:eastAsia="en-AU"/>
              </w:rPr>
            </w:pPr>
          </w:p>
        </w:tc>
        <w:tc>
          <w:tcPr>
            <w:tcW w:w="996" w:type="dxa"/>
            <w:hideMark/>
          </w:tcPr>
          <w:p w:rsidR="00611091" w:rsidRPr="005B0796" w:rsidRDefault="00611091" w:rsidP="00611091">
            <w:pPr>
              <w:pStyle w:val="TableText"/>
              <w:jc w:val="right"/>
              <w:rPr>
                <w:lang w:eastAsia="en-AU"/>
              </w:rPr>
            </w:pPr>
            <w:r w:rsidRPr="005B0796">
              <w:rPr>
                <w:lang w:eastAsia="en-AU"/>
              </w:rPr>
              <w:t>%</w:t>
            </w:r>
          </w:p>
        </w:tc>
        <w:tc>
          <w:tcPr>
            <w:tcW w:w="996" w:type="dxa"/>
            <w:hideMark/>
          </w:tcPr>
          <w:p w:rsidR="00611091" w:rsidRPr="005B0796" w:rsidRDefault="00611091" w:rsidP="00611091">
            <w:pPr>
              <w:pStyle w:val="TableText"/>
              <w:jc w:val="right"/>
              <w:rPr>
                <w:lang w:eastAsia="en-AU"/>
              </w:rPr>
            </w:pPr>
            <w:r w:rsidRPr="005B0796">
              <w:rPr>
                <w:lang w:eastAsia="en-AU"/>
              </w:rPr>
              <w:t>SE</w:t>
            </w:r>
          </w:p>
        </w:tc>
        <w:tc>
          <w:tcPr>
            <w:tcW w:w="997" w:type="dxa"/>
            <w:hideMark/>
          </w:tcPr>
          <w:p w:rsidR="00611091" w:rsidRPr="005B0796" w:rsidRDefault="00611091" w:rsidP="00611091">
            <w:pPr>
              <w:pStyle w:val="TableText"/>
              <w:jc w:val="right"/>
              <w:rPr>
                <w:lang w:eastAsia="en-AU"/>
              </w:rPr>
            </w:pPr>
            <w:r w:rsidRPr="005B0796">
              <w:rPr>
                <w:lang w:eastAsia="en-AU"/>
              </w:rPr>
              <w:t>95% CI</w:t>
            </w:r>
          </w:p>
        </w:tc>
        <w:tc>
          <w:tcPr>
            <w:tcW w:w="996" w:type="dxa"/>
            <w:hideMark/>
          </w:tcPr>
          <w:p w:rsidR="00611091" w:rsidRPr="005B0796" w:rsidRDefault="00611091" w:rsidP="00611091">
            <w:pPr>
              <w:pStyle w:val="TableText"/>
              <w:jc w:val="right"/>
              <w:rPr>
                <w:lang w:eastAsia="en-AU"/>
              </w:rPr>
            </w:pPr>
            <w:r w:rsidRPr="005B0796">
              <w:rPr>
                <w:lang w:eastAsia="en-AU"/>
              </w:rPr>
              <w:t>%</w:t>
            </w:r>
          </w:p>
        </w:tc>
        <w:tc>
          <w:tcPr>
            <w:tcW w:w="997" w:type="dxa"/>
            <w:hideMark/>
          </w:tcPr>
          <w:p w:rsidR="00611091" w:rsidRPr="005B0796" w:rsidRDefault="00611091" w:rsidP="00611091">
            <w:pPr>
              <w:pStyle w:val="TableText"/>
              <w:jc w:val="right"/>
              <w:rPr>
                <w:lang w:eastAsia="en-AU"/>
              </w:rPr>
            </w:pPr>
            <w:r w:rsidRPr="005B0796">
              <w:rPr>
                <w:lang w:eastAsia="en-AU"/>
              </w:rPr>
              <w:t>SE</w:t>
            </w:r>
          </w:p>
        </w:tc>
        <w:tc>
          <w:tcPr>
            <w:tcW w:w="996" w:type="dxa"/>
            <w:hideMark/>
          </w:tcPr>
          <w:p w:rsidR="00611091" w:rsidRPr="005B0796" w:rsidRDefault="00611091" w:rsidP="00611091">
            <w:pPr>
              <w:pStyle w:val="TableText"/>
              <w:jc w:val="right"/>
              <w:rPr>
                <w:lang w:eastAsia="en-AU"/>
              </w:rPr>
            </w:pPr>
            <w:r w:rsidRPr="005B0796">
              <w:rPr>
                <w:lang w:eastAsia="en-AU"/>
              </w:rPr>
              <w:t>95% CI</w:t>
            </w:r>
          </w:p>
        </w:tc>
        <w:tc>
          <w:tcPr>
            <w:tcW w:w="997" w:type="dxa"/>
            <w:hideMark/>
          </w:tcPr>
          <w:p w:rsidR="00611091" w:rsidRPr="005B0796" w:rsidRDefault="00611091" w:rsidP="00611091">
            <w:pPr>
              <w:pStyle w:val="TableText"/>
              <w:jc w:val="right"/>
              <w:rPr>
                <w:lang w:eastAsia="en-AU"/>
              </w:rPr>
            </w:pPr>
            <w:r w:rsidRPr="005B0796">
              <w:rPr>
                <w:lang w:eastAsia="en-AU"/>
              </w:rPr>
              <w:t>%</w:t>
            </w:r>
          </w:p>
        </w:tc>
        <w:tc>
          <w:tcPr>
            <w:tcW w:w="996" w:type="dxa"/>
            <w:hideMark/>
          </w:tcPr>
          <w:p w:rsidR="00611091" w:rsidRPr="005B0796" w:rsidRDefault="00611091" w:rsidP="00611091">
            <w:pPr>
              <w:pStyle w:val="TableText"/>
              <w:jc w:val="right"/>
              <w:rPr>
                <w:lang w:eastAsia="en-AU"/>
              </w:rPr>
            </w:pPr>
            <w:r w:rsidRPr="005B0796">
              <w:rPr>
                <w:lang w:eastAsia="en-AU"/>
              </w:rPr>
              <w:t>SE</w:t>
            </w:r>
          </w:p>
        </w:tc>
        <w:tc>
          <w:tcPr>
            <w:tcW w:w="997" w:type="dxa"/>
            <w:hideMark/>
          </w:tcPr>
          <w:p w:rsidR="00611091" w:rsidRPr="005B0796" w:rsidRDefault="00611091" w:rsidP="00611091">
            <w:pPr>
              <w:pStyle w:val="TableText"/>
              <w:jc w:val="right"/>
              <w:rPr>
                <w:lang w:eastAsia="en-AU"/>
              </w:rPr>
            </w:pPr>
            <w:r w:rsidRPr="005B0796">
              <w:rPr>
                <w:lang w:eastAsia="en-AU"/>
              </w:rPr>
              <w:t>95% CI</w:t>
            </w:r>
          </w:p>
        </w:tc>
      </w:tr>
      <w:tr w:rsidR="00E54F55"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Male</w:t>
            </w:r>
          </w:p>
        </w:tc>
        <w:tc>
          <w:tcPr>
            <w:tcW w:w="1530" w:type="dxa"/>
            <w:hideMark/>
          </w:tcPr>
          <w:p w:rsidR="00E54F55" w:rsidRPr="005B0796" w:rsidRDefault="00E54F55" w:rsidP="00611091">
            <w:pPr>
              <w:pStyle w:val="TableText"/>
              <w:rPr>
                <w:rFonts w:eastAsia="GillSans"/>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47.8</w:t>
            </w:r>
          </w:p>
        </w:tc>
        <w:tc>
          <w:tcPr>
            <w:tcW w:w="996" w:type="dxa"/>
            <w:hideMark/>
          </w:tcPr>
          <w:p w:rsidR="00E54F55" w:rsidRPr="005B0796" w:rsidRDefault="00E54F55" w:rsidP="00611091">
            <w:pPr>
              <w:pStyle w:val="TableText"/>
              <w:jc w:val="right"/>
              <w:rPr>
                <w:lang w:eastAsia="en-AU"/>
              </w:rPr>
            </w:pPr>
            <w:r w:rsidRPr="005B0796">
              <w:rPr>
                <w:lang w:eastAsia="en-AU"/>
              </w:rPr>
              <w:t>1.0</w:t>
            </w:r>
          </w:p>
        </w:tc>
        <w:tc>
          <w:tcPr>
            <w:tcW w:w="997" w:type="dxa"/>
            <w:hideMark/>
          </w:tcPr>
          <w:p w:rsidR="00E54F55" w:rsidRPr="005B0796" w:rsidRDefault="00E54F55" w:rsidP="00611091">
            <w:pPr>
              <w:pStyle w:val="TableText"/>
              <w:jc w:val="right"/>
              <w:rPr>
                <w:lang w:eastAsia="en-AU"/>
              </w:rPr>
            </w:pPr>
            <w:r w:rsidRPr="005B0796">
              <w:rPr>
                <w:lang w:eastAsia="en-AU"/>
              </w:rPr>
              <w:t>45.8, 49.8</w:t>
            </w:r>
          </w:p>
        </w:tc>
        <w:tc>
          <w:tcPr>
            <w:tcW w:w="996" w:type="dxa"/>
            <w:hideMark/>
          </w:tcPr>
          <w:p w:rsidR="00E54F55" w:rsidRPr="005B0796" w:rsidRDefault="00E54F55" w:rsidP="00611091">
            <w:pPr>
              <w:pStyle w:val="TableText"/>
              <w:jc w:val="right"/>
              <w:rPr>
                <w:lang w:eastAsia="en-AU"/>
              </w:rPr>
            </w:pPr>
            <w:r w:rsidRPr="005B0796">
              <w:rPr>
                <w:lang w:eastAsia="en-AU"/>
              </w:rPr>
              <w:t>67.1</w:t>
            </w:r>
          </w:p>
        </w:tc>
        <w:tc>
          <w:tcPr>
            <w:tcW w:w="997" w:type="dxa"/>
            <w:hideMark/>
          </w:tcPr>
          <w:p w:rsidR="00E54F55" w:rsidRPr="005B0796" w:rsidRDefault="00E54F55" w:rsidP="00611091">
            <w:pPr>
              <w:pStyle w:val="TableText"/>
              <w:jc w:val="right"/>
              <w:rPr>
                <w:lang w:eastAsia="en-AU"/>
              </w:rPr>
            </w:pPr>
            <w:r w:rsidRPr="005B0796">
              <w:rPr>
                <w:lang w:eastAsia="en-AU"/>
              </w:rPr>
              <w:t>1.1</w:t>
            </w:r>
          </w:p>
        </w:tc>
        <w:tc>
          <w:tcPr>
            <w:tcW w:w="996" w:type="dxa"/>
            <w:hideMark/>
          </w:tcPr>
          <w:p w:rsidR="00E54F55" w:rsidRPr="005B0796" w:rsidRDefault="00E54F55" w:rsidP="00611091">
            <w:pPr>
              <w:pStyle w:val="TableText"/>
              <w:jc w:val="right"/>
              <w:rPr>
                <w:lang w:eastAsia="en-AU"/>
              </w:rPr>
            </w:pPr>
            <w:r w:rsidRPr="005B0796">
              <w:rPr>
                <w:lang w:eastAsia="en-AU"/>
              </w:rPr>
              <w:t>64.9, 69.2</w:t>
            </w:r>
          </w:p>
        </w:tc>
        <w:tc>
          <w:tcPr>
            <w:tcW w:w="997" w:type="dxa"/>
            <w:hideMark/>
          </w:tcPr>
          <w:p w:rsidR="00E54F55" w:rsidRPr="005B0796" w:rsidRDefault="00E54F55" w:rsidP="00611091">
            <w:pPr>
              <w:pStyle w:val="TableText"/>
              <w:jc w:val="right"/>
              <w:rPr>
                <w:lang w:eastAsia="en-AU"/>
              </w:rPr>
            </w:pPr>
            <w:r w:rsidRPr="005B0796">
              <w:rPr>
                <w:lang w:eastAsia="en-AU"/>
              </w:rPr>
              <w:t>-19.3</w:t>
            </w:r>
          </w:p>
        </w:tc>
        <w:tc>
          <w:tcPr>
            <w:tcW w:w="996" w:type="dxa"/>
            <w:hideMark/>
          </w:tcPr>
          <w:p w:rsidR="00E54F55" w:rsidRPr="005B0796" w:rsidRDefault="00E54F55" w:rsidP="00611091">
            <w:pPr>
              <w:pStyle w:val="TableText"/>
              <w:jc w:val="right"/>
              <w:rPr>
                <w:lang w:eastAsia="en-AU"/>
              </w:rPr>
            </w:pPr>
            <w:r w:rsidRPr="005B0796">
              <w:rPr>
                <w:lang w:eastAsia="en-AU"/>
              </w:rPr>
              <w:t>1.5</w:t>
            </w:r>
          </w:p>
        </w:tc>
        <w:tc>
          <w:tcPr>
            <w:tcW w:w="997" w:type="dxa"/>
            <w:hideMark/>
          </w:tcPr>
          <w:p w:rsidR="00E54F55" w:rsidRPr="005B0796" w:rsidRDefault="00E54F55" w:rsidP="00611091">
            <w:pPr>
              <w:pStyle w:val="TableText"/>
              <w:jc w:val="right"/>
              <w:rPr>
                <w:lang w:eastAsia="en-AU"/>
              </w:rPr>
            </w:pPr>
            <w:r w:rsidRPr="005B0796">
              <w:rPr>
                <w:lang w:eastAsia="en-AU"/>
              </w:rPr>
              <w:t>-22.1, -16.4</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rFonts w:eastAsia="GillSans"/>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17.8</w:t>
            </w:r>
          </w:p>
        </w:tc>
        <w:tc>
          <w:tcPr>
            <w:tcW w:w="996" w:type="dxa"/>
            <w:hideMark/>
          </w:tcPr>
          <w:p w:rsidR="00E54F55" w:rsidRPr="005B0796" w:rsidRDefault="00E54F55" w:rsidP="00611091">
            <w:pPr>
              <w:pStyle w:val="TableText"/>
              <w:jc w:val="right"/>
              <w:rPr>
                <w:lang w:eastAsia="en-AU"/>
              </w:rPr>
            </w:pPr>
            <w:r w:rsidRPr="005B0796">
              <w:rPr>
                <w:lang w:eastAsia="en-AU"/>
              </w:rPr>
              <w:t>0.8</w:t>
            </w:r>
          </w:p>
        </w:tc>
        <w:tc>
          <w:tcPr>
            <w:tcW w:w="997" w:type="dxa"/>
            <w:hideMark/>
          </w:tcPr>
          <w:p w:rsidR="00E54F55" w:rsidRPr="005B0796" w:rsidRDefault="00E54F55" w:rsidP="00611091">
            <w:pPr>
              <w:pStyle w:val="TableText"/>
              <w:jc w:val="right"/>
              <w:rPr>
                <w:lang w:eastAsia="en-AU"/>
              </w:rPr>
            </w:pPr>
            <w:r w:rsidRPr="005B0796">
              <w:rPr>
                <w:lang w:eastAsia="en-AU"/>
              </w:rPr>
              <w:t>16.3, 19.4</w:t>
            </w:r>
          </w:p>
        </w:tc>
        <w:tc>
          <w:tcPr>
            <w:tcW w:w="996" w:type="dxa"/>
            <w:hideMark/>
          </w:tcPr>
          <w:p w:rsidR="00E54F55" w:rsidRPr="005B0796" w:rsidRDefault="00E54F55" w:rsidP="00611091">
            <w:pPr>
              <w:pStyle w:val="TableText"/>
              <w:jc w:val="right"/>
              <w:rPr>
                <w:lang w:eastAsia="en-AU"/>
              </w:rPr>
            </w:pPr>
            <w:r w:rsidRPr="005B0796">
              <w:rPr>
                <w:lang w:eastAsia="en-AU"/>
              </w:rPr>
              <w:t>19.7</w:t>
            </w:r>
          </w:p>
        </w:tc>
        <w:tc>
          <w:tcPr>
            <w:tcW w:w="997" w:type="dxa"/>
            <w:hideMark/>
          </w:tcPr>
          <w:p w:rsidR="00E54F55" w:rsidRPr="005B0796" w:rsidRDefault="00E54F55" w:rsidP="00611091">
            <w:pPr>
              <w:pStyle w:val="TableText"/>
              <w:jc w:val="right"/>
              <w:rPr>
                <w:lang w:eastAsia="en-AU"/>
              </w:rPr>
            </w:pPr>
            <w:r w:rsidRPr="005B0796">
              <w:rPr>
                <w:lang w:eastAsia="en-AU"/>
              </w:rPr>
              <w:t>0.9</w:t>
            </w:r>
          </w:p>
        </w:tc>
        <w:tc>
          <w:tcPr>
            <w:tcW w:w="996" w:type="dxa"/>
            <w:hideMark/>
          </w:tcPr>
          <w:p w:rsidR="00E54F55" w:rsidRPr="005B0796" w:rsidRDefault="00E54F55" w:rsidP="00611091">
            <w:pPr>
              <w:pStyle w:val="TableText"/>
              <w:jc w:val="right"/>
              <w:rPr>
                <w:lang w:eastAsia="en-AU"/>
              </w:rPr>
            </w:pPr>
            <w:r w:rsidRPr="005B0796">
              <w:rPr>
                <w:lang w:eastAsia="en-AU"/>
              </w:rPr>
              <w:t>16.3, 19.4</w:t>
            </w:r>
          </w:p>
        </w:tc>
        <w:tc>
          <w:tcPr>
            <w:tcW w:w="997" w:type="dxa"/>
            <w:hideMark/>
          </w:tcPr>
          <w:p w:rsidR="00E54F55" w:rsidRPr="005B0796" w:rsidRDefault="00E54F55" w:rsidP="00611091">
            <w:pPr>
              <w:pStyle w:val="TableText"/>
              <w:jc w:val="right"/>
              <w:rPr>
                <w:lang w:eastAsia="en-AU"/>
              </w:rPr>
            </w:pPr>
            <w:r w:rsidRPr="005B0796">
              <w:rPr>
                <w:lang w:eastAsia="en-AU"/>
              </w:rPr>
              <w:t>-1.9</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-4.2, 0.4</w:t>
            </w:r>
          </w:p>
        </w:tc>
      </w:tr>
      <w:tr w:rsidR="00E54F55"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rFonts w:eastAsia="GillSans"/>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13.5</w:t>
            </w:r>
          </w:p>
        </w:tc>
        <w:tc>
          <w:tcPr>
            <w:tcW w:w="996" w:type="dxa"/>
            <w:hideMark/>
          </w:tcPr>
          <w:p w:rsidR="00E54F55" w:rsidRPr="005B0796" w:rsidRDefault="00E54F55" w:rsidP="00611091">
            <w:pPr>
              <w:pStyle w:val="TableText"/>
              <w:jc w:val="right"/>
              <w:rPr>
                <w:lang w:eastAsia="en-AU"/>
              </w:rPr>
            </w:pPr>
            <w:r w:rsidRPr="005B0796">
              <w:rPr>
                <w:lang w:eastAsia="en-AU"/>
              </w:rPr>
              <w:t>0.7</w:t>
            </w:r>
          </w:p>
        </w:tc>
        <w:tc>
          <w:tcPr>
            <w:tcW w:w="997" w:type="dxa"/>
            <w:hideMark/>
          </w:tcPr>
          <w:p w:rsidR="00E54F55" w:rsidRPr="005B0796" w:rsidRDefault="00E54F55" w:rsidP="00611091">
            <w:pPr>
              <w:pStyle w:val="TableText"/>
              <w:jc w:val="right"/>
              <w:rPr>
                <w:lang w:eastAsia="en-AU"/>
              </w:rPr>
            </w:pPr>
            <w:r w:rsidRPr="005B0796">
              <w:rPr>
                <w:lang w:eastAsia="en-AU"/>
              </w:rPr>
              <w:t>12.2, 14.9</w:t>
            </w:r>
          </w:p>
        </w:tc>
        <w:tc>
          <w:tcPr>
            <w:tcW w:w="996" w:type="dxa"/>
            <w:hideMark/>
          </w:tcPr>
          <w:p w:rsidR="00E54F55" w:rsidRPr="005B0796" w:rsidRDefault="00E54F55" w:rsidP="00611091">
            <w:pPr>
              <w:pStyle w:val="TableText"/>
              <w:jc w:val="right"/>
              <w:rPr>
                <w:lang w:eastAsia="en-AU"/>
              </w:rPr>
            </w:pPr>
            <w:r w:rsidRPr="005B0796">
              <w:rPr>
                <w:lang w:eastAsia="en-AU"/>
              </w:rPr>
              <w:t>8.0</w:t>
            </w:r>
          </w:p>
        </w:tc>
        <w:tc>
          <w:tcPr>
            <w:tcW w:w="997" w:type="dxa"/>
            <w:hideMark/>
          </w:tcPr>
          <w:p w:rsidR="00E54F55" w:rsidRPr="005B0796" w:rsidRDefault="00E54F55" w:rsidP="00611091">
            <w:pPr>
              <w:pStyle w:val="TableText"/>
              <w:jc w:val="right"/>
              <w:rPr>
                <w:lang w:eastAsia="en-AU"/>
              </w:rPr>
            </w:pPr>
            <w:r w:rsidRPr="005B0796">
              <w:rPr>
                <w:lang w:eastAsia="en-AU"/>
              </w:rPr>
              <w:t>0.7</w:t>
            </w:r>
          </w:p>
        </w:tc>
        <w:tc>
          <w:tcPr>
            <w:tcW w:w="996" w:type="dxa"/>
            <w:hideMark/>
          </w:tcPr>
          <w:p w:rsidR="00E54F55" w:rsidRPr="005B0796" w:rsidRDefault="00E54F55" w:rsidP="00611091">
            <w:pPr>
              <w:pStyle w:val="TableText"/>
              <w:jc w:val="right"/>
              <w:rPr>
                <w:lang w:eastAsia="en-AU"/>
              </w:rPr>
            </w:pPr>
            <w:r w:rsidRPr="005B0796">
              <w:rPr>
                <w:lang w:eastAsia="en-AU"/>
              </w:rPr>
              <w:t>6.7, 9.3</w:t>
            </w:r>
          </w:p>
        </w:tc>
        <w:tc>
          <w:tcPr>
            <w:tcW w:w="997" w:type="dxa"/>
            <w:hideMark/>
          </w:tcPr>
          <w:p w:rsidR="00E54F55" w:rsidRPr="005B0796" w:rsidRDefault="00E54F55" w:rsidP="00611091">
            <w:pPr>
              <w:pStyle w:val="TableText"/>
              <w:jc w:val="right"/>
              <w:rPr>
                <w:lang w:eastAsia="en-AU"/>
              </w:rPr>
            </w:pPr>
            <w:r w:rsidRPr="005B0796">
              <w:rPr>
                <w:lang w:eastAsia="en-AU"/>
              </w:rPr>
              <w:t>5.5</w:t>
            </w:r>
          </w:p>
        </w:tc>
        <w:tc>
          <w:tcPr>
            <w:tcW w:w="996" w:type="dxa"/>
            <w:hideMark/>
          </w:tcPr>
          <w:p w:rsidR="00E54F55" w:rsidRPr="005B0796" w:rsidRDefault="00E54F55" w:rsidP="00611091">
            <w:pPr>
              <w:pStyle w:val="TableText"/>
              <w:jc w:val="right"/>
              <w:rPr>
                <w:lang w:eastAsia="en-AU"/>
              </w:rPr>
            </w:pPr>
            <w:r w:rsidRPr="005B0796">
              <w:rPr>
                <w:lang w:eastAsia="en-AU"/>
              </w:rPr>
              <w:t>0.9</w:t>
            </w:r>
          </w:p>
        </w:tc>
        <w:tc>
          <w:tcPr>
            <w:tcW w:w="997" w:type="dxa"/>
            <w:hideMark/>
          </w:tcPr>
          <w:p w:rsidR="00E54F55" w:rsidRPr="005B0796" w:rsidRDefault="00E54F55" w:rsidP="00611091">
            <w:pPr>
              <w:pStyle w:val="TableText"/>
              <w:jc w:val="right"/>
              <w:rPr>
                <w:lang w:eastAsia="en-AU"/>
              </w:rPr>
            </w:pPr>
            <w:r w:rsidRPr="005B0796">
              <w:rPr>
                <w:lang w:eastAsia="en-AU"/>
              </w:rPr>
              <w:t>3.6, 7.4</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19.5</w:t>
            </w:r>
          </w:p>
        </w:tc>
        <w:tc>
          <w:tcPr>
            <w:tcW w:w="996" w:type="dxa"/>
            <w:hideMark/>
          </w:tcPr>
          <w:p w:rsidR="00E54F55" w:rsidRPr="005B0796" w:rsidRDefault="00E54F55" w:rsidP="00611091">
            <w:pPr>
              <w:pStyle w:val="TableText"/>
              <w:jc w:val="right"/>
              <w:rPr>
                <w:lang w:eastAsia="en-AU"/>
              </w:rPr>
            </w:pPr>
            <w:r w:rsidRPr="005B0796">
              <w:rPr>
                <w:lang w:eastAsia="en-AU"/>
              </w:rPr>
              <w:t>0.8</w:t>
            </w:r>
          </w:p>
        </w:tc>
        <w:tc>
          <w:tcPr>
            <w:tcW w:w="997" w:type="dxa"/>
            <w:hideMark/>
          </w:tcPr>
          <w:p w:rsidR="00E54F55" w:rsidRPr="005B0796" w:rsidRDefault="00E54F55" w:rsidP="00611091">
            <w:pPr>
              <w:pStyle w:val="TableText"/>
              <w:jc w:val="right"/>
              <w:rPr>
                <w:lang w:eastAsia="en-AU"/>
              </w:rPr>
            </w:pPr>
            <w:r w:rsidRPr="005B0796">
              <w:rPr>
                <w:lang w:eastAsia="en-AU"/>
              </w:rPr>
              <w:t>17.9, 21.2</w:t>
            </w:r>
          </w:p>
        </w:tc>
        <w:tc>
          <w:tcPr>
            <w:tcW w:w="996" w:type="dxa"/>
            <w:hideMark/>
          </w:tcPr>
          <w:p w:rsidR="00E54F55" w:rsidRPr="005B0796" w:rsidRDefault="00E54F55" w:rsidP="00611091">
            <w:pPr>
              <w:pStyle w:val="TableText"/>
              <w:jc w:val="right"/>
              <w:rPr>
                <w:lang w:eastAsia="en-AU"/>
              </w:rPr>
            </w:pPr>
            <w:r w:rsidRPr="005B0796">
              <w:rPr>
                <w:lang w:eastAsia="en-AU"/>
              </w:rPr>
              <w:t>4.5</w:t>
            </w:r>
          </w:p>
        </w:tc>
        <w:tc>
          <w:tcPr>
            <w:tcW w:w="997" w:type="dxa"/>
            <w:hideMark/>
          </w:tcPr>
          <w:p w:rsidR="00E54F55" w:rsidRPr="005B0796" w:rsidRDefault="00E54F55" w:rsidP="00611091">
            <w:pPr>
              <w:pStyle w:val="TableText"/>
              <w:jc w:val="right"/>
              <w:rPr>
                <w:lang w:eastAsia="en-AU"/>
              </w:rPr>
            </w:pPr>
            <w:r w:rsidRPr="005B0796">
              <w:rPr>
                <w:lang w:eastAsia="en-AU"/>
              </w:rPr>
              <w:t>0.6</w:t>
            </w:r>
          </w:p>
        </w:tc>
        <w:tc>
          <w:tcPr>
            <w:tcW w:w="996" w:type="dxa"/>
            <w:hideMark/>
          </w:tcPr>
          <w:p w:rsidR="00E54F55" w:rsidRPr="005B0796" w:rsidRDefault="00E54F55" w:rsidP="00611091">
            <w:pPr>
              <w:pStyle w:val="TableText"/>
              <w:jc w:val="right"/>
              <w:rPr>
                <w:lang w:eastAsia="en-AU"/>
              </w:rPr>
            </w:pPr>
            <w:r w:rsidRPr="005B0796">
              <w:rPr>
                <w:lang w:eastAsia="en-AU"/>
              </w:rPr>
              <w:t>3.3, 5.7</w:t>
            </w:r>
          </w:p>
        </w:tc>
        <w:tc>
          <w:tcPr>
            <w:tcW w:w="997" w:type="dxa"/>
            <w:hideMark/>
          </w:tcPr>
          <w:p w:rsidR="00E54F55" w:rsidRPr="005B0796" w:rsidRDefault="00E54F55" w:rsidP="00611091">
            <w:pPr>
              <w:pStyle w:val="TableText"/>
              <w:jc w:val="right"/>
              <w:rPr>
                <w:lang w:eastAsia="en-AU"/>
              </w:rPr>
            </w:pPr>
            <w:r w:rsidRPr="005B0796">
              <w:rPr>
                <w:lang w:eastAsia="en-AU"/>
              </w:rPr>
              <w:t>15.0</w:t>
            </w:r>
          </w:p>
        </w:tc>
        <w:tc>
          <w:tcPr>
            <w:tcW w:w="996" w:type="dxa"/>
            <w:hideMark/>
          </w:tcPr>
          <w:p w:rsidR="00E54F55" w:rsidRPr="005B0796" w:rsidRDefault="00E54F55" w:rsidP="00611091">
            <w:pPr>
              <w:pStyle w:val="TableText"/>
              <w:jc w:val="right"/>
              <w:rPr>
                <w:lang w:eastAsia="en-AU"/>
              </w:rPr>
            </w:pPr>
            <w:r w:rsidRPr="005B0796">
              <w:rPr>
                <w:lang w:eastAsia="en-AU"/>
              </w:rPr>
              <w:t>1.0</w:t>
            </w:r>
          </w:p>
        </w:tc>
        <w:tc>
          <w:tcPr>
            <w:tcW w:w="997" w:type="dxa"/>
            <w:hideMark/>
          </w:tcPr>
          <w:p w:rsidR="00E54F55" w:rsidRPr="005B0796" w:rsidRDefault="00E54F55" w:rsidP="00611091">
            <w:pPr>
              <w:pStyle w:val="TableText"/>
              <w:jc w:val="right"/>
              <w:rPr>
                <w:lang w:eastAsia="en-AU"/>
              </w:rPr>
            </w:pPr>
            <w:r w:rsidRPr="005B0796">
              <w:rPr>
                <w:lang w:eastAsia="en-AU"/>
              </w:rPr>
              <w:t>13.1, 16.9</w:t>
            </w:r>
          </w:p>
        </w:tc>
      </w:tr>
      <w:tr w:rsidR="00E54F55"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Female</w:t>
            </w:r>
          </w:p>
        </w:tc>
        <w:tc>
          <w:tcPr>
            <w:tcW w:w="1530" w:type="dxa"/>
            <w:hideMark/>
          </w:tcPr>
          <w:p w:rsidR="00E54F55" w:rsidRPr="005B0796" w:rsidRDefault="00E54F55" w:rsidP="00611091">
            <w:pPr>
              <w:pStyle w:val="TableText"/>
              <w:rPr>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47.3</w:t>
            </w:r>
          </w:p>
        </w:tc>
        <w:tc>
          <w:tcPr>
            <w:tcW w:w="996" w:type="dxa"/>
            <w:hideMark/>
          </w:tcPr>
          <w:p w:rsidR="00E54F55" w:rsidRPr="005B0796" w:rsidRDefault="00E54F55" w:rsidP="00611091">
            <w:pPr>
              <w:pStyle w:val="TableText"/>
              <w:jc w:val="right"/>
              <w:rPr>
                <w:lang w:eastAsia="en-AU"/>
              </w:rPr>
            </w:pPr>
            <w:r w:rsidRPr="005B0796">
              <w:rPr>
                <w:lang w:eastAsia="en-AU"/>
              </w:rPr>
              <w:t>2.2</w:t>
            </w:r>
          </w:p>
        </w:tc>
        <w:tc>
          <w:tcPr>
            <w:tcW w:w="997" w:type="dxa"/>
            <w:hideMark/>
          </w:tcPr>
          <w:p w:rsidR="00E54F55" w:rsidRPr="005B0796" w:rsidRDefault="00E54F55" w:rsidP="00611091">
            <w:pPr>
              <w:pStyle w:val="TableText"/>
              <w:jc w:val="right"/>
              <w:rPr>
                <w:lang w:eastAsia="en-AU"/>
              </w:rPr>
            </w:pPr>
            <w:r w:rsidRPr="005B0796">
              <w:rPr>
                <w:lang w:eastAsia="en-AU"/>
              </w:rPr>
              <w:t>43.1, 51. 6</w:t>
            </w:r>
          </w:p>
        </w:tc>
        <w:tc>
          <w:tcPr>
            <w:tcW w:w="996" w:type="dxa"/>
            <w:hideMark/>
          </w:tcPr>
          <w:p w:rsidR="00E54F55" w:rsidRPr="005B0796" w:rsidRDefault="00E54F55" w:rsidP="00611091">
            <w:pPr>
              <w:pStyle w:val="TableText"/>
              <w:jc w:val="right"/>
              <w:rPr>
                <w:lang w:eastAsia="en-AU"/>
              </w:rPr>
            </w:pPr>
            <w:r w:rsidRPr="005B0796">
              <w:rPr>
                <w:lang w:eastAsia="en-AU"/>
              </w:rPr>
              <w:t>61.3</w:t>
            </w:r>
          </w:p>
        </w:tc>
        <w:tc>
          <w:tcPr>
            <w:tcW w:w="997" w:type="dxa"/>
            <w:hideMark/>
          </w:tcPr>
          <w:p w:rsidR="00E54F55" w:rsidRPr="005B0796" w:rsidRDefault="00E54F55" w:rsidP="00611091">
            <w:pPr>
              <w:pStyle w:val="TableText"/>
              <w:jc w:val="right"/>
              <w:rPr>
                <w:lang w:eastAsia="en-AU"/>
              </w:rPr>
            </w:pPr>
            <w:r w:rsidRPr="005B0796">
              <w:rPr>
                <w:lang w:eastAsia="en-AU"/>
              </w:rPr>
              <w:t>1.0</w:t>
            </w:r>
          </w:p>
        </w:tc>
        <w:tc>
          <w:tcPr>
            <w:tcW w:w="996" w:type="dxa"/>
            <w:hideMark/>
          </w:tcPr>
          <w:p w:rsidR="00E54F55" w:rsidRPr="005B0796" w:rsidRDefault="00E54F55" w:rsidP="00611091">
            <w:pPr>
              <w:pStyle w:val="TableText"/>
              <w:jc w:val="right"/>
              <w:rPr>
                <w:lang w:eastAsia="en-AU"/>
              </w:rPr>
            </w:pPr>
            <w:r w:rsidRPr="005B0796">
              <w:rPr>
                <w:lang w:eastAsia="en-AU"/>
              </w:rPr>
              <w:t>59.4, 63.2</w:t>
            </w:r>
          </w:p>
        </w:tc>
        <w:tc>
          <w:tcPr>
            <w:tcW w:w="997" w:type="dxa"/>
            <w:hideMark/>
          </w:tcPr>
          <w:p w:rsidR="00E54F55" w:rsidRPr="005B0796" w:rsidRDefault="00E54F55" w:rsidP="00611091">
            <w:pPr>
              <w:pStyle w:val="TableText"/>
              <w:jc w:val="right"/>
              <w:rPr>
                <w:lang w:eastAsia="en-AU"/>
              </w:rPr>
            </w:pPr>
            <w:r w:rsidRPr="005B0796">
              <w:rPr>
                <w:lang w:eastAsia="en-AU"/>
              </w:rPr>
              <w:t>-14.0</w:t>
            </w:r>
          </w:p>
        </w:tc>
        <w:tc>
          <w:tcPr>
            <w:tcW w:w="996" w:type="dxa"/>
            <w:hideMark/>
          </w:tcPr>
          <w:p w:rsidR="00E54F55" w:rsidRPr="005B0796" w:rsidRDefault="00E54F55" w:rsidP="00611091">
            <w:pPr>
              <w:pStyle w:val="TableText"/>
              <w:jc w:val="right"/>
              <w:rPr>
                <w:lang w:eastAsia="en-AU"/>
              </w:rPr>
            </w:pPr>
            <w:r w:rsidRPr="005B0796">
              <w:rPr>
                <w:lang w:eastAsia="en-AU"/>
              </w:rPr>
              <w:t>2.4</w:t>
            </w:r>
          </w:p>
        </w:tc>
        <w:tc>
          <w:tcPr>
            <w:tcW w:w="997" w:type="dxa"/>
            <w:hideMark/>
          </w:tcPr>
          <w:p w:rsidR="00E54F55" w:rsidRPr="005B0796" w:rsidRDefault="00E54F55" w:rsidP="00611091">
            <w:pPr>
              <w:pStyle w:val="TableText"/>
              <w:jc w:val="right"/>
              <w:rPr>
                <w:lang w:eastAsia="en-AU"/>
              </w:rPr>
            </w:pPr>
            <w:r w:rsidRPr="005B0796">
              <w:rPr>
                <w:lang w:eastAsia="en-AU"/>
              </w:rPr>
              <w:t>-18.6, -9.4</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17.7</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14.6, 21.3</w:t>
            </w:r>
          </w:p>
        </w:tc>
        <w:tc>
          <w:tcPr>
            <w:tcW w:w="996" w:type="dxa"/>
            <w:hideMark/>
          </w:tcPr>
          <w:p w:rsidR="00E54F55" w:rsidRPr="005B0796" w:rsidRDefault="00E54F55" w:rsidP="00611091">
            <w:pPr>
              <w:pStyle w:val="TableText"/>
              <w:jc w:val="right"/>
              <w:rPr>
                <w:lang w:eastAsia="en-AU"/>
              </w:rPr>
            </w:pPr>
            <w:r w:rsidRPr="005B0796">
              <w:rPr>
                <w:lang w:eastAsia="en-AU"/>
              </w:rPr>
              <w:t>22.7</w:t>
            </w:r>
          </w:p>
        </w:tc>
        <w:tc>
          <w:tcPr>
            <w:tcW w:w="997" w:type="dxa"/>
            <w:hideMark/>
          </w:tcPr>
          <w:p w:rsidR="00E54F55" w:rsidRPr="005B0796" w:rsidRDefault="00E54F55" w:rsidP="00611091">
            <w:pPr>
              <w:pStyle w:val="TableText"/>
              <w:jc w:val="right"/>
              <w:rPr>
                <w:lang w:eastAsia="en-AU"/>
              </w:rPr>
            </w:pPr>
            <w:r w:rsidRPr="005B0796">
              <w:rPr>
                <w:lang w:eastAsia="en-AU"/>
              </w:rPr>
              <w:t>0.8</w:t>
            </w:r>
          </w:p>
        </w:tc>
        <w:tc>
          <w:tcPr>
            <w:tcW w:w="996" w:type="dxa"/>
            <w:hideMark/>
          </w:tcPr>
          <w:p w:rsidR="00E54F55" w:rsidRPr="005B0796" w:rsidRDefault="00E54F55" w:rsidP="00611091">
            <w:pPr>
              <w:pStyle w:val="TableText"/>
              <w:jc w:val="right"/>
              <w:rPr>
                <w:lang w:eastAsia="en-AU"/>
              </w:rPr>
            </w:pPr>
            <w:r w:rsidRPr="005B0796">
              <w:rPr>
                <w:lang w:eastAsia="en-AU"/>
              </w:rPr>
              <w:t>21.0, 24.3</w:t>
            </w:r>
          </w:p>
        </w:tc>
        <w:tc>
          <w:tcPr>
            <w:tcW w:w="997" w:type="dxa"/>
            <w:hideMark/>
          </w:tcPr>
          <w:p w:rsidR="00E54F55" w:rsidRPr="005B0796" w:rsidRDefault="00E54F55" w:rsidP="00611091">
            <w:pPr>
              <w:pStyle w:val="TableText"/>
              <w:jc w:val="right"/>
              <w:rPr>
                <w:lang w:eastAsia="en-AU"/>
              </w:rPr>
            </w:pPr>
            <w:r w:rsidRPr="005B0796">
              <w:rPr>
                <w:lang w:eastAsia="en-AU"/>
              </w:rPr>
              <w:t>-4.9</w:t>
            </w:r>
          </w:p>
        </w:tc>
        <w:tc>
          <w:tcPr>
            <w:tcW w:w="996" w:type="dxa"/>
            <w:hideMark/>
          </w:tcPr>
          <w:p w:rsidR="00E54F55" w:rsidRPr="005B0796" w:rsidRDefault="00E54F55" w:rsidP="00611091">
            <w:pPr>
              <w:pStyle w:val="TableText"/>
              <w:jc w:val="right"/>
              <w:rPr>
                <w:lang w:eastAsia="en-AU"/>
              </w:rPr>
            </w:pPr>
            <w:r w:rsidRPr="005B0796">
              <w:rPr>
                <w:lang w:eastAsia="en-AU"/>
              </w:rPr>
              <w:t>1.9</w:t>
            </w:r>
          </w:p>
        </w:tc>
        <w:tc>
          <w:tcPr>
            <w:tcW w:w="997" w:type="dxa"/>
            <w:hideMark/>
          </w:tcPr>
          <w:p w:rsidR="00E54F55" w:rsidRPr="005B0796" w:rsidRDefault="00E54F55" w:rsidP="00611091">
            <w:pPr>
              <w:pStyle w:val="TableText"/>
              <w:jc w:val="right"/>
              <w:rPr>
                <w:lang w:eastAsia="en-AU"/>
              </w:rPr>
            </w:pPr>
            <w:r w:rsidRPr="005B0796">
              <w:rPr>
                <w:lang w:eastAsia="en-AU"/>
              </w:rPr>
              <w:t>-8.7, -1.2</w:t>
            </w:r>
          </w:p>
        </w:tc>
      </w:tr>
      <w:tr w:rsidR="00E54F55"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13.8</w:t>
            </w:r>
          </w:p>
        </w:tc>
        <w:tc>
          <w:tcPr>
            <w:tcW w:w="996" w:type="dxa"/>
            <w:hideMark/>
          </w:tcPr>
          <w:p w:rsidR="00E54F55" w:rsidRPr="005B0796" w:rsidRDefault="00E54F55" w:rsidP="00611091">
            <w:pPr>
              <w:pStyle w:val="TableText"/>
              <w:jc w:val="right"/>
              <w:rPr>
                <w:lang w:eastAsia="en-AU"/>
              </w:rPr>
            </w:pPr>
            <w:r w:rsidRPr="005B0796">
              <w:rPr>
                <w:lang w:eastAsia="en-AU"/>
              </w:rPr>
              <w:t>1.6</w:t>
            </w:r>
          </w:p>
        </w:tc>
        <w:tc>
          <w:tcPr>
            <w:tcW w:w="997" w:type="dxa"/>
            <w:hideMark/>
          </w:tcPr>
          <w:p w:rsidR="00E54F55" w:rsidRPr="005B0796" w:rsidRDefault="00E54F55" w:rsidP="00611091">
            <w:pPr>
              <w:pStyle w:val="TableText"/>
              <w:jc w:val="right"/>
              <w:rPr>
                <w:lang w:eastAsia="en-AU"/>
              </w:rPr>
            </w:pPr>
            <w:r w:rsidRPr="005B0796">
              <w:rPr>
                <w:lang w:eastAsia="en-AU"/>
              </w:rPr>
              <w:t>10.9, 17.2</w:t>
            </w:r>
          </w:p>
        </w:tc>
        <w:tc>
          <w:tcPr>
            <w:tcW w:w="996" w:type="dxa"/>
            <w:hideMark/>
          </w:tcPr>
          <w:p w:rsidR="00E54F55" w:rsidRPr="005B0796" w:rsidRDefault="00E54F55" w:rsidP="00611091">
            <w:pPr>
              <w:pStyle w:val="TableText"/>
              <w:jc w:val="right"/>
              <w:rPr>
                <w:lang w:eastAsia="en-AU"/>
              </w:rPr>
            </w:pPr>
            <w:r w:rsidRPr="005B0796">
              <w:rPr>
                <w:lang w:eastAsia="en-AU"/>
              </w:rPr>
              <w:t>9.9</w:t>
            </w:r>
          </w:p>
        </w:tc>
        <w:tc>
          <w:tcPr>
            <w:tcW w:w="997" w:type="dxa"/>
            <w:hideMark/>
          </w:tcPr>
          <w:p w:rsidR="00E54F55" w:rsidRPr="005B0796" w:rsidRDefault="00E54F55" w:rsidP="00611091">
            <w:pPr>
              <w:pStyle w:val="TableText"/>
              <w:jc w:val="right"/>
              <w:rPr>
                <w:lang w:eastAsia="en-AU"/>
              </w:rPr>
            </w:pPr>
            <w:r w:rsidRPr="005B0796">
              <w:rPr>
                <w:lang w:eastAsia="en-AU"/>
              </w:rPr>
              <w:t>0.5</w:t>
            </w:r>
          </w:p>
        </w:tc>
        <w:tc>
          <w:tcPr>
            <w:tcW w:w="996" w:type="dxa"/>
            <w:hideMark/>
          </w:tcPr>
          <w:p w:rsidR="00E54F55" w:rsidRPr="005B0796" w:rsidRDefault="00E54F55" w:rsidP="00611091">
            <w:pPr>
              <w:pStyle w:val="TableText"/>
              <w:jc w:val="right"/>
              <w:rPr>
                <w:lang w:eastAsia="en-AU"/>
              </w:rPr>
            </w:pPr>
            <w:r w:rsidRPr="005B0796">
              <w:rPr>
                <w:lang w:eastAsia="en-AU"/>
              </w:rPr>
              <w:t>8.9, 11.1</w:t>
            </w:r>
          </w:p>
        </w:tc>
        <w:tc>
          <w:tcPr>
            <w:tcW w:w="997" w:type="dxa"/>
            <w:hideMark/>
          </w:tcPr>
          <w:p w:rsidR="00E54F55" w:rsidRPr="005B0796" w:rsidRDefault="00E54F55" w:rsidP="00611091">
            <w:pPr>
              <w:pStyle w:val="TableText"/>
              <w:jc w:val="right"/>
              <w:rPr>
                <w:lang w:eastAsia="en-AU"/>
              </w:rPr>
            </w:pPr>
            <w:r w:rsidRPr="005B0796">
              <w:rPr>
                <w:lang w:eastAsia="en-AU"/>
              </w:rPr>
              <w:t>3.8</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0.5, 7.1</w:t>
            </w:r>
          </w:p>
        </w:tc>
      </w:tr>
      <w:tr w:rsidR="00E54F55" w:rsidRPr="005B0796" w:rsidTr="00611091">
        <w:trPr>
          <w:cnfStyle w:val="010000000000" w:firstRow="0" w:lastRow="1" w:firstColumn="0" w:lastColumn="0" w:oddVBand="0" w:evenVBand="0" w:oddHBand="0"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20.0</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16.9, 23.6</w:t>
            </w:r>
          </w:p>
        </w:tc>
        <w:tc>
          <w:tcPr>
            <w:tcW w:w="996" w:type="dxa"/>
            <w:hideMark/>
          </w:tcPr>
          <w:p w:rsidR="00E54F55" w:rsidRPr="005B0796" w:rsidRDefault="00E54F55" w:rsidP="00611091">
            <w:pPr>
              <w:pStyle w:val="TableText"/>
              <w:jc w:val="right"/>
              <w:rPr>
                <w:lang w:eastAsia="en-AU"/>
              </w:rPr>
            </w:pPr>
            <w:r w:rsidRPr="005B0796">
              <w:rPr>
                <w:lang w:eastAsia="en-AU"/>
              </w:rPr>
              <w:t>4.4</w:t>
            </w:r>
          </w:p>
        </w:tc>
        <w:tc>
          <w:tcPr>
            <w:tcW w:w="997" w:type="dxa"/>
            <w:hideMark/>
          </w:tcPr>
          <w:p w:rsidR="00E54F55" w:rsidRPr="005B0796" w:rsidRDefault="00E54F55" w:rsidP="00611091">
            <w:pPr>
              <w:pStyle w:val="TableText"/>
              <w:jc w:val="right"/>
              <w:rPr>
                <w:lang w:eastAsia="en-AU"/>
              </w:rPr>
            </w:pPr>
            <w:r w:rsidRPr="005B0796">
              <w:rPr>
                <w:lang w:eastAsia="en-AU"/>
              </w:rPr>
              <w:t>0.4</w:t>
            </w:r>
          </w:p>
        </w:tc>
        <w:tc>
          <w:tcPr>
            <w:tcW w:w="996" w:type="dxa"/>
            <w:hideMark/>
          </w:tcPr>
          <w:p w:rsidR="00E54F55" w:rsidRPr="005B0796" w:rsidRDefault="00E54F55" w:rsidP="00611091">
            <w:pPr>
              <w:pStyle w:val="TableText"/>
              <w:jc w:val="right"/>
              <w:rPr>
                <w:lang w:eastAsia="en-AU"/>
              </w:rPr>
            </w:pPr>
            <w:r w:rsidRPr="005B0796">
              <w:rPr>
                <w:lang w:eastAsia="en-AU"/>
              </w:rPr>
              <w:t>3.6, 5.2</w:t>
            </w:r>
          </w:p>
        </w:tc>
        <w:tc>
          <w:tcPr>
            <w:tcW w:w="997" w:type="dxa"/>
            <w:hideMark/>
          </w:tcPr>
          <w:p w:rsidR="00E54F55" w:rsidRPr="005B0796" w:rsidRDefault="00E54F55" w:rsidP="00611091">
            <w:pPr>
              <w:pStyle w:val="TableText"/>
              <w:jc w:val="right"/>
              <w:rPr>
                <w:lang w:eastAsia="en-AU"/>
              </w:rPr>
            </w:pPr>
            <w:r w:rsidRPr="005B0796">
              <w:rPr>
                <w:lang w:eastAsia="en-AU"/>
              </w:rPr>
              <w:t>15.6</w:t>
            </w:r>
          </w:p>
        </w:tc>
        <w:tc>
          <w:tcPr>
            <w:tcW w:w="996" w:type="dxa"/>
            <w:hideMark/>
          </w:tcPr>
          <w:p w:rsidR="00E54F55" w:rsidRPr="005B0796" w:rsidRDefault="00E54F55" w:rsidP="00611091">
            <w:pPr>
              <w:pStyle w:val="TableText"/>
              <w:jc w:val="right"/>
              <w:rPr>
                <w:lang w:eastAsia="en-AU"/>
              </w:rPr>
            </w:pPr>
            <w:r w:rsidRPr="005B0796">
              <w:rPr>
                <w:lang w:eastAsia="en-AU"/>
              </w:rPr>
              <w:t>1.8</w:t>
            </w:r>
          </w:p>
        </w:tc>
        <w:tc>
          <w:tcPr>
            <w:tcW w:w="997" w:type="dxa"/>
            <w:hideMark/>
          </w:tcPr>
          <w:p w:rsidR="00E54F55" w:rsidRPr="005B0796" w:rsidRDefault="00E54F55" w:rsidP="00611091">
            <w:pPr>
              <w:pStyle w:val="TableText"/>
              <w:jc w:val="right"/>
              <w:rPr>
                <w:lang w:eastAsia="en-AU"/>
              </w:rPr>
            </w:pPr>
            <w:r w:rsidRPr="005B0796">
              <w:rPr>
                <w:lang w:eastAsia="en-AU"/>
              </w:rPr>
              <w:t>12.1, 19.1</w:t>
            </w:r>
          </w:p>
        </w:tc>
      </w:tr>
    </w:tbl>
    <w:p w:rsidR="00E54F55" w:rsidRPr="005B0796" w:rsidRDefault="00611091" w:rsidP="00611091">
      <w:pPr>
        <w:pStyle w:val="TableNotes"/>
      </w:pPr>
      <w:r w:rsidRPr="005B0796">
        <w:t xml:space="preserve">Note: 95% CI: 95% </w:t>
      </w:r>
      <w:r w:rsidR="00564689" w:rsidRPr="005B0796">
        <w:t>confidence interval</w:t>
      </w:r>
    </w:p>
    <w:p w:rsidR="00E54F55" w:rsidRPr="005B0796" w:rsidRDefault="00611091" w:rsidP="00611091">
      <w:pPr>
        <w:pStyle w:val="TableName"/>
      </w:pPr>
      <w:bookmarkStart w:id="1213" w:name="_Toc511900483"/>
      <w:bookmarkStart w:id="1214" w:name="_Ref484695198"/>
      <w:bookmarkStart w:id="1215" w:name="_Toc487014331"/>
      <w:bookmarkStart w:id="1216" w:name="_Toc49299563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3</w:t>
      </w:r>
      <w:r w:rsidR="00D30A3C">
        <w:rPr>
          <w:noProof/>
        </w:rPr>
        <w:fldChar w:fldCharType="end"/>
      </w:r>
      <w:r w:rsidRPr="005B0796">
        <w:tab/>
        <w:t xml:space="preserve">Estimated prevalence of Transitioned ADF compared to the Australian Community in the K10 </w:t>
      </w:r>
      <w:r w:rsidR="00E13799">
        <w:t>s</w:t>
      </w:r>
      <w:r w:rsidRPr="005B0796">
        <w:t>coring bands for psychological distress</w:t>
      </w:r>
      <w:r w:rsidR="00E13799">
        <w:t>,</w:t>
      </w:r>
      <w:r w:rsidRPr="005B0796">
        <w:t xml:space="preserve"> by</w:t>
      </w:r>
      <w:r w:rsidR="00E13799">
        <w:t> </w:t>
      </w:r>
      <w:r w:rsidRPr="005B0796">
        <w:t>age</w:t>
      </w:r>
      <w:bookmarkEnd w:id="1213"/>
    </w:p>
    <w:bookmarkEnd w:id="1214"/>
    <w:bookmarkEnd w:id="1215"/>
    <w:bookmarkEnd w:id="1216"/>
    <w:tbl>
      <w:tblPr>
        <w:tblStyle w:val="TWRPTable"/>
        <w:tblW w:w="5000" w:type="pct"/>
        <w:tblLayout w:type="fixed"/>
        <w:tblLook w:val="01E0" w:firstRow="1" w:lastRow="1" w:firstColumn="1" w:lastColumn="1" w:noHBand="0" w:noVBand="0"/>
        <w:tblDescription w:val="Table 6.3 Estimated prevalence of the Transitioned ADF compared to the Australian Community in the K10 Scoring bands for psychological distress by age"/>
      </w:tblPr>
      <w:tblGrid>
        <w:gridCol w:w="1008"/>
        <w:gridCol w:w="1530"/>
        <w:gridCol w:w="996"/>
        <w:gridCol w:w="996"/>
        <w:gridCol w:w="997"/>
        <w:gridCol w:w="996"/>
        <w:gridCol w:w="997"/>
        <w:gridCol w:w="996"/>
        <w:gridCol w:w="997"/>
        <w:gridCol w:w="996"/>
        <w:gridCol w:w="997"/>
      </w:tblGrid>
      <w:tr w:rsidR="00611091" w:rsidRPr="005B0796" w:rsidTr="00611091">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Pr>
          <w:p w:rsidR="00611091" w:rsidRPr="005B0796" w:rsidRDefault="00611091" w:rsidP="00611091">
            <w:pPr>
              <w:pStyle w:val="TableText"/>
              <w:rPr>
                <w:lang w:eastAsia="en-AU"/>
              </w:rPr>
            </w:pPr>
          </w:p>
        </w:tc>
        <w:tc>
          <w:tcPr>
            <w:tcW w:w="1530" w:type="dxa"/>
            <w:vMerge w:val="restart"/>
          </w:tcPr>
          <w:p w:rsidR="00611091" w:rsidRPr="005B0796" w:rsidRDefault="00611091" w:rsidP="00611091">
            <w:pPr>
              <w:pStyle w:val="TableText"/>
              <w:rPr>
                <w:lang w:eastAsia="en-AU"/>
              </w:rPr>
            </w:pPr>
          </w:p>
        </w:tc>
        <w:tc>
          <w:tcPr>
            <w:tcW w:w="2989" w:type="dxa"/>
            <w:gridSpan w:val="3"/>
            <w:hideMark/>
          </w:tcPr>
          <w:p w:rsidR="00611091" w:rsidRPr="005B0796" w:rsidRDefault="00611091" w:rsidP="00611091">
            <w:pPr>
              <w:pStyle w:val="TableText"/>
              <w:jc w:val="center"/>
              <w:rPr>
                <w:lang w:eastAsia="en-AU"/>
              </w:rPr>
            </w:pPr>
            <w:r w:rsidRPr="005B0796">
              <w:rPr>
                <w:bCs/>
                <w:lang w:eastAsia="en-AU"/>
              </w:rPr>
              <w:t xml:space="preserve">Transitioned ADF </w:t>
            </w:r>
            <w:r w:rsidRPr="005B0796">
              <w:rPr>
                <w:lang w:eastAsia="en-AU"/>
              </w:rPr>
              <w:t>(n = 24,932)</w:t>
            </w:r>
          </w:p>
        </w:tc>
        <w:tc>
          <w:tcPr>
            <w:tcW w:w="2989" w:type="dxa"/>
            <w:gridSpan w:val="3"/>
            <w:hideMark/>
          </w:tcPr>
          <w:p w:rsidR="00611091" w:rsidRPr="005B0796" w:rsidRDefault="00611091" w:rsidP="00611091">
            <w:pPr>
              <w:pStyle w:val="TableText"/>
              <w:jc w:val="center"/>
              <w:rPr>
                <w:lang w:eastAsia="en-AU"/>
              </w:rPr>
            </w:pPr>
            <w:r w:rsidRPr="005B0796">
              <w:rPr>
                <w:bCs/>
                <w:lang w:eastAsia="en-AU"/>
              </w:rPr>
              <w:t>Australian Community</w:t>
            </w:r>
          </w:p>
        </w:tc>
        <w:tc>
          <w:tcPr>
            <w:tcW w:w="2990" w:type="dxa"/>
            <w:gridSpan w:val="3"/>
            <w:hideMark/>
          </w:tcPr>
          <w:p w:rsidR="00611091" w:rsidRPr="005B0796" w:rsidRDefault="00611091" w:rsidP="00611091">
            <w:pPr>
              <w:pStyle w:val="TableText"/>
              <w:jc w:val="center"/>
              <w:rPr>
                <w:bCs/>
                <w:lang w:eastAsia="en-AU"/>
              </w:rPr>
            </w:pPr>
            <w:r w:rsidRPr="005B0796">
              <w:rPr>
                <w:bCs/>
                <w:lang w:eastAsia="en-AU"/>
              </w:rPr>
              <w:t>Difference</w:t>
            </w:r>
          </w:p>
        </w:tc>
      </w:tr>
      <w:tr w:rsidR="00611091" w:rsidRPr="005B0796" w:rsidTr="00611091">
        <w:trPr>
          <w:cnfStyle w:val="100000000000" w:firstRow="1" w:lastRow="0" w:firstColumn="0" w:lastColumn="0" w:oddVBand="0" w:evenVBand="0" w:oddHBand="0" w:evenHBand="0" w:firstRowFirstColumn="0" w:firstRowLastColumn="0" w:lastRowFirstColumn="0" w:lastRowLastColumn="0"/>
          <w:tblHeader/>
        </w:trPr>
        <w:tc>
          <w:tcPr>
            <w:tcW w:w="1008" w:type="dxa"/>
            <w:vMerge/>
          </w:tcPr>
          <w:p w:rsidR="00611091" w:rsidRPr="005B0796" w:rsidRDefault="00611091" w:rsidP="00611091">
            <w:pPr>
              <w:pStyle w:val="TableText"/>
              <w:rPr>
                <w:rFonts w:eastAsia="GillSans"/>
                <w:lang w:eastAsia="en-AU"/>
              </w:rPr>
            </w:pPr>
          </w:p>
        </w:tc>
        <w:tc>
          <w:tcPr>
            <w:tcW w:w="1530" w:type="dxa"/>
            <w:vMerge/>
          </w:tcPr>
          <w:p w:rsidR="00611091" w:rsidRPr="005B0796" w:rsidRDefault="00611091" w:rsidP="00611091">
            <w:pPr>
              <w:pStyle w:val="TableText"/>
              <w:rPr>
                <w:rFonts w:eastAsia="GillSans"/>
                <w:lang w:eastAsia="en-AU"/>
              </w:rPr>
            </w:pPr>
          </w:p>
        </w:tc>
        <w:tc>
          <w:tcPr>
            <w:tcW w:w="996" w:type="dxa"/>
            <w:hideMark/>
          </w:tcPr>
          <w:p w:rsidR="00611091" w:rsidRPr="005B0796" w:rsidRDefault="00611091" w:rsidP="00611091">
            <w:pPr>
              <w:pStyle w:val="TableText"/>
              <w:jc w:val="right"/>
              <w:rPr>
                <w:lang w:eastAsia="en-AU"/>
              </w:rPr>
            </w:pPr>
            <w:r w:rsidRPr="005B0796">
              <w:rPr>
                <w:lang w:eastAsia="en-AU"/>
              </w:rPr>
              <w:t>%</w:t>
            </w:r>
          </w:p>
        </w:tc>
        <w:tc>
          <w:tcPr>
            <w:tcW w:w="996" w:type="dxa"/>
            <w:hideMark/>
          </w:tcPr>
          <w:p w:rsidR="00611091" w:rsidRPr="005B0796" w:rsidRDefault="00611091" w:rsidP="00611091">
            <w:pPr>
              <w:pStyle w:val="TableText"/>
              <w:jc w:val="right"/>
              <w:rPr>
                <w:lang w:eastAsia="en-AU"/>
              </w:rPr>
            </w:pPr>
            <w:r w:rsidRPr="005B0796">
              <w:rPr>
                <w:lang w:eastAsia="en-AU"/>
              </w:rPr>
              <w:t>SE</w:t>
            </w:r>
          </w:p>
        </w:tc>
        <w:tc>
          <w:tcPr>
            <w:tcW w:w="997" w:type="dxa"/>
            <w:hideMark/>
          </w:tcPr>
          <w:p w:rsidR="00611091" w:rsidRPr="005B0796" w:rsidRDefault="00611091" w:rsidP="00611091">
            <w:pPr>
              <w:pStyle w:val="TableText"/>
              <w:jc w:val="right"/>
              <w:rPr>
                <w:lang w:eastAsia="en-AU"/>
              </w:rPr>
            </w:pPr>
            <w:r w:rsidRPr="005B0796">
              <w:rPr>
                <w:lang w:eastAsia="en-AU"/>
              </w:rPr>
              <w:t>95% CI</w:t>
            </w:r>
          </w:p>
        </w:tc>
        <w:tc>
          <w:tcPr>
            <w:tcW w:w="996" w:type="dxa"/>
            <w:hideMark/>
          </w:tcPr>
          <w:p w:rsidR="00611091" w:rsidRPr="005B0796" w:rsidRDefault="00611091" w:rsidP="00611091">
            <w:pPr>
              <w:pStyle w:val="TableText"/>
              <w:jc w:val="right"/>
              <w:rPr>
                <w:lang w:eastAsia="en-AU"/>
              </w:rPr>
            </w:pPr>
            <w:r w:rsidRPr="005B0796">
              <w:rPr>
                <w:lang w:eastAsia="en-AU"/>
              </w:rPr>
              <w:t>%</w:t>
            </w:r>
          </w:p>
        </w:tc>
        <w:tc>
          <w:tcPr>
            <w:tcW w:w="997" w:type="dxa"/>
            <w:hideMark/>
          </w:tcPr>
          <w:p w:rsidR="00611091" w:rsidRPr="005B0796" w:rsidRDefault="00611091" w:rsidP="00611091">
            <w:pPr>
              <w:pStyle w:val="TableText"/>
              <w:jc w:val="right"/>
              <w:rPr>
                <w:lang w:eastAsia="en-AU"/>
              </w:rPr>
            </w:pPr>
            <w:r w:rsidRPr="005B0796">
              <w:rPr>
                <w:lang w:eastAsia="en-AU"/>
              </w:rPr>
              <w:t>SE</w:t>
            </w:r>
          </w:p>
        </w:tc>
        <w:tc>
          <w:tcPr>
            <w:tcW w:w="996" w:type="dxa"/>
            <w:hideMark/>
          </w:tcPr>
          <w:p w:rsidR="00611091" w:rsidRPr="005B0796" w:rsidRDefault="00611091" w:rsidP="00611091">
            <w:pPr>
              <w:pStyle w:val="TableText"/>
              <w:jc w:val="right"/>
              <w:rPr>
                <w:lang w:eastAsia="en-AU"/>
              </w:rPr>
            </w:pPr>
            <w:r w:rsidRPr="005B0796">
              <w:rPr>
                <w:lang w:eastAsia="en-AU"/>
              </w:rPr>
              <w:t>95% CI</w:t>
            </w:r>
          </w:p>
        </w:tc>
        <w:tc>
          <w:tcPr>
            <w:tcW w:w="997" w:type="dxa"/>
            <w:hideMark/>
          </w:tcPr>
          <w:p w:rsidR="00611091" w:rsidRPr="005B0796" w:rsidRDefault="00611091" w:rsidP="00611091">
            <w:pPr>
              <w:pStyle w:val="TableText"/>
              <w:jc w:val="right"/>
              <w:rPr>
                <w:lang w:eastAsia="en-AU"/>
              </w:rPr>
            </w:pPr>
            <w:r w:rsidRPr="005B0796">
              <w:rPr>
                <w:lang w:eastAsia="en-AU"/>
              </w:rPr>
              <w:t>%</w:t>
            </w:r>
          </w:p>
        </w:tc>
        <w:tc>
          <w:tcPr>
            <w:tcW w:w="996" w:type="dxa"/>
            <w:hideMark/>
          </w:tcPr>
          <w:p w:rsidR="00611091" w:rsidRPr="005B0796" w:rsidRDefault="00611091" w:rsidP="00611091">
            <w:pPr>
              <w:pStyle w:val="TableText"/>
              <w:jc w:val="right"/>
              <w:rPr>
                <w:lang w:eastAsia="en-AU"/>
              </w:rPr>
            </w:pPr>
            <w:r w:rsidRPr="005B0796">
              <w:rPr>
                <w:lang w:eastAsia="en-AU"/>
              </w:rPr>
              <w:t>SE</w:t>
            </w:r>
          </w:p>
        </w:tc>
        <w:tc>
          <w:tcPr>
            <w:tcW w:w="997" w:type="dxa"/>
            <w:hideMark/>
          </w:tcPr>
          <w:p w:rsidR="00611091" w:rsidRPr="005B0796" w:rsidRDefault="00611091" w:rsidP="00611091">
            <w:pPr>
              <w:pStyle w:val="TableText"/>
              <w:jc w:val="right"/>
              <w:rPr>
                <w:lang w:eastAsia="en-AU"/>
              </w:rPr>
            </w:pPr>
            <w:r w:rsidRPr="005B0796">
              <w:rPr>
                <w:lang w:eastAsia="en-AU"/>
              </w:rPr>
              <w:t>95% CI</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18–27</w:t>
            </w:r>
          </w:p>
        </w:tc>
        <w:tc>
          <w:tcPr>
            <w:tcW w:w="1530" w:type="dxa"/>
            <w:hideMark/>
          </w:tcPr>
          <w:p w:rsidR="00E54F55" w:rsidRPr="005B0796" w:rsidRDefault="00E54F55" w:rsidP="00611091">
            <w:pPr>
              <w:pStyle w:val="TableText"/>
              <w:rPr>
                <w:rFonts w:eastAsia="GillSans"/>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50.2</w:t>
            </w:r>
          </w:p>
        </w:tc>
        <w:tc>
          <w:tcPr>
            <w:tcW w:w="996" w:type="dxa"/>
            <w:hideMark/>
          </w:tcPr>
          <w:p w:rsidR="00E54F55" w:rsidRPr="005B0796" w:rsidRDefault="00E54F55" w:rsidP="00611091">
            <w:pPr>
              <w:pStyle w:val="TableText"/>
              <w:jc w:val="right"/>
              <w:rPr>
                <w:lang w:eastAsia="en-AU"/>
              </w:rPr>
            </w:pPr>
            <w:r w:rsidRPr="005B0796">
              <w:rPr>
                <w:lang w:eastAsia="en-AU"/>
              </w:rPr>
              <w:t>2.6</w:t>
            </w:r>
          </w:p>
        </w:tc>
        <w:tc>
          <w:tcPr>
            <w:tcW w:w="997" w:type="dxa"/>
            <w:hideMark/>
          </w:tcPr>
          <w:p w:rsidR="00E54F55" w:rsidRPr="005B0796" w:rsidRDefault="00E54F55" w:rsidP="00611091">
            <w:pPr>
              <w:pStyle w:val="TableText"/>
              <w:jc w:val="right"/>
              <w:rPr>
                <w:lang w:eastAsia="en-AU"/>
              </w:rPr>
            </w:pPr>
            <w:r w:rsidRPr="005B0796">
              <w:rPr>
                <w:lang w:eastAsia="en-AU"/>
              </w:rPr>
              <w:t>45.1, 55.2</w:t>
            </w:r>
          </w:p>
        </w:tc>
        <w:tc>
          <w:tcPr>
            <w:tcW w:w="996" w:type="dxa"/>
            <w:hideMark/>
          </w:tcPr>
          <w:p w:rsidR="00E54F55" w:rsidRPr="005B0796" w:rsidRDefault="00E54F55" w:rsidP="00611091">
            <w:pPr>
              <w:pStyle w:val="TableText"/>
              <w:jc w:val="right"/>
              <w:rPr>
                <w:lang w:eastAsia="en-AU"/>
              </w:rPr>
            </w:pPr>
            <w:r w:rsidRPr="005B0796">
              <w:rPr>
                <w:lang w:eastAsia="en-AU"/>
              </w:rPr>
              <w:t>63.6</w:t>
            </w:r>
          </w:p>
        </w:tc>
        <w:tc>
          <w:tcPr>
            <w:tcW w:w="997" w:type="dxa"/>
            <w:hideMark/>
          </w:tcPr>
          <w:p w:rsidR="00E54F55" w:rsidRPr="005B0796" w:rsidRDefault="00E54F55" w:rsidP="00611091">
            <w:pPr>
              <w:pStyle w:val="TableText"/>
              <w:jc w:val="right"/>
              <w:rPr>
                <w:lang w:eastAsia="en-AU"/>
              </w:rPr>
            </w:pPr>
            <w:r w:rsidRPr="005B0796">
              <w:rPr>
                <w:lang w:eastAsia="en-AU"/>
              </w:rPr>
              <w:t>2.3</w:t>
            </w:r>
          </w:p>
        </w:tc>
        <w:tc>
          <w:tcPr>
            <w:tcW w:w="996" w:type="dxa"/>
            <w:hideMark/>
          </w:tcPr>
          <w:p w:rsidR="00E54F55" w:rsidRPr="005B0796" w:rsidRDefault="00E54F55" w:rsidP="00611091">
            <w:pPr>
              <w:pStyle w:val="TableText"/>
              <w:jc w:val="right"/>
              <w:rPr>
                <w:lang w:eastAsia="en-AU"/>
              </w:rPr>
            </w:pPr>
            <w:r w:rsidRPr="005B0796">
              <w:rPr>
                <w:lang w:eastAsia="en-AU"/>
              </w:rPr>
              <w:t>59.0, 68.1</w:t>
            </w:r>
          </w:p>
        </w:tc>
        <w:tc>
          <w:tcPr>
            <w:tcW w:w="997" w:type="dxa"/>
            <w:hideMark/>
          </w:tcPr>
          <w:p w:rsidR="00E54F55" w:rsidRPr="005B0796" w:rsidRDefault="00E54F55" w:rsidP="00611091">
            <w:pPr>
              <w:pStyle w:val="TableText"/>
              <w:jc w:val="right"/>
              <w:rPr>
                <w:lang w:eastAsia="en-AU"/>
              </w:rPr>
            </w:pPr>
            <w:r w:rsidRPr="005B0796">
              <w:rPr>
                <w:lang w:eastAsia="en-AU"/>
              </w:rPr>
              <w:t>-13.4</w:t>
            </w:r>
          </w:p>
        </w:tc>
        <w:tc>
          <w:tcPr>
            <w:tcW w:w="996" w:type="dxa"/>
            <w:hideMark/>
          </w:tcPr>
          <w:p w:rsidR="00E54F55" w:rsidRPr="005B0796" w:rsidRDefault="00E54F55" w:rsidP="00611091">
            <w:pPr>
              <w:pStyle w:val="TableText"/>
              <w:jc w:val="right"/>
              <w:rPr>
                <w:lang w:eastAsia="en-AU"/>
              </w:rPr>
            </w:pPr>
            <w:r w:rsidRPr="005B0796">
              <w:rPr>
                <w:lang w:eastAsia="en-AU"/>
              </w:rPr>
              <w:t>3.5</w:t>
            </w:r>
          </w:p>
        </w:tc>
        <w:tc>
          <w:tcPr>
            <w:tcW w:w="997" w:type="dxa"/>
            <w:hideMark/>
          </w:tcPr>
          <w:p w:rsidR="00E54F55" w:rsidRPr="005B0796" w:rsidRDefault="00E54F55" w:rsidP="00611091">
            <w:pPr>
              <w:pStyle w:val="TableText"/>
              <w:jc w:val="right"/>
              <w:rPr>
                <w:lang w:eastAsia="en-AU"/>
              </w:rPr>
            </w:pPr>
            <w:r w:rsidRPr="005B0796">
              <w:rPr>
                <w:lang w:eastAsia="en-AU"/>
              </w:rPr>
              <w:t>-20.2, -6.7</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rFonts w:eastAsia="GillSans"/>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14.8</w:t>
            </w:r>
          </w:p>
        </w:tc>
        <w:tc>
          <w:tcPr>
            <w:tcW w:w="996" w:type="dxa"/>
            <w:hideMark/>
          </w:tcPr>
          <w:p w:rsidR="00E54F55" w:rsidRPr="005B0796" w:rsidRDefault="00E54F55" w:rsidP="00611091">
            <w:pPr>
              <w:pStyle w:val="TableText"/>
              <w:jc w:val="right"/>
              <w:rPr>
                <w:lang w:eastAsia="en-AU"/>
              </w:rPr>
            </w:pPr>
            <w:r w:rsidRPr="005B0796">
              <w:rPr>
                <w:lang w:eastAsia="en-AU"/>
              </w:rPr>
              <w:t>1.8</w:t>
            </w:r>
          </w:p>
        </w:tc>
        <w:tc>
          <w:tcPr>
            <w:tcW w:w="997" w:type="dxa"/>
            <w:hideMark/>
          </w:tcPr>
          <w:p w:rsidR="00E54F55" w:rsidRPr="005B0796" w:rsidRDefault="00E54F55" w:rsidP="00611091">
            <w:pPr>
              <w:pStyle w:val="TableText"/>
              <w:jc w:val="right"/>
              <w:rPr>
                <w:lang w:eastAsia="en-AU"/>
              </w:rPr>
            </w:pPr>
            <w:r w:rsidRPr="005B0796">
              <w:rPr>
                <w:lang w:eastAsia="en-AU"/>
              </w:rPr>
              <w:t>11.6, 18.7</w:t>
            </w:r>
          </w:p>
        </w:tc>
        <w:tc>
          <w:tcPr>
            <w:tcW w:w="996" w:type="dxa"/>
            <w:hideMark/>
          </w:tcPr>
          <w:p w:rsidR="00E54F55" w:rsidRPr="005B0796" w:rsidRDefault="00E54F55" w:rsidP="00611091">
            <w:pPr>
              <w:pStyle w:val="TableText"/>
              <w:jc w:val="right"/>
              <w:rPr>
                <w:lang w:eastAsia="en-AU"/>
              </w:rPr>
            </w:pPr>
            <w:r w:rsidRPr="005B0796">
              <w:rPr>
                <w:lang w:eastAsia="en-AU"/>
              </w:rPr>
              <w:t>22.3</w:t>
            </w:r>
          </w:p>
        </w:tc>
        <w:tc>
          <w:tcPr>
            <w:tcW w:w="997" w:type="dxa"/>
            <w:hideMark/>
          </w:tcPr>
          <w:p w:rsidR="00E54F55" w:rsidRPr="005B0796" w:rsidRDefault="00E54F55" w:rsidP="00611091">
            <w:pPr>
              <w:pStyle w:val="TableText"/>
              <w:jc w:val="right"/>
              <w:rPr>
                <w:lang w:eastAsia="en-AU"/>
              </w:rPr>
            </w:pPr>
            <w:r w:rsidRPr="005B0796">
              <w:rPr>
                <w:lang w:eastAsia="en-AU"/>
              </w:rPr>
              <w:t>1.8</w:t>
            </w:r>
          </w:p>
        </w:tc>
        <w:tc>
          <w:tcPr>
            <w:tcW w:w="996" w:type="dxa"/>
            <w:hideMark/>
          </w:tcPr>
          <w:p w:rsidR="00E54F55" w:rsidRPr="005B0796" w:rsidRDefault="00E54F55" w:rsidP="00611091">
            <w:pPr>
              <w:pStyle w:val="TableText"/>
              <w:jc w:val="right"/>
              <w:rPr>
                <w:lang w:eastAsia="en-AU"/>
              </w:rPr>
            </w:pPr>
            <w:r w:rsidRPr="005B0796">
              <w:rPr>
                <w:lang w:eastAsia="en-AU"/>
              </w:rPr>
              <w:t>18.7, 25.8</w:t>
            </w:r>
          </w:p>
        </w:tc>
        <w:tc>
          <w:tcPr>
            <w:tcW w:w="997" w:type="dxa"/>
            <w:hideMark/>
          </w:tcPr>
          <w:p w:rsidR="00E54F55" w:rsidRPr="005B0796" w:rsidRDefault="00E54F55" w:rsidP="00611091">
            <w:pPr>
              <w:pStyle w:val="TableText"/>
              <w:jc w:val="right"/>
              <w:rPr>
                <w:lang w:eastAsia="en-AU"/>
              </w:rPr>
            </w:pPr>
            <w:r w:rsidRPr="005B0796">
              <w:rPr>
                <w:lang w:eastAsia="en-AU"/>
              </w:rPr>
              <w:t>-7.5</w:t>
            </w:r>
          </w:p>
        </w:tc>
        <w:tc>
          <w:tcPr>
            <w:tcW w:w="996" w:type="dxa"/>
            <w:hideMark/>
          </w:tcPr>
          <w:p w:rsidR="00E54F55" w:rsidRPr="005B0796" w:rsidRDefault="00E54F55" w:rsidP="00611091">
            <w:pPr>
              <w:pStyle w:val="TableText"/>
              <w:jc w:val="right"/>
              <w:rPr>
                <w:lang w:eastAsia="en-AU"/>
              </w:rPr>
            </w:pPr>
            <w:r w:rsidRPr="005B0796">
              <w:rPr>
                <w:lang w:eastAsia="en-AU"/>
              </w:rPr>
              <w:t>2.6</w:t>
            </w:r>
          </w:p>
        </w:tc>
        <w:tc>
          <w:tcPr>
            <w:tcW w:w="997" w:type="dxa"/>
            <w:hideMark/>
          </w:tcPr>
          <w:p w:rsidR="00E54F55" w:rsidRPr="005B0796" w:rsidRDefault="00E54F55" w:rsidP="00611091">
            <w:pPr>
              <w:pStyle w:val="TableText"/>
              <w:jc w:val="right"/>
              <w:rPr>
                <w:lang w:eastAsia="en-AU"/>
              </w:rPr>
            </w:pPr>
            <w:r w:rsidRPr="005B0796">
              <w:rPr>
                <w:lang w:eastAsia="en-AU"/>
              </w:rPr>
              <w:t>-12.5, -2.4</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rFonts w:eastAsia="GillSans"/>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12.4</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9.5, 16.1</w:t>
            </w:r>
          </w:p>
        </w:tc>
        <w:tc>
          <w:tcPr>
            <w:tcW w:w="996" w:type="dxa"/>
            <w:hideMark/>
          </w:tcPr>
          <w:p w:rsidR="00E54F55" w:rsidRPr="005B0796" w:rsidRDefault="00E54F55" w:rsidP="00611091">
            <w:pPr>
              <w:pStyle w:val="TableText"/>
              <w:jc w:val="right"/>
              <w:rPr>
                <w:lang w:eastAsia="en-AU"/>
              </w:rPr>
            </w:pPr>
            <w:r w:rsidRPr="005B0796">
              <w:rPr>
                <w:lang w:eastAsia="en-AU"/>
              </w:rPr>
              <w:t>9.5</w:t>
            </w:r>
          </w:p>
        </w:tc>
        <w:tc>
          <w:tcPr>
            <w:tcW w:w="997" w:type="dxa"/>
            <w:hideMark/>
          </w:tcPr>
          <w:p w:rsidR="00E54F55" w:rsidRPr="005B0796" w:rsidRDefault="00E54F55" w:rsidP="00611091">
            <w:pPr>
              <w:pStyle w:val="TableText"/>
              <w:jc w:val="right"/>
              <w:rPr>
                <w:lang w:eastAsia="en-AU"/>
              </w:rPr>
            </w:pPr>
            <w:r w:rsidRPr="005B0796">
              <w:rPr>
                <w:lang w:eastAsia="en-AU"/>
              </w:rPr>
              <w:t>1.2</w:t>
            </w:r>
          </w:p>
        </w:tc>
        <w:tc>
          <w:tcPr>
            <w:tcW w:w="996" w:type="dxa"/>
            <w:hideMark/>
          </w:tcPr>
          <w:p w:rsidR="00E54F55" w:rsidRPr="005B0796" w:rsidRDefault="00E54F55" w:rsidP="00611091">
            <w:pPr>
              <w:pStyle w:val="TableText"/>
              <w:jc w:val="right"/>
              <w:rPr>
                <w:lang w:eastAsia="en-AU"/>
              </w:rPr>
            </w:pPr>
            <w:r w:rsidRPr="005B0796">
              <w:rPr>
                <w:lang w:eastAsia="en-AU"/>
              </w:rPr>
              <w:t>7.2, 11.7</w:t>
            </w:r>
          </w:p>
        </w:tc>
        <w:tc>
          <w:tcPr>
            <w:tcW w:w="997" w:type="dxa"/>
            <w:hideMark/>
          </w:tcPr>
          <w:p w:rsidR="00E54F55" w:rsidRPr="005B0796" w:rsidRDefault="00E54F55" w:rsidP="00611091">
            <w:pPr>
              <w:pStyle w:val="TableText"/>
              <w:jc w:val="right"/>
              <w:rPr>
                <w:lang w:eastAsia="en-AU"/>
              </w:rPr>
            </w:pPr>
            <w:r w:rsidRPr="005B0796">
              <w:rPr>
                <w:lang w:eastAsia="en-AU"/>
              </w:rPr>
              <w:t>2.9</w:t>
            </w:r>
          </w:p>
        </w:tc>
        <w:tc>
          <w:tcPr>
            <w:tcW w:w="996" w:type="dxa"/>
            <w:hideMark/>
          </w:tcPr>
          <w:p w:rsidR="00E54F55" w:rsidRPr="005B0796" w:rsidRDefault="00E54F55" w:rsidP="00611091">
            <w:pPr>
              <w:pStyle w:val="TableText"/>
              <w:jc w:val="right"/>
              <w:rPr>
                <w:lang w:eastAsia="en-AU"/>
              </w:rPr>
            </w:pPr>
            <w:r w:rsidRPr="005B0796">
              <w:rPr>
                <w:lang w:eastAsia="en-AU"/>
              </w:rPr>
              <w:t>2.0</w:t>
            </w:r>
          </w:p>
        </w:tc>
        <w:tc>
          <w:tcPr>
            <w:tcW w:w="997" w:type="dxa"/>
            <w:hideMark/>
          </w:tcPr>
          <w:p w:rsidR="00E54F55" w:rsidRPr="005B0796" w:rsidRDefault="00E54F55" w:rsidP="00611091">
            <w:pPr>
              <w:pStyle w:val="TableText"/>
              <w:jc w:val="right"/>
              <w:rPr>
                <w:lang w:eastAsia="en-AU"/>
              </w:rPr>
            </w:pPr>
            <w:r w:rsidRPr="005B0796">
              <w:rPr>
                <w:lang w:eastAsia="en-AU"/>
              </w:rPr>
              <w:t>-1. 1, 6.9</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20.5</w:t>
            </w:r>
          </w:p>
        </w:tc>
        <w:tc>
          <w:tcPr>
            <w:tcW w:w="996" w:type="dxa"/>
            <w:hideMark/>
          </w:tcPr>
          <w:p w:rsidR="00E54F55" w:rsidRPr="005B0796" w:rsidRDefault="00E54F55" w:rsidP="00611091">
            <w:pPr>
              <w:pStyle w:val="TableText"/>
              <w:jc w:val="right"/>
              <w:rPr>
                <w:lang w:eastAsia="en-AU"/>
              </w:rPr>
            </w:pPr>
            <w:r w:rsidRPr="005B0796">
              <w:rPr>
                <w:lang w:eastAsia="en-AU"/>
              </w:rPr>
              <w:t>2.0</w:t>
            </w:r>
          </w:p>
        </w:tc>
        <w:tc>
          <w:tcPr>
            <w:tcW w:w="997" w:type="dxa"/>
            <w:hideMark/>
          </w:tcPr>
          <w:p w:rsidR="00E54F55" w:rsidRPr="005B0796" w:rsidRDefault="00E54F55" w:rsidP="00611091">
            <w:pPr>
              <w:pStyle w:val="TableText"/>
              <w:jc w:val="right"/>
              <w:rPr>
                <w:lang w:eastAsia="en-AU"/>
              </w:rPr>
            </w:pPr>
            <w:r w:rsidRPr="005B0796">
              <w:rPr>
                <w:lang w:eastAsia="en-AU"/>
              </w:rPr>
              <w:t>16.8, 24.7</w:t>
            </w:r>
          </w:p>
        </w:tc>
        <w:tc>
          <w:tcPr>
            <w:tcW w:w="996" w:type="dxa"/>
            <w:hideMark/>
          </w:tcPr>
          <w:p w:rsidR="00E54F55" w:rsidRPr="005B0796" w:rsidRDefault="00E54F55" w:rsidP="00611091">
            <w:pPr>
              <w:pStyle w:val="TableText"/>
              <w:jc w:val="right"/>
              <w:rPr>
                <w:lang w:eastAsia="en-AU"/>
              </w:rPr>
            </w:pPr>
            <w:r w:rsidRPr="005B0796">
              <w:rPr>
                <w:lang w:eastAsia="en-AU"/>
              </w:rPr>
              <w:t>3.8</w:t>
            </w:r>
          </w:p>
        </w:tc>
        <w:tc>
          <w:tcPr>
            <w:tcW w:w="997" w:type="dxa"/>
            <w:hideMark/>
          </w:tcPr>
          <w:p w:rsidR="00E54F55" w:rsidRPr="005B0796" w:rsidRDefault="00E54F55" w:rsidP="00611091">
            <w:pPr>
              <w:pStyle w:val="TableText"/>
              <w:jc w:val="right"/>
              <w:rPr>
                <w:lang w:eastAsia="en-AU"/>
              </w:rPr>
            </w:pPr>
            <w:r w:rsidRPr="005B0796">
              <w:rPr>
                <w:lang w:eastAsia="en-AU"/>
              </w:rPr>
              <w:t>0.7</w:t>
            </w:r>
          </w:p>
        </w:tc>
        <w:tc>
          <w:tcPr>
            <w:tcW w:w="996" w:type="dxa"/>
            <w:hideMark/>
          </w:tcPr>
          <w:p w:rsidR="00E54F55" w:rsidRPr="005B0796" w:rsidRDefault="00E54F55" w:rsidP="00611091">
            <w:pPr>
              <w:pStyle w:val="TableText"/>
              <w:jc w:val="right"/>
              <w:rPr>
                <w:lang w:eastAsia="en-AU"/>
              </w:rPr>
            </w:pPr>
            <w:r w:rsidRPr="005B0796">
              <w:rPr>
                <w:lang w:eastAsia="en-AU"/>
              </w:rPr>
              <w:t>2.5, 5.2</w:t>
            </w:r>
          </w:p>
        </w:tc>
        <w:tc>
          <w:tcPr>
            <w:tcW w:w="997" w:type="dxa"/>
            <w:hideMark/>
          </w:tcPr>
          <w:p w:rsidR="00E54F55" w:rsidRPr="005B0796" w:rsidRDefault="00E54F55" w:rsidP="00611091">
            <w:pPr>
              <w:pStyle w:val="TableText"/>
              <w:jc w:val="right"/>
              <w:rPr>
                <w:lang w:eastAsia="en-AU"/>
              </w:rPr>
            </w:pPr>
            <w:r w:rsidRPr="005B0796">
              <w:rPr>
                <w:lang w:eastAsia="en-AU"/>
              </w:rPr>
              <w:t>16.6</w:t>
            </w:r>
          </w:p>
        </w:tc>
        <w:tc>
          <w:tcPr>
            <w:tcW w:w="996" w:type="dxa"/>
            <w:hideMark/>
          </w:tcPr>
          <w:p w:rsidR="00E54F55" w:rsidRPr="005B0796" w:rsidRDefault="00E54F55" w:rsidP="00611091">
            <w:pPr>
              <w:pStyle w:val="TableText"/>
              <w:jc w:val="right"/>
              <w:rPr>
                <w:lang w:eastAsia="en-AU"/>
              </w:rPr>
            </w:pPr>
            <w:r w:rsidRPr="005B0796">
              <w:rPr>
                <w:lang w:eastAsia="en-AU"/>
              </w:rPr>
              <w:t>2.1</w:t>
            </w:r>
          </w:p>
        </w:tc>
        <w:tc>
          <w:tcPr>
            <w:tcW w:w="997" w:type="dxa"/>
            <w:hideMark/>
          </w:tcPr>
          <w:p w:rsidR="00E54F55" w:rsidRPr="005B0796" w:rsidRDefault="00E54F55" w:rsidP="00611091">
            <w:pPr>
              <w:pStyle w:val="TableText"/>
              <w:jc w:val="right"/>
              <w:rPr>
                <w:lang w:eastAsia="en-AU"/>
              </w:rPr>
            </w:pPr>
            <w:r w:rsidRPr="005B0796">
              <w:rPr>
                <w:lang w:eastAsia="en-AU"/>
              </w:rPr>
              <w:t>12.4, 20.7</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28–37</w:t>
            </w:r>
          </w:p>
        </w:tc>
        <w:tc>
          <w:tcPr>
            <w:tcW w:w="1530" w:type="dxa"/>
            <w:hideMark/>
          </w:tcPr>
          <w:p w:rsidR="00E54F55" w:rsidRPr="005B0796" w:rsidRDefault="00E54F55" w:rsidP="00611091">
            <w:pPr>
              <w:pStyle w:val="TableText"/>
              <w:rPr>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44.1</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40.8, 47.4</w:t>
            </w:r>
          </w:p>
        </w:tc>
        <w:tc>
          <w:tcPr>
            <w:tcW w:w="996" w:type="dxa"/>
            <w:hideMark/>
          </w:tcPr>
          <w:p w:rsidR="00E54F55" w:rsidRPr="005B0796" w:rsidRDefault="00E54F55" w:rsidP="00611091">
            <w:pPr>
              <w:pStyle w:val="TableText"/>
              <w:jc w:val="right"/>
              <w:rPr>
                <w:lang w:eastAsia="en-AU"/>
              </w:rPr>
            </w:pPr>
            <w:r w:rsidRPr="005B0796">
              <w:rPr>
                <w:lang w:eastAsia="en-AU"/>
              </w:rPr>
              <w:t>63.8</w:t>
            </w:r>
          </w:p>
        </w:tc>
        <w:tc>
          <w:tcPr>
            <w:tcW w:w="997" w:type="dxa"/>
            <w:hideMark/>
          </w:tcPr>
          <w:p w:rsidR="00E54F55" w:rsidRPr="005B0796" w:rsidRDefault="00E54F55" w:rsidP="00611091">
            <w:pPr>
              <w:pStyle w:val="TableText"/>
              <w:jc w:val="right"/>
              <w:rPr>
                <w:lang w:eastAsia="en-AU"/>
              </w:rPr>
            </w:pPr>
            <w:r w:rsidRPr="005B0796">
              <w:rPr>
                <w:lang w:eastAsia="en-AU"/>
              </w:rPr>
              <w:t>1.9</w:t>
            </w:r>
          </w:p>
        </w:tc>
        <w:tc>
          <w:tcPr>
            <w:tcW w:w="996" w:type="dxa"/>
            <w:hideMark/>
          </w:tcPr>
          <w:p w:rsidR="00E54F55" w:rsidRPr="005B0796" w:rsidRDefault="00E54F55" w:rsidP="00611091">
            <w:pPr>
              <w:pStyle w:val="TableText"/>
              <w:jc w:val="right"/>
              <w:rPr>
                <w:lang w:eastAsia="en-AU"/>
              </w:rPr>
            </w:pPr>
            <w:r w:rsidRPr="005B0796">
              <w:rPr>
                <w:lang w:eastAsia="en-AU"/>
              </w:rPr>
              <w:t>60.2, 67.5</w:t>
            </w:r>
          </w:p>
        </w:tc>
        <w:tc>
          <w:tcPr>
            <w:tcW w:w="997" w:type="dxa"/>
            <w:hideMark/>
          </w:tcPr>
          <w:p w:rsidR="00E54F55" w:rsidRPr="005B0796" w:rsidRDefault="00E54F55" w:rsidP="00611091">
            <w:pPr>
              <w:pStyle w:val="TableText"/>
              <w:jc w:val="right"/>
              <w:rPr>
                <w:lang w:eastAsia="en-AU"/>
              </w:rPr>
            </w:pPr>
            <w:r w:rsidRPr="005B0796">
              <w:rPr>
                <w:lang w:eastAsia="en-AU"/>
              </w:rPr>
              <w:t>-19.7</w:t>
            </w:r>
          </w:p>
        </w:tc>
        <w:tc>
          <w:tcPr>
            <w:tcW w:w="996" w:type="dxa"/>
            <w:hideMark/>
          </w:tcPr>
          <w:p w:rsidR="00E54F55" w:rsidRPr="005B0796" w:rsidRDefault="00E54F55" w:rsidP="00611091">
            <w:pPr>
              <w:pStyle w:val="TableText"/>
              <w:jc w:val="right"/>
              <w:rPr>
                <w:lang w:eastAsia="en-AU"/>
              </w:rPr>
            </w:pPr>
            <w:r w:rsidRPr="005B0796">
              <w:rPr>
                <w:lang w:eastAsia="en-AU"/>
              </w:rPr>
              <w:t>2.5</w:t>
            </w:r>
          </w:p>
        </w:tc>
        <w:tc>
          <w:tcPr>
            <w:tcW w:w="997" w:type="dxa"/>
            <w:hideMark/>
          </w:tcPr>
          <w:p w:rsidR="00E54F55" w:rsidRPr="005B0796" w:rsidRDefault="00E54F55" w:rsidP="00611091">
            <w:pPr>
              <w:pStyle w:val="TableText"/>
              <w:jc w:val="right"/>
              <w:rPr>
                <w:lang w:eastAsia="en-AU"/>
              </w:rPr>
            </w:pPr>
            <w:r w:rsidRPr="005B0796">
              <w:rPr>
                <w:lang w:eastAsia="en-AU"/>
              </w:rPr>
              <w:t>-24.7, -14.7</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20.9</w:t>
            </w:r>
          </w:p>
        </w:tc>
        <w:tc>
          <w:tcPr>
            <w:tcW w:w="996" w:type="dxa"/>
            <w:hideMark/>
          </w:tcPr>
          <w:p w:rsidR="00E54F55" w:rsidRPr="005B0796" w:rsidRDefault="00E54F55" w:rsidP="00611091">
            <w:pPr>
              <w:pStyle w:val="TableText"/>
              <w:jc w:val="right"/>
              <w:rPr>
                <w:lang w:eastAsia="en-AU"/>
              </w:rPr>
            </w:pPr>
            <w:r w:rsidRPr="005B0796">
              <w:rPr>
                <w:lang w:eastAsia="en-AU"/>
              </w:rPr>
              <w:t>1.5</w:t>
            </w:r>
          </w:p>
        </w:tc>
        <w:tc>
          <w:tcPr>
            <w:tcW w:w="997" w:type="dxa"/>
            <w:hideMark/>
          </w:tcPr>
          <w:p w:rsidR="00E54F55" w:rsidRPr="005B0796" w:rsidRDefault="00E54F55" w:rsidP="00611091">
            <w:pPr>
              <w:pStyle w:val="TableText"/>
              <w:jc w:val="right"/>
              <w:rPr>
                <w:lang w:eastAsia="en-AU"/>
              </w:rPr>
            </w:pPr>
            <w:r w:rsidRPr="005B0796">
              <w:rPr>
                <w:lang w:eastAsia="en-AU"/>
              </w:rPr>
              <w:t>18.2, 24.0</w:t>
            </w:r>
          </w:p>
        </w:tc>
        <w:tc>
          <w:tcPr>
            <w:tcW w:w="996" w:type="dxa"/>
            <w:hideMark/>
          </w:tcPr>
          <w:p w:rsidR="00E54F55" w:rsidRPr="005B0796" w:rsidRDefault="00E54F55" w:rsidP="00611091">
            <w:pPr>
              <w:pStyle w:val="TableText"/>
              <w:jc w:val="right"/>
              <w:rPr>
                <w:lang w:eastAsia="en-AU"/>
              </w:rPr>
            </w:pPr>
            <w:r w:rsidRPr="005B0796">
              <w:rPr>
                <w:lang w:eastAsia="en-AU"/>
              </w:rPr>
              <w:t>23.6</w:t>
            </w:r>
          </w:p>
        </w:tc>
        <w:tc>
          <w:tcPr>
            <w:tcW w:w="997" w:type="dxa"/>
            <w:hideMark/>
          </w:tcPr>
          <w:p w:rsidR="00E54F55" w:rsidRPr="005B0796" w:rsidRDefault="00E54F55" w:rsidP="00611091">
            <w:pPr>
              <w:pStyle w:val="TableText"/>
              <w:jc w:val="right"/>
              <w:rPr>
                <w:lang w:eastAsia="en-AU"/>
              </w:rPr>
            </w:pPr>
            <w:r w:rsidRPr="005B0796">
              <w:rPr>
                <w:lang w:eastAsia="en-AU"/>
              </w:rPr>
              <w:t>1.6</w:t>
            </w:r>
          </w:p>
        </w:tc>
        <w:tc>
          <w:tcPr>
            <w:tcW w:w="996" w:type="dxa"/>
            <w:hideMark/>
          </w:tcPr>
          <w:p w:rsidR="00E54F55" w:rsidRPr="005B0796" w:rsidRDefault="00E54F55" w:rsidP="00611091">
            <w:pPr>
              <w:pStyle w:val="TableText"/>
              <w:jc w:val="right"/>
              <w:rPr>
                <w:lang w:eastAsia="en-AU"/>
              </w:rPr>
            </w:pPr>
            <w:r w:rsidRPr="005B0796">
              <w:rPr>
                <w:lang w:eastAsia="en-AU"/>
              </w:rPr>
              <w:t>20.5, 26.6</w:t>
            </w:r>
          </w:p>
        </w:tc>
        <w:tc>
          <w:tcPr>
            <w:tcW w:w="997" w:type="dxa"/>
            <w:hideMark/>
          </w:tcPr>
          <w:p w:rsidR="00E54F55" w:rsidRPr="005B0796" w:rsidRDefault="00E54F55" w:rsidP="00611091">
            <w:pPr>
              <w:pStyle w:val="TableText"/>
              <w:jc w:val="right"/>
              <w:rPr>
                <w:lang w:eastAsia="en-AU"/>
              </w:rPr>
            </w:pPr>
            <w:r w:rsidRPr="005B0796">
              <w:rPr>
                <w:lang w:eastAsia="en-AU"/>
              </w:rPr>
              <w:t>-2.6</w:t>
            </w:r>
          </w:p>
        </w:tc>
        <w:tc>
          <w:tcPr>
            <w:tcW w:w="996" w:type="dxa"/>
            <w:hideMark/>
          </w:tcPr>
          <w:p w:rsidR="00E54F55" w:rsidRPr="005B0796" w:rsidRDefault="00E54F55" w:rsidP="00611091">
            <w:pPr>
              <w:pStyle w:val="TableText"/>
              <w:jc w:val="right"/>
              <w:rPr>
                <w:lang w:eastAsia="en-AU"/>
              </w:rPr>
            </w:pPr>
            <w:r w:rsidRPr="005B0796">
              <w:rPr>
                <w:lang w:eastAsia="en-AU"/>
              </w:rPr>
              <w:t>2.1</w:t>
            </w:r>
          </w:p>
        </w:tc>
        <w:tc>
          <w:tcPr>
            <w:tcW w:w="997" w:type="dxa"/>
            <w:hideMark/>
          </w:tcPr>
          <w:p w:rsidR="00E54F55" w:rsidRPr="005B0796" w:rsidRDefault="00E54F55" w:rsidP="00611091">
            <w:pPr>
              <w:pStyle w:val="TableText"/>
              <w:jc w:val="right"/>
              <w:rPr>
                <w:lang w:eastAsia="en-AU"/>
              </w:rPr>
            </w:pPr>
            <w:r w:rsidRPr="005B0796">
              <w:rPr>
                <w:lang w:eastAsia="en-AU"/>
              </w:rPr>
              <w:t>-6.8, 1.6</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13.6</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11.4, 16.1</w:t>
            </w:r>
          </w:p>
        </w:tc>
        <w:tc>
          <w:tcPr>
            <w:tcW w:w="996" w:type="dxa"/>
            <w:hideMark/>
          </w:tcPr>
          <w:p w:rsidR="00E54F55" w:rsidRPr="005B0796" w:rsidRDefault="00E54F55" w:rsidP="00611091">
            <w:pPr>
              <w:pStyle w:val="TableText"/>
              <w:jc w:val="right"/>
              <w:rPr>
                <w:lang w:eastAsia="en-AU"/>
              </w:rPr>
            </w:pPr>
            <w:r w:rsidRPr="005B0796">
              <w:rPr>
                <w:lang w:eastAsia="en-AU"/>
              </w:rPr>
              <w:t>7.3</w:t>
            </w:r>
          </w:p>
        </w:tc>
        <w:tc>
          <w:tcPr>
            <w:tcW w:w="997" w:type="dxa"/>
            <w:hideMark/>
          </w:tcPr>
          <w:p w:rsidR="00E54F55" w:rsidRPr="005B0796" w:rsidRDefault="00E54F55" w:rsidP="00611091">
            <w:pPr>
              <w:pStyle w:val="TableText"/>
              <w:jc w:val="right"/>
              <w:rPr>
                <w:lang w:eastAsia="en-AU"/>
              </w:rPr>
            </w:pPr>
            <w:r w:rsidRPr="005B0796">
              <w:rPr>
                <w:lang w:eastAsia="en-AU"/>
              </w:rPr>
              <w:t>61.1</w:t>
            </w:r>
          </w:p>
        </w:tc>
        <w:tc>
          <w:tcPr>
            <w:tcW w:w="996" w:type="dxa"/>
            <w:hideMark/>
          </w:tcPr>
          <w:p w:rsidR="00E54F55" w:rsidRPr="005B0796" w:rsidRDefault="00E54F55" w:rsidP="00611091">
            <w:pPr>
              <w:pStyle w:val="TableText"/>
              <w:jc w:val="right"/>
              <w:rPr>
                <w:lang w:eastAsia="en-AU"/>
              </w:rPr>
            </w:pPr>
            <w:r w:rsidRPr="005B0796">
              <w:rPr>
                <w:lang w:eastAsia="en-AU"/>
              </w:rPr>
              <w:t>5.1, 9.6</w:t>
            </w:r>
          </w:p>
        </w:tc>
        <w:tc>
          <w:tcPr>
            <w:tcW w:w="997" w:type="dxa"/>
            <w:hideMark/>
          </w:tcPr>
          <w:p w:rsidR="00E54F55" w:rsidRPr="005B0796" w:rsidRDefault="00E54F55" w:rsidP="00611091">
            <w:pPr>
              <w:pStyle w:val="TableText"/>
              <w:jc w:val="right"/>
              <w:rPr>
                <w:lang w:eastAsia="en-AU"/>
              </w:rPr>
            </w:pPr>
            <w:r w:rsidRPr="005B0796">
              <w:rPr>
                <w:lang w:eastAsia="en-AU"/>
              </w:rPr>
              <w:t>6.3</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3.0, 9.5</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19.9</w:t>
            </w:r>
          </w:p>
        </w:tc>
        <w:tc>
          <w:tcPr>
            <w:tcW w:w="996" w:type="dxa"/>
            <w:hideMark/>
          </w:tcPr>
          <w:p w:rsidR="00E54F55" w:rsidRPr="005B0796" w:rsidRDefault="00E54F55" w:rsidP="00611091">
            <w:pPr>
              <w:pStyle w:val="TableText"/>
              <w:jc w:val="right"/>
              <w:rPr>
                <w:lang w:eastAsia="en-AU"/>
              </w:rPr>
            </w:pPr>
            <w:r w:rsidRPr="005B0796">
              <w:rPr>
                <w:lang w:eastAsia="en-AU"/>
              </w:rPr>
              <w:t>1.4</w:t>
            </w:r>
          </w:p>
        </w:tc>
        <w:tc>
          <w:tcPr>
            <w:tcW w:w="997" w:type="dxa"/>
            <w:hideMark/>
          </w:tcPr>
          <w:p w:rsidR="00E54F55" w:rsidRPr="005B0796" w:rsidRDefault="00E54F55" w:rsidP="00611091">
            <w:pPr>
              <w:pStyle w:val="TableText"/>
              <w:jc w:val="right"/>
              <w:rPr>
                <w:lang w:eastAsia="en-AU"/>
              </w:rPr>
            </w:pPr>
            <w:r w:rsidRPr="005B0796">
              <w:rPr>
                <w:lang w:eastAsia="en-AU"/>
              </w:rPr>
              <w:t>17.4, 22.7</w:t>
            </w:r>
          </w:p>
        </w:tc>
        <w:tc>
          <w:tcPr>
            <w:tcW w:w="996" w:type="dxa"/>
            <w:hideMark/>
          </w:tcPr>
          <w:p w:rsidR="00E54F55" w:rsidRPr="005B0796" w:rsidRDefault="00E54F55" w:rsidP="00611091">
            <w:pPr>
              <w:pStyle w:val="TableText"/>
              <w:jc w:val="right"/>
              <w:rPr>
                <w:lang w:eastAsia="en-AU"/>
              </w:rPr>
            </w:pPr>
            <w:r w:rsidRPr="005B0796">
              <w:rPr>
                <w:lang w:eastAsia="en-AU"/>
              </w:rPr>
              <w:t>4.8</w:t>
            </w:r>
          </w:p>
        </w:tc>
        <w:tc>
          <w:tcPr>
            <w:tcW w:w="997" w:type="dxa"/>
            <w:hideMark/>
          </w:tcPr>
          <w:p w:rsidR="00E54F55" w:rsidRPr="005B0796" w:rsidRDefault="00E54F55" w:rsidP="00611091">
            <w:pPr>
              <w:pStyle w:val="TableText"/>
              <w:jc w:val="right"/>
              <w:rPr>
                <w:lang w:eastAsia="en-AU"/>
              </w:rPr>
            </w:pPr>
            <w:r w:rsidRPr="005B0796">
              <w:rPr>
                <w:lang w:eastAsia="en-AU"/>
              </w:rPr>
              <w:t>1.1</w:t>
            </w:r>
          </w:p>
        </w:tc>
        <w:tc>
          <w:tcPr>
            <w:tcW w:w="996" w:type="dxa"/>
            <w:hideMark/>
          </w:tcPr>
          <w:p w:rsidR="00E54F55" w:rsidRPr="005B0796" w:rsidRDefault="00E54F55" w:rsidP="00611091">
            <w:pPr>
              <w:pStyle w:val="TableText"/>
              <w:jc w:val="right"/>
              <w:rPr>
                <w:lang w:eastAsia="en-AU"/>
              </w:rPr>
            </w:pPr>
            <w:r w:rsidRPr="005B0796">
              <w:rPr>
                <w:lang w:eastAsia="en-AU"/>
              </w:rPr>
              <w:t>2.5, 7.0</w:t>
            </w:r>
          </w:p>
        </w:tc>
        <w:tc>
          <w:tcPr>
            <w:tcW w:w="997" w:type="dxa"/>
            <w:hideMark/>
          </w:tcPr>
          <w:p w:rsidR="00E54F55" w:rsidRPr="005B0796" w:rsidRDefault="00E54F55" w:rsidP="00611091">
            <w:pPr>
              <w:pStyle w:val="TableText"/>
              <w:jc w:val="right"/>
              <w:rPr>
                <w:lang w:eastAsia="en-AU"/>
              </w:rPr>
            </w:pPr>
            <w:r w:rsidRPr="005B0796">
              <w:rPr>
                <w:lang w:eastAsia="en-AU"/>
              </w:rPr>
              <w:t>15.2</w:t>
            </w:r>
          </w:p>
        </w:tc>
        <w:tc>
          <w:tcPr>
            <w:tcW w:w="996" w:type="dxa"/>
            <w:hideMark/>
          </w:tcPr>
          <w:p w:rsidR="00E54F55" w:rsidRPr="005B0796" w:rsidRDefault="00E54F55" w:rsidP="00611091">
            <w:pPr>
              <w:pStyle w:val="TableText"/>
              <w:jc w:val="right"/>
              <w:rPr>
                <w:lang w:eastAsia="en-AU"/>
              </w:rPr>
            </w:pPr>
            <w:r w:rsidRPr="005B0796">
              <w:rPr>
                <w:lang w:eastAsia="en-AU"/>
              </w:rPr>
              <w:t>1.8</w:t>
            </w:r>
          </w:p>
        </w:tc>
        <w:tc>
          <w:tcPr>
            <w:tcW w:w="997" w:type="dxa"/>
            <w:hideMark/>
          </w:tcPr>
          <w:p w:rsidR="00E54F55" w:rsidRPr="005B0796" w:rsidRDefault="00E54F55" w:rsidP="00611091">
            <w:pPr>
              <w:pStyle w:val="TableText"/>
              <w:jc w:val="right"/>
              <w:rPr>
                <w:lang w:eastAsia="en-AU"/>
              </w:rPr>
            </w:pPr>
            <w:r w:rsidRPr="005B0796">
              <w:rPr>
                <w:lang w:eastAsia="en-AU"/>
              </w:rPr>
              <w:t>11.7, 18.6</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38–47</w:t>
            </w:r>
          </w:p>
        </w:tc>
        <w:tc>
          <w:tcPr>
            <w:tcW w:w="1530" w:type="dxa"/>
            <w:hideMark/>
          </w:tcPr>
          <w:p w:rsidR="00E54F55" w:rsidRPr="005B0796" w:rsidRDefault="00E54F55" w:rsidP="00611091">
            <w:pPr>
              <w:pStyle w:val="TableText"/>
              <w:rPr>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44.0</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40.7, 47.4</w:t>
            </w:r>
          </w:p>
        </w:tc>
        <w:tc>
          <w:tcPr>
            <w:tcW w:w="996" w:type="dxa"/>
            <w:hideMark/>
          </w:tcPr>
          <w:p w:rsidR="00E54F55" w:rsidRPr="005B0796" w:rsidRDefault="00E54F55" w:rsidP="00611091">
            <w:pPr>
              <w:pStyle w:val="TableText"/>
              <w:jc w:val="right"/>
              <w:rPr>
                <w:lang w:eastAsia="en-AU"/>
              </w:rPr>
            </w:pPr>
            <w:r w:rsidRPr="005B0796">
              <w:rPr>
                <w:lang w:eastAsia="en-AU"/>
              </w:rPr>
              <w:t>70.2</w:t>
            </w:r>
          </w:p>
        </w:tc>
        <w:tc>
          <w:tcPr>
            <w:tcW w:w="997" w:type="dxa"/>
            <w:hideMark/>
          </w:tcPr>
          <w:p w:rsidR="00E54F55" w:rsidRPr="005B0796" w:rsidRDefault="00E54F55" w:rsidP="00611091">
            <w:pPr>
              <w:pStyle w:val="TableText"/>
              <w:jc w:val="right"/>
              <w:rPr>
                <w:lang w:eastAsia="en-AU"/>
              </w:rPr>
            </w:pPr>
            <w:r w:rsidRPr="005B0796">
              <w:rPr>
                <w:lang w:eastAsia="en-AU"/>
              </w:rPr>
              <w:t>1.7</w:t>
            </w:r>
          </w:p>
        </w:tc>
        <w:tc>
          <w:tcPr>
            <w:tcW w:w="996" w:type="dxa"/>
            <w:hideMark/>
          </w:tcPr>
          <w:p w:rsidR="00E54F55" w:rsidRPr="005B0796" w:rsidRDefault="00E54F55" w:rsidP="00611091">
            <w:pPr>
              <w:pStyle w:val="TableText"/>
              <w:jc w:val="right"/>
              <w:rPr>
                <w:lang w:eastAsia="en-AU"/>
              </w:rPr>
            </w:pPr>
            <w:r w:rsidRPr="005B0796">
              <w:rPr>
                <w:lang w:eastAsia="en-AU"/>
              </w:rPr>
              <w:t>66.9, 73.5</w:t>
            </w:r>
          </w:p>
        </w:tc>
        <w:tc>
          <w:tcPr>
            <w:tcW w:w="997" w:type="dxa"/>
            <w:hideMark/>
          </w:tcPr>
          <w:p w:rsidR="00E54F55" w:rsidRPr="005B0796" w:rsidRDefault="00E54F55" w:rsidP="00611091">
            <w:pPr>
              <w:pStyle w:val="TableText"/>
              <w:jc w:val="right"/>
              <w:rPr>
                <w:lang w:eastAsia="en-AU"/>
              </w:rPr>
            </w:pPr>
            <w:r w:rsidRPr="005B0796">
              <w:rPr>
                <w:lang w:eastAsia="en-AU"/>
              </w:rPr>
              <w:t>-26.2</w:t>
            </w:r>
          </w:p>
        </w:tc>
        <w:tc>
          <w:tcPr>
            <w:tcW w:w="996" w:type="dxa"/>
            <w:hideMark/>
          </w:tcPr>
          <w:p w:rsidR="00E54F55" w:rsidRPr="005B0796" w:rsidRDefault="00E54F55" w:rsidP="00611091">
            <w:pPr>
              <w:pStyle w:val="TableText"/>
              <w:jc w:val="right"/>
              <w:rPr>
                <w:lang w:eastAsia="en-AU"/>
              </w:rPr>
            </w:pPr>
            <w:r w:rsidRPr="005B0796">
              <w:rPr>
                <w:lang w:eastAsia="en-AU"/>
              </w:rPr>
              <w:t>2. 4</w:t>
            </w:r>
          </w:p>
        </w:tc>
        <w:tc>
          <w:tcPr>
            <w:tcW w:w="997" w:type="dxa"/>
            <w:hideMark/>
          </w:tcPr>
          <w:p w:rsidR="00E54F55" w:rsidRPr="005B0796" w:rsidRDefault="00E54F55" w:rsidP="00611091">
            <w:pPr>
              <w:pStyle w:val="TableText"/>
              <w:jc w:val="right"/>
              <w:rPr>
                <w:lang w:eastAsia="en-AU"/>
              </w:rPr>
            </w:pPr>
            <w:r w:rsidRPr="005B0796">
              <w:rPr>
                <w:lang w:eastAsia="en-AU"/>
              </w:rPr>
              <w:t>-30.9, -21.5</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17.3</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13.4, 18.2</w:t>
            </w:r>
          </w:p>
        </w:tc>
        <w:tc>
          <w:tcPr>
            <w:tcW w:w="996" w:type="dxa"/>
            <w:hideMark/>
          </w:tcPr>
          <w:p w:rsidR="00E54F55" w:rsidRPr="005B0796" w:rsidRDefault="00E54F55" w:rsidP="00611091">
            <w:pPr>
              <w:pStyle w:val="TableText"/>
              <w:jc w:val="right"/>
              <w:rPr>
                <w:lang w:eastAsia="en-AU"/>
              </w:rPr>
            </w:pPr>
            <w:r w:rsidRPr="005B0796">
              <w:rPr>
                <w:lang w:eastAsia="en-AU"/>
              </w:rPr>
              <w:t>15.8</w:t>
            </w:r>
          </w:p>
        </w:tc>
        <w:tc>
          <w:tcPr>
            <w:tcW w:w="997" w:type="dxa"/>
            <w:hideMark/>
          </w:tcPr>
          <w:p w:rsidR="00E54F55" w:rsidRPr="005B0796" w:rsidRDefault="00E54F55" w:rsidP="00611091">
            <w:pPr>
              <w:pStyle w:val="TableText"/>
              <w:jc w:val="right"/>
              <w:rPr>
                <w:lang w:eastAsia="en-AU"/>
              </w:rPr>
            </w:pPr>
            <w:r w:rsidRPr="005B0796">
              <w:rPr>
                <w:lang w:eastAsia="en-AU"/>
              </w:rPr>
              <w:t>1.2</w:t>
            </w:r>
          </w:p>
        </w:tc>
        <w:tc>
          <w:tcPr>
            <w:tcW w:w="996" w:type="dxa"/>
            <w:hideMark/>
          </w:tcPr>
          <w:p w:rsidR="00E54F55" w:rsidRPr="005B0796" w:rsidRDefault="00E54F55" w:rsidP="00611091">
            <w:pPr>
              <w:pStyle w:val="TableText"/>
              <w:jc w:val="right"/>
              <w:rPr>
                <w:lang w:eastAsia="en-AU"/>
              </w:rPr>
            </w:pPr>
            <w:r w:rsidRPr="005B0796">
              <w:rPr>
                <w:lang w:eastAsia="en-AU"/>
              </w:rPr>
              <w:t>13.4, 18.2</w:t>
            </w:r>
          </w:p>
        </w:tc>
        <w:tc>
          <w:tcPr>
            <w:tcW w:w="997" w:type="dxa"/>
            <w:hideMark/>
          </w:tcPr>
          <w:p w:rsidR="00E54F55" w:rsidRPr="005B0796" w:rsidRDefault="00E54F55" w:rsidP="00611091">
            <w:pPr>
              <w:pStyle w:val="TableText"/>
              <w:jc w:val="right"/>
              <w:rPr>
                <w:lang w:eastAsia="en-AU"/>
              </w:rPr>
            </w:pPr>
            <w:r w:rsidRPr="005B0796">
              <w:rPr>
                <w:lang w:eastAsia="en-AU"/>
              </w:rPr>
              <w:t>1.5</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-1.9, 4.9</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13.6</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44.4, 16.1</w:t>
            </w:r>
          </w:p>
        </w:tc>
        <w:tc>
          <w:tcPr>
            <w:tcW w:w="996" w:type="dxa"/>
            <w:hideMark/>
          </w:tcPr>
          <w:p w:rsidR="00E54F55" w:rsidRPr="005B0796" w:rsidRDefault="00E54F55" w:rsidP="00611091">
            <w:pPr>
              <w:pStyle w:val="TableText"/>
              <w:jc w:val="right"/>
              <w:rPr>
                <w:lang w:eastAsia="en-AU"/>
              </w:rPr>
            </w:pPr>
            <w:r w:rsidRPr="005B0796">
              <w:rPr>
                <w:lang w:eastAsia="en-AU"/>
              </w:rPr>
              <w:t>8.9</w:t>
            </w:r>
          </w:p>
        </w:tc>
        <w:tc>
          <w:tcPr>
            <w:tcW w:w="997" w:type="dxa"/>
            <w:hideMark/>
          </w:tcPr>
          <w:p w:rsidR="00E54F55" w:rsidRPr="005B0796" w:rsidRDefault="00E54F55" w:rsidP="00611091">
            <w:pPr>
              <w:pStyle w:val="TableText"/>
              <w:jc w:val="right"/>
              <w:rPr>
                <w:lang w:eastAsia="en-AU"/>
              </w:rPr>
            </w:pPr>
            <w:r w:rsidRPr="005B0796">
              <w:rPr>
                <w:lang w:eastAsia="en-AU"/>
              </w:rPr>
              <w:t>1.5</w:t>
            </w:r>
          </w:p>
        </w:tc>
        <w:tc>
          <w:tcPr>
            <w:tcW w:w="996" w:type="dxa"/>
            <w:hideMark/>
          </w:tcPr>
          <w:p w:rsidR="00E54F55" w:rsidRPr="005B0796" w:rsidRDefault="00E54F55" w:rsidP="00611091">
            <w:pPr>
              <w:pStyle w:val="TableText"/>
              <w:jc w:val="right"/>
              <w:rPr>
                <w:lang w:eastAsia="en-AU"/>
              </w:rPr>
            </w:pPr>
            <w:r w:rsidRPr="005B0796">
              <w:rPr>
                <w:lang w:eastAsia="en-AU"/>
              </w:rPr>
              <w:t>5.9, 11.8</w:t>
            </w:r>
          </w:p>
        </w:tc>
        <w:tc>
          <w:tcPr>
            <w:tcW w:w="997" w:type="dxa"/>
            <w:hideMark/>
          </w:tcPr>
          <w:p w:rsidR="00E54F55" w:rsidRPr="005B0796" w:rsidRDefault="00E54F55" w:rsidP="00611091">
            <w:pPr>
              <w:pStyle w:val="TableText"/>
              <w:jc w:val="right"/>
              <w:rPr>
                <w:lang w:eastAsia="en-AU"/>
              </w:rPr>
            </w:pPr>
            <w:r w:rsidRPr="005B0796">
              <w:rPr>
                <w:lang w:eastAsia="en-AU"/>
              </w:rPr>
              <w:t>6.0</w:t>
            </w:r>
          </w:p>
        </w:tc>
        <w:tc>
          <w:tcPr>
            <w:tcW w:w="996" w:type="dxa"/>
            <w:hideMark/>
          </w:tcPr>
          <w:p w:rsidR="00E54F55" w:rsidRPr="005B0796" w:rsidRDefault="00E54F55" w:rsidP="00611091">
            <w:pPr>
              <w:pStyle w:val="TableText"/>
              <w:jc w:val="right"/>
              <w:rPr>
                <w:lang w:eastAsia="en-AU"/>
              </w:rPr>
            </w:pPr>
            <w:r w:rsidRPr="005B0796">
              <w:rPr>
                <w:lang w:eastAsia="en-AU"/>
              </w:rPr>
              <w:t>1.9</w:t>
            </w:r>
          </w:p>
        </w:tc>
        <w:tc>
          <w:tcPr>
            <w:tcW w:w="997" w:type="dxa"/>
            <w:hideMark/>
          </w:tcPr>
          <w:p w:rsidR="00E54F55" w:rsidRPr="005B0796" w:rsidRDefault="00E54F55" w:rsidP="00611091">
            <w:pPr>
              <w:pStyle w:val="TableText"/>
              <w:jc w:val="right"/>
              <w:rPr>
                <w:lang w:eastAsia="en-AU"/>
              </w:rPr>
            </w:pPr>
            <w:r w:rsidRPr="005B0796">
              <w:rPr>
                <w:lang w:eastAsia="en-AU"/>
              </w:rPr>
              <w:t>2.2, 9.8</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23.2</w:t>
            </w:r>
          </w:p>
        </w:tc>
        <w:tc>
          <w:tcPr>
            <w:tcW w:w="996" w:type="dxa"/>
            <w:hideMark/>
          </w:tcPr>
          <w:p w:rsidR="00E54F55" w:rsidRPr="005B0796" w:rsidRDefault="00E54F55" w:rsidP="00611091">
            <w:pPr>
              <w:pStyle w:val="TableText"/>
              <w:jc w:val="right"/>
              <w:rPr>
                <w:lang w:eastAsia="en-AU"/>
              </w:rPr>
            </w:pPr>
            <w:r w:rsidRPr="005B0796">
              <w:rPr>
                <w:lang w:eastAsia="en-AU"/>
              </w:rPr>
              <w:t>1.5</w:t>
            </w:r>
          </w:p>
        </w:tc>
        <w:tc>
          <w:tcPr>
            <w:tcW w:w="997" w:type="dxa"/>
            <w:hideMark/>
          </w:tcPr>
          <w:p w:rsidR="00E54F55" w:rsidRPr="005B0796" w:rsidRDefault="00E54F55" w:rsidP="00611091">
            <w:pPr>
              <w:pStyle w:val="TableText"/>
              <w:jc w:val="right"/>
              <w:rPr>
                <w:lang w:eastAsia="en-AU"/>
              </w:rPr>
            </w:pPr>
            <w:r w:rsidRPr="005B0796">
              <w:rPr>
                <w:lang w:eastAsia="en-AU"/>
              </w:rPr>
              <w:t>20.4, 26.3</w:t>
            </w:r>
          </w:p>
        </w:tc>
        <w:tc>
          <w:tcPr>
            <w:tcW w:w="996" w:type="dxa"/>
            <w:hideMark/>
          </w:tcPr>
          <w:p w:rsidR="00E54F55" w:rsidRPr="005B0796" w:rsidRDefault="00E54F55" w:rsidP="00611091">
            <w:pPr>
              <w:pStyle w:val="TableText"/>
              <w:jc w:val="right"/>
              <w:rPr>
                <w:lang w:eastAsia="en-AU"/>
              </w:rPr>
            </w:pPr>
            <w:r w:rsidRPr="005B0796">
              <w:rPr>
                <w:lang w:eastAsia="en-AU"/>
              </w:rPr>
              <w:t>4.7</w:t>
            </w:r>
          </w:p>
        </w:tc>
        <w:tc>
          <w:tcPr>
            <w:tcW w:w="997" w:type="dxa"/>
            <w:hideMark/>
          </w:tcPr>
          <w:p w:rsidR="00E54F55" w:rsidRPr="005B0796" w:rsidRDefault="00E54F55" w:rsidP="00611091">
            <w:pPr>
              <w:pStyle w:val="TableText"/>
              <w:jc w:val="right"/>
              <w:rPr>
                <w:lang w:eastAsia="en-AU"/>
              </w:rPr>
            </w:pPr>
            <w:r w:rsidRPr="005B0796">
              <w:rPr>
                <w:lang w:eastAsia="en-AU"/>
              </w:rPr>
              <w:t>1.1</w:t>
            </w:r>
          </w:p>
        </w:tc>
        <w:tc>
          <w:tcPr>
            <w:tcW w:w="996" w:type="dxa"/>
            <w:hideMark/>
          </w:tcPr>
          <w:p w:rsidR="00E54F55" w:rsidRPr="005B0796" w:rsidRDefault="00E54F55" w:rsidP="00611091">
            <w:pPr>
              <w:pStyle w:val="TableText"/>
              <w:jc w:val="right"/>
              <w:rPr>
                <w:lang w:eastAsia="en-AU"/>
              </w:rPr>
            </w:pPr>
            <w:r w:rsidRPr="005B0796">
              <w:rPr>
                <w:lang w:eastAsia="en-AU"/>
              </w:rPr>
              <w:t>2.5, 7.0</w:t>
            </w:r>
          </w:p>
        </w:tc>
        <w:tc>
          <w:tcPr>
            <w:tcW w:w="997" w:type="dxa"/>
            <w:hideMark/>
          </w:tcPr>
          <w:p w:rsidR="00E54F55" w:rsidRPr="005B0796" w:rsidRDefault="00E54F55" w:rsidP="00611091">
            <w:pPr>
              <w:pStyle w:val="TableText"/>
              <w:jc w:val="right"/>
              <w:rPr>
                <w:lang w:eastAsia="en-AU"/>
              </w:rPr>
            </w:pPr>
            <w:r w:rsidRPr="005B0796">
              <w:rPr>
                <w:lang w:eastAsia="en-AU"/>
              </w:rPr>
              <w:t>183.5</w:t>
            </w:r>
          </w:p>
        </w:tc>
        <w:tc>
          <w:tcPr>
            <w:tcW w:w="996" w:type="dxa"/>
            <w:hideMark/>
          </w:tcPr>
          <w:p w:rsidR="00E54F55" w:rsidRPr="005B0796" w:rsidRDefault="00E54F55" w:rsidP="00611091">
            <w:pPr>
              <w:pStyle w:val="TableText"/>
              <w:jc w:val="right"/>
              <w:rPr>
                <w:lang w:eastAsia="en-AU"/>
              </w:rPr>
            </w:pPr>
            <w:r w:rsidRPr="005B0796">
              <w:rPr>
                <w:lang w:eastAsia="en-AU"/>
              </w:rPr>
              <w:t>1.9</w:t>
            </w:r>
          </w:p>
        </w:tc>
        <w:tc>
          <w:tcPr>
            <w:tcW w:w="997" w:type="dxa"/>
            <w:hideMark/>
          </w:tcPr>
          <w:p w:rsidR="00E54F55" w:rsidRPr="005B0796" w:rsidRDefault="00E54F55" w:rsidP="00611091">
            <w:pPr>
              <w:pStyle w:val="TableText"/>
              <w:jc w:val="right"/>
              <w:rPr>
                <w:lang w:eastAsia="en-AU"/>
              </w:rPr>
            </w:pPr>
            <w:r w:rsidRPr="005B0796">
              <w:rPr>
                <w:lang w:eastAsia="en-AU"/>
              </w:rPr>
              <w:t>14.8, 22.2</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48–57</w:t>
            </w:r>
          </w:p>
        </w:tc>
        <w:tc>
          <w:tcPr>
            <w:tcW w:w="1530" w:type="dxa"/>
            <w:hideMark/>
          </w:tcPr>
          <w:p w:rsidR="00E54F55" w:rsidRPr="005B0796" w:rsidRDefault="00E54F55" w:rsidP="00611091">
            <w:pPr>
              <w:pStyle w:val="TableText"/>
              <w:rPr>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52.3</w:t>
            </w:r>
          </w:p>
        </w:tc>
        <w:tc>
          <w:tcPr>
            <w:tcW w:w="996" w:type="dxa"/>
            <w:hideMark/>
          </w:tcPr>
          <w:p w:rsidR="00E54F55" w:rsidRPr="005B0796" w:rsidRDefault="00E54F55" w:rsidP="00611091">
            <w:pPr>
              <w:pStyle w:val="TableText"/>
              <w:jc w:val="right"/>
              <w:rPr>
                <w:lang w:eastAsia="en-AU"/>
              </w:rPr>
            </w:pPr>
            <w:r w:rsidRPr="005B0796">
              <w:rPr>
                <w:lang w:eastAsia="en-AU"/>
              </w:rPr>
              <w:t>1.8</w:t>
            </w:r>
          </w:p>
        </w:tc>
        <w:tc>
          <w:tcPr>
            <w:tcW w:w="997" w:type="dxa"/>
            <w:hideMark/>
          </w:tcPr>
          <w:p w:rsidR="00E54F55" w:rsidRPr="005B0796" w:rsidRDefault="00E54F55" w:rsidP="00611091">
            <w:pPr>
              <w:pStyle w:val="TableText"/>
              <w:jc w:val="right"/>
              <w:rPr>
                <w:lang w:eastAsia="en-AU"/>
              </w:rPr>
            </w:pPr>
            <w:r w:rsidRPr="005B0796">
              <w:rPr>
                <w:lang w:eastAsia="en-AU"/>
              </w:rPr>
              <w:t>48.8, 55.8</w:t>
            </w:r>
          </w:p>
        </w:tc>
        <w:tc>
          <w:tcPr>
            <w:tcW w:w="996" w:type="dxa"/>
            <w:hideMark/>
          </w:tcPr>
          <w:p w:rsidR="00E54F55" w:rsidRPr="005B0796" w:rsidRDefault="00E54F55" w:rsidP="00611091">
            <w:pPr>
              <w:pStyle w:val="TableText"/>
              <w:jc w:val="right"/>
              <w:rPr>
                <w:lang w:eastAsia="en-AU"/>
              </w:rPr>
            </w:pPr>
            <w:r w:rsidRPr="005B0796">
              <w:rPr>
                <w:lang w:eastAsia="en-AU"/>
              </w:rPr>
              <w:t>66.4</w:t>
            </w:r>
          </w:p>
        </w:tc>
        <w:tc>
          <w:tcPr>
            <w:tcW w:w="997" w:type="dxa"/>
            <w:hideMark/>
          </w:tcPr>
          <w:p w:rsidR="00E54F55" w:rsidRPr="005B0796" w:rsidRDefault="00E54F55" w:rsidP="00611091">
            <w:pPr>
              <w:pStyle w:val="TableText"/>
              <w:jc w:val="right"/>
              <w:rPr>
                <w:lang w:eastAsia="en-AU"/>
              </w:rPr>
            </w:pPr>
            <w:r w:rsidRPr="005B0796">
              <w:rPr>
                <w:lang w:eastAsia="en-AU"/>
              </w:rPr>
              <w:t>1.5</w:t>
            </w:r>
          </w:p>
        </w:tc>
        <w:tc>
          <w:tcPr>
            <w:tcW w:w="996" w:type="dxa"/>
            <w:hideMark/>
          </w:tcPr>
          <w:p w:rsidR="00E54F55" w:rsidRPr="005B0796" w:rsidRDefault="00E54F55" w:rsidP="00611091">
            <w:pPr>
              <w:pStyle w:val="TableText"/>
              <w:jc w:val="right"/>
              <w:rPr>
                <w:lang w:eastAsia="en-AU"/>
              </w:rPr>
            </w:pPr>
            <w:r w:rsidRPr="005B0796">
              <w:rPr>
                <w:lang w:eastAsia="en-AU"/>
              </w:rPr>
              <w:t>63.4, 69.4</w:t>
            </w:r>
          </w:p>
        </w:tc>
        <w:tc>
          <w:tcPr>
            <w:tcW w:w="997" w:type="dxa"/>
            <w:hideMark/>
          </w:tcPr>
          <w:p w:rsidR="00E54F55" w:rsidRPr="005B0796" w:rsidRDefault="00E54F55" w:rsidP="00611091">
            <w:pPr>
              <w:pStyle w:val="TableText"/>
              <w:jc w:val="right"/>
              <w:rPr>
                <w:lang w:eastAsia="en-AU"/>
              </w:rPr>
            </w:pPr>
            <w:r w:rsidRPr="005B0796">
              <w:rPr>
                <w:lang w:eastAsia="en-AU"/>
              </w:rPr>
              <w:t>-14.1</w:t>
            </w:r>
          </w:p>
        </w:tc>
        <w:tc>
          <w:tcPr>
            <w:tcW w:w="996" w:type="dxa"/>
            <w:hideMark/>
          </w:tcPr>
          <w:p w:rsidR="00E54F55" w:rsidRPr="005B0796" w:rsidRDefault="00E54F55" w:rsidP="00611091">
            <w:pPr>
              <w:pStyle w:val="TableText"/>
              <w:jc w:val="right"/>
              <w:rPr>
                <w:lang w:eastAsia="en-AU"/>
              </w:rPr>
            </w:pPr>
            <w:r w:rsidRPr="005B0796">
              <w:rPr>
                <w:lang w:eastAsia="en-AU"/>
              </w:rPr>
              <w:t>2.4</w:t>
            </w:r>
          </w:p>
        </w:tc>
        <w:tc>
          <w:tcPr>
            <w:tcW w:w="997" w:type="dxa"/>
            <w:hideMark/>
          </w:tcPr>
          <w:p w:rsidR="00E54F55" w:rsidRPr="005B0796" w:rsidRDefault="00E54F55" w:rsidP="00611091">
            <w:pPr>
              <w:pStyle w:val="TableText"/>
              <w:jc w:val="right"/>
              <w:rPr>
                <w:lang w:eastAsia="en-AU"/>
              </w:rPr>
            </w:pPr>
            <w:r w:rsidRPr="005B0796">
              <w:rPr>
                <w:lang w:eastAsia="en-AU"/>
              </w:rPr>
              <w:t>-18.7, -9.5</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18.1</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15.2, 20.0</w:t>
            </w:r>
          </w:p>
        </w:tc>
        <w:tc>
          <w:tcPr>
            <w:tcW w:w="996" w:type="dxa"/>
            <w:hideMark/>
          </w:tcPr>
          <w:p w:rsidR="00E54F55" w:rsidRPr="005B0796" w:rsidRDefault="00E54F55" w:rsidP="00611091">
            <w:pPr>
              <w:pStyle w:val="TableText"/>
              <w:jc w:val="right"/>
              <w:rPr>
                <w:lang w:eastAsia="en-AU"/>
              </w:rPr>
            </w:pPr>
            <w:r w:rsidRPr="005B0796">
              <w:rPr>
                <w:lang w:eastAsia="en-AU"/>
              </w:rPr>
              <w:t>17.6</w:t>
            </w:r>
          </w:p>
        </w:tc>
        <w:tc>
          <w:tcPr>
            <w:tcW w:w="997" w:type="dxa"/>
            <w:hideMark/>
          </w:tcPr>
          <w:p w:rsidR="00E54F55" w:rsidRPr="005B0796" w:rsidRDefault="00E54F55" w:rsidP="00611091">
            <w:pPr>
              <w:pStyle w:val="TableText"/>
              <w:jc w:val="right"/>
              <w:rPr>
                <w:lang w:eastAsia="en-AU"/>
              </w:rPr>
            </w:pPr>
            <w:r w:rsidRPr="005B0796">
              <w:rPr>
                <w:lang w:eastAsia="en-AU"/>
              </w:rPr>
              <w:t>1.2</w:t>
            </w:r>
          </w:p>
        </w:tc>
        <w:tc>
          <w:tcPr>
            <w:tcW w:w="996" w:type="dxa"/>
            <w:hideMark/>
          </w:tcPr>
          <w:p w:rsidR="00E54F55" w:rsidRPr="005B0796" w:rsidRDefault="00E54F55" w:rsidP="00611091">
            <w:pPr>
              <w:pStyle w:val="TableText"/>
              <w:jc w:val="right"/>
              <w:rPr>
                <w:lang w:eastAsia="en-AU"/>
              </w:rPr>
            </w:pPr>
            <w:r w:rsidRPr="005B0796">
              <w:rPr>
                <w:lang w:eastAsia="en-AU"/>
              </w:rPr>
              <w:t>15.2, 19.9</w:t>
            </w:r>
          </w:p>
        </w:tc>
        <w:tc>
          <w:tcPr>
            <w:tcW w:w="997" w:type="dxa"/>
            <w:hideMark/>
          </w:tcPr>
          <w:p w:rsidR="00E54F55" w:rsidRPr="005B0796" w:rsidRDefault="00E54F55" w:rsidP="00611091">
            <w:pPr>
              <w:pStyle w:val="TableText"/>
              <w:jc w:val="right"/>
              <w:rPr>
                <w:lang w:eastAsia="en-AU"/>
              </w:rPr>
            </w:pPr>
            <w:r w:rsidRPr="005B0796">
              <w:rPr>
                <w:lang w:eastAsia="en-AU"/>
              </w:rPr>
              <w:t>-0.5</w:t>
            </w:r>
          </w:p>
        </w:tc>
        <w:tc>
          <w:tcPr>
            <w:tcW w:w="996" w:type="dxa"/>
            <w:hideMark/>
          </w:tcPr>
          <w:p w:rsidR="00E54F55" w:rsidRPr="005B0796" w:rsidRDefault="00E54F55" w:rsidP="00611091">
            <w:pPr>
              <w:pStyle w:val="TableText"/>
              <w:jc w:val="right"/>
              <w:rPr>
                <w:lang w:eastAsia="en-AU"/>
              </w:rPr>
            </w:pPr>
            <w:r w:rsidRPr="005B0796">
              <w:rPr>
                <w:lang w:eastAsia="en-AU"/>
              </w:rPr>
              <w:t>1.8</w:t>
            </w:r>
          </w:p>
        </w:tc>
        <w:tc>
          <w:tcPr>
            <w:tcW w:w="997" w:type="dxa"/>
            <w:hideMark/>
          </w:tcPr>
          <w:p w:rsidR="00E54F55" w:rsidRPr="005B0796" w:rsidRDefault="00E54F55" w:rsidP="00611091">
            <w:pPr>
              <w:pStyle w:val="TableText"/>
              <w:jc w:val="right"/>
              <w:rPr>
                <w:lang w:eastAsia="en-AU"/>
              </w:rPr>
            </w:pPr>
            <w:r w:rsidRPr="005B0796">
              <w:rPr>
                <w:lang w:eastAsia="en-AU"/>
              </w:rPr>
              <w:t>-3.0, 4.1</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13.4</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 xml:space="preserve"> 11.2, 16.1</w:t>
            </w:r>
          </w:p>
        </w:tc>
        <w:tc>
          <w:tcPr>
            <w:tcW w:w="996" w:type="dxa"/>
            <w:hideMark/>
          </w:tcPr>
          <w:p w:rsidR="00E54F55" w:rsidRPr="005B0796" w:rsidRDefault="00E54F55" w:rsidP="00611091">
            <w:pPr>
              <w:pStyle w:val="TableText"/>
              <w:jc w:val="right"/>
              <w:rPr>
                <w:lang w:eastAsia="en-AU"/>
              </w:rPr>
            </w:pPr>
            <w:r w:rsidRPr="005B0796">
              <w:rPr>
                <w:lang w:eastAsia="en-AU"/>
              </w:rPr>
              <w:t>9.1</w:t>
            </w:r>
          </w:p>
        </w:tc>
        <w:tc>
          <w:tcPr>
            <w:tcW w:w="997" w:type="dxa"/>
            <w:hideMark/>
          </w:tcPr>
          <w:p w:rsidR="00E54F55" w:rsidRPr="005B0796" w:rsidRDefault="00E54F55" w:rsidP="00611091">
            <w:pPr>
              <w:pStyle w:val="TableText"/>
              <w:jc w:val="right"/>
              <w:rPr>
                <w:lang w:eastAsia="en-AU"/>
              </w:rPr>
            </w:pPr>
            <w:r w:rsidRPr="005B0796">
              <w:rPr>
                <w:lang w:eastAsia="en-AU"/>
              </w:rPr>
              <w:t>1.1</w:t>
            </w:r>
          </w:p>
        </w:tc>
        <w:tc>
          <w:tcPr>
            <w:tcW w:w="996" w:type="dxa"/>
            <w:hideMark/>
          </w:tcPr>
          <w:p w:rsidR="00E54F55" w:rsidRPr="005B0796" w:rsidRDefault="00E54F55" w:rsidP="00611091">
            <w:pPr>
              <w:pStyle w:val="TableText"/>
              <w:jc w:val="right"/>
              <w:rPr>
                <w:lang w:eastAsia="en-AU"/>
              </w:rPr>
            </w:pPr>
            <w:r w:rsidRPr="005B0796">
              <w:rPr>
                <w:lang w:eastAsia="en-AU"/>
              </w:rPr>
              <w:t>7.0, 11. 2</w:t>
            </w:r>
          </w:p>
        </w:tc>
        <w:tc>
          <w:tcPr>
            <w:tcW w:w="997" w:type="dxa"/>
            <w:hideMark/>
          </w:tcPr>
          <w:p w:rsidR="00E54F55" w:rsidRPr="005B0796" w:rsidRDefault="00E54F55" w:rsidP="00611091">
            <w:pPr>
              <w:pStyle w:val="TableText"/>
              <w:jc w:val="right"/>
              <w:rPr>
                <w:lang w:eastAsia="en-AU"/>
              </w:rPr>
            </w:pPr>
            <w:r w:rsidRPr="005B0796">
              <w:rPr>
                <w:lang w:eastAsia="en-AU"/>
              </w:rPr>
              <w:t>4.3</w:t>
            </w:r>
          </w:p>
        </w:tc>
        <w:tc>
          <w:tcPr>
            <w:tcW w:w="996" w:type="dxa"/>
            <w:hideMark/>
          </w:tcPr>
          <w:p w:rsidR="00E54F55" w:rsidRPr="005B0796" w:rsidRDefault="00E54F55" w:rsidP="00611091">
            <w:pPr>
              <w:pStyle w:val="TableText"/>
              <w:jc w:val="right"/>
              <w:rPr>
                <w:lang w:eastAsia="en-AU"/>
              </w:rPr>
            </w:pPr>
            <w:r w:rsidRPr="005B0796">
              <w:rPr>
                <w:lang w:eastAsia="en-AU"/>
              </w:rPr>
              <w:t>1.6</w:t>
            </w:r>
          </w:p>
        </w:tc>
        <w:tc>
          <w:tcPr>
            <w:tcW w:w="997" w:type="dxa"/>
            <w:hideMark/>
          </w:tcPr>
          <w:p w:rsidR="00E54F55" w:rsidRPr="005B0796" w:rsidRDefault="00E54F55" w:rsidP="00611091">
            <w:pPr>
              <w:pStyle w:val="TableText"/>
              <w:jc w:val="right"/>
              <w:rPr>
                <w:lang w:eastAsia="en-AU"/>
              </w:rPr>
            </w:pPr>
            <w:r w:rsidRPr="005B0796">
              <w:rPr>
                <w:lang w:eastAsia="en-AU"/>
              </w:rPr>
              <w:t>1.1, 7.5</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15.3</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13.0, 17.9</w:t>
            </w:r>
          </w:p>
        </w:tc>
        <w:tc>
          <w:tcPr>
            <w:tcW w:w="996" w:type="dxa"/>
            <w:hideMark/>
          </w:tcPr>
          <w:p w:rsidR="00E54F55" w:rsidRPr="005B0796" w:rsidRDefault="00E54F55" w:rsidP="00611091">
            <w:pPr>
              <w:pStyle w:val="TableText"/>
              <w:jc w:val="right"/>
              <w:rPr>
                <w:lang w:eastAsia="en-AU"/>
              </w:rPr>
            </w:pPr>
            <w:r w:rsidRPr="005B0796">
              <w:rPr>
                <w:lang w:eastAsia="en-AU"/>
              </w:rPr>
              <w:t>5.5</w:t>
            </w:r>
          </w:p>
        </w:tc>
        <w:tc>
          <w:tcPr>
            <w:tcW w:w="997" w:type="dxa"/>
            <w:hideMark/>
          </w:tcPr>
          <w:p w:rsidR="00E54F55" w:rsidRPr="005B0796" w:rsidRDefault="00E54F55" w:rsidP="00611091">
            <w:pPr>
              <w:pStyle w:val="TableText"/>
              <w:jc w:val="right"/>
              <w:rPr>
                <w:lang w:eastAsia="en-AU"/>
              </w:rPr>
            </w:pPr>
            <w:r w:rsidRPr="005B0796">
              <w:rPr>
                <w:lang w:eastAsia="en-AU"/>
              </w:rPr>
              <w:t>1.0</w:t>
            </w:r>
          </w:p>
        </w:tc>
        <w:tc>
          <w:tcPr>
            <w:tcW w:w="996" w:type="dxa"/>
            <w:hideMark/>
          </w:tcPr>
          <w:p w:rsidR="00E54F55" w:rsidRPr="005B0796" w:rsidRDefault="00E54F55" w:rsidP="00611091">
            <w:pPr>
              <w:pStyle w:val="TableText"/>
              <w:jc w:val="right"/>
              <w:rPr>
                <w:lang w:eastAsia="en-AU"/>
              </w:rPr>
            </w:pPr>
            <w:r w:rsidRPr="005B0796">
              <w:rPr>
                <w:lang w:eastAsia="en-AU"/>
              </w:rPr>
              <w:t>3.5, 7.5</w:t>
            </w:r>
          </w:p>
        </w:tc>
        <w:tc>
          <w:tcPr>
            <w:tcW w:w="997" w:type="dxa"/>
            <w:hideMark/>
          </w:tcPr>
          <w:p w:rsidR="00E54F55" w:rsidRPr="005B0796" w:rsidRDefault="00E54F55" w:rsidP="00611091">
            <w:pPr>
              <w:pStyle w:val="TableText"/>
              <w:jc w:val="right"/>
              <w:rPr>
                <w:lang w:eastAsia="en-AU"/>
              </w:rPr>
            </w:pPr>
            <w:r w:rsidRPr="005B0796">
              <w:rPr>
                <w:lang w:eastAsia="en-AU"/>
              </w:rPr>
              <w:t>9.8</w:t>
            </w:r>
          </w:p>
        </w:tc>
        <w:tc>
          <w:tcPr>
            <w:tcW w:w="996" w:type="dxa"/>
            <w:hideMark/>
          </w:tcPr>
          <w:p w:rsidR="00E54F55" w:rsidRPr="005B0796" w:rsidRDefault="00E54F55" w:rsidP="00611091">
            <w:pPr>
              <w:pStyle w:val="TableText"/>
              <w:jc w:val="right"/>
              <w:rPr>
                <w:lang w:eastAsia="en-AU"/>
              </w:rPr>
            </w:pPr>
            <w:r w:rsidRPr="005B0796">
              <w:rPr>
                <w:lang w:eastAsia="en-AU"/>
              </w:rPr>
              <w:t>1.6</w:t>
            </w:r>
          </w:p>
        </w:tc>
        <w:tc>
          <w:tcPr>
            <w:tcW w:w="997" w:type="dxa"/>
            <w:hideMark/>
          </w:tcPr>
          <w:p w:rsidR="00E54F55" w:rsidRPr="005B0796" w:rsidRDefault="00E54F55" w:rsidP="00611091">
            <w:pPr>
              <w:pStyle w:val="TableText"/>
              <w:jc w:val="right"/>
              <w:rPr>
                <w:lang w:eastAsia="en-AU"/>
              </w:rPr>
            </w:pPr>
            <w:r w:rsidRPr="005B0796">
              <w:rPr>
                <w:lang w:eastAsia="en-AU"/>
              </w:rPr>
              <w:t>6.7, 12.9</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hideMark/>
          </w:tcPr>
          <w:p w:rsidR="00E54F55" w:rsidRPr="005B0796" w:rsidRDefault="00E54F55" w:rsidP="00611091">
            <w:pPr>
              <w:pStyle w:val="TableText"/>
              <w:rPr>
                <w:lang w:eastAsia="en-AU"/>
              </w:rPr>
            </w:pPr>
            <w:r w:rsidRPr="005B0796">
              <w:rPr>
                <w:lang w:eastAsia="en-AU"/>
              </w:rPr>
              <w:t>58+</w:t>
            </w:r>
          </w:p>
        </w:tc>
        <w:tc>
          <w:tcPr>
            <w:tcW w:w="1530" w:type="dxa"/>
            <w:hideMark/>
          </w:tcPr>
          <w:p w:rsidR="00E54F55" w:rsidRPr="005B0796" w:rsidRDefault="00E54F55" w:rsidP="00611091">
            <w:pPr>
              <w:pStyle w:val="TableText"/>
              <w:rPr>
                <w:lang w:eastAsia="en-AU"/>
              </w:rPr>
            </w:pPr>
            <w:r w:rsidRPr="005B0796">
              <w:rPr>
                <w:lang w:eastAsia="en-AU"/>
              </w:rPr>
              <w:t>Low (10–15)</w:t>
            </w:r>
          </w:p>
        </w:tc>
        <w:tc>
          <w:tcPr>
            <w:tcW w:w="996" w:type="dxa"/>
            <w:hideMark/>
          </w:tcPr>
          <w:p w:rsidR="00E54F55" w:rsidRPr="005B0796" w:rsidRDefault="00E54F55" w:rsidP="00611091">
            <w:pPr>
              <w:pStyle w:val="TableText"/>
              <w:jc w:val="right"/>
              <w:rPr>
                <w:lang w:eastAsia="en-AU"/>
              </w:rPr>
            </w:pPr>
            <w:r w:rsidRPr="005B0796">
              <w:rPr>
                <w:lang w:eastAsia="en-AU"/>
              </w:rPr>
              <w:t>61.8</w:t>
            </w:r>
          </w:p>
        </w:tc>
        <w:tc>
          <w:tcPr>
            <w:tcW w:w="996" w:type="dxa"/>
            <w:hideMark/>
          </w:tcPr>
          <w:p w:rsidR="00E54F55" w:rsidRPr="005B0796" w:rsidRDefault="00E54F55" w:rsidP="00611091">
            <w:pPr>
              <w:pStyle w:val="TableText"/>
              <w:jc w:val="right"/>
              <w:rPr>
                <w:lang w:eastAsia="en-AU"/>
              </w:rPr>
            </w:pPr>
            <w:r w:rsidRPr="005B0796">
              <w:rPr>
                <w:lang w:eastAsia="en-AU"/>
              </w:rPr>
              <w:t>2.0</w:t>
            </w:r>
          </w:p>
        </w:tc>
        <w:tc>
          <w:tcPr>
            <w:tcW w:w="997" w:type="dxa"/>
            <w:hideMark/>
          </w:tcPr>
          <w:p w:rsidR="00E54F55" w:rsidRPr="005B0796" w:rsidRDefault="00E54F55" w:rsidP="00611091">
            <w:pPr>
              <w:pStyle w:val="TableText"/>
              <w:jc w:val="right"/>
              <w:rPr>
                <w:lang w:eastAsia="en-AU"/>
              </w:rPr>
            </w:pPr>
            <w:r w:rsidRPr="005B0796">
              <w:rPr>
                <w:lang w:eastAsia="en-AU"/>
              </w:rPr>
              <w:t>57.7, 65.6</w:t>
            </w:r>
          </w:p>
        </w:tc>
        <w:tc>
          <w:tcPr>
            <w:tcW w:w="996" w:type="dxa"/>
            <w:hideMark/>
          </w:tcPr>
          <w:p w:rsidR="00E54F55" w:rsidRPr="005B0796" w:rsidRDefault="00E54F55" w:rsidP="00611091">
            <w:pPr>
              <w:pStyle w:val="TableText"/>
              <w:jc w:val="right"/>
              <w:rPr>
                <w:lang w:eastAsia="en-AU"/>
              </w:rPr>
            </w:pPr>
            <w:r w:rsidRPr="005B0796">
              <w:rPr>
                <w:lang w:eastAsia="en-AU"/>
              </w:rPr>
              <w:t>74.4</w:t>
            </w:r>
          </w:p>
        </w:tc>
        <w:tc>
          <w:tcPr>
            <w:tcW w:w="997" w:type="dxa"/>
            <w:hideMark/>
          </w:tcPr>
          <w:p w:rsidR="00E54F55" w:rsidRPr="005B0796" w:rsidRDefault="00E54F55" w:rsidP="00611091">
            <w:pPr>
              <w:pStyle w:val="TableText"/>
              <w:jc w:val="right"/>
              <w:rPr>
                <w:lang w:eastAsia="en-AU"/>
              </w:rPr>
            </w:pPr>
            <w:r w:rsidRPr="005B0796">
              <w:rPr>
                <w:lang w:eastAsia="en-AU"/>
              </w:rPr>
              <w:t>1.4</w:t>
            </w:r>
          </w:p>
        </w:tc>
        <w:tc>
          <w:tcPr>
            <w:tcW w:w="996" w:type="dxa"/>
            <w:hideMark/>
          </w:tcPr>
          <w:p w:rsidR="00E54F55" w:rsidRPr="005B0796" w:rsidRDefault="00E54F55" w:rsidP="00611091">
            <w:pPr>
              <w:pStyle w:val="TableText"/>
              <w:jc w:val="right"/>
              <w:rPr>
                <w:lang w:eastAsia="en-AU"/>
              </w:rPr>
            </w:pPr>
            <w:r w:rsidRPr="005B0796">
              <w:rPr>
                <w:lang w:eastAsia="en-AU"/>
              </w:rPr>
              <w:t>71.7, 77.1</w:t>
            </w:r>
          </w:p>
        </w:tc>
        <w:tc>
          <w:tcPr>
            <w:tcW w:w="997" w:type="dxa"/>
            <w:hideMark/>
          </w:tcPr>
          <w:p w:rsidR="00E54F55" w:rsidRPr="005B0796" w:rsidRDefault="00E54F55" w:rsidP="00611091">
            <w:pPr>
              <w:pStyle w:val="TableText"/>
              <w:jc w:val="right"/>
              <w:rPr>
                <w:lang w:eastAsia="en-AU"/>
              </w:rPr>
            </w:pPr>
            <w:r w:rsidRPr="005B0796">
              <w:rPr>
                <w:lang w:eastAsia="en-AU"/>
              </w:rPr>
              <w:t>-12.7</w:t>
            </w:r>
          </w:p>
        </w:tc>
        <w:tc>
          <w:tcPr>
            <w:tcW w:w="996" w:type="dxa"/>
            <w:hideMark/>
          </w:tcPr>
          <w:p w:rsidR="00E54F55" w:rsidRPr="005B0796" w:rsidRDefault="00E54F55" w:rsidP="00611091">
            <w:pPr>
              <w:pStyle w:val="TableText"/>
              <w:jc w:val="right"/>
              <w:rPr>
                <w:lang w:eastAsia="en-AU"/>
              </w:rPr>
            </w:pPr>
            <w:r w:rsidRPr="005B0796">
              <w:rPr>
                <w:lang w:eastAsia="en-AU"/>
              </w:rPr>
              <w:t>2.4</w:t>
            </w:r>
          </w:p>
        </w:tc>
        <w:tc>
          <w:tcPr>
            <w:tcW w:w="997" w:type="dxa"/>
            <w:hideMark/>
          </w:tcPr>
          <w:p w:rsidR="00E54F55" w:rsidRPr="005B0796" w:rsidRDefault="00E54F55" w:rsidP="00611091">
            <w:pPr>
              <w:pStyle w:val="TableText"/>
              <w:jc w:val="right"/>
              <w:rPr>
                <w:lang w:eastAsia="en-AU"/>
              </w:rPr>
            </w:pPr>
            <w:r w:rsidRPr="005B0796">
              <w:rPr>
                <w:lang w:eastAsia="en-AU"/>
              </w:rPr>
              <w:t>-17.4, -7.9</w:t>
            </w:r>
          </w:p>
        </w:tc>
      </w:tr>
      <w:tr w:rsidR="00611091" w:rsidRPr="005B0796" w:rsidTr="00611091">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Moderate (16–21)</w:t>
            </w:r>
          </w:p>
        </w:tc>
        <w:tc>
          <w:tcPr>
            <w:tcW w:w="996" w:type="dxa"/>
            <w:hideMark/>
          </w:tcPr>
          <w:p w:rsidR="00E54F55" w:rsidRPr="005B0796" w:rsidRDefault="00E54F55" w:rsidP="00611091">
            <w:pPr>
              <w:pStyle w:val="TableText"/>
              <w:jc w:val="right"/>
              <w:rPr>
                <w:lang w:eastAsia="en-AU"/>
              </w:rPr>
            </w:pPr>
            <w:r w:rsidRPr="005B0796">
              <w:rPr>
                <w:lang w:eastAsia="en-AU"/>
              </w:rPr>
              <w:t>13.5</w:t>
            </w:r>
          </w:p>
        </w:tc>
        <w:tc>
          <w:tcPr>
            <w:tcW w:w="996" w:type="dxa"/>
            <w:hideMark/>
          </w:tcPr>
          <w:p w:rsidR="00E54F55" w:rsidRPr="005B0796" w:rsidRDefault="00E54F55" w:rsidP="00611091">
            <w:pPr>
              <w:pStyle w:val="TableText"/>
              <w:jc w:val="right"/>
              <w:rPr>
                <w:lang w:eastAsia="en-AU"/>
              </w:rPr>
            </w:pPr>
            <w:r w:rsidRPr="005B0796">
              <w:rPr>
                <w:lang w:eastAsia="en-AU"/>
              </w:rPr>
              <w:t>1.3</w:t>
            </w:r>
          </w:p>
        </w:tc>
        <w:tc>
          <w:tcPr>
            <w:tcW w:w="997" w:type="dxa"/>
            <w:hideMark/>
          </w:tcPr>
          <w:p w:rsidR="00E54F55" w:rsidRPr="005B0796" w:rsidRDefault="00E54F55" w:rsidP="00611091">
            <w:pPr>
              <w:pStyle w:val="TableText"/>
              <w:jc w:val="right"/>
              <w:rPr>
                <w:lang w:eastAsia="en-AU"/>
              </w:rPr>
            </w:pPr>
            <w:r w:rsidRPr="005B0796">
              <w:rPr>
                <w:lang w:eastAsia="en-AU"/>
              </w:rPr>
              <w:t>11.2, 16.2</w:t>
            </w:r>
          </w:p>
        </w:tc>
        <w:tc>
          <w:tcPr>
            <w:tcW w:w="996" w:type="dxa"/>
            <w:hideMark/>
          </w:tcPr>
          <w:p w:rsidR="00E54F55" w:rsidRPr="005B0796" w:rsidRDefault="00E54F55" w:rsidP="00611091">
            <w:pPr>
              <w:pStyle w:val="TableText"/>
              <w:jc w:val="right"/>
              <w:rPr>
                <w:lang w:eastAsia="en-AU"/>
              </w:rPr>
            </w:pPr>
            <w:r w:rsidRPr="005B0796">
              <w:rPr>
                <w:lang w:eastAsia="en-AU"/>
              </w:rPr>
              <w:t>14.6</w:t>
            </w:r>
          </w:p>
        </w:tc>
        <w:tc>
          <w:tcPr>
            <w:tcW w:w="997" w:type="dxa"/>
            <w:hideMark/>
          </w:tcPr>
          <w:p w:rsidR="00E54F55" w:rsidRPr="005B0796" w:rsidRDefault="00E54F55" w:rsidP="00611091">
            <w:pPr>
              <w:pStyle w:val="TableText"/>
              <w:jc w:val="right"/>
              <w:rPr>
                <w:lang w:eastAsia="en-AU"/>
              </w:rPr>
            </w:pPr>
            <w:r w:rsidRPr="005B0796">
              <w:rPr>
                <w:lang w:eastAsia="en-AU"/>
              </w:rPr>
              <w:t>1.3</w:t>
            </w:r>
          </w:p>
        </w:tc>
        <w:tc>
          <w:tcPr>
            <w:tcW w:w="996" w:type="dxa"/>
            <w:hideMark/>
          </w:tcPr>
          <w:p w:rsidR="00E54F55" w:rsidRPr="005B0796" w:rsidRDefault="00E54F55" w:rsidP="00611091">
            <w:pPr>
              <w:pStyle w:val="TableText"/>
              <w:jc w:val="right"/>
              <w:rPr>
                <w:lang w:eastAsia="en-AU"/>
              </w:rPr>
            </w:pPr>
            <w:r w:rsidRPr="005B0796">
              <w:rPr>
                <w:lang w:eastAsia="en-AU"/>
              </w:rPr>
              <w:t>12.0, 17.2</w:t>
            </w:r>
          </w:p>
        </w:tc>
        <w:tc>
          <w:tcPr>
            <w:tcW w:w="997" w:type="dxa"/>
            <w:hideMark/>
          </w:tcPr>
          <w:p w:rsidR="00E54F55" w:rsidRPr="005B0796" w:rsidRDefault="00E54F55" w:rsidP="00611091">
            <w:pPr>
              <w:pStyle w:val="TableText"/>
              <w:jc w:val="right"/>
              <w:rPr>
                <w:lang w:eastAsia="en-AU"/>
              </w:rPr>
            </w:pPr>
            <w:r w:rsidRPr="005B0796">
              <w:rPr>
                <w:lang w:eastAsia="en-AU"/>
              </w:rPr>
              <w:t>-1.1</w:t>
            </w:r>
          </w:p>
        </w:tc>
        <w:tc>
          <w:tcPr>
            <w:tcW w:w="996" w:type="dxa"/>
            <w:hideMark/>
          </w:tcPr>
          <w:p w:rsidR="00E54F55" w:rsidRPr="005B0796" w:rsidRDefault="00E54F55" w:rsidP="00611091">
            <w:pPr>
              <w:pStyle w:val="TableText"/>
              <w:jc w:val="right"/>
              <w:rPr>
                <w:lang w:eastAsia="en-AU"/>
              </w:rPr>
            </w:pPr>
            <w:r w:rsidRPr="005B0796">
              <w:rPr>
                <w:lang w:eastAsia="en-AU"/>
              </w:rPr>
              <w:t>1.8</w:t>
            </w:r>
          </w:p>
        </w:tc>
        <w:tc>
          <w:tcPr>
            <w:tcW w:w="997" w:type="dxa"/>
            <w:hideMark/>
          </w:tcPr>
          <w:p w:rsidR="00E54F55" w:rsidRPr="005B0796" w:rsidRDefault="00E54F55" w:rsidP="00611091">
            <w:pPr>
              <w:pStyle w:val="TableText"/>
              <w:jc w:val="right"/>
              <w:rPr>
                <w:lang w:eastAsia="en-AU"/>
              </w:rPr>
            </w:pPr>
            <w:r w:rsidRPr="005B0796">
              <w:rPr>
                <w:lang w:eastAsia="en-AU"/>
              </w:rPr>
              <w:t>-4.6, 2.5</w:t>
            </w:r>
          </w:p>
        </w:tc>
      </w:tr>
      <w:tr w:rsidR="00611091" w:rsidRPr="005B0796" w:rsidTr="00611091">
        <w:trPr>
          <w:cnfStyle w:val="000000100000" w:firstRow="0" w:lastRow="0" w:firstColumn="0" w:lastColumn="0" w:oddVBand="0" w:evenVBand="0" w:oddHBand="1"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High (22–29)</w:t>
            </w:r>
          </w:p>
        </w:tc>
        <w:tc>
          <w:tcPr>
            <w:tcW w:w="996" w:type="dxa"/>
            <w:hideMark/>
          </w:tcPr>
          <w:p w:rsidR="00E54F55" w:rsidRPr="005B0796" w:rsidRDefault="00E54F55" w:rsidP="00611091">
            <w:pPr>
              <w:pStyle w:val="TableText"/>
              <w:jc w:val="right"/>
              <w:rPr>
                <w:lang w:eastAsia="en-AU"/>
              </w:rPr>
            </w:pPr>
            <w:r w:rsidRPr="005B0796">
              <w:rPr>
                <w:lang w:eastAsia="en-AU"/>
              </w:rPr>
              <w:t>10.9</w:t>
            </w:r>
          </w:p>
        </w:tc>
        <w:tc>
          <w:tcPr>
            <w:tcW w:w="996" w:type="dxa"/>
            <w:hideMark/>
          </w:tcPr>
          <w:p w:rsidR="00E54F55" w:rsidRPr="005B0796" w:rsidRDefault="00E54F55" w:rsidP="00611091">
            <w:pPr>
              <w:pStyle w:val="TableText"/>
              <w:jc w:val="right"/>
              <w:rPr>
                <w:lang w:eastAsia="en-AU"/>
              </w:rPr>
            </w:pPr>
            <w:r w:rsidRPr="005B0796">
              <w:rPr>
                <w:lang w:eastAsia="en-AU"/>
              </w:rPr>
              <w:t>1.2</w:t>
            </w:r>
          </w:p>
        </w:tc>
        <w:tc>
          <w:tcPr>
            <w:tcW w:w="997" w:type="dxa"/>
            <w:hideMark/>
          </w:tcPr>
          <w:p w:rsidR="00E54F55" w:rsidRPr="005B0796" w:rsidRDefault="00E54F55" w:rsidP="00611091">
            <w:pPr>
              <w:pStyle w:val="TableText"/>
              <w:jc w:val="right"/>
              <w:rPr>
                <w:lang w:eastAsia="en-AU"/>
              </w:rPr>
            </w:pPr>
            <w:r w:rsidRPr="005B0796">
              <w:rPr>
                <w:lang w:eastAsia="en-AU"/>
              </w:rPr>
              <w:t>8.9, 13.4</w:t>
            </w:r>
          </w:p>
        </w:tc>
        <w:tc>
          <w:tcPr>
            <w:tcW w:w="996" w:type="dxa"/>
            <w:hideMark/>
          </w:tcPr>
          <w:p w:rsidR="00E54F55" w:rsidRPr="005B0796" w:rsidRDefault="00E54F55" w:rsidP="00611091">
            <w:pPr>
              <w:pStyle w:val="TableText"/>
              <w:jc w:val="right"/>
              <w:rPr>
                <w:lang w:eastAsia="en-AU"/>
              </w:rPr>
            </w:pPr>
            <w:r w:rsidRPr="005B0796">
              <w:rPr>
                <w:lang w:eastAsia="en-AU"/>
              </w:rPr>
              <w:t>5.9</w:t>
            </w:r>
          </w:p>
        </w:tc>
        <w:tc>
          <w:tcPr>
            <w:tcW w:w="997" w:type="dxa"/>
            <w:hideMark/>
          </w:tcPr>
          <w:p w:rsidR="00E54F55" w:rsidRPr="005B0796" w:rsidRDefault="00E54F55" w:rsidP="00611091">
            <w:pPr>
              <w:pStyle w:val="TableText"/>
              <w:jc w:val="right"/>
              <w:rPr>
                <w:lang w:eastAsia="en-AU"/>
              </w:rPr>
            </w:pPr>
            <w:r w:rsidRPr="005B0796">
              <w:rPr>
                <w:lang w:eastAsia="en-AU"/>
              </w:rPr>
              <w:t>0.7</w:t>
            </w:r>
          </w:p>
        </w:tc>
        <w:tc>
          <w:tcPr>
            <w:tcW w:w="996" w:type="dxa"/>
            <w:hideMark/>
          </w:tcPr>
          <w:p w:rsidR="00E54F55" w:rsidRPr="005B0796" w:rsidRDefault="00E54F55" w:rsidP="00611091">
            <w:pPr>
              <w:pStyle w:val="TableText"/>
              <w:jc w:val="right"/>
              <w:rPr>
                <w:lang w:eastAsia="en-AU"/>
              </w:rPr>
            </w:pPr>
            <w:r w:rsidRPr="005B0796">
              <w:rPr>
                <w:lang w:eastAsia="en-AU"/>
              </w:rPr>
              <w:t>4.6, 7.2</w:t>
            </w:r>
          </w:p>
        </w:tc>
        <w:tc>
          <w:tcPr>
            <w:tcW w:w="997" w:type="dxa"/>
            <w:hideMark/>
          </w:tcPr>
          <w:p w:rsidR="00E54F55" w:rsidRPr="005B0796" w:rsidRDefault="00E54F55" w:rsidP="00611091">
            <w:pPr>
              <w:pStyle w:val="TableText"/>
              <w:jc w:val="right"/>
              <w:rPr>
                <w:lang w:eastAsia="en-AU"/>
              </w:rPr>
            </w:pPr>
            <w:r w:rsidRPr="005B0796">
              <w:rPr>
                <w:lang w:eastAsia="en-AU"/>
              </w:rPr>
              <w:t>5.0</w:t>
            </w:r>
          </w:p>
        </w:tc>
        <w:tc>
          <w:tcPr>
            <w:tcW w:w="996" w:type="dxa"/>
            <w:hideMark/>
          </w:tcPr>
          <w:p w:rsidR="00E54F55" w:rsidRPr="005B0796" w:rsidRDefault="00E54F55" w:rsidP="00611091">
            <w:pPr>
              <w:pStyle w:val="TableText"/>
              <w:jc w:val="right"/>
              <w:rPr>
                <w:lang w:eastAsia="en-AU"/>
              </w:rPr>
            </w:pPr>
            <w:r w:rsidRPr="005B0796">
              <w:rPr>
                <w:lang w:eastAsia="en-AU"/>
              </w:rPr>
              <w:t>1.3</w:t>
            </w:r>
          </w:p>
        </w:tc>
        <w:tc>
          <w:tcPr>
            <w:tcW w:w="997" w:type="dxa"/>
            <w:hideMark/>
          </w:tcPr>
          <w:p w:rsidR="00E54F55" w:rsidRPr="005B0796" w:rsidRDefault="00E54F55" w:rsidP="00611091">
            <w:pPr>
              <w:pStyle w:val="TableText"/>
              <w:jc w:val="right"/>
              <w:rPr>
                <w:lang w:eastAsia="en-AU"/>
              </w:rPr>
            </w:pPr>
            <w:r w:rsidRPr="005B0796">
              <w:rPr>
                <w:lang w:eastAsia="en-AU"/>
              </w:rPr>
              <w:t>2.4, 7.6</w:t>
            </w:r>
          </w:p>
        </w:tc>
      </w:tr>
      <w:tr w:rsidR="00E54F55" w:rsidRPr="005B0796" w:rsidTr="00611091">
        <w:trPr>
          <w:cnfStyle w:val="010000000000" w:firstRow="0" w:lastRow="1" w:firstColumn="0" w:lastColumn="0" w:oddVBand="0" w:evenVBand="0" w:oddHBand="0" w:evenHBand="0" w:firstRowFirstColumn="0" w:firstRowLastColumn="0" w:lastRowFirstColumn="0" w:lastRowLastColumn="0"/>
        </w:trPr>
        <w:tc>
          <w:tcPr>
            <w:tcW w:w="1008" w:type="dxa"/>
          </w:tcPr>
          <w:p w:rsidR="00E54F55" w:rsidRPr="005B0796" w:rsidRDefault="00E54F55" w:rsidP="00611091">
            <w:pPr>
              <w:pStyle w:val="TableText"/>
              <w:rPr>
                <w:lang w:eastAsia="en-AU"/>
              </w:rPr>
            </w:pPr>
          </w:p>
        </w:tc>
        <w:tc>
          <w:tcPr>
            <w:tcW w:w="1530" w:type="dxa"/>
            <w:hideMark/>
          </w:tcPr>
          <w:p w:rsidR="00E54F55" w:rsidRPr="005B0796" w:rsidRDefault="00E54F55" w:rsidP="00611091">
            <w:pPr>
              <w:pStyle w:val="TableText"/>
              <w:rPr>
                <w:lang w:eastAsia="en-AU"/>
              </w:rPr>
            </w:pPr>
            <w:r w:rsidRPr="005B0796">
              <w:rPr>
                <w:lang w:eastAsia="en-AU"/>
              </w:rPr>
              <w:t>Very high (30–50)</w:t>
            </w:r>
          </w:p>
        </w:tc>
        <w:tc>
          <w:tcPr>
            <w:tcW w:w="996" w:type="dxa"/>
            <w:hideMark/>
          </w:tcPr>
          <w:p w:rsidR="00E54F55" w:rsidRPr="005B0796" w:rsidRDefault="00E54F55" w:rsidP="00611091">
            <w:pPr>
              <w:pStyle w:val="TableText"/>
              <w:jc w:val="right"/>
              <w:rPr>
                <w:lang w:eastAsia="en-AU"/>
              </w:rPr>
            </w:pPr>
            <w:r w:rsidRPr="005B0796">
              <w:rPr>
                <w:lang w:eastAsia="en-AU"/>
              </w:rPr>
              <w:t>12.7</w:t>
            </w:r>
          </w:p>
        </w:tc>
        <w:tc>
          <w:tcPr>
            <w:tcW w:w="996" w:type="dxa"/>
            <w:hideMark/>
          </w:tcPr>
          <w:p w:rsidR="00E54F55" w:rsidRPr="005B0796" w:rsidRDefault="00E54F55" w:rsidP="00611091">
            <w:pPr>
              <w:pStyle w:val="TableText"/>
              <w:jc w:val="right"/>
              <w:rPr>
                <w:lang w:eastAsia="en-AU"/>
              </w:rPr>
            </w:pPr>
            <w:r w:rsidRPr="005B0796">
              <w:rPr>
                <w:lang w:eastAsia="en-AU"/>
              </w:rPr>
              <w:t>1.6</w:t>
            </w:r>
          </w:p>
        </w:tc>
        <w:tc>
          <w:tcPr>
            <w:tcW w:w="997" w:type="dxa"/>
            <w:hideMark/>
          </w:tcPr>
          <w:p w:rsidR="00E54F55" w:rsidRPr="005B0796" w:rsidRDefault="00E54F55" w:rsidP="00611091">
            <w:pPr>
              <w:pStyle w:val="TableText"/>
              <w:jc w:val="right"/>
              <w:rPr>
                <w:lang w:eastAsia="en-AU"/>
              </w:rPr>
            </w:pPr>
            <w:r w:rsidRPr="005B0796">
              <w:rPr>
                <w:lang w:eastAsia="en-AU"/>
              </w:rPr>
              <w:t>9.8, 16.2</w:t>
            </w:r>
          </w:p>
        </w:tc>
        <w:tc>
          <w:tcPr>
            <w:tcW w:w="996" w:type="dxa"/>
            <w:hideMark/>
          </w:tcPr>
          <w:p w:rsidR="00E54F55" w:rsidRPr="005B0796" w:rsidRDefault="00E54F55" w:rsidP="00611091">
            <w:pPr>
              <w:pStyle w:val="TableText"/>
              <w:jc w:val="right"/>
              <w:rPr>
                <w:lang w:eastAsia="en-AU"/>
              </w:rPr>
            </w:pPr>
            <w:r w:rsidRPr="005B0796">
              <w:rPr>
                <w:lang w:eastAsia="en-AU"/>
              </w:rPr>
              <w:t>2.7</w:t>
            </w:r>
          </w:p>
        </w:tc>
        <w:tc>
          <w:tcPr>
            <w:tcW w:w="997" w:type="dxa"/>
            <w:hideMark/>
          </w:tcPr>
          <w:p w:rsidR="00E54F55" w:rsidRPr="005B0796" w:rsidRDefault="00E54F55" w:rsidP="00611091">
            <w:pPr>
              <w:pStyle w:val="TableText"/>
              <w:jc w:val="right"/>
              <w:rPr>
                <w:lang w:eastAsia="en-AU"/>
              </w:rPr>
            </w:pPr>
            <w:r w:rsidRPr="005B0796">
              <w:rPr>
                <w:lang w:eastAsia="en-AU"/>
              </w:rPr>
              <w:t>0.6</w:t>
            </w:r>
          </w:p>
        </w:tc>
        <w:tc>
          <w:tcPr>
            <w:tcW w:w="996" w:type="dxa"/>
            <w:hideMark/>
          </w:tcPr>
          <w:p w:rsidR="00E54F55" w:rsidRPr="005B0796" w:rsidRDefault="00E54F55" w:rsidP="00611091">
            <w:pPr>
              <w:pStyle w:val="TableText"/>
              <w:jc w:val="right"/>
              <w:rPr>
                <w:lang w:eastAsia="en-AU"/>
              </w:rPr>
            </w:pPr>
            <w:r w:rsidRPr="005B0796">
              <w:rPr>
                <w:lang w:eastAsia="en-AU"/>
              </w:rPr>
              <w:t>1.5, 4.0</w:t>
            </w:r>
          </w:p>
        </w:tc>
        <w:tc>
          <w:tcPr>
            <w:tcW w:w="997" w:type="dxa"/>
            <w:hideMark/>
          </w:tcPr>
          <w:p w:rsidR="00E54F55" w:rsidRPr="005B0796" w:rsidRDefault="00E54F55" w:rsidP="00611091">
            <w:pPr>
              <w:pStyle w:val="TableText"/>
              <w:jc w:val="right"/>
              <w:rPr>
                <w:lang w:eastAsia="en-AU"/>
              </w:rPr>
            </w:pPr>
            <w:r w:rsidRPr="005B0796">
              <w:rPr>
                <w:lang w:eastAsia="en-AU"/>
              </w:rPr>
              <w:t>9.9</w:t>
            </w:r>
          </w:p>
        </w:tc>
        <w:tc>
          <w:tcPr>
            <w:tcW w:w="996" w:type="dxa"/>
            <w:hideMark/>
          </w:tcPr>
          <w:p w:rsidR="00E54F55" w:rsidRPr="005B0796" w:rsidRDefault="00E54F55" w:rsidP="00611091">
            <w:pPr>
              <w:pStyle w:val="TableText"/>
              <w:jc w:val="right"/>
              <w:rPr>
                <w:lang w:eastAsia="en-AU"/>
              </w:rPr>
            </w:pPr>
            <w:r w:rsidRPr="005B0796">
              <w:rPr>
                <w:lang w:eastAsia="en-AU"/>
              </w:rPr>
              <w:t>1.7</w:t>
            </w:r>
          </w:p>
        </w:tc>
        <w:tc>
          <w:tcPr>
            <w:tcW w:w="997" w:type="dxa"/>
            <w:hideMark/>
          </w:tcPr>
          <w:p w:rsidR="00E54F55" w:rsidRPr="005B0796" w:rsidRDefault="00E54F55" w:rsidP="00611091">
            <w:pPr>
              <w:pStyle w:val="TableText"/>
              <w:jc w:val="right"/>
              <w:rPr>
                <w:lang w:eastAsia="en-AU"/>
              </w:rPr>
            </w:pPr>
            <w:r w:rsidRPr="005B0796">
              <w:rPr>
                <w:lang w:eastAsia="en-AU"/>
              </w:rPr>
              <w:t>6.5, 13.3</w:t>
            </w:r>
          </w:p>
        </w:tc>
      </w:tr>
    </w:tbl>
    <w:p w:rsidR="00E54F55" w:rsidRPr="005B0796" w:rsidRDefault="00E54F55" w:rsidP="00611091">
      <w:pPr>
        <w:pStyle w:val="TableNotes"/>
      </w:pPr>
      <w:r w:rsidRPr="005B0796">
        <w:t xml:space="preserve">Note: 95% CI: 95% </w:t>
      </w:r>
      <w:r w:rsidR="00564689" w:rsidRPr="005B0796">
        <w:t>confidence interval</w:t>
      </w:r>
    </w:p>
    <w:p w:rsidR="00AE103C" w:rsidRPr="005B0796" w:rsidRDefault="006C3B6C" w:rsidP="006C3B6C">
      <w:pPr>
        <w:pStyle w:val="FigureName"/>
        <w:rPr>
          <w:lang w:eastAsia="en-AU"/>
        </w:rPr>
      </w:pPr>
      <w:bookmarkStart w:id="1217" w:name="_Toc511900589"/>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3</w:t>
      </w:r>
      <w:r w:rsidR="00D30A3C">
        <w:rPr>
          <w:noProof/>
        </w:rPr>
        <w:fldChar w:fldCharType="end"/>
      </w:r>
      <w:r w:rsidRPr="005B0796">
        <w:tab/>
        <w:t xml:space="preserve">Estimated prevalence of </w:t>
      </w:r>
      <w:r w:rsidR="00E13799" w:rsidRPr="005B0796">
        <w:t xml:space="preserve">psychological distress </w:t>
      </w:r>
      <w:r w:rsidR="00E13799">
        <w:t xml:space="preserve">in </w:t>
      </w:r>
      <w:r w:rsidRPr="005B0796">
        <w:t xml:space="preserve">Transitioned ADF compared to the Australian Community </w:t>
      </w:r>
      <w:r w:rsidR="00E13799">
        <w:t xml:space="preserve">using </w:t>
      </w:r>
      <w:r w:rsidRPr="005B0796">
        <w:t xml:space="preserve">the K10 </w:t>
      </w:r>
      <w:r w:rsidR="00E13799">
        <w:t>s</w:t>
      </w:r>
      <w:r w:rsidRPr="005B0796">
        <w:t>coring bands</w:t>
      </w:r>
      <w:r w:rsidR="00E13799">
        <w:t>,</w:t>
      </w:r>
      <w:r w:rsidRPr="005B0796">
        <w:t xml:space="preserve"> by age</w:t>
      </w:r>
      <w:bookmarkEnd w:id="1217"/>
    </w:p>
    <w:tbl>
      <w:tblPr>
        <w:tblW w:w="0" w:type="auto"/>
        <w:tblLook w:val="04A0" w:firstRow="1" w:lastRow="0" w:firstColumn="1" w:lastColumn="0" w:noHBand="0" w:noVBand="1"/>
      </w:tblPr>
      <w:tblGrid>
        <w:gridCol w:w="11268"/>
      </w:tblGrid>
      <w:tr w:rsidR="00AE103C" w:rsidRPr="005B0796" w:rsidTr="006C3B6C">
        <w:tc>
          <w:tcPr>
            <w:tcW w:w="11268" w:type="dxa"/>
          </w:tcPr>
          <w:p w:rsidR="00AE103C" w:rsidRPr="005B0796" w:rsidRDefault="00AE103C" w:rsidP="0099117C">
            <w:r w:rsidRPr="005B0796">
              <w:rPr>
                <w:noProof/>
                <w:lang w:eastAsia="en-AU"/>
              </w:rPr>
              <w:drawing>
                <wp:inline distT="0" distB="0" distL="0" distR="0" wp14:anchorId="14CD5F59" wp14:editId="25CFA40A">
                  <wp:extent cx="6997148" cy="3399183"/>
                  <wp:effectExtent l="0" t="0" r="0" b="0"/>
                  <wp:docPr id="93" name="Chart 93" descr="Figure 6.3 Estimated prevalence of the Transitioned ADF compared to the Australian Community in the K10 Scoring bands for psychological distres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c>
      </w:tr>
    </w:tbl>
    <w:p w:rsidR="00E54F55" w:rsidRPr="005B0796" w:rsidRDefault="00E54F55" w:rsidP="00E54F55"/>
    <w:p w:rsidR="00E54F55" w:rsidRPr="005B0796" w:rsidRDefault="00E54F55" w:rsidP="00E54F55">
      <w:pPr>
        <w:sectPr w:rsidR="00E54F55" w:rsidRPr="005B0796" w:rsidSect="00BE66A5">
          <w:headerReference w:type="even" r:id="rId258"/>
          <w:headerReference w:type="default" r:id="rId259"/>
          <w:footerReference w:type="even" r:id="rId260"/>
          <w:footerReference w:type="default" r:id="rId261"/>
          <w:pgSz w:w="14170" w:h="9979" w:orient="landscape" w:code="243"/>
          <w:pgMar w:top="1872" w:right="1440" w:bottom="1152" w:left="1440" w:header="576" w:footer="576" w:gutter="0"/>
          <w:cols w:space="708"/>
          <w:docGrid w:linePitch="360"/>
        </w:sectPr>
      </w:pPr>
    </w:p>
    <w:p w:rsidR="00AE103C" w:rsidRPr="005B0796" w:rsidRDefault="00AE103C" w:rsidP="00D97F99">
      <w:pPr>
        <w:pStyle w:val="Heading2"/>
      </w:pPr>
      <w:bookmarkStart w:id="1218" w:name="_Toc482024494"/>
      <w:bookmarkStart w:id="1219" w:name="_Toc487011247"/>
      <w:bookmarkStart w:id="1220" w:name="_Toc493663142"/>
      <w:bookmarkStart w:id="1221" w:name="_Toc494449767"/>
      <w:bookmarkStart w:id="1222" w:name="_Toc511900349"/>
      <w:r w:rsidRPr="005B0796">
        <w:t>Alcohol use and problem drinking</w:t>
      </w:r>
      <w:bookmarkStart w:id="1223" w:name="_Toc482011788"/>
      <w:bookmarkStart w:id="1224" w:name="_Toc482021235"/>
      <w:bookmarkStart w:id="1225" w:name="_Toc482021401"/>
      <w:bookmarkStart w:id="1226" w:name="_Toc482021567"/>
      <w:bookmarkStart w:id="1227" w:name="_Toc482021727"/>
      <w:bookmarkStart w:id="1228" w:name="_Toc482021899"/>
      <w:bookmarkStart w:id="1229" w:name="_Toc482022059"/>
      <w:bookmarkStart w:id="1230" w:name="_Toc482022219"/>
      <w:bookmarkStart w:id="1231" w:name="_Toc482022385"/>
      <w:bookmarkStart w:id="1232" w:name="_Toc482022545"/>
      <w:bookmarkStart w:id="1233" w:name="_Toc482023436"/>
      <w:bookmarkStart w:id="1234" w:name="_Toc482023692"/>
      <w:bookmarkEnd w:id="1218"/>
      <w:bookmarkEnd w:id="1223"/>
      <w:bookmarkEnd w:id="1224"/>
      <w:bookmarkEnd w:id="1225"/>
      <w:bookmarkEnd w:id="1226"/>
      <w:bookmarkEnd w:id="1227"/>
      <w:bookmarkEnd w:id="1228"/>
      <w:bookmarkEnd w:id="1229"/>
      <w:bookmarkEnd w:id="1230"/>
      <w:bookmarkEnd w:id="1231"/>
      <w:bookmarkEnd w:id="1232"/>
      <w:bookmarkEnd w:id="1233"/>
      <w:bookmarkEnd w:id="1234"/>
      <w:r w:rsidRPr="005B0796">
        <w:t xml:space="preserve"> in the Transitioned ADF compared to the Australian Community in 2015</w:t>
      </w:r>
      <w:bookmarkEnd w:id="1219"/>
      <w:bookmarkEnd w:id="1220"/>
      <w:bookmarkEnd w:id="1221"/>
      <w:bookmarkEnd w:id="1222"/>
    </w:p>
    <w:p w:rsidR="00D97F99" w:rsidRPr="005B0796" w:rsidRDefault="00D97F99" w:rsidP="00CF5739">
      <w:pPr>
        <w:pStyle w:val="ShadedBoxSubheading"/>
        <w:spacing w:after="160"/>
      </w:pPr>
      <w:r w:rsidRPr="005B0796">
        <w:t>Frequency of alcohol consumption in the last 12 months</w:t>
      </w:r>
    </w:p>
    <w:p w:rsidR="00D97F99" w:rsidRPr="005B0796" w:rsidRDefault="00D97F99" w:rsidP="00CF5739">
      <w:pPr>
        <w:pStyle w:val="ShadedBullet"/>
        <w:spacing w:after="140"/>
      </w:pPr>
      <w:r w:rsidRPr="005B0796">
        <w:t>Overall, alcohol was most often consumed weekly in the Transitioned ADF and the Australian Community (Transitioned ADF: 47.6%; Australian Community: 45.4%), with a smaller proportion consuming alcohol monthly (Transitioned ADF: 26.1%; Australian Community: 20.1%) and less than monthly (Transitioned ADF: 14.1%; Australian Community: 13.0%).</w:t>
      </w:r>
    </w:p>
    <w:p w:rsidR="00D97F99" w:rsidRPr="005B0796" w:rsidRDefault="00D97F99" w:rsidP="00CF5739">
      <w:pPr>
        <w:pStyle w:val="ShadedBullet"/>
        <w:spacing w:after="140"/>
      </w:pPr>
      <w:r w:rsidRPr="005B0796">
        <w:t xml:space="preserve">Only a small proportion of the Australian Community (5.1%) and the Transitioned ADF (4.3%) reported drinking daily. </w:t>
      </w:r>
    </w:p>
    <w:p w:rsidR="00D97F99" w:rsidRPr="005B0796" w:rsidRDefault="00D97F99" w:rsidP="00CF5739">
      <w:pPr>
        <w:pStyle w:val="ShadedBullet"/>
        <w:spacing w:after="140"/>
      </w:pPr>
      <w:r w:rsidRPr="005B0796">
        <w:t>Compared to the Australian Community, a significantly higher proportion of the Transitioned ADF reported drinking monthly, with this pattern mostly explained by Transitioned ADF males.</w:t>
      </w:r>
    </w:p>
    <w:p w:rsidR="00D97F99" w:rsidRPr="005B0796" w:rsidRDefault="00D97F99" w:rsidP="00CF5739">
      <w:pPr>
        <w:pStyle w:val="ShadedBullet"/>
        <w:spacing w:after="140"/>
      </w:pPr>
      <w:r w:rsidRPr="005B0796">
        <w:t xml:space="preserve">In contrast, a significantly higher proportion of Transitioned ADF females reported drinking daily, weekly and monthly compared to Australian Community females. </w:t>
      </w:r>
    </w:p>
    <w:p w:rsidR="00D97F99" w:rsidRPr="005B0796" w:rsidRDefault="00D97F99" w:rsidP="00CF5739">
      <w:pPr>
        <w:pStyle w:val="ShadedBullet"/>
        <w:spacing w:after="140"/>
      </w:pPr>
      <w:r w:rsidRPr="005B0796">
        <w:t xml:space="preserve">Transitioned ADF members aged 28–57 were significantly more likely to drink weekly or monthly compared to their Australian Community counterparts, whereas Transitioned ADF members aged over 58 were significantly less likely to drink daily, and significantly more likely to drink weekly or monthly. </w:t>
      </w:r>
    </w:p>
    <w:p w:rsidR="00D97F99" w:rsidRPr="005B0796" w:rsidRDefault="00D97F99" w:rsidP="00CF5739">
      <w:pPr>
        <w:pStyle w:val="ShadedBullet"/>
        <w:spacing w:after="140"/>
      </w:pPr>
      <w:r w:rsidRPr="005B0796">
        <w:t>There were no differences between the Transitioned ADF and the Australian Community in the frequency of alcohol consumed in the last 12</w:t>
      </w:r>
      <w:r w:rsidR="00E13799">
        <w:t> </w:t>
      </w:r>
      <w:r w:rsidRPr="005B0796">
        <w:t>months in the 18–27 age group.</w:t>
      </w:r>
    </w:p>
    <w:p w:rsidR="00D97F99" w:rsidRPr="005B0796" w:rsidRDefault="00D97F99" w:rsidP="00CF5739">
      <w:pPr>
        <w:pStyle w:val="ShadedBoxSubheading"/>
        <w:spacing w:after="160"/>
      </w:pPr>
      <w:r w:rsidRPr="005B0796">
        <w:t>Maximum number of standard alcoholic drinks consumed on a single occasion in the last 12</w:t>
      </w:r>
      <w:r w:rsidR="00E13799">
        <w:t> </w:t>
      </w:r>
      <w:r w:rsidRPr="005B0796">
        <w:t>months</w:t>
      </w:r>
    </w:p>
    <w:p w:rsidR="00D97F99" w:rsidRPr="005B0796" w:rsidRDefault="00D97F99" w:rsidP="00CF5739">
      <w:pPr>
        <w:pStyle w:val="ShadedBullet"/>
        <w:spacing w:after="140"/>
      </w:pPr>
      <w:r w:rsidRPr="005B0796">
        <w:t>Overall, members of the Australian Community drank more standard drinks on a single occasion in the last 12 months than members of the Transitioned ADF. Additionally, a significantly higher proportion of the Australian Community (48.3%) drank seven or more standard drinks on a single occasion compared to the Transitioned ADF (33.2%). This pattern was particularly salient among Australian Community males.</w:t>
      </w:r>
    </w:p>
    <w:p w:rsidR="00D97F99" w:rsidRPr="005B0796" w:rsidRDefault="00D97F99" w:rsidP="00CF5739">
      <w:pPr>
        <w:pStyle w:val="ShadedBullet"/>
        <w:spacing w:after="140"/>
      </w:pPr>
      <w:r w:rsidRPr="005B0796">
        <w:t xml:space="preserve">Compared to Transitioned ADF males, Australian Community males were also significantly more likely to report drinking only one or two standard drinks on a single occasion. </w:t>
      </w:r>
    </w:p>
    <w:p w:rsidR="00D97F99" w:rsidRPr="005B0796" w:rsidRDefault="00D97F99" w:rsidP="00CF5739">
      <w:pPr>
        <w:pStyle w:val="ShadedBullet"/>
        <w:spacing w:after="140"/>
      </w:pPr>
      <w:r w:rsidRPr="005B0796">
        <w:t xml:space="preserve">For females, the only significant differences between the two groups were for those who drank 11 or more standard drinks in one day – Australian Community females were significantly more likely to do this than Transitioned ADF females. </w:t>
      </w:r>
    </w:p>
    <w:p w:rsidR="00D97F99" w:rsidRPr="005B0796" w:rsidRDefault="00D97F99" w:rsidP="00CF5739">
      <w:pPr>
        <w:pStyle w:val="ShadedBullet"/>
        <w:spacing w:after="140"/>
      </w:pPr>
      <w:r w:rsidRPr="005B0796">
        <w:t>Australian Community members in all age groups were significantly more likely to report drinking 11 or more drinks on a single occasion in the last 12 months compared to the Transitioned ADF.</w:t>
      </w:r>
    </w:p>
    <w:p w:rsidR="00D97F99" w:rsidRPr="005B0796" w:rsidRDefault="00D97F99" w:rsidP="00D97F99">
      <w:pPr>
        <w:pStyle w:val="ShadedBoxText"/>
      </w:pPr>
      <w:r w:rsidRPr="005B0796">
        <w:rPr>
          <w:b/>
        </w:rPr>
        <w:t>Glossary:</w:t>
      </w:r>
      <w:r w:rsidRPr="005B0796">
        <w:t xml:space="preserve"> refer to the Glossary of terms for definitions of key terms in this section.</w:t>
      </w:r>
    </w:p>
    <w:p w:rsidR="00AE103C" w:rsidRPr="005B0796" w:rsidRDefault="00AE103C" w:rsidP="008C557E">
      <w:r w:rsidRPr="005B0796">
        <w:t xml:space="preserve">This section provides a detailed summary of the pattern of alcohol consumption reported by ADF members who transitioned from the Regular ADF between 2010 and 2014 (Transitioned ADF) compared to a matched sample of the Australian Community, by the key demographic variables of sex and age. </w:t>
      </w:r>
    </w:p>
    <w:p w:rsidR="00AE103C" w:rsidRPr="005B0796" w:rsidRDefault="00AE103C" w:rsidP="008C557E">
      <w:r w:rsidRPr="005B0796">
        <w:t xml:space="preserve">The </w:t>
      </w:r>
      <w:r w:rsidR="00462A0C" w:rsidRPr="005B0796">
        <w:t>‘</w:t>
      </w:r>
      <w:r w:rsidRPr="005B0796">
        <w:t>alcohol use</w:t>
      </w:r>
      <w:r w:rsidR="00462A0C" w:rsidRPr="005B0796">
        <w:t>’</w:t>
      </w:r>
      <w:r w:rsidRPr="005B0796">
        <w:t xml:space="preserve"> questions in this section are derived from the 2014–15 NHS </w:t>
      </w:r>
      <w:r w:rsidRPr="005B0796">
        <w:fldChar w:fldCharType="begin"/>
      </w:r>
      <w:r w:rsidRPr="005B0796">
        <w:instrText xml:space="preserve"> ADDIN EN.CITE &lt;EndNote&gt;&lt;Cite&gt;&lt;Author&gt;Australian Bureau of Statistics&lt;/Author&gt;&lt;Year&gt;2015&lt;/Year&gt;&lt;RecNum&gt;585&lt;/RecNum&gt;&lt;DisplayText&gt;(Australian Bureau of Statistics, 2015)&lt;/DisplayText&gt;&lt;record&gt;&lt;rec-number&gt;585&lt;/rec-number&gt;&lt;foreign-keys&gt;&lt;key app="EN" db-id="arwdrezp9sdawxevtfyxtfw10exvr5exxfed" timestamp="1479250503"&gt;585&lt;/key&gt;&lt;/foreign-keys&gt;&lt;ref-type name="Report"&gt;27&lt;/ref-type&gt;&lt;contributors&gt;&lt;authors&gt;&lt;author&gt;Australian Bureau of Statistics,&lt;/author&gt;&lt;/authors&gt;&lt;/contributors&gt;&lt;titles&gt;&lt;title&gt;National Health Survey: First Results 2014-2015&lt;/title&gt;&lt;/titles&gt;&lt;dates&gt;&lt;year&gt;2015&lt;/year&gt;&lt;/dates&gt;&lt;pub-location&gt;Canberra&lt;/pub-location&gt;&lt;publisher&gt;Australian Bureau of Statistics&lt;/publisher&gt;&lt;urls&gt;&lt;/urls&gt;&lt;/record&gt;&lt;/Cite&gt;&lt;/EndNote&gt;</w:instrText>
      </w:r>
      <w:r w:rsidRPr="005B0796">
        <w:fldChar w:fldCharType="separate"/>
      </w:r>
      <w:r w:rsidRPr="005B0796">
        <w:t>(Australian Bureau of Statistics, 2015)</w:t>
      </w:r>
      <w:r w:rsidRPr="005B0796">
        <w:fldChar w:fldCharType="end"/>
      </w:r>
      <w:r w:rsidRPr="005B0796">
        <w:t xml:space="preserve"> and addressed the following:</w:t>
      </w:r>
    </w:p>
    <w:p w:rsidR="00AE103C" w:rsidRPr="005B0796" w:rsidRDefault="00AE103C" w:rsidP="005068AA">
      <w:pPr>
        <w:pStyle w:val="Quote"/>
        <w:rPr>
          <w:i/>
        </w:rPr>
      </w:pPr>
      <w:r w:rsidRPr="005B0796">
        <w:rPr>
          <w:i/>
        </w:rPr>
        <w:t xml:space="preserve">Frequency of alcohol consumption in the </w:t>
      </w:r>
      <w:r w:rsidRPr="005B0796">
        <w:rPr>
          <w:i/>
          <w:u w:val="single"/>
        </w:rPr>
        <w:t>last</w:t>
      </w:r>
      <w:r w:rsidRPr="00E13799">
        <w:rPr>
          <w:i/>
        </w:rPr>
        <w:t xml:space="preserve"> </w:t>
      </w:r>
      <w:r w:rsidRPr="005B0796">
        <w:rPr>
          <w:i/>
        </w:rPr>
        <w:t>12 months:</w:t>
      </w:r>
    </w:p>
    <w:p w:rsidR="00AE103C" w:rsidRPr="005B0796" w:rsidRDefault="00AE103C" w:rsidP="005068AA">
      <w:pPr>
        <w:pStyle w:val="Quote"/>
      </w:pPr>
      <w:r w:rsidRPr="005B0796">
        <w:t xml:space="preserve">Defined as the estimated proportion of the Transitioned ADF and the Australian </w:t>
      </w:r>
      <w:r w:rsidR="00445732" w:rsidRPr="005B0796">
        <w:t xml:space="preserve">Community </w:t>
      </w:r>
      <w:r w:rsidRPr="005B0796">
        <w:t>that reported consuming an alcoholic drink:</w:t>
      </w:r>
    </w:p>
    <w:p w:rsidR="00AE103C" w:rsidRPr="005B0796" w:rsidRDefault="008C557E" w:rsidP="008C557E">
      <w:pPr>
        <w:pStyle w:val="Quote"/>
        <w:spacing w:after="0"/>
      </w:pPr>
      <w:r w:rsidRPr="005B0796">
        <w:t>a.</w:t>
      </w:r>
      <w:r w:rsidRPr="005B0796">
        <w:tab/>
      </w:r>
      <w:r w:rsidR="00AE103C" w:rsidRPr="005B0796">
        <w:t>daily</w:t>
      </w:r>
    </w:p>
    <w:p w:rsidR="00AE103C" w:rsidRPr="005B0796" w:rsidRDefault="008C557E" w:rsidP="008C557E">
      <w:pPr>
        <w:pStyle w:val="Quote"/>
        <w:spacing w:after="0"/>
      </w:pPr>
      <w:r w:rsidRPr="005B0796">
        <w:t>b.</w:t>
      </w:r>
      <w:r w:rsidRPr="005B0796">
        <w:tab/>
      </w:r>
      <w:r w:rsidR="00AE103C" w:rsidRPr="005B0796">
        <w:t>weekly</w:t>
      </w:r>
    </w:p>
    <w:p w:rsidR="00AE103C" w:rsidRPr="005B0796" w:rsidRDefault="008C557E" w:rsidP="008C557E">
      <w:pPr>
        <w:pStyle w:val="Quote"/>
        <w:spacing w:after="0"/>
      </w:pPr>
      <w:r w:rsidRPr="005B0796">
        <w:t>c.</w:t>
      </w:r>
      <w:r w:rsidRPr="005B0796">
        <w:tab/>
      </w:r>
      <w:r w:rsidR="00AE103C" w:rsidRPr="005B0796">
        <w:t>monthly</w:t>
      </w:r>
    </w:p>
    <w:p w:rsidR="00AE103C" w:rsidRPr="005B0796" w:rsidRDefault="008C557E" w:rsidP="008C557E">
      <w:pPr>
        <w:pStyle w:val="Quote"/>
      </w:pPr>
      <w:r w:rsidRPr="005B0796">
        <w:t>d.</w:t>
      </w:r>
      <w:r w:rsidRPr="005B0796">
        <w:tab/>
      </w:r>
      <w:r w:rsidR="00AE103C" w:rsidRPr="005B0796">
        <w:t>less than monthly.</w:t>
      </w:r>
    </w:p>
    <w:p w:rsidR="00AE103C" w:rsidRPr="005B0796" w:rsidRDefault="00AE103C" w:rsidP="005068AA">
      <w:pPr>
        <w:pStyle w:val="Quote"/>
        <w:rPr>
          <w:i/>
        </w:rPr>
      </w:pPr>
      <w:r w:rsidRPr="005B0796">
        <w:rPr>
          <w:i/>
        </w:rPr>
        <w:t>Maximum amount of standard alcoholic drinks consumed on a single occasion in the last 12 months:</w:t>
      </w:r>
    </w:p>
    <w:p w:rsidR="00AE103C" w:rsidRPr="005B0796" w:rsidRDefault="00AE103C" w:rsidP="005068AA">
      <w:pPr>
        <w:pStyle w:val="Quote"/>
      </w:pPr>
      <w:r w:rsidRPr="005B0796">
        <w:t xml:space="preserve">Defined as the estimated proportion of the Transitioned ADF and the Australian </w:t>
      </w:r>
      <w:r w:rsidR="00445732" w:rsidRPr="005B0796">
        <w:t xml:space="preserve">Community </w:t>
      </w:r>
      <w:r w:rsidRPr="005B0796">
        <w:t xml:space="preserve">that reported their maximum number of drinks to be: </w:t>
      </w:r>
    </w:p>
    <w:p w:rsidR="00AE103C" w:rsidRPr="005B0796" w:rsidRDefault="008C557E" w:rsidP="008C557E">
      <w:pPr>
        <w:pStyle w:val="Quote"/>
        <w:spacing w:after="0"/>
      </w:pPr>
      <w:r w:rsidRPr="005B0796">
        <w:t>a.</w:t>
      </w:r>
      <w:r w:rsidRPr="005B0796">
        <w:tab/>
      </w:r>
      <w:r w:rsidR="00AE103C" w:rsidRPr="005B0796">
        <w:t>11 or more standard drinks in one day</w:t>
      </w:r>
    </w:p>
    <w:p w:rsidR="00AE103C" w:rsidRPr="005B0796" w:rsidRDefault="008C557E" w:rsidP="008C557E">
      <w:pPr>
        <w:pStyle w:val="Quote"/>
        <w:spacing w:after="0"/>
      </w:pPr>
      <w:r w:rsidRPr="005B0796">
        <w:t>b.</w:t>
      </w:r>
      <w:r w:rsidRPr="005B0796">
        <w:tab/>
      </w:r>
      <w:r w:rsidR="00AE103C" w:rsidRPr="005B0796">
        <w:t>between seven and 10 standard drinks in one day</w:t>
      </w:r>
    </w:p>
    <w:p w:rsidR="00AE103C" w:rsidRPr="005B0796" w:rsidRDefault="008C557E" w:rsidP="008C557E">
      <w:pPr>
        <w:pStyle w:val="Quote"/>
        <w:spacing w:after="0"/>
      </w:pPr>
      <w:r w:rsidRPr="005B0796">
        <w:t>c.</w:t>
      </w:r>
      <w:r w:rsidRPr="005B0796">
        <w:tab/>
      </w:r>
      <w:r w:rsidR="00AE103C" w:rsidRPr="005B0796">
        <w:t>five or six standard drinks in one day</w:t>
      </w:r>
    </w:p>
    <w:p w:rsidR="00AE103C" w:rsidRPr="005B0796" w:rsidRDefault="008C557E" w:rsidP="008C557E">
      <w:pPr>
        <w:pStyle w:val="Quote"/>
        <w:spacing w:after="0"/>
      </w:pPr>
      <w:r w:rsidRPr="005B0796">
        <w:t>d.</w:t>
      </w:r>
      <w:r w:rsidRPr="005B0796">
        <w:tab/>
      </w:r>
      <w:r w:rsidR="00AE103C" w:rsidRPr="005B0796">
        <w:t>three or four standard drinks in one day</w:t>
      </w:r>
    </w:p>
    <w:p w:rsidR="00AE103C" w:rsidRPr="005B0796" w:rsidRDefault="008C557E" w:rsidP="008C557E">
      <w:pPr>
        <w:pStyle w:val="Quote"/>
      </w:pPr>
      <w:r w:rsidRPr="005B0796">
        <w:t>e.</w:t>
      </w:r>
      <w:r w:rsidRPr="005B0796">
        <w:tab/>
      </w:r>
      <w:r w:rsidR="00AE103C" w:rsidRPr="005B0796">
        <w:t>one or two standard drinks in one day.</w:t>
      </w:r>
    </w:p>
    <w:p w:rsidR="00AE103C" w:rsidRPr="005B0796" w:rsidRDefault="00AE103C" w:rsidP="008C557E">
      <w:r w:rsidRPr="005B0796">
        <w:t xml:space="preserve">The pattern of alcohol consumption (frequency and maximum number of drinks) in the Transitioned ADF compared to the Australian Community will be reported first. Next, the pattern of alcohol consumption in the Transitioned ADF population and the Australian Community, by the categories of sex and age, will be presented. </w:t>
      </w:r>
    </w:p>
    <w:p w:rsidR="00AE103C" w:rsidRPr="005B0796" w:rsidRDefault="00AE103C" w:rsidP="008C557E">
      <w:pPr>
        <w:pStyle w:val="Heading3"/>
      </w:pPr>
      <w:bookmarkStart w:id="1235" w:name="_Toc482021402"/>
      <w:bookmarkStart w:id="1236" w:name="_Toc482024495"/>
      <w:bookmarkStart w:id="1237" w:name="_Toc487011248"/>
      <w:bookmarkStart w:id="1238" w:name="_Toc493663143"/>
      <w:bookmarkStart w:id="1239" w:name="_Toc494449768"/>
      <w:bookmarkStart w:id="1240" w:name="_Toc511900350"/>
      <w:r w:rsidRPr="005B0796">
        <w:t>Frequency of alcohol consumption in the last 12 months in the Transitioned ADF compared to the Australian Community</w:t>
      </w:r>
      <w:bookmarkEnd w:id="1235"/>
      <w:bookmarkEnd w:id="1236"/>
      <w:bookmarkEnd w:id="1237"/>
      <w:bookmarkEnd w:id="1238"/>
      <w:bookmarkEnd w:id="1239"/>
      <w:bookmarkEnd w:id="1240"/>
    </w:p>
    <w:p w:rsidR="00AE103C" w:rsidRPr="005B0796" w:rsidRDefault="00AE103C" w:rsidP="005068AA">
      <w:pPr>
        <w:keepNext/>
      </w:pPr>
      <w:r w:rsidRPr="005B0796">
        <w:t>Table 6.4 and Figure 6.4 compare the frequency of alcohol consumption in the Transitioned ADF and Australian Community.</w:t>
      </w:r>
    </w:p>
    <w:p w:rsidR="008C557E" w:rsidRPr="005B0796" w:rsidRDefault="008C557E" w:rsidP="008C557E">
      <w:pPr>
        <w:pStyle w:val="TableName"/>
      </w:pPr>
      <w:bookmarkStart w:id="1241" w:name="_Ref484695206"/>
      <w:bookmarkStart w:id="1242" w:name="_Toc487014332"/>
      <w:bookmarkStart w:id="1243" w:name="_Toc492995635"/>
      <w:bookmarkStart w:id="1244" w:name="_Toc511900484"/>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4</w:t>
      </w:r>
      <w:r w:rsidR="00D30A3C">
        <w:rPr>
          <w:noProof/>
        </w:rPr>
        <w:fldChar w:fldCharType="end"/>
      </w:r>
      <w:bookmarkEnd w:id="1241"/>
      <w:r w:rsidRPr="005B0796">
        <w:tab/>
        <w:t>Estimated proportions for frequency of alcohol consumption in Transitioned ADF compared to the Australian Community in the last 12 months</w:t>
      </w:r>
      <w:bookmarkEnd w:id="1242"/>
      <w:bookmarkEnd w:id="1243"/>
      <w:bookmarkEnd w:id="1244"/>
    </w:p>
    <w:tbl>
      <w:tblPr>
        <w:tblStyle w:val="TWRPTable"/>
        <w:tblW w:w="5000" w:type="pct"/>
        <w:tblLayout w:type="fixed"/>
        <w:tblLook w:val="04A0" w:firstRow="1" w:lastRow="0" w:firstColumn="1" w:lastColumn="0" w:noHBand="0" w:noVBand="1"/>
        <w:tblDescription w:val="Table 6.4 Estimated proportions for frequency of alcohol consumption in Transitioned ADF compared to the Australian Community in the last 12 months"/>
      </w:tblPr>
      <w:tblGrid>
        <w:gridCol w:w="1276"/>
        <w:gridCol w:w="629"/>
        <w:gridCol w:w="633"/>
        <w:gridCol w:w="747"/>
        <w:gridCol w:w="603"/>
        <w:gridCol w:w="630"/>
        <w:gridCol w:w="778"/>
        <w:gridCol w:w="662"/>
        <w:gridCol w:w="540"/>
        <w:gridCol w:w="806"/>
        <w:gridCol w:w="11"/>
      </w:tblGrid>
      <w:tr w:rsidR="008C557E" w:rsidRPr="005B0796" w:rsidTr="008C557E">
        <w:trPr>
          <w:gridAfter w:val="1"/>
          <w:cnfStyle w:val="100000000000" w:firstRow="1" w:lastRow="0" w:firstColumn="0" w:lastColumn="0" w:oddVBand="0" w:evenVBand="0" w:oddHBand="0" w:evenHBand="0" w:firstRowFirstColumn="0" w:firstRowLastColumn="0" w:lastRowFirstColumn="0" w:lastRowLastColumn="0"/>
          <w:wAfter w:w="11" w:type="dxa"/>
          <w:tblHeader/>
        </w:trPr>
        <w:tc>
          <w:tcPr>
            <w:tcW w:w="1276" w:type="dxa"/>
            <w:vMerge w:val="restart"/>
          </w:tcPr>
          <w:p w:rsidR="008C557E" w:rsidRPr="005B0796" w:rsidRDefault="008C557E" w:rsidP="008C557E">
            <w:pPr>
              <w:pStyle w:val="TableText"/>
              <w:rPr>
                <w:lang w:eastAsia="en-AU"/>
              </w:rPr>
            </w:pPr>
          </w:p>
        </w:tc>
        <w:tc>
          <w:tcPr>
            <w:tcW w:w="2009" w:type="dxa"/>
            <w:gridSpan w:val="3"/>
            <w:hideMark/>
          </w:tcPr>
          <w:p w:rsidR="008C557E" w:rsidRPr="005B0796" w:rsidRDefault="008C557E" w:rsidP="008C557E">
            <w:pPr>
              <w:pStyle w:val="TableText"/>
              <w:jc w:val="center"/>
              <w:rPr>
                <w:lang w:eastAsia="en-AU"/>
              </w:rPr>
            </w:pPr>
            <w:r w:rsidRPr="005B0796">
              <w:rPr>
                <w:bCs/>
                <w:lang w:eastAsia="en-AU"/>
              </w:rPr>
              <w:t>Transitioned ADF</w:t>
            </w:r>
            <w:r w:rsidRPr="005B0796">
              <w:rPr>
                <w:bCs/>
                <w:lang w:eastAsia="en-AU"/>
              </w:rPr>
              <w:br/>
            </w:r>
            <w:r w:rsidRPr="005B0796">
              <w:rPr>
                <w:lang w:eastAsia="en-AU"/>
              </w:rPr>
              <w:t>(n = 24,932)</w:t>
            </w:r>
          </w:p>
        </w:tc>
        <w:tc>
          <w:tcPr>
            <w:tcW w:w="2011" w:type="dxa"/>
            <w:gridSpan w:val="3"/>
            <w:hideMark/>
          </w:tcPr>
          <w:p w:rsidR="008C557E" w:rsidRPr="005B0796" w:rsidRDefault="008C557E" w:rsidP="008C557E">
            <w:pPr>
              <w:pStyle w:val="TableText"/>
              <w:jc w:val="center"/>
              <w:rPr>
                <w:lang w:eastAsia="en-AU"/>
              </w:rPr>
            </w:pPr>
            <w:r w:rsidRPr="005B0796">
              <w:rPr>
                <w:bCs/>
                <w:lang w:eastAsia="en-AU"/>
              </w:rPr>
              <w:t xml:space="preserve">Australian </w:t>
            </w:r>
            <w:r w:rsidR="00445732" w:rsidRPr="005B0796">
              <w:rPr>
                <w:bCs/>
                <w:lang w:eastAsia="en-AU"/>
              </w:rPr>
              <w:t>Community</w:t>
            </w:r>
          </w:p>
        </w:tc>
        <w:tc>
          <w:tcPr>
            <w:tcW w:w="2008" w:type="dxa"/>
            <w:gridSpan w:val="3"/>
            <w:hideMark/>
          </w:tcPr>
          <w:p w:rsidR="008C557E" w:rsidRPr="005B0796" w:rsidRDefault="008C557E" w:rsidP="008C557E">
            <w:pPr>
              <w:pStyle w:val="TableText"/>
              <w:jc w:val="center"/>
              <w:rPr>
                <w:bCs/>
                <w:lang w:eastAsia="en-AU"/>
              </w:rPr>
            </w:pPr>
            <w:r w:rsidRPr="005B0796">
              <w:rPr>
                <w:bCs/>
                <w:lang w:eastAsia="en-AU"/>
              </w:rPr>
              <w:t>Difference</w:t>
            </w:r>
          </w:p>
        </w:tc>
      </w:tr>
      <w:tr w:rsidR="008C557E" w:rsidRPr="005B0796" w:rsidTr="008C557E">
        <w:trPr>
          <w:cnfStyle w:val="100000000000" w:firstRow="1" w:lastRow="0" w:firstColumn="0" w:lastColumn="0" w:oddVBand="0" w:evenVBand="0" w:oddHBand="0" w:evenHBand="0" w:firstRowFirstColumn="0" w:firstRowLastColumn="0" w:lastRowFirstColumn="0" w:lastRowLastColumn="0"/>
          <w:tblHeader/>
        </w:trPr>
        <w:tc>
          <w:tcPr>
            <w:tcW w:w="1276" w:type="dxa"/>
            <w:vMerge/>
          </w:tcPr>
          <w:p w:rsidR="008C557E" w:rsidRPr="005B0796" w:rsidRDefault="008C557E" w:rsidP="008C557E">
            <w:pPr>
              <w:pStyle w:val="TableText"/>
              <w:rPr>
                <w:rFonts w:eastAsia="GillSans"/>
                <w:lang w:eastAsia="en-AU"/>
              </w:rPr>
            </w:pPr>
          </w:p>
        </w:tc>
        <w:tc>
          <w:tcPr>
            <w:tcW w:w="629" w:type="dxa"/>
            <w:hideMark/>
          </w:tcPr>
          <w:p w:rsidR="008C557E" w:rsidRPr="005B0796" w:rsidRDefault="008C557E" w:rsidP="008C557E">
            <w:pPr>
              <w:pStyle w:val="TableText"/>
              <w:jc w:val="right"/>
              <w:rPr>
                <w:lang w:eastAsia="en-AU"/>
              </w:rPr>
            </w:pPr>
            <w:r w:rsidRPr="005B0796">
              <w:rPr>
                <w:lang w:eastAsia="en-AU"/>
              </w:rPr>
              <w:t>%</w:t>
            </w:r>
          </w:p>
        </w:tc>
        <w:tc>
          <w:tcPr>
            <w:tcW w:w="633" w:type="dxa"/>
            <w:hideMark/>
          </w:tcPr>
          <w:p w:rsidR="008C557E" w:rsidRPr="005B0796" w:rsidRDefault="008C557E" w:rsidP="008C557E">
            <w:pPr>
              <w:pStyle w:val="TableText"/>
              <w:jc w:val="right"/>
              <w:rPr>
                <w:lang w:eastAsia="en-AU"/>
              </w:rPr>
            </w:pPr>
            <w:r w:rsidRPr="005B0796">
              <w:rPr>
                <w:lang w:eastAsia="en-AU"/>
              </w:rPr>
              <w:t>SE</w:t>
            </w:r>
          </w:p>
        </w:tc>
        <w:tc>
          <w:tcPr>
            <w:tcW w:w="747" w:type="dxa"/>
            <w:hideMark/>
          </w:tcPr>
          <w:p w:rsidR="008C557E" w:rsidRPr="005B0796" w:rsidRDefault="008C557E" w:rsidP="008C557E">
            <w:pPr>
              <w:pStyle w:val="TableText"/>
              <w:jc w:val="right"/>
              <w:rPr>
                <w:lang w:eastAsia="en-AU"/>
              </w:rPr>
            </w:pPr>
            <w:r w:rsidRPr="005B0796">
              <w:rPr>
                <w:lang w:eastAsia="en-AU"/>
              </w:rPr>
              <w:t>95% CI</w:t>
            </w:r>
          </w:p>
        </w:tc>
        <w:tc>
          <w:tcPr>
            <w:tcW w:w="603" w:type="dxa"/>
            <w:hideMark/>
          </w:tcPr>
          <w:p w:rsidR="008C557E" w:rsidRPr="005B0796" w:rsidRDefault="008C557E" w:rsidP="008C557E">
            <w:pPr>
              <w:pStyle w:val="TableText"/>
              <w:jc w:val="right"/>
              <w:rPr>
                <w:lang w:eastAsia="en-AU"/>
              </w:rPr>
            </w:pPr>
            <w:r w:rsidRPr="005B0796">
              <w:rPr>
                <w:lang w:eastAsia="en-AU"/>
              </w:rPr>
              <w:t>%</w:t>
            </w:r>
          </w:p>
        </w:tc>
        <w:tc>
          <w:tcPr>
            <w:tcW w:w="630" w:type="dxa"/>
            <w:hideMark/>
          </w:tcPr>
          <w:p w:rsidR="008C557E" w:rsidRPr="005B0796" w:rsidRDefault="008C557E" w:rsidP="008C557E">
            <w:pPr>
              <w:pStyle w:val="TableText"/>
              <w:jc w:val="right"/>
              <w:rPr>
                <w:lang w:eastAsia="en-AU"/>
              </w:rPr>
            </w:pPr>
            <w:r w:rsidRPr="005B0796">
              <w:rPr>
                <w:lang w:eastAsia="en-AU"/>
              </w:rPr>
              <w:t>SE</w:t>
            </w:r>
          </w:p>
        </w:tc>
        <w:tc>
          <w:tcPr>
            <w:tcW w:w="778" w:type="dxa"/>
            <w:hideMark/>
          </w:tcPr>
          <w:p w:rsidR="008C557E" w:rsidRPr="005B0796" w:rsidRDefault="008C557E" w:rsidP="008C557E">
            <w:pPr>
              <w:pStyle w:val="TableText"/>
              <w:jc w:val="right"/>
              <w:rPr>
                <w:lang w:eastAsia="en-AU"/>
              </w:rPr>
            </w:pPr>
            <w:r w:rsidRPr="005B0796">
              <w:rPr>
                <w:lang w:eastAsia="en-AU"/>
              </w:rPr>
              <w:t>95% CI</w:t>
            </w:r>
          </w:p>
        </w:tc>
        <w:tc>
          <w:tcPr>
            <w:tcW w:w="662" w:type="dxa"/>
            <w:hideMark/>
          </w:tcPr>
          <w:p w:rsidR="008C557E" w:rsidRPr="005B0796" w:rsidRDefault="008C557E" w:rsidP="008C557E">
            <w:pPr>
              <w:pStyle w:val="TableText"/>
              <w:jc w:val="right"/>
              <w:rPr>
                <w:lang w:eastAsia="en-AU"/>
              </w:rPr>
            </w:pPr>
            <w:r w:rsidRPr="005B0796">
              <w:rPr>
                <w:lang w:eastAsia="en-AU"/>
              </w:rPr>
              <w:t>%</w:t>
            </w:r>
          </w:p>
        </w:tc>
        <w:tc>
          <w:tcPr>
            <w:tcW w:w="540" w:type="dxa"/>
            <w:hideMark/>
          </w:tcPr>
          <w:p w:rsidR="008C557E" w:rsidRPr="005B0796" w:rsidRDefault="008C557E" w:rsidP="008C557E">
            <w:pPr>
              <w:pStyle w:val="TableText"/>
              <w:jc w:val="right"/>
              <w:rPr>
                <w:lang w:eastAsia="en-AU"/>
              </w:rPr>
            </w:pPr>
            <w:r w:rsidRPr="005B0796">
              <w:rPr>
                <w:lang w:eastAsia="en-AU"/>
              </w:rPr>
              <w:t>SE</w:t>
            </w:r>
          </w:p>
        </w:tc>
        <w:tc>
          <w:tcPr>
            <w:tcW w:w="817" w:type="dxa"/>
            <w:gridSpan w:val="2"/>
            <w:hideMark/>
          </w:tcPr>
          <w:p w:rsidR="008C557E" w:rsidRPr="005B0796" w:rsidRDefault="008C557E" w:rsidP="008C557E">
            <w:pPr>
              <w:pStyle w:val="TableText"/>
              <w:jc w:val="right"/>
              <w:rPr>
                <w:lang w:eastAsia="en-AU"/>
              </w:rPr>
            </w:pPr>
            <w:r w:rsidRPr="005B0796">
              <w:rPr>
                <w:lang w:eastAsia="en-AU"/>
              </w:rPr>
              <w:t>95% CI</w:t>
            </w:r>
          </w:p>
        </w:tc>
      </w:tr>
      <w:tr w:rsidR="008C557E" w:rsidRPr="005B0796" w:rsidTr="008C557E">
        <w:trPr>
          <w:cnfStyle w:val="000000100000" w:firstRow="0" w:lastRow="0" w:firstColumn="0" w:lastColumn="0" w:oddVBand="0" w:evenVBand="0" w:oddHBand="1" w:evenHBand="0" w:firstRowFirstColumn="0" w:firstRowLastColumn="0" w:lastRowFirstColumn="0" w:lastRowLastColumn="0"/>
        </w:trPr>
        <w:tc>
          <w:tcPr>
            <w:tcW w:w="1276" w:type="dxa"/>
            <w:hideMark/>
          </w:tcPr>
          <w:p w:rsidR="00AE103C" w:rsidRPr="005B0796" w:rsidRDefault="00AE103C" w:rsidP="008C557E">
            <w:pPr>
              <w:pStyle w:val="TableText"/>
              <w:rPr>
                <w:rFonts w:eastAsia="GillSans"/>
                <w:lang w:eastAsia="en-AU"/>
              </w:rPr>
            </w:pPr>
            <w:r w:rsidRPr="005B0796">
              <w:rPr>
                <w:lang w:eastAsia="en-AU"/>
              </w:rPr>
              <w:t>Daily</w:t>
            </w:r>
          </w:p>
        </w:tc>
        <w:tc>
          <w:tcPr>
            <w:tcW w:w="629" w:type="dxa"/>
            <w:hideMark/>
          </w:tcPr>
          <w:p w:rsidR="00AE103C" w:rsidRPr="005B0796" w:rsidRDefault="00AE103C" w:rsidP="008C557E">
            <w:pPr>
              <w:pStyle w:val="TableText"/>
              <w:jc w:val="right"/>
              <w:rPr>
                <w:lang w:eastAsia="en-AU"/>
              </w:rPr>
            </w:pPr>
            <w:r w:rsidRPr="005B0796">
              <w:rPr>
                <w:lang w:eastAsia="en-AU"/>
              </w:rPr>
              <w:t>4.3</w:t>
            </w:r>
          </w:p>
        </w:tc>
        <w:tc>
          <w:tcPr>
            <w:tcW w:w="633" w:type="dxa"/>
            <w:hideMark/>
          </w:tcPr>
          <w:p w:rsidR="00AE103C" w:rsidRPr="005B0796" w:rsidRDefault="00AE103C" w:rsidP="008C557E">
            <w:pPr>
              <w:pStyle w:val="TableText"/>
              <w:jc w:val="right"/>
              <w:rPr>
                <w:lang w:eastAsia="en-AU"/>
              </w:rPr>
            </w:pPr>
            <w:r w:rsidRPr="005B0796">
              <w:rPr>
                <w:lang w:eastAsia="en-AU"/>
              </w:rPr>
              <w:t>0.4</w:t>
            </w:r>
          </w:p>
        </w:tc>
        <w:tc>
          <w:tcPr>
            <w:tcW w:w="747" w:type="dxa"/>
            <w:hideMark/>
          </w:tcPr>
          <w:p w:rsidR="00AE103C" w:rsidRPr="005B0796" w:rsidRDefault="00AE103C" w:rsidP="008C557E">
            <w:pPr>
              <w:pStyle w:val="TableText"/>
              <w:jc w:val="right"/>
              <w:rPr>
                <w:lang w:eastAsia="en-AU"/>
              </w:rPr>
            </w:pPr>
            <w:r w:rsidRPr="005B0796">
              <w:rPr>
                <w:lang w:eastAsia="en-AU"/>
              </w:rPr>
              <w:t>3.6, 5.0</w:t>
            </w:r>
          </w:p>
        </w:tc>
        <w:tc>
          <w:tcPr>
            <w:tcW w:w="603" w:type="dxa"/>
            <w:hideMark/>
          </w:tcPr>
          <w:p w:rsidR="00AE103C" w:rsidRPr="005B0796" w:rsidRDefault="00AE103C" w:rsidP="008C557E">
            <w:pPr>
              <w:pStyle w:val="TableText"/>
              <w:jc w:val="right"/>
              <w:rPr>
                <w:lang w:eastAsia="en-AU"/>
              </w:rPr>
            </w:pPr>
            <w:r w:rsidRPr="005B0796">
              <w:rPr>
                <w:lang w:eastAsia="en-AU"/>
              </w:rPr>
              <w:t>5.1</w:t>
            </w:r>
          </w:p>
        </w:tc>
        <w:tc>
          <w:tcPr>
            <w:tcW w:w="630" w:type="dxa"/>
            <w:hideMark/>
          </w:tcPr>
          <w:p w:rsidR="00AE103C" w:rsidRPr="005B0796" w:rsidRDefault="00AE103C" w:rsidP="008C557E">
            <w:pPr>
              <w:pStyle w:val="TableText"/>
              <w:jc w:val="right"/>
              <w:rPr>
                <w:lang w:eastAsia="en-AU"/>
              </w:rPr>
            </w:pPr>
            <w:r w:rsidRPr="005B0796">
              <w:rPr>
                <w:lang w:eastAsia="en-AU"/>
              </w:rPr>
              <w:t>0.4</w:t>
            </w:r>
          </w:p>
        </w:tc>
        <w:tc>
          <w:tcPr>
            <w:tcW w:w="778" w:type="dxa"/>
            <w:hideMark/>
          </w:tcPr>
          <w:p w:rsidR="00AE103C" w:rsidRPr="005B0796" w:rsidRDefault="00AE103C" w:rsidP="008C557E">
            <w:pPr>
              <w:pStyle w:val="TableText"/>
              <w:jc w:val="right"/>
              <w:rPr>
                <w:lang w:eastAsia="en-AU"/>
              </w:rPr>
            </w:pPr>
            <w:r w:rsidRPr="005B0796">
              <w:rPr>
                <w:lang w:eastAsia="en-AU"/>
              </w:rPr>
              <w:t>4.4, 5.8</w:t>
            </w:r>
          </w:p>
        </w:tc>
        <w:tc>
          <w:tcPr>
            <w:tcW w:w="662" w:type="dxa"/>
            <w:hideMark/>
          </w:tcPr>
          <w:p w:rsidR="00AE103C" w:rsidRPr="005B0796" w:rsidRDefault="00AE103C" w:rsidP="008C557E">
            <w:pPr>
              <w:pStyle w:val="TableText"/>
              <w:jc w:val="right"/>
              <w:rPr>
                <w:lang w:eastAsia="en-AU"/>
              </w:rPr>
            </w:pPr>
            <w:r w:rsidRPr="005B0796">
              <w:rPr>
                <w:lang w:eastAsia="en-AU"/>
              </w:rPr>
              <w:t>-0.8</w:t>
            </w:r>
          </w:p>
        </w:tc>
        <w:tc>
          <w:tcPr>
            <w:tcW w:w="540" w:type="dxa"/>
            <w:hideMark/>
          </w:tcPr>
          <w:p w:rsidR="00AE103C" w:rsidRPr="005B0796" w:rsidRDefault="00AE103C" w:rsidP="008C557E">
            <w:pPr>
              <w:pStyle w:val="TableText"/>
              <w:jc w:val="right"/>
              <w:rPr>
                <w:lang w:eastAsia="en-AU"/>
              </w:rPr>
            </w:pPr>
            <w:r w:rsidRPr="005B0796">
              <w:rPr>
                <w:lang w:eastAsia="en-AU"/>
              </w:rPr>
              <w:t>0.5</w:t>
            </w:r>
          </w:p>
        </w:tc>
        <w:tc>
          <w:tcPr>
            <w:tcW w:w="817" w:type="dxa"/>
            <w:gridSpan w:val="2"/>
            <w:hideMark/>
          </w:tcPr>
          <w:p w:rsidR="00AE103C" w:rsidRPr="005B0796" w:rsidRDefault="00AE103C" w:rsidP="008C557E">
            <w:pPr>
              <w:pStyle w:val="TableText"/>
              <w:jc w:val="right"/>
              <w:rPr>
                <w:lang w:eastAsia="en-AU"/>
              </w:rPr>
            </w:pPr>
            <w:r w:rsidRPr="005B0796">
              <w:rPr>
                <w:lang w:eastAsia="en-AU"/>
              </w:rPr>
              <w:t>-1.8, 0.2</w:t>
            </w:r>
          </w:p>
        </w:tc>
      </w:tr>
      <w:tr w:rsidR="008C557E" w:rsidRPr="005B0796" w:rsidTr="008C557E">
        <w:tc>
          <w:tcPr>
            <w:tcW w:w="1276" w:type="dxa"/>
            <w:hideMark/>
          </w:tcPr>
          <w:p w:rsidR="00AE103C" w:rsidRPr="005B0796" w:rsidRDefault="00AE103C" w:rsidP="008C557E">
            <w:pPr>
              <w:pStyle w:val="TableText"/>
              <w:rPr>
                <w:rFonts w:eastAsia="GillSans"/>
                <w:lang w:eastAsia="en-AU"/>
              </w:rPr>
            </w:pPr>
            <w:r w:rsidRPr="005B0796">
              <w:rPr>
                <w:lang w:eastAsia="en-AU"/>
              </w:rPr>
              <w:t>Weekly</w:t>
            </w:r>
          </w:p>
        </w:tc>
        <w:tc>
          <w:tcPr>
            <w:tcW w:w="629" w:type="dxa"/>
            <w:hideMark/>
          </w:tcPr>
          <w:p w:rsidR="00AE103C" w:rsidRPr="005B0796" w:rsidRDefault="00AE103C" w:rsidP="008C557E">
            <w:pPr>
              <w:pStyle w:val="TableText"/>
              <w:jc w:val="right"/>
              <w:rPr>
                <w:lang w:eastAsia="en-AU"/>
              </w:rPr>
            </w:pPr>
            <w:r w:rsidRPr="005B0796">
              <w:rPr>
                <w:lang w:eastAsia="en-AU"/>
              </w:rPr>
              <w:t>47.6</w:t>
            </w:r>
          </w:p>
        </w:tc>
        <w:tc>
          <w:tcPr>
            <w:tcW w:w="633" w:type="dxa"/>
            <w:hideMark/>
          </w:tcPr>
          <w:p w:rsidR="00AE103C" w:rsidRPr="005B0796" w:rsidRDefault="00AE103C" w:rsidP="008C557E">
            <w:pPr>
              <w:pStyle w:val="TableText"/>
              <w:jc w:val="right"/>
              <w:rPr>
                <w:lang w:eastAsia="en-AU"/>
              </w:rPr>
            </w:pPr>
            <w:r w:rsidRPr="005B0796">
              <w:rPr>
                <w:lang w:eastAsia="en-AU"/>
              </w:rPr>
              <w:t>0.1</w:t>
            </w:r>
          </w:p>
        </w:tc>
        <w:tc>
          <w:tcPr>
            <w:tcW w:w="747" w:type="dxa"/>
            <w:hideMark/>
          </w:tcPr>
          <w:p w:rsidR="00AE103C" w:rsidRPr="005B0796" w:rsidRDefault="00AE103C" w:rsidP="008C557E">
            <w:pPr>
              <w:pStyle w:val="TableText"/>
              <w:jc w:val="right"/>
              <w:rPr>
                <w:lang w:eastAsia="en-AU"/>
              </w:rPr>
            </w:pPr>
            <w:r w:rsidRPr="005B0796">
              <w:rPr>
                <w:lang w:eastAsia="en-AU"/>
              </w:rPr>
              <w:t>45.6, 49.5</w:t>
            </w:r>
          </w:p>
        </w:tc>
        <w:tc>
          <w:tcPr>
            <w:tcW w:w="603" w:type="dxa"/>
            <w:hideMark/>
          </w:tcPr>
          <w:p w:rsidR="00AE103C" w:rsidRPr="005B0796" w:rsidRDefault="00AE103C" w:rsidP="008C557E">
            <w:pPr>
              <w:pStyle w:val="TableText"/>
              <w:jc w:val="right"/>
              <w:rPr>
                <w:lang w:eastAsia="en-AU"/>
              </w:rPr>
            </w:pPr>
            <w:r w:rsidRPr="005B0796">
              <w:rPr>
                <w:lang w:eastAsia="en-AU"/>
              </w:rPr>
              <w:t>45.4</w:t>
            </w:r>
          </w:p>
        </w:tc>
        <w:tc>
          <w:tcPr>
            <w:tcW w:w="630" w:type="dxa"/>
            <w:hideMark/>
          </w:tcPr>
          <w:p w:rsidR="00AE103C" w:rsidRPr="005B0796" w:rsidRDefault="00AE103C" w:rsidP="008C557E">
            <w:pPr>
              <w:pStyle w:val="TableText"/>
              <w:jc w:val="right"/>
              <w:rPr>
                <w:lang w:eastAsia="en-AU"/>
              </w:rPr>
            </w:pPr>
            <w:r w:rsidRPr="005B0796">
              <w:rPr>
                <w:lang w:eastAsia="en-AU"/>
              </w:rPr>
              <w:t>1.0</w:t>
            </w:r>
          </w:p>
        </w:tc>
        <w:tc>
          <w:tcPr>
            <w:tcW w:w="778" w:type="dxa"/>
            <w:hideMark/>
          </w:tcPr>
          <w:p w:rsidR="00AE103C" w:rsidRPr="005B0796" w:rsidRDefault="00AE103C" w:rsidP="008C557E">
            <w:pPr>
              <w:pStyle w:val="TableText"/>
              <w:jc w:val="right"/>
              <w:rPr>
                <w:lang w:eastAsia="en-AU"/>
              </w:rPr>
            </w:pPr>
            <w:r w:rsidRPr="005B0796">
              <w:rPr>
                <w:lang w:eastAsia="en-AU"/>
              </w:rPr>
              <w:t>43.5, 47.3</w:t>
            </w:r>
          </w:p>
        </w:tc>
        <w:tc>
          <w:tcPr>
            <w:tcW w:w="662" w:type="dxa"/>
            <w:hideMark/>
          </w:tcPr>
          <w:p w:rsidR="00AE103C" w:rsidRPr="005B0796" w:rsidRDefault="00AE103C" w:rsidP="008C557E">
            <w:pPr>
              <w:pStyle w:val="TableText"/>
              <w:jc w:val="right"/>
              <w:rPr>
                <w:lang w:eastAsia="en-AU"/>
              </w:rPr>
            </w:pPr>
            <w:r w:rsidRPr="005B0796">
              <w:rPr>
                <w:lang w:eastAsia="en-AU"/>
              </w:rPr>
              <w:t>2.2</w:t>
            </w:r>
          </w:p>
        </w:tc>
        <w:tc>
          <w:tcPr>
            <w:tcW w:w="540" w:type="dxa"/>
            <w:hideMark/>
          </w:tcPr>
          <w:p w:rsidR="00AE103C" w:rsidRPr="005B0796" w:rsidRDefault="00AE103C" w:rsidP="008C557E">
            <w:pPr>
              <w:pStyle w:val="TableText"/>
              <w:jc w:val="right"/>
              <w:rPr>
                <w:lang w:eastAsia="en-AU"/>
              </w:rPr>
            </w:pPr>
            <w:r w:rsidRPr="005B0796">
              <w:rPr>
                <w:lang w:eastAsia="en-AU"/>
              </w:rPr>
              <w:t>1.4</w:t>
            </w:r>
          </w:p>
        </w:tc>
        <w:tc>
          <w:tcPr>
            <w:tcW w:w="817" w:type="dxa"/>
            <w:gridSpan w:val="2"/>
            <w:hideMark/>
          </w:tcPr>
          <w:p w:rsidR="00AE103C" w:rsidRPr="005B0796" w:rsidRDefault="00AE103C" w:rsidP="008C557E">
            <w:pPr>
              <w:pStyle w:val="TableText"/>
              <w:jc w:val="right"/>
              <w:rPr>
                <w:lang w:eastAsia="en-AU"/>
              </w:rPr>
            </w:pPr>
            <w:r w:rsidRPr="005B0796">
              <w:rPr>
                <w:lang w:eastAsia="en-AU"/>
              </w:rPr>
              <w:t>-0.5, 4.8</w:t>
            </w:r>
          </w:p>
        </w:tc>
      </w:tr>
      <w:tr w:rsidR="008C557E" w:rsidRPr="005B0796" w:rsidTr="008C557E">
        <w:trPr>
          <w:cnfStyle w:val="000000100000" w:firstRow="0" w:lastRow="0" w:firstColumn="0" w:lastColumn="0" w:oddVBand="0" w:evenVBand="0" w:oddHBand="1" w:evenHBand="0" w:firstRowFirstColumn="0" w:firstRowLastColumn="0" w:lastRowFirstColumn="0" w:lastRowLastColumn="0"/>
        </w:trPr>
        <w:tc>
          <w:tcPr>
            <w:tcW w:w="1276" w:type="dxa"/>
            <w:hideMark/>
          </w:tcPr>
          <w:p w:rsidR="00AE103C" w:rsidRPr="005B0796" w:rsidRDefault="00AE103C" w:rsidP="008C557E">
            <w:pPr>
              <w:pStyle w:val="TableText"/>
              <w:rPr>
                <w:rFonts w:eastAsia="GillSans"/>
                <w:lang w:eastAsia="en-AU"/>
              </w:rPr>
            </w:pPr>
            <w:r w:rsidRPr="005B0796">
              <w:rPr>
                <w:lang w:eastAsia="en-AU"/>
              </w:rPr>
              <w:t>Monthly</w:t>
            </w:r>
          </w:p>
        </w:tc>
        <w:tc>
          <w:tcPr>
            <w:tcW w:w="629" w:type="dxa"/>
            <w:hideMark/>
          </w:tcPr>
          <w:p w:rsidR="00AE103C" w:rsidRPr="005B0796" w:rsidRDefault="00AE103C" w:rsidP="008C557E">
            <w:pPr>
              <w:pStyle w:val="TableText"/>
              <w:jc w:val="right"/>
              <w:rPr>
                <w:lang w:eastAsia="en-AU"/>
              </w:rPr>
            </w:pPr>
            <w:r w:rsidRPr="005B0796">
              <w:rPr>
                <w:lang w:eastAsia="en-AU"/>
              </w:rPr>
              <w:t>26.1</w:t>
            </w:r>
          </w:p>
        </w:tc>
        <w:tc>
          <w:tcPr>
            <w:tcW w:w="633" w:type="dxa"/>
            <w:hideMark/>
          </w:tcPr>
          <w:p w:rsidR="00AE103C" w:rsidRPr="005B0796" w:rsidRDefault="00AE103C" w:rsidP="008C557E">
            <w:pPr>
              <w:pStyle w:val="TableText"/>
              <w:jc w:val="right"/>
              <w:rPr>
                <w:lang w:eastAsia="en-AU"/>
              </w:rPr>
            </w:pPr>
            <w:r w:rsidRPr="005B0796">
              <w:rPr>
                <w:lang w:eastAsia="en-AU"/>
              </w:rPr>
              <w:t>0.9</w:t>
            </w:r>
          </w:p>
        </w:tc>
        <w:tc>
          <w:tcPr>
            <w:tcW w:w="747" w:type="dxa"/>
            <w:hideMark/>
          </w:tcPr>
          <w:p w:rsidR="00AE103C" w:rsidRPr="005B0796" w:rsidRDefault="00AE103C" w:rsidP="008C557E">
            <w:pPr>
              <w:pStyle w:val="TableText"/>
              <w:jc w:val="right"/>
              <w:rPr>
                <w:lang w:eastAsia="en-AU"/>
              </w:rPr>
            </w:pPr>
            <w:r w:rsidRPr="005B0796">
              <w:rPr>
                <w:lang w:eastAsia="en-AU"/>
              </w:rPr>
              <w:t>24.4, 27.9</w:t>
            </w:r>
          </w:p>
        </w:tc>
        <w:tc>
          <w:tcPr>
            <w:tcW w:w="603" w:type="dxa"/>
            <w:hideMark/>
          </w:tcPr>
          <w:p w:rsidR="00AE103C" w:rsidRPr="005B0796" w:rsidRDefault="00AE103C" w:rsidP="008C557E">
            <w:pPr>
              <w:pStyle w:val="TableText"/>
              <w:jc w:val="right"/>
              <w:rPr>
                <w:lang w:eastAsia="en-AU"/>
              </w:rPr>
            </w:pPr>
            <w:r w:rsidRPr="005B0796">
              <w:rPr>
                <w:lang w:eastAsia="en-AU"/>
              </w:rPr>
              <w:t>20.1</w:t>
            </w:r>
          </w:p>
        </w:tc>
        <w:tc>
          <w:tcPr>
            <w:tcW w:w="630" w:type="dxa"/>
            <w:hideMark/>
          </w:tcPr>
          <w:p w:rsidR="00AE103C" w:rsidRPr="005B0796" w:rsidRDefault="00AE103C" w:rsidP="008C557E">
            <w:pPr>
              <w:pStyle w:val="TableText"/>
              <w:jc w:val="right"/>
              <w:rPr>
                <w:lang w:eastAsia="en-AU"/>
              </w:rPr>
            </w:pPr>
            <w:r w:rsidRPr="005B0796">
              <w:rPr>
                <w:lang w:eastAsia="en-AU"/>
              </w:rPr>
              <w:t>0.9</w:t>
            </w:r>
          </w:p>
        </w:tc>
        <w:tc>
          <w:tcPr>
            <w:tcW w:w="778" w:type="dxa"/>
            <w:hideMark/>
          </w:tcPr>
          <w:p w:rsidR="00AE103C" w:rsidRPr="005B0796" w:rsidRDefault="00AE103C" w:rsidP="008C557E">
            <w:pPr>
              <w:pStyle w:val="TableText"/>
              <w:jc w:val="right"/>
              <w:rPr>
                <w:lang w:eastAsia="en-AU"/>
              </w:rPr>
            </w:pPr>
            <w:r w:rsidRPr="005B0796">
              <w:rPr>
                <w:lang w:eastAsia="en-AU"/>
              </w:rPr>
              <w:t>18.4, 21.8</w:t>
            </w:r>
          </w:p>
        </w:tc>
        <w:tc>
          <w:tcPr>
            <w:tcW w:w="662" w:type="dxa"/>
            <w:hideMark/>
          </w:tcPr>
          <w:p w:rsidR="00AE103C" w:rsidRPr="005B0796" w:rsidRDefault="00AE103C" w:rsidP="008C557E">
            <w:pPr>
              <w:pStyle w:val="TableText"/>
              <w:jc w:val="right"/>
              <w:rPr>
                <w:lang w:eastAsia="en-AU"/>
              </w:rPr>
            </w:pPr>
            <w:r w:rsidRPr="005B0796">
              <w:rPr>
                <w:lang w:eastAsia="en-AU"/>
              </w:rPr>
              <w:t>6.0</w:t>
            </w:r>
          </w:p>
        </w:tc>
        <w:tc>
          <w:tcPr>
            <w:tcW w:w="540" w:type="dxa"/>
            <w:hideMark/>
          </w:tcPr>
          <w:p w:rsidR="00AE103C" w:rsidRPr="005B0796" w:rsidRDefault="00AE103C" w:rsidP="008C557E">
            <w:pPr>
              <w:pStyle w:val="TableText"/>
              <w:jc w:val="right"/>
              <w:rPr>
                <w:lang w:eastAsia="en-AU"/>
              </w:rPr>
            </w:pPr>
            <w:r w:rsidRPr="005B0796">
              <w:rPr>
                <w:lang w:eastAsia="en-AU"/>
              </w:rPr>
              <w:t>1.3</w:t>
            </w:r>
          </w:p>
        </w:tc>
        <w:tc>
          <w:tcPr>
            <w:tcW w:w="817" w:type="dxa"/>
            <w:gridSpan w:val="2"/>
            <w:hideMark/>
          </w:tcPr>
          <w:p w:rsidR="00AE103C" w:rsidRPr="005B0796" w:rsidRDefault="00AE103C" w:rsidP="008C557E">
            <w:pPr>
              <w:pStyle w:val="TableText"/>
              <w:jc w:val="right"/>
              <w:rPr>
                <w:lang w:eastAsia="en-AU"/>
              </w:rPr>
            </w:pPr>
            <w:r w:rsidRPr="005B0796">
              <w:rPr>
                <w:lang w:eastAsia="en-AU"/>
              </w:rPr>
              <w:t>3.5, 8.5</w:t>
            </w:r>
          </w:p>
        </w:tc>
      </w:tr>
      <w:tr w:rsidR="008C557E" w:rsidRPr="005B0796" w:rsidTr="008C557E">
        <w:tc>
          <w:tcPr>
            <w:tcW w:w="1276" w:type="dxa"/>
            <w:hideMark/>
          </w:tcPr>
          <w:p w:rsidR="00AE103C" w:rsidRPr="005B0796" w:rsidRDefault="00AE103C" w:rsidP="008C557E">
            <w:pPr>
              <w:pStyle w:val="TableText"/>
              <w:rPr>
                <w:lang w:eastAsia="en-AU"/>
              </w:rPr>
            </w:pPr>
            <w:r w:rsidRPr="005B0796">
              <w:rPr>
                <w:lang w:eastAsia="en-AU"/>
              </w:rPr>
              <w:t>Less than monthly</w:t>
            </w:r>
          </w:p>
        </w:tc>
        <w:tc>
          <w:tcPr>
            <w:tcW w:w="629" w:type="dxa"/>
            <w:hideMark/>
          </w:tcPr>
          <w:p w:rsidR="00AE103C" w:rsidRPr="005B0796" w:rsidRDefault="00AE103C" w:rsidP="008C557E">
            <w:pPr>
              <w:pStyle w:val="TableText"/>
              <w:jc w:val="right"/>
              <w:rPr>
                <w:lang w:eastAsia="en-AU"/>
              </w:rPr>
            </w:pPr>
            <w:r w:rsidRPr="005B0796">
              <w:rPr>
                <w:lang w:eastAsia="en-AU"/>
              </w:rPr>
              <w:t>14.1</w:t>
            </w:r>
          </w:p>
        </w:tc>
        <w:tc>
          <w:tcPr>
            <w:tcW w:w="633" w:type="dxa"/>
            <w:hideMark/>
          </w:tcPr>
          <w:p w:rsidR="00AE103C" w:rsidRPr="005B0796" w:rsidRDefault="00AE103C" w:rsidP="008C557E">
            <w:pPr>
              <w:pStyle w:val="TableText"/>
              <w:jc w:val="right"/>
              <w:rPr>
                <w:lang w:eastAsia="en-AU"/>
              </w:rPr>
            </w:pPr>
            <w:r w:rsidRPr="005B0796">
              <w:rPr>
                <w:lang w:eastAsia="en-AU"/>
              </w:rPr>
              <w:t>0.7</w:t>
            </w:r>
          </w:p>
        </w:tc>
        <w:tc>
          <w:tcPr>
            <w:tcW w:w="747" w:type="dxa"/>
            <w:hideMark/>
          </w:tcPr>
          <w:p w:rsidR="00AE103C" w:rsidRPr="005B0796" w:rsidRDefault="00AE103C" w:rsidP="008C557E">
            <w:pPr>
              <w:pStyle w:val="TableText"/>
              <w:jc w:val="right"/>
              <w:rPr>
                <w:lang w:eastAsia="en-AU"/>
              </w:rPr>
            </w:pPr>
            <w:r w:rsidRPr="005B0796">
              <w:rPr>
                <w:lang w:eastAsia="en-AU"/>
              </w:rPr>
              <w:t>12.8, 15.6</w:t>
            </w:r>
          </w:p>
        </w:tc>
        <w:tc>
          <w:tcPr>
            <w:tcW w:w="603" w:type="dxa"/>
            <w:hideMark/>
          </w:tcPr>
          <w:p w:rsidR="00AE103C" w:rsidRPr="005B0796" w:rsidRDefault="00AE103C" w:rsidP="008C557E">
            <w:pPr>
              <w:pStyle w:val="TableText"/>
              <w:jc w:val="right"/>
              <w:rPr>
                <w:lang w:eastAsia="en-AU"/>
              </w:rPr>
            </w:pPr>
            <w:r w:rsidRPr="005B0796">
              <w:rPr>
                <w:lang w:eastAsia="en-AU"/>
              </w:rPr>
              <w:t>13.0</w:t>
            </w:r>
          </w:p>
        </w:tc>
        <w:tc>
          <w:tcPr>
            <w:tcW w:w="630" w:type="dxa"/>
            <w:hideMark/>
          </w:tcPr>
          <w:p w:rsidR="00AE103C" w:rsidRPr="005B0796" w:rsidRDefault="00AE103C" w:rsidP="008C557E">
            <w:pPr>
              <w:pStyle w:val="TableText"/>
              <w:jc w:val="right"/>
              <w:rPr>
                <w:lang w:eastAsia="en-AU"/>
              </w:rPr>
            </w:pPr>
            <w:r w:rsidRPr="005B0796">
              <w:rPr>
                <w:lang w:eastAsia="en-AU"/>
              </w:rPr>
              <w:t>0.6</w:t>
            </w:r>
          </w:p>
        </w:tc>
        <w:tc>
          <w:tcPr>
            <w:tcW w:w="778" w:type="dxa"/>
            <w:hideMark/>
          </w:tcPr>
          <w:p w:rsidR="00AE103C" w:rsidRPr="005B0796" w:rsidRDefault="00AE103C" w:rsidP="008C557E">
            <w:pPr>
              <w:pStyle w:val="TableText"/>
              <w:jc w:val="right"/>
              <w:rPr>
                <w:lang w:eastAsia="en-AU"/>
              </w:rPr>
            </w:pPr>
            <w:r w:rsidRPr="005B0796">
              <w:rPr>
                <w:lang w:eastAsia="en-AU"/>
              </w:rPr>
              <w:t>11.8, 14.3</w:t>
            </w:r>
          </w:p>
        </w:tc>
        <w:tc>
          <w:tcPr>
            <w:tcW w:w="662" w:type="dxa"/>
            <w:hideMark/>
          </w:tcPr>
          <w:p w:rsidR="00AE103C" w:rsidRPr="005B0796" w:rsidRDefault="00AE103C" w:rsidP="008C557E">
            <w:pPr>
              <w:pStyle w:val="TableText"/>
              <w:jc w:val="right"/>
              <w:rPr>
                <w:lang w:eastAsia="en-AU"/>
              </w:rPr>
            </w:pPr>
            <w:r w:rsidRPr="005B0796">
              <w:rPr>
                <w:lang w:eastAsia="en-AU"/>
              </w:rPr>
              <w:t>1.1</w:t>
            </w:r>
          </w:p>
        </w:tc>
        <w:tc>
          <w:tcPr>
            <w:tcW w:w="540" w:type="dxa"/>
            <w:hideMark/>
          </w:tcPr>
          <w:p w:rsidR="00AE103C" w:rsidRPr="005B0796" w:rsidRDefault="00AE103C" w:rsidP="008C557E">
            <w:pPr>
              <w:pStyle w:val="TableText"/>
              <w:jc w:val="right"/>
              <w:rPr>
                <w:lang w:eastAsia="en-AU"/>
              </w:rPr>
            </w:pPr>
            <w:r w:rsidRPr="005B0796">
              <w:rPr>
                <w:lang w:eastAsia="en-AU"/>
              </w:rPr>
              <w:t>0.9</w:t>
            </w:r>
          </w:p>
        </w:tc>
        <w:tc>
          <w:tcPr>
            <w:tcW w:w="817" w:type="dxa"/>
            <w:gridSpan w:val="2"/>
            <w:hideMark/>
          </w:tcPr>
          <w:p w:rsidR="00AE103C" w:rsidRPr="005B0796" w:rsidRDefault="00AE103C" w:rsidP="008C557E">
            <w:pPr>
              <w:pStyle w:val="TableText"/>
              <w:jc w:val="right"/>
              <w:rPr>
                <w:lang w:eastAsia="en-AU"/>
              </w:rPr>
            </w:pPr>
            <w:r w:rsidRPr="005B0796">
              <w:rPr>
                <w:lang w:eastAsia="en-AU"/>
              </w:rPr>
              <w:t>-0.8, 2.9</w:t>
            </w:r>
          </w:p>
        </w:tc>
      </w:tr>
    </w:tbl>
    <w:p w:rsidR="00AE103C" w:rsidRPr="005B0796" w:rsidRDefault="008C557E" w:rsidP="008C557E">
      <w:pPr>
        <w:pStyle w:val="TableNotes"/>
      </w:pPr>
      <w:r w:rsidRPr="005B0796">
        <w:t xml:space="preserve">Note: 95% CI: 95% </w:t>
      </w:r>
      <w:r w:rsidR="00564689" w:rsidRPr="005B0796">
        <w:t>confidence interval</w:t>
      </w:r>
    </w:p>
    <w:p w:rsidR="005068AA" w:rsidRPr="005B0796" w:rsidRDefault="005068AA" w:rsidP="005068AA">
      <w:r w:rsidRPr="005B0796">
        <w:t xml:space="preserve">Overall, most individuals in both groups reported drinking weekly (approximately 45–48%), followed by monthly and less than monthly. Only 5.1% of the Australian Community and 4.3% of the Transitioned ADF reported drinking daily. </w:t>
      </w:r>
      <w:r w:rsidR="00E13799">
        <w:t>A</w:t>
      </w:r>
      <w:r w:rsidRPr="005B0796">
        <w:t xml:space="preserve"> significantly higher proportion of the Transitioned ADF than the Australian Community reported drinking monthly. There were no significant differences in the proportion of each group who reported drinking daily, weekly or less than monthly. </w:t>
      </w:r>
    </w:p>
    <w:p w:rsidR="008C557E" w:rsidRPr="005B0796" w:rsidRDefault="008C557E" w:rsidP="008C557E">
      <w:pPr>
        <w:pStyle w:val="FigureName"/>
      </w:pPr>
      <w:bookmarkStart w:id="1245" w:name="_Toc511900590"/>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4</w:t>
      </w:r>
      <w:r w:rsidR="00D30A3C">
        <w:rPr>
          <w:noProof/>
        </w:rPr>
        <w:fldChar w:fldCharType="end"/>
      </w:r>
      <w:r w:rsidRPr="005B0796">
        <w:tab/>
        <w:t>Estimated proportions for frequency of alcohol consumption in Transitioned ADF compared to the Australian Community in the last 12 months</w:t>
      </w:r>
      <w:bookmarkEnd w:id="1245"/>
    </w:p>
    <w:tbl>
      <w:tblPr>
        <w:tblW w:w="5000" w:type="pct"/>
        <w:tblLayout w:type="fixed"/>
        <w:tblCellMar>
          <w:left w:w="115" w:type="dxa"/>
          <w:right w:w="115" w:type="dxa"/>
        </w:tblCellMar>
        <w:tblLook w:val="04A0" w:firstRow="1" w:lastRow="0" w:firstColumn="1" w:lastColumn="0" w:noHBand="0" w:noVBand="1"/>
      </w:tblPr>
      <w:tblGrid>
        <w:gridCol w:w="7329"/>
      </w:tblGrid>
      <w:tr w:rsidR="00AE103C" w:rsidRPr="005B0796" w:rsidTr="008C557E">
        <w:trPr>
          <w:cantSplit/>
        </w:trPr>
        <w:tc>
          <w:tcPr>
            <w:tcW w:w="7315" w:type="dxa"/>
          </w:tcPr>
          <w:p w:rsidR="00AE103C" w:rsidRPr="005B0796" w:rsidRDefault="00AE103C" w:rsidP="0099117C">
            <w:r w:rsidRPr="005B0796">
              <w:rPr>
                <w:rFonts w:asciiTheme="minorHAnsi" w:hAnsiTheme="minorHAnsi"/>
                <w:noProof/>
                <w:lang w:eastAsia="en-AU"/>
              </w:rPr>
              <w:drawing>
                <wp:inline distT="0" distB="0" distL="0" distR="0" wp14:anchorId="29D4CAC8" wp14:editId="63742881">
                  <wp:extent cx="4572000" cy="2743200"/>
                  <wp:effectExtent l="0" t="0" r="0" b="0"/>
                  <wp:docPr id="94" name="Chart 94" descr="Figure 6.4 Estimated proportions for frequency of alcohol consumption in Transitioned ADF compared to the Australian Community in the las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c>
      </w:tr>
    </w:tbl>
    <w:p w:rsidR="00AE103C" w:rsidRPr="005B0796" w:rsidRDefault="00AE103C" w:rsidP="008C557E">
      <w:pPr>
        <w:pStyle w:val="Heading3"/>
      </w:pPr>
      <w:bookmarkStart w:id="1246" w:name="_Toc487011249"/>
      <w:bookmarkStart w:id="1247" w:name="_Toc493663144"/>
      <w:bookmarkStart w:id="1248" w:name="_Toc494449769"/>
      <w:bookmarkStart w:id="1249" w:name="_Toc511900351"/>
      <w:r w:rsidRPr="005B0796">
        <w:t>Maximum number of standard alcoholic drinks consumed on a single occasion in the last 12 months in the Transitioned ADF compared to the Australian Community</w:t>
      </w:r>
      <w:bookmarkEnd w:id="1246"/>
      <w:bookmarkEnd w:id="1247"/>
      <w:bookmarkEnd w:id="1248"/>
      <w:bookmarkEnd w:id="1249"/>
    </w:p>
    <w:p w:rsidR="00AE103C" w:rsidRPr="005B0796" w:rsidRDefault="00AE103C" w:rsidP="008C557E">
      <w:r w:rsidRPr="005B0796">
        <w:t xml:space="preserve">Table 6.5 and Figure 6.5 examine the maximum number of standard drinks consumed on a single occasion in the past 12 months in the Transitioned ADF and the Australian Community. Overall, members of the Australian Community drank more standard drinks on a single occasion in the previous 12 months than members of the Transitioned ADF. Additionally, a significantly higher proportion of the Australian Community (48.3%) drank seven or more standard drinks on a single occasion than the Transitioned ADF (33.2%). Members of the Australian </w:t>
      </w:r>
      <w:r w:rsidR="00445732" w:rsidRPr="005B0796">
        <w:t xml:space="preserve">Community </w:t>
      </w:r>
      <w:r w:rsidRPr="005B0796">
        <w:t xml:space="preserve">were significantly less likely than members of the Transitioned ADF to drink five or six standard drinks per day. </w:t>
      </w:r>
    </w:p>
    <w:p w:rsidR="00AE103C" w:rsidRPr="005B0796" w:rsidRDefault="008C557E" w:rsidP="008C557E">
      <w:pPr>
        <w:pStyle w:val="TableName"/>
      </w:pPr>
      <w:bookmarkStart w:id="1250" w:name="_Ref484695212"/>
      <w:bookmarkStart w:id="1251" w:name="_Toc487014333"/>
      <w:bookmarkStart w:id="1252" w:name="_Toc492995636"/>
      <w:bookmarkStart w:id="1253" w:name="_Toc511900485"/>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5</w:t>
      </w:r>
      <w:r w:rsidR="00D30A3C">
        <w:rPr>
          <w:noProof/>
        </w:rPr>
        <w:fldChar w:fldCharType="end"/>
      </w:r>
      <w:bookmarkEnd w:id="1250"/>
      <w:r w:rsidRPr="005B0796">
        <w:tab/>
        <w:t xml:space="preserve">Estimated proportions for maximum number of standard drinks consumed on a single occasion in the last 12 months in Transitioned ADF compared to </w:t>
      </w:r>
      <w:bookmarkEnd w:id="1251"/>
      <w:r w:rsidRPr="005B0796">
        <w:t>Australian Community</w:t>
      </w:r>
      <w:bookmarkEnd w:id="1252"/>
      <w:bookmarkEnd w:id="1253"/>
    </w:p>
    <w:tbl>
      <w:tblPr>
        <w:tblStyle w:val="TWRPTable"/>
        <w:tblW w:w="0" w:type="auto"/>
        <w:tblLook w:val="04A0" w:firstRow="1" w:lastRow="0" w:firstColumn="1" w:lastColumn="0" w:noHBand="0" w:noVBand="1"/>
        <w:tblDescription w:val="Table 6.5 Estimated proportions for maximum number of standard drinks consumed on a single occasion in the last 12 months in Transitioned ADF compared to Australian Community"/>
      </w:tblPr>
      <w:tblGrid>
        <w:gridCol w:w="558"/>
        <w:gridCol w:w="750"/>
        <w:gridCol w:w="751"/>
        <w:gridCol w:w="751"/>
        <w:gridCol w:w="751"/>
        <w:gridCol w:w="750"/>
        <w:gridCol w:w="751"/>
        <w:gridCol w:w="751"/>
        <w:gridCol w:w="685"/>
        <w:gridCol w:w="817"/>
      </w:tblGrid>
      <w:tr w:rsidR="008C557E" w:rsidRPr="005B0796" w:rsidTr="004D40C7">
        <w:trPr>
          <w:cnfStyle w:val="100000000000" w:firstRow="1" w:lastRow="0" w:firstColumn="0" w:lastColumn="0" w:oddVBand="0" w:evenVBand="0" w:oddHBand="0" w:evenHBand="0" w:firstRowFirstColumn="0" w:firstRowLastColumn="0" w:lastRowFirstColumn="0" w:lastRowLastColumn="0"/>
          <w:tblHeader/>
        </w:trPr>
        <w:tc>
          <w:tcPr>
            <w:tcW w:w="558" w:type="dxa"/>
            <w:vMerge w:val="restart"/>
          </w:tcPr>
          <w:p w:rsidR="008C557E" w:rsidRPr="005B0796" w:rsidRDefault="008C557E" w:rsidP="008C557E">
            <w:pPr>
              <w:pStyle w:val="TableText"/>
            </w:pPr>
          </w:p>
        </w:tc>
        <w:tc>
          <w:tcPr>
            <w:tcW w:w="2252" w:type="dxa"/>
            <w:gridSpan w:val="3"/>
          </w:tcPr>
          <w:p w:rsidR="008C557E" w:rsidRPr="005B0796" w:rsidRDefault="008C557E" w:rsidP="008C557E">
            <w:pPr>
              <w:pStyle w:val="TableText"/>
              <w:jc w:val="center"/>
              <w:rPr>
                <w:lang w:eastAsia="en-AU"/>
              </w:rPr>
            </w:pPr>
            <w:r w:rsidRPr="005B0796">
              <w:rPr>
                <w:bCs/>
                <w:lang w:eastAsia="en-AU"/>
              </w:rPr>
              <w:t>Transitioned ADF</w:t>
            </w:r>
            <w:r w:rsidRPr="005B0796">
              <w:rPr>
                <w:bCs/>
                <w:lang w:eastAsia="en-AU"/>
              </w:rPr>
              <w:br/>
            </w:r>
            <w:r w:rsidRPr="005B0796">
              <w:rPr>
                <w:lang w:eastAsia="en-AU"/>
              </w:rPr>
              <w:t>(n = 24,932)</w:t>
            </w:r>
          </w:p>
        </w:tc>
        <w:tc>
          <w:tcPr>
            <w:tcW w:w="2252" w:type="dxa"/>
            <w:gridSpan w:val="3"/>
          </w:tcPr>
          <w:p w:rsidR="008C557E" w:rsidRPr="005B0796" w:rsidRDefault="008C557E" w:rsidP="008C557E">
            <w:pPr>
              <w:pStyle w:val="TableText"/>
              <w:jc w:val="center"/>
              <w:rPr>
                <w:lang w:eastAsia="en-AU"/>
              </w:rPr>
            </w:pPr>
            <w:r w:rsidRPr="005B0796">
              <w:rPr>
                <w:bCs/>
                <w:lang w:eastAsia="en-AU"/>
              </w:rPr>
              <w:t>Australian Community</w:t>
            </w:r>
          </w:p>
        </w:tc>
        <w:tc>
          <w:tcPr>
            <w:tcW w:w="2253" w:type="dxa"/>
            <w:gridSpan w:val="3"/>
          </w:tcPr>
          <w:p w:rsidR="008C557E" w:rsidRPr="005B0796" w:rsidRDefault="008C557E" w:rsidP="008C557E">
            <w:pPr>
              <w:pStyle w:val="TableText"/>
              <w:jc w:val="center"/>
              <w:rPr>
                <w:bCs/>
                <w:lang w:eastAsia="en-AU"/>
              </w:rPr>
            </w:pPr>
            <w:r w:rsidRPr="005B0796">
              <w:rPr>
                <w:bCs/>
                <w:lang w:eastAsia="en-AU"/>
              </w:rPr>
              <w:t>Difference</w:t>
            </w:r>
          </w:p>
        </w:tc>
      </w:tr>
      <w:tr w:rsidR="004D40C7" w:rsidRPr="005B0796" w:rsidTr="004D40C7">
        <w:trPr>
          <w:cnfStyle w:val="100000000000" w:firstRow="1" w:lastRow="0" w:firstColumn="0" w:lastColumn="0" w:oddVBand="0" w:evenVBand="0" w:oddHBand="0" w:evenHBand="0" w:firstRowFirstColumn="0" w:firstRowLastColumn="0" w:lastRowFirstColumn="0" w:lastRowLastColumn="0"/>
          <w:tblHeader/>
        </w:trPr>
        <w:tc>
          <w:tcPr>
            <w:tcW w:w="558" w:type="dxa"/>
            <w:vMerge/>
          </w:tcPr>
          <w:p w:rsidR="008C557E" w:rsidRPr="005B0796" w:rsidRDefault="008C557E" w:rsidP="008C557E">
            <w:pPr>
              <w:pStyle w:val="TableText"/>
            </w:pPr>
          </w:p>
        </w:tc>
        <w:tc>
          <w:tcPr>
            <w:tcW w:w="750" w:type="dxa"/>
          </w:tcPr>
          <w:p w:rsidR="008C557E" w:rsidRPr="005B0796" w:rsidRDefault="008C557E" w:rsidP="008C557E">
            <w:pPr>
              <w:pStyle w:val="TableText"/>
              <w:jc w:val="right"/>
              <w:rPr>
                <w:lang w:eastAsia="en-AU"/>
              </w:rPr>
            </w:pPr>
            <w:r w:rsidRPr="005B0796">
              <w:rPr>
                <w:lang w:eastAsia="en-AU"/>
              </w:rPr>
              <w:t>%</w:t>
            </w:r>
          </w:p>
        </w:tc>
        <w:tc>
          <w:tcPr>
            <w:tcW w:w="751" w:type="dxa"/>
          </w:tcPr>
          <w:p w:rsidR="008C557E" w:rsidRPr="005B0796" w:rsidRDefault="008C557E" w:rsidP="008C557E">
            <w:pPr>
              <w:pStyle w:val="TableText"/>
              <w:jc w:val="right"/>
              <w:rPr>
                <w:lang w:eastAsia="en-AU"/>
              </w:rPr>
            </w:pPr>
            <w:r w:rsidRPr="005B0796">
              <w:rPr>
                <w:lang w:eastAsia="en-AU"/>
              </w:rPr>
              <w:t>SE</w:t>
            </w:r>
          </w:p>
        </w:tc>
        <w:tc>
          <w:tcPr>
            <w:tcW w:w="751" w:type="dxa"/>
          </w:tcPr>
          <w:p w:rsidR="008C557E" w:rsidRPr="005B0796" w:rsidRDefault="008C557E" w:rsidP="008C557E">
            <w:pPr>
              <w:pStyle w:val="TableText"/>
              <w:jc w:val="right"/>
              <w:rPr>
                <w:lang w:eastAsia="en-AU"/>
              </w:rPr>
            </w:pPr>
            <w:r w:rsidRPr="005B0796">
              <w:rPr>
                <w:lang w:eastAsia="en-AU"/>
              </w:rPr>
              <w:t>95% CI</w:t>
            </w:r>
          </w:p>
        </w:tc>
        <w:tc>
          <w:tcPr>
            <w:tcW w:w="751" w:type="dxa"/>
          </w:tcPr>
          <w:p w:rsidR="008C557E" w:rsidRPr="005B0796" w:rsidRDefault="008C557E" w:rsidP="008C557E">
            <w:pPr>
              <w:pStyle w:val="TableText"/>
              <w:jc w:val="right"/>
              <w:rPr>
                <w:lang w:eastAsia="en-AU"/>
              </w:rPr>
            </w:pPr>
            <w:r w:rsidRPr="005B0796">
              <w:rPr>
                <w:lang w:eastAsia="en-AU"/>
              </w:rPr>
              <w:t>%</w:t>
            </w:r>
          </w:p>
        </w:tc>
        <w:tc>
          <w:tcPr>
            <w:tcW w:w="750" w:type="dxa"/>
          </w:tcPr>
          <w:p w:rsidR="008C557E" w:rsidRPr="005B0796" w:rsidRDefault="008C557E" w:rsidP="008C557E">
            <w:pPr>
              <w:pStyle w:val="TableText"/>
              <w:jc w:val="right"/>
              <w:rPr>
                <w:lang w:eastAsia="en-AU"/>
              </w:rPr>
            </w:pPr>
            <w:r w:rsidRPr="005B0796">
              <w:rPr>
                <w:lang w:eastAsia="en-AU"/>
              </w:rPr>
              <w:t>SE</w:t>
            </w:r>
          </w:p>
        </w:tc>
        <w:tc>
          <w:tcPr>
            <w:tcW w:w="751" w:type="dxa"/>
          </w:tcPr>
          <w:p w:rsidR="008C557E" w:rsidRPr="005B0796" w:rsidRDefault="008C557E" w:rsidP="008C557E">
            <w:pPr>
              <w:pStyle w:val="TableText"/>
              <w:jc w:val="right"/>
              <w:rPr>
                <w:lang w:eastAsia="en-AU"/>
              </w:rPr>
            </w:pPr>
            <w:r w:rsidRPr="005B0796">
              <w:rPr>
                <w:lang w:eastAsia="en-AU"/>
              </w:rPr>
              <w:t>95% CI</w:t>
            </w:r>
          </w:p>
        </w:tc>
        <w:tc>
          <w:tcPr>
            <w:tcW w:w="751" w:type="dxa"/>
          </w:tcPr>
          <w:p w:rsidR="008C557E" w:rsidRPr="005B0796" w:rsidRDefault="008C557E" w:rsidP="008C557E">
            <w:pPr>
              <w:pStyle w:val="TableText"/>
              <w:jc w:val="right"/>
              <w:rPr>
                <w:lang w:eastAsia="en-AU"/>
              </w:rPr>
            </w:pPr>
            <w:r w:rsidRPr="005B0796">
              <w:rPr>
                <w:lang w:eastAsia="en-AU"/>
              </w:rPr>
              <w:t>%</w:t>
            </w:r>
          </w:p>
        </w:tc>
        <w:tc>
          <w:tcPr>
            <w:tcW w:w="685" w:type="dxa"/>
          </w:tcPr>
          <w:p w:rsidR="008C557E" w:rsidRPr="005B0796" w:rsidRDefault="008C557E" w:rsidP="008C557E">
            <w:pPr>
              <w:pStyle w:val="TableText"/>
              <w:jc w:val="right"/>
              <w:rPr>
                <w:lang w:eastAsia="en-AU"/>
              </w:rPr>
            </w:pPr>
            <w:r w:rsidRPr="005B0796">
              <w:rPr>
                <w:lang w:eastAsia="en-AU"/>
              </w:rPr>
              <w:t>SE</w:t>
            </w:r>
          </w:p>
        </w:tc>
        <w:tc>
          <w:tcPr>
            <w:tcW w:w="817" w:type="dxa"/>
          </w:tcPr>
          <w:p w:rsidR="008C557E" w:rsidRPr="005B0796" w:rsidRDefault="008C557E" w:rsidP="008C557E">
            <w:pPr>
              <w:pStyle w:val="TableText"/>
              <w:jc w:val="right"/>
              <w:rPr>
                <w:lang w:eastAsia="en-AU"/>
              </w:rPr>
            </w:pPr>
            <w:r w:rsidRPr="005B0796">
              <w:rPr>
                <w:lang w:eastAsia="en-AU"/>
              </w:rPr>
              <w:t>95% CI</w:t>
            </w:r>
          </w:p>
        </w:tc>
      </w:tr>
      <w:tr w:rsidR="004D40C7" w:rsidRPr="005B0796" w:rsidTr="004D40C7">
        <w:trPr>
          <w:cnfStyle w:val="000000100000" w:firstRow="0" w:lastRow="0" w:firstColumn="0" w:lastColumn="0" w:oddVBand="0" w:evenVBand="0" w:oddHBand="1" w:evenHBand="0" w:firstRowFirstColumn="0" w:firstRowLastColumn="0" w:lastRowFirstColumn="0" w:lastRowLastColumn="0"/>
        </w:trPr>
        <w:tc>
          <w:tcPr>
            <w:tcW w:w="558" w:type="dxa"/>
          </w:tcPr>
          <w:p w:rsidR="008C557E" w:rsidRPr="005B0796" w:rsidRDefault="008C557E" w:rsidP="008C557E">
            <w:pPr>
              <w:pStyle w:val="TableText"/>
              <w:rPr>
                <w:rFonts w:eastAsia="GillSans"/>
                <w:lang w:eastAsia="en-AU"/>
              </w:rPr>
            </w:pPr>
            <w:r w:rsidRPr="005B0796">
              <w:rPr>
                <w:lang w:eastAsia="en-AU"/>
              </w:rPr>
              <w:t>11 +</w:t>
            </w:r>
          </w:p>
        </w:tc>
        <w:tc>
          <w:tcPr>
            <w:tcW w:w="750" w:type="dxa"/>
          </w:tcPr>
          <w:p w:rsidR="008C557E" w:rsidRPr="005B0796" w:rsidRDefault="008C557E" w:rsidP="008C557E">
            <w:pPr>
              <w:pStyle w:val="TableText"/>
              <w:jc w:val="right"/>
              <w:rPr>
                <w:lang w:eastAsia="en-AU"/>
              </w:rPr>
            </w:pPr>
            <w:r w:rsidRPr="005B0796">
              <w:rPr>
                <w:lang w:eastAsia="en-AU"/>
              </w:rPr>
              <w:t>21.6</w:t>
            </w:r>
          </w:p>
        </w:tc>
        <w:tc>
          <w:tcPr>
            <w:tcW w:w="751" w:type="dxa"/>
          </w:tcPr>
          <w:p w:rsidR="008C557E" w:rsidRPr="005B0796" w:rsidRDefault="008C557E" w:rsidP="008C557E">
            <w:pPr>
              <w:pStyle w:val="TableText"/>
              <w:jc w:val="right"/>
              <w:rPr>
                <w:lang w:eastAsia="en-AU"/>
              </w:rPr>
            </w:pPr>
            <w:r w:rsidRPr="005B0796">
              <w:rPr>
                <w:lang w:eastAsia="en-AU"/>
              </w:rPr>
              <w:t>0.9</w:t>
            </w:r>
          </w:p>
        </w:tc>
        <w:tc>
          <w:tcPr>
            <w:tcW w:w="751" w:type="dxa"/>
          </w:tcPr>
          <w:p w:rsidR="008C557E" w:rsidRPr="005B0796" w:rsidRDefault="008C557E" w:rsidP="008C557E">
            <w:pPr>
              <w:pStyle w:val="TableText"/>
              <w:jc w:val="right"/>
              <w:rPr>
                <w:lang w:eastAsia="en-AU"/>
              </w:rPr>
            </w:pPr>
            <w:r w:rsidRPr="005B0796">
              <w:rPr>
                <w:lang w:eastAsia="en-AU"/>
              </w:rPr>
              <w:t>19.9, 23.3</w:t>
            </w:r>
          </w:p>
        </w:tc>
        <w:tc>
          <w:tcPr>
            <w:tcW w:w="751" w:type="dxa"/>
          </w:tcPr>
          <w:p w:rsidR="008C557E" w:rsidRPr="005B0796" w:rsidRDefault="008C557E" w:rsidP="008C557E">
            <w:pPr>
              <w:pStyle w:val="TableText"/>
              <w:jc w:val="right"/>
              <w:rPr>
                <w:lang w:eastAsia="en-AU"/>
              </w:rPr>
            </w:pPr>
            <w:r w:rsidRPr="005B0796">
              <w:rPr>
                <w:lang w:eastAsia="en-AU"/>
              </w:rPr>
              <w:t>34.2</w:t>
            </w:r>
          </w:p>
        </w:tc>
        <w:tc>
          <w:tcPr>
            <w:tcW w:w="750" w:type="dxa"/>
          </w:tcPr>
          <w:p w:rsidR="008C557E" w:rsidRPr="005B0796" w:rsidRDefault="008C557E" w:rsidP="008C557E">
            <w:pPr>
              <w:pStyle w:val="TableText"/>
              <w:jc w:val="right"/>
              <w:rPr>
                <w:lang w:eastAsia="en-AU"/>
              </w:rPr>
            </w:pPr>
            <w:r w:rsidRPr="005B0796">
              <w:rPr>
                <w:lang w:eastAsia="en-AU"/>
              </w:rPr>
              <w:t>1.0</w:t>
            </w:r>
          </w:p>
        </w:tc>
        <w:tc>
          <w:tcPr>
            <w:tcW w:w="751" w:type="dxa"/>
          </w:tcPr>
          <w:p w:rsidR="008C557E" w:rsidRPr="005B0796" w:rsidRDefault="008C557E" w:rsidP="008C557E">
            <w:pPr>
              <w:pStyle w:val="TableText"/>
              <w:jc w:val="right"/>
              <w:rPr>
                <w:lang w:eastAsia="en-AU"/>
              </w:rPr>
            </w:pPr>
            <w:r w:rsidRPr="005B0796">
              <w:rPr>
                <w:lang w:eastAsia="en-AU"/>
              </w:rPr>
              <w:t>32.3, 36.1</w:t>
            </w:r>
          </w:p>
        </w:tc>
        <w:tc>
          <w:tcPr>
            <w:tcW w:w="751" w:type="dxa"/>
          </w:tcPr>
          <w:p w:rsidR="008C557E" w:rsidRPr="005B0796" w:rsidRDefault="008C557E" w:rsidP="008C557E">
            <w:pPr>
              <w:pStyle w:val="TableText"/>
              <w:jc w:val="right"/>
              <w:rPr>
                <w:lang w:eastAsia="en-AU"/>
              </w:rPr>
            </w:pPr>
            <w:r w:rsidRPr="005B0796">
              <w:rPr>
                <w:lang w:eastAsia="en-AU"/>
              </w:rPr>
              <w:t>-12.6</w:t>
            </w:r>
          </w:p>
        </w:tc>
        <w:tc>
          <w:tcPr>
            <w:tcW w:w="685" w:type="dxa"/>
          </w:tcPr>
          <w:p w:rsidR="008C557E" w:rsidRPr="005B0796" w:rsidRDefault="008C557E" w:rsidP="008C557E">
            <w:pPr>
              <w:pStyle w:val="TableText"/>
              <w:jc w:val="right"/>
              <w:rPr>
                <w:lang w:eastAsia="en-AU"/>
              </w:rPr>
            </w:pPr>
            <w:r w:rsidRPr="005B0796">
              <w:rPr>
                <w:lang w:eastAsia="en-AU"/>
              </w:rPr>
              <w:t>1.3</w:t>
            </w:r>
          </w:p>
        </w:tc>
        <w:tc>
          <w:tcPr>
            <w:tcW w:w="817" w:type="dxa"/>
          </w:tcPr>
          <w:p w:rsidR="008C557E" w:rsidRPr="005B0796" w:rsidRDefault="008C557E" w:rsidP="008C557E">
            <w:pPr>
              <w:pStyle w:val="TableText"/>
              <w:jc w:val="right"/>
              <w:rPr>
                <w:lang w:eastAsia="en-AU"/>
              </w:rPr>
            </w:pPr>
            <w:r w:rsidRPr="005B0796">
              <w:rPr>
                <w:lang w:eastAsia="en-AU"/>
              </w:rPr>
              <w:t>-15.2, 10.1</w:t>
            </w:r>
          </w:p>
        </w:tc>
      </w:tr>
      <w:tr w:rsidR="004D40C7" w:rsidRPr="005B0796" w:rsidTr="004D40C7">
        <w:tc>
          <w:tcPr>
            <w:tcW w:w="558" w:type="dxa"/>
          </w:tcPr>
          <w:p w:rsidR="008C557E" w:rsidRPr="005B0796" w:rsidRDefault="008C557E" w:rsidP="008C557E">
            <w:pPr>
              <w:pStyle w:val="TableText"/>
              <w:rPr>
                <w:rFonts w:eastAsia="GillSans"/>
                <w:lang w:eastAsia="en-AU"/>
              </w:rPr>
            </w:pPr>
            <w:r w:rsidRPr="005B0796">
              <w:rPr>
                <w:lang w:eastAsia="en-AU"/>
              </w:rPr>
              <w:t>7–10</w:t>
            </w:r>
          </w:p>
        </w:tc>
        <w:tc>
          <w:tcPr>
            <w:tcW w:w="750" w:type="dxa"/>
          </w:tcPr>
          <w:p w:rsidR="008C557E" w:rsidRPr="005B0796" w:rsidRDefault="008C557E" w:rsidP="008C557E">
            <w:pPr>
              <w:pStyle w:val="TableText"/>
              <w:jc w:val="right"/>
              <w:rPr>
                <w:lang w:eastAsia="en-AU"/>
              </w:rPr>
            </w:pPr>
            <w:r w:rsidRPr="005B0796">
              <w:rPr>
                <w:lang w:eastAsia="en-AU"/>
              </w:rPr>
              <w:t>11.6</w:t>
            </w:r>
          </w:p>
        </w:tc>
        <w:tc>
          <w:tcPr>
            <w:tcW w:w="751" w:type="dxa"/>
          </w:tcPr>
          <w:p w:rsidR="008C557E" w:rsidRPr="005B0796" w:rsidRDefault="008C557E" w:rsidP="008C557E">
            <w:pPr>
              <w:pStyle w:val="TableText"/>
              <w:jc w:val="right"/>
              <w:rPr>
                <w:lang w:eastAsia="en-AU"/>
              </w:rPr>
            </w:pPr>
            <w:r w:rsidRPr="005B0796">
              <w:rPr>
                <w:lang w:eastAsia="en-AU"/>
              </w:rPr>
              <w:t>0.6</w:t>
            </w:r>
          </w:p>
        </w:tc>
        <w:tc>
          <w:tcPr>
            <w:tcW w:w="751" w:type="dxa"/>
          </w:tcPr>
          <w:p w:rsidR="008C557E" w:rsidRPr="005B0796" w:rsidRDefault="008C557E" w:rsidP="008C557E">
            <w:pPr>
              <w:pStyle w:val="TableText"/>
              <w:jc w:val="right"/>
              <w:rPr>
                <w:lang w:eastAsia="en-AU"/>
              </w:rPr>
            </w:pPr>
            <w:r w:rsidRPr="005B0796">
              <w:rPr>
                <w:lang w:eastAsia="en-AU"/>
              </w:rPr>
              <w:t>10.4, 12.9</w:t>
            </w:r>
          </w:p>
        </w:tc>
        <w:tc>
          <w:tcPr>
            <w:tcW w:w="751" w:type="dxa"/>
          </w:tcPr>
          <w:p w:rsidR="008C557E" w:rsidRPr="005B0796" w:rsidRDefault="008C557E" w:rsidP="008C557E">
            <w:pPr>
              <w:pStyle w:val="TableText"/>
              <w:jc w:val="right"/>
              <w:rPr>
                <w:lang w:eastAsia="en-AU"/>
              </w:rPr>
            </w:pPr>
            <w:r w:rsidRPr="005B0796">
              <w:rPr>
                <w:lang w:eastAsia="en-AU"/>
              </w:rPr>
              <w:t>14.1</w:t>
            </w:r>
          </w:p>
        </w:tc>
        <w:tc>
          <w:tcPr>
            <w:tcW w:w="750" w:type="dxa"/>
          </w:tcPr>
          <w:p w:rsidR="008C557E" w:rsidRPr="005B0796" w:rsidRDefault="008C557E" w:rsidP="008C557E">
            <w:pPr>
              <w:pStyle w:val="TableText"/>
              <w:jc w:val="right"/>
              <w:rPr>
                <w:lang w:eastAsia="en-AU"/>
              </w:rPr>
            </w:pPr>
            <w:r w:rsidRPr="005B0796">
              <w:rPr>
                <w:lang w:eastAsia="en-AU"/>
              </w:rPr>
              <w:t>0.7</w:t>
            </w:r>
          </w:p>
        </w:tc>
        <w:tc>
          <w:tcPr>
            <w:tcW w:w="751" w:type="dxa"/>
          </w:tcPr>
          <w:p w:rsidR="008C557E" w:rsidRPr="005B0796" w:rsidRDefault="008C557E" w:rsidP="008C557E">
            <w:pPr>
              <w:pStyle w:val="TableText"/>
              <w:jc w:val="right"/>
              <w:rPr>
                <w:lang w:eastAsia="en-AU"/>
              </w:rPr>
            </w:pPr>
            <w:r w:rsidRPr="005B0796">
              <w:rPr>
                <w:lang w:eastAsia="en-AU"/>
              </w:rPr>
              <w:t>12.7, 15.4</w:t>
            </w:r>
          </w:p>
        </w:tc>
        <w:tc>
          <w:tcPr>
            <w:tcW w:w="751" w:type="dxa"/>
          </w:tcPr>
          <w:p w:rsidR="008C557E" w:rsidRPr="005B0796" w:rsidRDefault="008C557E" w:rsidP="008C557E">
            <w:pPr>
              <w:pStyle w:val="TableText"/>
              <w:jc w:val="right"/>
              <w:rPr>
                <w:lang w:eastAsia="en-AU"/>
              </w:rPr>
            </w:pPr>
            <w:r w:rsidRPr="005B0796">
              <w:rPr>
                <w:lang w:eastAsia="en-AU"/>
              </w:rPr>
              <w:t>-2.4</w:t>
            </w:r>
          </w:p>
        </w:tc>
        <w:tc>
          <w:tcPr>
            <w:tcW w:w="685" w:type="dxa"/>
          </w:tcPr>
          <w:p w:rsidR="008C557E" w:rsidRPr="005B0796" w:rsidRDefault="008C557E" w:rsidP="008C557E">
            <w:pPr>
              <w:pStyle w:val="TableText"/>
              <w:jc w:val="right"/>
              <w:rPr>
                <w:lang w:eastAsia="en-AU"/>
              </w:rPr>
            </w:pPr>
            <w:r w:rsidRPr="005B0796">
              <w:rPr>
                <w:lang w:eastAsia="en-AU"/>
              </w:rPr>
              <w:t>0.9</w:t>
            </w:r>
          </w:p>
        </w:tc>
        <w:tc>
          <w:tcPr>
            <w:tcW w:w="817" w:type="dxa"/>
          </w:tcPr>
          <w:p w:rsidR="008C557E" w:rsidRPr="005B0796" w:rsidRDefault="008C557E" w:rsidP="008C557E">
            <w:pPr>
              <w:pStyle w:val="TableText"/>
              <w:jc w:val="right"/>
              <w:rPr>
                <w:lang w:eastAsia="en-AU"/>
              </w:rPr>
            </w:pPr>
            <w:r w:rsidRPr="005B0796">
              <w:rPr>
                <w:lang w:eastAsia="en-AU"/>
              </w:rPr>
              <w:t>-4.3, -0.6</w:t>
            </w:r>
          </w:p>
        </w:tc>
      </w:tr>
      <w:tr w:rsidR="004D40C7" w:rsidRPr="005B0796" w:rsidTr="004D40C7">
        <w:trPr>
          <w:cnfStyle w:val="000000100000" w:firstRow="0" w:lastRow="0" w:firstColumn="0" w:lastColumn="0" w:oddVBand="0" w:evenVBand="0" w:oddHBand="1" w:evenHBand="0" w:firstRowFirstColumn="0" w:firstRowLastColumn="0" w:lastRowFirstColumn="0" w:lastRowLastColumn="0"/>
        </w:trPr>
        <w:tc>
          <w:tcPr>
            <w:tcW w:w="558" w:type="dxa"/>
          </w:tcPr>
          <w:p w:rsidR="008C557E" w:rsidRPr="005B0796" w:rsidRDefault="008C557E" w:rsidP="008C557E">
            <w:pPr>
              <w:pStyle w:val="TableText"/>
              <w:rPr>
                <w:rFonts w:eastAsia="GillSans"/>
                <w:lang w:eastAsia="en-AU"/>
              </w:rPr>
            </w:pPr>
            <w:r w:rsidRPr="005B0796">
              <w:rPr>
                <w:lang w:eastAsia="en-AU"/>
              </w:rPr>
              <w:t xml:space="preserve">5–6 </w:t>
            </w:r>
          </w:p>
        </w:tc>
        <w:tc>
          <w:tcPr>
            <w:tcW w:w="750" w:type="dxa"/>
          </w:tcPr>
          <w:p w:rsidR="008C557E" w:rsidRPr="005B0796" w:rsidRDefault="008C557E" w:rsidP="008C557E">
            <w:pPr>
              <w:pStyle w:val="TableText"/>
              <w:jc w:val="right"/>
              <w:rPr>
                <w:lang w:eastAsia="en-AU"/>
              </w:rPr>
            </w:pPr>
            <w:r w:rsidRPr="005B0796">
              <w:rPr>
                <w:lang w:eastAsia="en-AU"/>
              </w:rPr>
              <w:t>12.8</w:t>
            </w:r>
          </w:p>
        </w:tc>
        <w:tc>
          <w:tcPr>
            <w:tcW w:w="751" w:type="dxa"/>
          </w:tcPr>
          <w:p w:rsidR="008C557E" w:rsidRPr="005B0796" w:rsidRDefault="008C557E" w:rsidP="008C557E">
            <w:pPr>
              <w:pStyle w:val="TableText"/>
              <w:jc w:val="right"/>
              <w:rPr>
                <w:lang w:eastAsia="en-AU"/>
              </w:rPr>
            </w:pPr>
            <w:r w:rsidRPr="005B0796">
              <w:rPr>
                <w:lang w:eastAsia="en-AU"/>
              </w:rPr>
              <w:t>0.6</w:t>
            </w:r>
          </w:p>
        </w:tc>
        <w:tc>
          <w:tcPr>
            <w:tcW w:w="751" w:type="dxa"/>
          </w:tcPr>
          <w:p w:rsidR="008C557E" w:rsidRPr="005B0796" w:rsidRDefault="008C557E" w:rsidP="008C557E">
            <w:pPr>
              <w:pStyle w:val="TableText"/>
              <w:jc w:val="right"/>
              <w:rPr>
                <w:lang w:eastAsia="en-AU"/>
              </w:rPr>
            </w:pPr>
            <w:r w:rsidRPr="005B0796">
              <w:rPr>
                <w:lang w:eastAsia="en-AU"/>
              </w:rPr>
              <w:t>11.6, 14.7</w:t>
            </w:r>
          </w:p>
        </w:tc>
        <w:tc>
          <w:tcPr>
            <w:tcW w:w="751" w:type="dxa"/>
          </w:tcPr>
          <w:p w:rsidR="008C557E" w:rsidRPr="005B0796" w:rsidRDefault="008C557E" w:rsidP="008C557E">
            <w:pPr>
              <w:pStyle w:val="TableText"/>
              <w:jc w:val="right"/>
              <w:rPr>
                <w:lang w:eastAsia="en-AU"/>
              </w:rPr>
            </w:pPr>
            <w:r w:rsidRPr="005B0796">
              <w:rPr>
                <w:lang w:eastAsia="en-AU"/>
              </w:rPr>
              <w:t>10.5</w:t>
            </w:r>
          </w:p>
        </w:tc>
        <w:tc>
          <w:tcPr>
            <w:tcW w:w="750" w:type="dxa"/>
          </w:tcPr>
          <w:p w:rsidR="008C557E" w:rsidRPr="005B0796" w:rsidRDefault="008C557E" w:rsidP="008C557E">
            <w:pPr>
              <w:pStyle w:val="TableText"/>
              <w:jc w:val="right"/>
              <w:rPr>
                <w:lang w:eastAsia="en-AU"/>
              </w:rPr>
            </w:pPr>
            <w:r w:rsidRPr="005B0796">
              <w:rPr>
                <w:lang w:eastAsia="en-AU"/>
              </w:rPr>
              <w:t>0.6</w:t>
            </w:r>
          </w:p>
        </w:tc>
        <w:tc>
          <w:tcPr>
            <w:tcW w:w="751" w:type="dxa"/>
          </w:tcPr>
          <w:p w:rsidR="008C557E" w:rsidRPr="005B0796" w:rsidRDefault="008C557E" w:rsidP="008C557E">
            <w:pPr>
              <w:pStyle w:val="TableText"/>
              <w:jc w:val="right"/>
              <w:rPr>
                <w:lang w:eastAsia="en-AU"/>
              </w:rPr>
            </w:pPr>
            <w:r w:rsidRPr="005B0796">
              <w:rPr>
                <w:lang w:eastAsia="en-AU"/>
              </w:rPr>
              <w:t>9.4, 11.6</w:t>
            </w:r>
          </w:p>
        </w:tc>
        <w:tc>
          <w:tcPr>
            <w:tcW w:w="751" w:type="dxa"/>
          </w:tcPr>
          <w:p w:rsidR="008C557E" w:rsidRPr="005B0796" w:rsidRDefault="008C557E" w:rsidP="008C557E">
            <w:pPr>
              <w:pStyle w:val="TableText"/>
              <w:jc w:val="right"/>
              <w:rPr>
                <w:lang w:eastAsia="en-AU"/>
              </w:rPr>
            </w:pPr>
            <w:r w:rsidRPr="005B0796">
              <w:rPr>
                <w:lang w:eastAsia="en-AU"/>
              </w:rPr>
              <w:t>2.3</w:t>
            </w:r>
          </w:p>
        </w:tc>
        <w:tc>
          <w:tcPr>
            <w:tcW w:w="685" w:type="dxa"/>
          </w:tcPr>
          <w:p w:rsidR="008C557E" w:rsidRPr="005B0796" w:rsidRDefault="008C557E" w:rsidP="008C557E">
            <w:pPr>
              <w:pStyle w:val="TableText"/>
              <w:jc w:val="right"/>
              <w:rPr>
                <w:lang w:eastAsia="en-AU"/>
              </w:rPr>
            </w:pPr>
            <w:r w:rsidRPr="005B0796">
              <w:rPr>
                <w:lang w:eastAsia="en-AU"/>
              </w:rPr>
              <w:t>0.8</w:t>
            </w:r>
          </w:p>
        </w:tc>
        <w:tc>
          <w:tcPr>
            <w:tcW w:w="817" w:type="dxa"/>
          </w:tcPr>
          <w:p w:rsidR="008C557E" w:rsidRPr="005B0796" w:rsidRDefault="008C557E" w:rsidP="008C557E">
            <w:pPr>
              <w:pStyle w:val="TableText"/>
              <w:jc w:val="right"/>
              <w:rPr>
                <w:lang w:eastAsia="en-AU"/>
              </w:rPr>
            </w:pPr>
            <w:r w:rsidRPr="005B0796">
              <w:rPr>
                <w:lang w:eastAsia="en-AU"/>
              </w:rPr>
              <w:t>0.6, 3.9</w:t>
            </w:r>
          </w:p>
        </w:tc>
      </w:tr>
      <w:tr w:rsidR="004D40C7" w:rsidRPr="005B0796" w:rsidTr="004D40C7">
        <w:tc>
          <w:tcPr>
            <w:tcW w:w="558" w:type="dxa"/>
          </w:tcPr>
          <w:p w:rsidR="008C557E" w:rsidRPr="005B0796" w:rsidRDefault="008C557E" w:rsidP="008C557E">
            <w:pPr>
              <w:pStyle w:val="TableText"/>
              <w:rPr>
                <w:lang w:eastAsia="en-AU"/>
              </w:rPr>
            </w:pPr>
            <w:r w:rsidRPr="005B0796">
              <w:rPr>
                <w:lang w:eastAsia="en-AU"/>
              </w:rPr>
              <w:t xml:space="preserve">3–4 </w:t>
            </w:r>
          </w:p>
        </w:tc>
        <w:tc>
          <w:tcPr>
            <w:tcW w:w="750" w:type="dxa"/>
          </w:tcPr>
          <w:p w:rsidR="008C557E" w:rsidRPr="005B0796" w:rsidRDefault="008C557E" w:rsidP="008C557E">
            <w:pPr>
              <w:pStyle w:val="TableText"/>
              <w:jc w:val="right"/>
              <w:rPr>
                <w:lang w:eastAsia="en-AU"/>
              </w:rPr>
            </w:pPr>
            <w:r w:rsidRPr="005B0796">
              <w:rPr>
                <w:lang w:eastAsia="en-AU"/>
              </w:rPr>
              <w:t>11.3</w:t>
            </w:r>
          </w:p>
        </w:tc>
        <w:tc>
          <w:tcPr>
            <w:tcW w:w="751" w:type="dxa"/>
          </w:tcPr>
          <w:p w:rsidR="008C557E" w:rsidRPr="005B0796" w:rsidRDefault="008C557E" w:rsidP="008C557E">
            <w:pPr>
              <w:pStyle w:val="TableText"/>
              <w:jc w:val="right"/>
              <w:rPr>
                <w:lang w:eastAsia="en-AU"/>
              </w:rPr>
            </w:pPr>
            <w:r w:rsidRPr="005B0796">
              <w:rPr>
                <w:lang w:eastAsia="en-AU"/>
              </w:rPr>
              <w:t>0.6</w:t>
            </w:r>
          </w:p>
        </w:tc>
        <w:tc>
          <w:tcPr>
            <w:tcW w:w="751" w:type="dxa"/>
          </w:tcPr>
          <w:p w:rsidR="008C557E" w:rsidRPr="005B0796" w:rsidRDefault="008C557E" w:rsidP="008C557E">
            <w:pPr>
              <w:pStyle w:val="TableText"/>
              <w:jc w:val="right"/>
              <w:rPr>
                <w:lang w:eastAsia="en-AU"/>
              </w:rPr>
            </w:pPr>
            <w:r w:rsidRPr="005B0796">
              <w:rPr>
                <w:lang w:eastAsia="en-AU"/>
              </w:rPr>
              <w:t>10.2, 12.5</w:t>
            </w:r>
          </w:p>
        </w:tc>
        <w:tc>
          <w:tcPr>
            <w:tcW w:w="751" w:type="dxa"/>
          </w:tcPr>
          <w:p w:rsidR="008C557E" w:rsidRPr="005B0796" w:rsidRDefault="008C557E" w:rsidP="008C557E">
            <w:pPr>
              <w:pStyle w:val="TableText"/>
              <w:jc w:val="right"/>
              <w:rPr>
                <w:lang w:eastAsia="en-AU"/>
              </w:rPr>
            </w:pPr>
            <w:r w:rsidRPr="005B0796">
              <w:rPr>
                <w:lang w:eastAsia="en-AU"/>
              </w:rPr>
              <w:t>12.0</w:t>
            </w:r>
          </w:p>
        </w:tc>
        <w:tc>
          <w:tcPr>
            <w:tcW w:w="750" w:type="dxa"/>
          </w:tcPr>
          <w:p w:rsidR="008C557E" w:rsidRPr="005B0796" w:rsidRDefault="008C557E" w:rsidP="008C557E">
            <w:pPr>
              <w:pStyle w:val="TableText"/>
              <w:jc w:val="right"/>
              <w:rPr>
                <w:lang w:eastAsia="en-AU"/>
              </w:rPr>
            </w:pPr>
            <w:r w:rsidRPr="005B0796">
              <w:rPr>
                <w:lang w:eastAsia="en-AU"/>
              </w:rPr>
              <w:t>0.7</w:t>
            </w:r>
          </w:p>
        </w:tc>
        <w:tc>
          <w:tcPr>
            <w:tcW w:w="751" w:type="dxa"/>
          </w:tcPr>
          <w:p w:rsidR="008C557E" w:rsidRPr="005B0796" w:rsidRDefault="008C557E" w:rsidP="008C557E">
            <w:pPr>
              <w:pStyle w:val="TableText"/>
              <w:jc w:val="right"/>
              <w:rPr>
                <w:lang w:eastAsia="en-AU"/>
              </w:rPr>
            </w:pPr>
            <w:r w:rsidRPr="005B0796">
              <w:rPr>
                <w:lang w:eastAsia="en-AU"/>
              </w:rPr>
              <w:t>10.6, 12.5</w:t>
            </w:r>
          </w:p>
        </w:tc>
        <w:tc>
          <w:tcPr>
            <w:tcW w:w="751" w:type="dxa"/>
          </w:tcPr>
          <w:p w:rsidR="008C557E" w:rsidRPr="005B0796" w:rsidRDefault="008C557E" w:rsidP="008C557E">
            <w:pPr>
              <w:pStyle w:val="TableText"/>
              <w:jc w:val="right"/>
              <w:rPr>
                <w:lang w:eastAsia="en-AU"/>
              </w:rPr>
            </w:pPr>
            <w:r w:rsidRPr="005B0796">
              <w:rPr>
                <w:lang w:eastAsia="en-AU"/>
              </w:rPr>
              <w:t>-0.7</w:t>
            </w:r>
          </w:p>
        </w:tc>
        <w:tc>
          <w:tcPr>
            <w:tcW w:w="685" w:type="dxa"/>
          </w:tcPr>
          <w:p w:rsidR="008C557E" w:rsidRPr="005B0796" w:rsidRDefault="008C557E" w:rsidP="008C557E">
            <w:pPr>
              <w:pStyle w:val="TableText"/>
              <w:jc w:val="right"/>
              <w:rPr>
                <w:lang w:eastAsia="en-AU"/>
              </w:rPr>
            </w:pPr>
            <w:r w:rsidRPr="005B0796">
              <w:rPr>
                <w:lang w:eastAsia="en-AU"/>
              </w:rPr>
              <w:t>0.9</w:t>
            </w:r>
          </w:p>
        </w:tc>
        <w:tc>
          <w:tcPr>
            <w:tcW w:w="817" w:type="dxa"/>
          </w:tcPr>
          <w:p w:rsidR="008C557E" w:rsidRPr="005B0796" w:rsidRDefault="008C557E" w:rsidP="008C557E">
            <w:pPr>
              <w:pStyle w:val="TableText"/>
              <w:jc w:val="right"/>
              <w:rPr>
                <w:lang w:eastAsia="en-AU"/>
              </w:rPr>
            </w:pPr>
            <w:r w:rsidRPr="005B0796">
              <w:rPr>
                <w:lang w:eastAsia="en-AU"/>
              </w:rPr>
              <w:t>-2.6, 1.1</w:t>
            </w:r>
          </w:p>
        </w:tc>
      </w:tr>
      <w:tr w:rsidR="004D40C7" w:rsidRPr="005B0796" w:rsidTr="004D40C7">
        <w:trPr>
          <w:cnfStyle w:val="000000100000" w:firstRow="0" w:lastRow="0" w:firstColumn="0" w:lastColumn="0" w:oddVBand="0" w:evenVBand="0" w:oddHBand="1" w:evenHBand="0" w:firstRowFirstColumn="0" w:firstRowLastColumn="0" w:lastRowFirstColumn="0" w:lastRowLastColumn="0"/>
        </w:trPr>
        <w:tc>
          <w:tcPr>
            <w:tcW w:w="558" w:type="dxa"/>
          </w:tcPr>
          <w:p w:rsidR="008C557E" w:rsidRPr="005B0796" w:rsidRDefault="008C557E" w:rsidP="008C557E">
            <w:pPr>
              <w:pStyle w:val="TableText"/>
              <w:rPr>
                <w:lang w:eastAsia="en-AU"/>
              </w:rPr>
            </w:pPr>
            <w:r w:rsidRPr="005B0796">
              <w:rPr>
                <w:lang w:eastAsia="en-AU"/>
              </w:rPr>
              <w:t xml:space="preserve">1–2 </w:t>
            </w:r>
          </w:p>
        </w:tc>
        <w:tc>
          <w:tcPr>
            <w:tcW w:w="750" w:type="dxa"/>
          </w:tcPr>
          <w:p w:rsidR="008C557E" w:rsidRPr="005B0796" w:rsidRDefault="008C557E" w:rsidP="008C557E">
            <w:pPr>
              <w:pStyle w:val="TableText"/>
              <w:jc w:val="right"/>
              <w:rPr>
                <w:lang w:eastAsia="en-AU"/>
              </w:rPr>
            </w:pPr>
            <w:r w:rsidRPr="005B0796">
              <w:rPr>
                <w:lang w:eastAsia="en-AU"/>
              </w:rPr>
              <w:t>10.7</w:t>
            </w:r>
          </w:p>
        </w:tc>
        <w:tc>
          <w:tcPr>
            <w:tcW w:w="751" w:type="dxa"/>
          </w:tcPr>
          <w:p w:rsidR="008C557E" w:rsidRPr="005B0796" w:rsidRDefault="008C557E" w:rsidP="008C557E">
            <w:pPr>
              <w:pStyle w:val="TableText"/>
              <w:jc w:val="right"/>
              <w:rPr>
                <w:lang w:eastAsia="en-AU"/>
              </w:rPr>
            </w:pPr>
            <w:r w:rsidRPr="005B0796">
              <w:rPr>
                <w:lang w:eastAsia="en-AU"/>
              </w:rPr>
              <w:t>0.6</w:t>
            </w:r>
          </w:p>
        </w:tc>
        <w:tc>
          <w:tcPr>
            <w:tcW w:w="751" w:type="dxa"/>
          </w:tcPr>
          <w:p w:rsidR="008C557E" w:rsidRPr="005B0796" w:rsidRDefault="008C557E" w:rsidP="008C557E">
            <w:pPr>
              <w:pStyle w:val="TableText"/>
              <w:jc w:val="right"/>
              <w:rPr>
                <w:lang w:eastAsia="en-AU"/>
              </w:rPr>
            </w:pPr>
            <w:r w:rsidRPr="005B0796">
              <w:rPr>
                <w:lang w:eastAsia="en-AU"/>
              </w:rPr>
              <w:t>9.7, 11.8</w:t>
            </w:r>
          </w:p>
        </w:tc>
        <w:tc>
          <w:tcPr>
            <w:tcW w:w="751" w:type="dxa"/>
          </w:tcPr>
          <w:p w:rsidR="008C557E" w:rsidRPr="005B0796" w:rsidRDefault="008C557E" w:rsidP="008C557E">
            <w:pPr>
              <w:pStyle w:val="TableText"/>
              <w:jc w:val="right"/>
              <w:rPr>
                <w:lang w:eastAsia="en-AU"/>
              </w:rPr>
            </w:pPr>
            <w:r w:rsidRPr="005B0796">
              <w:rPr>
                <w:lang w:eastAsia="en-AU"/>
              </w:rPr>
              <w:t>13.7</w:t>
            </w:r>
          </w:p>
        </w:tc>
        <w:tc>
          <w:tcPr>
            <w:tcW w:w="750" w:type="dxa"/>
          </w:tcPr>
          <w:p w:rsidR="008C557E" w:rsidRPr="005B0796" w:rsidRDefault="008C557E" w:rsidP="008C557E">
            <w:pPr>
              <w:pStyle w:val="TableText"/>
              <w:jc w:val="right"/>
              <w:rPr>
                <w:lang w:eastAsia="en-AU"/>
              </w:rPr>
            </w:pPr>
            <w:r w:rsidRPr="005B0796">
              <w:rPr>
                <w:lang w:eastAsia="en-AU"/>
              </w:rPr>
              <w:t>0.6</w:t>
            </w:r>
          </w:p>
        </w:tc>
        <w:tc>
          <w:tcPr>
            <w:tcW w:w="751" w:type="dxa"/>
          </w:tcPr>
          <w:p w:rsidR="008C557E" w:rsidRPr="005B0796" w:rsidRDefault="008C557E" w:rsidP="008C557E">
            <w:pPr>
              <w:pStyle w:val="TableText"/>
              <w:jc w:val="right"/>
              <w:rPr>
                <w:lang w:eastAsia="en-AU"/>
              </w:rPr>
            </w:pPr>
            <w:r w:rsidRPr="005B0796">
              <w:rPr>
                <w:lang w:eastAsia="en-AU"/>
              </w:rPr>
              <w:t>12.5, 14.9</w:t>
            </w:r>
          </w:p>
        </w:tc>
        <w:tc>
          <w:tcPr>
            <w:tcW w:w="751" w:type="dxa"/>
          </w:tcPr>
          <w:p w:rsidR="008C557E" w:rsidRPr="005B0796" w:rsidRDefault="008C557E" w:rsidP="008C557E">
            <w:pPr>
              <w:pStyle w:val="TableText"/>
              <w:jc w:val="right"/>
              <w:rPr>
                <w:lang w:eastAsia="en-AU"/>
              </w:rPr>
            </w:pPr>
            <w:r w:rsidRPr="005B0796">
              <w:rPr>
                <w:lang w:eastAsia="en-AU"/>
              </w:rPr>
              <w:t>-3.0</w:t>
            </w:r>
          </w:p>
        </w:tc>
        <w:tc>
          <w:tcPr>
            <w:tcW w:w="685" w:type="dxa"/>
          </w:tcPr>
          <w:p w:rsidR="008C557E" w:rsidRPr="005B0796" w:rsidRDefault="008C557E" w:rsidP="008C557E">
            <w:pPr>
              <w:pStyle w:val="TableText"/>
              <w:jc w:val="right"/>
              <w:rPr>
                <w:lang w:eastAsia="en-AU"/>
              </w:rPr>
            </w:pPr>
            <w:r w:rsidRPr="005B0796">
              <w:rPr>
                <w:lang w:eastAsia="en-AU"/>
              </w:rPr>
              <w:t>0.8</w:t>
            </w:r>
          </w:p>
        </w:tc>
        <w:tc>
          <w:tcPr>
            <w:tcW w:w="817" w:type="dxa"/>
          </w:tcPr>
          <w:p w:rsidR="008C557E" w:rsidRPr="005B0796" w:rsidRDefault="008C557E" w:rsidP="008C557E">
            <w:pPr>
              <w:pStyle w:val="TableText"/>
              <w:jc w:val="right"/>
              <w:rPr>
                <w:lang w:eastAsia="en-AU"/>
              </w:rPr>
            </w:pPr>
            <w:r w:rsidRPr="005B0796">
              <w:rPr>
                <w:lang w:eastAsia="en-AU"/>
              </w:rPr>
              <w:t>-4.7, -1.4</w:t>
            </w:r>
          </w:p>
        </w:tc>
      </w:tr>
    </w:tbl>
    <w:p w:rsidR="00AE103C" w:rsidRPr="005B0796" w:rsidRDefault="008C557E" w:rsidP="005068AA">
      <w:pPr>
        <w:pStyle w:val="TableText"/>
        <w:keepNext w:val="0"/>
      </w:pPr>
      <w:r w:rsidRPr="005B0796">
        <w:t xml:space="preserve">Note: 95% CI: 95% </w:t>
      </w:r>
      <w:r w:rsidR="00564689" w:rsidRPr="005B0796">
        <w:t>confidence interval</w:t>
      </w:r>
    </w:p>
    <w:p w:rsidR="00AE103C" w:rsidRPr="005B0796" w:rsidRDefault="004D40C7" w:rsidP="004D40C7">
      <w:pPr>
        <w:pStyle w:val="FigureName"/>
      </w:pPr>
      <w:bookmarkStart w:id="1254" w:name="_Toc511900591"/>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5</w:t>
      </w:r>
      <w:r w:rsidR="00D30A3C">
        <w:rPr>
          <w:noProof/>
        </w:rPr>
        <w:fldChar w:fldCharType="end"/>
      </w:r>
      <w:r w:rsidRPr="005B0796">
        <w:tab/>
        <w:t>Estimated proportions for maximum number of standard drinks consumed on a single occasion in the last 12 months in Transitioned ADF compared to Australian Community</w:t>
      </w:r>
      <w:bookmarkEnd w:id="1254"/>
    </w:p>
    <w:tbl>
      <w:tblPr>
        <w:tblW w:w="5000" w:type="pct"/>
        <w:tblLayout w:type="fixed"/>
        <w:tblCellMar>
          <w:left w:w="115" w:type="dxa"/>
          <w:right w:w="115" w:type="dxa"/>
        </w:tblCellMar>
        <w:tblLook w:val="04A0" w:firstRow="1" w:lastRow="0" w:firstColumn="1" w:lastColumn="0" w:noHBand="0" w:noVBand="1"/>
      </w:tblPr>
      <w:tblGrid>
        <w:gridCol w:w="7329"/>
      </w:tblGrid>
      <w:tr w:rsidR="00AE103C" w:rsidRPr="005B0796" w:rsidTr="004D40C7">
        <w:trPr>
          <w:cantSplit/>
        </w:trPr>
        <w:tc>
          <w:tcPr>
            <w:tcW w:w="7315" w:type="dxa"/>
          </w:tcPr>
          <w:p w:rsidR="00AE103C" w:rsidRPr="005B0796" w:rsidRDefault="00AE103C" w:rsidP="0099117C">
            <w:r w:rsidRPr="005B0796">
              <w:rPr>
                <w:noProof/>
                <w:lang w:eastAsia="en-AU"/>
              </w:rPr>
              <w:drawing>
                <wp:inline distT="0" distB="0" distL="0" distR="0" wp14:anchorId="7A42D27F" wp14:editId="70925914">
                  <wp:extent cx="4572000" cy="2743200"/>
                  <wp:effectExtent l="0" t="0" r="0" b="0"/>
                  <wp:docPr id="95" name="Chart 95" descr="Figure 6.5 Estimated proportions for maximum number of standard drinks consumed on a single occasion in the last 12 months in Transitioned ADF compared to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c>
      </w:tr>
    </w:tbl>
    <w:p w:rsidR="00AE103C" w:rsidRPr="005B0796" w:rsidRDefault="00AE103C" w:rsidP="004D40C7">
      <w:pPr>
        <w:pStyle w:val="Heading3"/>
      </w:pPr>
      <w:bookmarkStart w:id="1255" w:name="_Toc482021403"/>
      <w:bookmarkStart w:id="1256" w:name="_Toc482024496"/>
      <w:bookmarkStart w:id="1257" w:name="_Toc487011250"/>
      <w:bookmarkStart w:id="1258" w:name="_Toc493663145"/>
      <w:bookmarkStart w:id="1259" w:name="_Toc494449770"/>
      <w:bookmarkStart w:id="1260" w:name="_Toc511900352"/>
      <w:r w:rsidRPr="005B0796">
        <w:t xml:space="preserve">Frequency of alcohol consumption in last 12 months in the Transitioned ADF compared to the Australian </w:t>
      </w:r>
      <w:r w:rsidR="00445732" w:rsidRPr="005B0796">
        <w:t>Community</w:t>
      </w:r>
      <w:r w:rsidR="00E13799">
        <w:t>,</w:t>
      </w:r>
      <w:r w:rsidR="00445732" w:rsidRPr="005B0796">
        <w:t xml:space="preserve"> </w:t>
      </w:r>
      <w:r w:rsidRPr="005B0796">
        <w:t>by sex</w:t>
      </w:r>
      <w:bookmarkEnd w:id="1255"/>
      <w:bookmarkEnd w:id="1256"/>
      <w:bookmarkEnd w:id="1257"/>
      <w:bookmarkEnd w:id="1258"/>
      <w:bookmarkEnd w:id="1259"/>
      <w:bookmarkEnd w:id="1260"/>
    </w:p>
    <w:p w:rsidR="00AE103C" w:rsidRPr="005B0796" w:rsidRDefault="00AE103C" w:rsidP="004D40C7">
      <w:r w:rsidRPr="005B0796">
        <w:t>Table 6.6 and Figure 6.6 show the frequency of alcohol consumption in the previous 12</w:t>
      </w:r>
      <w:r w:rsidR="004D40C7" w:rsidRPr="005B0796">
        <w:t> </w:t>
      </w:r>
      <w:r w:rsidRPr="005B0796">
        <w:t>months. When frequency of alcohol consumption in the last 12 months is broken down by sex (Table 6.6, Figure 6.6), males in the Transitioned ADF (25.9% 95% CI 23.9, 27.8) are significantly more likely to drink monthly than males in the Australian Community (19.8, 95% CI 17.9, 21.8). In contrast</w:t>
      </w:r>
      <w:r w:rsidR="00E13799">
        <w:t>,</w:t>
      </w:r>
      <w:r w:rsidRPr="005B0796">
        <w:t xml:space="preserve"> Transitioned ADF females are significantly more likely to drink daily (2.0% 95% CI 1.3, 2.9, Australian Community 0.7 95% CI 0.5, 0.9), weekly (38.7% 95% CI 34.5, 43.0, Australian Community 30.8% 95% CI 29.1, 32.6) and monthly (27.5% 95% CI 23.6, 31.9, Australian Community 21.6% 95% 19.9, 23.3) than their community counterparts. </w:t>
      </w:r>
    </w:p>
    <w:p w:rsidR="006C652D" w:rsidRPr="005B0796" w:rsidRDefault="006C652D" w:rsidP="006C652D"/>
    <w:p w:rsidR="0086093B" w:rsidRPr="005B0796" w:rsidRDefault="0086093B" w:rsidP="0086093B">
      <w:pPr>
        <w:sectPr w:rsidR="0086093B" w:rsidRPr="005B0796" w:rsidSect="00BE5E98">
          <w:footerReference w:type="even" r:id="rId264"/>
          <w:footerReference w:type="default" r:id="rId265"/>
          <w:pgSz w:w="9979" w:h="14170" w:code="243"/>
          <w:pgMar w:top="1440" w:right="1152" w:bottom="1440" w:left="1728" w:header="576" w:footer="576" w:gutter="0"/>
          <w:cols w:space="708"/>
          <w:docGrid w:linePitch="360"/>
        </w:sectPr>
      </w:pPr>
    </w:p>
    <w:p w:rsidR="0086093B" w:rsidRPr="005B0796" w:rsidRDefault="00735191" w:rsidP="00735191">
      <w:pPr>
        <w:pStyle w:val="TableName"/>
      </w:pPr>
      <w:bookmarkStart w:id="1261" w:name="_Ref484695221"/>
      <w:bookmarkStart w:id="1262" w:name="_Toc487014334"/>
      <w:bookmarkStart w:id="1263" w:name="_Toc492995637"/>
      <w:bookmarkStart w:id="1264" w:name="_Toc511900486"/>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6</w:t>
      </w:r>
      <w:r w:rsidR="00D30A3C">
        <w:rPr>
          <w:noProof/>
        </w:rPr>
        <w:fldChar w:fldCharType="end"/>
      </w:r>
      <w:bookmarkEnd w:id="1261"/>
      <w:r w:rsidRPr="005B0796">
        <w:tab/>
        <w:t>Estimated proportions for frequency of alcohol consumption in Transitioned ADF compared to the Australian Community in the last 12 months</w:t>
      </w:r>
      <w:r w:rsidR="00E13799">
        <w:t>,</w:t>
      </w:r>
      <w:r w:rsidRPr="005B0796">
        <w:t xml:space="preserve"> by sex</w:t>
      </w:r>
      <w:bookmarkEnd w:id="1262"/>
      <w:bookmarkEnd w:id="1263"/>
      <w:bookmarkEnd w:id="1264"/>
    </w:p>
    <w:tbl>
      <w:tblPr>
        <w:tblStyle w:val="TWRPTable"/>
        <w:tblW w:w="5000" w:type="pct"/>
        <w:tblLayout w:type="fixed"/>
        <w:tblLook w:val="01E0" w:firstRow="1" w:lastRow="1" w:firstColumn="1" w:lastColumn="1" w:noHBand="0" w:noVBand="0"/>
        <w:tblDescription w:val="Table 6.6 Estimated proportions for frequency of alcohol consumption in Transitioned ADF compared to the Australian Community in the last 12 months by sex"/>
      </w:tblPr>
      <w:tblGrid>
        <w:gridCol w:w="1098"/>
        <w:gridCol w:w="1617"/>
        <w:gridCol w:w="976"/>
        <w:gridCol w:w="977"/>
        <w:gridCol w:w="977"/>
        <w:gridCol w:w="977"/>
        <w:gridCol w:w="976"/>
        <w:gridCol w:w="977"/>
        <w:gridCol w:w="977"/>
        <w:gridCol w:w="977"/>
        <w:gridCol w:w="977"/>
      </w:tblGrid>
      <w:tr w:rsidR="00735191" w:rsidRPr="005B0796" w:rsidTr="00735191">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Pr>
          <w:p w:rsidR="00735191" w:rsidRPr="005B0796" w:rsidRDefault="00735191" w:rsidP="00735191">
            <w:pPr>
              <w:pStyle w:val="TableText"/>
              <w:rPr>
                <w:lang w:eastAsia="en-AU"/>
              </w:rPr>
            </w:pPr>
          </w:p>
        </w:tc>
        <w:tc>
          <w:tcPr>
            <w:tcW w:w="1617" w:type="dxa"/>
            <w:vMerge w:val="restart"/>
          </w:tcPr>
          <w:p w:rsidR="00735191" w:rsidRPr="005B0796" w:rsidRDefault="00735191" w:rsidP="00735191">
            <w:pPr>
              <w:pStyle w:val="TableText"/>
              <w:rPr>
                <w:lang w:eastAsia="en-AU"/>
              </w:rPr>
            </w:pPr>
          </w:p>
        </w:tc>
        <w:tc>
          <w:tcPr>
            <w:tcW w:w="2930" w:type="dxa"/>
            <w:gridSpan w:val="3"/>
            <w:hideMark/>
          </w:tcPr>
          <w:p w:rsidR="00735191" w:rsidRPr="005B0796" w:rsidRDefault="00735191" w:rsidP="00735191">
            <w:pPr>
              <w:pStyle w:val="TableText"/>
              <w:jc w:val="center"/>
              <w:rPr>
                <w:lang w:eastAsia="en-AU"/>
              </w:rPr>
            </w:pPr>
            <w:r w:rsidRPr="005B0796">
              <w:rPr>
                <w:bCs/>
                <w:lang w:eastAsia="en-AU"/>
              </w:rPr>
              <w:t xml:space="preserve">Transitioned ADF </w:t>
            </w:r>
            <w:r w:rsidRPr="005B0796">
              <w:rPr>
                <w:lang w:eastAsia="en-AU"/>
              </w:rPr>
              <w:t>(n = 24,932)</w:t>
            </w:r>
          </w:p>
        </w:tc>
        <w:tc>
          <w:tcPr>
            <w:tcW w:w="2930" w:type="dxa"/>
            <w:gridSpan w:val="3"/>
            <w:hideMark/>
          </w:tcPr>
          <w:p w:rsidR="00735191" w:rsidRPr="005B0796" w:rsidRDefault="00735191" w:rsidP="00735191">
            <w:pPr>
              <w:pStyle w:val="TableText"/>
              <w:jc w:val="center"/>
              <w:rPr>
                <w:lang w:eastAsia="en-AU"/>
              </w:rPr>
            </w:pPr>
            <w:r w:rsidRPr="005B0796">
              <w:rPr>
                <w:bCs/>
                <w:lang w:eastAsia="en-AU"/>
              </w:rPr>
              <w:t>Australian Community</w:t>
            </w:r>
          </w:p>
        </w:tc>
        <w:tc>
          <w:tcPr>
            <w:tcW w:w="2931" w:type="dxa"/>
            <w:gridSpan w:val="3"/>
            <w:hideMark/>
          </w:tcPr>
          <w:p w:rsidR="00735191" w:rsidRPr="005B0796" w:rsidRDefault="00735191" w:rsidP="00735191">
            <w:pPr>
              <w:pStyle w:val="TableText"/>
              <w:jc w:val="center"/>
              <w:rPr>
                <w:bCs/>
                <w:lang w:eastAsia="en-AU"/>
              </w:rPr>
            </w:pPr>
            <w:r w:rsidRPr="005B0796">
              <w:rPr>
                <w:bCs/>
                <w:lang w:eastAsia="en-AU"/>
              </w:rPr>
              <w:t>Difference</w:t>
            </w:r>
          </w:p>
        </w:tc>
      </w:tr>
      <w:tr w:rsidR="00735191" w:rsidRPr="005B0796" w:rsidTr="00735191">
        <w:trPr>
          <w:cnfStyle w:val="100000000000" w:firstRow="1" w:lastRow="0" w:firstColumn="0" w:lastColumn="0" w:oddVBand="0" w:evenVBand="0" w:oddHBand="0" w:evenHBand="0" w:firstRowFirstColumn="0" w:firstRowLastColumn="0" w:lastRowFirstColumn="0" w:lastRowLastColumn="0"/>
          <w:tblHeader/>
        </w:trPr>
        <w:tc>
          <w:tcPr>
            <w:tcW w:w="1098" w:type="dxa"/>
            <w:vMerge/>
          </w:tcPr>
          <w:p w:rsidR="00735191" w:rsidRPr="005B0796" w:rsidRDefault="00735191" w:rsidP="00735191">
            <w:pPr>
              <w:pStyle w:val="TableText"/>
              <w:rPr>
                <w:rFonts w:eastAsia="GillSans"/>
                <w:lang w:eastAsia="en-AU"/>
              </w:rPr>
            </w:pPr>
          </w:p>
        </w:tc>
        <w:tc>
          <w:tcPr>
            <w:tcW w:w="1617" w:type="dxa"/>
            <w:vMerge/>
          </w:tcPr>
          <w:p w:rsidR="00735191" w:rsidRPr="005B0796" w:rsidRDefault="00735191" w:rsidP="00735191">
            <w:pPr>
              <w:pStyle w:val="TableText"/>
              <w:rPr>
                <w:rFonts w:eastAsia="GillSans"/>
                <w:lang w:eastAsia="en-AU"/>
              </w:rPr>
            </w:pPr>
          </w:p>
        </w:tc>
        <w:tc>
          <w:tcPr>
            <w:tcW w:w="976" w:type="dxa"/>
            <w:hideMark/>
          </w:tcPr>
          <w:p w:rsidR="00735191" w:rsidRPr="005B0796" w:rsidRDefault="00735191" w:rsidP="00735191">
            <w:pPr>
              <w:pStyle w:val="TableText"/>
              <w:jc w:val="right"/>
              <w:rPr>
                <w:lang w:eastAsia="en-AU"/>
              </w:rPr>
            </w:pPr>
            <w:r w:rsidRPr="005B0796">
              <w:rPr>
                <w:lang w:eastAsia="en-AU"/>
              </w:rPr>
              <w:t>%</w:t>
            </w:r>
          </w:p>
        </w:tc>
        <w:tc>
          <w:tcPr>
            <w:tcW w:w="977" w:type="dxa"/>
            <w:hideMark/>
          </w:tcPr>
          <w:p w:rsidR="00735191" w:rsidRPr="005B0796" w:rsidRDefault="00735191" w:rsidP="00735191">
            <w:pPr>
              <w:pStyle w:val="TableText"/>
              <w:jc w:val="right"/>
              <w:rPr>
                <w:lang w:eastAsia="en-AU"/>
              </w:rPr>
            </w:pPr>
            <w:r w:rsidRPr="005B0796">
              <w:rPr>
                <w:lang w:eastAsia="en-AU"/>
              </w:rPr>
              <w:t>SE</w:t>
            </w:r>
          </w:p>
        </w:tc>
        <w:tc>
          <w:tcPr>
            <w:tcW w:w="977" w:type="dxa"/>
            <w:hideMark/>
          </w:tcPr>
          <w:p w:rsidR="00735191" w:rsidRPr="005B0796" w:rsidRDefault="00735191" w:rsidP="00735191">
            <w:pPr>
              <w:pStyle w:val="TableText"/>
              <w:jc w:val="right"/>
              <w:rPr>
                <w:lang w:eastAsia="en-AU"/>
              </w:rPr>
            </w:pPr>
            <w:r w:rsidRPr="005B0796">
              <w:rPr>
                <w:lang w:eastAsia="en-AU"/>
              </w:rPr>
              <w:t>95% CI</w:t>
            </w:r>
          </w:p>
        </w:tc>
        <w:tc>
          <w:tcPr>
            <w:tcW w:w="977" w:type="dxa"/>
            <w:hideMark/>
          </w:tcPr>
          <w:p w:rsidR="00735191" w:rsidRPr="005B0796" w:rsidRDefault="00735191" w:rsidP="00735191">
            <w:pPr>
              <w:pStyle w:val="TableText"/>
              <w:jc w:val="right"/>
              <w:rPr>
                <w:lang w:eastAsia="en-AU"/>
              </w:rPr>
            </w:pPr>
            <w:r w:rsidRPr="005B0796">
              <w:rPr>
                <w:lang w:eastAsia="en-AU"/>
              </w:rPr>
              <w:t>%</w:t>
            </w:r>
          </w:p>
        </w:tc>
        <w:tc>
          <w:tcPr>
            <w:tcW w:w="976" w:type="dxa"/>
            <w:hideMark/>
          </w:tcPr>
          <w:p w:rsidR="00735191" w:rsidRPr="005B0796" w:rsidRDefault="00735191" w:rsidP="00735191">
            <w:pPr>
              <w:pStyle w:val="TableText"/>
              <w:jc w:val="right"/>
              <w:rPr>
                <w:lang w:eastAsia="en-AU"/>
              </w:rPr>
            </w:pPr>
            <w:r w:rsidRPr="005B0796">
              <w:rPr>
                <w:lang w:eastAsia="en-AU"/>
              </w:rPr>
              <w:t>SE</w:t>
            </w:r>
          </w:p>
        </w:tc>
        <w:tc>
          <w:tcPr>
            <w:tcW w:w="977" w:type="dxa"/>
            <w:hideMark/>
          </w:tcPr>
          <w:p w:rsidR="00735191" w:rsidRPr="005B0796" w:rsidRDefault="00735191" w:rsidP="00735191">
            <w:pPr>
              <w:pStyle w:val="TableText"/>
              <w:jc w:val="right"/>
              <w:rPr>
                <w:lang w:eastAsia="en-AU"/>
              </w:rPr>
            </w:pPr>
            <w:r w:rsidRPr="005B0796">
              <w:rPr>
                <w:lang w:eastAsia="en-AU"/>
              </w:rPr>
              <w:t>95% CI</w:t>
            </w:r>
          </w:p>
        </w:tc>
        <w:tc>
          <w:tcPr>
            <w:tcW w:w="977" w:type="dxa"/>
            <w:hideMark/>
          </w:tcPr>
          <w:p w:rsidR="00735191" w:rsidRPr="005B0796" w:rsidRDefault="00735191" w:rsidP="00735191">
            <w:pPr>
              <w:pStyle w:val="TableText"/>
              <w:jc w:val="right"/>
              <w:rPr>
                <w:lang w:eastAsia="en-AU"/>
              </w:rPr>
            </w:pPr>
            <w:r w:rsidRPr="005B0796">
              <w:rPr>
                <w:lang w:eastAsia="en-AU"/>
              </w:rPr>
              <w:t>%</w:t>
            </w:r>
          </w:p>
        </w:tc>
        <w:tc>
          <w:tcPr>
            <w:tcW w:w="977" w:type="dxa"/>
            <w:hideMark/>
          </w:tcPr>
          <w:p w:rsidR="00735191" w:rsidRPr="005B0796" w:rsidRDefault="00735191" w:rsidP="00735191">
            <w:pPr>
              <w:pStyle w:val="TableText"/>
              <w:jc w:val="right"/>
              <w:rPr>
                <w:lang w:eastAsia="en-AU"/>
              </w:rPr>
            </w:pPr>
            <w:r w:rsidRPr="005B0796">
              <w:rPr>
                <w:lang w:eastAsia="en-AU"/>
              </w:rPr>
              <w:t>SE</w:t>
            </w:r>
          </w:p>
        </w:tc>
        <w:tc>
          <w:tcPr>
            <w:tcW w:w="977" w:type="dxa"/>
            <w:hideMark/>
          </w:tcPr>
          <w:p w:rsidR="00735191" w:rsidRPr="005B0796" w:rsidRDefault="00735191" w:rsidP="00735191">
            <w:pPr>
              <w:pStyle w:val="TableText"/>
              <w:jc w:val="right"/>
              <w:rPr>
                <w:lang w:eastAsia="en-AU"/>
              </w:rPr>
            </w:pPr>
            <w:r w:rsidRPr="005B0796">
              <w:rPr>
                <w:lang w:eastAsia="en-AU"/>
              </w:rPr>
              <w:t>95% CI</w:t>
            </w:r>
          </w:p>
        </w:tc>
      </w:tr>
      <w:tr w:rsidR="0086093B" w:rsidRPr="005B0796" w:rsidTr="00735191">
        <w:trPr>
          <w:cnfStyle w:val="000000100000" w:firstRow="0" w:lastRow="0" w:firstColumn="0" w:lastColumn="0" w:oddVBand="0" w:evenVBand="0" w:oddHBand="1" w:evenHBand="0" w:firstRowFirstColumn="0" w:firstRowLastColumn="0" w:lastRowFirstColumn="0" w:lastRowLastColumn="0"/>
        </w:trPr>
        <w:tc>
          <w:tcPr>
            <w:tcW w:w="1098" w:type="dxa"/>
            <w:hideMark/>
          </w:tcPr>
          <w:p w:rsidR="0086093B" w:rsidRPr="005B0796" w:rsidRDefault="0086093B" w:rsidP="00735191">
            <w:pPr>
              <w:pStyle w:val="TableText"/>
              <w:rPr>
                <w:lang w:eastAsia="en-AU"/>
              </w:rPr>
            </w:pPr>
            <w:r w:rsidRPr="005B0796">
              <w:rPr>
                <w:lang w:eastAsia="en-AU"/>
              </w:rPr>
              <w:t>Male</w:t>
            </w:r>
          </w:p>
        </w:tc>
        <w:tc>
          <w:tcPr>
            <w:tcW w:w="1617" w:type="dxa"/>
            <w:hideMark/>
          </w:tcPr>
          <w:p w:rsidR="0086093B" w:rsidRPr="005B0796" w:rsidRDefault="0086093B" w:rsidP="00735191">
            <w:pPr>
              <w:pStyle w:val="TableText"/>
              <w:rPr>
                <w:rFonts w:eastAsia="GillSans"/>
                <w:lang w:eastAsia="en-AU"/>
              </w:rPr>
            </w:pPr>
            <w:r w:rsidRPr="005B0796">
              <w:rPr>
                <w:lang w:eastAsia="en-AU"/>
              </w:rPr>
              <w:t>Daily</w:t>
            </w:r>
          </w:p>
        </w:tc>
        <w:tc>
          <w:tcPr>
            <w:tcW w:w="976" w:type="dxa"/>
            <w:hideMark/>
          </w:tcPr>
          <w:p w:rsidR="0086093B" w:rsidRPr="005B0796" w:rsidRDefault="0086093B" w:rsidP="00735191">
            <w:pPr>
              <w:pStyle w:val="TableText"/>
              <w:jc w:val="right"/>
              <w:rPr>
                <w:lang w:eastAsia="en-AU"/>
              </w:rPr>
            </w:pPr>
            <w:r w:rsidRPr="005B0796">
              <w:rPr>
                <w:lang w:eastAsia="en-AU"/>
              </w:rPr>
              <w:t>4.6</w:t>
            </w:r>
          </w:p>
        </w:tc>
        <w:tc>
          <w:tcPr>
            <w:tcW w:w="977" w:type="dxa"/>
            <w:hideMark/>
          </w:tcPr>
          <w:p w:rsidR="0086093B" w:rsidRPr="005B0796" w:rsidRDefault="0086093B" w:rsidP="00735191">
            <w:pPr>
              <w:pStyle w:val="TableText"/>
              <w:jc w:val="right"/>
              <w:rPr>
                <w:lang w:eastAsia="en-AU"/>
              </w:rPr>
            </w:pPr>
            <w:r w:rsidRPr="005B0796">
              <w:rPr>
                <w:lang w:eastAsia="en-AU"/>
              </w:rPr>
              <w:t>0.4</w:t>
            </w:r>
          </w:p>
        </w:tc>
        <w:tc>
          <w:tcPr>
            <w:tcW w:w="977" w:type="dxa"/>
            <w:hideMark/>
          </w:tcPr>
          <w:p w:rsidR="0086093B" w:rsidRPr="005B0796" w:rsidRDefault="0086093B" w:rsidP="00735191">
            <w:pPr>
              <w:pStyle w:val="TableText"/>
              <w:jc w:val="right"/>
              <w:rPr>
                <w:lang w:eastAsia="en-AU"/>
              </w:rPr>
            </w:pPr>
            <w:r w:rsidRPr="005B0796">
              <w:rPr>
                <w:lang w:eastAsia="en-AU"/>
              </w:rPr>
              <w:t>3.9, 5.5</w:t>
            </w:r>
          </w:p>
        </w:tc>
        <w:tc>
          <w:tcPr>
            <w:tcW w:w="977" w:type="dxa"/>
            <w:hideMark/>
          </w:tcPr>
          <w:p w:rsidR="0086093B" w:rsidRPr="005B0796" w:rsidRDefault="0086093B" w:rsidP="00735191">
            <w:pPr>
              <w:pStyle w:val="TableText"/>
              <w:jc w:val="right"/>
              <w:rPr>
                <w:lang w:eastAsia="en-AU"/>
              </w:rPr>
            </w:pPr>
            <w:r w:rsidRPr="005B0796">
              <w:rPr>
                <w:lang w:eastAsia="en-AU"/>
              </w:rPr>
              <w:t>5.8</w:t>
            </w:r>
          </w:p>
        </w:tc>
        <w:tc>
          <w:tcPr>
            <w:tcW w:w="976" w:type="dxa"/>
            <w:hideMark/>
          </w:tcPr>
          <w:p w:rsidR="0086093B" w:rsidRPr="005B0796" w:rsidRDefault="0086093B" w:rsidP="00735191">
            <w:pPr>
              <w:pStyle w:val="TableText"/>
              <w:jc w:val="right"/>
              <w:rPr>
                <w:lang w:eastAsia="en-AU"/>
              </w:rPr>
            </w:pPr>
            <w:r w:rsidRPr="005B0796">
              <w:rPr>
                <w:lang w:eastAsia="en-AU"/>
              </w:rPr>
              <w:t>0.4</w:t>
            </w:r>
          </w:p>
        </w:tc>
        <w:tc>
          <w:tcPr>
            <w:tcW w:w="977" w:type="dxa"/>
            <w:hideMark/>
          </w:tcPr>
          <w:p w:rsidR="0086093B" w:rsidRPr="005B0796" w:rsidRDefault="0086093B" w:rsidP="00735191">
            <w:pPr>
              <w:pStyle w:val="TableText"/>
              <w:jc w:val="right"/>
              <w:rPr>
                <w:lang w:eastAsia="en-AU"/>
              </w:rPr>
            </w:pPr>
            <w:r w:rsidRPr="005B0796">
              <w:rPr>
                <w:lang w:eastAsia="en-AU"/>
              </w:rPr>
              <w:t>4.9, 6.5</w:t>
            </w:r>
          </w:p>
        </w:tc>
        <w:tc>
          <w:tcPr>
            <w:tcW w:w="977" w:type="dxa"/>
            <w:hideMark/>
          </w:tcPr>
          <w:p w:rsidR="0086093B" w:rsidRPr="005B0796" w:rsidRDefault="0086093B" w:rsidP="00735191">
            <w:pPr>
              <w:pStyle w:val="TableText"/>
              <w:jc w:val="right"/>
              <w:rPr>
                <w:lang w:eastAsia="en-AU"/>
              </w:rPr>
            </w:pPr>
            <w:r w:rsidRPr="005B0796">
              <w:rPr>
                <w:lang w:eastAsia="en-AU"/>
              </w:rPr>
              <w:t>-0.8</w:t>
            </w:r>
          </w:p>
        </w:tc>
        <w:tc>
          <w:tcPr>
            <w:tcW w:w="977" w:type="dxa"/>
            <w:hideMark/>
          </w:tcPr>
          <w:p w:rsidR="0086093B" w:rsidRPr="005B0796" w:rsidRDefault="0086093B" w:rsidP="00735191">
            <w:pPr>
              <w:pStyle w:val="TableText"/>
              <w:jc w:val="right"/>
              <w:rPr>
                <w:lang w:eastAsia="en-AU"/>
              </w:rPr>
            </w:pPr>
            <w:r w:rsidRPr="005B0796">
              <w:rPr>
                <w:lang w:eastAsia="en-AU"/>
              </w:rPr>
              <w:t>0.5</w:t>
            </w:r>
          </w:p>
        </w:tc>
        <w:tc>
          <w:tcPr>
            <w:tcW w:w="977" w:type="dxa"/>
            <w:hideMark/>
          </w:tcPr>
          <w:p w:rsidR="0086093B" w:rsidRPr="005B0796" w:rsidRDefault="0086093B" w:rsidP="00735191">
            <w:pPr>
              <w:pStyle w:val="TableText"/>
              <w:jc w:val="right"/>
              <w:rPr>
                <w:lang w:eastAsia="en-AU"/>
              </w:rPr>
            </w:pPr>
            <w:r w:rsidRPr="005B0796">
              <w:rPr>
                <w:lang w:eastAsia="en-AU"/>
              </w:rPr>
              <w:t>-1.8, 0.2</w:t>
            </w:r>
          </w:p>
        </w:tc>
      </w:tr>
      <w:tr w:rsidR="00735191" w:rsidRPr="005B0796" w:rsidTr="00735191">
        <w:tc>
          <w:tcPr>
            <w:tcW w:w="1098" w:type="dxa"/>
          </w:tcPr>
          <w:p w:rsidR="0086093B" w:rsidRPr="005B0796" w:rsidRDefault="0086093B" w:rsidP="00735191">
            <w:pPr>
              <w:pStyle w:val="TableText"/>
              <w:rPr>
                <w:lang w:eastAsia="en-AU"/>
              </w:rPr>
            </w:pPr>
          </w:p>
        </w:tc>
        <w:tc>
          <w:tcPr>
            <w:tcW w:w="1617" w:type="dxa"/>
            <w:hideMark/>
          </w:tcPr>
          <w:p w:rsidR="0086093B" w:rsidRPr="005B0796" w:rsidRDefault="0086093B" w:rsidP="00735191">
            <w:pPr>
              <w:pStyle w:val="TableText"/>
              <w:rPr>
                <w:rFonts w:eastAsia="GillSans"/>
                <w:lang w:eastAsia="en-AU"/>
              </w:rPr>
            </w:pPr>
            <w:r w:rsidRPr="005B0796">
              <w:rPr>
                <w:lang w:eastAsia="en-AU"/>
              </w:rPr>
              <w:t>Weekly</w:t>
            </w:r>
          </w:p>
        </w:tc>
        <w:tc>
          <w:tcPr>
            <w:tcW w:w="976" w:type="dxa"/>
            <w:hideMark/>
          </w:tcPr>
          <w:p w:rsidR="0086093B" w:rsidRPr="005B0796" w:rsidRDefault="0086093B" w:rsidP="00735191">
            <w:pPr>
              <w:pStyle w:val="TableText"/>
              <w:jc w:val="right"/>
              <w:rPr>
                <w:lang w:eastAsia="en-AU"/>
              </w:rPr>
            </w:pPr>
            <w:r w:rsidRPr="005B0796">
              <w:rPr>
                <w:lang w:eastAsia="en-AU"/>
              </w:rPr>
              <w:t>48.9</w:t>
            </w:r>
          </w:p>
        </w:tc>
        <w:tc>
          <w:tcPr>
            <w:tcW w:w="977" w:type="dxa"/>
            <w:hideMark/>
          </w:tcPr>
          <w:p w:rsidR="0086093B" w:rsidRPr="005B0796" w:rsidRDefault="0086093B" w:rsidP="00735191">
            <w:pPr>
              <w:pStyle w:val="TableText"/>
              <w:jc w:val="right"/>
              <w:rPr>
                <w:lang w:eastAsia="en-AU"/>
              </w:rPr>
            </w:pPr>
            <w:r w:rsidRPr="005B0796">
              <w:rPr>
                <w:lang w:eastAsia="en-AU"/>
              </w:rPr>
              <w:t>1.1</w:t>
            </w:r>
          </w:p>
        </w:tc>
        <w:tc>
          <w:tcPr>
            <w:tcW w:w="977" w:type="dxa"/>
            <w:hideMark/>
          </w:tcPr>
          <w:p w:rsidR="0086093B" w:rsidRPr="005B0796" w:rsidRDefault="0086093B" w:rsidP="00735191">
            <w:pPr>
              <w:pStyle w:val="TableText"/>
              <w:jc w:val="right"/>
              <w:rPr>
                <w:lang w:eastAsia="en-AU"/>
              </w:rPr>
            </w:pPr>
            <w:r w:rsidRPr="005B0796">
              <w:rPr>
                <w:lang w:eastAsia="en-AU"/>
              </w:rPr>
              <w:t>46.8, 51.0</w:t>
            </w:r>
          </w:p>
        </w:tc>
        <w:tc>
          <w:tcPr>
            <w:tcW w:w="977" w:type="dxa"/>
            <w:hideMark/>
          </w:tcPr>
          <w:p w:rsidR="0086093B" w:rsidRPr="005B0796" w:rsidRDefault="0086093B" w:rsidP="00735191">
            <w:pPr>
              <w:pStyle w:val="TableText"/>
              <w:jc w:val="right"/>
              <w:rPr>
                <w:lang w:eastAsia="en-AU"/>
              </w:rPr>
            </w:pPr>
            <w:r w:rsidRPr="005B0796">
              <w:rPr>
                <w:lang w:eastAsia="en-AU"/>
              </w:rPr>
              <w:t>47.6</w:t>
            </w:r>
          </w:p>
        </w:tc>
        <w:tc>
          <w:tcPr>
            <w:tcW w:w="976" w:type="dxa"/>
            <w:hideMark/>
          </w:tcPr>
          <w:p w:rsidR="0086093B" w:rsidRPr="005B0796" w:rsidRDefault="0086093B" w:rsidP="00735191">
            <w:pPr>
              <w:pStyle w:val="TableText"/>
              <w:jc w:val="right"/>
              <w:rPr>
                <w:lang w:eastAsia="en-AU"/>
              </w:rPr>
            </w:pPr>
            <w:r w:rsidRPr="005B0796">
              <w:rPr>
                <w:lang w:eastAsia="en-AU"/>
              </w:rPr>
              <w:t>1.1</w:t>
            </w:r>
          </w:p>
        </w:tc>
        <w:tc>
          <w:tcPr>
            <w:tcW w:w="977" w:type="dxa"/>
            <w:hideMark/>
          </w:tcPr>
          <w:p w:rsidR="0086093B" w:rsidRPr="005B0796" w:rsidRDefault="0086093B" w:rsidP="00735191">
            <w:pPr>
              <w:pStyle w:val="TableText"/>
              <w:jc w:val="right"/>
              <w:rPr>
                <w:lang w:eastAsia="en-AU"/>
              </w:rPr>
            </w:pPr>
            <w:r w:rsidRPr="005B0796">
              <w:rPr>
                <w:lang w:eastAsia="en-AU"/>
              </w:rPr>
              <w:t>45.5, 49.7</w:t>
            </w:r>
          </w:p>
        </w:tc>
        <w:tc>
          <w:tcPr>
            <w:tcW w:w="977" w:type="dxa"/>
            <w:hideMark/>
          </w:tcPr>
          <w:p w:rsidR="0086093B" w:rsidRPr="005B0796" w:rsidRDefault="0086093B" w:rsidP="00735191">
            <w:pPr>
              <w:pStyle w:val="TableText"/>
              <w:jc w:val="right"/>
              <w:rPr>
                <w:lang w:eastAsia="en-AU"/>
              </w:rPr>
            </w:pPr>
            <w:r w:rsidRPr="005B0796">
              <w:rPr>
                <w:lang w:eastAsia="en-AU"/>
              </w:rPr>
              <w:t>1.3</w:t>
            </w:r>
          </w:p>
        </w:tc>
        <w:tc>
          <w:tcPr>
            <w:tcW w:w="977" w:type="dxa"/>
            <w:hideMark/>
          </w:tcPr>
          <w:p w:rsidR="0086093B" w:rsidRPr="005B0796" w:rsidRDefault="0086093B" w:rsidP="00735191">
            <w:pPr>
              <w:pStyle w:val="TableText"/>
              <w:jc w:val="right"/>
              <w:rPr>
                <w:lang w:eastAsia="en-AU"/>
              </w:rPr>
            </w:pPr>
            <w:r w:rsidRPr="005B0796">
              <w:rPr>
                <w:lang w:eastAsia="en-AU"/>
              </w:rPr>
              <w:t>1.5</w:t>
            </w:r>
          </w:p>
        </w:tc>
        <w:tc>
          <w:tcPr>
            <w:tcW w:w="977" w:type="dxa"/>
            <w:hideMark/>
          </w:tcPr>
          <w:p w:rsidR="0086093B" w:rsidRPr="005B0796" w:rsidRDefault="0086093B" w:rsidP="00735191">
            <w:pPr>
              <w:pStyle w:val="TableText"/>
              <w:jc w:val="right"/>
              <w:rPr>
                <w:lang w:eastAsia="en-AU"/>
              </w:rPr>
            </w:pPr>
            <w:r w:rsidRPr="005B0796">
              <w:rPr>
                <w:lang w:eastAsia="en-AU"/>
              </w:rPr>
              <w:t>-1.7, 4.3</w:t>
            </w:r>
          </w:p>
        </w:tc>
      </w:tr>
      <w:tr w:rsidR="0086093B" w:rsidRPr="005B0796" w:rsidTr="00735191">
        <w:trPr>
          <w:cnfStyle w:val="000000100000" w:firstRow="0" w:lastRow="0" w:firstColumn="0" w:lastColumn="0" w:oddVBand="0" w:evenVBand="0" w:oddHBand="1" w:evenHBand="0" w:firstRowFirstColumn="0" w:firstRowLastColumn="0" w:lastRowFirstColumn="0" w:lastRowLastColumn="0"/>
        </w:trPr>
        <w:tc>
          <w:tcPr>
            <w:tcW w:w="1098" w:type="dxa"/>
          </w:tcPr>
          <w:p w:rsidR="0086093B" w:rsidRPr="005B0796" w:rsidRDefault="0086093B" w:rsidP="00735191">
            <w:pPr>
              <w:pStyle w:val="TableText"/>
              <w:rPr>
                <w:lang w:eastAsia="en-AU"/>
              </w:rPr>
            </w:pPr>
          </w:p>
        </w:tc>
        <w:tc>
          <w:tcPr>
            <w:tcW w:w="1617" w:type="dxa"/>
            <w:hideMark/>
          </w:tcPr>
          <w:p w:rsidR="0086093B" w:rsidRPr="005B0796" w:rsidRDefault="0086093B" w:rsidP="00735191">
            <w:pPr>
              <w:pStyle w:val="TableText"/>
              <w:rPr>
                <w:rFonts w:eastAsia="GillSans"/>
                <w:lang w:eastAsia="en-AU"/>
              </w:rPr>
            </w:pPr>
            <w:r w:rsidRPr="005B0796">
              <w:rPr>
                <w:lang w:eastAsia="en-AU"/>
              </w:rPr>
              <w:t>Monthly</w:t>
            </w:r>
          </w:p>
        </w:tc>
        <w:tc>
          <w:tcPr>
            <w:tcW w:w="976" w:type="dxa"/>
            <w:hideMark/>
          </w:tcPr>
          <w:p w:rsidR="0086093B" w:rsidRPr="005B0796" w:rsidRDefault="0086093B" w:rsidP="00735191">
            <w:pPr>
              <w:pStyle w:val="TableText"/>
              <w:jc w:val="right"/>
              <w:rPr>
                <w:lang w:eastAsia="en-AU"/>
              </w:rPr>
            </w:pPr>
            <w:r w:rsidRPr="005B0796">
              <w:rPr>
                <w:lang w:eastAsia="en-AU"/>
              </w:rPr>
              <w:t>25.9</w:t>
            </w:r>
          </w:p>
        </w:tc>
        <w:tc>
          <w:tcPr>
            <w:tcW w:w="977" w:type="dxa"/>
            <w:hideMark/>
          </w:tcPr>
          <w:p w:rsidR="0086093B" w:rsidRPr="005B0796" w:rsidRDefault="0086093B" w:rsidP="00735191">
            <w:pPr>
              <w:pStyle w:val="TableText"/>
              <w:jc w:val="right"/>
              <w:rPr>
                <w:lang w:eastAsia="en-AU"/>
              </w:rPr>
            </w:pPr>
            <w:r w:rsidRPr="005B0796">
              <w:rPr>
                <w:lang w:eastAsia="en-AU"/>
              </w:rPr>
              <w:t>0.9</w:t>
            </w:r>
          </w:p>
        </w:tc>
        <w:tc>
          <w:tcPr>
            <w:tcW w:w="977" w:type="dxa"/>
            <w:hideMark/>
          </w:tcPr>
          <w:p w:rsidR="0086093B" w:rsidRPr="005B0796" w:rsidRDefault="0086093B" w:rsidP="00735191">
            <w:pPr>
              <w:pStyle w:val="TableText"/>
              <w:jc w:val="right"/>
              <w:rPr>
                <w:lang w:eastAsia="en-AU"/>
              </w:rPr>
            </w:pPr>
            <w:r w:rsidRPr="005B0796">
              <w:rPr>
                <w:lang w:eastAsia="en-AU"/>
              </w:rPr>
              <w:t>23.9, 27.8</w:t>
            </w:r>
          </w:p>
        </w:tc>
        <w:tc>
          <w:tcPr>
            <w:tcW w:w="977" w:type="dxa"/>
            <w:hideMark/>
          </w:tcPr>
          <w:p w:rsidR="0086093B" w:rsidRPr="005B0796" w:rsidRDefault="0086093B" w:rsidP="00735191">
            <w:pPr>
              <w:pStyle w:val="TableText"/>
              <w:jc w:val="right"/>
              <w:rPr>
                <w:lang w:eastAsia="en-AU"/>
              </w:rPr>
            </w:pPr>
            <w:r w:rsidRPr="005B0796">
              <w:rPr>
                <w:lang w:eastAsia="en-AU"/>
              </w:rPr>
              <w:t>19.8</w:t>
            </w:r>
          </w:p>
        </w:tc>
        <w:tc>
          <w:tcPr>
            <w:tcW w:w="976" w:type="dxa"/>
            <w:hideMark/>
          </w:tcPr>
          <w:p w:rsidR="0086093B" w:rsidRPr="005B0796" w:rsidRDefault="0086093B" w:rsidP="00735191">
            <w:pPr>
              <w:pStyle w:val="TableText"/>
              <w:jc w:val="right"/>
              <w:rPr>
                <w:lang w:eastAsia="en-AU"/>
              </w:rPr>
            </w:pPr>
            <w:r w:rsidRPr="005B0796">
              <w:rPr>
                <w:lang w:eastAsia="en-AU"/>
              </w:rPr>
              <w:t>1.0</w:t>
            </w:r>
          </w:p>
        </w:tc>
        <w:tc>
          <w:tcPr>
            <w:tcW w:w="977" w:type="dxa"/>
            <w:hideMark/>
          </w:tcPr>
          <w:p w:rsidR="0086093B" w:rsidRPr="005B0796" w:rsidRDefault="0086093B" w:rsidP="00735191">
            <w:pPr>
              <w:pStyle w:val="TableText"/>
              <w:jc w:val="right"/>
              <w:rPr>
                <w:lang w:eastAsia="en-AU"/>
              </w:rPr>
            </w:pPr>
            <w:r w:rsidRPr="005B0796">
              <w:rPr>
                <w:lang w:eastAsia="en-AU"/>
              </w:rPr>
              <w:t>17.9, 21.8</w:t>
            </w:r>
          </w:p>
        </w:tc>
        <w:tc>
          <w:tcPr>
            <w:tcW w:w="977" w:type="dxa"/>
            <w:hideMark/>
          </w:tcPr>
          <w:p w:rsidR="0086093B" w:rsidRPr="005B0796" w:rsidRDefault="0086093B" w:rsidP="00735191">
            <w:pPr>
              <w:pStyle w:val="TableText"/>
              <w:jc w:val="right"/>
              <w:rPr>
                <w:lang w:eastAsia="en-AU"/>
              </w:rPr>
            </w:pPr>
            <w:r w:rsidRPr="005B0796">
              <w:rPr>
                <w:lang w:eastAsia="en-AU"/>
              </w:rPr>
              <w:t>6.0</w:t>
            </w:r>
          </w:p>
        </w:tc>
        <w:tc>
          <w:tcPr>
            <w:tcW w:w="977" w:type="dxa"/>
            <w:hideMark/>
          </w:tcPr>
          <w:p w:rsidR="0086093B" w:rsidRPr="005B0796" w:rsidRDefault="0086093B" w:rsidP="00735191">
            <w:pPr>
              <w:pStyle w:val="TableText"/>
              <w:jc w:val="right"/>
              <w:rPr>
                <w:lang w:eastAsia="en-AU"/>
              </w:rPr>
            </w:pPr>
            <w:r w:rsidRPr="005B0796">
              <w:rPr>
                <w:lang w:eastAsia="en-AU"/>
              </w:rPr>
              <w:t>1.4</w:t>
            </w:r>
          </w:p>
        </w:tc>
        <w:tc>
          <w:tcPr>
            <w:tcW w:w="977" w:type="dxa"/>
            <w:hideMark/>
          </w:tcPr>
          <w:p w:rsidR="0086093B" w:rsidRPr="005B0796" w:rsidRDefault="0086093B" w:rsidP="00735191">
            <w:pPr>
              <w:pStyle w:val="TableText"/>
              <w:jc w:val="right"/>
              <w:rPr>
                <w:lang w:eastAsia="en-AU"/>
              </w:rPr>
            </w:pPr>
            <w:r w:rsidRPr="005B0796">
              <w:rPr>
                <w:lang w:eastAsia="en-AU"/>
              </w:rPr>
              <w:t>3.3, 8.8</w:t>
            </w:r>
          </w:p>
        </w:tc>
      </w:tr>
      <w:tr w:rsidR="00735191" w:rsidRPr="005B0796" w:rsidTr="00735191">
        <w:tc>
          <w:tcPr>
            <w:tcW w:w="1098" w:type="dxa"/>
          </w:tcPr>
          <w:p w:rsidR="0086093B" w:rsidRPr="005B0796" w:rsidRDefault="0086093B" w:rsidP="00735191">
            <w:pPr>
              <w:pStyle w:val="TableText"/>
              <w:rPr>
                <w:lang w:eastAsia="en-AU"/>
              </w:rPr>
            </w:pPr>
          </w:p>
        </w:tc>
        <w:tc>
          <w:tcPr>
            <w:tcW w:w="1617" w:type="dxa"/>
            <w:hideMark/>
          </w:tcPr>
          <w:p w:rsidR="0086093B" w:rsidRPr="005B0796" w:rsidRDefault="0086093B" w:rsidP="00735191">
            <w:pPr>
              <w:pStyle w:val="TableText"/>
              <w:rPr>
                <w:lang w:eastAsia="en-AU"/>
              </w:rPr>
            </w:pPr>
            <w:r w:rsidRPr="005B0796">
              <w:rPr>
                <w:lang w:eastAsia="en-AU"/>
              </w:rPr>
              <w:t>Less than monthly</w:t>
            </w:r>
          </w:p>
        </w:tc>
        <w:tc>
          <w:tcPr>
            <w:tcW w:w="976" w:type="dxa"/>
            <w:hideMark/>
          </w:tcPr>
          <w:p w:rsidR="0086093B" w:rsidRPr="005B0796" w:rsidRDefault="0086093B" w:rsidP="00735191">
            <w:pPr>
              <w:pStyle w:val="TableText"/>
              <w:jc w:val="right"/>
              <w:rPr>
                <w:lang w:eastAsia="en-AU"/>
              </w:rPr>
            </w:pPr>
            <w:r w:rsidRPr="005B0796">
              <w:rPr>
                <w:lang w:eastAsia="en-AU"/>
              </w:rPr>
              <w:t>13.1</w:t>
            </w:r>
          </w:p>
        </w:tc>
        <w:tc>
          <w:tcPr>
            <w:tcW w:w="977" w:type="dxa"/>
            <w:hideMark/>
          </w:tcPr>
          <w:p w:rsidR="0086093B" w:rsidRPr="005B0796" w:rsidRDefault="0086093B" w:rsidP="00735191">
            <w:pPr>
              <w:pStyle w:val="TableText"/>
              <w:jc w:val="right"/>
              <w:rPr>
                <w:lang w:eastAsia="en-AU"/>
              </w:rPr>
            </w:pPr>
            <w:r w:rsidRPr="005B0796">
              <w:rPr>
                <w:lang w:eastAsia="en-AU"/>
              </w:rPr>
              <w:t>0.8</w:t>
            </w:r>
          </w:p>
        </w:tc>
        <w:tc>
          <w:tcPr>
            <w:tcW w:w="977" w:type="dxa"/>
            <w:hideMark/>
          </w:tcPr>
          <w:p w:rsidR="0086093B" w:rsidRPr="005B0796" w:rsidRDefault="0086093B" w:rsidP="00735191">
            <w:pPr>
              <w:pStyle w:val="TableText"/>
              <w:jc w:val="right"/>
              <w:rPr>
                <w:lang w:eastAsia="en-AU"/>
              </w:rPr>
            </w:pPr>
            <w:r w:rsidRPr="005B0796">
              <w:rPr>
                <w:lang w:eastAsia="en-AU"/>
              </w:rPr>
              <w:t>11.6, 14.7</w:t>
            </w:r>
          </w:p>
        </w:tc>
        <w:tc>
          <w:tcPr>
            <w:tcW w:w="977" w:type="dxa"/>
            <w:hideMark/>
          </w:tcPr>
          <w:p w:rsidR="0086093B" w:rsidRPr="005B0796" w:rsidRDefault="0086093B" w:rsidP="00735191">
            <w:pPr>
              <w:pStyle w:val="TableText"/>
              <w:jc w:val="right"/>
              <w:rPr>
                <w:lang w:eastAsia="en-AU"/>
              </w:rPr>
            </w:pPr>
            <w:r w:rsidRPr="005B0796">
              <w:rPr>
                <w:lang w:eastAsia="en-AU"/>
              </w:rPr>
              <w:t>11.8</w:t>
            </w:r>
          </w:p>
        </w:tc>
        <w:tc>
          <w:tcPr>
            <w:tcW w:w="976" w:type="dxa"/>
            <w:hideMark/>
          </w:tcPr>
          <w:p w:rsidR="0086093B" w:rsidRPr="005B0796" w:rsidRDefault="0086093B" w:rsidP="00735191">
            <w:pPr>
              <w:pStyle w:val="TableText"/>
              <w:jc w:val="right"/>
              <w:rPr>
                <w:lang w:eastAsia="en-AU"/>
              </w:rPr>
            </w:pPr>
            <w:r w:rsidRPr="005B0796">
              <w:rPr>
                <w:lang w:eastAsia="en-AU"/>
              </w:rPr>
              <w:t>0.7</w:t>
            </w:r>
          </w:p>
        </w:tc>
        <w:tc>
          <w:tcPr>
            <w:tcW w:w="977" w:type="dxa"/>
            <w:hideMark/>
          </w:tcPr>
          <w:p w:rsidR="0086093B" w:rsidRPr="005B0796" w:rsidRDefault="0086093B" w:rsidP="00735191">
            <w:pPr>
              <w:pStyle w:val="TableText"/>
              <w:jc w:val="right"/>
              <w:rPr>
                <w:lang w:eastAsia="en-AU"/>
              </w:rPr>
            </w:pPr>
            <w:r w:rsidRPr="005B0796">
              <w:rPr>
                <w:lang w:eastAsia="en-AU"/>
              </w:rPr>
              <w:t>10.4, 13.2</w:t>
            </w:r>
          </w:p>
        </w:tc>
        <w:tc>
          <w:tcPr>
            <w:tcW w:w="977" w:type="dxa"/>
            <w:hideMark/>
          </w:tcPr>
          <w:p w:rsidR="0086093B" w:rsidRPr="005B0796" w:rsidRDefault="0086093B" w:rsidP="00735191">
            <w:pPr>
              <w:pStyle w:val="TableText"/>
              <w:jc w:val="right"/>
              <w:rPr>
                <w:lang w:eastAsia="en-AU"/>
              </w:rPr>
            </w:pPr>
            <w:r w:rsidRPr="005B0796">
              <w:rPr>
                <w:lang w:eastAsia="en-AU"/>
              </w:rPr>
              <w:t>1.3</w:t>
            </w:r>
          </w:p>
        </w:tc>
        <w:tc>
          <w:tcPr>
            <w:tcW w:w="977" w:type="dxa"/>
            <w:hideMark/>
          </w:tcPr>
          <w:p w:rsidR="0086093B" w:rsidRPr="005B0796" w:rsidRDefault="0086093B" w:rsidP="00735191">
            <w:pPr>
              <w:pStyle w:val="TableText"/>
              <w:jc w:val="right"/>
              <w:rPr>
                <w:lang w:eastAsia="en-AU"/>
              </w:rPr>
            </w:pPr>
            <w:r w:rsidRPr="005B0796">
              <w:rPr>
                <w:lang w:eastAsia="en-AU"/>
              </w:rPr>
              <w:t>1.1</w:t>
            </w:r>
          </w:p>
        </w:tc>
        <w:tc>
          <w:tcPr>
            <w:tcW w:w="977" w:type="dxa"/>
            <w:hideMark/>
          </w:tcPr>
          <w:p w:rsidR="0086093B" w:rsidRPr="005B0796" w:rsidRDefault="0086093B" w:rsidP="00735191">
            <w:pPr>
              <w:pStyle w:val="TableText"/>
              <w:jc w:val="right"/>
              <w:rPr>
                <w:lang w:eastAsia="en-AU"/>
              </w:rPr>
            </w:pPr>
            <w:r w:rsidRPr="005B0796">
              <w:rPr>
                <w:lang w:eastAsia="en-AU"/>
              </w:rPr>
              <w:t>-0.8, 3.3</w:t>
            </w:r>
          </w:p>
        </w:tc>
      </w:tr>
      <w:tr w:rsidR="0086093B" w:rsidRPr="005B0796" w:rsidTr="00735191">
        <w:trPr>
          <w:cnfStyle w:val="000000100000" w:firstRow="0" w:lastRow="0" w:firstColumn="0" w:lastColumn="0" w:oddVBand="0" w:evenVBand="0" w:oddHBand="1" w:evenHBand="0" w:firstRowFirstColumn="0" w:firstRowLastColumn="0" w:lastRowFirstColumn="0" w:lastRowLastColumn="0"/>
        </w:trPr>
        <w:tc>
          <w:tcPr>
            <w:tcW w:w="1098" w:type="dxa"/>
            <w:hideMark/>
          </w:tcPr>
          <w:p w:rsidR="0086093B" w:rsidRPr="005B0796" w:rsidRDefault="0086093B" w:rsidP="00735191">
            <w:pPr>
              <w:pStyle w:val="TableText"/>
              <w:rPr>
                <w:lang w:eastAsia="en-AU"/>
              </w:rPr>
            </w:pPr>
            <w:r w:rsidRPr="005B0796">
              <w:rPr>
                <w:lang w:eastAsia="en-AU"/>
              </w:rPr>
              <w:t>Female</w:t>
            </w:r>
          </w:p>
        </w:tc>
        <w:tc>
          <w:tcPr>
            <w:tcW w:w="1617" w:type="dxa"/>
            <w:hideMark/>
          </w:tcPr>
          <w:p w:rsidR="0086093B" w:rsidRPr="005B0796" w:rsidRDefault="0086093B" w:rsidP="00735191">
            <w:pPr>
              <w:pStyle w:val="TableText"/>
              <w:rPr>
                <w:lang w:eastAsia="en-AU"/>
              </w:rPr>
            </w:pPr>
            <w:r w:rsidRPr="005B0796">
              <w:rPr>
                <w:lang w:eastAsia="en-AU"/>
              </w:rPr>
              <w:t>Daily</w:t>
            </w:r>
          </w:p>
        </w:tc>
        <w:tc>
          <w:tcPr>
            <w:tcW w:w="976" w:type="dxa"/>
            <w:hideMark/>
          </w:tcPr>
          <w:p w:rsidR="0086093B" w:rsidRPr="005B0796" w:rsidRDefault="0086093B" w:rsidP="00735191">
            <w:pPr>
              <w:pStyle w:val="TableText"/>
              <w:jc w:val="right"/>
              <w:rPr>
                <w:lang w:eastAsia="en-AU"/>
              </w:rPr>
            </w:pPr>
            <w:r w:rsidRPr="005B0796">
              <w:rPr>
                <w:lang w:eastAsia="en-AU"/>
              </w:rPr>
              <w:t>2.0</w:t>
            </w:r>
          </w:p>
        </w:tc>
        <w:tc>
          <w:tcPr>
            <w:tcW w:w="977" w:type="dxa"/>
            <w:hideMark/>
          </w:tcPr>
          <w:p w:rsidR="0086093B" w:rsidRPr="005B0796" w:rsidRDefault="0086093B" w:rsidP="00735191">
            <w:pPr>
              <w:pStyle w:val="TableText"/>
              <w:jc w:val="right"/>
              <w:rPr>
                <w:lang w:eastAsia="en-AU"/>
              </w:rPr>
            </w:pPr>
            <w:r w:rsidRPr="005B0796">
              <w:rPr>
                <w:lang w:eastAsia="en-AU"/>
              </w:rPr>
              <w:t>0.4</w:t>
            </w:r>
          </w:p>
        </w:tc>
        <w:tc>
          <w:tcPr>
            <w:tcW w:w="977" w:type="dxa"/>
            <w:hideMark/>
          </w:tcPr>
          <w:p w:rsidR="0086093B" w:rsidRPr="005B0796" w:rsidRDefault="0086093B" w:rsidP="00735191">
            <w:pPr>
              <w:pStyle w:val="TableText"/>
              <w:jc w:val="right"/>
              <w:rPr>
                <w:lang w:eastAsia="en-AU"/>
              </w:rPr>
            </w:pPr>
            <w:r w:rsidRPr="005B0796">
              <w:rPr>
                <w:lang w:eastAsia="en-AU"/>
              </w:rPr>
              <w:t>1.3, 2.9</w:t>
            </w:r>
          </w:p>
        </w:tc>
        <w:tc>
          <w:tcPr>
            <w:tcW w:w="977" w:type="dxa"/>
            <w:hideMark/>
          </w:tcPr>
          <w:p w:rsidR="0086093B" w:rsidRPr="005B0796" w:rsidRDefault="0086093B" w:rsidP="00735191">
            <w:pPr>
              <w:pStyle w:val="TableText"/>
              <w:jc w:val="right"/>
              <w:rPr>
                <w:lang w:eastAsia="en-AU"/>
              </w:rPr>
            </w:pPr>
            <w:r w:rsidRPr="005B0796">
              <w:rPr>
                <w:lang w:eastAsia="en-AU"/>
              </w:rPr>
              <w:t>0.7</w:t>
            </w:r>
          </w:p>
        </w:tc>
        <w:tc>
          <w:tcPr>
            <w:tcW w:w="976" w:type="dxa"/>
            <w:hideMark/>
          </w:tcPr>
          <w:p w:rsidR="0086093B" w:rsidRPr="005B0796" w:rsidRDefault="0086093B" w:rsidP="00735191">
            <w:pPr>
              <w:pStyle w:val="TableText"/>
              <w:jc w:val="right"/>
              <w:rPr>
                <w:lang w:eastAsia="en-AU"/>
              </w:rPr>
            </w:pPr>
            <w:r w:rsidRPr="005B0796">
              <w:rPr>
                <w:lang w:eastAsia="en-AU"/>
              </w:rPr>
              <w:t>0.1</w:t>
            </w:r>
          </w:p>
        </w:tc>
        <w:tc>
          <w:tcPr>
            <w:tcW w:w="977" w:type="dxa"/>
            <w:hideMark/>
          </w:tcPr>
          <w:p w:rsidR="0086093B" w:rsidRPr="005B0796" w:rsidRDefault="0086093B" w:rsidP="00735191">
            <w:pPr>
              <w:pStyle w:val="TableText"/>
              <w:jc w:val="right"/>
              <w:rPr>
                <w:lang w:eastAsia="en-AU"/>
              </w:rPr>
            </w:pPr>
            <w:r w:rsidRPr="005B0796">
              <w:rPr>
                <w:lang w:eastAsia="en-AU"/>
              </w:rPr>
              <w:t>0.5, 0.9</w:t>
            </w:r>
          </w:p>
        </w:tc>
        <w:tc>
          <w:tcPr>
            <w:tcW w:w="977" w:type="dxa"/>
            <w:hideMark/>
          </w:tcPr>
          <w:p w:rsidR="0086093B" w:rsidRPr="005B0796" w:rsidRDefault="0086093B" w:rsidP="00735191">
            <w:pPr>
              <w:pStyle w:val="TableText"/>
              <w:jc w:val="right"/>
              <w:rPr>
                <w:lang w:eastAsia="en-AU"/>
              </w:rPr>
            </w:pPr>
            <w:r w:rsidRPr="005B0796">
              <w:rPr>
                <w:lang w:eastAsia="en-AU"/>
              </w:rPr>
              <w:t>1.3</w:t>
            </w:r>
          </w:p>
        </w:tc>
        <w:tc>
          <w:tcPr>
            <w:tcW w:w="977" w:type="dxa"/>
            <w:hideMark/>
          </w:tcPr>
          <w:p w:rsidR="0086093B" w:rsidRPr="005B0796" w:rsidRDefault="0086093B" w:rsidP="00735191">
            <w:pPr>
              <w:pStyle w:val="TableText"/>
              <w:jc w:val="right"/>
              <w:rPr>
                <w:lang w:eastAsia="en-AU"/>
              </w:rPr>
            </w:pPr>
            <w:r w:rsidRPr="005B0796">
              <w:rPr>
                <w:lang w:eastAsia="en-AU"/>
              </w:rPr>
              <w:t>0.4</w:t>
            </w:r>
          </w:p>
        </w:tc>
        <w:tc>
          <w:tcPr>
            <w:tcW w:w="977" w:type="dxa"/>
            <w:hideMark/>
          </w:tcPr>
          <w:p w:rsidR="0086093B" w:rsidRPr="005B0796" w:rsidRDefault="0086093B" w:rsidP="00735191">
            <w:pPr>
              <w:pStyle w:val="TableText"/>
              <w:jc w:val="right"/>
              <w:rPr>
                <w:lang w:eastAsia="en-AU"/>
              </w:rPr>
            </w:pPr>
            <w:r w:rsidRPr="005B0796">
              <w:rPr>
                <w:lang w:eastAsia="en-AU"/>
              </w:rPr>
              <w:t>0.4, 2.1</w:t>
            </w:r>
          </w:p>
        </w:tc>
      </w:tr>
      <w:tr w:rsidR="00735191" w:rsidRPr="005B0796" w:rsidTr="00735191">
        <w:tc>
          <w:tcPr>
            <w:tcW w:w="1098" w:type="dxa"/>
          </w:tcPr>
          <w:p w:rsidR="0086093B" w:rsidRPr="005B0796" w:rsidRDefault="0086093B" w:rsidP="00735191">
            <w:pPr>
              <w:pStyle w:val="TableText"/>
              <w:rPr>
                <w:lang w:eastAsia="en-AU"/>
              </w:rPr>
            </w:pPr>
          </w:p>
        </w:tc>
        <w:tc>
          <w:tcPr>
            <w:tcW w:w="1617" w:type="dxa"/>
            <w:hideMark/>
          </w:tcPr>
          <w:p w:rsidR="0086093B" w:rsidRPr="005B0796" w:rsidRDefault="0086093B" w:rsidP="00735191">
            <w:pPr>
              <w:pStyle w:val="TableText"/>
              <w:rPr>
                <w:lang w:eastAsia="en-AU"/>
              </w:rPr>
            </w:pPr>
            <w:r w:rsidRPr="005B0796">
              <w:rPr>
                <w:lang w:eastAsia="en-AU"/>
              </w:rPr>
              <w:t>Weekly</w:t>
            </w:r>
          </w:p>
        </w:tc>
        <w:tc>
          <w:tcPr>
            <w:tcW w:w="976" w:type="dxa"/>
            <w:hideMark/>
          </w:tcPr>
          <w:p w:rsidR="0086093B" w:rsidRPr="005B0796" w:rsidRDefault="0086093B" w:rsidP="00735191">
            <w:pPr>
              <w:pStyle w:val="TableText"/>
              <w:jc w:val="right"/>
              <w:rPr>
                <w:lang w:eastAsia="en-AU"/>
              </w:rPr>
            </w:pPr>
            <w:r w:rsidRPr="005B0796">
              <w:rPr>
                <w:lang w:eastAsia="en-AU"/>
              </w:rPr>
              <w:t>38.7</w:t>
            </w:r>
          </w:p>
        </w:tc>
        <w:tc>
          <w:tcPr>
            <w:tcW w:w="977" w:type="dxa"/>
            <w:hideMark/>
          </w:tcPr>
          <w:p w:rsidR="0086093B" w:rsidRPr="005B0796" w:rsidRDefault="0086093B" w:rsidP="00735191">
            <w:pPr>
              <w:pStyle w:val="TableText"/>
              <w:jc w:val="right"/>
              <w:rPr>
                <w:lang w:eastAsia="en-AU"/>
              </w:rPr>
            </w:pPr>
            <w:r w:rsidRPr="005B0796">
              <w:rPr>
                <w:lang w:eastAsia="en-AU"/>
              </w:rPr>
              <w:t>2.2</w:t>
            </w:r>
          </w:p>
        </w:tc>
        <w:tc>
          <w:tcPr>
            <w:tcW w:w="977" w:type="dxa"/>
            <w:hideMark/>
          </w:tcPr>
          <w:p w:rsidR="0086093B" w:rsidRPr="005B0796" w:rsidRDefault="0086093B" w:rsidP="00735191">
            <w:pPr>
              <w:pStyle w:val="TableText"/>
              <w:jc w:val="right"/>
              <w:rPr>
                <w:lang w:eastAsia="en-AU"/>
              </w:rPr>
            </w:pPr>
            <w:r w:rsidRPr="005B0796">
              <w:rPr>
                <w:lang w:eastAsia="en-AU"/>
              </w:rPr>
              <w:t>34.5, 43.0</w:t>
            </w:r>
          </w:p>
        </w:tc>
        <w:tc>
          <w:tcPr>
            <w:tcW w:w="977" w:type="dxa"/>
            <w:hideMark/>
          </w:tcPr>
          <w:p w:rsidR="0086093B" w:rsidRPr="005B0796" w:rsidRDefault="0086093B" w:rsidP="00735191">
            <w:pPr>
              <w:pStyle w:val="TableText"/>
              <w:jc w:val="right"/>
              <w:rPr>
                <w:lang w:eastAsia="en-AU"/>
              </w:rPr>
            </w:pPr>
            <w:r w:rsidRPr="005B0796">
              <w:rPr>
                <w:lang w:eastAsia="en-AU"/>
              </w:rPr>
              <w:t>30.8</w:t>
            </w:r>
          </w:p>
        </w:tc>
        <w:tc>
          <w:tcPr>
            <w:tcW w:w="976" w:type="dxa"/>
            <w:hideMark/>
          </w:tcPr>
          <w:p w:rsidR="0086093B" w:rsidRPr="005B0796" w:rsidRDefault="0086093B" w:rsidP="00735191">
            <w:pPr>
              <w:pStyle w:val="TableText"/>
              <w:jc w:val="right"/>
              <w:rPr>
                <w:lang w:eastAsia="en-AU"/>
              </w:rPr>
            </w:pPr>
            <w:r w:rsidRPr="005B0796">
              <w:rPr>
                <w:lang w:eastAsia="en-AU"/>
              </w:rPr>
              <w:t>0.9</w:t>
            </w:r>
          </w:p>
        </w:tc>
        <w:tc>
          <w:tcPr>
            <w:tcW w:w="977" w:type="dxa"/>
            <w:hideMark/>
          </w:tcPr>
          <w:p w:rsidR="0086093B" w:rsidRPr="005B0796" w:rsidRDefault="0086093B" w:rsidP="00735191">
            <w:pPr>
              <w:pStyle w:val="TableText"/>
              <w:jc w:val="right"/>
              <w:rPr>
                <w:lang w:eastAsia="en-AU"/>
              </w:rPr>
            </w:pPr>
            <w:r w:rsidRPr="005B0796">
              <w:rPr>
                <w:lang w:eastAsia="en-AU"/>
              </w:rPr>
              <w:t>29.1, 32.6</w:t>
            </w:r>
          </w:p>
        </w:tc>
        <w:tc>
          <w:tcPr>
            <w:tcW w:w="977" w:type="dxa"/>
            <w:hideMark/>
          </w:tcPr>
          <w:p w:rsidR="0086093B" w:rsidRPr="005B0796" w:rsidRDefault="0086093B" w:rsidP="00735191">
            <w:pPr>
              <w:pStyle w:val="TableText"/>
              <w:jc w:val="right"/>
              <w:rPr>
                <w:lang w:eastAsia="en-AU"/>
              </w:rPr>
            </w:pPr>
            <w:r w:rsidRPr="005B0796">
              <w:rPr>
                <w:lang w:eastAsia="en-AU"/>
              </w:rPr>
              <w:t>7.8</w:t>
            </w:r>
          </w:p>
        </w:tc>
        <w:tc>
          <w:tcPr>
            <w:tcW w:w="977" w:type="dxa"/>
            <w:hideMark/>
          </w:tcPr>
          <w:p w:rsidR="0086093B" w:rsidRPr="005B0796" w:rsidRDefault="0086093B" w:rsidP="00735191">
            <w:pPr>
              <w:pStyle w:val="TableText"/>
              <w:jc w:val="right"/>
              <w:rPr>
                <w:lang w:eastAsia="en-AU"/>
              </w:rPr>
            </w:pPr>
            <w:r w:rsidRPr="005B0796">
              <w:rPr>
                <w:lang w:eastAsia="en-AU"/>
              </w:rPr>
              <w:t>2.4</w:t>
            </w:r>
          </w:p>
        </w:tc>
        <w:tc>
          <w:tcPr>
            <w:tcW w:w="977" w:type="dxa"/>
            <w:hideMark/>
          </w:tcPr>
          <w:p w:rsidR="0086093B" w:rsidRPr="005B0796" w:rsidRDefault="0086093B" w:rsidP="00735191">
            <w:pPr>
              <w:pStyle w:val="TableText"/>
              <w:jc w:val="right"/>
              <w:rPr>
                <w:lang w:eastAsia="en-AU"/>
              </w:rPr>
            </w:pPr>
            <w:r w:rsidRPr="005B0796">
              <w:rPr>
                <w:lang w:eastAsia="en-AU"/>
              </w:rPr>
              <w:t>3.2, 12.4</w:t>
            </w:r>
          </w:p>
        </w:tc>
      </w:tr>
      <w:tr w:rsidR="0086093B" w:rsidRPr="005B0796" w:rsidTr="00735191">
        <w:trPr>
          <w:cnfStyle w:val="000000100000" w:firstRow="0" w:lastRow="0" w:firstColumn="0" w:lastColumn="0" w:oddVBand="0" w:evenVBand="0" w:oddHBand="1" w:evenHBand="0" w:firstRowFirstColumn="0" w:firstRowLastColumn="0" w:lastRowFirstColumn="0" w:lastRowLastColumn="0"/>
        </w:trPr>
        <w:tc>
          <w:tcPr>
            <w:tcW w:w="1098" w:type="dxa"/>
          </w:tcPr>
          <w:p w:rsidR="0086093B" w:rsidRPr="005B0796" w:rsidRDefault="0086093B" w:rsidP="00735191">
            <w:pPr>
              <w:pStyle w:val="TableText"/>
              <w:rPr>
                <w:lang w:eastAsia="en-AU"/>
              </w:rPr>
            </w:pPr>
          </w:p>
        </w:tc>
        <w:tc>
          <w:tcPr>
            <w:tcW w:w="1617" w:type="dxa"/>
            <w:hideMark/>
          </w:tcPr>
          <w:p w:rsidR="0086093B" w:rsidRPr="005B0796" w:rsidRDefault="0086093B" w:rsidP="00735191">
            <w:pPr>
              <w:pStyle w:val="TableText"/>
              <w:rPr>
                <w:lang w:eastAsia="en-AU"/>
              </w:rPr>
            </w:pPr>
            <w:r w:rsidRPr="005B0796">
              <w:rPr>
                <w:lang w:eastAsia="en-AU"/>
              </w:rPr>
              <w:t>Monthly</w:t>
            </w:r>
          </w:p>
        </w:tc>
        <w:tc>
          <w:tcPr>
            <w:tcW w:w="976" w:type="dxa"/>
            <w:hideMark/>
          </w:tcPr>
          <w:p w:rsidR="0086093B" w:rsidRPr="005B0796" w:rsidRDefault="0086093B" w:rsidP="00735191">
            <w:pPr>
              <w:pStyle w:val="TableText"/>
              <w:jc w:val="right"/>
              <w:rPr>
                <w:lang w:eastAsia="en-AU"/>
              </w:rPr>
            </w:pPr>
            <w:r w:rsidRPr="005B0796">
              <w:rPr>
                <w:lang w:eastAsia="en-AU"/>
              </w:rPr>
              <w:t>27.5</w:t>
            </w:r>
          </w:p>
        </w:tc>
        <w:tc>
          <w:tcPr>
            <w:tcW w:w="977" w:type="dxa"/>
            <w:hideMark/>
          </w:tcPr>
          <w:p w:rsidR="0086093B" w:rsidRPr="005B0796" w:rsidRDefault="0086093B" w:rsidP="00735191">
            <w:pPr>
              <w:pStyle w:val="TableText"/>
              <w:jc w:val="right"/>
              <w:rPr>
                <w:lang w:eastAsia="en-AU"/>
              </w:rPr>
            </w:pPr>
            <w:r w:rsidRPr="005B0796">
              <w:rPr>
                <w:lang w:eastAsia="en-AU"/>
              </w:rPr>
              <w:t>2.1</w:t>
            </w:r>
          </w:p>
        </w:tc>
        <w:tc>
          <w:tcPr>
            <w:tcW w:w="977" w:type="dxa"/>
            <w:hideMark/>
          </w:tcPr>
          <w:p w:rsidR="0086093B" w:rsidRPr="005B0796" w:rsidRDefault="0086093B" w:rsidP="00735191">
            <w:pPr>
              <w:pStyle w:val="TableText"/>
              <w:jc w:val="right"/>
              <w:rPr>
                <w:lang w:eastAsia="en-AU"/>
              </w:rPr>
            </w:pPr>
            <w:r w:rsidRPr="005B0796">
              <w:rPr>
                <w:lang w:eastAsia="en-AU"/>
              </w:rPr>
              <w:t>23.6, 31.9</w:t>
            </w:r>
          </w:p>
        </w:tc>
        <w:tc>
          <w:tcPr>
            <w:tcW w:w="977" w:type="dxa"/>
            <w:hideMark/>
          </w:tcPr>
          <w:p w:rsidR="0086093B" w:rsidRPr="005B0796" w:rsidRDefault="0086093B" w:rsidP="00735191">
            <w:pPr>
              <w:pStyle w:val="TableText"/>
              <w:jc w:val="right"/>
              <w:rPr>
                <w:lang w:eastAsia="en-AU"/>
              </w:rPr>
            </w:pPr>
            <w:r w:rsidRPr="005B0796">
              <w:rPr>
                <w:lang w:eastAsia="en-AU"/>
              </w:rPr>
              <w:t>21.6</w:t>
            </w:r>
          </w:p>
        </w:tc>
        <w:tc>
          <w:tcPr>
            <w:tcW w:w="976" w:type="dxa"/>
            <w:hideMark/>
          </w:tcPr>
          <w:p w:rsidR="0086093B" w:rsidRPr="005B0796" w:rsidRDefault="0086093B" w:rsidP="00735191">
            <w:pPr>
              <w:pStyle w:val="TableText"/>
              <w:jc w:val="right"/>
              <w:rPr>
                <w:lang w:eastAsia="en-AU"/>
              </w:rPr>
            </w:pPr>
            <w:r w:rsidRPr="005B0796">
              <w:rPr>
                <w:lang w:eastAsia="en-AU"/>
              </w:rPr>
              <w:t>0.9</w:t>
            </w:r>
          </w:p>
        </w:tc>
        <w:tc>
          <w:tcPr>
            <w:tcW w:w="977" w:type="dxa"/>
            <w:hideMark/>
          </w:tcPr>
          <w:p w:rsidR="0086093B" w:rsidRPr="005B0796" w:rsidRDefault="0086093B" w:rsidP="00735191">
            <w:pPr>
              <w:pStyle w:val="TableText"/>
              <w:jc w:val="right"/>
              <w:rPr>
                <w:lang w:eastAsia="en-AU"/>
              </w:rPr>
            </w:pPr>
            <w:r w:rsidRPr="005B0796">
              <w:rPr>
                <w:lang w:eastAsia="en-AU"/>
              </w:rPr>
              <w:t>19.9, 23.3</w:t>
            </w:r>
          </w:p>
        </w:tc>
        <w:tc>
          <w:tcPr>
            <w:tcW w:w="977" w:type="dxa"/>
            <w:hideMark/>
          </w:tcPr>
          <w:p w:rsidR="0086093B" w:rsidRPr="005B0796" w:rsidRDefault="0086093B" w:rsidP="00735191">
            <w:pPr>
              <w:pStyle w:val="TableText"/>
              <w:jc w:val="right"/>
              <w:rPr>
                <w:lang w:eastAsia="en-AU"/>
              </w:rPr>
            </w:pPr>
            <w:r w:rsidRPr="005B0796">
              <w:rPr>
                <w:lang w:eastAsia="en-AU"/>
              </w:rPr>
              <w:t>5.9</w:t>
            </w:r>
          </w:p>
        </w:tc>
        <w:tc>
          <w:tcPr>
            <w:tcW w:w="977" w:type="dxa"/>
            <w:hideMark/>
          </w:tcPr>
          <w:p w:rsidR="0086093B" w:rsidRPr="005B0796" w:rsidRDefault="0086093B" w:rsidP="00735191">
            <w:pPr>
              <w:pStyle w:val="TableText"/>
              <w:jc w:val="right"/>
              <w:rPr>
                <w:lang w:eastAsia="en-AU"/>
              </w:rPr>
            </w:pPr>
            <w:r w:rsidRPr="005B0796">
              <w:rPr>
                <w:lang w:eastAsia="en-AU"/>
              </w:rPr>
              <w:t>2.3</w:t>
            </w:r>
          </w:p>
        </w:tc>
        <w:tc>
          <w:tcPr>
            <w:tcW w:w="977" w:type="dxa"/>
            <w:hideMark/>
          </w:tcPr>
          <w:p w:rsidR="0086093B" w:rsidRPr="005B0796" w:rsidRDefault="0086093B" w:rsidP="00735191">
            <w:pPr>
              <w:pStyle w:val="TableText"/>
              <w:jc w:val="right"/>
              <w:rPr>
                <w:lang w:eastAsia="en-AU"/>
              </w:rPr>
            </w:pPr>
            <w:r w:rsidRPr="005B0796">
              <w:rPr>
                <w:lang w:eastAsia="en-AU"/>
              </w:rPr>
              <w:t>1.4, 10.4</w:t>
            </w:r>
          </w:p>
        </w:tc>
      </w:tr>
      <w:tr w:rsidR="0086093B" w:rsidRPr="005B0796" w:rsidTr="00735191">
        <w:trPr>
          <w:cnfStyle w:val="010000000000" w:firstRow="0" w:lastRow="1" w:firstColumn="0" w:lastColumn="0" w:oddVBand="0" w:evenVBand="0" w:oddHBand="0" w:evenHBand="0" w:firstRowFirstColumn="0" w:firstRowLastColumn="0" w:lastRowFirstColumn="0" w:lastRowLastColumn="0"/>
        </w:trPr>
        <w:tc>
          <w:tcPr>
            <w:tcW w:w="1098" w:type="dxa"/>
          </w:tcPr>
          <w:p w:rsidR="0086093B" w:rsidRPr="005B0796" w:rsidRDefault="0086093B" w:rsidP="00735191">
            <w:pPr>
              <w:pStyle w:val="TableText"/>
              <w:rPr>
                <w:lang w:eastAsia="en-AU"/>
              </w:rPr>
            </w:pPr>
          </w:p>
        </w:tc>
        <w:tc>
          <w:tcPr>
            <w:tcW w:w="1617" w:type="dxa"/>
            <w:hideMark/>
          </w:tcPr>
          <w:p w:rsidR="0086093B" w:rsidRPr="005B0796" w:rsidRDefault="0086093B" w:rsidP="00735191">
            <w:pPr>
              <w:pStyle w:val="TableText"/>
              <w:rPr>
                <w:lang w:eastAsia="en-AU"/>
              </w:rPr>
            </w:pPr>
            <w:r w:rsidRPr="005B0796">
              <w:rPr>
                <w:lang w:eastAsia="en-AU"/>
              </w:rPr>
              <w:t>Less than monthly</w:t>
            </w:r>
          </w:p>
        </w:tc>
        <w:tc>
          <w:tcPr>
            <w:tcW w:w="976" w:type="dxa"/>
            <w:hideMark/>
          </w:tcPr>
          <w:p w:rsidR="0086093B" w:rsidRPr="005B0796" w:rsidRDefault="0086093B" w:rsidP="00735191">
            <w:pPr>
              <w:pStyle w:val="TableText"/>
              <w:jc w:val="right"/>
              <w:rPr>
                <w:lang w:eastAsia="en-AU"/>
              </w:rPr>
            </w:pPr>
            <w:r w:rsidRPr="005B0796">
              <w:rPr>
                <w:lang w:eastAsia="en-AU"/>
              </w:rPr>
              <w:t>21.0</w:t>
            </w:r>
          </w:p>
        </w:tc>
        <w:tc>
          <w:tcPr>
            <w:tcW w:w="977" w:type="dxa"/>
            <w:hideMark/>
          </w:tcPr>
          <w:p w:rsidR="0086093B" w:rsidRPr="005B0796" w:rsidRDefault="0086093B" w:rsidP="00735191">
            <w:pPr>
              <w:pStyle w:val="TableText"/>
              <w:jc w:val="right"/>
              <w:rPr>
                <w:lang w:eastAsia="en-AU"/>
              </w:rPr>
            </w:pPr>
            <w:r w:rsidRPr="005B0796">
              <w:rPr>
                <w:lang w:eastAsia="en-AU"/>
              </w:rPr>
              <w:t>1.9</w:t>
            </w:r>
          </w:p>
        </w:tc>
        <w:tc>
          <w:tcPr>
            <w:tcW w:w="977" w:type="dxa"/>
            <w:hideMark/>
          </w:tcPr>
          <w:p w:rsidR="0086093B" w:rsidRPr="005B0796" w:rsidRDefault="0086093B" w:rsidP="00735191">
            <w:pPr>
              <w:pStyle w:val="TableText"/>
              <w:jc w:val="right"/>
              <w:rPr>
                <w:lang w:eastAsia="en-AU"/>
              </w:rPr>
            </w:pPr>
            <w:r w:rsidRPr="005B0796">
              <w:rPr>
                <w:lang w:eastAsia="en-AU"/>
              </w:rPr>
              <w:t>17.5, 25.0</w:t>
            </w:r>
          </w:p>
        </w:tc>
        <w:tc>
          <w:tcPr>
            <w:tcW w:w="977" w:type="dxa"/>
            <w:hideMark/>
          </w:tcPr>
          <w:p w:rsidR="0086093B" w:rsidRPr="005B0796" w:rsidRDefault="0086093B" w:rsidP="00735191">
            <w:pPr>
              <w:pStyle w:val="TableText"/>
              <w:jc w:val="right"/>
              <w:rPr>
                <w:lang w:eastAsia="en-AU"/>
              </w:rPr>
            </w:pPr>
            <w:r w:rsidRPr="005B0796">
              <w:rPr>
                <w:lang w:eastAsia="en-AU"/>
              </w:rPr>
              <w:t>21.1</w:t>
            </w:r>
          </w:p>
        </w:tc>
        <w:tc>
          <w:tcPr>
            <w:tcW w:w="976" w:type="dxa"/>
            <w:hideMark/>
          </w:tcPr>
          <w:p w:rsidR="0086093B" w:rsidRPr="005B0796" w:rsidRDefault="0086093B" w:rsidP="00735191">
            <w:pPr>
              <w:pStyle w:val="TableText"/>
              <w:jc w:val="right"/>
              <w:rPr>
                <w:lang w:eastAsia="en-AU"/>
              </w:rPr>
            </w:pPr>
            <w:r w:rsidRPr="005B0796">
              <w:rPr>
                <w:lang w:eastAsia="en-AU"/>
              </w:rPr>
              <w:t>0.8</w:t>
            </w:r>
          </w:p>
        </w:tc>
        <w:tc>
          <w:tcPr>
            <w:tcW w:w="977" w:type="dxa"/>
            <w:hideMark/>
          </w:tcPr>
          <w:p w:rsidR="0086093B" w:rsidRPr="005B0796" w:rsidRDefault="0086093B" w:rsidP="00735191">
            <w:pPr>
              <w:pStyle w:val="TableText"/>
              <w:jc w:val="right"/>
              <w:rPr>
                <w:lang w:eastAsia="en-AU"/>
              </w:rPr>
            </w:pPr>
            <w:r w:rsidRPr="005B0796">
              <w:rPr>
                <w:lang w:eastAsia="en-AU"/>
              </w:rPr>
              <w:t>19.4, 22.7</w:t>
            </w:r>
          </w:p>
        </w:tc>
        <w:tc>
          <w:tcPr>
            <w:tcW w:w="977" w:type="dxa"/>
            <w:hideMark/>
          </w:tcPr>
          <w:p w:rsidR="0086093B" w:rsidRPr="005B0796" w:rsidRDefault="0086093B" w:rsidP="00735191">
            <w:pPr>
              <w:pStyle w:val="TableText"/>
              <w:jc w:val="right"/>
              <w:rPr>
                <w:lang w:eastAsia="en-AU"/>
              </w:rPr>
            </w:pPr>
            <w:r w:rsidRPr="005B0796">
              <w:rPr>
                <w:lang w:eastAsia="en-AU"/>
              </w:rPr>
              <w:t>-0.1</w:t>
            </w:r>
          </w:p>
        </w:tc>
        <w:tc>
          <w:tcPr>
            <w:tcW w:w="977" w:type="dxa"/>
            <w:hideMark/>
          </w:tcPr>
          <w:p w:rsidR="0086093B" w:rsidRPr="005B0796" w:rsidRDefault="0086093B" w:rsidP="00735191">
            <w:pPr>
              <w:pStyle w:val="TableText"/>
              <w:jc w:val="right"/>
              <w:rPr>
                <w:lang w:eastAsia="en-AU"/>
              </w:rPr>
            </w:pPr>
            <w:r w:rsidRPr="005B0796">
              <w:rPr>
                <w:lang w:eastAsia="en-AU"/>
              </w:rPr>
              <w:t>2.1</w:t>
            </w:r>
          </w:p>
        </w:tc>
        <w:tc>
          <w:tcPr>
            <w:tcW w:w="977" w:type="dxa"/>
            <w:hideMark/>
          </w:tcPr>
          <w:p w:rsidR="0086093B" w:rsidRPr="005B0796" w:rsidRDefault="0086093B" w:rsidP="00735191">
            <w:pPr>
              <w:pStyle w:val="TableText"/>
              <w:jc w:val="right"/>
              <w:rPr>
                <w:lang w:eastAsia="en-AU"/>
              </w:rPr>
            </w:pPr>
            <w:r w:rsidRPr="005B0796">
              <w:rPr>
                <w:lang w:eastAsia="en-AU"/>
              </w:rPr>
              <w:t>-4.2, 4.0</w:t>
            </w:r>
          </w:p>
        </w:tc>
      </w:tr>
    </w:tbl>
    <w:p w:rsidR="0086093B" w:rsidRPr="005B0796" w:rsidRDefault="00735191" w:rsidP="00735191">
      <w:pPr>
        <w:pStyle w:val="TableNotes"/>
      </w:pPr>
      <w:r w:rsidRPr="005B0796">
        <w:t xml:space="preserve">Note: 95% CI: 95% </w:t>
      </w:r>
      <w:r w:rsidR="00564689" w:rsidRPr="005B0796">
        <w:t>confidence interval</w:t>
      </w:r>
    </w:p>
    <w:p w:rsidR="0086093B" w:rsidRPr="005B0796" w:rsidRDefault="0086093B" w:rsidP="0086093B"/>
    <w:p w:rsidR="0086093B" w:rsidRPr="005B0796" w:rsidRDefault="0086093B" w:rsidP="0086093B">
      <w:pPr>
        <w:sectPr w:rsidR="0086093B" w:rsidRPr="005B0796" w:rsidSect="00BE66A5">
          <w:headerReference w:type="even" r:id="rId266"/>
          <w:headerReference w:type="default" r:id="rId267"/>
          <w:footerReference w:type="even" r:id="rId268"/>
          <w:footerReference w:type="default" r:id="rId269"/>
          <w:pgSz w:w="14170" w:h="9979" w:orient="landscape" w:code="243"/>
          <w:pgMar w:top="1872" w:right="1440" w:bottom="1152" w:left="1440" w:header="576" w:footer="576" w:gutter="0"/>
          <w:cols w:space="708"/>
          <w:docGrid w:linePitch="360"/>
        </w:sectPr>
      </w:pPr>
    </w:p>
    <w:p w:rsidR="0086093B" w:rsidRPr="005B0796" w:rsidRDefault="00735191" w:rsidP="00735191">
      <w:pPr>
        <w:pStyle w:val="FigureName"/>
      </w:pPr>
      <w:bookmarkStart w:id="1265" w:name="_Toc511900592"/>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6</w:t>
      </w:r>
      <w:r w:rsidR="00D30A3C">
        <w:rPr>
          <w:noProof/>
        </w:rPr>
        <w:fldChar w:fldCharType="end"/>
      </w:r>
      <w:r w:rsidRPr="005B0796">
        <w:tab/>
        <w:t>Estimated proportions for frequency of alcohol consumption in Transitioned ADF compared to Australian Community in the last 12 months</w:t>
      </w:r>
      <w:r w:rsidR="00E13799">
        <w:t>,</w:t>
      </w:r>
      <w:r w:rsidRPr="005B0796">
        <w:t xml:space="preserve"> by sex</w:t>
      </w:r>
      <w:bookmarkEnd w:id="1265"/>
    </w:p>
    <w:tbl>
      <w:tblPr>
        <w:tblW w:w="5000" w:type="pct"/>
        <w:tblLayout w:type="fixed"/>
        <w:tblCellMar>
          <w:left w:w="115" w:type="dxa"/>
          <w:right w:w="115" w:type="dxa"/>
        </w:tblCellMar>
        <w:tblLook w:val="04A0" w:firstRow="1" w:lastRow="0" w:firstColumn="1" w:lastColumn="0" w:noHBand="0" w:noVBand="1"/>
      </w:tblPr>
      <w:tblGrid>
        <w:gridCol w:w="7329"/>
      </w:tblGrid>
      <w:tr w:rsidR="0086093B" w:rsidRPr="005B0796" w:rsidTr="00735191">
        <w:trPr>
          <w:cantSplit/>
        </w:trPr>
        <w:tc>
          <w:tcPr>
            <w:tcW w:w="7315" w:type="dxa"/>
          </w:tcPr>
          <w:p w:rsidR="0086093B" w:rsidRPr="005B0796" w:rsidRDefault="0086093B" w:rsidP="0099117C">
            <w:r w:rsidRPr="005B0796">
              <w:rPr>
                <w:rFonts w:asciiTheme="minorHAnsi" w:hAnsiTheme="minorHAnsi"/>
                <w:noProof/>
                <w:lang w:eastAsia="en-AU"/>
              </w:rPr>
              <w:drawing>
                <wp:inline distT="0" distB="0" distL="0" distR="0" wp14:anchorId="397059B7" wp14:editId="262E884A">
                  <wp:extent cx="4572000" cy="2743200"/>
                  <wp:effectExtent l="0" t="0" r="0" b="0"/>
                  <wp:docPr id="322" name="Chart 322" descr="Figure 6.6 Estimated proportions for frequency of alcohol consumption in Transitioned ADF compared to Australian Community in the last 12 month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c>
      </w:tr>
    </w:tbl>
    <w:p w:rsidR="0086093B" w:rsidRPr="005B0796" w:rsidRDefault="0086093B" w:rsidP="00735191">
      <w:pPr>
        <w:pStyle w:val="Heading3"/>
      </w:pPr>
      <w:bookmarkStart w:id="1266" w:name="_Toc487011251"/>
      <w:bookmarkStart w:id="1267" w:name="_Toc493663146"/>
      <w:bookmarkStart w:id="1268" w:name="_Toc494449771"/>
      <w:bookmarkStart w:id="1269" w:name="_Toc511900353"/>
      <w:r w:rsidRPr="005B0796">
        <w:t>Maximum number of standard alcoholic drinks consumed on a single occasion in the last 12 months in Transitioned ADF compared to Australian Community</w:t>
      </w:r>
      <w:r w:rsidR="00E13799">
        <w:t>,</w:t>
      </w:r>
      <w:r w:rsidRPr="005B0796">
        <w:t xml:space="preserve"> by sex</w:t>
      </w:r>
      <w:bookmarkEnd w:id="1266"/>
      <w:bookmarkEnd w:id="1267"/>
      <w:bookmarkEnd w:id="1268"/>
      <w:bookmarkEnd w:id="1269"/>
    </w:p>
    <w:p w:rsidR="0086093B" w:rsidRPr="005B0796" w:rsidRDefault="0086093B" w:rsidP="00352B18">
      <w:r w:rsidRPr="005B0796">
        <w:t>Table 6.7 and Figure 6.7 examine the maximum number of standard drinks consumed on a single occasion in the previous 12 months in the Transitioned ADF and the Australian Community, by sex. Overall, Australian Community males drank more standard drinks on a single occasion in the last 12 months than males in the Transitioned ADF. Additionally, a significantly higher proportion of Australian Community males (51.4%) drank seven or more standard drinks on a single occasion compared to Transitioned ADF males (35.2%). Compared to Transitioned ADF males, Australian Community males were also significantly more likely to report drinking only one or two standard drinks on a single occasion. For females, the only significant difference between the two groups was for those who drank 11 or more standard drinks in one day, with Australian Community females significantly more likely (14.6%, 95% CI 13.4, 15.9) than Transitioned ADF females (8.1%, 95% CI 5.9, 10.9) to do so.</w:t>
      </w:r>
    </w:p>
    <w:p w:rsidR="0086093B" w:rsidRPr="005B0796" w:rsidRDefault="00352B18" w:rsidP="00352B18">
      <w:pPr>
        <w:pStyle w:val="TableName"/>
      </w:pPr>
      <w:bookmarkStart w:id="1270" w:name="_Toc487014335"/>
      <w:bookmarkStart w:id="1271" w:name="_Toc492995638"/>
      <w:bookmarkStart w:id="1272" w:name="_Toc511900487"/>
      <w:bookmarkStart w:id="1273" w:name="_Ref484695232"/>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7</w:t>
      </w:r>
      <w:r w:rsidR="00D30A3C">
        <w:rPr>
          <w:noProof/>
        </w:rPr>
        <w:fldChar w:fldCharType="end"/>
      </w:r>
      <w:r w:rsidRPr="005B0796">
        <w:tab/>
        <w:t>Estimated proportions for maximum number of standard drinks on a single occasion in the last 12 months in Transitioned ADF compared to the Australian Community</w:t>
      </w:r>
      <w:r w:rsidR="00E13799">
        <w:t>,</w:t>
      </w:r>
      <w:r w:rsidRPr="005B0796">
        <w:t xml:space="preserve"> by sex</w:t>
      </w:r>
      <w:bookmarkEnd w:id="1270"/>
      <w:bookmarkEnd w:id="1271"/>
      <w:bookmarkEnd w:id="1272"/>
    </w:p>
    <w:bookmarkEnd w:id="1273"/>
    <w:tbl>
      <w:tblPr>
        <w:tblStyle w:val="TWRPTable"/>
        <w:tblW w:w="5000" w:type="pct"/>
        <w:tblLayout w:type="fixed"/>
        <w:tblLook w:val="01E0" w:firstRow="1" w:lastRow="1" w:firstColumn="1" w:lastColumn="1" w:noHBand="0" w:noVBand="0"/>
        <w:tblDescription w:val="Table 6.7 Estimated proportions for maximum number of standard drinks on a single occasion in the last 12 months in Transitioned ADF compared to the Australian Community by sex"/>
      </w:tblPr>
      <w:tblGrid>
        <w:gridCol w:w="648"/>
        <w:gridCol w:w="540"/>
        <w:gridCol w:w="630"/>
        <w:gridCol w:w="540"/>
        <w:gridCol w:w="872"/>
        <w:gridCol w:w="568"/>
        <w:gridCol w:w="630"/>
        <w:gridCol w:w="844"/>
        <w:gridCol w:w="596"/>
        <w:gridCol w:w="630"/>
        <w:gridCol w:w="817"/>
      </w:tblGrid>
      <w:tr w:rsidR="00352B18" w:rsidRPr="005B0796" w:rsidTr="00352B18">
        <w:trPr>
          <w:cnfStyle w:val="100000000000" w:firstRow="1" w:lastRow="0" w:firstColumn="0" w:lastColumn="0" w:oddVBand="0" w:evenVBand="0" w:oddHBand="0" w:evenHBand="0" w:firstRowFirstColumn="0" w:firstRowLastColumn="0" w:lastRowFirstColumn="0" w:lastRowLastColumn="0"/>
          <w:cantSplit/>
          <w:tblHeader/>
        </w:trPr>
        <w:tc>
          <w:tcPr>
            <w:tcW w:w="648" w:type="dxa"/>
            <w:vMerge w:val="restart"/>
          </w:tcPr>
          <w:p w:rsidR="00352B18" w:rsidRPr="005B0796" w:rsidRDefault="00352B18" w:rsidP="00352B18">
            <w:pPr>
              <w:pStyle w:val="TableText"/>
              <w:rPr>
                <w:lang w:eastAsia="en-AU"/>
              </w:rPr>
            </w:pPr>
          </w:p>
        </w:tc>
        <w:tc>
          <w:tcPr>
            <w:tcW w:w="540" w:type="dxa"/>
            <w:vMerge w:val="restart"/>
          </w:tcPr>
          <w:p w:rsidR="00352B18" w:rsidRPr="005B0796" w:rsidRDefault="00352B18" w:rsidP="00352B18">
            <w:pPr>
              <w:pStyle w:val="TableText"/>
              <w:rPr>
                <w:lang w:eastAsia="en-AU"/>
              </w:rPr>
            </w:pPr>
          </w:p>
        </w:tc>
        <w:tc>
          <w:tcPr>
            <w:tcW w:w="2042" w:type="dxa"/>
            <w:gridSpan w:val="3"/>
            <w:hideMark/>
          </w:tcPr>
          <w:p w:rsidR="00352B18" w:rsidRPr="005B0796" w:rsidRDefault="00352B18" w:rsidP="00352B18">
            <w:pPr>
              <w:pStyle w:val="TableText"/>
              <w:jc w:val="center"/>
              <w:rPr>
                <w:lang w:eastAsia="en-AU"/>
              </w:rPr>
            </w:pPr>
            <w:r w:rsidRPr="005B0796">
              <w:rPr>
                <w:bCs/>
                <w:lang w:eastAsia="en-AU"/>
              </w:rPr>
              <w:t>Transitioned ADF</w:t>
            </w:r>
            <w:r w:rsidRPr="005B0796">
              <w:rPr>
                <w:bCs/>
                <w:lang w:eastAsia="en-AU"/>
              </w:rPr>
              <w:br/>
            </w:r>
            <w:r w:rsidRPr="005B0796">
              <w:rPr>
                <w:lang w:eastAsia="en-AU"/>
              </w:rPr>
              <w:t>(n = 24,932)</w:t>
            </w:r>
          </w:p>
        </w:tc>
        <w:tc>
          <w:tcPr>
            <w:tcW w:w="2042" w:type="dxa"/>
            <w:gridSpan w:val="3"/>
            <w:hideMark/>
          </w:tcPr>
          <w:p w:rsidR="00352B18" w:rsidRPr="005B0796" w:rsidRDefault="00352B18" w:rsidP="00352B18">
            <w:pPr>
              <w:pStyle w:val="TableText"/>
              <w:jc w:val="center"/>
              <w:rPr>
                <w:lang w:eastAsia="en-AU"/>
              </w:rPr>
            </w:pPr>
            <w:r w:rsidRPr="005B0796">
              <w:rPr>
                <w:bCs/>
                <w:lang w:eastAsia="en-AU"/>
              </w:rPr>
              <w:t>Australian Community</w:t>
            </w:r>
          </w:p>
        </w:tc>
        <w:tc>
          <w:tcPr>
            <w:tcW w:w="2043" w:type="dxa"/>
            <w:gridSpan w:val="3"/>
            <w:hideMark/>
          </w:tcPr>
          <w:p w:rsidR="00352B18" w:rsidRPr="005B0796" w:rsidRDefault="00352B18" w:rsidP="00352B18">
            <w:pPr>
              <w:pStyle w:val="TableText"/>
              <w:jc w:val="center"/>
              <w:rPr>
                <w:bCs/>
                <w:lang w:eastAsia="en-AU"/>
              </w:rPr>
            </w:pPr>
            <w:r w:rsidRPr="005B0796">
              <w:rPr>
                <w:bCs/>
                <w:lang w:eastAsia="en-AU"/>
              </w:rPr>
              <w:t>Difference</w:t>
            </w:r>
          </w:p>
        </w:tc>
      </w:tr>
      <w:tr w:rsidR="00352B18" w:rsidRPr="005B0796" w:rsidTr="00352B18">
        <w:trPr>
          <w:cnfStyle w:val="100000000000" w:firstRow="1" w:lastRow="0" w:firstColumn="0" w:lastColumn="0" w:oddVBand="0" w:evenVBand="0" w:oddHBand="0" w:evenHBand="0" w:firstRowFirstColumn="0" w:firstRowLastColumn="0" w:lastRowFirstColumn="0" w:lastRowLastColumn="0"/>
          <w:cantSplit/>
          <w:tblHeader/>
        </w:trPr>
        <w:tc>
          <w:tcPr>
            <w:tcW w:w="648" w:type="dxa"/>
            <w:vMerge/>
          </w:tcPr>
          <w:p w:rsidR="00352B18" w:rsidRPr="005B0796" w:rsidRDefault="00352B18" w:rsidP="00352B18">
            <w:pPr>
              <w:pStyle w:val="TableText"/>
              <w:rPr>
                <w:rFonts w:eastAsia="GillSans"/>
                <w:lang w:eastAsia="en-AU"/>
              </w:rPr>
            </w:pPr>
          </w:p>
        </w:tc>
        <w:tc>
          <w:tcPr>
            <w:tcW w:w="540" w:type="dxa"/>
            <w:vMerge/>
          </w:tcPr>
          <w:p w:rsidR="00352B18" w:rsidRPr="005B0796" w:rsidRDefault="00352B18" w:rsidP="00352B18">
            <w:pPr>
              <w:pStyle w:val="TableText"/>
              <w:rPr>
                <w:rFonts w:eastAsia="GillSans"/>
                <w:lang w:eastAsia="en-AU"/>
              </w:rPr>
            </w:pPr>
          </w:p>
        </w:tc>
        <w:tc>
          <w:tcPr>
            <w:tcW w:w="630" w:type="dxa"/>
            <w:hideMark/>
          </w:tcPr>
          <w:p w:rsidR="00352B18" w:rsidRPr="005B0796" w:rsidRDefault="00352B18" w:rsidP="00352B18">
            <w:pPr>
              <w:pStyle w:val="TableText"/>
              <w:jc w:val="right"/>
              <w:rPr>
                <w:lang w:eastAsia="en-AU"/>
              </w:rPr>
            </w:pPr>
            <w:r w:rsidRPr="005B0796">
              <w:rPr>
                <w:lang w:eastAsia="en-AU"/>
              </w:rPr>
              <w:t>%</w:t>
            </w:r>
          </w:p>
        </w:tc>
        <w:tc>
          <w:tcPr>
            <w:tcW w:w="540" w:type="dxa"/>
            <w:hideMark/>
          </w:tcPr>
          <w:p w:rsidR="00352B18" w:rsidRPr="005B0796" w:rsidRDefault="00352B18" w:rsidP="00352B18">
            <w:pPr>
              <w:pStyle w:val="TableText"/>
              <w:jc w:val="right"/>
              <w:rPr>
                <w:lang w:eastAsia="en-AU"/>
              </w:rPr>
            </w:pPr>
            <w:r w:rsidRPr="005B0796">
              <w:rPr>
                <w:lang w:eastAsia="en-AU"/>
              </w:rPr>
              <w:t>SE</w:t>
            </w:r>
          </w:p>
        </w:tc>
        <w:tc>
          <w:tcPr>
            <w:tcW w:w="872" w:type="dxa"/>
            <w:hideMark/>
          </w:tcPr>
          <w:p w:rsidR="00352B18" w:rsidRPr="005B0796" w:rsidRDefault="00352B18" w:rsidP="00352B18">
            <w:pPr>
              <w:pStyle w:val="TableText"/>
              <w:jc w:val="right"/>
              <w:rPr>
                <w:lang w:eastAsia="en-AU"/>
              </w:rPr>
            </w:pPr>
            <w:r w:rsidRPr="005B0796">
              <w:rPr>
                <w:lang w:eastAsia="en-AU"/>
              </w:rPr>
              <w:t>95% CI</w:t>
            </w:r>
          </w:p>
        </w:tc>
        <w:tc>
          <w:tcPr>
            <w:tcW w:w="568" w:type="dxa"/>
            <w:hideMark/>
          </w:tcPr>
          <w:p w:rsidR="00352B18" w:rsidRPr="005B0796" w:rsidRDefault="00352B18" w:rsidP="00352B18">
            <w:pPr>
              <w:pStyle w:val="TableText"/>
              <w:jc w:val="right"/>
              <w:rPr>
                <w:lang w:eastAsia="en-AU"/>
              </w:rPr>
            </w:pPr>
            <w:r w:rsidRPr="005B0796">
              <w:rPr>
                <w:lang w:eastAsia="en-AU"/>
              </w:rPr>
              <w:t>%</w:t>
            </w:r>
          </w:p>
        </w:tc>
        <w:tc>
          <w:tcPr>
            <w:tcW w:w="630" w:type="dxa"/>
            <w:hideMark/>
          </w:tcPr>
          <w:p w:rsidR="00352B18" w:rsidRPr="005B0796" w:rsidRDefault="00352B18" w:rsidP="00352B18">
            <w:pPr>
              <w:pStyle w:val="TableText"/>
              <w:jc w:val="right"/>
              <w:rPr>
                <w:lang w:eastAsia="en-AU"/>
              </w:rPr>
            </w:pPr>
            <w:r w:rsidRPr="005B0796">
              <w:rPr>
                <w:lang w:eastAsia="en-AU"/>
              </w:rPr>
              <w:t>SE</w:t>
            </w:r>
          </w:p>
        </w:tc>
        <w:tc>
          <w:tcPr>
            <w:tcW w:w="844" w:type="dxa"/>
            <w:hideMark/>
          </w:tcPr>
          <w:p w:rsidR="00352B18" w:rsidRPr="005B0796" w:rsidRDefault="00352B18" w:rsidP="00352B18">
            <w:pPr>
              <w:pStyle w:val="TableText"/>
              <w:jc w:val="right"/>
              <w:rPr>
                <w:lang w:eastAsia="en-AU"/>
              </w:rPr>
            </w:pPr>
            <w:r w:rsidRPr="005B0796">
              <w:rPr>
                <w:lang w:eastAsia="en-AU"/>
              </w:rPr>
              <w:t>95% CI</w:t>
            </w:r>
          </w:p>
        </w:tc>
        <w:tc>
          <w:tcPr>
            <w:tcW w:w="596" w:type="dxa"/>
            <w:hideMark/>
          </w:tcPr>
          <w:p w:rsidR="00352B18" w:rsidRPr="005B0796" w:rsidRDefault="00352B18" w:rsidP="00352B18">
            <w:pPr>
              <w:pStyle w:val="TableText"/>
              <w:jc w:val="right"/>
              <w:rPr>
                <w:lang w:eastAsia="en-AU"/>
              </w:rPr>
            </w:pPr>
            <w:r w:rsidRPr="005B0796">
              <w:rPr>
                <w:lang w:eastAsia="en-AU"/>
              </w:rPr>
              <w:t>%</w:t>
            </w:r>
          </w:p>
        </w:tc>
        <w:tc>
          <w:tcPr>
            <w:tcW w:w="630" w:type="dxa"/>
            <w:hideMark/>
          </w:tcPr>
          <w:p w:rsidR="00352B18" w:rsidRPr="005B0796" w:rsidRDefault="00352B18" w:rsidP="00352B18">
            <w:pPr>
              <w:pStyle w:val="TableText"/>
              <w:jc w:val="right"/>
              <w:rPr>
                <w:lang w:eastAsia="en-AU"/>
              </w:rPr>
            </w:pPr>
            <w:r w:rsidRPr="005B0796">
              <w:rPr>
                <w:lang w:eastAsia="en-AU"/>
              </w:rPr>
              <w:t>SE</w:t>
            </w:r>
          </w:p>
        </w:tc>
        <w:tc>
          <w:tcPr>
            <w:tcW w:w="817" w:type="dxa"/>
            <w:hideMark/>
          </w:tcPr>
          <w:p w:rsidR="00352B18" w:rsidRPr="005B0796" w:rsidRDefault="00352B18" w:rsidP="00352B18">
            <w:pPr>
              <w:pStyle w:val="TableText"/>
              <w:jc w:val="right"/>
              <w:rPr>
                <w:lang w:eastAsia="en-AU"/>
              </w:rPr>
            </w:pPr>
            <w:r w:rsidRPr="005B0796">
              <w:rPr>
                <w:lang w:eastAsia="en-AU"/>
              </w:rPr>
              <w:t>95% CI</w:t>
            </w:r>
          </w:p>
        </w:tc>
      </w:tr>
      <w:tr w:rsidR="00352B18" w:rsidRPr="005B0796" w:rsidTr="00352B18">
        <w:trPr>
          <w:cnfStyle w:val="000000100000" w:firstRow="0" w:lastRow="0" w:firstColumn="0" w:lastColumn="0" w:oddVBand="0" w:evenVBand="0" w:oddHBand="1" w:evenHBand="0" w:firstRowFirstColumn="0" w:firstRowLastColumn="0" w:lastRowFirstColumn="0" w:lastRowLastColumn="0"/>
          <w:cantSplit/>
        </w:trPr>
        <w:tc>
          <w:tcPr>
            <w:tcW w:w="648" w:type="dxa"/>
            <w:hideMark/>
          </w:tcPr>
          <w:p w:rsidR="0086093B" w:rsidRPr="005B0796" w:rsidRDefault="0086093B" w:rsidP="00352B18">
            <w:pPr>
              <w:pStyle w:val="TableText"/>
              <w:rPr>
                <w:lang w:eastAsia="en-AU"/>
              </w:rPr>
            </w:pPr>
            <w:r w:rsidRPr="005B0796">
              <w:rPr>
                <w:lang w:eastAsia="en-AU"/>
              </w:rPr>
              <w:t>Male</w:t>
            </w:r>
          </w:p>
        </w:tc>
        <w:tc>
          <w:tcPr>
            <w:tcW w:w="540" w:type="dxa"/>
            <w:hideMark/>
          </w:tcPr>
          <w:p w:rsidR="0086093B" w:rsidRPr="005B0796" w:rsidRDefault="0086093B" w:rsidP="00352B18">
            <w:pPr>
              <w:pStyle w:val="TableText"/>
              <w:rPr>
                <w:rFonts w:eastAsia="GillSans"/>
                <w:lang w:eastAsia="en-AU"/>
              </w:rPr>
            </w:pPr>
            <w:r w:rsidRPr="005B0796">
              <w:rPr>
                <w:lang w:eastAsia="en-AU"/>
              </w:rPr>
              <w:t>11 +</w:t>
            </w:r>
          </w:p>
        </w:tc>
        <w:tc>
          <w:tcPr>
            <w:tcW w:w="630" w:type="dxa"/>
            <w:hideMark/>
          </w:tcPr>
          <w:p w:rsidR="0086093B" w:rsidRPr="005B0796" w:rsidRDefault="0086093B" w:rsidP="00352B18">
            <w:pPr>
              <w:pStyle w:val="TableText"/>
              <w:jc w:val="right"/>
              <w:rPr>
                <w:lang w:eastAsia="en-AU"/>
              </w:rPr>
            </w:pPr>
            <w:r w:rsidRPr="005B0796">
              <w:rPr>
                <w:lang w:eastAsia="en-AU"/>
              </w:rPr>
              <w:t>23.6</w:t>
            </w:r>
          </w:p>
        </w:tc>
        <w:tc>
          <w:tcPr>
            <w:tcW w:w="540" w:type="dxa"/>
            <w:hideMark/>
          </w:tcPr>
          <w:p w:rsidR="0086093B" w:rsidRPr="005B0796" w:rsidRDefault="0086093B" w:rsidP="00352B18">
            <w:pPr>
              <w:pStyle w:val="TableText"/>
              <w:jc w:val="right"/>
              <w:rPr>
                <w:lang w:eastAsia="en-AU"/>
              </w:rPr>
            </w:pPr>
            <w:r w:rsidRPr="005B0796">
              <w:rPr>
                <w:lang w:eastAsia="en-AU"/>
              </w:rPr>
              <w:t>0.9</w:t>
            </w:r>
          </w:p>
        </w:tc>
        <w:tc>
          <w:tcPr>
            <w:tcW w:w="872" w:type="dxa"/>
            <w:hideMark/>
          </w:tcPr>
          <w:p w:rsidR="0086093B" w:rsidRPr="005B0796" w:rsidRDefault="0086093B" w:rsidP="00352B18">
            <w:pPr>
              <w:pStyle w:val="TableText"/>
              <w:jc w:val="right"/>
              <w:rPr>
                <w:lang w:eastAsia="en-AU"/>
              </w:rPr>
            </w:pPr>
            <w:r w:rsidRPr="005B0796">
              <w:rPr>
                <w:lang w:eastAsia="en-AU"/>
              </w:rPr>
              <w:t>21.8, 25.5</w:t>
            </w:r>
          </w:p>
        </w:tc>
        <w:tc>
          <w:tcPr>
            <w:tcW w:w="568" w:type="dxa"/>
            <w:hideMark/>
          </w:tcPr>
          <w:p w:rsidR="0086093B" w:rsidRPr="005B0796" w:rsidRDefault="0086093B" w:rsidP="00352B18">
            <w:pPr>
              <w:pStyle w:val="TableText"/>
              <w:jc w:val="right"/>
              <w:rPr>
                <w:lang w:eastAsia="en-AU"/>
              </w:rPr>
            </w:pPr>
            <w:r w:rsidRPr="005B0796">
              <w:rPr>
                <w:lang w:eastAsia="en-AU"/>
              </w:rPr>
              <w:t>37.2</w:t>
            </w:r>
          </w:p>
        </w:tc>
        <w:tc>
          <w:tcPr>
            <w:tcW w:w="630" w:type="dxa"/>
            <w:hideMark/>
          </w:tcPr>
          <w:p w:rsidR="0086093B" w:rsidRPr="005B0796" w:rsidRDefault="0086093B" w:rsidP="00352B18">
            <w:pPr>
              <w:pStyle w:val="TableText"/>
              <w:jc w:val="right"/>
              <w:rPr>
                <w:lang w:eastAsia="en-AU"/>
              </w:rPr>
            </w:pPr>
            <w:r w:rsidRPr="005B0796">
              <w:rPr>
                <w:lang w:eastAsia="en-AU"/>
              </w:rPr>
              <w:t>1.1</w:t>
            </w:r>
          </w:p>
        </w:tc>
        <w:tc>
          <w:tcPr>
            <w:tcW w:w="844" w:type="dxa"/>
            <w:hideMark/>
          </w:tcPr>
          <w:p w:rsidR="0086093B" w:rsidRPr="005B0796" w:rsidRDefault="0086093B" w:rsidP="00352B18">
            <w:pPr>
              <w:pStyle w:val="TableText"/>
              <w:jc w:val="right"/>
              <w:rPr>
                <w:lang w:eastAsia="en-AU"/>
              </w:rPr>
            </w:pPr>
            <w:r w:rsidRPr="005B0796">
              <w:rPr>
                <w:lang w:eastAsia="en-AU"/>
              </w:rPr>
              <w:t>35.9, 39.3</w:t>
            </w:r>
          </w:p>
        </w:tc>
        <w:tc>
          <w:tcPr>
            <w:tcW w:w="596" w:type="dxa"/>
            <w:hideMark/>
          </w:tcPr>
          <w:p w:rsidR="0086093B" w:rsidRPr="005B0796" w:rsidRDefault="0086093B" w:rsidP="00352B18">
            <w:pPr>
              <w:pStyle w:val="TableText"/>
              <w:jc w:val="right"/>
              <w:rPr>
                <w:lang w:eastAsia="en-AU"/>
              </w:rPr>
            </w:pPr>
            <w:r w:rsidRPr="005B0796">
              <w:rPr>
                <w:lang w:eastAsia="en-AU"/>
              </w:rPr>
              <w:t>13.6</w:t>
            </w:r>
          </w:p>
        </w:tc>
        <w:tc>
          <w:tcPr>
            <w:tcW w:w="630" w:type="dxa"/>
            <w:hideMark/>
          </w:tcPr>
          <w:p w:rsidR="0086093B" w:rsidRPr="005B0796" w:rsidRDefault="0086093B" w:rsidP="00352B18">
            <w:pPr>
              <w:pStyle w:val="TableText"/>
              <w:jc w:val="right"/>
              <w:rPr>
                <w:lang w:eastAsia="en-AU"/>
              </w:rPr>
            </w:pPr>
            <w:r w:rsidRPr="005B0796">
              <w:rPr>
                <w:lang w:eastAsia="en-AU"/>
              </w:rPr>
              <w:t>1.5</w:t>
            </w:r>
          </w:p>
        </w:tc>
        <w:tc>
          <w:tcPr>
            <w:tcW w:w="817" w:type="dxa"/>
            <w:hideMark/>
          </w:tcPr>
          <w:p w:rsidR="0086093B" w:rsidRPr="005B0796" w:rsidRDefault="0086093B" w:rsidP="00352B18">
            <w:pPr>
              <w:pStyle w:val="TableText"/>
              <w:jc w:val="right"/>
              <w:rPr>
                <w:lang w:eastAsia="en-AU"/>
              </w:rPr>
            </w:pPr>
            <w:r w:rsidRPr="005B0796">
              <w:rPr>
                <w:lang w:eastAsia="en-AU"/>
              </w:rPr>
              <w:t>-16.4, -10.7</w:t>
            </w:r>
          </w:p>
        </w:tc>
      </w:tr>
      <w:tr w:rsidR="00352B18" w:rsidRPr="005B0796" w:rsidTr="00352B18">
        <w:trPr>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rFonts w:eastAsia="GillSans"/>
                <w:lang w:eastAsia="en-AU"/>
              </w:rPr>
            </w:pPr>
            <w:r w:rsidRPr="005B0796">
              <w:rPr>
                <w:lang w:eastAsia="en-AU"/>
              </w:rPr>
              <w:t>7–10</w:t>
            </w:r>
          </w:p>
        </w:tc>
        <w:tc>
          <w:tcPr>
            <w:tcW w:w="630" w:type="dxa"/>
            <w:hideMark/>
          </w:tcPr>
          <w:p w:rsidR="0086093B" w:rsidRPr="005B0796" w:rsidRDefault="0086093B" w:rsidP="00352B18">
            <w:pPr>
              <w:pStyle w:val="TableText"/>
              <w:jc w:val="right"/>
              <w:rPr>
                <w:lang w:eastAsia="en-AU"/>
              </w:rPr>
            </w:pPr>
            <w:r w:rsidRPr="005B0796">
              <w:rPr>
                <w:lang w:eastAsia="en-AU"/>
              </w:rPr>
              <w:t>11.6</w:t>
            </w:r>
          </w:p>
        </w:tc>
        <w:tc>
          <w:tcPr>
            <w:tcW w:w="540" w:type="dxa"/>
            <w:hideMark/>
          </w:tcPr>
          <w:p w:rsidR="0086093B" w:rsidRPr="005B0796" w:rsidRDefault="0086093B" w:rsidP="00352B18">
            <w:pPr>
              <w:pStyle w:val="TableText"/>
              <w:jc w:val="right"/>
              <w:rPr>
                <w:lang w:eastAsia="en-AU"/>
              </w:rPr>
            </w:pPr>
            <w:r w:rsidRPr="005B0796">
              <w:rPr>
                <w:lang w:eastAsia="en-AU"/>
              </w:rPr>
              <w:t>0.7</w:t>
            </w:r>
          </w:p>
        </w:tc>
        <w:tc>
          <w:tcPr>
            <w:tcW w:w="872" w:type="dxa"/>
            <w:hideMark/>
          </w:tcPr>
          <w:p w:rsidR="0086093B" w:rsidRPr="005B0796" w:rsidRDefault="0086093B" w:rsidP="00352B18">
            <w:pPr>
              <w:pStyle w:val="TableText"/>
              <w:jc w:val="right"/>
              <w:rPr>
                <w:lang w:eastAsia="en-AU"/>
              </w:rPr>
            </w:pPr>
            <w:r w:rsidRPr="005B0796">
              <w:rPr>
                <w:lang w:eastAsia="en-AU"/>
              </w:rPr>
              <w:t>10.3, 13.0</w:t>
            </w:r>
          </w:p>
        </w:tc>
        <w:tc>
          <w:tcPr>
            <w:tcW w:w="568" w:type="dxa"/>
            <w:hideMark/>
          </w:tcPr>
          <w:p w:rsidR="0086093B" w:rsidRPr="005B0796" w:rsidRDefault="0086093B" w:rsidP="00352B18">
            <w:pPr>
              <w:pStyle w:val="TableText"/>
              <w:jc w:val="right"/>
              <w:rPr>
                <w:lang w:eastAsia="en-AU"/>
              </w:rPr>
            </w:pPr>
            <w:r w:rsidRPr="005B0796">
              <w:rPr>
                <w:lang w:eastAsia="en-AU"/>
              </w:rPr>
              <w:t>14.2</w:t>
            </w:r>
          </w:p>
        </w:tc>
        <w:tc>
          <w:tcPr>
            <w:tcW w:w="630" w:type="dxa"/>
            <w:hideMark/>
          </w:tcPr>
          <w:p w:rsidR="0086093B" w:rsidRPr="005B0796" w:rsidRDefault="0086093B" w:rsidP="00352B18">
            <w:pPr>
              <w:pStyle w:val="TableText"/>
              <w:jc w:val="right"/>
              <w:rPr>
                <w:lang w:eastAsia="en-AU"/>
              </w:rPr>
            </w:pPr>
            <w:r w:rsidRPr="005B0796">
              <w:rPr>
                <w:lang w:eastAsia="en-AU"/>
              </w:rPr>
              <w:t>0.8</w:t>
            </w:r>
          </w:p>
        </w:tc>
        <w:tc>
          <w:tcPr>
            <w:tcW w:w="844" w:type="dxa"/>
            <w:hideMark/>
          </w:tcPr>
          <w:p w:rsidR="0086093B" w:rsidRPr="005B0796" w:rsidRDefault="0086093B" w:rsidP="00352B18">
            <w:pPr>
              <w:pStyle w:val="TableText"/>
              <w:jc w:val="right"/>
              <w:rPr>
                <w:lang w:eastAsia="en-AU"/>
              </w:rPr>
            </w:pPr>
            <w:r w:rsidRPr="005B0796">
              <w:rPr>
                <w:lang w:eastAsia="en-AU"/>
              </w:rPr>
              <w:t>12.7, 15.8</w:t>
            </w:r>
          </w:p>
        </w:tc>
        <w:tc>
          <w:tcPr>
            <w:tcW w:w="596" w:type="dxa"/>
            <w:hideMark/>
          </w:tcPr>
          <w:p w:rsidR="0086093B" w:rsidRPr="005B0796" w:rsidRDefault="0086093B" w:rsidP="00352B18">
            <w:pPr>
              <w:pStyle w:val="TableText"/>
              <w:jc w:val="right"/>
              <w:rPr>
                <w:lang w:eastAsia="en-AU"/>
              </w:rPr>
            </w:pPr>
            <w:r w:rsidRPr="005B0796">
              <w:rPr>
                <w:lang w:eastAsia="en-AU"/>
              </w:rPr>
              <w:t>-2.6</w:t>
            </w:r>
          </w:p>
        </w:tc>
        <w:tc>
          <w:tcPr>
            <w:tcW w:w="630" w:type="dxa"/>
            <w:hideMark/>
          </w:tcPr>
          <w:p w:rsidR="0086093B" w:rsidRPr="005B0796" w:rsidRDefault="0086093B" w:rsidP="00352B18">
            <w:pPr>
              <w:pStyle w:val="TableText"/>
              <w:jc w:val="right"/>
              <w:rPr>
                <w:lang w:eastAsia="en-AU"/>
              </w:rPr>
            </w:pPr>
            <w:r w:rsidRPr="005B0796">
              <w:rPr>
                <w:lang w:eastAsia="en-AU"/>
              </w:rPr>
              <w:t>1.0</w:t>
            </w:r>
          </w:p>
        </w:tc>
        <w:tc>
          <w:tcPr>
            <w:tcW w:w="817" w:type="dxa"/>
            <w:hideMark/>
          </w:tcPr>
          <w:p w:rsidR="0086093B" w:rsidRPr="005B0796" w:rsidRDefault="0086093B" w:rsidP="00352B18">
            <w:pPr>
              <w:pStyle w:val="TableText"/>
              <w:jc w:val="right"/>
              <w:rPr>
                <w:lang w:eastAsia="en-AU"/>
              </w:rPr>
            </w:pPr>
            <w:r w:rsidRPr="005B0796">
              <w:rPr>
                <w:lang w:eastAsia="en-AU"/>
              </w:rPr>
              <w:t>-4.6, -0.6</w:t>
            </w:r>
          </w:p>
        </w:tc>
      </w:tr>
      <w:tr w:rsidR="00352B18" w:rsidRPr="005B0796" w:rsidTr="00352B18">
        <w:trPr>
          <w:cnfStyle w:val="000000100000" w:firstRow="0" w:lastRow="0" w:firstColumn="0" w:lastColumn="0" w:oddVBand="0" w:evenVBand="0" w:oddHBand="1" w:evenHBand="0" w:firstRowFirstColumn="0" w:firstRowLastColumn="0" w:lastRowFirstColumn="0" w:lastRowLastColumn="0"/>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rFonts w:eastAsia="GillSans"/>
                <w:lang w:eastAsia="en-AU"/>
              </w:rPr>
            </w:pPr>
            <w:r w:rsidRPr="005B0796">
              <w:rPr>
                <w:lang w:eastAsia="en-AU"/>
              </w:rPr>
              <w:t xml:space="preserve">5–6 </w:t>
            </w:r>
          </w:p>
        </w:tc>
        <w:tc>
          <w:tcPr>
            <w:tcW w:w="630" w:type="dxa"/>
            <w:hideMark/>
          </w:tcPr>
          <w:p w:rsidR="0086093B" w:rsidRPr="005B0796" w:rsidRDefault="0086093B" w:rsidP="00352B18">
            <w:pPr>
              <w:pStyle w:val="TableText"/>
              <w:jc w:val="right"/>
              <w:rPr>
                <w:lang w:eastAsia="en-AU"/>
              </w:rPr>
            </w:pPr>
            <w:r w:rsidRPr="005B0796">
              <w:rPr>
                <w:lang w:eastAsia="en-AU"/>
              </w:rPr>
              <w:t>12.9</w:t>
            </w:r>
          </w:p>
        </w:tc>
        <w:tc>
          <w:tcPr>
            <w:tcW w:w="540" w:type="dxa"/>
            <w:hideMark/>
          </w:tcPr>
          <w:p w:rsidR="0086093B" w:rsidRPr="005B0796" w:rsidRDefault="0086093B" w:rsidP="00352B18">
            <w:pPr>
              <w:pStyle w:val="TableText"/>
              <w:jc w:val="right"/>
              <w:rPr>
                <w:lang w:eastAsia="en-AU"/>
              </w:rPr>
            </w:pPr>
            <w:r w:rsidRPr="005B0796">
              <w:rPr>
                <w:lang w:eastAsia="en-AU"/>
              </w:rPr>
              <w:t>0.7</w:t>
            </w:r>
          </w:p>
        </w:tc>
        <w:tc>
          <w:tcPr>
            <w:tcW w:w="872" w:type="dxa"/>
            <w:hideMark/>
          </w:tcPr>
          <w:p w:rsidR="0086093B" w:rsidRPr="005B0796" w:rsidRDefault="0086093B" w:rsidP="00352B18">
            <w:pPr>
              <w:pStyle w:val="TableText"/>
              <w:jc w:val="right"/>
              <w:rPr>
                <w:lang w:eastAsia="en-AU"/>
              </w:rPr>
            </w:pPr>
            <w:r w:rsidRPr="005B0796">
              <w:rPr>
                <w:lang w:eastAsia="en-AU"/>
              </w:rPr>
              <w:t>11.6, 14.3</w:t>
            </w:r>
          </w:p>
        </w:tc>
        <w:tc>
          <w:tcPr>
            <w:tcW w:w="568" w:type="dxa"/>
            <w:hideMark/>
          </w:tcPr>
          <w:p w:rsidR="0086093B" w:rsidRPr="005B0796" w:rsidRDefault="0086093B" w:rsidP="00352B18">
            <w:pPr>
              <w:pStyle w:val="TableText"/>
              <w:jc w:val="right"/>
              <w:rPr>
                <w:lang w:eastAsia="en-AU"/>
              </w:rPr>
            </w:pPr>
            <w:r w:rsidRPr="005B0796">
              <w:rPr>
                <w:lang w:eastAsia="en-AU"/>
              </w:rPr>
              <w:t>10.4</w:t>
            </w:r>
          </w:p>
        </w:tc>
        <w:tc>
          <w:tcPr>
            <w:tcW w:w="630" w:type="dxa"/>
            <w:hideMark/>
          </w:tcPr>
          <w:p w:rsidR="0086093B" w:rsidRPr="005B0796" w:rsidRDefault="0086093B" w:rsidP="00352B18">
            <w:pPr>
              <w:pStyle w:val="TableText"/>
              <w:jc w:val="right"/>
              <w:rPr>
                <w:lang w:eastAsia="en-AU"/>
              </w:rPr>
            </w:pPr>
            <w:r w:rsidRPr="005B0796">
              <w:rPr>
                <w:lang w:eastAsia="en-AU"/>
              </w:rPr>
              <w:t>0.6</w:t>
            </w:r>
          </w:p>
        </w:tc>
        <w:tc>
          <w:tcPr>
            <w:tcW w:w="844" w:type="dxa"/>
            <w:hideMark/>
          </w:tcPr>
          <w:p w:rsidR="0086093B" w:rsidRPr="005B0796" w:rsidRDefault="0086093B" w:rsidP="00352B18">
            <w:pPr>
              <w:pStyle w:val="TableText"/>
              <w:jc w:val="right"/>
              <w:rPr>
                <w:lang w:eastAsia="en-AU"/>
              </w:rPr>
            </w:pPr>
            <w:r w:rsidRPr="005B0796">
              <w:rPr>
                <w:lang w:eastAsia="en-AU"/>
              </w:rPr>
              <w:t>9.1, 11.6</w:t>
            </w:r>
          </w:p>
        </w:tc>
        <w:tc>
          <w:tcPr>
            <w:tcW w:w="596" w:type="dxa"/>
            <w:hideMark/>
          </w:tcPr>
          <w:p w:rsidR="0086093B" w:rsidRPr="005B0796" w:rsidRDefault="0086093B" w:rsidP="00352B18">
            <w:pPr>
              <w:pStyle w:val="TableText"/>
              <w:jc w:val="right"/>
              <w:rPr>
                <w:lang w:eastAsia="en-AU"/>
              </w:rPr>
            </w:pPr>
            <w:r w:rsidRPr="005B0796">
              <w:rPr>
                <w:lang w:eastAsia="en-AU"/>
              </w:rPr>
              <w:t>2.5</w:t>
            </w:r>
          </w:p>
        </w:tc>
        <w:tc>
          <w:tcPr>
            <w:tcW w:w="630" w:type="dxa"/>
            <w:hideMark/>
          </w:tcPr>
          <w:p w:rsidR="0086093B" w:rsidRPr="005B0796" w:rsidRDefault="0086093B" w:rsidP="00352B18">
            <w:pPr>
              <w:pStyle w:val="TableText"/>
              <w:jc w:val="right"/>
              <w:rPr>
                <w:lang w:eastAsia="en-AU"/>
              </w:rPr>
            </w:pPr>
            <w:r w:rsidRPr="005B0796">
              <w:rPr>
                <w:lang w:eastAsia="en-AU"/>
              </w:rPr>
              <w:t>0.9</w:t>
            </w:r>
          </w:p>
        </w:tc>
        <w:tc>
          <w:tcPr>
            <w:tcW w:w="817" w:type="dxa"/>
            <w:hideMark/>
          </w:tcPr>
          <w:p w:rsidR="0086093B" w:rsidRPr="005B0796" w:rsidRDefault="0086093B" w:rsidP="00352B18">
            <w:pPr>
              <w:pStyle w:val="TableText"/>
              <w:jc w:val="right"/>
              <w:rPr>
                <w:lang w:eastAsia="en-AU"/>
              </w:rPr>
            </w:pPr>
            <w:r w:rsidRPr="005B0796">
              <w:rPr>
                <w:lang w:eastAsia="en-AU"/>
              </w:rPr>
              <w:t>0.7, 4.3</w:t>
            </w:r>
          </w:p>
        </w:tc>
      </w:tr>
      <w:tr w:rsidR="00352B18" w:rsidRPr="005B0796" w:rsidTr="00352B18">
        <w:trPr>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lang w:eastAsia="en-AU"/>
              </w:rPr>
            </w:pPr>
            <w:r w:rsidRPr="005B0796">
              <w:rPr>
                <w:lang w:eastAsia="en-AU"/>
              </w:rPr>
              <w:t xml:space="preserve">3–4 </w:t>
            </w:r>
          </w:p>
        </w:tc>
        <w:tc>
          <w:tcPr>
            <w:tcW w:w="630" w:type="dxa"/>
            <w:hideMark/>
          </w:tcPr>
          <w:p w:rsidR="0086093B" w:rsidRPr="005B0796" w:rsidRDefault="0086093B" w:rsidP="00352B18">
            <w:pPr>
              <w:pStyle w:val="TableText"/>
              <w:jc w:val="right"/>
              <w:rPr>
                <w:lang w:eastAsia="en-AU"/>
              </w:rPr>
            </w:pPr>
            <w:r w:rsidRPr="005B0796">
              <w:rPr>
                <w:lang w:eastAsia="en-AU"/>
              </w:rPr>
              <w:t>10.4</w:t>
            </w:r>
          </w:p>
        </w:tc>
        <w:tc>
          <w:tcPr>
            <w:tcW w:w="540" w:type="dxa"/>
            <w:hideMark/>
          </w:tcPr>
          <w:p w:rsidR="0086093B" w:rsidRPr="005B0796" w:rsidRDefault="0086093B" w:rsidP="00352B18">
            <w:pPr>
              <w:pStyle w:val="TableText"/>
              <w:jc w:val="right"/>
              <w:rPr>
                <w:lang w:eastAsia="en-AU"/>
              </w:rPr>
            </w:pPr>
            <w:r w:rsidRPr="005B0796">
              <w:rPr>
                <w:lang w:eastAsia="en-AU"/>
              </w:rPr>
              <w:t>0.6</w:t>
            </w:r>
          </w:p>
        </w:tc>
        <w:tc>
          <w:tcPr>
            <w:tcW w:w="872" w:type="dxa"/>
            <w:hideMark/>
          </w:tcPr>
          <w:p w:rsidR="0086093B" w:rsidRPr="005B0796" w:rsidRDefault="0086093B" w:rsidP="00352B18">
            <w:pPr>
              <w:pStyle w:val="TableText"/>
              <w:jc w:val="right"/>
              <w:rPr>
                <w:lang w:eastAsia="en-AU"/>
              </w:rPr>
            </w:pPr>
            <w:r w:rsidRPr="005B0796">
              <w:rPr>
                <w:lang w:eastAsia="en-AU"/>
              </w:rPr>
              <w:t>9.2, 11.7</w:t>
            </w:r>
          </w:p>
        </w:tc>
        <w:tc>
          <w:tcPr>
            <w:tcW w:w="568" w:type="dxa"/>
            <w:hideMark/>
          </w:tcPr>
          <w:p w:rsidR="0086093B" w:rsidRPr="005B0796" w:rsidRDefault="0086093B" w:rsidP="00352B18">
            <w:pPr>
              <w:pStyle w:val="TableText"/>
              <w:jc w:val="right"/>
              <w:rPr>
                <w:lang w:eastAsia="en-AU"/>
              </w:rPr>
            </w:pPr>
            <w:r w:rsidRPr="005B0796">
              <w:rPr>
                <w:lang w:eastAsia="en-AU"/>
              </w:rPr>
              <w:t>11.6</w:t>
            </w:r>
          </w:p>
        </w:tc>
        <w:tc>
          <w:tcPr>
            <w:tcW w:w="630" w:type="dxa"/>
            <w:hideMark/>
          </w:tcPr>
          <w:p w:rsidR="0086093B" w:rsidRPr="005B0796" w:rsidRDefault="0086093B" w:rsidP="00352B18">
            <w:pPr>
              <w:pStyle w:val="TableText"/>
              <w:jc w:val="right"/>
              <w:rPr>
                <w:lang w:eastAsia="en-AU"/>
              </w:rPr>
            </w:pPr>
            <w:r w:rsidRPr="005B0796">
              <w:rPr>
                <w:lang w:eastAsia="en-AU"/>
              </w:rPr>
              <w:t>0.8</w:t>
            </w:r>
          </w:p>
        </w:tc>
        <w:tc>
          <w:tcPr>
            <w:tcW w:w="844" w:type="dxa"/>
            <w:hideMark/>
          </w:tcPr>
          <w:p w:rsidR="0086093B" w:rsidRPr="005B0796" w:rsidRDefault="0086093B" w:rsidP="00352B18">
            <w:pPr>
              <w:pStyle w:val="TableText"/>
              <w:jc w:val="right"/>
              <w:rPr>
                <w:lang w:eastAsia="en-AU"/>
              </w:rPr>
            </w:pPr>
            <w:r w:rsidRPr="005B0796">
              <w:rPr>
                <w:lang w:eastAsia="en-AU"/>
              </w:rPr>
              <w:t>9.9, 13.2</w:t>
            </w:r>
          </w:p>
        </w:tc>
        <w:tc>
          <w:tcPr>
            <w:tcW w:w="596" w:type="dxa"/>
            <w:hideMark/>
          </w:tcPr>
          <w:p w:rsidR="0086093B" w:rsidRPr="005B0796" w:rsidRDefault="0086093B" w:rsidP="00352B18">
            <w:pPr>
              <w:pStyle w:val="TableText"/>
              <w:jc w:val="right"/>
              <w:rPr>
                <w:lang w:eastAsia="en-AU"/>
              </w:rPr>
            </w:pPr>
            <w:r w:rsidRPr="005B0796">
              <w:rPr>
                <w:lang w:eastAsia="en-AU"/>
              </w:rPr>
              <w:t>-1.2</w:t>
            </w:r>
          </w:p>
        </w:tc>
        <w:tc>
          <w:tcPr>
            <w:tcW w:w="630" w:type="dxa"/>
            <w:hideMark/>
          </w:tcPr>
          <w:p w:rsidR="0086093B" w:rsidRPr="005B0796" w:rsidRDefault="0086093B" w:rsidP="00352B18">
            <w:pPr>
              <w:pStyle w:val="TableText"/>
              <w:jc w:val="right"/>
              <w:rPr>
                <w:lang w:eastAsia="en-AU"/>
              </w:rPr>
            </w:pPr>
            <w:r w:rsidRPr="005B0796">
              <w:rPr>
                <w:lang w:eastAsia="en-AU"/>
              </w:rPr>
              <w:t>1.0</w:t>
            </w:r>
          </w:p>
        </w:tc>
        <w:tc>
          <w:tcPr>
            <w:tcW w:w="817" w:type="dxa"/>
            <w:hideMark/>
          </w:tcPr>
          <w:p w:rsidR="0086093B" w:rsidRPr="005B0796" w:rsidRDefault="0086093B" w:rsidP="00352B18">
            <w:pPr>
              <w:pStyle w:val="TableText"/>
              <w:jc w:val="right"/>
              <w:rPr>
                <w:lang w:eastAsia="en-AU"/>
              </w:rPr>
            </w:pPr>
            <w:r w:rsidRPr="005B0796">
              <w:rPr>
                <w:lang w:eastAsia="en-AU"/>
              </w:rPr>
              <w:t>-3.2, 0.9</w:t>
            </w:r>
          </w:p>
        </w:tc>
      </w:tr>
      <w:tr w:rsidR="00352B18" w:rsidRPr="005B0796" w:rsidTr="00352B18">
        <w:trPr>
          <w:cnfStyle w:val="000000100000" w:firstRow="0" w:lastRow="0" w:firstColumn="0" w:lastColumn="0" w:oddVBand="0" w:evenVBand="0" w:oddHBand="1" w:evenHBand="0" w:firstRowFirstColumn="0" w:firstRowLastColumn="0" w:lastRowFirstColumn="0" w:lastRowLastColumn="0"/>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lang w:eastAsia="en-AU"/>
              </w:rPr>
            </w:pPr>
            <w:r w:rsidRPr="005B0796">
              <w:rPr>
                <w:lang w:eastAsia="en-AU"/>
              </w:rPr>
              <w:t xml:space="preserve">1–2 </w:t>
            </w:r>
          </w:p>
        </w:tc>
        <w:tc>
          <w:tcPr>
            <w:tcW w:w="630" w:type="dxa"/>
            <w:hideMark/>
          </w:tcPr>
          <w:p w:rsidR="0086093B" w:rsidRPr="005B0796" w:rsidRDefault="0086093B" w:rsidP="00352B18">
            <w:pPr>
              <w:pStyle w:val="TableText"/>
              <w:jc w:val="right"/>
              <w:rPr>
                <w:lang w:eastAsia="en-AU"/>
              </w:rPr>
            </w:pPr>
            <w:r w:rsidRPr="005B0796">
              <w:rPr>
                <w:lang w:eastAsia="en-AU"/>
              </w:rPr>
              <w:t>9.3</w:t>
            </w:r>
          </w:p>
        </w:tc>
        <w:tc>
          <w:tcPr>
            <w:tcW w:w="540" w:type="dxa"/>
            <w:hideMark/>
          </w:tcPr>
          <w:p w:rsidR="0086093B" w:rsidRPr="005B0796" w:rsidRDefault="0086093B" w:rsidP="00352B18">
            <w:pPr>
              <w:pStyle w:val="TableText"/>
              <w:jc w:val="right"/>
              <w:rPr>
                <w:lang w:eastAsia="en-AU"/>
              </w:rPr>
            </w:pPr>
            <w:r w:rsidRPr="005B0796">
              <w:rPr>
                <w:lang w:eastAsia="en-AU"/>
              </w:rPr>
              <w:t>0.6</w:t>
            </w:r>
          </w:p>
        </w:tc>
        <w:tc>
          <w:tcPr>
            <w:tcW w:w="872" w:type="dxa"/>
            <w:hideMark/>
          </w:tcPr>
          <w:p w:rsidR="0086093B" w:rsidRPr="005B0796" w:rsidRDefault="0086093B" w:rsidP="00352B18">
            <w:pPr>
              <w:pStyle w:val="TableText"/>
              <w:jc w:val="right"/>
              <w:rPr>
                <w:lang w:eastAsia="en-AU"/>
              </w:rPr>
            </w:pPr>
            <w:r w:rsidRPr="005B0796">
              <w:rPr>
                <w:lang w:eastAsia="en-AU"/>
              </w:rPr>
              <w:t>8.2, 10.5</w:t>
            </w:r>
          </w:p>
        </w:tc>
        <w:tc>
          <w:tcPr>
            <w:tcW w:w="568" w:type="dxa"/>
            <w:hideMark/>
          </w:tcPr>
          <w:p w:rsidR="0086093B" w:rsidRPr="005B0796" w:rsidRDefault="0086093B" w:rsidP="00352B18">
            <w:pPr>
              <w:pStyle w:val="TableText"/>
              <w:jc w:val="right"/>
              <w:rPr>
                <w:lang w:eastAsia="en-AU"/>
              </w:rPr>
            </w:pPr>
            <w:r w:rsidRPr="005B0796">
              <w:rPr>
                <w:lang w:eastAsia="en-AU"/>
              </w:rPr>
              <w:t>12.2</w:t>
            </w:r>
          </w:p>
        </w:tc>
        <w:tc>
          <w:tcPr>
            <w:tcW w:w="630" w:type="dxa"/>
            <w:hideMark/>
          </w:tcPr>
          <w:p w:rsidR="0086093B" w:rsidRPr="005B0796" w:rsidRDefault="0086093B" w:rsidP="00352B18">
            <w:pPr>
              <w:pStyle w:val="TableText"/>
              <w:jc w:val="right"/>
              <w:rPr>
                <w:lang w:eastAsia="en-AU"/>
              </w:rPr>
            </w:pPr>
            <w:r w:rsidRPr="005B0796">
              <w:rPr>
                <w:lang w:eastAsia="en-AU"/>
              </w:rPr>
              <w:t>0.7</w:t>
            </w:r>
          </w:p>
        </w:tc>
        <w:tc>
          <w:tcPr>
            <w:tcW w:w="844" w:type="dxa"/>
            <w:hideMark/>
          </w:tcPr>
          <w:p w:rsidR="0086093B" w:rsidRPr="005B0796" w:rsidRDefault="0086093B" w:rsidP="00352B18">
            <w:pPr>
              <w:pStyle w:val="TableText"/>
              <w:jc w:val="right"/>
              <w:rPr>
                <w:lang w:eastAsia="en-AU"/>
              </w:rPr>
            </w:pPr>
            <w:r w:rsidRPr="005B0796">
              <w:rPr>
                <w:lang w:eastAsia="en-AU"/>
              </w:rPr>
              <w:t>10.8,13.6</w:t>
            </w:r>
          </w:p>
        </w:tc>
        <w:tc>
          <w:tcPr>
            <w:tcW w:w="596" w:type="dxa"/>
            <w:hideMark/>
          </w:tcPr>
          <w:p w:rsidR="0086093B" w:rsidRPr="005B0796" w:rsidRDefault="0086093B" w:rsidP="00352B18">
            <w:pPr>
              <w:pStyle w:val="TableText"/>
              <w:jc w:val="right"/>
              <w:rPr>
                <w:lang w:eastAsia="en-AU"/>
              </w:rPr>
            </w:pPr>
            <w:r w:rsidRPr="005B0796">
              <w:rPr>
                <w:lang w:eastAsia="en-AU"/>
              </w:rPr>
              <w:t>-2.9</w:t>
            </w:r>
          </w:p>
        </w:tc>
        <w:tc>
          <w:tcPr>
            <w:tcW w:w="630" w:type="dxa"/>
            <w:hideMark/>
          </w:tcPr>
          <w:p w:rsidR="0086093B" w:rsidRPr="005B0796" w:rsidRDefault="0086093B" w:rsidP="00352B18">
            <w:pPr>
              <w:pStyle w:val="TableText"/>
              <w:jc w:val="right"/>
              <w:rPr>
                <w:lang w:eastAsia="en-AU"/>
              </w:rPr>
            </w:pPr>
            <w:r w:rsidRPr="005B0796">
              <w:rPr>
                <w:lang w:eastAsia="en-AU"/>
              </w:rPr>
              <w:t>0.9</w:t>
            </w:r>
          </w:p>
        </w:tc>
        <w:tc>
          <w:tcPr>
            <w:tcW w:w="817" w:type="dxa"/>
            <w:hideMark/>
          </w:tcPr>
          <w:p w:rsidR="0086093B" w:rsidRPr="005B0796" w:rsidRDefault="0086093B" w:rsidP="00352B18">
            <w:pPr>
              <w:pStyle w:val="TableText"/>
              <w:jc w:val="right"/>
              <w:rPr>
                <w:lang w:eastAsia="en-AU"/>
              </w:rPr>
            </w:pPr>
            <w:r w:rsidRPr="005B0796">
              <w:rPr>
                <w:lang w:eastAsia="en-AU"/>
              </w:rPr>
              <w:t>-4.8, -1.1</w:t>
            </w:r>
          </w:p>
        </w:tc>
      </w:tr>
      <w:tr w:rsidR="00352B18" w:rsidRPr="005B0796" w:rsidTr="00352B18">
        <w:trPr>
          <w:cantSplit/>
        </w:trPr>
        <w:tc>
          <w:tcPr>
            <w:tcW w:w="648" w:type="dxa"/>
            <w:hideMark/>
          </w:tcPr>
          <w:p w:rsidR="0086093B" w:rsidRPr="005B0796" w:rsidRDefault="0086093B" w:rsidP="00352B18">
            <w:pPr>
              <w:pStyle w:val="TableText"/>
              <w:rPr>
                <w:lang w:eastAsia="en-AU"/>
              </w:rPr>
            </w:pPr>
            <w:r w:rsidRPr="005B0796">
              <w:rPr>
                <w:lang w:eastAsia="en-AU"/>
              </w:rPr>
              <w:t>Female</w:t>
            </w:r>
          </w:p>
        </w:tc>
        <w:tc>
          <w:tcPr>
            <w:tcW w:w="540" w:type="dxa"/>
            <w:hideMark/>
          </w:tcPr>
          <w:p w:rsidR="0086093B" w:rsidRPr="005B0796" w:rsidRDefault="0086093B" w:rsidP="00352B18">
            <w:pPr>
              <w:pStyle w:val="TableText"/>
              <w:rPr>
                <w:lang w:eastAsia="en-AU"/>
              </w:rPr>
            </w:pPr>
            <w:r w:rsidRPr="005B0796">
              <w:rPr>
                <w:lang w:eastAsia="en-AU"/>
              </w:rPr>
              <w:t>11 +</w:t>
            </w:r>
          </w:p>
        </w:tc>
        <w:tc>
          <w:tcPr>
            <w:tcW w:w="630" w:type="dxa"/>
            <w:hideMark/>
          </w:tcPr>
          <w:p w:rsidR="0086093B" w:rsidRPr="005B0796" w:rsidRDefault="0086093B" w:rsidP="00352B18">
            <w:pPr>
              <w:pStyle w:val="TableText"/>
              <w:jc w:val="right"/>
              <w:rPr>
                <w:lang w:eastAsia="en-AU"/>
              </w:rPr>
            </w:pPr>
            <w:r w:rsidRPr="005B0796">
              <w:rPr>
                <w:lang w:eastAsia="en-AU"/>
              </w:rPr>
              <w:t>8.1</w:t>
            </w:r>
          </w:p>
        </w:tc>
        <w:tc>
          <w:tcPr>
            <w:tcW w:w="540" w:type="dxa"/>
            <w:hideMark/>
          </w:tcPr>
          <w:p w:rsidR="0086093B" w:rsidRPr="005B0796" w:rsidRDefault="0086093B" w:rsidP="00352B18">
            <w:pPr>
              <w:pStyle w:val="TableText"/>
              <w:jc w:val="right"/>
              <w:rPr>
                <w:lang w:eastAsia="en-AU"/>
              </w:rPr>
            </w:pPr>
            <w:r w:rsidRPr="005B0796">
              <w:rPr>
                <w:lang w:eastAsia="en-AU"/>
              </w:rPr>
              <w:t>1.3</w:t>
            </w:r>
          </w:p>
        </w:tc>
        <w:tc>
          <w:tcPr>
            <w:tcW w:w="872" w:type="dxa"/>
            <w:hideMark/>
          </w:tcPr>
          <w:p w:rsidR="0086093B" w:rsidRPr="005B0796" w:rsidRDefault="0086093B" w:rsidP="00352B18">
            <w:pPr>
              <w:pStyle w:val="TableText"/>
              <w:jc w:val="right"/>
              <w:rPr>
                <w:lang w:eastAsia="en-AU"/>
              </w:rPr>
            </w:pPr>
            <w:r w:rsidRPr="005B0796">
              <w:rPr>
                <w:lang w:eastAsia="en-AU"/>
              </w:rPr>
              <w:t>5.9, 10.9</w:t>
            </w:r>
          </w:p>
        </w:tc>
        <w:tc>
          <w:tcPr>
            <w:tcW w:w="568" w:type="dxa"/>
            <w:hideMark/>
          </w:tcPr>
          <w:p w:rsidR="0086093B" w:rsidRPr="005B0796" w:rsidRDefault="0086093B" w:rsidP="00352B18">
            <w:pPr>
              <w:pStyle w:val="TableText"/>
              <w:jc w:val="right"/>
              <w:rPr>
                <w:lang w:eastAsia="en-AU"/>
              </w:rPr>
            </w:pPr>
            <w:r w:rsidRPr="005B0796">
              <w:rPr>
                <w:lang w:eastAsia="en-AU"/>
              </w:rPr>
              <w:t>14.6</w:t>
            </w:r>
          </w:p>
        </w:tc>
        <w:tc>
          <w:tcPr>
            <w:tcW w:w="630" w:type="dxa"/>
            <w:hideMark/>
          </w:tcPr>
          <w:p w:rsidR="0086093B" w:rsidRPr="005B0796" w:rsidRDefault="0086093B" w:rsidP="00352B18">
            <w:pPr>
              <w:pStyle w:val="TableText"/>
              <w:jc w:val="right"/>
              <w:rPr>
                <w:lang w:eastAsia="en-AU"/>
              </w:rPr>
            </w:pPr>
            <w:r w:rsidRPr="005B0796">
              <w:rPr>
                <w:lang w:eastAsia="en-AU"/>
              </w:rPr>
              <w:t>0.6</w:t>
            </w:r>
          </w:p>
        </w:tc>
        <w:tc>
          <w:tcPr>
            <w:tcW w:w="844" w:type="dxa"/>
            <w:hideMark/>
          </w:tcPr>
          <w:p w:rsidR="0086093B" w:rsidRPr="005B0796" w:rsidRDefault="0086093B" w:rsidP="00352B18">
            <w:pPr>
              <w:pStyle w:val="TableText"/>
              <w:jc w:val="right"/>
              <w:rPr>
                <w:lang w:eastAsia="en-AU"/>
              </w:rPr>
            </w:pPr>
            <w:r w:rsidRPr="005B0796">
              <w:rPr>
                <w:lang w:eastAsia="en-AU"/>
              </w:rPr>
              <w:t>13.4, 15.9</w:t>
            </w:r>
          </w:p>
        </w:tc>
        <w:tc>
          <w:tcPr>
            <w:tcW w:w="596" w:type="dxa"/>
            <w:hideMark/>
          </w:tcPr>
          <w:p w:rsidR="0086093B" w:rsidRPr="005B0796" w:rsidRDefault="0086093B" w:rsidP="00352B18">
            <w:pPr>
              <w:pStyle w:val="TableText"/>
              <w:jc w:val="right"/>
              <w:rPr>
                <w:lang w:eastAsia="en-AU"/>
              </w:rPr>
            </w:pPr>
            <w:r w:rsidRPr="005B0796">
              <w:rPr>
                <w:lang w:eastAsia="en-AU"/>
              </w:rPr>
              <w:t>-6.5</w:t>
            </w:r>
          </w:p>
        </w:tc>
        <w:tc>
          <w:tcPr>
            <w:tcW w:w="630" w:type="dxa"/>
            <w:hideMark/>
          </w:tcPr>
          <w:p w:rsidR="0086093B" w:rsidRPr="005B0796" w:rsidRDefault="0086093B" w:rsidP="00352B18">
            <w:pPr>
              <w:pStyle w:val="TableText"/>
              <w:jc w:val="right"/>
              <w:rPr>
                <w:lang w:eastAsia="en-AU"/>
              </w:rPr>
            </w:pPr>
            <w:r w:rsidRPr="005B0796">
              <w:rPr>
                <w:lang w:eastAsia="en-AU"/>
              </w:rPr>
              <w:t>1.4</w:t>
            </w:r>
          </w:p>
        </w:tc>
        <w:tc>
          <w:tcPr>
            <w:tcW w:w="817" w:type="dxa"/>
            <w:hideMark/>
          </w:tcPr>
          <w:p w:rsidR="0086093B" w:rsidRPr="005B0796" w:rsidRDefault="0086093B" w:rsidP="00352B18">
            <w:pPr>
              <w:pStyle w:val="TableText"/>
              <w:jc w:val="right"/>
              <w:rPr>
                <w:lang w:eastAsia="en-AU"/>
              </w:rPr>
            </w:pPr>
            <w:r w:rsidRPr="005B0796">
              <w:rPr>
                <w:lang w:eastAsia="en-AU"/>
              </w:rPr>
              <w:t>-9.3, -3.8</w:t>
            </w:r>
          </w:p>
        </w:tc>
      </w:tr>
      <w:tr w:rsidR="00352B18" w:rsidRPr="005B0796" w:rsidTr="00352B18">
        <w:trPr>
          <w:cnfStyle w:val="000000100000" w:firstRow="0" w:lastRow="0" w:firstColumn="0" w:lastColumn="0" w:oddVBand="0" w:evenVBand="0" w:oddHBand="1" w:evenHBand="0" w:firstRowFirstColumn="0" w:firstRowLastColumn="0" w:lastRowFirstColumn="0" w:lastRowLastColumn="0"/>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lang w:eastAsia="en-AU"/>
              </w:rPr>
            </w:pPr>
            <w:r w:rsidRPr="005B0796">
              <w:rPr>
                <w:lang w:eastAsia="en-AU"/>
              </w:rPr>
              <w:t>7–10</w:t>
            </w:r>
          </w:p>
        </w:tc>
        <w:tc>
          <w:tcPr>
            <w:tcW w:w="630" w:type="dxa"/>
            <w:hideMark/>
          </w:tcPr>
          <w:p w:rsidR="0086093B" w:rsidRPr="005B0796" w:rsidRDefault="0086093B" w:rsidP="00352B18">
            <w:pPr>
              <w:pStyle w:val="TableText"/>
              <w:jc w:val="right"/>
              <w:rPr>
                <w:lang w:eastAsia="en-AU"/>
              </w:rPr>
            </w:pPr>
            <w:r w:rsidRPr="005B0796">
              <w:rPr>
                <w:lang w:eastAsia="en-AU"/>
              </w:rPr>
              <w:t>11.6</w:t>
            </w:r>
          </w:p>
        </w:tc>
        <w:tc>
          <w:tcPr>
            <w:tcW w:w="540" w:type="dxa"/>
            <w:hideMark/>
          </w:tcPr>
          <w:p w:rsidR="0086093B" w:rsidRPr="005B0796" w:rsidRDefault="0086093B" w:rsidP="00352B18">
            <w:pPr>
              <w:pStyle w:val="TableText"/>
              <w:jc w:val="right"/>
              <w:rPr>
                <w:lang w:eastAsia="en-AU"/>
              </w:rPr>
            </w:pPr>
            <w:r w:rsidRPr="005B0796">
              <w:rPr>
                <w:lang w:eastAsia="en-AU"/>
              </w:rPr>
              <w:t>1.6</w:t>
            </w:r>
          </w:p>
        </w:tc>
        <w:tc>
          <w:tcPr>
            <w:tcW w:w="872" w:type="dxa"/>
            <w:hideMark/>
          </w:tcPr>
          <w:p w:rsidR="0086093B" w:rsidRPr="005B0796" w:rsidRDefault="0086093B" w:rsidP="00352B18">
            <w:pPr>
              <w:pStyle w:val="TableText"/>
              <w:jc w:val="right"/>
              <w:rPr>
                <w:lang w:eastAsia="en-AU"/>
              </w:rPr>
            </w:pPr>
            <w:r w:rsidRPr="005B0796">
              <w:rPr>
                <w:lang w:eastAsia="en-AU"/>
              </w:rPr>
              <w:t>8.8, 15.1</w:t>
            </w:r>
          </w:p>
        </w:tc>
        <w:tc>
          <w:tcPr>
            <w:tcW w:w="568" w:type="dxa"/>
            <w:hideMark/>
          </w:tcPr>
          <w:p w:rsidR="0086093B" w:rsidRPr="005B0796" w:rsidRDefault="0086093B" w:rsidP="00352B18">
            <w:pPr>
              <w:pStyle w:val="TableText"/>
              <w:jc w:val="right"/>
              <w:rPr>
                <w:lang w:eastAsia="en-AU"/>
              </w:rPr>
            </w:pPr>
            <w:r w:rsidRPr="005B0796">
              <w:rPr>
                <w:lang w:eastAsia="en-AU"/>
              </w:rPr>
              <w:t>12.9</w:t>
            </w:r>
          </w:p>
        </w:tc>
        <w:tc>
          <w:tcPr>
            <w:tcW w:w="630" w:type="dxa"/>
            <w:hideMark/>
          </w:tcPr>
          <w:p w:rsidR="0086093B" w:rsidRPr="005B0796" w:rsidRDefault="0086093B" w:rsidP="00352B18">
            <w:pPr>
              <w:pStyle w:val="TableText"/>
              <w:jc w:val="right"/>
              <w:rPr>
                <w:lang w:eastAsia="en-AU"/>
              </w:rPr>
            </w:pPr>
            <w:r w:rsidRPr="005B0796">
              <w:rPr>
                <w:lang w:eastAsia="en-AU"/>
              </w:rPr>
              <w:t>0.6</w:t>
            </w:r>
          </w:p>
        </w:tc>
        <w:tc>
          <w:tcPr>
            <w:tcW w:w="844" w:type="dxa"/>
            <w:hideMark/>
          </w:tcPr>
          <w:p w:rsidR="0086093B" w:rsidRPr="005B0796" w:rsidRDefault="0086093B" w:rsidP="00352B18">
            <w:pPr>
              <w:pStyle w:val="TableText"/>
              <w:jc w:val="right"/>
              <w:rPr>
                <w:lang w:eastAsia="en-AU"/>
              </w:rPr>
            </w:pPr>
            <w:r w:rsidRPr="005B0796">
              <w:rPr>
                <w:lang w:eastAsia="en-AU"/>
              </w:rPr>
              <w:t>11.7, 14.1</w:t>
            </w:r>
          </w:p>
        </w:tc>
        <w:tc>
          <w:tcPr>
            <w:tcW w:w="596" w:type="dxa"/>
            <w:hideMark/>
          </w:tcPr>
          <w:p w:rsidR="0086093B" w:rsidRPr="005B0796" w:rsidRDefault="0086093B" w:rsidP="00352B18">
            <w:pPr>
              <w:pStyle w:val="TableText"/>
              <w:jc w:val="right"/>
              <w:rPr>
                <w:lang w:eastAsia="en-AU"/>
              </w:rPr>
            </w:pPr>
            <w:r w:rsidRPr="005B0796">
              <w:rPr>
                <w:lang w:eastAsia="en-AU"/>
              </w:rPr>
              <w:t>-1.4</w:t>
            </w:r>
          </w:p>
        </w:tc>
        <w:tc>
          <w:tcPr>
            <w:tcW w:w="630" w:type="dxa"/>
            <w:hideMark/>
          </w:tcPr>
          <w:p w:rsidR="0086093B" w:rsidRPr="005B0796" w:rsidRDefault="0086093B" w:rsidP="00352B18">
            <w:pPr>
              <w:pStyle w:val="TableText"/>
              <w:jc w:val="right"/>
              <w:rPr>
                <w:lang w:eastAsia="en-AU"/>
              </w:rPr>
            </w:pPr>
            <w:r w:rsidRPr="005B0796">
              <w:rPr>
                <w:lang w:eastAsia="en-AU"/>
              </w:rPr>
              <w:t>1.7</w:t>
            </w:r>
          </w:p>
        </w:tc>
        <w:tc>
          <w:tcPr>
            <w:tcW w:w="817" w:type="dxa"/>
            <w:hideMark/>
          </w:tcPr>
          <w:p w:rsidR="0086093B" w:rsidRPr="005B0796" w:rsidRDefault="0086093B" w:rsidP="00352B18">
            <w:pPr>
              <w:pStyle w:val="TableText"/>
              <w:jc w:val="right"/>
              <w:rPr>
                <w:lang w:eastAsia="en-AU"/>
              </w:rPr>
            </w:pPr>
            <w:r w:rsidRPr="005B0796">
              <w:rPr>
                <w:lang w:eastAsia="en-AU"/>
              </w:rPr>
              <w:t>-4.7, 1.9</w:t>
            </w:r>
          </w:p>
        </w:tc>
      </w:tr>
      <w:tr w:rsidR="00352B18" w:rsidRPr="005B0796" w:rsidTr="00352B18">
        <w:trPr>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lang w:eastAsia="en-AU"/>
              </w:rPr>
            </w:pPr>
            <w:r w:rsidRPr="005B0796">
              <w:rPr>
                <w:lang w:eastAsia="en-AU"/>
              </w:rPr>
              <w:t xml:space="preserve">5–6 </w:t>
            </w:r>
          </w:p>
        </w:tc>
        <w:tc>
          <w:tcPr>
            <w:tcW w:w="630" w:type="dxa"/>
            <w:hideMark/>
          </w:tcPr>
          <w:p w:rsidR="0086093B" w:rsidRPr="005B0796" w:rsidRDefault="0086093B" w:rsidP="00352B18">
            <w:pPr>
              <w:pStyle w:val="TableText"/>
              <w:jc w:val="right"/>
              <w:rPr>
                <w:lang w:eastAsia="en-AU"/>
              </w:rPr>
            </w:pPr>
            <w:r w:rsidRPr="005B0796">
              <w:rPr>
                <w:lang w:eastAsia="en-AU"/>
              </w:rPr>
              <w:t>12.3</w:t>
            </w:r>
          </w:p>
        </w:tc>
        <w:tc>
          <w:tcPr>
            <w:tcW w:w="540" w:type="dxa"/>
            <w:hideMark/>
          </w:tcPr>
          <w:p w:rsidR="0086093B" w:rsidRPr="005B0796" w:rsidRDefault="0086093B" w:rsidP="00352B18">
            <w:pPr>
              <w:pStyle w:val="TableText"/>
              <w:jc w:val="right"/>
              <w:rPr>
                <w:lang w:eastAsia="en-AU"/>
              </w:rPr>
            </w:pPr>
            <w:r w:rsidRPr="005B0796">
              <w:rPr>
                <w:lang w:eastAsia="en-AU"/>
              </w:rPr>
              <w:t>1.5</w:t>
            </w:r>
          </w:p>
        </w:tc>
        <w:tc>
          <w:tcPr>
            <w:tcW w:w="872" w:type="dxa"/>
            <w:hideMark/>
          </w:tcPr>
          <w:p w:rsidR="0086093B" w:rsidRPr="005B0796" w:rsidRDefault="0086093B" w:rsidP="00352B18">
            <w:pPr>
              <w:pStyle w:val="TableText"/>
              <w:jc w:val="right"/>
              <w:rPr>
                <w:lang w:eastAsia="en-AU"/>
              </w:rPr>
            </w:pPr>
            <w:r w:rsidRPr="005B0796">
              <w:rPr>
                <w:lang w:eastAsia="en-AU"/>
              </w:rPr>
              <w:t>9.8, 15.5</w:t>
            </w:r>
          </w:p>
        </w:tc>
        <w:tc>
          <w:tcPr>
            <w:tcW w:w="568" w:type="dxa"/>
            <w:hideMark/>
          </w:tcPr>
          <w:p w:rsidR="0086093B" w:rsidRPr="005B0796" w:rsidRDefault="0086093B" w:rsidP="00352B18">
            <w:pPr>
              <w:pStyle w:val="TableText"/>
              <w:jc w:val="right"/>
              <w:rPr>
                <w:lang w:eastAsia="en-AU"/>
              </w:rPr>
            </w:pPr>
            <w:r w:rsidRPr="005B0796">
              <w:rPr>
                <w:lang w:eastAsia="en-AU"/>
              </w:rPr>
              <w:t>11.6</w:t>
            </w:r>
          </w:p>
        </w:tc>
        <w:tc>
          <w:tcPr>
            <w:tcW w:w="630" w:type="dxa"/>
            <w:hideMark/>
          </w:tcPr>
          <w:p w:rsidR="0086093B" w:rsidRPr="005B0796" w:rsidRDefault="0086093B" w:rsidP="00352B18">
            <w:pPr>
              <w:pStyle w:val="TableText"/>
              <w:jc w:val="right"/>
              <w:rPr>
                <w:lang w:eastAsia="en-AU"/>
              </w:rPr>
            </w:pPr>
            <w:r w:rsidRPr="005B0796">
              <w:rPr>
                <w:lang w:eastAsia="en-AU"/>
              </w:rPr>
              <w:t>0.6</w:t>
            </w:r>
          </w:p>
        </w:tc>
        <w:tc>
          <w:tcPr>
            <w:tcW w:w="844" w:type="dxa"/>
            <w:hideMark/>
          </w:tcPr>
          <w:p w:rsidR="0086093B" w:rsidRPr="005B0796" w:rsidRDefault="0086093B" w:rsidP="00352B18">
            <w:pPr>
              <w:pStyle w:val="TableText"/>
              <w:jc w:val="right"/>
              <w:rPr>
                <w:lang w:eastAsia="en-AU"/>
              </w:rPr>
            </w:pPr>
            <w:r w:rsidRPr="005B0796">
              <w:rPr>
                <w:lang w:eastAsia="en-AU"/>
              </w:rPr>
              <w:t>10.4, 12.8</w:t>
            </w:r>
          </w:p>
        </w:tc>
        <w:tc>
          <w:tcPr>
            <w:tcW w:w="596" w:type="dxa"/>
            <w:hideMark/>
          </w:tcPr>
          <w:p w:rsidR="0086093B" w:rsidRPr="005B0796" w:rsidRDefault="0086093B" w:rsidP="00352B18">
            <w:pPr>
              <w:pStyle w:val="TableText"/>
              <w:jc w:val="right"/>
              <w:rPr>
                <w:lang w:eastAsia="en-AU"/>
              </w:rPr>
            </w:pPr>
            <w:r w:rsidRPr="005B0796">
              <w:rPr>
                <w:lang w:eastAsia="en-AU"/>
              </w:rPr>
              <w:t>0.7</w:t>
            </w:r>
          </w:p>
        </w:tc>
        <w:tc>
          <w:tcPr>
            <w:tcW w:w="630" w:type="dxa"/>
            <w:hideMark/>
          </w:tcPr>
          <w:p w:rsidR="0086093B" w:rsidRPr="005B0796" w:rsidRDefault="0086093B" w:rsidP="00352B18">
            <w:pPr>
              <w:pStyle w:val="TableText"/>
              <w:jc w:val="right"/>
              <w:rPr>
                <w:lang w:eastAsia="en-AU"/>
              </w:rPr>
            </w:pPr>
            <w:r w:rsidRPr="005B0796">
              <w:rPr>
                <w:lang w:eastAsia="en-AU"/>
              </w:rPr>
              <w:t>1.6</w:t>
            </w:r>
          </w:p>
        </w:tc>
        <w:tc>
          <w:tcPr>
            <w:tcW w:w="817" w:type="dxa"/>
            <w:hideMark/>
          </w:tcPr>
          <w:p w:rsidR="0086093B" w:rsidRPr="005B0796" w:rsidRDefault="0086093B" w:rsidP="00352B18">
            <w:pPr>
              <w:pStyle w:val="TableText"/>
              <w:jc w:val="right"/>
              <w:rPr>
                <w:lang w:eastAsia="en-AU"/>
              </w:rPr>
            </w:pPr>
            <w:r w:rsidRPr="005B0796">
              <w:rPr>
                <w:lang w:eastAsia="en-AU"/>
              </w:rPr>
              <w:t>-2.3, 3.8</w:t>
            </w:r>
          </w:p>
        </w:tc>
      </w:tr>
      <w:tr w:rsidR="00352B18" w:rsidRPr="005B0796" w:rsidTr="00352B18">
        <w:trPr>
          <w:cnfStyle w:val="000000100000" w:firstRow="0" w:lastRow="0" w:firstColumn="0" w:lastColumn="0" w:oddVBand="0" w:evenVBand="0" w:oddHBand="1" w:evenHBand="0" w:firstRowFirstColumn="0" w:firstRowLastColumn="0" w:lastRowFirstColumn="0" w:lastRowLastColumn="0"/>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lang w:eastAsia="en-AU"/>
              </w:rPr>
            </w:pPr>
            <w:r w:rsidRPr="005B0796">
              <w:rPr>
                <w:lang w:eastAsia="en-AU"/>
              </w:rPr>
              <w:t xml:space="preserve">3–4 </w:t>
            </w:r>
          </w:p>
        </w:tc>
        <w:tc>
          <w:tcPr>
            <w:tcW w:w="630" w:type="dxa"/>
            <w:hideMark/>
          </w:tcPr>
          <w:p w:rsidR="0086093B" w:rsidRPr="005B0796" w:rsidRDefault="0086093B" w:rsidP="00352B18">
            <w:pPr>
              <w:pStyle w:val="TableText"/>
              <w:jc w:val="right"/>
              <w:rPr>
                <w:lang w:eastAsia="en-AU"/>
              </w:rPr>
            </w:pPr>
            <w:r w:rsidRPr="005B0796">
              <w:rPr>
                <w:lang w:eastAsia="en-AU"/>
              </w:rPr>
              <w:t>14.9</w:t>
            </w:r>
          </w:p>
        </w:tc>
        <w:tc>
          <w:tcPr>
            <w:tcW w:w="540" w:type="dxa"/>
            <w:hideMark/>
          </w:tcPr>
          <w:p w:rsidR="0086093B" w:rsidRPr="005B0796" w:rsidRDefault="0086093B" w:rsidP="00352B18">
            <w:pPr>
              <w:pStyle w:val="TableText"/>
              <w:jc w:val="right"/>
              <w:rPr>
                <w:lang w:eastAsia="en-AU"/>
              </w:rPr>
            </w:pPr>
            <w:r w:rsidRPr="005B0796">
              <w:rPr>
                <w:lang w:eastAsia="en-AU"/>
              </w:rPr>
              <w:t>0.7</w:t>
            </w:r>
          </w:p>
        </w:tc>
        <w:tc>
          <w:tcPr>
            <w:tcW w:w="872" w:type="dxa"/>
            <w:hideMark/>
          </w:tcPr>
          <w:p w:rsidR="0086093B" w:rsidRPr="005B0796" w:rsidRDefault="0086093B" w:rsidP="00352B18">
            <w:pPr>
              <w:pStyle w:val="TableText"/>
              <w:jc w:val="right"/>
              <w:rPr>
                <w:lang w:eastAsia="en-AU"/>
              </w:rPr>
            </w:pPr>
            <w:r w:rsidRPr="005B0796">
              <w:rPr>
                <w:lang w:eastAsia="en-AU"/>
              </w:rPr>
              <w:t>13.6, 16.3</w:t>
            </w:r>
          </w:p>
        </w:tc>
        <w:tc>
          <w:tcPr>
            <w:tcW w:w="568" w:type="dxa"/>
            <w:hideMark/>
          </w:tcPr>
          <w:p w:rsidR="0086093B" w:rsidRPr="005B0796" w:rsidRDefault="0086093B" w:rsidP="00352B18">
            <w:pPr>
              <w:pStyle w:val="TableText"/>
              <w:jc w:val="right"/>
              <w:rPr>
                <w:lang w:eastAsia="en-AU"/>
              </w:rPr>
            </w:pPr>
            <w:r w:rsidRPr="005B0796">
              <w:rPr>
                <w:lang w:eastAsia="en-AU"/>
              </w:rPr>
              <w:t>17.2</w:t>
            </w:r>
          </w:p>
        </w:tc>
        <w:tc>
          <w:tcPr>
            <w:tcW w:w="630" w:type="dxa"/>
            <w:hideMark/>
          </w:tcPr>
          <w:p w:rsidR="0086093B" w:rsidRPr="005B0796" w:rsidRDefault="0086093B" w:rsidP="00352B18">
            <w:pPr>
              <w:pStyle w:val="TableText"/>
              <w:jc w:val="right"/>
              <w:rPr>
                <w:lang w:eastAsia="en-AU"/>
              </w:rPr>
            </w:pPr>
            <w:r w:rsidRPr="005B0796">
              <w:rPr>
                <w:lang w:eastAsia="en-AU"/>
              </w:rPr>
              <w:t>1.7</w:t>
            </w:r>
          </w:p>
        </w:tc>
        <w:tc>
          <w:tcPr>
            <w:tcW w:w="844" w:type="dxa"/>
            <w:hideMark/>
          </w:tcPr>
          <w:p w:rsidR="0086093B" w:rsidRPr="005B0796" w:rsidRDefault="0086093B" w:rsidP="00352B18">
            <w:pPr>
              <w:pStyle w:val="TableText"/>
              <w:jc w:val="right"/>
              <w:rPr>
                <w:lang w:eastAsia="en-AU"/>
              </w:rPr>
            </w:pPr>
            <w:r w:rsidRPr="005B0796">
              <w:rPr>
                <w:lang w:eastAsia="en-AU"/>
              </w:rPr>
              <w:t>14.1, 20.9</w:t>
            </w:r>
          </w:p>
        </w:tc>
        <w:tc>
          <w:tcPr>
            <w:tcW w:w="596" w:type="dxa"/>
            <w:hideMark/>
          </w:tcPr>
          <w:p w:rsidR="0086093B" w:rsidRPr="005B0796" w:rsidRDefault="0086093B" w:rsidP="00352B18">
            <w:pPr>
              <w:pStyle w:val="TableText"/>
              <w:jc w:val="right"/>
              <w:rPr>
                <w:lang w:eastAsia="en-AU"/>
              </w:rPr>
            </w:pPr>
            <w:r w:rsidRPr="005B0796">
              <w:rPr>
                <w:lang w:eastAsia="en-AU"/>
              </w:rPr>
              <w:t>2.2</w:t>
            </w:r>
          </w:p>
        </w:tc>
        <w:tc>
          <w:tcPr>
            <w:tcW w:w="630" w:type="dxa"/>
            <w:hideMark/>
          </w:tcPr>
          <w:p w:rsidR="0086093B" w:rsidRPr="005B0796" w:rsidRDefault="0086093B" w:rsidP="00352B18">
            <w:pPr>
              <w:pStyle w:val="TableText"/>
              <w:jc w:val="right"/>
              <w:rPr>
                <w:lang w:eastAsia="en-AU"/>
              </w:rPr>
            </w:pPr>
            <w:r w:rsidRPr="005B0796">
              <w:rPr>
                <w:lang w:eastAsia="en-AU"/>
              </w:rPr>
              <w:t>1.9</w:t>
            </w:r>
          </w:p>
        </w:tc>
        <w:tc>
          <w:tcPr>
            <w:tcW w:w="817" w:type="dxa"/>
            <w:hideMark/>
          </w:tcPr>
          <w:p w:rsidR="0086093B" w:rsidRPr="005B0796" w:rsidRDefault="0086093B" w:rsidP="00352B18">
            <w:pPr>
              <w:pStyle w:val="TableText"/>
              <w:jc w:val="right"/>
              <w:rPr>
                <w:lang w:eastAsia="en-AU"/>
              </w:rPr>
            </w:pPr>
            <w:r w:rsidRPr="005B0796">
              <w:rPr>
                <w:lang w:eastAsia="en-AU"/>
              </w:rPr>
              <w:t>-1.4, 5.9</w:t>
            </w:r>
          </w:p>
        </w:tc>
      </w:tr>
      <w:tr w:rsidR="00352B18" w:rsidRPr="005B0796" w:rsidTr="00352B18">
        <w:trPr>
          <w:cnfStyle w:val="010000000000" w:firstRow="0" w:lastRow="1" w:firstColumn="0" w:lastColumn="0" w:oddVBand="0" w:evenVBand="0" w:oddHBand="0" w:evenHBand="0" w:firstRowFirstColumn="0" w:firstRowLastColumn="0" w:lastRowFirstColumn="0" w:lastRowLastColumn="0"/>
          <w:cantSplit/>
        </w:trPr>
        <w:tc>
          <w:tcPr>
            <w:tcW w:w="648" w:type="dxa"/>
          </w:tcPr>
          <w:p w:rsidR="0086093B" w:rsidRPr="005B0796" w:rsidRDefault="0086093B" w:rsidP="00352B18">
            <w:pPr>
              <w:pStyle w:val="TableText"/>
              <w:rPr>
                <w:lang w:eastAsia="en-AU"/>
              </w:rPr>
            </w:pPr>
          </w:p>
        </w:tc>
        <w:tc>
          <w:tcPr>
            <w:tcW w:w="540" w:type="dxa"/>
            <w:hideMark/>
          </w:tcPr>
          <w:p w:rsidR="0086093B" w:rsidRPr="005B0796" w:rsidRDefault="0086093B" w:rsidP="00352B18">
            <w:pPr>
              <w:pStyle w:val="TableText"/>
              <w:rPr>
                <w:lang w:eastAsia="en-AU"/>
              </w:rPr>
            </w:pPr>
            <w:r w:rsidRPr="005B0796">
              <w:rPr>
                <w:lang w:eastAsia="en-AU"/>
              </w:rPr>
              <w:t xml:space="preserve">1–2 </w:t>
            </w:r>
          </w:p>
        </w:tc>
        <w:tc>
          <w:tcPr>
            <w:tcW w:w="630" w:type="dxa"/>
            <w:hideMark/>
          </w:tcPr>
          <w:p w:rsidR="0086093B" w:rsidRPr="005B0796" w:rsidRDefault="0086093B" w:rsidP="00352B18">
            <w:pPr>
              <w:pStyle w:val="TableText"/>
              <w:jc w:val="right"/>
              <w:rPr>
                <w:lang w:eastAsia="en-AU"/>
              </w:rPr>
            </w:pPr>
            <w:r w:rsidRPr="005B0796">
              <w:rPr>
                <w:lang w:eastAsia="en-AU"/>
              </w:rPr>
              <w:t>20.2</w:t>
            </w:r>
          </w:p>
        </w:tc>
        <w:tc>
          <w:tcPr>
            <w:tcW w:w="540" w:type="dxa"/>
            <w:hideMark/>
          </w:tcPr>
          <w:p w:rsidR="0086093B" w:rsidRPr="005B0796" w:rsidRDefault="0086093B" w:rsidP="00352B18">
            <w:pPr>
              <w:pStyle w:val="TableText"/>
              <w:jc w:val="right"/>
              <w:rPr>
                <w:lang w:eastAsia="en-AU"/>
              </w:rPr>
            </w:pPr>
            <w:r w:rsidRPr="005B0796">
              <w:rPr>
                <w:lang w:eastAsia="en-AU"/>
              </w:rPr>
              <w:t>1.8</w:t>
            </w:r>
          </w:p>
        </w:tc>
        <w:tc>
          <w:tcPr>
            <w:tcW w:w="872" w:type="dxa"/>
            <w:hideMark/>
          </w:tcPr>
          <w:p w:rsidR="0086093B" w:rsidRPr="005B0796" w:rsidRDefault="0086093B" w:rsidP="00352B18">
            <w:pPr>
              <w:pStyle w:val="TableText"/>
              <w:jc w:val="right"/>
              <w:rPr>
                <w:lang w:eastAsia="en-AU"/>
              </w:rPr>
            </w:pPr>
            <w:r w:rsidRPr="005B0796">
              <w:rPr>
                <w:lang w:eastAsia="en-AU"/>
              </w:rPr>
              <w:t>16.9, 23.9</w:t>
            </w:r>
          </w:p>
        </w:tc>
        <w:tc>
          <w:tcPr>
            <w:tcW w:w="568" w:type="dxa"/>
            <w:hideMark/>
          </w:tcPr>
          <w:p w:rsidR="0086093B" w:rsidRPr="005B0796" w:rsidRDefault="0086093B" w:rsidP="00352B18">
            <w:pPr>
              <w:pStyle w:val="TableText"/>
              <w:jc w:val="right"/>
              <w:rPr>
                <w:lang w:eastAsia="en-AU"/>
              </w:rPr>
            </w:pPr>
            <w:r w:rsidRPr="005B0796">
              <w:rPr>
                <w:lang w:eastAsia="en-AU"/>
              </w:rPr>
              <w:t>23.9</w:t>
            </w:r>
          </w:p>
        </w:tc>
        <w:tc>
          <w:tcPr>
            <w:tcW w:w="630" w:type="dxa"/>
            <w:hideMark/>
          </w:tcPr>
          <w:p w:rsidR="0086093B" w:rsidRPr="005B0796" w:rsidRDefault="0086093B" w:rsidP="00352B18">
            <w:pPr>
              <w:pStyle w:val="TableText"/>
              <w:jc w:val="right"/>
              <w:rPr>
                <w:lang w:eastAsia="en-AU"/>
              </w:rPr>
            </w:pPr>
            <w:r w:rsidRPr="005B0796">
              <w:rPr>
                <w:lang w:eastAsia="en-AU"/>
              </w:rPr>
              <w:t>0.8</w:t>
            </w:r>
          </w:p>
        </w:tc>
        <w:tc>
          <w:tcPr>
            <w:tcW w:w="844" w:type="dxa"/>
            <w:hideMark/>
          </w:tcPr>
          <w:p w:rsidR="0086093B" w:rsidRPr="005B0796" w:rsidRDefault="0086093B" w:rsidP="00352B18">
            <w:pPr>
              <w:pStyle w:val="TableText"/>
              <w:jc w:val="right"/>
              <w:rPr>
                <w:lang w:eastAsia="en-AU"/>
              </w:rPr>
            </w:pPr>
            <w:r w:rsidRPr="005B0796">
              <w:rPr>
                <w:lang w:eastAsia="en-AU"/>
              </w:rPr>
              <w:t>22.3, 25.4</w:t>
            </w:r>
          </w:p>
        </w:tc>
        <w:tc>
          <w:tcPr>
            <w:tcW w:w="596" w:type="dxa"/>
            <w:hideMark/>
          </w:tcPr>
          <w:p w:rsidR="0086093B" w:rsidRPr="005B0796" w:rsidRDefault="0086093B" w:rsidP="00352B18">
            <w:pPr>
              <w:pStyle w:val="TableText"/>
              <w:jc w:val="right"/>
              <w:rPr>
                <w:lang w:eastAsia="en-AU"/>
              </w:rPr>
            </w:pPr>
            <w:r w:rsidRPr="005B0796">
              <w:rPr>
                <w:lang w:eastAsia="en-AU"/>
              </w:rPr>
              <w:t>-3.7</w:t>
            </w:r>
          </w:p>
        </w:tc>
        <w:tc>
          <w:tcPr>
            <w:tcW w:w="630" w:type="dxa"/>
            <w:hideMark/>
          </w:tcPr>
          <w:p w:rsidR="0086093B" w:rsidRPr="005B0796" w:rsidRDefault="0086093B" w:rsidP="00352B18">
            <w:pPr>
              <w:pStyle w:val="TableText"/>
              <w:jc w:val="right"/>
              <w:rPr>
                <w:lang w:eastAsia="en-AU"/>
              </w:rPr>
            </w:pPr>
            <w:r w:rsidRPr="005B0796">
              <w:rPr>
                <w:lang w:eastAsia="en-AU"/>
              </w:rPr>
              <w:t>1.9</w:t>
            </w:r>
          </w:p>
        </w:tc>
        <w:tc>
          <w:tcPr>
            <w:tcW w:w="817" w:type="dxa"/>
            <w:hideMark/>
          </w:tcPr>
          <w:p w:rsidR="0086093B" w:rsidRPr="005B0796" w:rsidRDefault="0086093B" w:rsidP="00352B18">
            <w:pPr>
              <w:pStyle w:val="TableText"/>
              <w:jc w:val="right"/>
              <w:rPr>
                <w:lang w:eastAsia="en-AU"/>
              </w:rPr>
            </w:pPr>
            <w:r w:rsidRPr="005B0796">
              <w:rPr>
                <w:lang w:eastAsia="en-AU"/>
              </w:rPr>
              <w:t>-7.5, 0.1</w:t>
            </w:r>
          </w:p>
        </w:tc>
      </w:tr>
    </w:tbl>
    <w:p w:rsidR="0086093B" w:rsidRPr="005B0796" w:rsidRDefault="00352B18" w:rsidP="00352B18">
      <w:pPr>
        <w:pStyle w:val="TableNotes"/>
      </w:pPr>
      <w:r w:rsidRPr="005B0796">
        <w:t xml:space="preserve">Note: 95% CI: 95% </w:t>
      </w:r>
      <w:r w:rsidR="00564689" w:rsidRPr="005B0796">
        <w:t>confidence interval</w:t>
      </w:r>
    </w:p>
    <w:p w:rsidR="003F53A8" w:rsidRPr="005B0796" w:rsidRDefault="003F53A8" w:rsidP="003F53A8">
      <w:pPr>
        <w:pStyle w:val="FigureName"/>
      </w:pPr>
      <w:bookmarkStart w:id="1274" w:name="_Toc487014419"/>
      <w:bookmarkStart w:id="1275" w:name="_Toc511900593"/>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7</w:t>
      </w:r>
      <w:r w:rsidR="00D30A3C">
        <w:rPr>
          <w:noProof/>
        </w:rPr>
        <w:fldChar w:fldCharType="end"/>
      </w:r>
      <w:r w:rsidRPr="005B0796">
        <w:tab/>
        <w:t>Estimated proportions for maximum number of standard drinks on a single occasion in the last 12 months in Transitioned ADF compared to the Australian Community</w:t>
      </w:r>
      <w:r w:rsidR="00E13799">
        <w:t>,</w:t>
      </w:r>
      <w:r w:rsidRPr="005B0796">
        <w:t xml:space="preserve"> by sex</w:t>
      </w:r>
      <w:bookmarkEnd w:id="1274"/>
      <w:bookmarkEnd w:id="1275"/>
    </w:p>
    <w:tbl>
      <w:tblPr>
        <w:tblW w:w="5000" w:type="pct"/>
        <w:tblLayout w:type="fixed"/>
        <w:tblCellMar>
          <w:left w:w="115" w:type="dxa"/>
          <w:right w:w="115" w:type="dxa"/>
        </w:tblCellMar>
        <w:tblLook w:val="04A0" w:firstRow="1" w:lastRow="0" w:firstColumn="1" w:lastColumn="0" w:noHBand="0" w:noVBand="1"/>
      </w:tblPr>
      <w:tblGrid>
        <w:gridCol w:w="7329"/>
      </w:tblGrid>
      <w:tr w:rsidR="0086093B" w:rsidRPr="005B0796" w:rsidTr="00445732">
        <w:trPr>
          <w:cantSplit/>
        </w:trPr>
        <w:tc>
          <w:tcPr>
            <w:tcW w:w="7315" w:type="dxa"/>
          </w:tcPr>
          <w:p w:rsidR="0086093B" w:rsidRPr="005B0796" w:rsidRDefault="000D7AA2" w:rsidP="0099117C">
            <w:r w:rsidRPr="005B0796">
              <w:rPr>
                <w:noProof/>
                <w:lang w:eastAsia="en-AU"/>
              </w:rPr>
              <w:drawing>
                <wp:inline distT="0" distB="0" distL="0" distR="0" wp14:anchorId="622F4B4F" wp14:editId="4B68FA07">
                  <wp:extent cx="4572000" cy="2743200"/>
                  <wp:effectExtent l="0" t="0" r="0" b="0"/>
                  <wp:docPr id="326" name="Chart 326" descr="Figure 6.7 Estimated proportions for maximum number of standard drinks on a single occasion in the last 12 months in Transitioned ADF compared to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c>
      </w:tr>
    </w:tbl>
    <w:p w:rsidR="0086093B" w:rsidRPr="005B0796" w:rsidRDefault="0086093B" w:rsidP="00445732">
      <w:pPr>
        <w:pStyle w:val="Heading3"/>
      </w:pPr>
      <w:bookmarkStart w:id="1276" w:name="_Toc487011252"/>
      <w:bookmarkStart w:id="1277" w:name="_Toc493663147"/>
      <w:bookmarkStart w:id="1278" w:name="_Toc494449772"/>
      <w:bookmarkStart w:id="1279" w:name="_Toc511900354"/>
      <w:r w:rsidRPr="005B0796">
        <w:t>Frequency of alcohol consumption in the last 12 months in the Transitioned ADF compared to the Australian Community</w:t>
      </w:r>
      <w:r w:rsidR="00E13799">
        <w:t>,</w:t>
      </w:r>
      <w:r w:rsidRPr="005B0796">
        <w:t xml:space="preserve"> by age</w:t>
      </w:r>
      <w:bookmarkEnd w:id="1276"/>
      <w:bookmarkEnd w:id="1277"/>
      <w:bookmarkEnd w:id="1278"/>
      <w:bookmarkEnd w:id="1279"/>
    </w:p>
    <w:p w:rsidR="0086093B" w:rsidRPr="005B0796" w:rsidRDefault="0086093B" w:rsidP="005068AA">
      <w:pPr>
        <w:keepLines/>
      </w:pPr>
      <w:r w:rsidRPr="005B0796">
        <w:t>Table 6.8 and Figure 6.8 show a breakdown of frequency for alcohol consumption in the last 12 months in the Transitioned ADF compared to the Australian Community</w:t>
      </w:r>
      <w:r w:rsidR="00E13799">
        <w:t>,</w:t>
      </w:r>
      <w:r w:rsidRPr="005B0796">
        <w:t xml:space="preserve"> by age groups. Significant differences were found between members of the Transitioned ADF and the Australian Community: in the 28–37 age group, members of the Transitioned ADF </w:t>
      </w:r>
      <w:r w:rsidR="00E13799">
        <w:t xml:space="preserve">were </w:t>
      </w:r>
      <w:r w:rsidRPr="005B0796">
        <w:t>more likely than members of the Australian Community to drink monthly (28.8%, 95% CI 25.6, 32.3</w:t>
      </w:r>
      <w:r w:rsidR="00E13799">
        <w:t>;</w:t>
      </w:r>
      <w:r w:rsidRPr="005B0796">
        <w:t xml:space="preserve"> Australian Community 19.7%, 95% CI 16.2, 23.2); in the 38–47 age group, they were more likely to drink weekly (51.3%, 95% CI 47.7, 54.8</w:t>
      </w:r>
      <w:r w:rsidR="00963618">
        <w:t>;</w:t>
      </w:r>
      <w:r w:rsidRPr="005B0796">
        <w:t xml:space="preserve"> Australian Community 45.5%, 95% CI 41.9, 49.1); in the 48–57 age group, they were more likely to drink weekly (51.3%, 95% CI 50.0, 57.3</w:t>
      </w:r>
      <w:r w:rsidR="00963618">
        <w:t>;</w:t>
      </w:r>
      <w:r w:rsidRPr="005B0796">
        <w:t xml:space="preserve"> Australian Community 48.4%, 95% CI 44.8, 52.0) and monthly (Transitioned ADF 20.9%, 95% CI 19.6, 25.8</w:t>
      </w:r>
      <w:r w:rsidR="00963618">
        <w:t>;</w:t>
      </w:r>
      <w:r w:rsidRPr="005B0796">
        <w:t xml:space="preserve"> Australian Community</w:t>
      </w:r>
      <w:r w:rsidR="00963618">
        <w:t xml:space="preserve"> </w:t>
      </w:r>
      <w:r w:rsidRPr="005B0796">
        <w:t>14.9%, 95% CI 12.3, 17.7). Finally, in the 58+ age group, members of the Transitioned ADF were less likely to drink daily (8.5%, 95% CI 6.1, 11,7) than members of the Australian Community (14.5%, 95% CI 12.5, 16.5). However, the Transitioned ADF in this age group were significantly more likely to drink weekly (55.6%) or monthly (18.3%) compared to the Australian Community (weekly 45.3%; monthly 13.4%).</w:t>
      </w:r>
    </w:p>
    <w:p w:rsidR="006B0AC1" w:rsidRPr="005B0796" w:rsidRDefault="006B0AC1" w:rsidP="00FE271A">
      <w:pPr>
        <w:pStyle w:val="Heading3"/>
      </w:pPr>
      <w:bookmarkStart w:id="1280" w:name="_Toc487011253"/>
      <w:bookmarkStart w:id="1281" w:name="_Toc493663148"/>
      <w:bookmarkStart w:id="1282" w:name="_Toc494449773"/>
      <w:bookmarkStart w:id="1283" w:name="_Toc511900355"/>
      <w:r w:rsidRPr="005B0796">
        <w:t>Maximum number of standard alcoholic drinks consumed on a single occasion in the last 12 months in the Transitioned ADF compared to the Australian Community</w:t>
      </w:r>
      <w:r w:rsidR="00963618">
        <w:t>,</w:t>
      </w:r>
      <w:r w:rsidRPr="005B0796">
        <w:t xml:space="preserve"> by age</w:t>
      </w:r>
      <w:bookmarkEnd w:id="1280"/>
      <w:bookmarkEnd w:id="1281"/>
      <w:bookmarkEnd w:id="1282"/>
      <w:bookmarkEnd w:id="1283"/>
    </w:p>
    <w:p w:rsidR="006B0AC1" w:rsidRPr="005B0796" w:rsidRDefault="006B0AC1" w:rsidP="00DC09EF">
      <w:r w:rsidRPr="005B0796">
        <w:t>Table 6.9 and Figure 6.9 examine the maximum number of standard drinks consumed on a single occasion in the previous 12 months in the Transitioned ADF and the Australian Community, by age. In the 18–27 age group, members of the Australian Community were significantly more likely than members of the Transitioned ADF to have 11 or more drinks in one day (Australian Community: 43.2%; Transitioned ADF: 25.8%). They were also more likely to have one or two standard drinks in one day (Australian Community: 10.8%; Transitioned ADF: 7.2%). This pattern was the same for the 28–37 and 38–47 age groups.</w:t>
      </w:r>
    </w:p>
    <w:p w:rsidR="006B0AC1" w:rsidRPr="005B0796" w:rsidRDefault="006B0AC1" w:rsidP="00DC09EF">
      <w:r w:rsidRPr="005B0796">
        <w:t>In the older age group (48–57), members of the Australian Community were also significantly more likely to have 11 or more drinks in one day (Australian Community: 25.3%; Transitioned ADF: 13.6%), or between seven and 10 drinks in one day (Australian Community: 18.2%; Transitioned ADF: 10.1%). However, they were less likely to have 5–6 drinks in one day (Australian Community: 11.9%; Transitioned ADF: 17.3%). Finally, those aged 58</w:t>
      </w:r>
      <w:r w:rsidR="00963618">
        <w:t>+</w:t>
      </w:r>
      <w:r w:rsidRPr="005B0796">
        <w:t xml:space="preserve"> in the Australian Community were more likely to have 11 or more drinks in one day (Australian Community: 13.4%; Transitioned ADF: 5.9%).</w:t>
      </w:r>
    </w:p>
    <w:p w:rsidR="0086093B" w:rsidRPr="005B0796" w:rsidRDefault="0086093B" w:rsidP="0086093B">
      <w:pPr>
        <w:sectPr w:rsidR="0086093B" w:rsidRPr="005B0796" w:rsidSect="00BE5E98">
          <w:footerReference w:type="even" r:id="rId272"/>
          <w:footerReference w:type="default" r:id="rId273"/>
          <w:pgSz w:w="9979" w:h="14170" w:code="243"/>
          <w:pgMar w:top="1440" w:right="1152" w:bottom="1440" w:left="1728" w:header="576" w:footer="576" w:gutter="0"/>
          <w:cols w:space="708"/>
          <w:docGrid w:linePitch="360"/>
        </w:sectPr>
      </w:pPr>
    </w:p>
    <w:p w:rsidR="0086093B" w:rsidRPr="005B0796" w:rsidRDefault="00445732" w:rsidP="00FE271A">
      <w:pPr>
        <w:pStyle w:val="TableName"/>
      </w:pPr>
      <w:bookmarkStart w:id="1284" w:name="_Ref484695244"/>
      <w:bookmarkStart w:id="1285" w:name="_Toc487014336"/>
      <w:bookmarkStart w:id="1286" w:name="_Toc492995639"/>
      <w:bookmarkStart w:id="1287" w:name="_Toc511900488"/>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8</w:t>
      </w:r>
      <w:r w:rsidR="00D30A3C">
        <w:rPr>
          <w:noProof/>
        </w:rPr>
        <w:fldChar w:fldCharType="end"/>
      </w:r>
      <w:bookmarkEnd w:id="1284"/>
      <w:r w:rsidRPr="005B0796">
        <w:tab/>
        <w:t>Estimated proportions for frequency of alcohol consumption in Transitioned ADF compared to the Australian Community in the last 12</w:t>
      </w:r>
      <w:r w:rsidR="00963618">
        <w:t> </w:t>
      </w:r>
      <w:r w:rsidRPr="005B0796">
        <w:t>months</w:t>
      </w:r>
      <w:r w:rsidR="00963618">
        <w:t>,</w:t>
      </w:r>
      <w:r w:rsidRPr="005B0796">
        <w:t xml:space="preserve"> by age</w:t>
      </w:r>
      <w:bookmarkEnd w:id="1285"/>
      <w:bookmarkEnd w:id="1286"/>
      <w:bookmarkEnd w:id="1287"/>
    </w:p>
    <w:tbl>
      <w:tblPr>
        <w:tblStyle w:val="TWRPTable"/>
        <w:tblW w:w="5000" w:type="pct"/>
        <w:tblLayout w:type="fixed"/>
        <w:tblLook w:val="01E0" w:firstRow="1" w:lastRow="1" w:firstColumn="1" w:lastColumn="1" w:noHBand="0" w:noVBand="0"/>
        <w:tblDescription w:val="Table 6.8 Estimated proportions for frequency of alcohol consumption in Transitioned ADF compared to the Australian Community in the last 12 months by age"/>
      </w:tblPr>
      <w:tblGrid>
        <w:gridCol w:w="1008"/>
        <w:gridCol w:w="1707"/>
        <w:gridCol w:w="976"/>
        <w:gridCol w:w="977"/>
        <w:gridCol w:w="977"/>
        <w:gridCol w:w="977"/>
        <w:gridCol w:w="976"/>
        <w:gridCol w:w="977"/>
        <w:gridCol w:w="977"/>
        <w:gridCol w:w="977"/>
        <w:gridCol w:w="977"/>
      </w:tblGrid>
      <w:tr w:rsidR="00FE271A" w:rsidRPr="005B0796" w:rsidTr="00FE271A">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Pr>
          <w:p w:rsidR="00FE271A" w:rsidRPr="005B0796" w:rsidRDefault="00FE271A" w:rsidP="00FE271A">
            <w:pPr>
              <w:pStyle w:val="TableText"/>
              <w:rPr>
                <w:lang w:eastAsia="en-AU"/>
              </w:rPr>
            </w:pPr>
          </w:p>
        </w:tc>
        <w:tc>
          <w:tcPr>
            <w:tcW w:w="1707" w:type="dxa"/>
            <w:vMerge w:val="restart"/>
          </w:tcPr>
          <w:p w:rsidR="00FE271A" w:rsidRPr="005B0796" w:rsidRDefault="00FE271A" w:rsidP="00FE271A">
            <w:pPr>
              <w:pStyle w:val="TableText"/>
              <w:rPr>
                <w:lang w:eastAsia="en-AU"/>
              </w:rPr>
            </w:pPr>
          </w:p>
        </w:tc>
        <w:tc>
          <w:tcPr>
            <w:tcW w:w="2930" w:type="dxa"/>
            <w:gridSpan w:val="3"/>
            <w:hideMark/>
          </w:tcPr>
          <w:p w:rsidR="00FE271A" w:rsidRPr="005B0796" w:rsidRDefault="00FE271A" w:rsidP="00FE271A">
            <w:pPr>
              <w:pStyle w:val="TableText"/>
              <w:jc w:val="center"/>
              <w:rPr>
                <w:lang w:eastAsia="en-AU"/>
              </w:rPr>
            </w:pPr>
            <w:r w:rsidRPr="005B0796">
              <w:rPr>
                <w:bCs/>
                <w:lang w:eastAsia="en-AU"/>
              </w:rPr>
              <w:t>Transitioned ADF (</w:t>
            </w:r>
            <w:r w:rsidRPr="005B0796">
              <w:rPr>
                <w:lang w:eastAsia="en-AU"/>
              </w:rPr>
              <w:t>n = 24,932)</w:t>
            </w:r>
          </w:p>
        </w:tc>
        <w:tc>
          <w:tcPr>
            <w:tcW w:w="2930" w:type="dxa"/>
            <w:gridSpan w:val="3"/>
            <w:hideMark/>
          </w:tcPr>
          <w:p w:rsidR="00FE271A" w:rsidRPr="005B0796" w:rsidRDefault="00FE271A" w:rsidP="00FE271A">
            <w:pPr>
              <w:pStyle w:val="TableText"/>
              <w:jc w:val="center"/>
              <w:rPr>
                <w:lang w:eastAsia="en-AU"/>
              </w:rPr>
            </w:pPr>
            <w:r w:rsidRPr="005B0796">
              <w:rPr>
                <w:bCs/>
                <w:lang w:eastAsia="en-AU"/>
              </w:rPr>
              <w:t>Australian Community</w:t>
            </w:r>
          </w:p>
        </w:tc>
        <w:tc>
          <w:tcPr>
            <w:tcW w:w="2931" w:type="dxa"/>
            <w:gridSpan w:val="3"/>
            <w:hideMark/>
          </w:tcPr>
          <w:p w:rsidR="00FE271A" w:rsidRPr="005B0796" w:rsidRDefault="00FE271A" w:rsidP="00FE271A">
            <w:pPr>
              <w:pStyle w:val="TableText"/>
              <w:jc w:val="center"/>
              <w:rPr>
                <w:bCs/>
                <w:lang w:eastAsia="en-AU"/>
              </w:rPr>
            </w:pPr>
            <w:r w:rsidRPr="005B0796">
              <w:rPr>
                <w:bCs/>
                <w:lang w:eastAsia="en-AU"/>
              </w:rPr>
              <w:t>Difference</w:t>
            </w:r>
          </w:p>
        </w:tc>
      </w:tr>
      <w:tr w:rsidR="00FE271A" w:rsidRPr="005B0796" w:rsidTr="00FE271A">
        <w:trPr>
          <w:cnfStyle w:val="100000000000" w:firstRow="1" w:lastRow="0" w:firstColumn="0" w:lastColumn="0" w:oddVBand="0" w:evenVBand="0" w:oddHBand="0" w:evenHBand="0" w:firstRowFirstColumn="0" w:firstRowLastColumn="0" w:lastRowFirstColumn="0" w:lastRowLastColumn="0"/>
          <w:tblHeader/>
        </w:trPr>
        <w:tc>
          <w:tcPr>
            <w:tcW w:w="1008" w:type="dxa"/>
            <w:vMerge/>
          </w:tcPr>
          <w:p w:rsidR="00FE271A" w:rsidRPr="005B0796" w:rsidRDefault="00FE271A" w:rsidP="00FE271A">
            <w:pPr>
              <w:pStyle w:val="TableText"/>
              <w:rPr>
                <w:rFonts w:eastAsia="GillSans"/>
                <w:lang w:eastAsia="en-AU"/>
              </w:rPr>
            </w:pPr>
          </w:p>
        </w:tc>
        <w:tc>
          <w:tcPr>
            <w:tcW w:w="1707" w:type="dxa"/>
            <w:vMerge/>
          </w:tcPr>
          <w:p w:rsidR="00FE271A" w:rsidRPr="005B0796" w:rsidRDefault="00FE271A" w:rsidP="00FE271A">
            <w:pPr>
              <w:pStyle w:val="TableText"/>
              <w:rPr>
                <w:rFonts w:eastAsia="GillSans"/>
                <w:lang w:eastAsia="en-AU"/>
              </w:rPr>
            </w:pPr>
          </w:p>
        </w:tc>
        <w:tc>
          <w:tcPr>
            <w:tcW w:w="976" w:type="dxa"/>
            <w:hideMark/>
          </w:tcPr>
          <w:p w:rsidR="00FE271A" w:rsidRPr="005B0796" w:rsidRDefault="00FE271A" w:rsidP="00FE271A">
            <w:pPr>
              <w:pStyle w:val="TableText"/>
              <w:jc w:val="right"/>
              <w:rPr>
                <w:lang w:eastAsia="en-AU"/>
              </w:rPr>
            </w:pPr>
            <w:r w:rsidRPr="005B0796">
              <w:rPr>
                <w:lang w:eastAsia="en-AU"/>
              </w:rPr>
              <w:t>%</w:t>
            </w:r>
          </w:p>
        </w:tc>
        <w:tc>
          <w:tcPr>
            <w:tcW w:w="977" w:type="dxa"/>
            <w:hideMark/>
          </w:tcPr>
          <w:p w:rsidR="00FE271A" w:rsidRPr="005B0796" w:rsidRDefault="00FE271A" w:rsidP="00FE271A">
            <w:pPr>
              <w:pStyle w:val="TableText"/>
              <w:jc w:val="right"/>
              <w:rPr>
                <w:lang w:eastAsia="en-AU"/>
              </w:rPr>
            </w:pPr>
            <w:r w:rsidRPr="005B0796">
              <w:rPr>
                <w:lang w:eastAsia="en-AU"/>
              </w:rPr>
              <w:t>SE</w:t>
            </w:r>
          </w:p>
        </w:tc>
        <w:tc>
          <w:tcPr>
            <w:tcW w:w="977" w:type="dxa"/>
            <w:hideMark/>
          </w:tcPr>
          <w:p w:rsidR="00FE271A" w:rsidRPr="005B0796" w:rsidRDefault="00FE271A" w:rsidP="00FE271A">
            <w:pPr>
              <w:pStyle w:val="TableText"/>
              <w:jc w:val="right"/>
              <w:rPr>
                <w:lang w:eastAsia="en-AU"/>
              </w:rPr>
            </w:pPr>
            <w:r w:rsidRPr="005B0796">
              <w:rPr>
                <w:lang w:eastAsia="en-AU"/>
              </w:rPr>
              <w:t>95% CI</w:t>
            </w:r>
          </w:p>
        </w:tc>
        <w:tc>
          <w:tcPr>
            <w:tcW w:w="977" w:type="dxa"/>
            <w:hideMark/>
          </w:tcPr>
          <w:p w:rsidR="00FE271A" w:rsidRPr="005B0796" w:rsidRDefault="00FE271A" w:rsidP="00FE271A">
            <w:pPr>
              <w:pStyle w:val="TableText"/>
              <w:jc w:val="right"/>
              <w:rPr>
                <w:lang w:eastAsia="en-AU"/>
              </w:rPr>
            </w:pPr>
            <w:r w:rsidRPr="005B0796">
              <w:rPr>
                <w:lang w:eastAsia="en-AU"/>
              </w:rPr>
              <w:t>%</w:t>
            </w:r>
          </w:p>
        </w:tc>
        <w:tc>
          <w:tcPr>
            <w:tcW w:w="976" w:type="dxa"/>
            <w:hideMark/>
          </w:tcPr>
          <w:p w:rsidR="00FE271A" w:rsidRPr="005B0796" w:rsidRDefault="00FE271A" w:rsidP="00FE271A">
            <w:pPr>
              <w:pStyle w:val="TableText"/>
              <w:jc w:val="right"/>
              <w:rPr>
                <w:lang w:eastAsia="en-AU"/>
              </w:rPr>
            </w:pPr>
            <w:r w:rsidRPr="005B0796">
              <w:rPr>
                <w:lang w:eastAsia="en-AU"/>
              </w:rPr>
              <w:t>SE</w:t>
            </w:r>
          </w:p>
        </w:tc>
        <w:tc>
          <w:tcPr>
            <w:tcW w:w="977" w:type="dxa"/>
            <w:hideMark/>
          </w:tcPr>
          <w:p w:rsidR="00FE271A" w:rsidRPr="005B0796" w:rsidRDefault="00FE271A" w:rsidP="00FE271A">
            <w:pPr>
              <w:pStyle w:val="TableText"/>
              <w:jc w:val="right"/>
              <w:rPr>
                <w:lang w:eastAsia="en-AU"/>
              </w:rPr>
            </w:pPr>
            <w:r w:rsidRPr="005B0796">
              <w:rPr>
                <w:lang w:eastAsia="en-AU"/>
              </w:rPr>
              <w:t>95% CI</w:t>
            </w:r>
          </w:p>
        </w:tc>
        <w:tc>
          <w:tcPr>
            <w:tcW w:w="977" w:type="dxa"/>
            <w:hideMark/>
          </w:tcPr>
          <w:p w:rsidR="00FE271A" w:rsidRPr="005B0796" w:rsidRDefault="00FE271A" w:rsidP="00FE271A">
            <w:pPr>
              <w:pStyle w:val="TableText"/>
              <w:jc w:val="right"/>
              <w:rPr>
                <w:lang w:eastAsia="en-AU"/>
              </w:rPr>
            </w:pPr>
            <w:r w:rsidRPr="005B0796">
              <w:rPr>
                <w:lang w:eastAsia="en-AU"/>
              </w:rPr>
              <w:t>%</w:t>
            </w:r>
          </w:p>
        </w:tc>
        <w:tc>
          <w:tcPr>
            <w:tcW w:w="977" w:type="dxa"/>
            <w:hideMark/>
          </w:tcPr>
          <w:p w:rsidR="00FE271A" w:rsidRPr="005B0796" w:rsidRDefault="00FE271A" w:rsidP="00FE271A">
            <w:pPr>
              <w:pStyle w:val="TableText"/>
              <w:jc w:val="right"/>
              <w:rPr>
                <w:lang w:eastAsia="en-AU"/>
              </w:rPr>
            </w:pPr>
            <w:r w:rsidRPr="005B0796">
              <w:rPr>
                <w:lang w:eastAsia="en-AU"/>
              </w:rPr>
              <w:t>SE</w:t>
            </w:r>
          </w:p>
        </w:tc>
        <w:tc>
          <w:tcPr>
            <w:tcW w:w="977" w:type="dxa"/>
            <w:hideMark/>
          </w:tcPr>
          <w:p w:rsidR="00FE271A" w:rsidRPr="005B0796" w:rsidRDefault="00FE271A" w:rsidP="00FE271A">
            <w:pPr>
              <w:pStyle w:val="TableText"/>
              <w:jc w:val="right"/>
              <w:rPr>
                <w:lang w:eastAsia="en-AU"/>
              </w:rPr>
            </w:pPr>
            <w:r w:rsidRPr="005B0796">
              <w:rPr>
                <w:lang w:eastAsia="en-AU"/>
              </w:rPr>
              <w:t>95% CI</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hideMark/>
          </w:tcPr>
          <w:p w:rsidR="0086093B" w:rsidRPr="005B0796" w:rsidRDefault="0086093B" w:rsidP="00FE271A">
            <w:pPr>
              <w:pStyle w:val="TableText"/>
              <w:rPr>
                <w:lang w:eastAsia="en-AU"/>
              </w:rPr>
            </w:pPr>
            <w:r w:rsidRPr="005B0796">
              <w:rPr>
                <w:lang w:eastAsia="en-AU"/>
              </w:rPr>
              <w:t>18–27</w:t>
            </w:r>
          </w:p>
        </w:tc>
        <w:tc>
          <w:tcPr>
            <w:tcW w:w="1707" w:type="dxa"/>
            <w:hideMark/>
          </w:tcPr>
          <w:p w:rsidR="0086093B" w:rsidRPr="005B0796" w:rsidRDefault="0086093B" w:rsidP="00FE271A">
            <w:pPr>
              <w:pStyle w:val="TableText"/>
              <w:rPr>
                <w:rFonts w:eastAsia="GillSans"/>
                <w:lang w:eastAsia="en-AU"/>
              </w:rPr>
            </w:pPr>
            <w:r w:rsidRPr="005B0796">
              <w:rPr>
                <w:lang w:eastAsia="en-AU"/>
              </w:rPr>
              <w:t>Daily</w:t>
            </w:r>
          </w:p>
        </w:tc>
        <w:tc>
          <w:tcPr>
            <w:tcW w:w="976" w:type="dxa"/>
            <w:hideMark/>
          </w:tcPr>
          <w:p w:rsidR="0086093B" w:rsidRPr="005B0796" w:rsidRDefault="0086093B" w:rsidP="00FE271A">
            <w:pPr>
              <w:pStyle w:val="TableText"/>
              <w:jc w:val="right"/>
              <w:rPr>
                <w:lang w:eastAsia="en-AU"/>
              </w:rPr>
            </w:pPr>
            <w:r w:rsidRPr="005B0796">
              <w:rPr>
                <w:lang w:eastAsia="en-AU"/>
              </w:rPr>
              <w:t>1.8</w:t>
            </w:r>
          </w:p>
        </w:tc>
        <w:tc>
          <w:tcPr>
            <w:tcW w:w="977" w:type="dxa"/>
            <w:hideMark/>
          </w:tcPr>
          <w:p w:rsidR="0086093B" w:rsidRPr="005B0796" w:rsidRDefault="0086093B" w:rsidP="00FE271A">
            <w:pPr>
              <w:pStyle w:val="TableText"/>
              <w:jc w:val="right"/>
              <w:rPr>
                <w:lang w:eastAsia="en-AU"/>
              </w:rPr>
            </w:pPr>
            <w:r w:rsidRPr="005B0796">
              <w:rPr>
                <w:lang w:eastAsia="en-AU"/>
              </w:rPr>
              <w:t>0.6</w:t>
            </w:r>
          </w:p>
        </w:tc>
        <w:tc>
          <w:tcPr>
            <w:tcW w:w="977" w:type="dxa"/>
            <w:hideMark/>
          </w:tcPr>
          <w:p w:rsidR="0086093B" w:rsidRPr="005B0796" w:rsidRDefault="0086093B" w:rsidP="00FE271A">
            <w:pPr>
              <w:pStyle w:val="TableText"/>
              <w:jc w:val="right"/>
              <w:rPr>
                <w:lang w:eastAsia="en-AU"/>
              </w:rPr>
            </w:pPr>
            <w:r w:rsidRPr="005B0796">
              <w:rPr>
                <w:lang w:eastAsia="en-AU"/>
              </w:rPr>
              <w:t>0.9, 3.5</w:t>
            </w:r>
          </w:p>
        </w:tc>
        <w:tc>
          <w:tcPr>
            <w:tcW w:w="977" w:type="dxa"/>
            <w:hideMark/>
          </w:tcPr>
          <w:p w:rsidR="0086093B" w:rsidRPr="005B0796" w:rsidRDefault="0086093B" w:rsidP="00FE271A">
            <w:pPr>
              <w:pStyle w:val="TableText"/>
              <w:jc w:val="right"/>
              <w:rPr>
                <w:lang w:eastAsia="en-AU"/>
              </w:rPr>
            </w:pPr>
            <w:r w:rsidRPr="005B0796">
              <w:rPr>
                <w:lang w:eastAsia="en-AU"/>
              </w:rPr>
              <w:t>0.7</w:t>
            </w:r>
          </w:p>
        </w:tc>
        <w:tc>
          <w:tcPr>
            <w:tcW w:w="976" w:type="dxa"/>
            <w:hideMark/>
          </w:tcPr>
          <w:p w:rsidR="0086093B" w:rsidRPr="005B0796" w:rsidRDefault="0086093B" w:rsidP="00FE271A">
            <w:pPr>
              <w:pStyle w:val="TableText"/>
              <w:jc w:val="right"/>
              <w:rPr>
                <w:lang w:eastAsia="en-AU"/>
              </w:rPr>
            </w:pPr>
            <w:r w:rsidRPr="005B0796">
              <w:rPr>
                <w:lang w:eastAsia="en-AU"/>
              </w:rPr>
              <w:t>0.3</w:t>
            </w:r>
          </w:p>
        </w:tc>
        <w:tc>
          <w:tcPr>
            <w:tcW w:w="977" w:type="dxa"/>
            <w:hideMark/>
          </w:tcPr>
          <w:p w:rsidR="0086093B" w:rsidRPr="005B0796" w:rsidRDefault="0086093B" w:rsidP="00FE271A">
            <w:pPr>
              <w:pStyle w:val="TableText"/>
              <w:jc w:val="right"/>
              <w:rPr>
                <w:lang w:eastAsia="en-AU"/>
              </w:rPr>
            </w:pPr>
            <w:r w:rsidRPr="005B0796">
              <w:rPr>
                <w:lang w:eastAsia="en-AU"/>
              </w:rPr>
              <w:t>0.2, 1.3</w:t>
            </w:r>
          </w:p>
        </w:tc>
        <w:tc>
          <w:tcPr>
            <w:tcW w:w="977" w:type="dxa"/>
            <w:hideMark/>
          </w:tcPr>
          <w:p w:rsidR="0086093B" w:rsidRPr="005B0796" w:rsidRDefault="0086093B" w:rsidP="00FE271A">
            <w:pPr>
              <w:pStyle w:val="TableText"/>
              <w:jc w:val="right"/>
              <w:rPr>
                <w:lang w:eastAsia="en-AU"/>
              </w:rPr>
            </w:pPr>
            <w:r w:rsidRPr="005B0796">
              <w:rPr>
                <w:lang w:eastAsia="en-AU"/>
              </w:rPr>
              <w:t>1.1</w:t>
            </w:r>
          </w:p>
        </w:tc>
        <w:tc>
          <w:tcPr>
            <w:tcW w:w="977" w:type="dxa"/>
            <w:hideMark/>
          </w:tcPr>
          <w:p w:rsidR="0086093B" w:rsidRPr="005B0796" w:rsidRDefault="0086093B" w:rsidP="00FE271A">
            <w:pPr>
              <w:pStyle w:val="TableText"/>
              <w:jc w:val="right"/>
              <w:rPr>
                <w:lang w:eastAsia="en-AU"/>
              </w:rPr>
            </w:pPr>
            <w:r w:rsidRPr="005B0796">
              <w:rPr>
                <w:lang w:eastAsia="en-AU"/>
              </w:rPr>
              <w:t>0.7</w:t>
            </w:r>
          </w:p>
        </w:tc>
        <w:tc>
          <w:tcPr>
            <w:tcW w:w="977" w:type="dxa"/>
            <w:hideMark/>
          </w:tcPr>
          <w:p w:rsidR="0086093B" w:rsidRPr="005B0796" w:rsidRDefault="0086093B" w:rsidP="00FE271A">
            <w:pPr>
              <w:pStyle w:val="TableText"/>
              <w:jc w:val="right"/>
              <w:rPr>
                <w:lang w:eastAsia="en-AU"/>
              </w:rPr>
            </w:pPr>
            <w:r w:rsidRPr="005B0796">
              <w:rPr>
                <w:lang w:eastAsia="en-AU"/>
              </w:rPr>
              <w:t>-0.2, 2.4</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rFonts w:eastAsia="GillSans"/>
                <w:lang w:eastAsia="en-AU"/>
              </w:rPr>
            </w:pPr>
            <w:r w:rsidRPr="005B0796">
              <w:rPr>
                <w:lang w:eastAsia="en-AU"/>
              </w:rPr>
              <w:t>Weekly</w:t>
            </w:r>
          </w:p>
        </w:tc>
        <w:tc>
          <w:tcPr>
            <w:tcW w:w="976" w:type="dxa"/>
            <w:hideMark/>
          </w:tcPr>
          <w:p w:rsidR="0086093B" w:rsidRPr="005B0796" w:rsidRDefault="0086093B" w:rsidP="00FE271A">
            <w:pPr>
              <w:pStyle w:val="TableText"/>
              <w:jc w:val="right"/>
              <w:rPr>
                <w:lang w:eastAsia="en-AU"/>
              </w:rPr>
            </w:pPr>
            <w:r w:rsidRPr="005B0796">
              <w:rPr>
                <w:lang w:eastAsia="en-AU"/>
              </w:rPr>
              <w:t>39.9</w:t>
            </w:r>
          </w:p>
        </w:tc>
        <w:tc>
          <w:tcPr>
            <w:tcW w:w="977" w:type="dxa"/>
            <w:hideMark/>
          </w:tcPr>
          <w:p w:rsidR="0086093B" w:rsidRPr="005B0796" w:rsidRDefault="0086093B" w:rsidP="00FE271A">
            <w:pPr>
              <w:pStyle w:val="TableText"/>
              <w:jc w:val="right"/>
              <w:rPr>
                <w:lang w:eastAsia="en-AU"/>
              </w:rPr>
            </w:pPr>
            <w:r w:rsidRPr="005B0796">
              <w:rPr>
                <w:lang w:eastAsia="en-AU"/>
              </w:rPr>
              <w:t>2.7</w:t>
            </w:r>
          </w:p>
        </w:tc>
        <w:tc>
          <w:tcPr>
            <w:tcW w:w="977" w:type="dxa"/>
            <w:hideMark/>
          </w:tcPr>
          <w:p w:rsidR="0086093B" w:rsidRPr="005B0796" w:rsidRDefault="0086093B" w:rsidP="00FE271A">
            <w:pPr>
              <w:pStyle w:val="TableText"/>
              <w:jc w:val="right"/>
              <w:rPr>
                <w:lang w:eastAsia="en-AU"/>
              </w:rPr>
            </w:pPr>
            <w:r w:rsidRPr="005B0796">
              <w:rPr>
                <w:lang w:eastAsia="en-AU"/>
              </w:rPr>
              <w:t>34.8, 45.2</w:t>
            </w:r>
          </w:p>
        </w:tc>
        <w:tc>
          <w:tcPr>
            <w:tcW w:w="977" w:type="dxa"/>
            <w:hideMark/>
          </w:tcPr>
          <w:p w:rsidR="0086093B" w:rsidRPr="005B0796" w:rsidRDefault="0086093B" w:rsidP="00FE271A">
            <w:pPr>
              <w:pStyle w:val="TableText"/>
              <w:jc w:val="right"/>
              <w:rPr>
                <w:lang w:eastAsia="en-AU"/>
              </w:rPr>
            </w:pPr>
            <w:r w:rsidRPr="005B0796">
              <w:rPr>
                <w:lang w:eastAsia="en-AU"/>
              </w:rPr>
              <w:t>40.3</w:t>
            </w:r>
          </w:p>
        </w:tc>
        <w:tc>
          <w:tcPr>
            <w:tcW w:w="976" w:type="dxa"/>
            <w:hideMark/>
          </w:tcPr>
          <w:p w:rsidR="0086093B" w:rsidRPr="005B0796" w:rsidRDefault="0086093B" w:rsidP="00FE271A">
            <w:pPr>
              <w:pStyle w:val="TableText"/>
              <w:jc w:val="right"/>
              <w:rPr>
                <w:lang w:eastAsia="en-AU"/>
              </w:rPr>
            </w:pPr>
            <w:r w:rsidRPr="005B0796">
              <w:rPr>
                <w:lang w:eastAsia="en-AU"/>
              </w:rPr>
              <w:t>1.9</w:t>
            </w:r>
          </w:p>
        </w:tc>
        <w:tc>
          <w:tcPr>
            <w:tcW w:w="977" w:type="dxa"/>
            <w:hideMark/>
          </w:tcPr>
          <w:p w:rsidR="0086093B" w:rsidRPr="005B0796" w:rsidRDefault="0086093B" w:rsidP="00FE271A">
            <w:pPr>
              <w:pStyle w:val="TableText"/>
              <w:jc w:val="right"/>
              <w:rPr>
                <w:lang w:eastAsia="en-AU"/>
              </w:rPr>
            </w:pPr>
            <w:r w:rsidRPr="005B0796">
              <w:rPr>
                <w:lang w:eastAsia="en-AU"/>
              </w:rPr>
              <w:t>36.4, 44.1</w:t>
            </w:r>
          </w:p>
        </w:tc>
        <w:tc>
          <w:tcPr>
            <w:tcW w:w="977" w:type="dxa"/>
            <w:hideMark/>
          </w:tcPr>
          <w:p w:rsidR="0086093B" w:rsidRPr="005B0796" w:rsidRDefault="0086093B" w:rsidP="00FE271A">
            <w:pPr>
              <w:pStyle w:val="TableText"/>
              <w:jc w:val="right"/>
              <w:rPr>
                <w:lang w:eastAsia="en-AU"/>
              </w:rPr>
            </w:pPr>
            <w:r w:rsidRPr="005B0796">
              <w:rPr>
                <w:lang w:eastAsia="en-AU"/>
              </w:rPr>
              <w:t>-0.4</w:t>
            </w:r>
          </w:p>
        </w:tc>
        <w:tc>
          <w:tcPr>
            <w:tcW w:w="977" w:type="dxa"/>
            <w:hideMark/>
          </w:tcPr>
          <w:p w:rsidR="0086093B" w:rsidRPr="005B0796" w:rsidRDefault="0086093B" w:rsidP="00FE271A">
            <w:pPr>
              <w:pStyle w:val="TableText"/>
              <w:jc w:val="right"/>
              <w:rPr>
                <w:lang w:eastAsia="en-AU"/>
              </w:rPr>
            </w:pPr>
            <w:r w:rsidRPr="005B0796">
              <w:rPr>
                <w:lang w:eastAsia="en-AU"/>
              </w:rPr>
              <w:t>3.3</w:t>
            </w:r>
          </w:p>
        </w:tc>
        <w:tc>
          <w:tcPr>
            <w:tcW w:w="977" w:type="dxa"/>
            <w:hideMark/>
          </w:tcPr>
          <w:p w:rsidR="0086093B" w:rsidRPr="005B0796" w:rsidRDefault="0086093B" w:rsidP="00FE271A">
            <w:pPr>
              <w:pStyle w:val="TableText"/>
              <w:jc w:val="right"/>
              <w:rPr>
                <w:lang w:eastAsia="en-AU"/>
              </w:rPr>
            </w:pPr>
            <w:r w:rsidRPr="005B0796">
              <w:rPr>
                <w:lang w:eastAsia="en-AU"/>
              </w:rPr>
              <w:t>-6.9, 6.1</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rFonts w:eastAsia="GillSans"/>
                <w:lang w:eastAsia="en-AU"/>
              </w:rPr>
            </w:pPr>
            <w:r w:rsidRPr="005B0796">
              <w:rPr>
                <w:lang w:eastAsia="en-AU"/>
              </w:rPr>
              <w:t>Monthly</w:t>
            </w:r>
          </w:p>
        </w:tc>
        <w:tc>
          <w:tcPr>
            <w:tcW w:w="976" w:type="dxa"/>
            <w:hideMark/>
          </w:tcPr>
          <w:p w:rsidR="0086093B" w:rsidRPr="005B0796" w:rsidRDefault="0086093B" w:rsidP="00FE271A">
            <w:pPr>
              <w:pStyle w:val="TableText"/>
              <w:jc w:val="right"/>
              <w:rPr>
                <w:lang w:eastAsia="en-AU"/>
              </w:rPr>
            </w:pPr>
            <w:r w:rsidRPr="005B0796">
              <w:rPr>
                <w:lang w:eastAsia="en-AU"/>
              </w:rPr>
              <w:t>31.7</w:t>
            </w:r>
          </w:p>
        </w:tc>
        <w:tc>
          <w:tcPr>
            <w:tcW w:w="977" w:type="dxa"/>
            <w:hideMark/>
          </w:tcPr>
          <w:p w:rsidR="0086093B" w:rsidRPr="005B0796" w:rsidRDefault="0086093B" w:rsidP="00FE271A">
            <w:pPr>
              <w:pStyle w:val="TableText"/>
              <w:jc w:val="right"/>
              <w:rPr>
                <w:lang w:eastAsia="en-AU"/>
              </w:rPr>
            </w:pPr>
            <w:r w:rsidRPr="005B0796">
              <w:rPr>
                <w:lang w:eastAsia="en-AU"/>
              </w:rPr>
              <w:t>2.6</w:t>
            </w:r>
          </w:p>
        </w:tc>
        <w:tc>
          <w:tcPr>
            <w:tcW w:w="977" w:type="dxa"/>
            <w:hideMark/>
          </w:tcPr>
          <w:p w:rsidR="0086093B" w:rsidRPr="005B0796" w:rsidRDefault="0086093B" w:rsidP="00FE271A">
            <w:pPr>
              <w:pStyle w:val="TableText"/>
              <w:jc w:val="right"/>
              <w:rPr>
                <w:lang w:eastAsia="en-AU"/>
              </w:rPr>
            </w:pPr>
            <w:r w:rsidRPr="005B0796">
              <w:rPr>
                <w:lang w:eastAsia="en-AU"/>
              </w:rPr>
              <w:t>26.9, 36.9</w:t>
            </w:r>
          </w:p>
        </w:tc>
        <w:tc>
          <w:tcPr>
            <w:tcW w:w="977" w:type="dxa"/>
            <w:hideMark/>
          </w:tcPr>
          <w:p w:rsidR="0086093B" w:rsidRPr="005B0796" w:rsidRDefault="0086093B" w:rsidP="00FE271A">
            <w:pPr>
              <w:pStyle w:val="TableText"/>
              <w:jc w:val="right"/>
              <w:rPr>
                <w:lang w:eastAsia="en-AU"/>
              </w:rPr>
            </w:pPr>
            <w:r w:rsidRPr="005B0796">
              <w:rPr>
                <w:lang w:eastAsia="en-AU"/>
              </w:rPr>
              <w:t>28.5</w:t>
            </w:r>
          </w:p>
        </w:tc>
        <w:tc>
          <w:tcPr>
            <w:tcW w:w="976" w:type="dxa"/>
            <w:hideMark/>
          </w:tcPr>
          <w:p w:rsidR="0086093B" w:rsidRPr="005B0796" w:rsidRDefault="0086093B" w:rsidP="00FE271A">
            <w:pPr>
              <w:pStyle w:val="TableText"/>
              <w:jc w:val="right"/>
              <w:rPr>
                <w:lang w:eastAsia="en-AU"/>
              </w:rPr>
            </w:pPr>
            <w:r w:rsidRPr="005B0796">
              <w:rPr>
                <w:lang w:eastAsia="en-AU"/>
              </w:rPr>
              <w:t>2.1</w:t>
            </w:r>
          </w:p>
        </w:tc>
        <w:tc>
          <w:tcPr>
            <w:tcW w:w="977" w:type="dxa"/>
            <w:hideMark/>
          </w:tcPr>
          <w:p w:rsidR="0086093B" w:rsidRPr="005B0796" w:rsidRDefault="0086093B" w:rsidP="00FE271A">
            <w:pPr>
              <w:pStyle w:val="TableText"/>
              <w:jc w:val="right"/>
              <w:rPr>
                <w:lang w:eastAsia="en-AU"/>
              </w:rPr>
            </w:pPr>
            <w:r w:rsidRPr="005B0796">
              <w:rPr>
                <w:lang w:eastAsia="en-AU"/>
              </w:rPr>
              <w:t>24.4, 32.5</w:t>
            </w:r>
          </w:p>
        </w:tc>
        <w:tc>
          <w:tcPr>
            <w:tcW w:w="977" w:type="dxa"/>
            <w:hideMark/>
          </w:tcPr>
          <w:p w:rsidR="0086093B" w:rsidRPr="005B0796" w:rsidRDefault="0086093B" w:rsidP="00FE271A">
            <w:pPr>
              <w:pStyle w:val="TableText"/>
              <w:jc w:val="right"/>
              <w:rPr>
                <w:lang w:eastAsia="en-AU"/>
              </w:rPr>
            </w:pPr>
            <w:r w:rsidRPr="005B0796">
              <w:rPr>
                <w:lang w:eastAsia="en-AU"/>
              </w:rPr>
              <w:t>3.2</w:t>
            </w:r>
          </w:p>
        </w:tc>
        <w:tc>
          <w:tcPr>
            <w:tcW w:w="977" w:type="dxa"/>
            <w:hideMark/>
          </w:tcPr>
          <w:p w:rsidR="0086093B" w:rsidRPr="005B0796" w:rsidRDefault="0086093B" w:rsidP="00FE271A">
            <w:pPr>
              <w:pStyle w:val="TableText"/>
              <w:jc w:val="right"/>
              <w:rPr>
                <w:lang w:eastAsia="en-AU"/>
              </w:rPr>
            </w:pPr>
            <w:r w:rsidRPr="005B0796">
              <w:rPr>
                <w:lang w:eastAsia="en-AU"/>
              </w:rPr>
              <w:t>3.3</w:t>
            </w:r>
          </w:p>
        </w:tc>
        <w:tc>
          <w:tcPr>
            <w:tcW w:w="977" w:type="dxa"/>
            <w:hideMark/>
          </w:tcPr>
          <w:p w:rsidR="0086093B" w:rsidRPr="005B0796" w:rsidRDefault="0086093B" w:rsidP="00FE271A">
            <w:pPr>
              <w:pStyle w:val="TableText"/>
              <w:jc w:val="right"/>
              <w:rPr>
                <w:lang w:eastAsia="en-AU"/>
              </w:rPr>
            </w:pPr>
            <w:r w:rsidRPr="005B0796">
              <w:rPr>
                <w:lang w:eastAsia="en-AU"/>
              </w:rPr>
              <w:t>-3.2, 9.7</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Less than monthly</w:t>
            </w:r>
          </w:p>
        </w:tc>
        <w:tc>
          <w:tcPr>
            <w:tcW w:w="976" w:type="dxa"/>
            <w:hideMark/>
          </w:tcPr>
          <w:p w:rsidR="0086093B" w:rsidRPr="005B0796" w:rsidRDefault="0086093B" w:rsidP="00FE271A">
            <w:pPr>
              <w:pStyle w:val="TableText"/>
              <w:jc w:val="right"/>
              <w:rPr>
                <w:lang w:eastAsia="en-AU"/>
              </w:rPr>
            </w:pPr>
            <w:r w:rsidRPr="005B0796">
              <w:rPr>
                <w:lang w:eastAsia="en-AU"/>
              </w:rPr>
              <w:t>18.4</w:t>
            </w:r>
          </w:p>
        </w:tc>
        <w:tc>
          <w:tcPr>
            <w:tcW w:w="977" w:type="dxa"/>
            <w:hideMark/>
          </w:tcPr>
          <w:p w:rsidR="0086093B" w:rsidRPr="005B0796" w:rsidRDefault="0086093B" w:rsidP="00FE271A">
            <w:pPr>
              <w:pStyle w:val="TableText"/>
              <w:jc w:val="right"/>
              <w:rPr>
                <w:lang w:eastAsia="en-AU"/>
              </w:rPr>
            </w:pPr>
            <w:r w:rsidRPr="005B0796">
              <w:rPr>
                <w:lang w:eastAsia="en-AU"/>
              </w:rPr>
              <w:t>2.2</w:t>
            </w:r>
          </w:p>
        </w:tc>
        <w:tc>
          <w:tcPr>
            <w:tcW w:w="977" w:type="dxa"/>
            <w:hideMark/>
          </w:tcPr>
          <w:p w:rsidR="0086093B" w:rsidRPr="005B0796" w:rsidRDefault="0086093B" w:rsidP="00FE271A">
            <w:pPr>
              <w:pStyle w:val="TableText"/>
              <w:jc w:val="right"/>
              <w:rPr>
                <w:lang w:eastAsia="en-AU"/>
              </w:rPr>
            </w:pPr>
            <w:r w:rsidRPr="005B0796">
              <w:rPr>
                <w:lang w:eastAsia="en-AU"/>
              </w:rPr>
              <w:t>14.6, 23.1</w:t>
            </w:r>
          </w:p>
        </w:tc>
        <w:tc>
          <w:tcPr>
            <w:tcW w:w="977" w:type="dxa"/>
            <w:hideMark/>
          </w:tcPr>
          <w:p w:rsidR="0086093B" w:rsidRPr="005B0796" w:rsidRDefault="0086093B" w:rsidP="00FE271A">
            <w:pPr>
              <w:pStyle w:val="TableText"/>
              <w:jc w:val="right"/>
              <w:rPr>
                <w:lang w:eastAsia="en-AU"/>
              </w:rPr>
            </w:pPr>
            <w:r w:rsidRPr="005B0796">
              <w:rPr>
                <w:lang w:eastAsia="en-AU"/>
              </w:rPr>
              <w:t>14.9</w:t>
            </w:r>
          </w:p>
        </w:tc>
        <w:tc>
          <w:tcPr>
            <w:tcW w:w="976" w:type="dxa"/>
            <w:hideMark/>
          </w:tcPr>
          <w:p w:rsidR="0086093B" w:rsidRPr="005B0796" w:rsidRDefault="0086093B" w:rsidP="00FE271A">
            <w:pPr>
              <w:pStyle w:val="TableText"/>
              <w:jc w:val="right"/>
              <w:rPr>
                <w:lang w:eastAsia="en-AU"/>
              </w:rPr>
            </w:pPr>
            <w:r w:rsidRPr="005B0796">
              <w:rPr>
                <w:lang w:eastAsia="en-AU"/>
              </w:rPr>
              <w:t>1.2</w:t>
            </w:r>
          </w:p>
        </w:tc>
        <w:tc>
          <w:tcPr>
            <w:tcW w:w="977" w:type="dxa"/>
            <w:hideMark/>
          </w:tcPr>
          <w:p w:rsidR="0086093B" w:rsidRPr="005B0796" w:rsidRDefault="0086093B" w:rsidP="00FE271A">
            <w:pPr>
              <w:pStyle w:val="TableText"/>
              <w:jc w:val="right"/>
              <w:rPr>
                <w:lang w:eastAsia="en-AU"/>
              </w:rPr>
            </w:pPr>
            <w:r w:rsidRPr="005B0796">
              <w:rPr>
                <w:lang w:eastAsia="en-AU"/>
              </w:rPr>
              <w:t>12.4, 17.3</w:t>
            </w:r>
          </w:p>
        </w:tc>
        <w:tc>
          <w:tcPr>
            <w:tcW w:w="977" w:type="dxa"/>
            <w:hideMark/>
          </w:tcPr>
          <w:p w:rsidR="0086093B" w:rsidRPr="005B0796" w:rsidRDefault="0086093B" w:rsidP="00FE271A">
            <w:pPr>
              <w:pStyle w:val="TableText"/>
              <w:jc w:val="right"/>
              <w:rPr>
                <w:lang w:eastAsia="en-AU"/>
              </w:rPr>
            </w:pPr>
            <w:r w:rsidRPr="005B0796">
              <w:rPr>
                <w:lang w:eastAsia="en-AU"/>
              </w:rPr>
              <w:t>3.6</w:t>
            </w:r>
          </w:p>
        </w:tc>
        <w:tc>
          <w:tcPr>
            <w:tcW w:w="977" w:type="dxa"/>
            <w:hideMark/>
          </w:tcPr>
          <w:p w:rsidR="0086093B" w:rsidRPr="005B0796" w:rsidRDefault="0086093B" w:rsidP="00FE271A">
            <w:pPr>
              <w:pStyle w:val="TableText"/>
              <w:jc w:val="right"/>
              <w:rPr>
                <w:lang w:eastAsia="en-AU"/>
              </w:rPr>
            </w:pPr>
            <w:r w:rsidRPr="005B0796">
              <w:rPr>
                <w:lang w:eastAsia="en-AU"/>
              </w:rPr>
              <w:t>2.5</w:t>
            </w:r>
          </w:p>
        </w:tc>
        <w:tc>
          <w:tcPr>
            <w:tcW w:w="977" w:type="dxa"/>
            <w:hideMark/>
          </w:tcPr>
          <w:p w:rsidR="0086093B" w:rsidRPr="005B0796" w:rsidRDefault="0086093B" w:rsidP="00FE271A">
            <w:pPr>
              <w:pStyle w:val="TableText"/>
              <w:jc w:val="right"/>
              <w:rPr>
                <w:lang w:eastAsia="en-AU"/>
              </w:rPr>
            </w:pPr>
            <w:r w:rsidRPr="005B0796">
              <w:rPr>
                <w:lang w:eastAsia="en-AU"/>
              </w:rPr>
              <w:t>-1.3, 8.5</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hideMark/>
          </w:tcPr>
          <w:p w:rsidR="0086093B" w:rsidRPr="005B0796" w:rsidRDefault="0086093B" w:rsidP="00FE271A">
            <w:pPr>
              <w:pStyle w:val="TableText"/>
              <w:rPr>
                <w:lang w:eastAsia="en-AU"/>
              </w:rPr>
            </w:pPr>
            <w:r w:rsidRPr="005B0796">
              <w:rPr>
                <w:lang w:eastAsia="en-AU"/>
              </w:rPr>
              <w:t>28–37</w:t>
            </w:r>
          </w:p>
        </w:tc>
        <w:tc>
          <w:tcPr>
            <w:tcW w:w="1707" w:type="dxa"/>
            <w:hideMark/>
          </w:tcPr>
          <w:p w:rsidR="0086093B" w:rsidRPr="005B0796" w:rsidRDefault="0086093B" w:rsidP="00FE271A">
            <w:pPr>
              <w:pStyle w:val="TableText"/>
              <w:rPr>
                <w:lang w:eastAsia="en-AU"/>
              </w:rPr>
            </w:pPr>
            <w:r w:rsidRPr="005B0796">
              <w:rPr>
                <w:lang w:eastAsia="en-AU"/>
              </w:rPr>
              <w:t>Daily</w:t>
            </w:r>
          </w:p>
        </w:tc>
        <w:tc>
          <w:tcPr>
            <w:tcW w:w="976" w:type="dxa"/>
            <w:hideMark/>
          </w:tcPr>
          <w:p w:rsidR="0086093B" w:rsidRPr="005B0796" w:rsidRDefault="0086093B" w:rsidP="00FE271A">
            <w:pPr>
              <w:pStyle w:val="TableText"/>
              <w:jc w:val="right"/>
              <w:rPr>
                <w:lang w:eastAsia="en-AU"/>
              </w:rPr>
            </w:pPr>
            <w:r w:rsidRPr="005B0796">
              <w:rPr>
                <w:lang w:eastAsia="en-AU"/>
              </w:rPr>
              <w:t>2.9</w:t>
            </w:r>
          </w:p>
        </w:tc>
        <w:tc>
          <w:tcPr>
            <w:tcW w:w="977" w:type="dxa"/>
            <w:hideMark/>
          </w:tcPr>
          <w:p w:rsidR="0086093B" w:rsidRPr="005B0796" w:rsidRDefault="0086093B" w:rsidP="00FE271A">
            <w:pPr>
              <w:pStyle w:val="TableText"/>
              <w:jc w:val="right"/>
              <w:rPr>
                <w:lang w:eastAsia="en-AU"/>
              </w:rPr>
            </w:pPr>
            <w:r w:rsidRPr="005B0796">
              <w:rPr>
                <w:lang w:eastAsia="en-AU"/>
              </w:rPr>
              <w:t>0.7</w:t>
            </w:r>
          </w:p>
        </w:tc>
        <w:tc>
          <w:tcPr>
            <w:tcW w:w="977" w:type="dxa"/>
            <w:hideMark/>
          </w:tcPr>
          <w:p w:rsidR="0086093B" w:rsidRPr="005B0796" w:rsidRDefault="0086093B" w:rsidP="00FE271A">
            <w:pPr>
              <w:pStyle w:val="TableText"/>
              <w:jc w:val="right"/>
              <w:rPr>
                <w:lang w:eastAsia="en-AU"/>
              </w:rPr>
            </w:pPr>
            <w:r w:rsidRPr="005B0796">
              <w:rPr>
                <w:lang w:eastAsia="en-AU"/>
              </w:rPr>
              <w:t>1.9, 4.5</w:t>
            </w:r>
          </w:p>
        </w:tc>
        <w:tc>
          <w:tcPr>
            <w:tcW w:w="977" w:type="dxa"/>
            <w:hideMark/>
          </w:tcPr>
          <w:p w:rsidR="0086093B" w:rsidRPr="005B0796" w:rsidRDefault="0086093B" w:rsidP="00FE271A">
            <w:pPr>
              <w:pStyle w:val="TableText"/>
              <w:jc w:val="right"/>
              <w:rPr>
                <w:lang w:eastAsia="en-AU"/>
              </w:rPr>
            </w:pPr>
            <w:r w:rsidRPr="005B0796">
              <w:rPr>
                <w:lang w:eastAsia="en-AU"/>
              </w:rPr>
              <w:t>3.0</w:t>
            </w:r>
          </w:p>
        </w:tc>
        <w:tc>
          <w:tcPr>
            <w:tcW w:w="976" w:type="dxa"/>
            <w:hideMark/>
          </w:tcPr>
          <w:p w:rsidR="0086093B" w:rsidRPr="005B0796" w:rsidRDefault="0086093B" w:rsidP="00FE271A">
            <w:pPr>
              <w:pStyle w:val="TableText"/>
              <w:jc w:val="right"/>
              <w:rPr>
                <w:lang w:eastAsia="en-AU"/>
              </w:rPr>
            </w:pPr>
            <w:r w:rsidRPr="005B0796">
              <w:rPr>
                <w:lang w:eastAsia="en-AU"/>
              </w:rPr>
              <w:t>0.5</w:t>
            </w:r>
          </w:p>
        </w:tc>
        <w:tc>
          <w:tcPr>
            <w:tcW w:w="977" w:type="dxa"/>
            <w:hideMark/>
          </w:tcPr>
          <w:p w:rsidR="0086093B" w:rsidRPr="005B0796" w:rsidRDefault="0086093B" w:rsidP="00FE271A">
            <w:pPr>
              <w:pStyle w:val="TableText"/>
              <w:jc w:val="right"/>
              <w:rPr>
                <w:lang w:eastAsia="en-AU"/>
              </w:rPr>
            </w:pPr>
            <w:r w:rsidRPr="005B0796">
              <w:rPr>
                <w:lang w:eastAsia="en-AU"/>
              </w:rPr>
              <w:t>1.9, 4.1</w:t>
            </w:r>
          </w:p>
        </w:tc>
        <w:tc>
          <w:tcPr>
            <w:tcW w:w="977" w:type="dxa"/>
            <w:hideMark/>
          </w:tcPr>
          <w:p w:rsidR="0086093B" w:rsidRPr="005B0796" w:rsidRDefault="0086093B" w:rsidP="00FE271A">
            <w:pPr>
              <w:pStyle w:val="TableText"/>
              <w:jc w:val="right"/>
              <w:rPr>
                <w:lang w:eastAsia="en-AU"/>
              </w:rPr>
            </w:pPr>
            <w:r w:rsidRPr="005B0796">
              <w:rPr>
                <w:lang w:eastAsia="en-AU"/>
              </w:rPr>
              <w:t>-0.1</w:t>
            </w:r>
          </w:p>
        </w:tc>
        <w:tc>
          <w:tcPr>
            <w:tcW w:w="977" w:type="dxa"/>
            <w:hideMark/>
          </w:tcPr>
          <w:p w:rsidR="0086093B" w:rsidRPr="005B0796" w:rsidRDefault="0086093B" w:rsidP="00FE271A">
            <w:pPr>
              <w:pStyle w:val="TableText"/>
              <w:jc w:val="right"/>
              <w:rPr>
                <w:lang w:eastAsia="en-AU"/>
              </w:rPr>
            </w:pPr>
            <w:r w:rsidRPr="005B0796">
              <w:rPr>
                <w:lang w:eastAsia="en-AU"/>
              </w:rPr>
              <w:t>0.8</w:t>
            </w:r>
          </w:p>
        </w:tc>
        <w:tc>
          <w:tcPr>
            <w:tcW w:w="977" w:type="dxa"/>
            <w:hideMark/>
          </w:tcPr>
          <w:p w:rsidR="0086093B" w:rsidRPr="005B0796" w:rsidRDefault="0086093B" w:rsidP="00FE271A">
            <w:pPr>
              <w:pStyle w:val="TableText"/>
              <w:jc w:val="right"/>
              <w:rPr>
                <w:lang w:eastAsia="en-AU"/>
              </w:rPr>
            </w:pPr>
            <w:r w:rsidRPr="005B0796">
              <w:rPr>
                <w:lang w:eastAsia="en-AU"/>
              </w:rPr>
              <w:t>-1.7, 1.6</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Weekly</w:t>
            </w:r>
          </w:p>
        </w:tc>
        <w:tc>
          <w:tcPr>
            <w:tcW w:w="976" w:type="dxa"/>
            <w:hideMark/>
          </w:tcPr>
          <w:p w:rsidR="0086093B" w:rsidRPr="005B0796" w:rsidRDefault="0086093B" w:rsidP="00FE271A">
            <w:pPr>
              <w:pStyle w:val="TableText"/>
              <w:jc w:val="right"/>
              <w:rPr>
                <w:lang w:eastAsia="en-AU"/>
              </w:rPr>
            </w:pPr>
            <w:r w:rsidRPr="005B0796">
              <w:rPr>
                <w:lang w:eastAsia="en-AU"/>
              </w:rPr>
              <w:t>46.9</w:t>
            </w:r>
          </w:p>
        </w:tc>
        <w:tc>
          <w:tcPr>
            <w:tcW w:w="977" w:type="dxa"/>
            <w:hideMark/>
          </w:tcPr>
          <w:p w:rsidR="0086093B" w:rsidRPr="005B0796" w:rsidRDefault="0086093B" w:rsidP="00FE271A">
            <w:pPr>
              <w:pStyle w:val="TableText"/>
              <w:jc w:val="right"/>
              <w:rPr>
                <w:lang w:eastAsia="en-AU"/>
              </w:rPr>
            </w:pPr>
            <w:r w:rsidRPr="005B0796">
              <w:rPr>
                <w:lang w:eastAsia="en-AU"/>
              </w:rPr>
              <w:t>1.8</w:t>
            </w:r>
          </w:p>
        </w:tc>
        <w:tc>
          <w:tcPr>
            <w:tcW w:w="977" w:type="dxa"/>
            <w:hideMark/>
          </w:tcPr>
          <w:p w:rsidR="0086093B" w:rsidRPr="005B0796" w:rsidRDefault="0086093B" w:rsidP="00FE271A">
            <w:pPr>
              <w:pStyle w:val="TableText"/>
              <w:jc w:val="right"/>
              <w:rPr>
                <w:lang w:eastAsia="en-AU"/>
              </w:rPr>
            </w:pPr>
            <w:r w:rsidRPr="005B0796">
              <w:rPr>
                <w:lang w:eastAsia="en-AU"/>
              </w:rPr>
              <w:t>43.3, 50.5</w:t>
            </w:r>
          </w:p>
        </w:tc>
        <w:tc>
          <w:tcPr>
            <w:tcW w:w="977" w:type="dxa"/>
            <w:hideMark/>
          </w:tcPr>
          <w:p w:rsidR="0086093B" w:rsidRPr="005B0796" w:rsidRDefault="0086093B" w:rsidP="00FE271A">
            <w:pPr>
              <w:pStyle w:val="TableText"/>
              <w:jc w:val="right"/>
              <w:rPr>
                <w:lang w:eastAsia="en-AU"/>
              </w:rPr>
            </w:pPr>
            <w:r w:rsidRPr="005B0796">
              <w:rPr>
                <w:lang w:eastAsia="en-AU"/>
              </w:rPr>
              <w:t>47.3</w:t>
            </w:r>
          </w:p>
        </w:tc>
        <w:tc>
          <w:tcPr>
            <w:tcW w:w="976" w:type="dxa"/>
            <w:hideMark/>
          </w:tcPr>
          <w:p w:rsidR="0086093B" w:rsidRPr="005B0796" w:rsidRDefault="0086093B" w:rsidP="00FE271A">
            <w:pPr>
              <w:pStyle w:val="TableText"/>
              <w:jc w:val="right"/>
              <w:rPr>
                <w:lang w:eastAsia="en-AU"/>
              </w:rPr>
            </w:pPr>
            <w:r w:rsidRPr="005B0796">
              <w:rPr>
                <w:lang w:eastAsia="en-AU"/>
              </w:rPr>
              <w:t>1.9</w:t>
            </w:r>
          </w:p>
        </w:tc>
        <w:tc>
          <w:tcPr>
            <w:tcW w:w="977" w:type="dxa"/>
            <w:hideMark/>
          </w:tcPr>
          <w:p w:rsidR="0086093B" w:rsidRPr="005B0796" w:rsidRDefault="0086093B" w:rsidP="00FE271A">
            <w:pPr>
              <w:pStyle w:val="TableText"/>
              <w:jc w:val="right"/>
              <w:rPr>
                <w:lang w:eastAsia="en-AU"/>
              </w:rPr>
            </w:pPr>
            <w:r w:rsidRPr="005B0796">
              <w:rPr>
                <w:lang w:eastAsia="en-AU"/>
              </w:rPr>
              <w:t>43.4, 51.2</w:t>
            </w:r>
          </w:p>
        </w:tc>
        <w:tc>
          <w:tcPr>
            <w:tcW w:w="977" w:type="dxa"/>
            <w:hideMark/>
          </w:tcPr>
          <w:p w:rsidR="0086093B" w:rsidRPr="005B0796" w:rsidRDefault="0086093B" w:rsidP="00FE271A">
            <w:pPr>
              <w:pStyle w:val="TableText"/>
              <w:jc w:val="right"/>
              <w:rPr>
                <w:lang w:eastAsia="en-AU"/>
              </w:rPr>
            </w:pPr>
            <w:r w:rsidRPr="005B0796">
              <w:rPr>
                <w:lang w:eastAsia="en-AU"/>
              </w:rPr>
              <w:t>-0.4</w:t>
            </w:r>
          </w:p>
        </w:tc>
        <w:tc>
          <w:tcPr>
            <w:tcW w:w="977" w:type="dxa"/>
            <w:hideMark/>
          </w:tcPr>
          <w:p w:rsidR="0086093B" w:rsidRPr="005B0796" w:rsidRDefault="0086093B" w:rsidP="00FE271A">
            <w:pPr>
              <w:pStyle w:val="TableText"/>
              <w:jc w:val="right"/>
              <w:rPr>
                <w:lang w:eastAsia="en-AU"/>
              </w:rPr>
            </w:pPr>
            <w:r w:rsidRPr="005B0796">
              <w:rPr>
                <w:lang w:eastAsia="en-AU"/>
              </w:rPr>
              <w:t>2.7</w:t>
            </w:r>
          </w:p>
        </w:tc>
        <w:tc>
          <w:tcPr>
            <w:tcW w:w="977" w:type="dxa"/>
            <w:hideMark/>
          </w:tcPr>
          <w:p w:rsidR="0086093B" w:rsidRPr="005B0796" w:rsidRDefault="0086093B" w:rsidP="00FE271A">
            <w:pPr>
              <w:pStyle w:val="TableText"/>
              <w:jc w:val="right"/>
              <w:rPr>
                <w:lang w:eastAsia="en-AU"/>
              </w:rPr>
            </w:pPr>
            <w:r w:rsidRPr="005B0796">
              <w:rPr>
                <w:lang w:eastAsia="en-AU"/>
              </w:rPr>
              <w:t>-5.7, 4.9</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Monthly</w:t>
            </w:r>
          </w:p>
        </w:tc>
        <w:tc>
          <w:tcPr>
            <w:tcW w:w="976" w:type="dxa"/>
            <w:hideMark/>
          </w:tcPr>
          <w:p w:rsidR="0086093B" w:rsidRPr="005B0796" w:rsidRDefault="0086093B" w:rsidP="00FE271A">
            <w:pPr>
              <w:pStyle w:val="TableText"/>
              <w:jc w:val="right"/>
              <w:rPr>
                <w:lang w:eastAsia="en-AU"/>
              </w:rPr>
            </w:pPr>
            <w:r w:rsidRPr="005B0796">
              <w:rPr>
                <w:lang w:eastAsia="en-AU"/>
              </w:rPr>
              <w:t>28.8</w:t>
            </w:r>
          </w:p>
        </w:tc>
        <w:tc>
          <w:tcPr>
            <w:tcW w:w="977" w:type="dxa"/>
            <w:hideMark/>
          </w:tcPr>
          <w:p w:rsidR="0086093B" w:rsidRPr="005B0796" w:rsidRDefault="0086093B" w:rsidP="00FE271A">
            <w:pPr>
              <w:pStyle w:val="TableText"/>
              <w:jc w:val="right"/>
              <w:rPr>
                <w:lang w:eastAsia="en-AU"/>
              </w:rPr>
            </w:pPr>
            <w:r w:rsidRPr="005B0796">
              <w:rPr>
                <w:lang w:eastAsia="en-AU"/>
              </w:rPr>
              <w:t>1.7</w:t>
            </w:r>
          </w:p>
        </w:tc>
        <w:tc>
          <w:tcPr>
            <w:tcW w:w="977" w:type="dxa"/>
            <w:hideMark/>
          </w:tcPr>
          <w:p w:rsidR="0086093B" w:rsidRPr="005B0796" w:rsidRDefault="0086093B" w:rsidP="00FE271A">
            <w:pPr>
              <w:pStyle w:val="TableText"/>
              <w:jc w:val="right"/>
              <w:rPr>
                <w:lang w:eastAsia="en-AU"/>
              </w:rPr>
            </w:pPr>
            <w:r w:rsidRPr="005B0796">
              <w:rPr>
                <w:lang w:eastAsia="en-AU"/>
              </w:rPr>
              <w:t>25.6, 32.3</w:t>
            </w:r>
          </w:p>
        </w:tc>
        <w:tc>
          <w:tcPr>
            <w:tcW w:w="977" w:type="dxa"/>
            <w:hideMark/>
          </w:tcPr>
          <w:p w:rsidR="0086093B" w:rsidRPr="005B0796" w:rsidRDefault="0086093B" w:rsidP="00FE271A">
            <w:pPr>
              <w:pStyle w:val="TableText"/>
              <w:jc w:val="right"/>
              <w:rPr>
                <w:lang w:eastAsia="en-AU"/>
              </w:rPr>
            </w:pPr>
            <w:r w:rsidRPr="005B0796">
              <w:rPr>
                <w:lang w:eastAsia="en-AU"/>
              </w:rPr>
              <w:t>19.7</w:t>
            </w:r>
          </w:p>
        </w:tc>
        <w:tc>
          <w:tcPr>
            <w:tcW w:w="976" w:type="dxa"/>
            <w:hideMark/>
          </w:tcPr>
          <w:p w:rsidR="0086093B" w:rsidRPr="005B0796" w:rsidRDefault="0086093B" w:rsidP="00FE271A">
            <w:pPr>
              <w:pStyle w:val="TableText"/>
              <w:jc w:val="right"/>
              <w:rPr>
                <w:lang w:eastAsia="en-AU"/>
              </w:rPr>
            </w:pPr>
            <w:r w:rsidRPr="005B0796">
              <w:rPr>
                <w:lang w:eastAsia="en-AU"/>
              </w:rPr>
              <w:t>1.8</w:t>
            </w:r>
          </w:p>
        </w:tc>
        <w:tc>
          <w:tcPr>
            <w:tcW w:w="977" w:type="dxa"/>
            <w:hideMark/>
          </w:tcPr>
          <w:p w:rsidR="0086093B" w:rsidRPr="005B0796" w:rsidRDefault="0086093B" w:rsidP="00FE271A">
            <w:pPr>
              <w:pStyle w:val="TableText"/>
              <w:jc w:val="right"/>
              <w:rPr>
                <w:lang w:eastAsia="en-AU"/>
              </w:rPr>
            </w:pPr>
            <w:r w:rsidRPr="005B0796">
              <w:rPr>
                <w:lang w:eastAsia="en-AU"/>
              </w:rPr>
              <w:t>16.2, 23.2</w:t>
            </w:r>
          </w:p>
        </w:tc>
        <w:tc>
          <w:tcPr>
            <w:tcW w:w="977" w:type="dxa"/>
            <w:hideMark/>
          </w:tcPr>
          <w:p w:rsidR="0086093B" w:rsidRPr="005B0796" w:rsidRDefault="0086093B" w:rsidP="00FE271A">
            <w:pPr>
              <w:pStyle w:val="TableText"/>
              <w:jc w:val="right"/>
              <w:rPr>
                <w:lang w:eastAsia="en-AU"/>
              </w:rPr>
            </w:pPr>
            <w:r w:rsidRPr="005B0796">
              <w:rPr>
                <w:lang w:eastAsia="en-AU"/>
              </w:rPr>
              <w:t>9.1</w:t>
            </w:r>
          </w:p>
        </w:tc>
        <w:tc>
          <w:tcPr>
            <w:tcW w:w="977" w:type="dxa"/>
            <w:hideMark/>
          </w:tcPr>
          <w:p w:rsidR="0086093B" w:rsidRPr="005B0796" w:rsidRDefault="0086093B" w:rsidP="00FE271A">
            <w:pPr>
              <w:pStyle w:val="TableText"/>
              <w:jc w:val="right"/>
              <w:rPr>
                <w:lang w:eastAsia="en-AU"/>
              </w:rPr>
            </w:pPr>
            <w:r w:rsidRPr="005B0796">
              <w:rPr>
                <w:lang w:eastAsia="en-AU"/>
              </w:rPr>
              <w:t>2.5</w:t>
            </w:r>
          </w:p>
        </w:tc>
        <w:tc>
          <w:tcPr>
            <w:tcW w:w="977" w:type="dxa"/>
            <w:hideMark/>
          </w:tcPr>
          <w:p w:rsidR="0086093B" w:rsidRPr="005B0796" w:rsidRDefault="0086093B" w:rsidP="00FE271A">
            <w:pPr>
              <w:pStyle w:val="TableText"/>
              <w:jc w:val="right"/>
              <w:rPr>
                <w:lang w:eastAsia="en-AU"/>
              </w:rPr>
            </w:pPr>
            <w:r w:rsidRPr="005B0796">
              <w:rPr>
                <w:lang w:eastAsia="en-AU"/>
              </w:rPr>
              <w:t>4.3, 13.9</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Less than monthly</w:t>
            </w:r>
          </w:p>
        </w:tc>
        <w:tc>
          <w:tcPr>
            <w:tcW w:w="976" w:type="dxa"/>
            <w:hideMark/>
          </w:tcPr>
          <w:p w:rsidR="0086093B" w:rsidRPr="005B0796" w:rsidRDefault="0086093B" w:rsidP="00FE271A">
            <w:pPr>
              <w:pStyle w:val="TableText"/>
              <w:jc w:val="right"/>
              <w:rPr>
                <w:lang w:eastAsia="en-AU"/>
              </w:rPr>
            </w:pPr>
            <w:r w:rsidRPr="005B0796">
              <w:rPr>
                <w:lang w:eastAsia="en-AU"/>
              </w:rPr>
              <w:t>15.0</w:t>
            </w:r>
          </w:p>
        </w:tc>
        <w:tc>
          <w:tcPr>
            <w:tcW w:w="977" w:type="dxa"/>
            <w:hideMark/>
          </w:tcPr>
          <w:p w:rsidR="0086093B" w:rsidRPr="005B0796" w:rsidRDefault="0086093B" w:rsidP="00FE271A">
            <w:pPr>
              <w:pStyle w:val="TableText"/>
              <w:jc w:val="right"/>
              <w:rPr>
                <w:lang w:eastAsia="en-AU"/>
              </w:rPr>
            </w:pPr>
            <w:r w:rsidRPr="005B0796">
              <w:rPr>
                <w:lang w:eastAsia="en-AU"/>
              </w:rPr>
              <w:t>1.3</w:t>
            </w:r>
          </w:p>
        </w:tc>
        <w:tc>
          <w:tcPr>
            <w:tcW w:w="977" w:type="dxa"/>
            <w:hideMark/>
          </w:tcPr>
          <w:p w:rsidR="0086093B" w:rsidRPr="005B0796" w:rsidRDefault="0086093B" w:rsidP="00FE271A">
            <w:pPr>
              <w:pStyle w:val="TableText"/>
              <w:jc w:val="right"/>
              <w:rPr>
                <w:lang w:eastAsia="en-AU"/>
              </w:rPr>
            </w:pPr>
            <w:r w:rsidRPr="005B0796">
              <w:rPr>
                <w:lang w:eastAsia="en-AU"/>
              </w:rPr>
              <w:t>12.6, 1.8</w:t>
            </w:r>
          </w:p>
        </w:tc>
        <w:tc>
          <w:tcPr>
            <w:tcW w:w="977" w:type="dxa"/>
            <w:hideMark/>
          </w:tcPr>
          <w:p w:rsidR="0086093B" w:rsidRPr="005B0796" w:rsidRDefault="0086093B" w:rsidP="00FE271A">
            <w:pPr>
              <w:pStyle w:val="TableText"/>
              <w:jc w:val="right"/>
              <w:rPr>
                <w:lang w:eastAsia="en-AU"/>
              </w:rPr>
            </w:pPr>
            <w:r w:rsidRPr="005B0796">
              <w:rPr>
                <w:lang w:eastAsia="en-AU"/>
              </w:rPr>
              <w:t>12.5</w:t>
            </w:r>
          </w:p>
        </w:tc>
        <w:tc>
          <w:tcPr>
            <w:tcW w:w="976" w:type="dxa"/>
            <w:hideMark/>
          </w:tcPr>
          <w:p w:rsidR="0086093B" w:rsidRPr="005B0796" w:rsidRDefault="0086093B" w:rsidP="00FE271A">
            <w:pPr>
              <w:pStyle w:val="TableText"/>
              <w:jc w:val="right"/>
              <w:rPr>
                <w:lang w:eastAsia="en-AU"/>
              </w:rPr>
            </w:pPr>
            <w:r w:rsidRPr="005B0796">
              <w:rPr>
                <w:lang w:eastAsia="en-AU"/>
              </w:rPr>
              <w:t>1.2</w:t>
            </w:r>
          </w:p>
        </w:tc>
        <w:tc>
          <w:tcPr>
            <w:tcW w:w="977" w:type="dxa"/>
            <w:hideMark/>
          </w:tcPr>
          <w:p w:rsidR="0086093B" w:rsidRPr="005B0796" w:rsidRDefault="0086093B" w:rsidP="00FE271A">
            <w:pPr>
              <w:pStyle w:val="TableText"/>
              <w:jc w:val="right"/>
              <w:rPr>
                <w:lang w:eastAsia="en-AU"/>
              </w:rPr>
            </w:pPr>
            <w:r w:rsidRPr="005B0796">
              <w:rPr>
                <w:lang w:eastAsia="en-AU"/>
              </w:rPr>
              <w:t>10.1, 14.9</w:t>
            </w:r>
          </w:p>
        </w:tc>
        <w:tc>
          <w:tcPr>
            <w:tcW w:w="977" w:type="dxa"/>
            <w:hideMark/>
          </w:tcPr>
          <w:p w:rsidR="0086093B" w:rsidRPr="005B0796" w:rsidRDefault="0086093B" w:rsidP="00FE271A">
            <w:pPr>
              <w:pStyle w:val="TableText"/>
              <w:jc w:val="right"/>
              <w:rPr>
                <w:lang w:eastAsia="en-AU"/>
              </w:rPr>
            </w:pPr>
            <w:r w:rsidRPr="005B0796">
              <w:rPr>
                <w:lang w:eastAsia="en-AU"/>
              </w:rPr>
              <w:t>2.5</w:t>
            </w:r>
          </w:p>
        </w:tc>
        <w:tc>
          <w:tcPr>
            <w:tcW w:w="977" w:type="dxa"/>
            <w:hideMark/>
          </w:tcPr>
          <w:p w:rsidR="0086093B" w:rsidRPr="005B0796" w:rsidRDefault="0086093B" w:rsidP="00FE271A">
            <w:pPr>
              <w:pStyle w:val="TableText"/>
              <w:jc w:val="right"/>
              <w:rPr>
                <w:lang w:eastAsia="en-AU"/>
              </w:rPr>
            </w:pPr>
            <w:r w:rsidRPr="005B0796">
              <w:rPr>
                <w:lang w:eastAsia="en-AU"/>
              </w:rPr>
              <w:t>1.8</w:t>
            </w:r>
          </w:p>
        </w:tc>
        <w:tc>
          <w:tcPr>
            <w:tcW w:w="977" w:type="dxa"/>
            <w:hideMark/>
          </w:tcPr>
          <w:p w:rsidR="0086093B" w:rsidRPr="005B0796" w:rsidRDefault="0086093B" w:rsidP="00FE271A">
            <w:pPr>
              <w:pStyle w:val="TableText"/>
              <w:jc w:val="right"/>
              <w:rPr>
                <w:lang w:eastAsia="en-AU"/>
              </w:rPr>
            </w:pPr>
            <w:r w:rsidRPr="005B0796">
              <w:rPr>
                <w:lang w:eastAsia="en-AU"/>
              </w:rPr>
              <w:t>-1.1, 6.0</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hideMark/>
          </w:tcPr>
          <w:p w:rsidR="0086093B" w:rsidRPr="005B0796" w:rsidRDefault="0086093B" w:rsidP="00FE271A">
            <w:pPr>
              <w:pStyle w:val="TableText"/>
              <w:rPr>
                <w:lang w:eastAsia="en-AU"/>
              </w:rPr>
            </w:pPr>
            <w:r w:rsidRPr="005B0796">
              <w:rPr>
                <w:lang w:eastAsia="en-AU"/>
              </w:rPr>
              <w:t>38–47</w:t>
            </w:r>
          </w:p>
        </w:tc>
        <w:tc>
          <w:tcPr>
            <w:tcW w:w="1707" w:type="dxa"/>
            <w:hideMark/>
          </w:tcPr>
          <w:p w:rsidR="0086093B" w:rsidRPr="005B0796" w:rsidRDefault="0086093B" w:rsidP="00FE271A">
            <w:pPr>
              <w:pStyle w:val="TableText"/>
              <w:rPr>
                <w:lang w:eastAsia="en-AU"/>
              </w:rPr>
            </w:pPr>
            <w:r w:rsidRPr="005B0796">
              <w:rPr>
                <w:lang w:eastAsia="en-AU"/>
              </w:rPr>
              <w:t>Daily</w:t>
            </w:r>
          </w:p>
        </w:tc>
        <w:tc>
          <w:tcPr>
            <w:tcW w:w="976" w:type="dxa"/>
            <w:hideMark/>
          </w:tcPr>
          <w:p w:rsidR="0086093B" w:rsidRPr="005B0796" w:rsidRDefault="0086093B" w:rsidP="00FE271A">
            <w:pPr>
              <w:pStyle w:val="TableText"/>
              <w:jc w:val="right"/>
              <w:rPr>
                <w:lang w:eastAsia="en-AU"/>
              </w:rPr>
            </w:pPr>
            <w:r w:rsidRPr="005B0796">
              <w:rPr>
                <w:lang w:eastAsia="en-AU"/>
              </w:rPr>
              <w:t>5.9</w:t>
            </w:r>
          </w:p>
        </w:tc>
        <w:tc>
          <w:tcPr>
            <w:tcW w:w="977" w:type="dxa"/>
            <w:hideMark/>
          </w:tcPr>
          <w:p w:rsidR="0086093B" w:rsidRPr="005B0796" w:rsidRDefault="0086093B" w:rsidP="00FE271A">
            <w:pPr>
              <w:pStyle w:val="TableText"/>
              <w:jc w:val="right"/>
              <w:rPr>
                <w:lang w:eastAsia="en-AU"/>
              </w:rPr>
            </w:pPr>
            <w:r w:rsidRPr="005B0796">
              <w:rPr>
                <w:lang w:eastAsia="en-AU"/>
              </w:rPr>
              <w:t>0.9</w:t>
            </w:r>
          </w:p>
        </w:tc>
        <w:tc>
          <w:tcPr>
            <w:tcW w:w="977" w:type="dxa"/>
            <w:hideMark/>
          </w:tcPr>
          <w:p w:rsidR="0086093B" w:rsidRPr="005B0796" w:rsidRDefault="0086093B" w:rsidP="00FE271A">
            <w:pPr>
              <w:pStyle w:val="TableText"/>
              <w:jc w:val="right"/>
              <w:rPr>
                <w:lang w:eastAsia="en-AU"/>
              </w:rPr>
            </w:pPr>
            <w:r w:rsidRPr="005B0796">
              <w:rPr>
                <w:lang w:eastAsia="en-AU"/>
              </w:rPr>
              <w:t>4.5, 7.9</w:t>
            </w:r>
          </w:p>
        </w:tc>
        <w:tc>
          <w:tcPr>
            <w:tcW w:w="977" w:type="dxa"/>
            <w:hideMark/>
          </w:tcPr>
          <w:p w:rsidR="0086093B" w:rsidRPr="005B0796" w:rsidRDefault="0086093B" w:rsidP="00FE271A">
            <w:pPr>
              <w:pStyle w:val="TableText"/>
              <w:jc w:val="right"/>
              <w:rPr>
                <w:lang w:eastAsia="en-AU"/>
              </w:rPr>
            </w:pPr>
            <w:r w:rsidRPr="005B0796">
              <w:rPr>
                <w:lang w:eastAsia="en-AU"/>
              </w:rPr>
              <w:t>5.9</w:t>
            </w:r>
          </w:p>
        </w:tc>
        <w:tc>
          <w:tcPr>
            <w:tcW w:w="976" w:type="dxa"/>
            <w:hideMark/>
          </w:tcPr>
          <w:p w:rsidR="0086093B" w:rsidRPr="005B0796" w:rsidRDefault="0086093B" w:rsidP="00FE271A">
            <w:pPr>
              <w:pStyle w:val="TableText"/>
              <w:jc w:val="right"/>
              <w:rPr>
                <w:lang w:eastAsia="en-AU"/>
              </w:rPr>
            </w:pPr>
            <w:r w:rsidRPr="005B0796">
              <w:rPr>
                <w:lang w:eastAsia="en-AU"/>
              </w:rPr>
              <w:t>1.0</w:t>
            </w:r>
          </w:p>
        </w:tc>
        <w:tc>
          <w:tcPr>
            <w:tcW w:w="977" w:type="dxa"/>
            <w:hideMark/>
          </w:tcPr>
          <w:p w:rsidR="0086093B" w:rsidRPr="005B0796" w:rsidRDefault="0086093B" w:rsidP="00FE271A">
            <w:pPr>
              <w:pStyle w:val="TableText"/>
              <w:jc w:val="right"/>
              <w:rPr>
                <w:lang w:eastAsia="en-AU"/>
              </w:rPr>
            </w:pPr>
            <w:r w:rsidRPr="005B0796">
              <w:rPr>
                <w:lang w:eastAsia="en-AU"/>
              </w:rPr>
              <w:t>3.9, 7.9</w:t>
            </w:r>
          </w:p>
        </w:tc>
        <w:tc>
          <w:tcPr>
            <w:tcW w:w="977" w:type="dxa"/>
            <w:hideMark/>
          </w:tcPr>
          <w:p w:rsidR="0086093B" w:rsidRPr="005B0796" w:rsidRDefault="0086093B" w:rsidP="00FE271A">
            <w:pPr>
              <w:pStyle w:val="TableText"/>
              <w:jc w:val="right"/>
              <w:rPr>
                <w:lang w:eastAsia="en-AU"/>
              </w:rPr>
            </w:pPr>
            <w:r w:rsidRPr="005B0796">
              <w:rPr>
                <w:lang w:eastAsia="en-AU"/>
              </w:rPr>
              <w:t>0.1</w:t>
            </w:r>
          </w:p>
        </w:tc>
        <w:tc>
          <w:tcPr>
            <w:tcW w:w="977" w:type="dxa"/>
            <w:hideMark/>
          </w:tcPr>
          <w:p w:rsidR="0086093B" w:rsidRPr="005B0796" w:rsidRDefault="0086093B" w:rsidP="00FE271A">
            <w:pPr>
              <w:pStyle w:val="TableText"/>
              <w:jc w:val="right"/>
              <w:rPr>
                <w:lang w:eastAsia="en-AU"/>
              </w:rPr>
            </w:pPr>
            <w:r w:rsidRPr="005B0796">
              <w:rPr>
                <w:lang w:eastAsia="en-AU"/>
              </w:rPr>
              <w:t>1.3</w:t>
            </w:r>
          </w:p>
        </w:tc>
        <w:tc>
          <w:tcPr>
            <w:tcW w:w="977" w:type="dxa"/>
            <w:hideMark/>
          </w:tcPr>
          <w:p w:rsidR="0086093B" w:rsidRPr="005B0796" w:rsidRDefault="0086093B" w:rsidP="00FE271A">
            <w:pPr>
              <w:pStyle w:val="TableText"/>
              <w:jc w:val="right"/>
              <w:rPr>
                <w:lang w:eastAsia="en-AU"/>
              </w:rPr>
            </w:pPr>
            <w:r w:rsidRPr="005B0796">
              <w:rPr>
                <w:lang w:eastAsia="en-AU"/>
              </w:rPr>
              <w:t>-2.5, 2.7</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Weekly</w:t>
            </w:r>
          </w:p>
        </w:tc>
        <w:tc>
          <w:tcPr>
            <w:tcW w:w="976" w:type="dxa"/>
            <w:hideMark/>
          </w:tcPr>
          <w:p w:rsidR="0086093B" w:rsidRPr="005B0796" w:rsidRDefault="0086093B" w:rsidP="00FE271A">
            <w:pPr>
              <w:pStyle w:val="TableText"/>
              <w:jc w:val="right"/>
              <w:rPr>
                <w:lang w:eastAsia="en-AU"/>
              </w:rPr>
            </w:pPr>
            <w:r w:rsidRPr="005B0796">
              <w:rPr>
                <w:lang w:eastAsia="en-AU"/>
              </w:rPr>
              <w:t>51.3</w:t>
            </w:r>
          </w:p>
        </w:tc>
        <w:tc>
          <w:tcPr>
            <w:tcW w:w="977" w:type="dxa"/>
            <w:hideMark/>
          </w:tcPr>
          <w:p w:rsidR="0086093B" w:rsidRPr="005B0796" w:rsidRDefault="0086093B" w:rsidP="00FE271A">
            <w:pPr>
              <w:pStyle w:val="TableText"/>
              <w:jc w:val="right"/>
              <w:rPr>
                <w:lang w:eastAsia="en-AU"/>
              </w:rPr>
            </w:pPr>
            <w:r w:rsidRPr="005B0796">
              <w:rPr>
                <w:lang w:eastAsia="en-AU"/>
              </w:rPr>
              <w:t>1.8</w:t>
            </w:r>
          </w:p>
        </w:tc>
        <w:tc>
          <w:tcPr>
            <w:tcW w:w="977" w:type="dxa"/>
            <w:hideMark/>
          </w:tcPr>
          <w:p w:rsidR="0086093B" w:rsidRPr="005B0796" w:rsidRDefault="0086093B" w:rsidP="00FE271A">
            <w:pPr>
              <w:pStyle w:val="TableText"/>
              <w:jc w:val="right"/>
              <w:rPr>
                <w:lang w:eastAsia="en-AU"/>
              </w:rPr>
            </w:pPr>
            <w:r w:rsidRPr="005B0796">
              <w:rPr>
                <w:lang w:eastAsia="en-AU"/>
              </w:rPr>
              <w:t>47.7, 54.8</w:t>
            </w:r>
          </w:p>
        </w:tc>
        <w:tc>
          <w:tcPr>
            <w:tcW w:w="977" w:type="dxa"/>
            <w:hideMark/>
          </w:tcPr>
          <w:p w:rsidR="0086093B" w:rsidRPr="005B0796" w:rsidRDefault="0086093B" w:rsidP="00FE271A">
            <w:pPr>
              <w:pStyle w:val="TableText"/>
              <w:jc w:val="right"/>
              <w:rPr>
                <w:lang w:eastAsia="en-AU"/>
              </w:rPr>
            </w:pPr>
            <w:r w:rsidRPr="005B0796">
              <w:rPr>
                <w:lang w:eastAsia="en-AU"/>
              </w:rPr>
              <w:t>45.5</w:t>
            </w:r>
          </w:p>
        </w:tc>
        <w:tc>
          <w:tcPr>
            <w:tcW w:w="976" w:type="dxa"/>
            <w:hideMark/>
          </w:tcPr>
          <w:p w:rsidR="0086093B" w:rsidRPr="005B0796" w:rsidRDefault="0086093B" w:rsidP="00FE271A">
            <w:pPr>
              <w:pStyle w:val="TableText"/>
              <w:jc w:val="right"/>
              <w:rPr>
                <w:lang w:eastAsia="en-AU"/>
              </w:rPr>
            </w:pPr>
            <w:r w:rsidRPr="005B0796">
              <w:rPr>
                <w:lang w:eastAsia="en-AU"/>
              </w:rPr>
              <w:t>1.8</w:t>
            </w:r>
          </w:p>
        </w:tc>
        <w:tc>
          <w:tcPr>
            <w:tcW w:w="977" w:type="dxa"/>
            <w:hideMark/>
          </w:tcPr>
          <w:p w:rsidR="0086093B" w:rsidRPr="005B0796" w:rsidRDefault="0086093B" w:rsidP="00FE271A">
            <w:pPr>
              <w:pStyle w:val="TableText"/>
              <w:jc w:val="right"/>
              <w:rPr>
                <w:lang w:eastAsia="en-AU"/>
              </w:rPr>
            </w:pPr>
            <w:r w:rsidRPr="005B0796">
              <w:rPr>
                <w:lang w:eastAsia="en-AU"/>
              </w:rPr>
              <w:t>41.9, 49.1</w:t>
            </w:r>
          </w:p>
        </w:tc>
        <w:tc>
          <w:tcPr>
            <w:tcW w:w="977" w:type="dxa"/>
            <w:hideMark/>
          </w:tcPr>
          <w:p w:rsidR="0086093B" w:rsidRPr="005B0796" w:rsidRDefault="0086093B" w:rsidP="00FE271A">
            <w:pPr>
              <w:pStyle w:val="TableText"/>
              <w:jc w:val="right"/>
              <w:rPr>
                <w:lang w:eastAsia="en-AU"/>
              </w:rPr>
            </w:pPr>
            <w:r w:rsidRPr="005B0796">
              <w:rPr>
                <w:lang w:eastAsia="en-AU"/>
              </w:rPr>
              <w:t>5.8</w:t>
            </w:r>
          </w:p>
        </w:tc>
        <w:tc>
          <w:tcPr>
            <w:tcW w:w="977" w:type="dxa"/>
            <w:hideMark/>
          </w:tcPr>
          <w:p w:rsidR="0086093B" w:rsidRPr="005B0796" w:rsidRDefault="0086093B" w:rsidP="00FE271A">
            <w:pPr>
              <w:pStyle w:val="TableText"/>
              <w:jc w:val="right"/>
              <w:rPr>
                <w:lang w:eastAsia="en-AU"/>
              </w:rPr>
            </w:pPr>
            <w:r w:rsidRPr="005B0796">
              <w:rPr>
                <w:lang w:eastAsia="en-AU"/>
              </w:rPr>
              <w:t>2.6</w:t>
            </w:r>
          </w:p>
        </w:tc>
        <w:tc>
          <w:tcPr>
            <w:tcW w:w="977" w:type="dxa"/>
            <w:hideMark/>
          </w:tcPr>
          <w:p w:rsidR="0086093B" w:rsidRPr="005B0796" w:rsidRDefault="0086093B" w:rsidP="00FE271A">
            <w:pPr>
              <w:pStyle w:val="TableText"/>
              <w:jc w:val="right"/>
              <w:rPr>
                <w:lang w:eastAsia="en-AU"/>
              </w:rPr>
            </w:pPr>
            <w:r w:rsidRPr="005B0796">
              <w:rPr>
                <w:lang w:eastAsia="en-AU"/>
              </w:rPr>
              <w:t>0.7, 10.9</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Monthly</w:t>
            </w:r>
          </w:p>
        </w:tc>
        <w:tc>
          <w:tcPr>
            <w:tcW w:w="976" w:type="dxa"/>
            <w:hideMark/>
          </w:tcPr>
          <w:p w:rsidR="0086093B" w:rsidRPr="005B0796" w:rsidRDefault="0086093B" w:rsidP="00FE271A">
            <w:pPr>
              <w:pStyle w:val="TableText"/>
              <w:jc w:val="right"/>
              <w:rPr>
                <w:lang w:eastAsia="en-AU"/>
              </w:rPr>
            </w:pPr>
            <w:r w:rsidRPr="005B0796">
              <w:rPr>
                <w:lang w:eastAsia="en-AU"/>
              </w:rPr>
              <w:t>20.9</w:t>
            </w:r>
          </w:p>
        </w:tc>
        <w:tc>
          <w:tcPr>
            <w:tcW w:w="977" w:type="dxa"/>
            <w:hideMark/>
          </w:tcPr>
          <w:p w:rsidR="0086093B" w:rsidRPr="005B0796" w:rsidRDefault="0086093B" w:rsidP="00FE271A">
            <w:pPr>
              <w:pStyle w:val="TableText"/>
              <w:jc w:val="right"/>
              <w:rPr>
                <w:lang w:eastAsia="en-AU"/>
              </w:rPr>
            </w:pPr>
            <w:r w:rsidRPr="005B0796">
              <w:rPr>
                <w:lang w:eastAsia="en-AU"/>
              </w:rPr>
              <w:t>1.5</w:t>
            </w:r>
          </w:p>
        </w:tc>
        <w:tc>
          <w:tcPr>
            <w:tcW w:w="977" w:type="dxa"/>
            <w:hideMark/>
          </w:tcPr>
          <w:p w:rsidR="0086093B" w:rsidRPr="005B0796" w:rsidRDefault="0086093B" w:rsidP="00FE271A">
            <w:pPr>
              <w:pStyle w:val="TableText"/>
              <w:jc w:val="right"/>
              <w:rPr>
                <w:lang w:eastAsia="en-AU"/>
              </w:rPr>
            </w:pPr>
            <w:r w:rsidRPr="005B0796">
              <w:rPr>
                <w:lang w:eastAsia="en-AU"/>
              </w:rPr>
              <w:t>18.2, 23.9</w:t>
            </w:r>
          </w:p>
        </w:tc>
        <w:tc>
          <w:tcPr>
            <w:tcW w:w="977" w:type="dxa"/>
            <w:hideMark/>
          </w:tcPr>
          <w:p w:rsidR="0086093B" w:rsidRPr="005B0796" w:rsidRDefault="0086093B" w:rsidP="00FE271A">
            <w:pPr>
              <w:pStyle w:val="TableText"/>
              <w:jc w:val="right"/>
              <w:rPr>
                <w:lang w:eastAsia="en-AU"/>
              </w:rPr>
            </w:pPr>
            <w:r w:rsidRPr="005B0796">
              <w:rPr>
                <w:lang w:eastAsia="en-AU"/>
              </w:rPr>
              <w:t>17.9</w:t>
            </w:r>
          </w:p>
        </w:tc>
        <w:tc>
          <w:tcPr>
            <w:tcW w:w="976" w:type="dxa"/>
            <w:hideMark/>
          </w:tcPr>
          <w:p w:rsidR="0086093B" w:rsidRPr="005B0796" w:rsidRDefault="0086093B" w:rsidP="00FE271A">
            <w:pPr>
              <w:pStyle w:val="TableText"/>
              <w:jc w:val="right"/>
              <w:rPr>
                <w:lang w:eastAsia="en-AU"/>
              </w:rPr>
            </w:pPr>
            <w:r w:rsidRPr="005B0796">
              <w:rPr>
                <w:lang w:eastAsia="en-AU"/>
              </w:rPr>
              <w:t>1.6</w:t>
            </w:r>
          </w:p>
        </w:tc>
        <w:tc>
          <w:tcPr>
            <w:tcW w:w="977" w:type="dxa"/>
            <w:hideMark/>
          </w:tcPr>
          <w:p w:rsidR="0086093B" w:rsidRPr="005B0796" w:rsidRDefault="0086093B" w:rsidP="00FE271A">
            <w:pPr>
              <w:pStyle w:val="TableText"/>
              <w:jc w:val="right"/>
              <w:rPr>
                <w:lang w:eastAsia="en-AU"/>
              </w:rPr>
            </w:pPr>
            <w:r w:rsidRPr="005B0796">
              <w:rPr>
                <w:lang w:eastAsia="en-AU"/>
              </w:rPr>
              <w:t>14.9, 21.0</w:t>
            </w:r>
          </w:p>
        </w:tc>
        <w:tc>
          <w:tcPr>
            <w:tcW w:w="977" w:type="dxa"/>
            <w:hideMark/>
          </w:tcPr>
          <w:p w:rsidR="0086093B" w:rsidRPr="005B0796" w:rsidRDefault="0086093B" w:rsidP="00FE271A">
            <w:pPr>
              <w:pStyle w:val="TableText"/>
              <w:jc w:val="right"/>
              <w:rPr>
                <w:lang w:eastAsia="en-AU"/>
              </w:rPr>
            </w:pPr>
            <w:r w:rsidRPr="005B0796">
              <w:rPr>
                <w:lang w:eastAsia="en-AU"/>
              </w:rPr>
              <w:t>2.9</w:t>
            </w:r>
          </w:p>
        </w:tc>
        <w:tc>
          <w:tcPr>
            <w:tcW w:w="977" w:type="dxa"/>
            <w:hideMark/>
          </w:tcPr>
          <w:p w:rsidR="0086093B" w:rsidRPr="005B0796" w:rsidRDefault="0086093B" w:rsidP="00FE271A">
            <w:pPr>
              <w:pStyle w:val="TableText"/>
              <w:jc w:val="right"/>
              <w:rPr>
                <w:lang w:eastAsia="en-AU"/>
              </w:rPr>
            </w:pPr>
            <w:r w:rsidRPr="005B0796">
              <w:rPr>
                <w:lang w:eastAsia="en-AU"/>
              </w:rPr>
              <w:t>2.1</w:t>
            </w:r>
          </w:p>
        </w:tc>
        <w:tc>
          <w:tcPr>
            <w:tcW w:w="977" w:type="dxa"/>
            <w:hideMark/>
          </w:tcPr>
          <w:p w:rsidR="0086093B" w:rsidRPr="005B0796" w:rsidRDefault="0086093B" w:rsidP="00FE271A">
            <w:pPr>
              <w:pStyle w:val="TableText"/>
              <w:jc w:val="right"/>
              <w:rPr>
                <w:lang w:eastAsia="en-AU"/>
              </w:rPr>
            </w:pPr>
            <w:r w:rsidRPr="005B0796">
              <w:rPr>
                <w:lang w:eastAsia="en-AU"/>
              </w:rPr>
              <w:t>-1.2, 7.1</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Less than monthly</w:t>
            </w:r>
          </w:p>
        </w:tc>
        <w:tc>
          <w:tcPr>
            <w:tcW w:w="976" w:type="dxa"/>
            <w:hideMark/>
          </w:tcPr>
          <w:p w:rsidR="0086093B" w:rsidRPr="005B0796" w:rsidRDefault="0086093B" w:rsidP="00FE271A">
            <w:pPr>
              <w:pStyle w:val="TableText"/>
              <w:jc w:val="right"/>
              <w:rPr>
                <w:lang w:eastAsia="en-AU"/>
              </w:rPr>
            </w:pPr>
            <w:r w:rsidRPr="005B0796">
              <w:rPr>
                <w:lang w:eastAsia="en-AU"/>
              </w:rPr>
              <w:t>13.5</w:t>
            </w:r>
          </w:p>
        </w:tc>
        <w:tc>
          <w:tcPr>
            <w:tcW w:w="977" w:type="dxa"/>
            <w:hideMark/>
          </w:tcPr>
          <w:p w:rsidR="0086093B" w:rsidRPr="005B0796" w:rsidRDefault="0086093B" w:rsidP="00FE271A">
            <w:pPr>
              <w:pStyle w:val="TableText"/>
              <w:jc w:val="right"/>
              <w:rPr>
                <w:lang w:eastAsia="en-AU"/>
              </w:rPr>
            </w:pPr>
            <w:r w:rsidRPr="005B0796">
              <w:rPr>
                <w:lang w:eastAsia="en-AU"/>
              </w:rPr>
              <w:t>1.3</w:t>
            </w:r>
          </w:p>
        </w:tc>
        <w:tc>
          <w:tcPr>
            <w:tcW w:w="977" w:type="dxa"/>
            <w:hideMark/>
          </w:tcPr>
          <w:p w:rsidR="0086093B" w:rsidRPr="005B0796" w:rsidRDefault="0086093B" w:rsidP="00FE271A">
            <w:pPr>
              <w:pStyle w:val="TableText"/>
              <w:jc w:val="right"/>
              <w:rPr>
                <w:lang w:eastAsia="en-AU"/>
              </w:rPr>
            </w:pPr>
            <w:r w:rsidRPr="005B0796">
              <w:rPr>
                <w:lang w:eastAsia="en-AU"/>
              </w:rPr>
              <w:t>11.1, 16.2</w:t>
            </w:r>
          </w:p>
        </w:tc>
        <w:tc>
          <w:tcPr>
            <w:tcW w:w="977" w:type="dxa"/>
            <w:hideMark/>
          </w:tcPr>
          <w:p w:rsidR="0086093B" w:rsidRPr="005B0796" w:rsidRDefault="0086093B" w:rsidP="00FE271A">
            <w:pPr>
              <w:pStyle w:val="TableText"/>
              <w:jc w:val="right"/>
              <w:rPr>
                <w:lang w:eastAsia="en-AU"/>
              </w:rPr>
            </w:pPr>
            <w:r w:rsidRPr="005B0796">
              <w:rPr>
                <w:lang w:eastAsia="en-AU"/>
              </w:rPr>
              <w:t>15.6</w:t>
            </w:r>
          </w:p>
        </w:tc>
        <w:tc>
          <w:tcPr>
            <w:tcW w:w="976" w:type="dxa"/>
            <w:hideMark/>
          </w:tcPr>
          <w:p w:rsidR="0086093B" w:rsidRPr="005B0796" w:rsidRDefault="0086093B" w:rsidP="00FE271A">
            <w:pPr>
              <w:pStyle w:val="TableText"/>
              <w:jc w:val="right"/>
              <w:rPr>
                <w:lang w:eastAsia="en-AU"/>
              </w:rPr>
            </w:pPr>
            <w:r w:rsidRPr="005B0796">
              <w:rPr>
                <w:lang w:eastAsia="en-AU"/>
              </w:rPr>
              <w:t>1.6</w:t>
            </w:r>
          </w:p>
        </w:tc>
        <w:tc>
          <w:tcPr>
            <w:tcW w:w="977" w:type="dxa"/>
            <w:hideMark/>
          </w:tcPr>
          <w:p w:rsidR="0086093B" w:rsidRPr="005B0796" w:rsidRDefault="0086093B" w:rsidP="00FE271A">
            <w:pPr>
              <w:pStyle w:val="TableText"/>
              <w:jc w:val="right"/>
              <w:rPr>
                <w:lang w:eastAsia="en-AU"/>
              </w:rPr>
            </w:pPr>
            <w:r w:rsidRPr="005B0796">
              <w:rPr>
                <w:lang w:eastAsia="en-AU"/>
              </w:rPr>
              <w:t>12.5, 18.6</w:t>
            </w:r>
          </w:p>
        </w:tc>
        <w:tc>
          <w:tcPr>
            <w:tcW w:w="977" w:type="dxa"/>
            <w:hideMark/>
          </w:tcPr>
          <w:p w:rsidR="0086093B" w:rsidRPr="005B0796" w:rsidRDefault="0086093B" w:rsidP="00FE271A">
            <w:pPr>
              <w:pStyle w:val="TableText"/>
              <w:jc w:val="right"/>
              <w:rPr>
                <w:lang w:eastAsia="en-AU"/>
              </w:rPr>
            </w:pPr>
            <w:r w:rsidRPr="005B0796">
              <w:rPr>
                <w:lang w:eastAsia="en-AU"/>
              </w:rPr>
              <w:t>-2.1</w:t>
            </w:r>
          </w:p>
        </w:tc>
        <w:tc>
          <w:tcPr>
            <w:tcW w:w="977" w:type="dxa"/>
            <w:hideMark/>
          </w:tcPr>
          <w:p w:rsidR="0086093B" w:rsidRPr="005B0796" w:rsidRDefault="0086093B" w:rsidP="00FE271A">
            <w:pPr>
              <w:pStyle w:val="TableText"/>
              <w:jc w:val="right"/>
              <w:rPr>
                <w:lang w:eastAsia="en-AU"/>
              </w:rPr>
            </w:pPr>
            <w:r w:rsidRPr="005B0796">
              <w:rPr>
                <w:lang w:eastAsia="en-AU"/>
              </w:rPr>
              <w:t>2.0</w:t>
            </w:r>
          </w:p>
        </w:tc>
        <w:tc>
          <w:tcPr>
            <w:tcW w:w="977" w:type="dxa"/>
            <w:hideMark/>
          </w:tcPr>
          <w:p w:rsidR="0086093B" w:rsidRPr="005B0796" w:rsidRDefault="0086093B" w:rsidP="00FE271A">
            <w:pPr>
              <w:pStyle w:val="TableText"/>
              <w:jc w:val="right"/>
              <w:rPr>
                <w:lang w:eastAsia="en-AU"/>
              </w:rPr>
            </w:pPr>
            <w:r w:rsidRPr="005B0796">
              <w:rPr>
                <w:lang w:eastAsia="en-AU"/>
              </w:rPr>
              <w:t>-6.1, 1.9</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hideMark/>
          </w:tcPr>
          <w:p w:rsidR="0086093B" w:rsidRPr="005B0796" w:rsidRDefault="0086093B" w:rsidP="00FE271A">
            <w:pPr>
              <w:pStyle w:val="TableText"/>
              <w:rPr>
                <w:lang w:eastAsia="en-AU"/>
              </w:rPr>
            </w:pPr>
            <w:r w:rsidRPr="005B0796">
              <w:rPr>
                <w:lang w:eastAsia="en-AU"/>
              </w:rPr>
              <w:t>48–57</w:t>
            </w:r>
          </w:p>
        </w:tc>
        <w:tc>
          <w:tcPr>
            <w:tcW w:w="1707" w:type="dxa"/>
            <w:hideMark/>
          </w:tcPr>
          <w:p w:rsidR="0086093B" w:rsidRPr="005B0796" w:rsidRDefault="0086093B" w:rsidP="00FE271A">
            <w:pPr>
              <w:pStyle w:val="TableText"/>
              <w:rPr>
                <w:lang w:eastAsia="en-AU"/>
              </w:rPr>
            </w:pPr>
            <w:r w:rsidRPr="005B0796">
              <w:rPr>
                <w:lang w:eastAsia="en-AU"/>
              </w:rPr>
              <w:t>Daily</w:t>
            </w:r>
          </w:p>
        </w:tc>
        <w:tc>
          <w:tcPr>
            <w:tcW w:w="976" w:type="dxa"/>
            <w:hideMark/>
          </w:tcPr>
          <w:p w:rsidR="0086093B" w:rsidRPr="005B0796" w:rsidRDefault="0086093B" w:rsidP="00FE271A">
            <w:pPr>
              <w:pStyle w:val="TableText"/>
              <w:jc w:val="right"/>
              <w:rPr>
                <w:lang w:eastAsia="en-AU"/>
              </w:rPr>
            </w:pPr>
            <w:r w:rsidRPr="005B0796">
              <w:rPr>
                <w:lang w:eastAsia="en-AU"/>
              </w:rPr>
              <w:t>5.9</w:t>
            </w:r>
          </w:p>
        </w:tc>
        <w:tc>
          <w:tcPr>
            <w:tcW w:w="977" w:type="dxa"/>
            <w:hideMark/>
          </w:tcPr>
          <w:p w:rsidR="0086093B" w:rsidRPr="005B0796" w:rsidRDefault="0086093B" w:rsidP="00FE271A">
            <w:pPr>
              <w:pStyle w:val="TableText"/>
              <w:jc w:val="right"/>
              <w:rPr>
                <w:lang w:eastAsia="en-AU"/>
              </w:rPr>
            </w:pPr>
            <w:r w:rsidRPr="005B0796">
              <w:rPr>
                <w:lang w:eastAsia="en-AU"/>
              </w:rPr>
              <w:t>0.8</w:t>
            </w:r>
          </w:p>
        </w:tc>
        <w:tc>
          <w:tcPr>
            <w:tcW w:w="977" w:type="dxa"/>
            <w:hideMark/>
          </w:tcPr>
          <w:p w:rsidR="0086093B" w:rsidRPr="005B0796" w:rsidRDefault="0086093B" w:rsidP="00FE271A">
            <w:pPr>
              <w:pStyle w:val="TableText"/>
              <w:jc w:val="right"/>
              <w:rPr>
                <w:lang w:eastAsia="en-AU"/>
              </w:rPr>
            </w:pPr>
            <w:r w:rsidRPr="005B0796">
              <w:rPr>
                <w:lang w:eastAsia="en-AU"/>
              </w:rPr>
              <w:t>5.4, 8.3</w:t>
            </w:r>
          </w:p>
        </w:tc>
        <w:tc>
          <w:tcPr>
            <w:tcW w:w="977" w:type="dxa"/>
            <w:hideMark/>
          </w:tcPr>
          <w:p w:rsidR="0086093B" w:rsidRPr="005B0796" w:rsidRDefault="0086093B" w:rsidP="00FE271A">
            <w:pPr>
              <w:pStyle w:val="TableText"/>
              <w:jc w:val="right"/>
              <w:rPr>
                <w:lang w:eastAsia="en-AU"/>
              </w:rPr>
            </w:pPr>
            <w:r w:rsidRPr="005B0796">
              <w:rPr>
                <w:lang w:eastAsia="en-AU"/>
              </w:rPr>
              <w:t>10.6</w:t>
            </w:r>
          </w:p>
        </w:tc>
        <w:tc>
          <w:tcPr>
            <w:tcW w:w="976" w:type="dxa"/>
            <w:hideMark/>
          </w:tcPr>
          <w:p w:rsidR="0086093B" w:rsidRPr="005B0796" w:rsidRDefault="0086093B" w:rsidP="00FE271A">
            <w:pPr>
              <w:pStyle w:val="TableText"/>
              <w:jc w:val="right"/>
              <w:rPr>
                <w:lang w:eastAsia="en-AU"/>
              </w:rPr>
            </w:pPr>
            <w:r w:rsidRPr="005B0796">
              <w:rPr>
                <w:lang w:eastAsia="en-AU"/>
              </w:rPr>
              <w:t>1.3</w:t>
            </w:r>
          </w:p>
        </w:tc>
        <w:tc>
          <w:tcPr>
            <w:tcW w:w="977" w:type="dxa"/>
            <w:hideMark/>
          </w:tcPr>
          <w:p w:rsidR="0086093B" w:rsidRPr="005B0796" w:rsidRDefault="0086093B" w:rsidP="00FE271A">
            <w:pPr>
              <w:pStyle w:val="TableText"/>
              <w:jc w:val="right"/>
              <w:rPr>
                <w:lang w:eastAsia="en-AU"/>
              </w:rPr>
            </w:pPr>
            <w:r w:rsidRPr="005B0796">
              <w:rPr>
                <w:lang w:eastAsia="en-AU"/>
              </w:rPr>
              <w:t>8.0, 13.2</w:t>
            </w:r>
          </w:p>
        </w:tc>
        <w:tc>
          <w:tcPr>
            <w:tcW w:w="977" w:type="dxa"/>
            <w:hideMark/>
          </w:tcPr>
          <w:p w:rsidR="0086093B" w:rsidRPr="005B0796" w:rsidRDefault="0086093B" w:rsidP="00FE271A">
            <w:pPr>
              <w:pStyle w:val="TableText"/>
              <w:jc w:val="right"/>
              <w:rPr>
                <w:lang w:eastAsia="en-AU"/>
              </w:rPr>
            </w:pPr>
            <w:r w:rsidRPr="005B0796">
              <w:rPr>
                <w:lang w:eastAsia="en-AU"/>
              </w:rPr>
              <w:t>-3.9</w:t>
            </w:r>
          </w:p>
        </w:tc>
        <w:tc>
          <w:tcPr>
            <w:tcW w:w="977" w:type="dxa"/>
            <w:hideMark/>
          </w:tcPr>
          <w:p w:rsidR="0086093B" w:rsidRPr="005B0796" w:rsidRDefault="0086093B" w:rsidP="00FE271A">
            <w:pPr>
              <w:pStyle w:val="TableText"/>
              <w:jc w:val="right"/>
              <w:rPr>
                <w:lang w:eastAsia="en-AU"/>
              </w:rPr>
            </w:pPr>
            <w:r w:rsidRPr="005B0796">
              <w:rPr>
                <w:lang w:eastAsia="en-AU"/>
              </w:rPr>
              <w:t>1.5</w:t>
            </w:r>
          </w:p>
        </w:tc>
        <w:tc>
          <w:tcPr>
            <w:tcW w:w="977" w:type="dxa"/>
            <w:hideMark/>
          </w:tcPr>
          <w:p w:rsidR="0086093B" w:rsidRPr="005B0796" w:rsidRDefault="0086093B" w:rsidP="00FE271A">
            <w:pPr>
              <w:pStyle w:val="TableText"/>
              <w:jc w:val="right"/>
              <w:rPr>
                <w:lang w:eastAsia="en-AU"/>
              </w:rPr>
            </w:pPr>
            <w:r w:rsidRPr="005B0796">
              <w:rPr>
                <w:lang w:eastAsia="en-AU"/>
              </w:rPr>
              <w:t>-6.9, -0.9</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Weekly</w:t>
            </w:r>
          </w:p>
        </w:tc>
        <w:tc>
          <w:tcPr>
            <w:tcW w:w="976" w:type="dxa"/>
            <w:hideMark/>
          </w:tcPr>
          <w:p w:rsidR="0086093B" w:rsidRPr="005B0796" w:rsidRDefault="0086093B" w:rsidP="00FE271A">
            <w:pPr>
              <w:pStyle w:val="TableText"/>
              <w:jc w:val="right"/>
              <w:rPr>
                <w:lang w:eastAsia="en-AU"/>
              </w:rPr>
            </w:pPr>
            <w:r w:rsidRPr="005B0796">
              <w:rPr>
                <w:lang w:eastAsia="en-AU"/>
              </w:rPr>
              <w:t>51.3</w:t>
            </w:r>
          </w:p>
        </w:tc>
        <w:tc>
          <w:tcPr>
            <w:tcW w:w="977" w:type="dxa"/>
            <w:hideMark/>
          </w:tcPr>
          <w:p w:rsidR="0086093B" w:rsidRPr="005B0796" w:rsidRDefault="0086093B" w:rsidP="00FE271A">
            <w:pPr>
              <w:pStyle w:val="TableText"/>
              <w:jc w:val="right"/>
              <w:rPr>
                <w:lang w:eastAsia="en-AU"/>
              </w:rPr>
            </w:pPr>
            <w:r w:rsidRPr="005B0796">
              <w:rPr>
                <w:lang w:eastAsia="en-AU"/>
              </w:rPr>
              <w:t>1.9</w:t>
            </w:r>
          </w:p>
        </w:tc>
        <w:tc>
          <w:tcPr>
            <w:tcW w:w="977" w:type="dxa"/>
            <w:hideMark/>
          </w:tcPr>
          <w:p w:rsidR="0086093B" w:rsidRPr="005B0796" w:rsidRDefault="0086093B" w:rsidP="00FE271A">
            <w:pPr>
              <w:pStyle w:val="TableText"/>
              <w:jc w:val="right"/>
              <w:rPr>
                <w:lang w:eastAsia="en-AU"/>
              </w:rPr>
            </w:pPr>
            <w:r w:rsidRPr="005B0796">
              <w:rPr>
                <w:lang w:eastAsia="en-AU"/>
              </w:rPr>
              <w:t>50.0, 57.3</w:t>
            </w:r>
          </w:p>
        </w:tc>
        <w:tc>
          <w:tcPr>
            <w:tcW w:w="977" w:type="dxa"/>
            <w:hideMark/>
          </w:tcPr>
          <w:p w:rsidR="0086093B" w:rsidRPr="005B0796" w:rsidRDefault="0086093B" w:rsidP="00FE271A">
            <w:pPr>
              <w:pStyle w:val="TableText"/>
              <w:jc w:val="right"/>
              <w:rPr>
                <w:lang w:eastAsia="en-AU"/>
              </w:rPr>
            </w:pPr>
            <w:r w:rsidRPr="005B0796">
              <w:rPr>
                <w:lang w:eastAsia="en-AU"/>
              </w:rPr>
              <w:t>48.4</w:t>
            </w:r>
          </w:p>
        </w:tc>
        <w:tc>
          <w:tcPr>
            <w:tcW w:w="976" w:type="dxa"/>
            <w:hideMark/>
          </w:tcPr>
          <w:p w:rsidR="0086093B" w:rsidRPr="005B0796" w:rsidRDefault="0086093B" w:rsidP="00FE271A">
            <w:pPr>
              <w:pStyle w:val="TableText"/>
              <w:jc w:val="right"/>
              <w:rPr>
                <w:lang w:eastAsia="en-AU"/>
              </w:rPr>
            </w:pPr>
            <w:r w:rsidRPr="005B0796">
              <w:rPr>
                <w:lang w:eastAsia="en-AU"/>
              </w:rPr>
              <w:t>1.9</w:t>
            </w:r>
          </w:p>
        </w:tc>
        <w:tc>
          <w:tcPr>
            <w:tcW w:w="977" w:type="dxa"/>
            <w:hideMark/>
          </w:tcPr>
          <w:p w:rsidR="0086093B" w:rsidRPr="005B0796" w:rsidRDefault="0086093B" w:rsidP="00FE271A">
            <w:pPr>
              <w:pStyle w:val="TableText"/>
              <w:jc w:val="right"/>
              <w:rPr>
                <w:lang w:eastAsia="en-AU"/>
              </w:rPr>
            </w:pPr>
            <w:r w:rsidRPr="005B0796">
              <w:rPr>
                <w:lang w:eastAsia="en-AU"/>
              </w:rPr>
              <w:t>44.8, 52.0</w:t>
            </w:r>
          </w:p>
        </w:tc>
        <w:tc>
          <w:tcPr>
            <w:tcW w:w="977" w:type="dxa"/>
            <w:hideMark/>
          </w:tcPr>
          <w:p w:rsidR="0086093B" w:rsidRPr="005B0796" w:rsidRDefault="0086093B" w:rsidP="00FE271A">
            <w:pPr>
              <w:pStyle w:val="TableText"/>
              <w:jc w:val="right"/>
              <w:rPr>
                <w:lang w:eastAsia="en-AU"/>
              </w:rPr>
            </w:pPr>
            <w:r w:rsidRPr="005B0796">
              <w:rPr>
                <w:lang w:eastAsia="en-AU"/>
              </w:rPr>
              <w:t>5.3</w:t>
            </w:r>
          </w:p>
        </w:tc>
        <w:tc>
          <w:tcPr>
            <w:tcW w:w="977" w:type="dxa"/>
            <w:hideMark/>
          </w:tcPr>
          <w:p w:rsidR="0086093B" w:rsidRPr="005B0796" w:rsidRDefault="0086093B" w:rsidP="00FE271A">
            <w:pPr>
              <w:pStyle w:val="TableText"/>
              <w:jc w:val="right"/>
              <w:rPr>
                <w:lang w:eastAsia="en-AU"/>
              </w:rPr>
            </w:pPr>
            <w:r w:rsidRPr="005B0796">
              <w:rPr>
                <w:lang w:eastAsia="en-AU"/>
              </w:rPr>
              <w:t>2.6</w:t>
            </w:r>
          </w:p>
        </w:tc>
        <w:tc>
          <w:tcPr>
            <w:tcW w:w="977" w:type="dxa"/>
            <w:hideMark/>
          </w:tcPr>
          <w:p w:rsidR="0086093B" w:rsidRPr="005B0796" w:rsidRDefault="0086093B" w:rsidP="00FE271A">
            <w:pPr>
              <w:pStyle w:val="TableText"/>
              <w:jc w:val="right"/>
              <w:rPr>
                <w:lang w:eastAsia="en-AU"/>
              </w:rPr>
            </w:pPr>
            <w:r w:rsidRPr="005B0796">
              <w:rPr>
                <w:lang w:eastAsia="en-AU"/>
              </w:rPr>
              <w:t>0.1, 10.4</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Monthly</w:t>
            </w:r>
          </w:p>
        </w:tc>
        <w:tc>
          <w:tcPr>
            <w:tcW w:w="976" w:type="dxa"/>
            <w:hideMark/>
          </w:tcPr>
          <w:p w:rsidR="0086093B" w:rsidRPr="005B0796" w:rsidRDefault="0086093B" w:rsidP="00FE271A">
            <w:pPr>
              <w:pStyle w:val="TableText"/>
              <w:jc w:val="right"/>
              <w:rPr>
                <w:lang w:eastAsia="en-AU"/>
              </w:rPr>
            </w:pPr>
            <w:r w:rsidRPr="005B0796">
              <w:rPr>
                <w:lang w:eastAsia="en-AU"/>
              </w:rPr>
              <w:t>20.9</w:t>
            </w:r>
          </w:p>
        </w:tc>
        <w:tc>
          <w:tcPr>
            <w:tcW w:w="977" w:type="dxa"/>
            <w:hideMark/>
          </w:tcPr>
          <w:p w:rsidR="0086093B" w:rsidRPr="005B0796" w:rsidRDefault="0086093B" w:rsidP="00FE271A">
            <w:pPr>
              <w:pStyle w:val="TableText"/>
              <w:jc w:val="right"/>
              <w:rPr>
                <w:lang w:eastAsia="en-AU"/>
              </w:rPr>
            </w:pPr>
            <w:r w:rsidRPr="005B0796">
              <w:rPr>
                <w:lang w:eastAsia="en-AU"/>
              </w:rPr>
              <w:t>1.6</w:t>
            </w:r>
          </w:p>
        </w:tc>
        <w:tc>
          <w:tcPr>
            <w:tcW w:w="977" w:type="dxa"/>
            <w:hideMark/>
          </w:tcPr>
          <w:p w:rsidR="0086093B" w:rsidRPr="005B0796" w:rsidRDefault="0086093B" w:rsidP="00FE271A">
            <w:pPr>
              <w:pStyle w:val="TableText"/>
              <w:jc w:val="right"/>
              <w:rPr>
                <w:lang w:eastAsia="en-AU"/>
              </w:rPr>
            </w:pPr>
            <w:r w:rsidRPr="005B0796">
              <w:rPr>
                <w:lang w:eastAsia="en-AU"/>
              </w:rPr>
              <w:t>19.6, 25.8</w:t>
            </w:r>
          </w:p>
        </w:tc>
        <w:tc>
          <w:tcPr>
            <w:tcW w:w="977" w:type="dxa"/>
            <w:hideMark/>
          </w:tcPr>
          <w:p w:rsidR="0086093B" w:rsidRPr="005B0796" w:rsidRDefault="0086093B" w:rsidP="00FE271A">
            <w:pPr>
              <w:pStyle w:val="TableText"/>
              <w:jc w:val="right"/>
              <w:rPr>
                <w:lang w:eastAsia="en-AU"/>
              </w:rPr>
            </w:pPr>
            <w:r w:rsidRPr="005B0796">
              <w:rPr>
                <w:lang w:eastAsia="en-AU"/>
              </w:rPr>
              <w:t>14.9</w:t>
            </w:r>
          </w:p>
        </w:tc>
        <w:tc>
          <w:tcPr>
            <w:tcW w:w="976" w:type="dxa"/>
            <w:hideMark/>
          </w:tcPr>
          <w:p w:rsidR="0086093B" w:rsidRPr="005B0796" w:rsidRDefault="0086093B" w:rsidP="00FE271A">
            <w:pPr>
              <w:pStyle w:val="TableText"/>
              <w:jc w:val="right"/>
              <w:rPr>
                <w:lang w:eastAsia="en-AU"/>
              </w:rPr>
            </w:pPr>
            <w:r w:rsidRPr="005B0796">
              <w:rPr>
                <w:lang w:eastAsia="en-AU"/>
              </w:rPr>
              <w:t>1.4</w:t>
            </w:r>
          </w:p>
        </w:tc>
        <w:tc>
          <w:tcPr>
            <w:tcW w:w="977" w:type="dxa"/>
            <w:hideMark/>
          </w:tcPr>
          <w:p w:rsidR="0086093B" w:rsidRPr="005B0796" w:rsidRDefault="0086093B" w:rsidP="00FE271A">
            <w:pPr>
              <w:pStyle w:val="TableText"/>
              <w:jc w:val="right"/>
              <w:rPr>
                <w:lang w:eastAsia="en-AU"/>
              </w:rPr>
            </w:pPr>
            <w:r w:rsidRPr="005B0796">
              <w:rPr>
                <w:lang w:eastAsia="en-AU"/>
              </w:rPr>
              <w:t>12.3, 17.7</w:t>
            </w:r>
          </w:p>
        </w:tc>
        <w:tc>
          <w:tcPr>
            <w:tcW w:w="977" w:type="dxa"/>
            <w:hideMark/>
          </w:tcPr>
          <w:p w:rsidR="0086093B" w:rsidRPr="005B0796" w:rsidRDefault="0086093B" w:rsidP="00FE271A">
            <w:pPr>
              <w:pStyle w:val="TableText"/>
              <w:jc w:val="right"/>
              <w:rPr>
                <w:lang w:eastAsia="en-AU"/>
              </w:rPr>
            </w:pPr>
            <w:r w:rsidRPr="005B0796">
              <w:rPr>
                <w:lang w:eastAsia="en-AU"/>
              </w:rPr>
              <w:t>7.5</w:t>
            </w:r>
          </w:p>
        </w:tc>
        <w:tc>
          <w:tcPr>
            <w:tcW w:w="977" w:type="dxa"/>
            <w:hideMark/>
          </w:tcPr>
          <w:p w:rsidR="0086093B" w:rsidRPr="005B0796" w:rsidRDefault="0086093B" w:rsidP="00FE271A">
            <w:pPr>
              <w:pStyle w:val="TableText"/>
              <w:jc w:val="right"/>
              <w:rPr>
                <w:lang w:eastAsia="en-AU"/>
              </w:rPr>
            </w:pPr>
            <w:r w:rsidRPr="005B0796">
              <w:rPr>
                <w:lang w:eastAsia="en-AU"/>
              </w:rPr>
              <w:t>2.1</w:t>
            </w:r>
          </w:p>
        </w:tc>
        <w:tc>
          <w:tcPr>
            <w:tcW w:w="977" w:type="dxa"/>
            <w:hideMark/>
          </w:tcPr>
          <w:p w:rsidR="0086093B" w:rsidRPr="005B0796" w:rsidRDefault="0086093B" w:rsidP="00FE271A">
            <w:pPr>
              <w:pStyle w:val="TableText"/>
              <w:jc w:val="right"/>
              <w:rPr>
                <w:lang w:eastAsia="en-AU"/>
              </w:rPr>
            </w:pPr>
            <w:r w:rsidRPr="005B0796">
              <w:rPr>
                <w:lang w:eastAsia="en-AU"/>
              </w:rPr>
              <w:t>3.4, 11.7</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Less than monthly</w:t>
            </w:r>
          </w:p>
        </w:tc>
        <w:tc>
          <w:tcPr>
            <w:tcW w:w="976" w:type="dxa"/>
            <w:hideMark/>
          </w:tcPr>
          <w:p w:rsidR="0086093B" w:rsidRPr="005B0796" w:rsidRDefault="0086093B" w:rsidP="00FE271A">
            <w:pPr>
              <w:pStyle w:val="TableText"/>
              <w:jc w:val="right"/>
              <w:rPr>
                <w:lang w:eastAsia="en-AU"/>
              </w:rPr>
            </w:pPr>
            <w:r w:rsidRPr="005B0796">
              <w:rPr>
                <w:lang w:eastAsia="en-AU"/>
              </w:rPr>
              <w:t>13.5</w:t>
            </w:r>
          </w:p>
        </w:tc>
        <w:tc>
          <w:tcPr>
            <w:tcW w:w="977" w:type="dxa"/>
            <w:hideMark/>
          </w:tcPr>
          <w:p w:rsidR="0086093B" w:rsidRPr="005B0796" w:rsidRDefault="0086093B" w:rsidP="00FE271A">
            <w:pPr>
              <w:pStyle w:val="TableText"/>
              <w:jc w:val="right"/>
              <w:rPr>
                <w:lang w:eastAsia="en-AU"/>
              </w:rPr>
            </w:pPr>
            <w:r w:rsidRPr="005B0796">
              <w:rPr>
                <w:lang w:eastAsia="en-AU"/>
              </w:rPr>
              <w:t>1.0</w:t>
            </w:r>
          </w:p>
        </w:tc>
        <w:tc>
          <w:tcPr>
            <w:tcW w:w="977" w:type="dxa"/>
            <w:hideMark/>
          </w:tcPr>
          <w:p w:rsidR="0086093B" w:rsidRPr="005B0796" w:rsidRDefault="0086093B" w:rsidP="00FE271A">
            <w:pPr>
              <w:pStyle w:val="TableText"/>
              <w:jc w:val="right"/>
              <w:rPr>
                <w:lang w:eastAsia="en-AU"/>
              </w:rPr>
            </w:pPr>
            <w:r w:rsidRPr="005B0796">
              <w:rPr>
                <w:lang w:eastAsia="en-AU"/>
              </w:rPr>
              <w:t>6.22, 10.3</w:t>
            </w:r>
          </w:p>
        </w:tc>
        <w:tc>
          <w:tcPr>
            <w:tcW w:w="977" w:type="dxa"/>
            <w:hideMark/>
          </w:tcPr>
          <w:p w:rsidR="0086093B" w:rsidRPr="005B0796" w:rsidRDefault="0086093B" w:rsidP="00FE271A">
            <w:pPr>
              <w:pStyle w:val="TableText"/>
              <w:jc w:val="right"/>
              <w:rPr>
                <w:lang w:eastAsia="en-AU"/>
              </w:rPr>
            </w:pPr>
            <w:r w:rsidRPr="005B0796">
              <w:rPr>
                <w:lang w:eastAsia="en-AU"/>
              </w:rPr>
              <w:t>9.7</w:t>
            </w:r>
          </w:p>
        </w:tc>
        <w:tc>
          <w:tcPr>
            <w:tcW w:w="976" w:type="dxa"/>
            <w:hideMark/>
          </w:tcPr>
          <w:p w:rsidR="0086093B" w:rsidRPr="005B0796" w:rsidRDefault="0086093B" w:rsidP="00FE271A">
            <w:pPr>
              <w:pStyle w:val="TableText"/>
              <w:jc w:val="right"/>
              <w:rPr>
                <w:lang w:eastAsia="en-AU"/>
              </w:rPr>
            </w:pPr>
            <w:r w:rsidRPr="005B0796">
              <w:rPr>
                <w:lang w:eastAsia="en-AU"/>
              </w:rPr>
              <w:t>0.9</w:t>
            </w:r>
          </w:p>
        </w:tc>
        <w:tc>
          <w:tcPr>
            <w:tcW w:w="977" w:type="dxa"/>
            <w:hideMark/>
          </w:tcPr>
          <w:p w:rsidR="0086093B" w:rsidRPr="005B0796" w:rsidRDefault="0086093B" w:rsidP="00FE271A">
            <w:pPr>
              <w:pStyle w:val="TableText"/>
              <w:jc w:val="right"/>
              <w:rPr>
                <w:lang w:eastAsia="en-AU"/>
              </w:rPr>
            </w:pPr>
            <w:r w:rsidRPr="005B0796">
              <w:rPr>
                <w:lang w:eastAsia="en-AU"/>
              </w:rPr>
              <w:t>7.9, 11.5</w:t>
            </w:r>
          </w:p>
        </w:tc>
        <w:tc>
          <w:tcPr>
            <w:tcW w:w="977" w:type="dxa"/>
            <w:hideMark/>
          </w:tcPr>
          <w:p w:rsidR="0086093B" w:rsidRPr="005B0796" w:rsidRDefault="0086093B" w:rsidP="00FE271A">
            <w:pPr>
              <w:pStyle w:val="TableText"/>
              <w:jc w:val="right"/>
              <w:rPr>
                <w:lang w:eastAsia="en-AU"/>
              </w:rPr>
            </w:pPr>
            <w:r w:rsidRPr="005B0796">
              <w:rPr>
                <w:lang w:eastAsia="en-AU"/>
              </w:rPr>
              <w:t>-1.6</w:t>
            </w:r>
          </w:p>
        </w:tc>
        <w:tc>
          <w:tcPr>
            <w:tcW w:w="977" w:type="dxa"/>
            <w:hideMark/>
          </w:tcPr>
          <w:p w:rsidR="0086093B" w:rsidRPr="005B0796" w:rsidRDefault="0086093B" w:rsidP="00FE271A">
            <w:pPr>
              <w:pStyle w:val="TableText"/>
              <w:jc w:val="right"/>
              <w:rPr>
                <w:lang w:eastAsia="en-AU"/>
              </w:rPr>
            </w:pPr>
            <w:r w:rsidRPr="005B0796">
              <w:rPr>
                <w:lang w:eastAsia="en-AU"/>
              </w:rPr>
              <w:t>1.4</w:t>
            </w:r>
          </w:p>
        </w:tc>
        <w:tc>
          <w:tcPr>
            <w:tcW w:w="977" w:type="dxa"/>
            <w:hideMark/>
          </w:tcPr>
          <w:p w:rsidR="0086093B" w:rsidRPr="005B0796" w:rsidRDefault="0086093B" w:rsidP="00FE271A">
            <w:pPr>
              <w:pStyle w:val="TableText"/>
              <w:jc w:val="right"/>
              <w:rPr>
                <w:lang w:eastAsia="en-AU"/>
              </w:rPr>
            </w:pPr>
            <w:r w:rsidRPr="005B0796">
              <w:rPr>
                <w:lang w:eastAsia="en-AU"/>
              </w:rPr>
              <w:t>-4.4, 1.1</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hideMark/>
          </w:tcPr>
          <w:p w:rsidR="0086093B" w:rsidRPr="005B0796" w:rsidRDefault="0086093B" w:rsidP="00FE271A">
            <w:pPr>
              <w:pStyle w:val="TableText"/>
              <w:rPr>
                <w:lang w:eastAsia="en-AU"/>
              </w:rPr>
            </w:pPr>
            <w:r w:rsidRPr="005B0796">
              <w:rPr>
                <w:lang w:eastAsia="en-AU"/>
              </w:rPr>
              <w:t>58+</w:t>
            </w:r>
          </w:p>
        </w:tc>
        <w:tc>
          <w:tcPr>
            <w:tcW w:w="1707" w:type="dxa"/>
            <w:hideMark/>
          </w:tcPr>
          <w:p w:rsidR="0086093B" w:rsidRPr="005B0796" w:rsidRDefault="0086093B" w:rsidP="00FE271A">
            <w:pPr>
              <w:pStyle w:val="TableText"/>
              <w:rPr>
                <w:lang w:eastAsia="en-AU"/>
              </w:rPr>
            </w:pPr>
            <w:r w:rsidRPr="005B0796">
              <w:rPr>
                <w:lang w:eastAsia="en-AU"/>
              </w:rPr>
              <w:t>Daily</w:t>
            </w:r>
          </w:p>
        </w:tc>
        <w:tc>
          <w:tcPr>
            <w:tcW w:w="976" w:type="dxa"/>
            <w:hideMark/>
          </w:tcPr>
          <w:p w:rsidR="0086093B" w:rsidRPr="005B0796" w:rsidRDefault="0086093B" w:rsidP="00FE271A">
            <w:pPr>
              <w:pStyle w:val="TableText"/>
              <w:jc w:val="right"/>
              <w:rPr>
                <w:lang w:eastAsia="en-AU"/>
              </w:rPr>
            </w:pPr>
            <w:r w:rsidRPr="005B0796">
              <w:rPr>
                <w:lang w:eastAsia="en-AU"/>
              </w:rPr>
              <w:t>8.5</w:t>
            </w:r>
          </w:p>
        </w:tc>
        <w:tc>
          <w:tcPr>
            <w:tcW w:w="977" w:type="dxa"/>
            <w:hideMark/>
          </w:tcPr>
          <w:p w:rsidR="0086093B" w:rsidRPr="005B0796" w:rsidRDefault="0086093B" w:rsidP="00FE271A">
            <w:pPr>
              <w:pStyle w:val="TableText"/>
              <w:jc w:val="right"/>
              <w:rPr>
                <w:lang w:eastAsia="en-AU"/>
              </w:rPr>
            </w:pPr>
            <w:r w:rsidRPr="005B0796">
              <w:rPr>
                <w:lang w:eastAsia="en-AU"/>
              </w:rPr>
              <w:t>1.4</w:t>
            </w:r>
          </w:p>
        </w:tc>
        <w:tc>
          <w:tcPr>
            <w:tcW w:w="977" w:type="dxa"/>
            <w:hideMark/>
          </w:tcPr>
          <w:p w:rsidR="0086093B" w:rsidRPr="005B0796" w:rsidRDefault="0086093B" w:rsidP="00FE271A">
            <w:pPr>
              <w:pStyle w:val="TableText"/>
              <w:jc w:val="right"/>
              <w:rPr>
                <w:lang w:eastAsia="en-AU"/>
              </w:rPr>
            </w:pPr>
            <w:r w:rsidRPr="005B0796">
              <w:rPr>
                <w:lang w:eastAsia="en-AU"/>
              </w:rPr>
              <w:t>6.1, 11.7</w:t>
            </w:r>
          </w:p>
        </w:tc>
        <w:tc>
          <w:tcPr>
            <w:tcW w:w="977" w:type="dxa"/>
            <w:hideMark/>
          </w:tcPr>
          <w:p w:rsidR="0086093B" w:rsidRPr="005B0796" w:rsidRDefault="0086093B" w:rsidP="00FE271A">
            <w:pPr>
              <w:pStyle w:val="TableText"/>
              <w:jc w:val="right"/>
              <w:rPr>
                <w:lang w:eastAsia="en-AU"/>
              </w:rPr>
            </w:pPr>
            <w:r w:rsidRPr="005B0796">
              <w:rPr>
                <w:lang w:eastAsia="en-AU"/>
              </w:rPr>
              <w:t>14.5</w:t>
            </w:r>
          </w:p>
        </w:tc>
        <w:tc>
          <w:tcPr>
            <w:tcW w:w="976" w:type="dxa"/>
            <w:hideMark/>
          </w:tcPr>
          <w:p w:rsidR="0086093B" w:rsidRPr="005B0796" w:rsidRDefault="0086093B" w:rsidP="00FE271A">
            <w:pPr>
              <w:pStyle w:val="TableText"/>
              <w:jc w:val="right"/>
              <w:rPr>
                <w:lang w:eastAsia="en-AU"/>
              </w:rPr>
            </w:pPr>
            <w:r w:rsidRPr="005B0796">
              <w:rPr>
                <w:lang w:eastAsia="en-AU"/>
              </w:rPr>
              <w:t>1.0</w:t>
            </w:r>
          </w:p>
        </w:tc>
        <w:tc>
          <w:tcPr>
            <w:tcW w:w="977" w:type="dxa"/>
            <w:hideMark/>
          </w:tcPr>
          <w:p w:rsidR="0086093B" w:rsidRPr="005B0796" w:rsidRDefault="0086093B" w:rsidP="00FE271A">
            <w:pPr>
              <w:pStyle w:val="TableText"/>
              <w:jc w:val="right"/>
              <w:rPr>
                <w:lang w:eastAsia="en-AU"/>
              </w:rPr>
            </w:pPr>
            <w:r w:rsidRPr="005B0796">
              <w:rPr>
                <w:lang w:eastAsia="en-AU"/>
              </w:rPr>
              <w:t>12.5, 16.5</w:t>
            </w:r>
          </w:p>
        </w:tc>
        <w:tc>
          <w:tcPr>
            <w:tcW w:w="977" w:type="dxa"/>
            <w:hideMark/>
          </w:tcPr>
          <w:p w:rsidR="0086093B" w:rsidRPr="005B0796" w:rsidRDefault="0086093B" w:rsidP="00FE271A">
            <w:pPr>
              <w:pStyle w:val="TableText"/>
              <w:jc w:val="right"/>
              <w:rPr>
                <w:lang w:eastAsia="en-AU"/>
              </w:rPr>
            </w:pPr>
            <w:r w:rsidRPr="005B0796">
              <w:rPr>
                <w:lang w:eastAsia="en-AU"/>
              </w:rPr>
              <w:t>-6.0</w:t>
            </w:r>
          </w:p>
        </w:tc>
        <w:tc>
          <w:tcPr>
            <w:tcW w:w="977" w:type="dxa"/>
            <w:hideMark/>
          </w:tcPr>
          <w:p w:rsidR="0086093B" w:rsidRPr="005B0796" w:rsidRDefault="0086093B" w:rsidP="00FE271A">
            <w:pPr>
              <w:pStyle w:val="TableText"/>
              <w:jc w:val="right"/>
              <w:rPr>
                <w:lang w:eastAsia="en-AU"/>
              </w:rPr>
            </w:pPr>
            <w:r w:rsidRPr="005B0796">
              <w:rPr>
                <w:lang w:eastAsia="en-AU"/>
              </w:rPr>
              <w:t>1.7</w:t>
            </w:r>
          </w:p>
        </w:tc>
        <w:tc>
          <w:tcPr>
            <w:tcW w:w="977" w:type="dxa"/>
            <w:hideMark/>
          </w:tcPr>
          <w:p w:rsidR="0086093B" w:rsidRPr="005B0796" w:rsidRDefault="0086093B" w:rsidP="00FE271A">
            <w:pPr>
              <w:pStyle w:val="TableText"/>
              <w:jc w:val="right"/>
              <w:rPr>
                <w:lang w:eastAsia="en-AU"/>
              </w:rPr>
            </w:pPr>
            <w:r w:rsidRPr="005B0796">
              <w:rPr>
                <w:lang w:eastAsia="en-AU"/>
              </w:rPr>
              <w:t>-9.4, -2.6</w:t>
            </w:r>
          </w:p>
        </w:tc>
      </w:tr>
      <w:tr w:rsidR="00FE271A" w:rsidRPr="005B0796" w:rsidTr="00FE271A">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Weekly</w:t>
            </w:r>
          </w:p>
        </w:tc>
        <w:tc>
          <w:tcPr>
            <w:tcW w:w="976" w:type="dxa"/>
            <w:hideMark/>
          </w:tcPr>
          <w:p w:rsidR="0086093B" w:rsidRPr="005B0796" w:rsidRDefault="0086093B" w:rsidP="00FE271A">
            <w:pPr>
              <w:pStyle w:val="TableText"/>
              <w:jc w:val="right"/>
              <w:rPr>
                <w:lang w:eastAsia="en-AU"/>
              </w:rPr>
            </w:pPr>
            <w:r w:rsidRPr="005B0796">
              <w:rPr>
                <w:lang w:eastAsia="en-AU"/>
              </w:rPr>
              <w:t>55.6</w:t>
            </w:r>
          </w:p>
        </w:tc>
        <w:tc>
          <w:tcPr>
            <w:tcW w:w="977" w:type="dxa"/>
            <w:hideMark/>
          </w:tcPr>
          <w:p w:rsidR="0086093B" w:rsidRPr="005B0796" w:rsidRDefault="0086093B" w:rsidP="00FE271A">
            <w:pPr>
              <w:pStyle w:val="TableText"/>
              <w:jc w:val="right"/>
              <w:rPr>
                <w:lang w:eastAsia="en-AU"/>
              </w:rPr>
            </w:pPr>
            <w:r w:rsidRPr="005B0796">
              <w:rPr>
                <w:lang w:eastAsia="en-AU"/>
              </w:rPr>
              <w:t>2.1</w:t>
            </w:r>
          </w:p>
        </w:tc>
        <w:tc>
          <w:tcPr>
            <w:tcW w:w="977" w:type="dxa"/>
            <w:hideMark/>
          </w:tcPr>
          <w:p w:rsidR="0086093B" w:rsidRPr="005B0796" w:rsidRDefault="0086093B" w:rsidP="00FE271A">
            <w:pPr>
              <w:pStyle w:val="TableText"/>
              <w:jc w:val="right"/>
              <w:rPr>
                <w:lang w:eastAsia="en-AU"/>
              </w:rPr>
            </w:pPr>
            <w:r w:rsidRPr="005B0796">
              <w:rPr>
                <w:lang w:eastAsia="en-AU"/>
              </w:rPr>
              <w:t>51.3, 59.7</w:t>
            </w:r>
          </w:p>
        </w:tc>
        <w:tc>
          <w:tcPr>
            <w:tcW w:w="977" w:type="dxa"/>
            <w:hideMark/>
          </w:tcPr>
          <w:p w:rsidR="0086093B" w:rsidRPr="005B0796" w:rsidRDefault="0086093B" w:rsidP="00FE271A">
            <w:pPr>
              <w:pStyle w:val="TableText"/>
              <w:jc w:val="right"/>
              <w:rPr>
                <w:lang w:eastAsia="en-AU"/>
              </w:rPr>
            </w:pPr>
            <w:r w:rsidRPr="005B0796">
              <w:rPr>
                <w:lang w:eastAsia="en-AU"/>
              </w:rPr>
              <w:t>45.3</w:t>
            </w:r>
          </w:p>
        </w:tc>
        <w:tc>
          <w:tcPr>
            <w:tcW w:w="976" w:type="dxa"/>
            <w:hideMark/>
          </w:tcPr>
          <w:p w:rsidR="0086093B" w:rsidRPr="005B0796" w:rsidRDefault="0086093B" w:rsidP="00FE271A">
            <w:pPr>
              <w:pStyle w:val="TableText"/>
              <w:jc w:val="right"/>
              <w:rPr>
                <w:lang w:eastAsia="en-AU"/>
              </w:rPr>
            </w:pPr>
            <w:r w:rsidRPr="005B0796">
              <w:rPr>
                <w:lang w:eastAsia="en-AU"/>
              </w:rPr>
              <w:t>1.5</w:t>
            </w:r>
          </w:p>
        </w:tc>
        <w:tc>
          <w:tcPr>
            <w:tcW w:w="977" w:type="dxa"/>
            <w:hideMark/>
          </w:tcPr>
          <w:p w:rsidR="0086093B" w:rsidRPr="005B0796" w:rsidRDefault="0086093B" w:rsidP="00FE271A">
            <w:pPr>
              <w:pStyle w:val="TableText"/>
              <w:jc w:val="right"/>
              <w:rPr>
                <w:lang w:eastAsia="en-AU"/>
              </w:rPr>
            </w:pPr>
            <w:r w:rsidRPr="005B0796">
              <w:rPr>
                <w:lang w:eastAsia="en-AU"/>
              </w:rPr>
              <w:t>42.5, 48.2</w:t>
            </w:r>
          </w:p>
        </w:tc>
        <w:tc>
          <w:tcPr>
            <w:tcW w:w="977" w:type="dxa"/>
            <w:hideMark/>
          </w:tcPr>
          <w:p w:rsidR="0086093B" w:rsidRPr="005B0796" w:rsidRDefault="0086093B" w:rsidP="00FE271A">
            <w:pPr>
              <w:pStyle w:val="TableText"/>
              <w:jc w:val="right"/>
              <w:rPr>
                <w:lang w:eastAsia="en-AU"/>
              </w:rPr>
            </w:pPr>
            <w:r w:rsidRPr="005B0796">
              <w:rPr>
                <w:lang w:eastAsia="en-AU"/>
              </w:rPr>
              <w:t>10.2</w:t>
            </w:r>
          </w:p>
        </w:tc>
        <w:tc>
          <w:tcPr>
            <w:tcW w:w="977" w:type="dxa"/>
            <w:hideMark/>
          </w:tcPr>
          <w:p w:rsidR="0086093B" w:rsidRPr="005B0796" w:rsidRDefault="0086093B" w:rsidP="00FE271A">
            <w:pPr>
              <w:pStyle w:val="TableText"/>
              <w:jc w:val="right"/>
              <w:rPr>
                <w:lang w:eastAsia="en-AU"/>
              </w:rPr>
            </w:pPr>
            <w:r w:rsidRPr="005B0796">
              <w:rPr>
                <w:lang w:eastAsia="en-AU"/>
              </w:rPr>
              <w:t>2.6</w:t>
            </w:r>
          </w:p>
        </w:tc>
        <w:tc>
          <w:tcPr>
            <w:tcW w:w="977" w:type="dxa"/>
            <w:hideMark/>
          </w:tcPr>
          <w:p w:rsidR="0086093B" w:rsidRPr="005B0796" w:rsidRDefault="0086093B" w:rsidP="00FE271A">
            <w:pPr>
              <w:pStyle w:val="TableText"/>
              <w:jc w:val="right"/>
              <w:rPr>
                <w:lang w:eastAsia="en-AU"/>
              </w:rPr>
            </w:pPr>
            <w:r w:rsidRPr="005B0796">
              <w:rPr>
                <w:lang w:eastAsia="en-AU"/>
              </w:rPr>
              <w:t>5.2, 15.3</w:t>
            </w:r>
          </w:p>
        </w:tc>
      </w:tr>
      <w:tr w:rsidR="0086093B" w:rsidRPr="005B0796" w:rsidTr="00FE271A">
        <w:trPr>
          <w:cnfStyle w:val="000000100000" w:firstRow="0" w:lastRow="0" w:firstColumn="0" w:lastColumn="0" w:oddVBand="0" w:evenVBand="0" w:oddHBand="1" w:evenHBand="0" w:firstRowFirstColumn="0" w:firstRowLastColumn="0" w:lastRowFirstColumn="0" w:lastRowLastColumn="0"/>
        </w:trPr>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Monthly</w:t>
            </w:r>
          </w:p>
        </w:tc>
        <w:tc>
          <w:tcPr>
            <w:tcW w:w="976" w:type="dxa"/>
            <w:hideMark/>
          </w:tcPr>
          <w:p w:rsidR="0086093B" w:rsidRPr="005B0796" w:rsidRDefault="0086093B" w:rsidP="00FE271A">
            <w:pPr>
              <w:pStyle w:val="TableText"/>
              <w:jc w:val="right"/>
              <w:rPr>
                <w:lang w:eastAsia="en-AU"/>
              </w:rPr>
            </w:pPr>
            <w:r w:rsidRPr="005B0796">
              <w:rPr>
                <w:lang w:eastAsia="en-AU"/>
              </w:rPr>
              <w:t>18.3</w:t>
            </w:r>
          </w:p>
        </w:tc>
        <w:tc>
          <w:tcPr>
            <w:tcW w:w="977" w:type="dxa"/>
            <w:hideMark/>
          </w:tcPr>
          <w:p w:rsidR="0086093B" w:rsidRPr="005B0796" w:rsidRDefault="0086093B" w:rsidP="00FE271A">
            <w:pPr>
              <w:pStyle w:val="TableText"/>
              <w:jc w:val="right"/>
              <w:rPr>
                <w:lang w:eastAsia="en-AU"/>
              </w:rPr>
            </w:pPr>
            <w:r w:rsidRPr="005B0796">
              <w:rPr>
                <w:lang w:eastAsia="en-AU"/>
              </w:rPr>
              <w:t>1.6</w:t>
            </w:r>
          </w:p>
        </w:tc>
        <w:tc>
          <w:tcPr>
            <w:tcW w:w="977" w:type="dxa"/>
            <w:hideMark/>
          </w:tcPr>
          <w:p w:rsidR="0086093B" w:rsidRPr="005B0796" w:rsidRDefault="0086093B" w:rsidP="00FE271A">
            <w:pPr>
              <w:pStyle w:val="TableText"/>
              <w:jc w:val="right"/>
              <w:rPr>
                <w:lang w:eastAsia="en-AU"/>
              </w:rPr>
            </w:pPr>
            <w:r w:rsidRPr="005B0796">
              <w:rPr>
                <w:lang w:eastAsia="en-AU"/>
              </w:rPr>
              <w:t>15.4, 21.6</w:t>
            </w:r>
          </w:p>
        </w:tc>
        <w:tc>
          <w:tcPr>
            <w:tcW w:w="977" w:type="dxa"/>
            <w:hideMark/>
          </w:tcPr>
          <w:p w:rsidR="0086093B" w:rsidRPr="005B0796" w:rsidRDefault="0086093B" w:rsidP="00FE271A">
            <w:pPr>
              <w:pStyle w:val="TableText"/>
              <w:jc w:val="right"/>
              <w:rPr>
                <w:lang w:eastAsia="en-AU"/>
              </w:rPr>
            </w:pPr>
            <w:r w:rsidRPr="005B0796">
              <w:rPr>
                <w:lang w:eastAsia="en-AU"/>
              </w:rPr>
              <w:t>13.4</w:t>
            </w:r>
          </w:p>
        </w:tc>
        <w:tc>
          <w:tcPr>
            <w:tcW w:w="976" w:type="dxa"/>
            <w:hideMark/>
          </w:tcPr>
          <w:p w:rsidR="0086093B" w:rsidRPr="005B0796" w:rsidRDefault="0086093B" w:rsidP="00FE271A">
            <w:pPr>
              <w:pStyle w:val="TableText"/>
              <w:jc w:val="right"/>
              <w:rPr>
                <w:lang w:eastAsia="en-AU"/>
              </w:rPr>
            </w:pPr>
            <w:r w:rsidRPr="005B0796">
              <w:rPr>
                <w:lang w:eastAsia="en-AU"/>
              </w:rPr>
              <w:t>1.1</w:t>
            </w:r>
          </w:p>
        </w:tc>
        <w:tc>
          <w:tcPr>
            <w:tcW w:w="977" w:type="dxa"/>
            <w:hideMark/>
          </w:tcPr>
          <w:p w:rsidR="0086093B" w:rsidRPr="005B0796" w:rsidRDefault="0086093B" w:rsidP="00FE271A">
            <w:pPr>
              <w:pStyle w:val="TableText"/>
              <w:jc w:val="right"/>
              <w:rPr>
                <w:lang w:eastAsia="en-AU"/>
              </w:rPr>
            </w:pPr>
            <w:r w:rsidRPr="005B0796">
              <w:rPr>
                <w:lang w:eastAsia="en-AU"/>
              </w:rPr>
              <w:t>11.2, 15.6</w:t>
            </w:r>
          </w:p>
        </w:tc>
        <w:tc>
          <w:tcPr>
            <w:tcW w:w="977" w:type="dxa"/>
            <w:hideMark/>
          </w:tcPr>
          <w:p w:rsidR="0086093B" w:rsidRPr="005B0796" w:rsidRDefault="0086093B" w:rsidP="00FE271A">
            <w:pPr>
              <w:pStyle w:val="TableText"/>
              <w:jc w:val="right"/>
              <w:rPr>
                <w:lang w:eastAsia="en-AU"/>
              </w:rPr>
            </w:pPr>
            <w:r w:rsidRPr="005B0796">
              <w:rPr>
                <w:lang w:eastAsia="en-AU"/>
              </w:rPr>
              <w:t>4.9</w:t>
            </w:r>
          </w:p>
        </w:tc>
        <w:tc>
          <w:tcPr>
            <w:tcW w:w="977" w:type="dxa"/>
            <w:hideMark/>
          </w:tcPr>
          <w:p w:rsidR="0086093B" w:rsidRPr="005B0796" w:rsidRDefault="0086093B" w:rsidP="00FE271A">
            <w:pPr>
              <w:pStyle w:val="TableText"/>
              <w:jc w:val="right"/>
              <w:rPr>
                <w:lang w:eastAsia="en-AU"/>
              </w:rPr>
            </w:pPr>
            <w:r w:rsidRPr="005B0796">
              <w:rPr>
                <w:lang w:eastAsia="en-AU"/>
              </w:rPr>
              <w:t>1.9</w:t>
            </w:r>
          </w:p>
        </w:tc>
        <w:tc>
          <w:tcPr>
            <w:tcW w:w="977" w:type="dxa"/>
            <w:hideMark/>
          </w:tcPr>
          <w:p w:rsidR="0086093B" w:rsidRPr="005B0796" w:rsidRDefault="0086093B" w:rsidP="00FE271A">
            <w:pPr>
              <w:pStyle w:val="TableText"/>
              <w:jc w:val="right"/>
              <w:rPr>
                <w:lang w:eastAsia="en-AU"/>
              </w:rPr>
            </w:pPr>
            <w:r w:rsidRPr="005B0796">
              <w:rPr>
                <w:lang w:eastAsia="en-AU"/>
              </w:rPr>
              <w:t>14.1, 8.7</w:t>
            </w:r>
          </w:p>
        </w:tc>
      </w:tr>
      <w:tr w:rsidR="0086093B" w:rsidRPr="005B0796" w:rsidTr="00FE271A">
        <w:trPr>
          <w:cnfStyle w:val="010000000000" w:firstRow="0" w:lastRow="1" w:firstColumn="0" w:lastColumn="0" w:oddVBand="0" w:evenVBand="0" w:oddHBand="0" w:evenHBand="0" w:firstRowFirstColumn="0" w:firstRowLastColumn="0" w:lastRowFirstColumn="0" w:lastRowLastColumn="0"/>
        </w:trPr>
        <w:tc>
          <w:tcPr>
            <w:tcW w:w="1008" w:type="dxa"/>
          </w:tcPr>
          <w:p w:rsidR="0086093B" w:rsidRPr="005B0796" w:rsidRDefault="0086093B" w:rsidP="00FE271A">
            <w:pPr>
              <w:pStyle w:val="TableText"/>
              <w:rPr>
                <w:lang w:eastAsia="en-AU"/>
              </w:rPr>
            </w:pPr>
          </w:p>
        </w:tc>
        <w:tc>
          <w:tcPr>
            <w:tcW w:w="1707" w:type="dxa"/>
            <w:hideMark/>
          </w:tcPr>
          <w:p w:rsidR="0086093B" w:rsidRPr="005B0796" w:rsidRDefault="0086093B" w:rsidP="00FE271A">
            <w:pPr>
              <w:pStyle w:val="TableText"/>
              <w:rPr>
                <w:lang w:eastAsia="en-AU"/>
              </w:rPr>
            </w:pPr>
            <w:r w:rsidRPr="005B0796">
              <w:rPr>
                <w:lang w:eastAsia="en-AU"/>
              </w:rPr>
              <w:t>Less than monthly</w:t>
            </w:r>
          </w:p>
        </w:tc>
        <w:tc>
          <w:tcPr>
            <w:tcW w:w="976" w:type="dxa"/>
            <w:hideMark/>
          </w:tcPr>
          <w:p w:rsidR="0086093B" w:rsidRPr="005B0796" w:rsidRDefault="0086093B" w:rsidP="00FE271A">
            <w:pPr>
              <w:pStyle w:val="TableText"/>
              <w:jc w:val="right"/>
              <w:rPr>
                <w:lang w:eastAsia="en-AU"/>
              </w:rPr>
            </w:pPr>
            <w:r w:rsidRPr="005B0796">
              <w:rPr>
                <w:lang w:eastAsia="en-AU"/>
              </w:rPr>
              <w:t>9.4</w:t>
            </w:r>
          </w:p>
        </w:tc>
        <w:tc>
          <w:tcPr>
            <w:tcW w:w="977" w:type="dxa"/>
            <w:hideMark/>
          </w:tcPr>
          <w:p w:rsidR="0086093B" w:rsidRPr="005B0796" w:rsidRDefault="0086093B" w:rsidP="00FE271A">
            <w:pPr>
              <w:pStyle w:val="TableText"/>
              <w:jc w:val="right"/>
              <w:rPr>
                <w:lang w:eastAsia="en-AU"/>
              </w:rPr>
            </w:pPr>
            <w:r w:rsidRPr="005B0796">
              <w:rPr>
                <w:lang w:eastAsia="en-AU"/>
              </w:rPr>
              <w:t>1.1</w:t>
            </w:r>
          </w:p>
        </w:tc>
        <w:tc>
          <w:tcPr>
            <w:tcW w:w="977" w:type="dxa"/>
            <w:hideMark/>
          </w:tcPr>
          <w:p w:rsidR="0086093B" w:rsidRPr="005B0796" w:rsidRDefault="0086093B" w:rsidP="00FE271A">
            <w:pPr>
              <w:pStyle w:val="TableText"/>
              <w:jc w:val="right"/>
              <w:rPr>
                <w:lang w:eastAsia="en-AU"/>
              </w:rPr>
            </w:pPr>
            <w:r w:rsidRPr="005B0796">
              <w:rPr>
                <w:lang w:eastAsia="en-AU"/>
              </w:rPr>
              <w:t>7.4, 11.9</w:t>
            </w:r>
          </w:p>
        </w:tc>
        <w:tc>
          <w:tcPr>
            <w:tcW w:w="977" w:type="dxa"/>
            <w:hideMark/>
          </w:tcPr>
          <w:p w:rsidR="0086093B" w:rsidRPr="005B0796" w:rsidRDefault="0086093B" w:rsidP="00FE271A">
            <w:pPr>
              <w:pStyle w:val="TableText"/>
              <w:jc w:val="right"/>
              <w:rPr>
                <w:lang w:eastAsia="en-AU"/>
              </w:rPr>
            </w:pPr>
            <w:r w:rsidRPr="005B0796">
              <w:rPr>
                <w:lang w:eastAsia="en-AU"/>
              </w:rPr>
              <w:t>9.4</w:t>
            </w:r>
          </w:p>
        </w:tc>
        <w:tc>
          <w:tcPr>
            <w:tcW w:w="976" w:type="dxa"/>
            <w:hideMark/>
          </w:tcPr>
          <w:p w:rsidR="0086093B" w:rsidRPr="005B0796" w:rsidRDefault="0086093B" w:rsidP="00FE271A">
            <w:pPr>
              <w:pStyle w:val="TableText"/>
              <w:jc w:val="right"/>
              <w:rPr>
                <w:lang w:eastAsia="en-AU"/>
              </w:rPr>
            </w:pPr>
            <w:r w:rsidRPr="005B0796">
              <w:rPr>
                <w:lang w:eastAsia="en-AU"/>
              </w:rPr>
              <w:t>0.9</w:t>
            </w:r>
          </w:p>
        </w:tc>
        <w:tc>
          <w:tcPr>
            <w:tcW w:w="977" w:type="dxa"/>
            <w:hideMark/>
          </w:tcPr>
          <w:p w:rsidR="0086093B" w:rsidRPr="005B0796" w:rsidRDefault="0086093B" w:rsidP="00FE271A">
            <w:pPr>
              <w:pStyle w:val="TableText"/>
              <w:jc w:val="right"/>
              <w:rPr>
                <w:lang w:eastAsia="en-AU"/>
              </w:rPr>
            </w:pPr>
            <w:r w:rsidRPr="005B0796">
              <w:rPr>
                <w:lang w:eastAsia="en-AU"/>
              </w:rPr>
              <w:t>7.7, 11.1</w:t>
            </w:r>
          </w:p>
        </w:tc>
        <w:tc>
          <w:tcPr>
            <w:tcW w:w="977" w:type="dxa"/>
            <w:hideMark/>
          </w:tcPr>
          <w:p w:rsidR="0086093B" w:rsidRPr="005B0796" w:rsidRDefault="0086093B" w:rsidP="00FE271A">
            <w:pPr>
              <w:pStyle w:val="TableText"/>
              <w:jc w:val="right"/>
              <w:rPr>
                <w:lang w:eastAsia="en-AU"/>
              </w:rPr>
            </w:pPr>
            <w:r w:rsidRPr="005B0796">
              <w:rPr>
                <w:lang w:eastAsia="en-AU"/>
              </w:rPr>
              <w:t>-0.0</w:t>
            </w:r>
          </w:p>
        </w:tc>
        <w:tc>
          <w:tcPr>
            <w:tcW w:w="977" w:type="dxa"/>
            <w:hideMark/>
          </w:tcPr>
          <w:p w:rsidR="0086093B" w:rsidRPr="005B0796" w:rsidRDefault="0086093B" w:rsidP="00FE271A">
            <w:pPr>
              <w:pStyle w:val="TableText"/>
              <w:jc w:val="right"/>
              <w:rPr>
                <w:lang w:eastAsia="en-AU"/>
              </w:rPr>
            </w:pPr>
            <w:r w:rsidRPr="005B0796">
              <w:rPr>
                <w:lang w:eastAsia="en-AU"/>
              </w:rPr>
              <w:t>1.4</w:t>
            </w:r>
          </w:p>
        </w:tc>
        <w:tc>
          <w:tcPr>
            <w:tcW w:w="977" w:type="dxa"/>
            <w:hideMark/>
          </w:tcPr>
          <w:p w:rsidR="0086093B" w:rsidRPr="005B0796" w:rsidRDefault="0086093B" w:rsidP="00FE271A">
            <w:pPr>
              <w:pStyle w:val="TableText"/>
              <w:jc w:val="right"/>
              <w:rPr>
                <w:lang w:eastAsia="en-AU"/>
              </w:rPr>
            </w:pPr>
            <w:r w:rsidRPr="005B0796">
              <w:rPr>
                <w:lang w:eastAsia="en-AU"/>
              </w:rPr>
              <w:t>-2.8, 2.8</w:t>
            </w:r>
          </w:p>
        </w:tc>
      </w:tr>
    </w:tbl>
    <w:p w:rsidR="0086093B" w:rsidRPr="005B0796" w:rsidRDefault="0086093B" w:rsidP="00FE271A">
      <w:pPr>
        <w:pStyle w:val="TableNotes"/>
      </w:pPr>
      <w:r w:rsidRPr="005B0796">
        <w:t xml:space="preserve">Note: 95% CI: 95% </w:t>
      </w:r>
      <w:r w:rsidR="00564689" w:rsidRPr="005B0796">
        <w:t>confidence interval</w:t>
      </w:r>
    </w:p>
    <w:p w:rsidR="00FE271A" w:rsidRPr="005B0796" w:rsidRDefault="00FE271A" w:rsidP="00FE271A">
      <w:pPr>
        <w:pStyle w:val="FigureName"/>
      </w:pPr>
      <w:bookmarkStart w:id="1288" w:name="_Toc511900594"/>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8</w:t>
      </w:r>
      <w:r w:rsidR="00D30A3C">
        <w:rPr>
          <w:noProof/>
        </w:rPr>
        <w:fldChar w:fldCharType="end"/>
      </w:r>
      <w:r w:rsidRPr="005B0796">
        <w:tab/>
        <w:t>Estimated proportions for frequency of alcohol consumption in Transitioned ADF compared to the Australian Community in the last 12</w:t>
      </w:r>
      <w:r w:rsidR="00963618">
        <w:t> </w:t>
      </w:r>
      <w:r w:rsidRPr="005B0796">
        <w:t>months</w:t>
      </w:r>
      <w:r w:rsidR="00963618">
        <w:t>,</w:t>
      </w:r>
      <w:r w:rsidRPr="005B0796">
        <w:t xml:space="preserve"> by age</w:t>
      </w:r>
      <w:bookmarkEnd w:id="1288"/>
    </w:p>
    <w:tbl>
      <w:tblPr>
        <w:tblW w:w="5000" w:type="pct"/>
        <w:tblLayout w:type="fixed"/>
        <w:tblLook w:val="04A0" w:firstRow="1" w:lastRow="0" w:firstColumn="1" w:lastColumn="0" w:noHBand="0" w:noVBand="1"/>
      </w:tblPr>
      <w:tblGrid>
        <w:gridCol w:w="11506"/>
      </w:tblGrid>
      <w:tr w:rsidR="00FE271A" w:rsidRPr="005B0796" w:rsidTr="00FE271A">
        <w:trPr>
          <w:cantSplit/>
        </w:trPr>
        <w:tc>
          <w:tcPr>
            <w:tcW w:w="9020" w:type="dxa"/>
            <w:tcBorders>
              <w:top w:val="nil"/>
              <w:left w:val="nil"/>
              <w:bottom w:val="nil"/>
              <w:right w:val="nil"/>
            </w:tcBorders>
          </w:tcPr>
          <w:p w:rsidR="00FE271A" w:rsidRPr="005B0796" w:rsidRDefault="00FE271A" w:rsidP="0099117C">
            <w:pPr>
              <w:spacing w:after="160" w:line="259" w:lineRule="auto"/>
            </w:pPr>
            <w:r w:rsidRPr="005B0796">
              <w:rPr>
                <w:rFonts w:asciiTheme="minorHAnsi" w:hAnsiTheme="minorHAnsi"/>
                <w:noProof/>
                <w:lang w:eastAsia="en-AU"/>
              </w:rPr>
              <w:drawing>
                <wp:inline distT="0" distB="0" distL="0" distR="0" wp14:anchorId="154CC0B4" wp14:editId="3C896AEB">
                  <wp:extent cx="7132320" cy="3474720"/>
                  <wp:effectExtent l="0" t="0" r="0" b="0"/>
                  <wp:docPr id="332" name="Chart 332" descr="Figure 6.8 Estimated proportions for frequency of alcohol consumption in Transitioned ADF compared to the Australian Community in the last 12 month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c>
      </w:tr>
    </w:tbl>
    <w:p w:rsidR="0086093B" w:rsidRPr="005B0796" w:rsidRDefault="0086093B" w:rsidP="0086093B"/>
    <w:p w:rsidR="0086093B" w:rsidRPr="005B0796" w:rsidRDefault="0086093B" w:rsidP="0086093B">
      <w:pPr>
        <w:sectPr w:rsidR="0086093B" w:rsidRPr="005B0796" w:rsidSect="00BE66A5">
          <w:headerReference w:type="even" r:id="rId275"/>
          <w:headerReference w:type="default" r:id="rId276"/>
          <w:footerReference w:type="even" r:id="rId277"/>
          <w:footerReference w:type="default" r:id="rId278"/>
          <w:pgSz w:w="14170" w:h="9979" w:orient="landscape" w:code="243"/>
          <w:pgMar w:top="1872" w:right="1440" w:bottom="1152" w:left="1440" w:header="576" w:footer="576" w:gutter="0"/>
          <w:cols w:space="708"/>
          <w:docGrid w:linePitch="360"/>
        </w:sectPr>
      </w:pPr>
    </w:p>
    <w:p w:rsidR="00DC09EF" w:rsidRPr="005B0796" w:rsidRDefault="00DC09EF" w:rsidP="00DC09EF">
      <w:pPr>
        <w:pStyle w:val="TableName"/>
      </w:pPr>
      <w:bookmarkStart w:id="1289" w:name="_Ref484695253"/>
      <w:bookmarkStart w:id="1290" w:name="_Toc487014337"/>
      <w:bookmarkStart w:id="1291" w:name="_Toc492995640"/>
      <w:bookmarkStart w:id="1292" w:name="_Toc511900489"/>
      <w:r w:rsidRPr="005B0796">
        <w:t xml:space="preserve">Table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Table \* ARABIC \s 1 </w:instrText>
      </w:r>
      <w:r w:rsidR="00D30A3C">
        <w:rPr>
          <w:noProof/>
        </w:rPr>
        <w:fldChar w:fldCharType="separate"/>
      </w:r>
      <w:r w:rsidR="006E0148">
        <w:rPr>
          <w:noProof/>
        </w:rPr>
        <w:t>9</w:t>
      </w:r>
      <w:r w:rsidR="00D30A3C">
        <w:rPr>
          <w:noProof/>
        </w:rPr>
        <w:fldChar w:fldCharType="end"/>
      </w:r>
      <w:bookmarkEnd w:id="1289"/>
      <w:r w:rsidRPr="005B0796">
        <w:tab/>
        <w:t>Estimated proportions for maximum number of standard drinks consumed on a single occasion in the last 12 months in Transitioned ADF compared to the Australian Community</w:t>
      </w:r>
      <w:r w:rsidR="00963618">
        <w:t>,</w:t>
      </w:r>
      <w:r w:rsidRPr="005B0796">
        <w:t xml:space="preserve"> by age</w:t>
      </w:r>
      <w:bookmarkEnd w:id="1290"/>
      <w:bookmarkEnd w:id="1291"/>
      <w:bookmarkEnd w:id="1292"/>
    </w:p>
    <w:tbl>
      <w:tblPr>
        <w:tblStyle w:val="TWRPTable"/>
        <w:tblW w:w="0" w:type="auto"/>
        <w:tblLook w:val="04A0" w:firstRow="1" w:lastRow="0" w:firstColumn="1" w:lastColumn="0" w:noHBand="0" w:noVBand="1"/>
        <w:tblDescription w:val="Table 6.9 Estimated proportions for maximum number of standard drinks consumed on a single occasion in the last 12 months in Transitioned ADF compared to the Australian Community by age"/>
      </w:tblPr>
      <w:tblGrid>
        <w:gridCol w:w="648"/>
        <w:gridCol w:w="540"/>
        <w:gridCol w:w="540"/>
        <w:gridCol w:w="630"/>
        <w:gridCol w:w="872"/>
        <w:gridCol w:w="568"/>
        <w:gridCol w:w="630"/>
        <w:gridCol w:w="844"/>
        <w:gridCol w:w="596"/>
        <w:gridCol w:w="630"/>
        <w:gridCol w:w="817"/>
      </w:tblGrid>
      <w:tr w:rsidR="00DC09EF" w:rsidRPr="005B0796" w:rsidTr="003D31FD">
        <w:trPr>
          <w:cnfStyle w:val="100000000000" w:firstRow="1" w:lastRow="0" w:firstColumn="0" w:lastColumn="0" w:oddVBand="0" w:evenVBand="0" w:oddHBand="0" w:evenHBand="0" w:firstRowFirstColumn="0" w:firstRowLastColumn="0" w:lastRowFirstColumn="0" w:lastRowLastColumn="0"/>
          <w:tblHeader/>
        </w:trPr>
        <w:tc>
          <w:tcPr>
            <w:tcW w:w="648" w:type="dxa"/>
            <w:vMerge w:val="restart"/>
          </w:tcPr>
          <w:p w:rsidR="00DC09EF" w:rsidRPr="005B0796" w:rsidRDefault="00DC09EF" w:rsidP="00DC09EF">
            <w:pPr>
              <w:pStyle w:val="TableText"/>
            </w:pPr>
          </w:p>
        </w:tc>
        <w:tc>
          <w:tcPr>
            <w:tcW w:w="540" w:type="dxa"/>
            <w:vMerge w:val="restart"/>
          </w:tcPr>
          <w:p w:rsidR="00DC09EF" w:rsidRPr="005B0796" w:rsidRDefault="00DC09EF" w:rsidP="00DC09EF">
            <w:pPr>
              <w:pStyle w:val="TableText"/>
            </w:pPr>
          </w:p>
        </w:tc>
        <w:tc>
          <w:tcPr>
            <w:tcW w:w="2042" w:type="dxa"/>
            <w:gridSpan w:val="3"/>
          </w:tcPr>
          <w:p w:rsidR="00DC09EF" w:rsidRPr="005B0796" w:rsidRDefault="00DC09EF" w:rsidP="00DC09EF">
            <w:pPr>
              <w:pStyle w:val="TableText"/>
              <w:jc w:val="center"/>
              <w:rPr>
                <w:lang w:eastAsia="en-AU"/>
              </w:rPr>
            </w:pPr>
            <w:r w:rsidRPr="005B0796">
              <w:rPr>
                <w:bCs/>
                <w:lang w:eastAsia="en-AU"/>
              </w:rPr>
              <w:t>Transitioned ADF</w:t>
            </w:r>
            <w:r w:rsidRPr="005B0796">
              <w:rPr>
                <w:bCs/>
                <w:lang w:eastAsia="en-AU"/>
              </w:rPr>
              <w:br/>
            </w:r>
            <w:r w:rsidRPr="005B0796">
              <w:rPr>
                <w:lang w:eastAsia="en-AU"/>
              </w:rPr>
              <w:t>(n = 24,932)</w:t>
            </w:r>
          </w:p>
        </w:tc>
        <w:tc>
          <w:tcPr>
            <w:tcW w:w="2042" w:type="dxa"/>
            <w:gridSpan w:val="3"/>
          </w:tcPr>
          <w:p w:rsidR="00DC09EF" w:rsidRPr="005B0796" w:rsidRDefault="00DC09EF" w:rsidP="00DC09EF">
            <w:pPr>
              <w:pStyle w:val="TableText"/>
              <w:jc w:val="center"/>
              <w:rPr>
                <w:lang w:eastAsia="en-AU"/>
              </w:rPr>
            </w:pPr>
            <w:r w:rsidRPr="005B0796">
              <w:rPr>
                <w:bCs/>
                <w:lang w:eastAsia="en-AU"/>
              </w:rPr>
              <w:t>Australian Community</w:t>
            </w:r>
          </w:p>
        </w:tc>
        <w:tc>
          <w:tcPr>
            <w:tcW w:w="2043" w:type="dxa"/>
            <w:gridSpan w:val="3"/>
          </w:tcPr>
          <w:p w:rsidR="00DC09EF" w:rsidRPr="005B0796" w:rsidRDefault="00DC09EF" w:rsidP="00DC09EF">
            <w:pPr>
              <w:pStyle w:val="TableText"/>
              <w:jc w:val="center"/>
              <w:rPr>
                <w:bCs/>
                <w:lang w:eastAsia="en-AU"/>
              </w:rPr>
            </w:pPr>
            <w:r w:rsidRPr="005B0796">
              <w:rPr>
                <w:bCs/>
                <w:lang w:eastAsia="en-AU"/>
              </w:rPr>
              <w:t>Difference</w:t>
            </w:r>
          </w:p>
        </w:tc>
      </w:tr>
      <w:tr w:rsidR="003D31FD" w:rsidRPr="005B0796" w:rsidTr="003D31FD">
        <w:trPr>
          <w:cnfStyle w:val="100000000000" w:firstRow="1" w:lastRow="0" w:firstColumn="0" w:lastColumn="0" w:oddVBand="0" w:evenVBand="0" w:oddHBand="0" w:evenHBand="0" w:firstRowFirstColumn="0" w:firstRowLastColumn="0" w:lastRowFirstColumn="0" w:lastRowLastColumn="0"/>
          <w:tblHeader/>
        </w:trPr>
        <w:tc>
          <w:tcPr>
            <w:tcW w:w="648" w:type="dxa"/>
            <w:vMerge/>
          </w:tcPr>
          <w:p w:rsidR="00DC09EF" w:rsidRPr="005B0796" w:rsidRDefault="00DC09EF" w:rsidP="00DC09EF">
            <w:pPr>
              <w:pStyle w:val="TableText"/>
            </w:pPr>
          </w:p>
        </w:tc>
        <w:tc>
          <w:tcPr>
            <w:tcW w:w="540" w:type="dxa"/>
            <w:vMerge/>
          </w:tcPr>
          <w:p w:rsidR="00DC09EF" w:rsidRPr="005B0796" w:rsidRDefault="00DC09EF" w:rsidP="00DC09EF">
            <w:pPr>
              <w:pStyle w:val="TableText"/>
            </w:pPr>
          </w:p>
        </w:tc>
        <w:tc>
          <w:tcPr>
            <w:tcW w:w="540" w:type="dxa"/>
          </w:tcPr>
          <w:p w:rsidR="00DC09EF" w:rsidRPr="005B0796" w:rsidRDefault="00DC09EF" w:rsidP="00DC09EF">
            <w:pPr>
              <w:pStyle w:val="TableText"/>
              <w:jc w:val="right"/>
              <w:rPr>
                <w:lang w:eastAsia="en-AU"/>
              </w:rPr>
            </w:pPr>
            <w:r w:rsidRPr="005B0796">
              <w:rPr>
                <w:lang w:eastAsia="en-AU"/>
              </w:rPr>
              <w:t>%</w:t>
            </w:r>
          </w:p>
        </w:tc>
        <w:tc>
          <w:tcPr>
            <w:tcW w:w="630" w:type="dxa"/>
          </w:tcPr>
          <w:p w:rsidR="00DC09EF" w:rsidRPr="005B0796" w:rsidRDefault="00DC09EF" w:rsidP="00DC09EF">
            <w:pPr>
              <w:pStyle w:val="TableText"/>
              <w:jc w:val="right"/>
              <w:rPr>
                <w:lang w:eastAsia="en-AU"/>
              </w:rPr>
            </w:pPr>
            <w:r w:rsidRPr="005B0796">
              <w:rPr>
                <w:lang w:eastAsia="en-AU"/>
              </w:rPr>
              <w:t>SE</w:t>
            </w:r>
          </w:p>
        </w:tc>
        <w:tc>
          <w:tcPr>
            <w:tcW w:w="872" w:type="dxa"/>
          </w:tcPr>
          <w:p w:rsidR="00DC09EF" w:rsidRPr="005B0796" w:rsidRDefault="00DC09EF" w:rsidP="00DC09EF">
            <w:pPr>
              <w:pStyle w:val="TableText"/>
              <w:jc w:val="right"/>
              <w:rPr>
                <w:lang w:eastAsia="en-AU"/>
              </w:rPr>
            </w:pPr>
            <w:r w:rsidRPr="005B0796">
              <w:rPr>
                <w:lang w:eastAsia="en-AU"/>
              </w:rPr>
              <w:t>95% CI</w:t>
            </w:r>
          </w:p>
        </w:tc>
        <w:tc>
          <w:tcPr>
            <w:tcW w:w="568" w:type="dxa"/>
          </w:tcPr>
          <w:p w:rsidR="00DC09EF" w:rsidRPr="005B0796" w:rsidRDefault="00DC09EF" w:rsidP="00DC09EF">
            <w:pPr>
              <w:pStyle w:val="TableText"/>
              <w:jc w:val="right"/>
              <w:rPr>
                <w:lang w:eastAsia="en-AU"/>
              </w:rPr>
            </w:pPr>
            <w:r w:rsidRPr="005B0796">
              <w:rPr>
                <w:lang w:eastAsia="en-AU"/>
              </w:rPr>
              <w:t>%</w:t>
            </w:r>
          </w:p>
        </w:tc>
        <w:tc>
          <w:tcPr>
            <w:tcW w:w="630" w:type="dxa"/>
          </w:tcPr>
          <w:p w:rsidR="00DC09EF" w:rsidRPr="005B0796" w:rsidRDefault="00DC09EF" w:rsidP="00DC09EF">
            <w:pPr>
              <w:pStyle w:val="TableText"/>
              <w:jc w:val="right"/>
              <w:rPr>
                <w:lang w:eastAsia="en-AU"/>
              </w:rPr>
            </w:pPr>
            <w:r w:rsidRPr="005B0796">
              <w:rPr>
                <w:lang w:eastAsia="en-AU"/>
              </w:rPr>
              <w:t>SE</w:t>
            </w:r>
          </w:p>
        </w:tc>
        <w:tc>
          <w:tcPr>
            <w:tcW w:w="844" w:type="dxa"/>
          </w:tcPr>
          <w:p w:rsidR="00DC09EF" w:rsidRPr="005B0796" w:rsidRDefault="00DC09EF" w:rsidP="00DC09EF">
            <w:pPr>
              <w:pStyle w:val="TableText"/>
              <w:jc w:val="right"/>
              <w:rPr>
                <w:lang w:eastAsia="en-AU"/>
              </w:rPr>
            </w:pPr>
            <w:r w:rsidRPr="005B0796">
              <w:rPr>
                <w:lang w:eastAsia="en-AU"/>
              </w:rPr>
              <w:t>95% CI</w:t>
            </w:r>
          </w:p>
        </w:tc>
        <w:tc>
          <w:tcPr>
            <w:tcW w:w="596" w:type="dxa"/>
          </w:tcPr>
          <w:p w:rsidR="00DC09EF" w:rsidRPr="005B0796" w:rsidRDefault="00DC09EF" w:rsidP="00DC09EF">
            <w:pPr>
              <w:pStyle w:val="TableText"/>
              <w:jc w:val="right"/>
              <w:rPr>
                <w:lang w:eastAsia="en-AU"/>
              </w:rPr>
            </w:pPr>
            <w:r w:rsidRPr="005B0796">
              <w:rPr>
                <w:lang w:eastAsia="en-AU"/>
              </w:rPr>
              <w:t>%</w:t>
            </w:r>
          </w:p>
        </w:tc>
        <w:tc>
          <w:tcPr>
            <w:tcW w:w="630" w:type="dxa"/>
          </w:tcPr>
          <w:p w:rsidR="00DC09EF" w:rsidRPr="005B0796" w:rsidRDefault="00DC09EF" w:rsidP="00DC09EF">
            <w:pPr>
              <w:pStyle w:val="TableText"/>
              <w:jc w:val="right"/>
              <w:rPr>
                <w:lang w:eastAsia="en-AU"/>
              </w:rPr>
            </w:pPr>
            <w:r w:rsidRPr="005B0796">
              <w:rPr>
                <w:lang w:eastAsia="en-AU"/>
              </w:rPr>
              <w:t>SE</w:t>
            </w:r>
          </w:p>
        </w:tc>
        <w:tc>
          <w:tcPr>
            <w:tcW w:w="817" w:type="dxa"/>
          </w:tcPr>
          <w:p w:rsidR="00DC09EF" w:rsidRPr="005B0796" w:rsidRDefault="00DC09EF" w:rsidP="00DC09EF">
            <w:pPr>
              <w:pStyle w:val="TableText"/>
              <w:jc w:val="right"/>
              <w:rPr>
                <w:lang w:eastAsia="en-AU"/>
              </w:rPr>
            </w:pPr>
            <w:r w:rsidRPr="005B0796">
              <w:rPr>
                <w:lang w:eastAsia="en-AU"/>
              </w:rPr>
              <w:t>95% CI</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r w:rsidRPr="005B0796">
              <w:rPr>
                <w:lang w:eastAsia="en-AU"/>
              </w:rPr>
              <w:t>18–27</w:t>
            </w:r>
          </w:p>
        </w:tc>
        <w:tc>
          <w:tcPr>
            <w:tcW w:w="540" w:type="dxa"/>
          </w:tcPr>
          <w:p w:rsidR="00DC09EF" w:rsidRPr="005B0796" w:rsidRDefault="00DC09EF" w:rsidP="006B0AC1">
            <w:pPr>
              <w:pStyle w:val="TableText"/>
              <w:rPr>
                <w:rFonts w:eastAsia="GillSans"/>
                <w:lang w:eastAsia="en-AU"/>
              </w:rPr>
            </w:pPr>
            <w:r w:rsidRPr="005B0796">
              <w:rPr>
                <w:lang w:eastAsia="en-AU"/>
              </w:rPr>
              <w:t>11 +</w:t>
            </w:r>
          </w:p>
        </w:tc>
        <w:tc>
          <w:tcPr>
            <w:tcW w:w="540" w:type="dxa"/>
          </w:tcPr>
          <w:p w:rsidR="00DC09EF" w:rsidRPr="005B0796" w:rsidRDefault="00DC09EF" w:rsidP="00DC09EF">
            <w:pPr>
              <w:pStyle w:val="TableText"/>
              <w:jc w:val="right"/>
              <w:rPr>
                <w:lang w:eastAsia="en-AU"/>
              </w:rPr>
            </w:pPr>
            <w:r w:rsidRPr="005B0796">
              <w:rPr>
                <w:lang w:eastAsia="en-AU"/>
              </w:rPr>
              <w:t>25.8</w:t>
            </w:r>
          </w:p>
        </w:tc>
        <w:tc>
          <w:tcPr>
            <w:tcW w:w="630" w:type="dxa"/>
          </w:tcPr>
          <w:p w:rsidR="00DC09EF" w:rsidRPr="005B0796" w:rsidRDefault="00DC09EF" w:rsidP="00DC09EF">
            <w:pPr>
              <w:pStyle w:val="TableText"/>
              <w:jc w:val="right"/>
              <w:rPr>
                <w:lang w:eastAsia="en-AU"/>
              </w:rPr>
            </w:pPr>
            <w:r w:rsidRPr="005B0796">
              <w:rPr>
                <w:lang w:eastAsia="en-AU"/>
              </w:rPr>
              <w:t>2.4</w:t>
            </w:r>
          </w:p>
        </w:tc>
        <w:tc>
          <w:tcPr>
            <w:tcW w:w="872" w:type="dxa"/>
          </w:tcPr>
          <w:p w:rsidR="00DC09EF" w:rsidRPr="005B0796" w:rsidRDefault="00DC09EF" w:rsidP="00DC09EF">
            <w:pPr>
              <w:pStyle w:val="TableText"/>
              <w:jc w:val="right"/>
              <w:rPr>
                <w:lang w:eastAsia="en-AU"/>
              </w:rPr>
            </w:pPr>
            <w:r w:rsidRPr="005B0796">
              <w:rPr>
                <w:lang w:eastAsia="en-AU"/>
              </w:rPr>
              <w:t>21.4, 30.7</w:t>
            </w:r>
          </w:p>
        </w:tc>
        <w:tc>
          <w:tcPr>
            <w:tcW w:w="568" w:type="dxa"/>
          </w:tcPr>
          <w:p w:rsidR="00DC09EF" w:rsidRPr="005B0796" w:rsidRDefault="00DC09EF" w:rsidP="00DC09EF">
            <w:pPr>
              <w:pStyle w:val="TableText"/>
              <w:jc w:val="right"/>
              <w:rPr>
                <w:lang w:eastAsia="en-AU"/>
              </w:rPr>
            </w:pPr>
            <w:r w:rsidRPr="005B0796">
              <w:rPr>
                <w:lang w:eastAsia="en-AU"/>
              </w:rPr>
              <w:t>43.2</w:t>
            </w:r>
          </w:p>
        </w:tc>
        <w:tc>
          <w:tcPr>
            <w:tcW w:w="630" w:type="dxa"/>
          </w:tcPr>
          <w:p w:rsidR="00DC09EF" w:rsidRPr="005B0796" w:rsidRDefault="00DC09EF" w:rsidP="00DC09EF">
            <w:pPr>
              <w:pStyle w:val="TableText"/>
              <w:jc w:val="right"/>
              <w:rPr>
                <w:lang w:eastAsia="en-AU"/>
              </w:rPr>
            </w:pPr>
            <w:r w:rsidRPr="005B0796">
              <w:rPr>
                <w:lang w:eastAsia="en-AU"/>
              </w:rPr>
              <w:t>1.9</w:t>
            </w:r>
          </w:p>
        </w:tc>
        <w:tc>
          <w:tcPr>
            <w:tcW w:w="844" w:type="dxa"/>
          </w:tcPr>
          <w:p w:rsidR="00DC09EF" w:rsidRPr="005B0796" w:rsidRDefault="00DC09EF" w:rsidP="00DC09EF">
            <w:pPr>
              <w:pStyle w:val="TableText"/>
              <w:jc w:val="right"/>
              <w:rPr>
                <w:lang w:eastAsia="en-AU"/>
              </w:rPr>
            </w:pPr>
            <w:r w:rsidRPr="005B0796">
              <w:rPr>
                <w:lang w:eastAsia="en-AU"/>
              </w:rPr>
              <w:t>39.6, 46.9</w:t>
            </w:r>
          </w:p>
        </w:tc>
        <w:tc>
          <w:tcPr>
            <w:tcW w:w="596" w:type="dxa"/>
          </w:tcPr>
          <w:p w:rsidR="00DC09EF" w:rsidRPr="005B0796" w:rsidRDefault="00DC09EF" w:rsidP="00DC09EF">
            <w:pPr>
              <w:pStyle w:val="TableText"/>
              <w:jc w:val="right"/>
              <w:rPr>
                <w:lang w:eastAsia="en-AU"/>
              </w:rPr>
            </w:pPr>
            <w:r w:rsidRPr="005B0796">
              <w:rPr>
                <w:lang w:eastAsia="en-AU"/>
              </w:rPr>
              <w:t>-17.4</w:t>
            </w:r>
          </w:p>
        </w:tc>
        <w:tc>
          <w:tcPr>
            <w:tcW w:w="630" w:type="dxa"/>
          </w:tcPr>
          <w:p w:rsidR="00DC09EF" w:rsidRPr="005B0796" w:rsidRDefault="00DC09EF" w:rsidP="00DC09EF">
            <w:pPr>
              <w:pStyle w:val="TableText"/>
              <w:jc w:val="right"/>
              <w:rPr>
                <w:lang w:eastAsia="en-AU"/>
              </w:rPr>
            </w:pPr>
            <w:r w:rsidRPr="005B0796">
              <w:rPr>
                <w:lang w:eastAsia="en-AU"/>
              </w:rPr>
              <w:t>3.0</w:t>
            </w:r>
          </w:p>
        </w:tc>
        <w:tc>
          <w:tcPr>
            <w:tcW w:w="817" w:type="dxa"/>
          </w:tcPr>
          <w:p w:rsidR="00DC09EF" w:rsidRPr="005B0796" w:rsidRDefault="00DC09EF" w:rsidP="00DC09EF">
            <w:pPr>
              <w:pStyle w:val="TableText"/>
              <w:jc w:val="right"/>
              <w:rPr>
                <w:lang w:eastAsia="en-AU"/>
              </w:rPr>
            </w:pPr>
            <w:r w:rsidRPr="005B0796">
              <w:rPr>
                <w:lang w:eastAsia="en-AU"/>
              </w:rPr>
              <w:t>-23.4, -11.5</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rFonts w:eastAsia="GillSans"/>
                <w:lang w:eastAsia="en-AU"/>
              </w:rPr>
            </w:pPr>
            <w:r w:rsidRPr="005B0796">
              <w:rPr>
                <w:lang w:eastAsia="en-AU"/>
              </w:rPr>
              <w:t>7–10</w:t>
            </w:r>
          </w:p>
        </w:tc>
        <w:tc>
          <w:tcPr>
            <w:tcW w:w="540" w:type="dxa"/>
          </w:tcPr>
          <w:p w:rsidR="00DC09EF" w:rsidRPr="005B0796" w:rsidRDefault="00DC09EF" w:rsidP="00DC09EF">
            <w:pPr>
              <w:pStyle w:val="TableText"/>
              <w:jc w:val="right"/>
              <w:rPr>
                <w:lang w:eastAsia="en-AU"/>
              </w:rPr>
            </w:pPr>
            <w:r w:rsidRPr="005B0796">
              <w:rPr>
                <w:lang w:eastAsia="en-AU"/>
              </w:rPr>
              <w:t xml:space="preserve"> 10.9</w:t>
            </w:r>
          </w:p>
        </w:tc>
        <w:tc>
          <w:tcPr>
            <w:tcW w:w="630" w:type="dxa"/>
          </w:tcPr>
          <w:p w:rsidR="00DC09EF" w:rsidRPr="005B0796" w:rsidRDefault="00DC09EF" w:rsidP="00DC09EF">
            <w:pPr>
              <w:pStyle w:val="TableText"/>
              <w:jc w:val="right"/>
              <w:rPr>
                <w:lang w:eastAsia="en-AU"/>
              </w:rPr>
            </w:pPr>
            <w:r w:rsidRPr="005B0796">
              <w:rPr>
                <w:lang w:eastAsia="en-AU"/>
              </w:rPr>
              <w:t>1.7</w:t>
            </w:r>
          </w:p>
        </w:tc>
        <w:tc>
          <w:tcPr>
            <w:tcW w:w="872" w:type="dxa"/>
          </w:tcPr>
          <w:p w:rsidR="00DC09EF" w:rsidRPr="005B0796" w:rsidRDefault="00DC09EF" w:rsidP="00DC09EF">
            <w:pPr>
              <w:pStyle w:val="TableText"/>
              <w:jc w:val="right"/>
              <w:rPr>
                <w:lang w:eastAsia="en-AU"/>
              </w:rPr>
            </w:pPr>
            <w:r w:rsidRPr="005B0796">
              <w:rPr>
                <w:lang w:eastAsia="en-AU"/>
              </w:rPr>
              <w:t>7.9, 14.7</w:t>
            </w:r>
          </w:p>
        </w:tc>
        <w:tc>
          <w:tcPr>
            <w:tcW w:w="568" w:type="dxa"/>
          </w:tcPr>
          <w:p w:rsidR="00DC09EF" w:rsidRPr="005B0796" w:rsidRDefault="00DC09EF" w:rsidP="00DC09EF">
            <w:pPr>
              <w:pStyle w:val="TableText"/>
              <w:jc w:val="right"/>
              <w:rPr>
                <w:lang w:eastAsia="en-AU"/>
              </w:rPr>
            </w:pPr>
            <w:r w:rsidRPr="005B0796">
              <w:rPr>
                <w:lang w:eastAsia="en-AU"/>
              </w:rPr>
              <w:t>13.2</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44" w:type="dxa"/>
          </w:tcPr>
          <w:p w:rsidR="00DC09EF" w:rsidRPr="005B0796" w:rsidRDefault="00DC09EF" w:rsidP="00DC09EF">
            <w:pPr>
              <w:pStyle w:val="TableText"/>
              <w:jc w:val="right"/>
              <w:rPr>
                <w:lang w:eastAsia="en-AU"/>
              </w:rPr>
            </w:pPr>
            <w:r w:rsidRPr="005B0796">
              <w:rPr>
                <w:lang w:eastAsia="en-AU"/>
              </w:rPr>
              <w:t>10.9, 15.5</w:t>
            </w:r>
          </w:p>
        </w:tc>
        <w:tc>
          <w:tcPr>
            <w:tcW w:w="596" w:type="dxa"/>
          </w:tcPr>
          <w:p w:rsidR="00DC09EF" w:rsidRPr="005B0796" w:rsidRDefault="00DC09EF" w:rsidP="00DC09EF">
            <w:pPr>
              <w:pStyle w:val="TableText"/>
              <w:jc w:val="right"/>
              <w:rPr>
                <w:lang w:eastAsia="en-AU"/>
              </w:rPr>
            </w:pPr>
            <w:r w:rsidRPr="005B0796">
              <w:rPr>
                <w:lang w:eastAsia="en-AU"/>
              </w:rPr>
              <w:t>-2.3</w:t>
            </w:r>
          </w:p>
        </w:tc>
        <w:tc>
          <w:tcPr>
            <w:tcW w:w="630" w:type="dxa"/>
          </w:tcPr>
          <w:p w:rsidR="00DC09EF" w:rsidRPr="005B0796" w:rsidRDefault="00DC09EF" w:rsidP="00DC09EF">
            <w:pPr>
              <w:pStyle w:val="TableText"/>
              <w:jc w:val="right"/>
              <w:rPr>
                <w:lang w:eastAsia="en-AU"/>
              </w:rPr>
            </w:pPr>
            <w:r w:rsidRPr="005B0796">
              <w:rPr>
                <w:lang w:eastAsia="en-AU"/>
              </w:rPr>
              <w:t>2.1</w:t>
            </w:r>
          </w:p>
        </w:tc>
        <w:tc>
          <w:tcPr>
            <w:tcW w:w="817" w:type="dxa"/>
          </w:tcPr>
          <w:p w:rsidR="00DC09EF" w:rsidRPr="005B0796" w:rsidRDefault="00DC09EF" w:rsidP="00DC09EF">
            <w:pPr>
              <w:pStyle w:val="TableText"/>
              <w:jc w:val="right"/>
              <w:rPr>
                <w:lang w:eastAsia="en-AU"/>
              </w:rPr>
            </w:pPr>
            <w:r w:rsidRPr="005B0796">
              <w:rPr>
                <w:lang w:eastAsia="en-AU"/>
              </w:rPr>
              <w:t>-6.4, 1.7</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rFonts w:eastAsia="GillSans"/>
                <w:lang w:eastAsia="en-AU"/>
              </w:rPr>
            </w:pPr>
            <w:r w:rsidRPr="005B0796">
              <w:rPr>
                <w:lang w:eastAsia="en-AU"/>
              </w:rPr>
              <w:t xml:space="preserve">5–6 </w:t>
            </w:r>
          </w:p>
        </w:tc>
        <w:tc>
          <w:tcPr>
            <w:tcW w:w="540" w:type="dxa"/>
          </w:tcPr>
          <w:p w:rsidR="00DC09EF" w:rsidRPr="005B0796" w:rsidRDefault="00DC09EF" w:rsidP="00DC09EF">
            <w:pPr>
              <w:pStyle w:val="TableText"/>
              <w:jc w:val="right"/>
              <w:rPr>
                <w:lang w:eastAsia="en-AU"/>
              </w:rPr>
            </w:pPr>
            <w:r w:rsidRPr="005B0796">
              <w:rPr>
                <w:lang w:eastAsia="en-AU"/>
              </w:rPr>
              <w:t>8.4</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72" w:type="dxa"/>
          </w:tcPr>
          <w:p w:rsidR="00DC09EF" w:rsidRPr="005B0796" w:rsidRDefault="00DC09EF" w:rsidP="00DC09EF">
            <w:pPr>
              <w:pStyle w:val="TableText"/>
              <w:jc w:val="right"/>
              <w:rPr>
                <w:lang w:eastAsia="en-AU"/>
              </w:rPr>
            </w:pPr>
            <w:r w:rsidRPr="005B0796">
              <w:rPr>
                <w:lang w:eastAsia="en-AU"/>
              </w:rPr>
              <w:t>5.9, 11.9</w:t>
            </w:r>
          </w:p>
        </w:tc>
        <w:tc>
          <w:tcPr>
            <w:tcW w:w="568" w:type="dxa"/>
          </w:tcPr>
          <w:p w:rsidR="00DC09EF" w:rsidRPr="005B0796" w:rsidRDefault="00DC09EF" w:rsidP="00DC09EF">
            <w:pPr>
              <w:pStyle w:val="TableText"/>
              <w:jc w:val="right"/>
              <w:rPr>
                <w:lang w:eastAsia="en-AU"/>
              </w:rPr>
            </w:pPr>
            <w:r w:rsidRPr="005B0796">
              <w:rPr>
                <w:lang w:eastAsia="en-AU"/>
              </w:rPr>
              <w:t>9.8</w:t>
            </w:r>
          </w:p>
        </w:tc>
        <w:tc>
          <w:tcPr>
            <w:tcW w:w="630" w:type="dxa"/>
          </w:tcPr>
          <w:p w:rsidR="00DC09EF" w:rsidRPr="005B0796" w:rsidRDefault="00DC09EF" w:rsidP="00DC09EF">
            <w:pPr>
              <w:pStyle w:val="TableText"/>
              <w:jc w:val="right"/>
              <w:rPr>
                <w:lang w:eastAsia="en-AU"/>
              </w:rPr>
            </w:pPr>
            <w:r w:rsidRPr="005B0796">
              <w:rPr>
                <w:lang w:eastAsia="en-AU"/>
              </w:rPr>
              <w:t>1.3</w:t>
            </w:r>
          </w:p>
        </w:tc>
        <w:tc>
          <w:tcPr>
            <w:tcW w:w="844" w:type="dxa"/>
          </w:tcPr>
          <w:p w:rsidR="00DC09EF" w:rsidRPr="005B0796" w:rsidRDefault="00DC09EF" w:rsidP="00DC09EF">
            <w:pPr>
              <w:pStyle w:val="TableText"/>
              <w:jc w:val="right"/>
              <w:rPr>
                <w:lang w:eastAsia="en-AU"/>
              </w:rPr>
            </w:pPr>
            <w:r w:rsidRPr="005B0796">
              <w:rPr>
                <w:lang w:eastAsia="en-AU"/>
              </w:rPr>
              <w:t>7.3, 12.3</w:t>
            </w:r>
          </w:p>
        </w:tc>
        <w:tc>
          <w:tcPr>
            <w:tcW w:w="596" w:type="dxa"/>
          </w:tcPr>
          <w:p w:rsidR="00DC09EF" w:rsidRPr="005B0796" w:rsidRDefault="00DC09EF" w:rsidP="00DC09EF">
            <w:pPr>
              <w:pStyle w:val="TableText"/>
              <w:jc w:val="right"/>
              <w:rPr>
                <w:lang w:eastAsia="en-AU"/>
              </w:rPr>
            </w:pPr>
            <w:r w:rsidRPr="005B0796">
              <w:rPr>
                <w:lang w:eastAsia="en-AU"/>
              </w:rPr>
              <w:t>-1.4</w:t>
            </w:r>
          </w:p>
        </w:tc>
        <w:tc>
          <w:tcPr>
            <w:tcW w:w="630" w:type="dxa"/>
          </w:tcPr>
          <w:p w:rsidR="00DC09EF" w:rsidRPr="005B0796" w:rsidRDefault="00DC09EF" w:rsidP="00DC09EF">
            <w:pPr>
              <w:pStyle w:val="TableText"/>
              <w:jc w:val="right"/>
              <w:rPr>
                <w:lang w:eastAsia="en-AU"/>
              </w:rPr>
            </w:pPr>
            <w:r w:rsidRPr="005B0796">
              <w:rPr>
                <w:lang w:eastAsia="en-AU"/>
              </w:rPr>
              <w:t>1.9</w:t>
            </w:r>
          </w:p>
        </w:tc>
        <w:tc>
          <w:tcPr>
            <w:tcW w:w="817" w:type="dxa"/>
          </w:tcPr>
          <w:p w:rsidR="00DC09EF" w:rsidRPr="005B0796" w:rsidRDefault="00DC09EF" w:rsidP="00DC09EF">
            <w:pPr>
              <w:pStyle w:val="TableText"/>
              <w:jc w:val="right"/>
              <w:rPr>
                <w:lang w:eastAsia="en-AU"/>
              </w:rPr>
            </w:pPr>
            <w:r w:rsidRPr="005B0796">
              <w:rPr>
                <w:lang w:eastAsia="en-AU"/>
              </w:rPr>
              <w:t>-5.3, 2.5</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3–4 </w:t>
            </w:r>
          </w:p>
        </w:tc>
        <w:tc>
          <w:tcPr>
            <w:tcW w:w="540" w:type="dxa"/>
          </w:tcPr>
          <w:p w:rsidR="00DC09EF" w:rsidRPr="005B0796" w:rsidRDefault="00DC09EF" w:rsidP="00DC09EF">
            <w:pPr>
              <w:pStyle w:val="TableText"/>
              <w:jc w:val="right"/>
              <w:rPr>
                <w:lang w:eastAsia="en-AU"/>
              </w:rPr>
            </w:pPr>
            <w:r w:rsidRPr="005B0796">
              <w:rPr>
                <w:lang w:eastAsia="en-AU"/>
              </w:rPr>
              <w:t>10.1</w:t>
            </w:r>
          </w:p>
        </w:tc>
        <w:tc>
          <w:tcPr>
            <w:tcW w:w="630" w:type="dxa"/>
          </w:tcPr>
          <w:p w:rsidR="00DC09EF" w:rsidRPr="005B0796" w:rsidRDefault="00DC09EF" w:rsidP="00DC09EF">
            <w:pPr>
              <w:pStyle w:val="TableText"/>
              <w:jc w:val="right"/>
              <w:rPr>
                <w:lang w:eastAsia="en-AU"/>
              </w:rPr>
            </w:pPr>
            <w:r w:rsidRPr="005B0796">
              <w:rPr>
                <w:lang w:eastAsia="en-AU"/>
              </w:rPr>
              <w:t>1.6</w:t>
            </w:r>
          </w:p>
        </w:tc>
        <w:tc>
          <w:tcPr>
            <w:tcW w:w="872" w:type="dxa"/>
          </w:tcPr>
          <w:p w:rsidR="00DC09EF" w:rsidRPr="005B0796" w:rsidRDefault="00DC09EF" w:rsidP="00DC09EF">
            <w:pPr>
              <w:pStyle w:val="TableText"/>
              <w:jc w:val="right"/>
              <w:rPr>
                <w:lang w:eastAsia="en-AU"/>
              </w:rPr>
            </w:pPr>
            <w:r w:rsidRPr="005B0796">
              <w:rPr>
                <w:lang w:eastAsia="en-AU"/>
              </w:rPr>
              <w:t>7.6, 13.7</w:t>
            </w:r>
          </w:p>
        </w:tc>
        <w:tc>
          <w:tcPr>
            <w:tcW w:w="568" w:type="dxa"/>
          </w:tcPr>
          <w:p w:rsidR="00DC09EF" w:rsidRPr="005B0796" w:rsidRDefault="00DC09EF" w:rsidP="00DC09EF">
            <w:pPr>
              <w:pStyle w:val="TableText"/>
              <w:jc w:val="right"/>
              <w:rPr>
                <w:lang w:eastAsia="en-AU"/>
              </w:rPr>
            </w:pPr>
            <w:r w:rsidRPr="005B0796">
              <w:rPr>
                <w:lang w:eastAsia="en-AU"/>
              </w:rPr>
              <w:t>8.1</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44" w:type="dxa"/>
          </w:tcPr>
          <w:p w:rsidR="00DC09EF" w:rsidRPr="005B0796" w:rsidRDefault="00DC09EF" w:rsidP="00DC09EF">
            <w:pPr>
              <w:pStyle w:val="TableText"/>
              <w:jc w:val="right"/>
              <w:rPr>
                <w:lang w:eastAsia="en-AU"/>
              </w:rPr>
            </w:pPr>
            <w:r w:rsidRPr="005B0796">
              <w:rPr>
                <w:lang w:eastAsia="en-AU"/>
              </w:rPr>
              <w:t>5.7, 10.4</w:t>
            </w:r>
          </w:p>
        </w:tc>
        <w:tc>
          <w:tcPr>
            <w:tcW w:w="596" w:type="dxa"/>
          </w:tcPr>
          <w:p w:rsidR="00DC09EF" w:rsidRPr="005B0796" w:rsidRDefault="00DC09EF" w:rsidP="00DC09EF">
            <w:pPr>
              <w:pStyle w:val="TableText"/>
              <w:jc w:val="right"/>
              <w:rPr>
                <w:lang w:eastAsia="en-AU"/>
              </w:rPr>
            </w:pPr>
            <w:r w:rsidRPr="005B0796">
              <w:rPr>
                <w:lang w:eastAsia="en-AU"/>
              </w:rPr>
              <w:t>1.9</w:t>
            </w:r>
          </w:p>
        </w:tc>
        <w:tc>
          <w:tcPr>
            <w:tcW w:w="630" w:type="dxa"/>
          </w:tcPr>
          <w:p w:rsidR="00DC09EF" w:rsidRPr="005B0796" w:rsidRDefault="00DC09EF" w:rsidP="00DC09EF">
            <w:pPr>
              <w:pStyle w:val="TableText"/>
              <w:jc w:val="right"/>
              <w:rPr>
                <w:lang w:eastAsia="en-AU"/>
              </w:rPr>
            </w:pPr>
            <w:r w:rsidRPr="005B0796">
              <w:rPr>
                <w:lang w:eastAsia="en-AU"/>
              </w:rPr>
              <w:t>2.0</w:t>
            </w:r>
          </w:p>
        </w:tc>
        <w:tc>
          <w:tcPr>
            <w:tcW w:w="817" w:type="dxa"/>
          </w:tcPr>
          <w:p w:rsidR="00DC09EF" w:rsidRPr="005B0796" w:rsidRDefault="00DC09EF" w:rsidP="00DC09EF">
            <w:pPr>
              <w:pStyle w:val="TableText"/>
              <w:jc w:val="right"/>
              <w:rPr>
                <w:lang w:eastAsia="en-AU"/>
              </w:rPr>
            </w:pPr>
            <w:r w:rsidRPr="005B0796">
              <w:rPr>
                <w:lang w:eastAsia="en-AU"/>
              </w:rPr>
              <w:t>-1.9, 5.9</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1–2 </w:t>
            </w:r>
          </w:p>
        </w:tc>
        <w:tc>
          <w:tcPr>
            <w:tcW w:w="540" w:type="dxa"/>
          </w:tcPr>
          <w:p w:rsidR="00DC09EF" w:rsidRPr="005B0796" w:rsidRDefault="00DC09EF" w:rsidP="00DC09EF">
            <w:pPr>
              <w:pStyle w:val="TableText"/>
              <w:jc w:val="right"/>
              <w:rPr>
                <w:lang w:eastAsia="en-AU"/>
              </w:rPr>
            </w:pPr>
            <w:r w:rsidRPr="005B0796">
              <w:rPr>
                <w:lang w:eastAsia="en-AU"/>
              </w:rPr>
              <w:t>7.2</w:t>
            </w:r>
          </w:p>
        </w:tc>
        <w:tc>
          <w:tcPr>
            <w:tcW w:w="630" w:type="dxa"/>
          </w:tcPr>
          <w:p w:rsidR="00DC09EF" w:rsidRPr="005B0796" w:rsidRDefault="00DC09EF" w:rsidP="00DC09EF">
            <w:pPr>
              <w:pStyle w:val="TableText"/>
              <w:jc w:val="right"/>
              <w:rPr>
                <w:lang w:eastAsia="en-AU"/>
              </w:rPr>
            </w:pPr>
            <w:r w:rsidRPr="005B0796">
              <w:rPr>
                <w:lang w:eastAsia="en-AU"/>
              </w:rPr>
              <w:t>1.4</w:t>
            </w:r>
          </w:p>
        </w:tc>
        <w:tc>
          <w:tcPr>
            <w:tcW w:w="872" w:type="dxa"/>
          </w:tcPr>
          <w:p w:rsidR="00DC09EF" w:rsidRPr="005B0796" w:rsidRDefault="00DC09EF" w:rsidP="00DC09EF">
            <w:pPr>
              <w:pStyle w:val="TableText"/>
              <w:jc w:val="right"/>
              <w:rPr>
                <w:lang w:eastAsia="en-AU"/>
              </w:rPr>
            </w:pPr>
            <w:r w:rsidRPr="005B0796">
              <w:rPr>
                <w:lang w:eastAsia="en-AU"/>
              </w:rPr>
              <w:t>4.5, 10.6</w:t>
            </w:r>
          </w:p>
        </w:tc>
        <w:tc>
          <w:tcPr>
            <w:tcW w:w="568" w:type="dxa"/>
          </w:tcPr>
          <w:p w:rsidR="00DC09EF" w:rsidRPr="005B0796" w:rsidRDefault="00DC09EF" w:rsidP="00DC09EF">
            <w:pPr>
              <w:pStyle w:val="TableText"/>
              <w:jc w:val="right"/>
              <w:rPr>
                <w:lang w:eastAsia="en-AU"/>
              </w:rPr>
            </w:pPr>
            <w:r w:rsidRPr="005B0796">
              <w:rPr>
                <w:lang w:eastAsia="en-AU"/>
              </w:rPr>
              <w:t>10.8</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44" w:type="dxa"/>
          </w:tcPr>
          <w:p w:rsidR="00DC09EF" w:rsidRPr="005B0796" w:rsidRDefault="00DC09EF" w:rsidP="00DC09EF">
            <w:pPr>
              <w:pStyle w:val="TableText"/>
              <w:jc w:val="right"/>
              <w:rPr>
                <w:lang w:eastAsia="en-AU"/>
              </w:rPr>
            </w:pPr>
            <w:r w:rsidRPr="005B0796">
              <w:rPr>
                <w:lang w:eastAsia="en-AU"/>
              </w:rPr>
              <w:t>8.6, 13.1</w:t>
            </w:r>
          </w:p>
        </w:tc>
        <w:tc>
          <w:tcPr>
            <w:tcW w:w="596" w:type="dxa"/>
          </w:tcPr>
          <w:p w:rsidR="00DC09EF" w:rsidRPr="005B0796" w:rsidRDefault="00DC09EF" w:rsidP="00DC09EF">
            <w:pPr>
              <w:pStyle w:val="TableText"/>
              <w:jc w:val="right"/>
              <w:rPr>
                <w:lang w:eastAsia="en-AU"/>
              </w:rPr>
            </w:pPr>
            <w:r w:rsidRPr="005B0796">
              <w:rPr>
                <w:lang w:eastAsia="en-AU"/>
              </w:rPr>
              <w:t>-3.6</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-7.2, -0.0</w:t>
            </w:r>
          </w:p>
        </w:tc>
      </w:tr>
      <w:tr w:rsidR="003D31FD" w:rsidRPr="005B0796" w:rsidTr="003D31FD">
        <w:tc>
          <w:tcPr>
            <w:tcW w:w="648" w:type="dxa"/>
          </w:tcPr>
          <w:p w:rsidR="00DC09EF" w:rsidRPr="005B0796" w:rsidRDefault="00DC09EF" w:rsidP="006B0AC1">
            <w:pPr>
              <w:pStyle w:val="TableText"/>
              <w:rPr>
                <w:lang w:eastAsia="en-AU"/>
              </w:rPr>
            </w:pPr>
            <w:r w:rsidRPr="005B0796">
              <w:rPr>
                <w:lang w:eastAsia="en-AU"/>
              </w:rPr>
              <w:t>28–37</w:t>
            </w:r>
          </w:p>
        </w:tc>
        <w:tc>
          <w:tcPr>
            <w:tcW w:w="540" w:type="dxa"/>
          </w:tcPr>
          <w:p w:rsidR="00DC09EF" w:rsidRPr="005B0796" w:rsidRDefault="00DC09EF" w:rsidP="006B0AC1">
            <w:pPr>
              <w:pStyle w:val="TableText"/>
              <w:rPr>
                <w:lang w:eastAsia="en-AU"/>
              </w:rPr>
            </w:pPr>
            <w:r w:rsidRPr="005B0796">
              <w:rPr>
                <w:lang w:eastAsia="en-AU"/>
              </w:rPr>
              <w:t>11 +</w:t>
            </w:r>
          </w:p>
        </w:tc>
        <w:tc>
          <w:tcPr>
            <w:tcW w:w="540" w:type="dxa"/>
          </w:tcPr>
          <w:p w:rsidR="00DC09EF" w:rsidRPr="005B0796" w:rsidRDefault="00DC09EF" w:rsidP="00DC09EF">
            <w:pPr>
              <w:pStyle w:val="TableText"/>
              <w:jc w:val="right"/>
              <w:rPr>
                <w:lang w:eastAsia="en-AU"/>
              </w:rPr>
            </w:pPr>
            <w:r w:rsidRPr="005B0796">
              <w:rPr>
                <w:lang w:eastAsia="en-AU"/>
              </w:rPr>
              <w:t>25.8</w:t>
            </w:r>
          </w:p>
        </w:tc>
        <w:tc>
          <w:tcPr>
            <w:tcW w:w="630" w:type="dxa"/>
          </w:tcPr>
          <w:p w:rsidR="00DC09EF" w:rsidRPr="005B0796" w:rsidRDefault="00DC09EF" w:rsidP="00DC09EF">
            <w:pPr>
              <w:pStyle w:val="TableText"/>
              <w:jc w:val="right"/>
              <w:rPr>
                <w:lang w:eastAsia="en-AU"/>
              </w:rPr>
            </w:pPr>
            <w:r w:rsidRPr="005B0796">
              <w:rPr>
                <w:lang w:eastAsia="en-AU"/>
              </w:rPr>
              <w:t>1.7</w:t>
            </w:r>
          </w:p>
        </w:tc>
        <w:tc>
          <w:tcPr>
            <w:tcW w:w="872" w:type="dxa"/>
          </w:tcPr>
          <w:p w:rsidR="00DC09EF" w:rsidRPr="005B0796" w:rsidRDefault="00DC09EF" w:rsidP="00DC09EF">
            <w:pPr>
              <w:pStyle w:val="TableText"/>
              <w:jc w:val="right"/>
              <w:rPr>
                <w:lang w:eastAsia="en-AU"/>
              </w:rPr>
            </w:pPr>
            <w:r w:rsidRPr="005B0796">
              <w:rPr>
                <w:lang w:eastAsia="en-AU"/>
              </w:rPr>
              <w:t>24.2, 30.7</w:t>
            </w:r>
          </w:p>
        </w:tc>
        <w:tc>
          <w:tcPr>
            <w:tcW w:w="568" w:type="dxa"/>
          </w:tcPr>
          <w:p w:rsidR="00DC09EF" w:rsidRPr="005B0796" w:rsidRDefault="00DC09EF" w:rsidP="00DC09EF">
            <w:pPr>
              <w:pStyle w:val="TableText"/>
              <w:jc w:val="right"/>
              <w:rPr>
                <w:lang w:eastAsia="en-AU"/>
              </w:rPr>
            </w:pPr>
            <w:r w:rsidRPr="005B0796">
              <w:rPr>
                <w:lang w:eastAsia="en-AU"/>
              </w:rPr>
              <w:t>39.6</w:t>
            </w:r>
          </w:p>
        </w:tc>
        <w:tc>
          <w:tcPr>
            <w:tcW w:w="630" w:type="dxa"/>
          </w:tcPr>
          <w:p w:rsidR="00DC09EF" w:rsidRPr="005B0796" w:rsidRDefault="00DC09EF" w:rsidP="00DC09EF">
            <w:pPr>
              <w:pStyle w:val="TableText"/>
              <w:jc w:val="right"/>
              <w:rPr>
                <w:lang w:eastAsia="en-AU"/>
              </w:rPr>
            </w:pPr>
            <w:r w:rsidRPr="005B0796">
              <w:rPr>
                <w:lang w:eastAsia="en-AU"/>
              </w:rPr>
              <w:t>2.1</w:t>
            </w:r>
          </w:p>
        </w:tc>
        <w:tc>
          <w:tcPr>
            <w:tcW w:w="844" w:type="dxa"/>
          </w:tcPr>
          <w:p w:rsidR="00DC09EF" w:rsidRPr="005B0796" w:rsidRDefault="00DC09EF" w:rsidP="00DC09EF">
            <w:pPr>
              <w:pStyle w:val="TableText"/>
              <w:jc w:val="right"/>
              <w:rPr>
                <w:lang w:eastAsia="en-AU"/>
              </w:rPr>
            </w:pPr>
            <w:r w:rsidRPr="005B0796">
              <w:rPr>
                <w:lang w:eastAsia="en-AU"/>
              </w:rPr>
              <w:t>35.4, 43.7</w:t>
            </w:r>
          </w:p>
        </w:tc>
        <w:tc>
          <w:tcPr>
            <w:tcW w:w="596" w:type="dxa"/>
          </w:tcPr>
          <w:p w:rsidR="00DC09EF" w:rsidRPr="005B0796" w:rsidRDefault="00DC09EF" w:rsidP="00DC09EF">
            <w:pPr>
              <w:pStyle w:val="TableText"/>
              <w:jc w:val="right"/>
              <w:rPr>
                <w:lang w:eastAsia="en-AU"/>
              </w:rPr>
            </w:pPr>
            <w:r w:rsidRPr="005B0796">
              <w:rPr>
                <w:lang w:eastAsia="en-AU"/>
              </w:rPr>
              <w:t>-12.2</w:t>
            </w:r>
          </w:p>
        </w:tc>
        <w:tc>
          <w:tcPr>
            <w:tcW w:w="630" w:type="dxa"/>
          </w:tcPr>
          <w:p w:rsidR="00DC09EF" w:rsidRPr="005B0796" w:rsidRDefault="00DC09EF" w:rsidP="00DC09EF">
            <w:pPr>
              <w:pStyle w:val="TableText"/>
              <w:jc w:val="right"/>
              <w:rPr>
                <w:lang w:eastAsia="en-AU"/>
              </w:rPr>
            </w:pPr>
            <w:r w:rsidRPr="005B0796">
              <w:rPr>
                <w:lang w:eastAsia="en-AU"/>
              </w:rPr>
              <w:t>2.7</w:t>
            </w:r>
          </w:p>
        </w:tc>
        <w:tc>
          <w:tcPr>
            <w:tcW w:w="817" w:type="dxa"/>
          </w:tcPr>
          <w:p w:rsidR="00DC09EF" w:rsidRPr="005B0796" w:rsidRDefault="00DC09EF" w:rsidP="00DC09EF">
            <w:pPr>
              <w:pStyle w:val="TableText"/>
              <w:jc w:val="right"/>
              <w:rPr>
                <w:lang w:eastAsia="en-AU"/>
              </w:rPr>
            </w:pPr>
            <w:r w:rsidRPr="005B0796">
              <w:rPr>
                <w:lang w:eastAsia="en-AU"/>
              </w:rPr>
              <w:t>-17.5, -6.9</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7–10</w:t>
            </w:r>
          </w:p>
        </w:tc>
        <w:tc>
          <w:tcPr>
            <w:tcW w:w="540" w:type="dxa"/>
          </w:tcPr>
          <w:p w:rsidR="00DC09EF" w:rsidRPr="005B0796" w:rsidRDefault="00DC09EF" w:rsidP="00DC09EF">
            <w:pPr>
              <w:pStyle w:val="TableText"/>
              <w:jc w:val="right"/>
              <w:rPr>
                <w:lang w:eastAsia="en-AU"/>
              </w:rPr>
            </w:pPr>
            <w:r w:rsidRPr="005B0796">
              <w:rPr>
                <w:lang w:eastAsia="en-AU"/>
              </w:rPr>
              <w:t>10.9</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72" w:type="dxa"/>
          </w:tcPr>
          <w:p w:rsidR="00DC09EF" w:rsidRPr="005B0796" w:rsidRDefault="00DC09EF" w:rsidP="00DC09EF">
            <w:pPr>
              <w:pStyle w:val="TableText"/>
              <w:jc w:val="right"/>
              <w:rPr>
                <w:lang w:eastAsia="en-AU"/>
              </w:rPr>
            </w:pPr>
            <w:r w:rsidRPr="005B0796">
              <w:rPr>
                <w:lang w:eastAsia="en-AU"/>
              </w:rPr>
              <w:t>9.9, 14.7</w:t>
            </w:r>
          </w:p>
        </w:tc>
        <w:tc>
          <w:tcPr>
            <w:tcW w:w="568" w:type="dxa"/>
          </w:tcPr>
          <w:p w:rsidR="00DC09EF" w:rsidRPr="005B0796" w:rsidRDefault="00DC09EF" w:rsidP="00DC09EF">
            <w:pPr>
              <w:pStyle w:val="TableText"/>
              <w:jc w:val="right"/>
              <w:rPr>
                <w:lang w:eastAsia="en-AU"/>
              </w:rPr>
            </w:pPr>
            <w:r w:rsidRPr="005B0796">
              <w:rPr>
                <w:lang w:eastAsia="en-AU"/>
              </w:rPr>
              <w:t>11.6</w:t>
            </w:r>
          </w:p>
        </w:tc>
        <w:tc>
          <w:tcPr>
            <w:tcW w:w="630" w:type="dxa"/>
          </w:tcPr>
          <w:p w:rsidR="00DC09EF" w:rsidRPr="005B0796" w:rsidRDefault="00DC09EF" w:rsidP="00DC09EF">
            <w:pPr>
              <w:pStyle w:val="TableText"/>
              <w:jc w:val="right"/>
              <w:rPr>
                <w:lang w:eastAsia="en-AU"/>
              </w:rPr>
            </w:pPr>
            <w:r w:rsidRPr="005B0796">
              <w:rPr>
                <w:lang w:eastAsia="en-AU"/>
              </w:rPr>
              <w:t>1.3</w:t>
            </w:r>
          </w:p>
        </w:tc>
        <w:tc>
          <w:tcPr>
            <w:tcW w:w="844" w:type="dxa"/>
          </w:tcPr>
          <w:p w:rsidR="00DC09EF" w:rsidRPr="005B0796" w:rsidRDefault="00DC09EF" w:rsidP="00DC09EF">
            <w:pPr>
              <w:pStyle w:val="TableText"/>
              <w:jc w:val="right"/>
              <w:rPr>
                <w:lang w:eastAsia="en-AU"/>
              </w:rPr>
            </w:pPr>
            <w:r w:rsidRPr="005B0796">
              <w:rPr>
                <w:lang w:eastAsia="en-AU"/>
              </w:rPr>
              <w:t>8.9, 14.2</w:t>
            </w:r>
          </w:p>
        </w:tc>
        <w:tc>
          <w:tcPr>
            <w:tcW w:w="596" w:type="dxa"/>
          </w:tcPr>
          <w:p w:rsidR="00DC09EF" w:rsidRPr="005B0796" w:rsidRDefault="00DC09EF" w:rsidP="00DC09EF">
            <w:pPr>
              <w:pStyle w:val="TableText"/>
              <w:jc w:val="right"/>
              <w:rPr>
                <w:lang w:eastAsia="en-AU"/>
              </w:rPr>
            </w:pPr>
            <w:r w:rsidRPr="005B0796">
              <w:rPr>
                <w:lang w:eastAsia="en-AU"/>
              </w:rPr>
              <w:t>0.5</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-3.0, 4.1</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5–6 </w:t>
            </w:r>
          </w:p>
        </w:tc>
        <w:tc>
          <w:tcPr>
            <w:tcW w:w="540" w:type="dxa"/>
          </w:tcPr>
          <w:p w:rsidR="00DC09EF" w:rsidRPr="005B0796" w:rsidRDefault="00DC09EF" w:rsidP="00DC09EF">
            <w:pPr>
              <w:pStyle w:val="TableText"/>
              <w:jc w:val="right"/>
              <w:rPr>
                <w:lang w:eastAsia="en-AU"/>
              </w:rPr>
            </w:pPr>
            <w:r w:rsidRPr="005B0796">
              <w:rPr>
                <w:lang w:eastAsia="en-AU"/>
              </w:rPr>
              <w:t>8.4</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72" w:type="dxa"/>
          </w:tcPr>
          <w:p w:rsidR="00DC09EF" w:rsidRPr="005B0796" w:rsidRDefault="00DC09EF" w:rsidP="00DC09EF">
            <w:pPr>
              <w:pStyle w:val="TableText"/>
              <w:jc w:val="right"/>
              <w:rPr>
                <w:lang w:eastAsia="en-AU"/>
              </w:rPr>
            </w:pPr>
            <w:r w:rsidRPr="005B0796">
              <w:rPr>
                <w:lang w:eastAsia="en-AU"/>
              </w:rPr>
              <w:t>10.2, 14.9</w:t>
            </w:r>
          </w:p>
        </w:tc>
        <w:tc>
          <w:tcPr>
            <w:tcW w:w="568" w:type="dxa"/>
          </w:tcPr>
          <w:p w:rsidR="00DC09EF" w:rsidRPr="005B0796" w:rsidRDefault="00DC09EF" w:rsidP="00DC09EF">
            <w:pPr>
              <w:pStyle w:val="TableText"/>
              <w:jc w:val="right"/>
              <w:rPr>
                <w:lang w:eastAsia="en-AU"/>
              </w:rPr>
            </w:pPr>
            <w:r w:rsidRPr="005B0796">
              <w:rPr>
                <w:lang w:eastAsia="en-AU"/>
              </w:rPr>
              <w:t>9.2</w:t>
            </w:r>
          </w:p>
        </w:tc>
        <w:tc>
          <w:tcPr>
            <w:tcW w:w="630" w:type="dxa"/>
          </w:tcPr>
          <w:p w:rsidR="00DC09EF" w:rsidRPr="005B0796" w:rsidRDefault="00DC09EF" w:rsidP="00DC09EF">
            <w:pPr>
              <w:pStyle w:val="TableText"/>
              <w:jc w:val="right"/>
              <w:rPr>
                <w:lang w:eastAsia="en-AU"/>
              </w:rPr>
            </w:pPr>
            <w:r w:rsidRPr="005B0796">
              <w:rPr>
                <w:lang w:eastAsia="en-AU"/>
              </w:rPr>
              <w:t>1.1</w:t>
            </w:r>
          </w:p>
        </w:tc>
        <w:tc>
          <w:tcPr>
            <w:tcW w:w="844" w:type="dxa"/>
          </w:tcPr>
          <w:p w:rsidR="00DC09EF" w:rsidRPr="005B0796" w:rsidRDefault="00DC09EF" w:rsidP="00DC09EF">
            <w:pPr>
              <w:pStyle w:val="TableText"/>
              <w:jc w:val="right"/>
              <w:rPr>
                <w:lang w:eastAsia="en-AU"/>
              </w:rPr>
            </w:pPr>
            <w:r w:rsidRPr="005B0796">
              <w:rPr>
                <w:lang w:eastAsia="en-AU"/>
              </w:rPr>
              <w:t>7.0, 11.4</w:t>
            </w:r>
          </w:p>
        </w:tc>
        <w:tc>
          <w:tcPr>
            <w:tcW w:w="596" w:type="dxa"/>
          </w:tcPr>
          <w:p w:rsidR="00DC09EF" w:rsidRPr="005B0796" w:rsidRDefault="00DC09EF" w:rsidP="00DC09EF">
            <w:pPr>
              <w:pStyle w:val="TableText"/>
              <w:jc w:val="right"/>
              <w:rPr>
                <w:lang w:eastAsia="en-AU"/>
              </w:rPr>
            </w:pPr>
            <w:r w:rsidRPr="005B0796">
              <w:rPr>
                <w:lang w:eastAsia="en-AU"/>
              </w:rPr>
              <w:t>3.1</w:t>
            </w:r>
          </w:p>
        </w:tc>
        <w:tc>
          <w:tcPr>
            <w:tcW w:w="630" w:type="dxa"/>
          </w:tcPr>
          <w:p w:rsidR="00DC09EF" w:rsidRPr="005B0796" w:rsidRDefault="00DC09EF" w:rsidP="00DC09EF">
            <w:pPr>
              <w:pStyle w:val="TableText"/>
              <w:jc w:val="right"/>
              <w:rPr>
                <w:lang w:eastAsia="en-AU"/>
              </w:rPr>
            </w:pPr>
            <w:r w:rsidRPr="005B0796">
              <w:rPr>
                <w:lang w:eastAsia="en-AU"/>
              </w:rPr>
              <w:t>1.6</w:t>
            </w:r>
          </w:p>
        </w:tc>
        <w:tc>
          <w:tcPr>
            <w:tcW w:w="817" w:type="dxa"/>
          </w:tcPr>
          <w:p w:rsidR="00DC09EF" w:rsidRPr="005B0796" w:rsidRDefault="00DC09EF" w:rsidP="00DC09EF">
            <w:pPr>
              <w:pStyle w:val="TableText"/>
              <w:jc w:val="right"/>
              <w:rPr>
                <w:lang w:eastAsia="en-AU"/>
              </w:rPr>
            </w:pPr>
            <w:r w:rsidRPr="005B0796">
              <w:rPr>
                <w:lang w:eastAsia="en-AU"/>
              </w:rPr>
              <w:t>-0.1, 6.4</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3–4 </w:t>
            </w:r>
          </w:p>
        </w:tc>
        <w:tc>
          <w:tcPr>
            <w:tcW w:w="540" w:type="dxa"/>
          </w:tcPr>
          <w:p w:rsidR="00DC09EF" w:rsidRPr="005B0796" w:rsidRDefault="00DC09EF" w:rsidP="00DC09EF">
            <w:pPr>
              <w:pStyle w:val="TableText"/>
              <w:jc w:val="right"/>
              <w:rPr>
                <w:lang w:eastAsia="en-AU"/>
              </w:rPr>
            </w:pPr>
            <w:r w:rsidRPr="005B0796">
              <w:rPr>
                <w:lang w:eastAsia="en-AU"/>
              </w:rPr>
              <w:t>10.1</w:t>
            </w:r>
          </w:p>
        </w:tc>
        <w:tc>
          <w:tcPr>
            <w:tcW w:w="630" w:type="dxa"/>
          </w:tcPr>
          <w:p w:rsidR="00DC09EF" w:rsidRPr="005B0796" w:rsidRDefault="00DC09EF" w:rsidP="00DC09EF">
            <w:pPr>
              <w:pStyle w:val="TableText"/>
              <w:jc w:val="right"/>
              <w:rPr>
                <w:lang w:eastAsia="en-AU"/>
              </w:rPr>
            </w:pPr>
            <w:r w:rsidRPr="005B0796">
              <w:rPr>
                <w:lang w:eastAsia="en-AU"/>
              </w:rPr>
              <w:t>1.0</w:t>
            </w:r>
          </w:p>
        </w:tc>
        <w:tc>
          <w:tcPr>
            <w:tcW w:w="872" w:type="dxa"/>
          </w:tcPr>
          <w:p w:rsidR="00DC09EF" w:rsidRPr="005B0796" w:rsidRDefault="00DC09EF" w:rsidP="00DC09EF">
            <w:pPr>
              <w:pStyle w:val="TableText"/>
              <w:jc w:val="right"/>
              <w:rPr>
                <w:lang w:eastAsia="en-AU"/>
              </w:rPr>
            </w:pPr>
            <w:r w:rsidRPr="005B0796">
              <w:rPr>
                <w:lang w:eastAsia="en-AU"/>
              </w:rPr>
              <w:t>6.9, 10.9</w:t>
            </w:r>
          </w:p>
        </w:tc>
        <w:tc>
          <w:tcPr>
            <w:tcW w:w="568" w:type="dxa"/>
          </w:tcPr>
          <w:p w:rsidR="00DC09EF" w:rsidRPr="005B0796" w:rsidRDefault="00DC09EF" w:rsidP="00DC09EF">
            <w:pPr>
              <w:pStyle w:val="TableText"/>
              <w:jc w:val="right"/>
              <w:rPr>
                <w:lang w:eastAsia="en-AU"/>
              </w:rPr>
            </w:pPr>
            <w:r w:rsidRPr="005B0796">
              <w:rPr>
                <w:lang w:eastAsia="en-AU"/>
              </w:rPr>
              <w:t>11.4</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44" w:type="dxa"/>
          </w:tcPr>
          <w:p w:rsidR="00DC09EF" w:rsidRPr="005B0796" w:rsidRDefault="00DC09EF" w:rsidP="00DC09EF">
            <w:pPr>
              <w:pStyle w:val="TableText"/>
              <w:jc w:val="right"/>
              <w:rPr>
                <w:lang w:eastAsia="en-AU"/>
              </w:rPr>
            </w:pPr>
            <w:r w:rsidRPr="005B0796">
              <w:rPr>
                <w:lang w:eastAsia="en-AU"/>
              </w:rPr>
              <w:t>8.4, 14.4</w:t>
            </w:r>
          </w:p>
        </w:tc>
        <w:tc>
          <w:tcPr>
            <w:tcW w:w="596" w:type="dxa"/>
          </w:tcPr>
          <w:p w:rsidR="00DC09EF" w:rsidRPr="005B0796" w:rsidRDefault="00DC09EF" w:rsidP="00DC09EF">
            <w:pPr>
              <w:pStyle w:val="TableText"/>
              <w:jc w:val="right"/>
              <w:rPr>
                <w:lang w:eastAsia="en-AU"/>
              </w:rPr>
            </w:pPr>
            <w:r w:rsidRPr="005B0796">
              <w:rPr>
                <w:lang w:eastAsia="en-AU"/>
              </w:rPr>
              <w:t>-2.6</w:t>
            </w:r>
          </w:p>
        </w:tc>
        <w:tc>
          <w:tcPr>
            <w:tcW w:w="630" w:type="dxa"/>
          </w:tcPr>
          <w:p w:rsidR="00DC09EF" w:rsidRPr="005B0796" w:rsidRDefault="00DC09EF" w:rsidP="00DC09EF">
            <w:pPr>
              <w:pStyle w:val="TableText"/>
              <w:jc w:val="right"/>
              <w:rPr>
                <w:lang w:eastAsia="en-AU"/>
              </w:rPr>
            </w:pPr>
            <w:r w:rsidRPr="005B0796">
              <w:rPr>
                <w:lang w:eastAsia="en-AU"/>
              </w:rPr>
              <w:t>1.9</w:t>
            </w:r>
          </w:p>
        </w:tc>
        <w:tc>
          <w:tcPr>
            <w:tcW w:w="817" w:type="dxa"/>
          </w:tcPr>
          <w:p w:rsidR="00DC09EF" w:rsidRPr="005B0796" w:rsidRDefault="00DC09EF" w:rsidP="00DC09EF">
            <w:pPr>
              <w:pStyle w:val="TableText"/>
              <w:jc w:val="right"/>
              <w:rPr>
                <w:lang w:eastAsia="en-AU"/>
              </w:rPr>
            </w:pPr>
            <w:r w:rsidRPr="005B0796">
              <w:rPr>
                <w:lang w:eastAsia="en-AU"/>
              </w:rPr>
              <w:t>-6.2, 0.9</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1–2 </w:t>
            </w:r>
          </w:p>
        </w:tc>
        <w:tc>
          <w:tcPr>
            <w:tcW w:w="540" w:type="dxa"/>
          </w:tcPr>
          <w:p w:rsidR="00DC09EF" w:rsidRPr="005B0796" w:rsidRDefault="00DC09EF" w:rsidP="00DC09EF">
            <w:pPr>
              <w:pStyle w:val="TableText"/>
              <w:jc w:val="right"/>
              <w:rPr>
                <w:lang w:eastAsia="en-AU"/>
              </w:rPr>
            </w:pPr>
            <w:r w:rsidRPr="005B0796">
              <w:rPr>
                <w:lang w:eastAsia="en-AU"/>
              </w:rPr>
              <w:t>7.2</w:t>
            </w:r>
          </w:p>
        </w:tc>
        <w:tc>
          <w:tcPr>
            <w:tcW w:w="630" w:type="dxa"/>
          </w:tcPr>
          <w:p w:rsidR="00DC09EF" w:rsidRPr="005B0796" w:rsidRDefault="00DC09EF" w:rsidP="00DC09EF">
            <w:pPr>
              <w:pStyle w:val="TableText"/>
              <w:jc w:val="right"/>
              <w:rPr>
                <w:lang w:eastAsia="en-AU"/>
              </w:rPr>
            </w:pPr>
            <w:r w:rsidRPr="005B0796">
              <w:rPr>
                <w:lang w:eastAsia="en-AU"/>
              </w:rPr>
              <w:t>0.9</w:t>
            </w:r>
          </w:p>
        </w:tc>
        <w:tc>
          <w:tcPr>
            <w:tcW w:w="872" w:type="dxa"/>
          </w:tcPr>
          <w:p w:rsidR="00DC09EF" w:rsidRPr="005B0796" w:rsidRDefault="00DC09EF" w:rsidP="00DC09EF">
            <w:pPr>
              <w:pStyle w:val="TableText"/>
              <w:jc w:val="right"/>
              <w:rPr>
                <w:lang w:eastAsia="en-AU"/>
              </w:rPr>
            </w:pPr>
            <w:r w:rsidRPr="005B0796">
              <w:rPr>
                <w:lang w:eastAsia="en-AU"/>
              </w:rPr>
              <w:t>6.1, 9.7</w:t>
            </w:r>
          </w:p>
        </w:tc>
        <w:tc>
          <w:tcPr>
            <w:tcW w:w="568" w:type="dxa"/>
          </w:tcPr>
          <w:p w:rsidR="00DC09EF" w:rsidRPr="005B0796" w:rsidRDefault="00DC09EF" w:rsidP="00DC09EF">
            <w:pPr>
              <w:pStyle w:val="TableText"/>
              <w:jc w:val="right"/>
              <w:rPr>
                <w:lang w:eastAsia="en-AU"/>
              </w:rPr>
            </w:pPr>
            <w:r w:rsidRPr="005B0796">
              <w:rPr>
                <w:lang w:eastAsia="en-AU"/>
              </w:rPr>
              <w:t>11.4</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44" w:type="dxa"/>
          </w:tcPr>
          <w:p w:rsidR="00DC09EF" w:rsidRPr="005B0796" w:rsidRDefault="00DC09EF" w:rsidP="00DC09EF">
            <w:pPr>
              <w:pStyle w:val="TableText"/>
              <w:jc w:val="right"/>
              <w:rPr>
                <w:lang w:eastAsia="en-AU"/>
              </w:rPr>
            </w:pPr>
            <w:r w:rsidRPr="005B0796">
              <w:rPr>
                <w:lang w:eastAsia="en-AU"/>
              </w:rPr>
              <w:t>8.9, 13.8</w:t>
            </w:r>
          </w:p>
        </w:tc>
        <w:tc>
          <w:tcPr>
            <w:tcW w:w="596" w:type="dxa"/>
          </w:tcPr>
          <w:p w:rsidR="00DC09EF" w:rsidRPr="005B0796" w:rsidRDefault="00DC09EF" w:rsidP="00DC09EF">
            <w:pPr>
              <w:pStyle w:val="TableText"/>
              <w:jc w:val="right"/>
              <w:rPr>
                <w:lang w:eastAsia="en-AU"/>
              </w:rPr>
            </w:pPr>
            <w:r w:rsidRPr="005B0796">
              <w:rPr>
                <w:lang w:eastAsia="en-AU"/>
              </w:rPr>
              <w:t>-3.7</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17" w:type="dxa"/>
          </w:tcPr>
          <w:p w:rsidR="00DC09EF" w:rsidRPr="005B0796" w:rsidRDefault="00DC09EF" w:rsidP="00DC09EF">
            <w:pPr>
              <w:pStyle w:val="TableText"/>
              <w:jc w:val="right"/>
              <w:rPr>
                <w:lang w:eastAsia="en-AU"/>
              </w:rPr>
            </w:pPr>
            <w:r w:rsidRPr="005B0796">
              <w:rPr>
                <w:lang w:eastAsia="en-AU"/>
              </w:rPr>
              <w:t>-6.8, -0.7</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r w:rsidRPr="005B0796">
              <w:rPr>
                <w:lang w:eastAsia="en-AU"/>
              </w:rPr>
              <w:t>38–47</w:t>
            </w:r>
          </w:p>
        </w:tc>
        <w:tc>
          <w:tcPr>
            <w:tcW w:w="540" w:type="dxa"/>
          </w:tcPr>
          <w:p w:rsidR="00DC09EF" w:rsidRPr="005B0796" w:rsidRDefault="00DC09EF" w:rsidP="006B0AC1">
            <w:pPr>
              <w:pStyle w:val="TableText"/>
              <w:rPr>
                <w:lang w:eastAsia="en-AU"/>
              </w:rPr>
            </w:pPr>
            <w:r w:rsidRPr="005B0796">
              <w:rPr>
                <w:lang w:eastAsia="en-AU"/>
              </w:rPr>
              <w:t>11 +</w:t>
            </w:r>
          </w:p>
        </w:tc>
        <w:tc>
          <w:tcPr>
            <w:tcW w:w="540" w:type="dxa"/>
          </w:tcPr>
          <w:p w:rsidR="00DC09EF" w:rsidRPr="005B0796" w:rsidRDefault="00DC09EF" w:rsidP="00DC09EF">
            <w:pPr>
              <w:pStyle w:val="TableText"/>
              <w:jc w:val="right"/>
              <w:rPr>
                <w:lang w:eastAsia="en-AU"/>
              </w:rPr>
            </w:pPr>
            <w:r w:rsidRPr="005B0796">
              <w:rPr>
                <w:lang w:eastAsia="en-AU"/>
              </w:rPr>
              <w:t>19.3</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72" w:type="dxa"/>
          </w:tcPr>
          <w:p w:rsidR="00DC09EF" w:rsidRPr="005B0796" w:rsidRDefault="00DC09EF" w:rsidP="00DC09EF">
            <w:pPr>
              <w:pStyle w:val="TableText"/>
              <w:jc w:val="right"/>
              <w:rPr>
                <w:lang w:eastAsia="en-AU"/>
              </w:rPr>
            </w:pPr>
            <w:r w:rsidRPr="005B0796">
              <w:rPr>
                <w:lang w:eastAsia="en-AU"/>
              </w:rPr>
              <w:t>16.5, 22.4</w:t>
            </w:r>
          </w:p>
        </w:tc>
        <w:tc>
          <w:tcPr>
            <w:tcW w:w="568" w:type="dxa"/>
          </w:tcPr>
          <w:p w:rsidR="00DC09EF" w:rsidRPr="005B0796" w:rsidRDefault="00DC09EF" w:rsidP="00DC09EF">
            <w:pPr>
              <w:pStyle w:val="TableText"/>
              <w:jc w:val="right"/>
              <w:rPr>
                <w:lang w:eastAsia="en-AU"/>
              </w:rPr>
            </w:pPr>
            <w:r w:rsidRPr="005B0796">
              <w:rPr>
                <w:lang w:eastAsia="en-AU"/>
              </w:rPr>
              <w:t>29.6</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44" w:type="dxa"/>
          </w:tcPr>
          <w:p w:rsidR="00DC09EF" w:rsidRPr="005B0796" w:rsidRDefault="00DC09EF" w:rsidP="00DC09EF">
            <w:pPr>
              <w:pStyle w:val="TableText"/>
              <w:jc w:val="right"/>
              <w:rPr>
                <w:lang w:eastAsia="en-AU"/>
              </w:rPr>
            </w:pPr>
            <w:r w:rsidRPr="005B0796">
              <w:rPr>
                <w:lang w:eastAsia="en-AU"/>
              </w:rPr>
              <w:t>25.9, 33.2</w:t>
            </w:r>
          </w:p>
        </w:tc>
        <w:tc>
          <w:tcPr>
            <w:tcW w:w="596" w:type="dxa"/>
          </w:tcPr>
          <w:p w:rsidR="00DC09EF" w:rsidRPr="005B0796" w:rsidRDefault="00DC09EF" w:rsidP="00DC09EF">
            <w:pPr>
              <w:pStyle w:val="TableText"/>
              <w:jc w:val="right"/>
              <w:rPr>
                <w:lang w:eastAsia="en-AU"/>
              </w:rPr>
            </w:pPr>
            <w:r w:rsidRPr="005B0796">
              <w:rPr>
                <w:lang w:eastAsia="en-AU"/>
              </w:rPr>
              <w:t>-10.3</w:t>
            </w:r>
          </w:p>
        </w:tc>
        <w:tc>
          <w:tcPr>
            <w:tcW w:w="630" w:type="dxa"/>
          </w:tcPr>
          <w:p w:rsidR="00DC09EF" w:rsidRPr="005B0796" w:rsidRDefault="00DC09EF" w:rsidP="00DC09EF">
            <w:pPr>
              <w:pStyle w:val="TableText"/>
              <w:jc w:val="right"/>
              <w:rPr>
                <w:lang w:eastAsia="en-AU"/>
              </w:rPr>
            </w:pPr>
            <w:r w:rsidRPr="005B0796">
              <w:rPr>
                <w:lang w:eastAsia="en-AU"/>
              </w:rPr>
              <w:t>2.3</w:t>
            </w:r>
          </w:p>
        </w:tc>
        <w:tc>
          <w:tcPr>
            <w:tcW w:w="817" w:type="dxa"/>
          </w:tcPr>
          <w:p w:rsidR="00DC09EF" w:rsidRPr="005B0796" w:rsidRDefault="00DC09EF" w:rsidP="00DC09EF">
            <w:pPr>
              <w:pStyle w:val="TableText"/>
              <w:jc w:val="right"/>
              <w:rPr>
                <w:lang w:eastAsia="en-AU"/>
              </w:rPr>
            </w:pPr>
            <w:r w:rsidRPr="005B0796">
              <w:rPr>
                <w:lang w:eastAsia="en-AU"/>
              </w:rPr>
              <w:t>-14.9, -5.6</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7–10</w:t>
            </w:r>
          </w:p>
        </w:tc>
        <w:tc>
          <w:tcPr>
            <w:tcW w:w="540" w:type="dxa"/>
          </w:tcPr>
          <w:p w:rsidR="00DC09EF" w:rsidRPr="005B0796" w:rsidRDefault="00DC09EF" w:rsidP="00DC09EF">
            <w:pPr>
              <w:pStyle w:val="TableText"/>
              <w:jc w:val="right"/>
              <w:rPr>
                <w:lang w:eastAsia="en-AU"/>
              </w:rPr>
            </w:pPr>
            <w:r w:rsidRPr="005B0796">
              <w:rPr>
                <w:lang w:eastAsia="en-AU"/>
              </w:rPr>
              <w:t>13.5</w:t>
            </w:r>
          </w:p>
        </w:tc>
        <w:tc>
          <w:tcPr>
            <w:tcW w:w="630" w:type="dxa"/>
          </w:tcPr>
          <w:p w:rsidR="00DC09EF" w:rsidRPr="005B0796" w:rsidRDefault="00DC09EF" w:rsidP="00DC09EF">
            <w:pPr>
              <w:pStyle w:val="TableText"/>
              <w:jc w:val="right"/>
              <w:rPr>
                <w:lang w:eastAsia="en-AU"/>
              </w:rPr>
            </w:pPr>
            <w:r w:rsidRPr="005B0796">
              <w:rPr>
                <w:lang w:eastAsia="en-AU"/>
              </w:rPr>
              <w:t>1.3</w:t>
            </w:r>
          </w:p>
        </w:tc>
        <w:tc>
          <w:tcPr>
            <w:tcW w:w="872" w:type="dxa"/>
          </w:tcPr>
          <w:p w:rsidR="00DC09EF" w:rsidRPr="005B0796" w:rsidRDefault="00DC09EF" w:rsidP="00DC09EF">
            <w:pPr>
              <w:pStyle w:val="TableText"/>
              <w:jc w:val="right"/>
              <w:rPr>
                <w:lang w:eastAsia="en-AU"/>
              </w:rPr>
            </w:pPr>
            <w:r w:rsidRPr="005B0796">
              <w:rPr>
                <w:lang w:eastAsia="en-AU"/>
              </w:rPr>
              <w:t>11.2, 16.1</w:t>
            </w:r>
          </w:p>
        </w:tc>
        <w:tc>
          <w:tcPr>
            <w:tcW w:w="568" w:type="dxa"/>
          </w:tcPr>
          <w:p w:rsidR="00DC09EF" w:rsidRPr="005B0796" w:rsidRDefault="00DC09EF" w:rsidP="00DC09EF">
            <w:pPr>
              <w:pStyle w:val="TableText"/>
              <w:jc w:val="right"/>
              <w:rPr>
                <w:lang w:eastAsia="en-AU"/>
              </w:rPr>
            </w:pPr>
            <w:r w:rsidRPr="005B0796">
              <w:rPr>
                <w:lang w:eastAsia="en-AU"/>
              </w:rPr>
              <w:t>16.8</w:t>
            </w:r>
          </w:p>
        </w:tc>
        <w:tc>
          <w:tcPr>
            <w:tcW w:w="630" w:type="dxa"/>
          </w:tcPr>
          <w:p w:rsidR="00DC09EF" w:rsidRPr="005B0796" w:rsidRDefault="00DC09EF" w:rsidP="00DC09EF">
            <w:pPr>
              <w:pStyle w:val="TableText"/>
              <w:jc w:val="right"/>
              <w:rPr>
                <w:lang w:eastAsia="en-AU"/>
              </w:rPr>
            </w:pPr>
            <w:r w:rsidRPr="005B0796">
              <w:rPr>
                <w:lang w:eastAsia="en-AU"/>
              </w:rPr>
              <w:t>1.7</w:t>
            </w:r>
          </w:p>
        </w:tc>
        <w:tc>
          <w:tcPr>
            <w:tcW w:w="844" w:type="dxa"/>
          </w:tcPr>
          <w:p w:rsidR="00DC09EF" w:rsidRPr="005B0796" w:rsidRDefault="00DC09EF" w:rsidP="00DC09EF">
            <w:pPr>
              <w:pStyle w:val="TableText"/>
              <w:jc w:val="right"/>
              <w:rPr>
                <w:lang w:eastAsia="en-AU"/>
              </w:rPr>
            </w:pPr>
            <w:r w:rsidRPr="005B0796">
              <w:rPr>
                <w:lang w:eastAsia="en-AU"/>
              </w:rPr>
              <w:t>13.5, 20.1</w:t>
            </w:r>
          </w:p>
        </w:tc>
        <w:tc>
          <w:tcPr>
            <w:tcW w:w="596" w:type="dxa"/>
          </w:tcPr>
          <w:p w:rsidR="00DC09EF" w:rsidRPr="005B0796" w:rsidRDefault="00DC09EF" w:rsidP="00DC09EF">
            <w:pPr>
              <w:pStyle w:val="TableText"/>
              <w:jc w:val="right"/>
              <w:rPr>
                <w:lang w:eastAsia="en-AU"/>
              </w:rPr>
            </w:pPr>
            <w:r w:rsidRPr="005B0796">
              <w:rPr>
                <w:lang w:eastAsia="en-AU"/>
              </w:rPr>
              <w:t>-3.3</w:t>
            </w:r>
          </w:p>
        </w:tc>
        <w:tc>
          <w:tcPr>
            <w:tcW w:w="630" w:type="dxa"/>
          </w:tcPr>
          <w:p w:rsidR="00DC09EF" w:rsidRPr="005B0796" w:rsidRDefault="00DC09EF" w:rsidP="00DC09EF">
            <w:pPr>
              <w:pStyle w:val="TableText"/>
              <w:jc w:val="right"/>
              <w:rPr>
                <w:lang w:eastAsia="en-AU"/>
              </w:rPr>
            </w:pPr>
            <w:r w:rsidRPr="005B0796">
              <w:rPr>
                <w:lang w:eastAsia="en-AU"/>
              </w:rPr>
              <w:t>2.1</w:t>
            </w:r>
          </w:p>
        </w:tc>
        <w:tc>
          <w:tcPr>
            <w:tcW w:w="817" w:type="dxa"/>
          </w:tcPr>
          <w:p w:rsidR="00DC09EF" w:rsidRPr="005B0796" w:rsidRDefault="00DC09EF" w:rsidP="00DC09EF">
            <w:pPr>
              <w:pStyle w:val="TableText"/>
              <w:jc w:val="right"/>
              <w:rPr>
                <w:lang w:eastAsia="en-AU"/>
              </w:rPr>
            </w:pPr>
            <w:r w:rsidRPr="005B0796">
              <w:rPr>
                <w:lang w:eastAsia="en-AU"/>
              </w:rPr>
              <w:t>-7.4, 0.8</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5–6 </w:t>
            </w:r>
          </w:p>
        </w:tc>
        <w:tc>
          <w:tcPr>
            <w:tcW w:w="540" w:type="dxa"/>
          </w:tcPr>
          <w:p w:rsidR="00DC09EF" w:rsidRPr="005B0796" w:rsidRDefault="00DC09EF" w:rsidP="00DC09EF">
            <w:pPr>
              <w:pStyle w:val="TableText"/>
              <w:jc w:val="right"/>
              <w:rPr>
                <w:lang w:eastAsia="en-AU"/>
              </w:rPr>
            </w:pPr>
            <w:r w:rsidRPr="005B0796">
              <w:rPr>
                <w:lang w:eastAsia="en-AU"/>
              </w:rPr>
              <w:t>13.3</w:t>
            </w:r>
          </w:p>
        </w:tc>
        <w:tc>
          <w:tcPr>
            <w:tcW w:w="630" w:type="dxa"/>
          </w:tcPr>
          <w:p w:rsidR="00DC09EF" w:rsidRPr="005B0796" w:rsidRDefault="00DC09EF" w:rsidP="00DC09EF">
            <w:pPr>
              <w:pStyle w:val="TableText"/>
              <w:jc w:val="right"/>
              <w:rPr>
                <w:lang w:eastAsia="en-AU"/>
              </w:rPr>
            </w:pPr>
            <w:r w:rsidRPr="005B0796">
              <w:rPr>
                <w:lang w:eastAsia="en-AU"/>
              </w:rPr>
              <w:t>1.1</w:t>
            </w:r>
          </w:p>
        </w:tc>
        <w:tc>
          <w:tcPr>
            <w:tcW w:w="872" w:type="dxa"/>
          </w:tcPr>
          <w:p w:rsidR="00DC09EF" w:rsidRPr="005B0796" w:rsidRDefault="00DC09EF" w:rsidP="00DC09EF">
            <w:pPr>
              <w:pStyle w:val="TableText"/>
              <w:jc w:val="right"/>
              <w:rPr>
                <w:lang w:eastAsia="en-AU"/>
              </w:rPr>
            </w:pPr>
            <w:r w:rsidRPr="005B0796">
              <w:rPr>
                <w:lang w:eastAsia="en-AU"/>
              </w:rPr>
              <w:t>10.2, 15.6</w:t>
            </w:r>
          </w:p>
        </w:tc>
        <w:tc>
          <w:tcPr>
            <w:tcW w:w="568" w:type="dxa"/>
          </w:tcPr>
          <w:p w:rsidR="00DC09EF" w:rsidRPr="005B0796" w:rsidRDefault="00DC09EF" w:rsidP="00DC09EF">
            <w:pPr>
              <w:pStyle w:val="TableText"/>
              <w:jc w:val="right"/>
              <w:rPr>
                <w:lang w:eastAsia="en-AU"/>
              </w:rPr>
            </w:pPr>
            <w:r w:rsidRPr="005B0796">
              <w:rPr>
                <w:lang w:eastAsia="en-AU"/>
              </w:rPr>
              <w:t>10.6</w:t>
            </w:r>
          </w:p>
        </w:tc>
        <w:tc>
          <w:tcPr>
            <w:tcW w:w="630" w:type="dxa"/>
          </w:tcPr>
          <w:p w:rsidR="00DC09EF" w:rsidRPr="005B0796" w:rsidRDefault="00DC09EF" w:rsidP="00DC09EF">
            <w:pPr>
              <w:pStyle w:val="TableText"/>
              <w:jc w:val="right"/>
              <w:rPr>
                <w:lang w:eastAsia="en-AU"/>
              </w:rPr>
            </w:pPr>
            <w:r w:rsidRPr="005B0796">
              <w:rPr>
                <w:lang w:eastAsia="en-AU"/>
              </w:rPr>
              <w:t>1.0</w:t>
            </w:r>
          </w:p>
        </w:tc>
        <w:tc>
          <w:tcPr>
            <w:tcW w:w="844" w:type="dxa"/>
          </w:tcPr>
          <w:p w:rsidR="00DC09EF" w:rsidRPr="005B0796" w:rsidRDefault="00DC09EF" w:rsidP="00DC09EF">
            <w:pPr>
              <w:pStyle w:val="TableText"/>
              <w:jc w:val="right"/>
              <w:rPr>
                <w:lang w:eastAsia="en-AU"/>
              </w:rPr>
            </w:pPr>
            <w:r w:rsidRPr="005B0796">
              <w:rPr>
                <w:lang w:eastAsia="en-AU"/>
              </w:rPr>
              <w:t>8.7, 12.6</w:t>
            </w:r>
          </w:p>
        </w:tc>
        <w:tc>
          <w:tcPr>
            <w:tcW w:w="596" w:type="dxa"/>
          </w:tcPr>
          <w:p w:rsidR="00DC09EF" w:rsidRPr="005B0796" w:rsidRDefault="00DC09EF" w:rsidP="00DC09EF">
            <w:pPr>
              <w:pStyle w:val="TableText"/>
              <w:jc w:val="right"/>
              <w:rPr>
                <w:lang w:eastAsia="en-AU"/>
              </w:rPr>
            </w:pPr>
            <w:r w:rsidRPr="005B0796">
              <w:rPr>
                <w:lang w:eastAsia="en-AU"/>
              </w:rPr>
              <w:t>2.6</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17" w:type="dxa"/>
          </w:tcPr>
          <w:p w:rsidR="00DC09EF" w:rsidRPr="005B0796" w:rsidRDefault="00DC09EF" w:rsidP="00DC09EF">
            <w:pPr>
              <w:pStyle w:val="TableText"/>
              <w:jc w:val="right"/>
              <w:rPr>
                <w:lang w:eastAsia="en-AU"/>
              </w:rPr>
            </w:pPr>
            <w:r w:rsidRPr="005B0796">
              <w:rPr>
                <w:lang w:eastAsia="en-AU"/>
              </w:rPr>
              <w:t>-0.4, 5.6</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3–4 </w:t>
            </w:r>
          </w:p>
        </w:tc>
        <w:tc>
          <w:tcPr>
            <w:tcW w:w="540" w:type="dxa"/>
          </w:tcPr>
          <w:p w:rsidR="00DC09EF" w:rsidRPr="005B0796" w:rsidRDefault="00DC09EF" w:rsidP="00DC09EF">
            <w:pPr>
              <w:pStyle w:val="TableText"/>
              <w:jc w:val="right"/>
              <w:rPr>
                <w:lang w:eastAsia="en-AU"/>
              </w:rPr>
            </w:pPr>
            <w:r w:rsidRPr="005B0796">
              <w:rPr>
                <w:lang w:eastAsia="en-AU"/>
              </w:rPr>
              <w:t>10.4</w:t>
            </w:r>
          </w:p>
        </w:tc>
        <w:tc>
          <w:tcPr>
            <w:tcW w:w="630" w:type="dxa"/>
          </w:tcPr>
          <w:p w:rsidR="00DC09EF" w:rsidRPr="005B0796" w:rsidRDefault="00DC09EF" w:rsidP="00DC09EF">
            <w:pPr>
              <w:pStyle w:val="TableText"/>
              <w:jc w:val="right"/>
              <w:rPr>
                <w:lang w:eastAsia="en-AU"/>
              </w:rPr>
            </w:pPr>
            <w:r w:rsidRPr="005B0796">
              <w:rPr>
                <w:lang w:eastAsia="en-AU"/>
              </w:rPr>
              <w:t>1.1</w:t>
            </w:r>
          </w:p>
        </w:tc>
        <w:tc>
          <w:tcPr>
            <w:tcW w:w="872" w:type="dxa"/>
          </w:tcPr>
          <w:p w:rsidR="00DC09EF" w:rsidRPr="005B0796" w:rsidRDefault="00DC09EF" w:rsidP="00DC09EF">
            <w:pPr>
              <w:pStyle w:val="TableText"/>
              <w:jc w:val="right"/>
              <w:rPr>
                <w:lang w:eastAsia="en-AU"/>
              </w:rPr>
            </w:pPr>
            <w:r w:rsidRPr="005B0796">
              <w:rPr>
                <w:lang w:eastAsia="en-AU"/>
              </w:rPr>
              <w:t>8.5, 12.7</w:t>
            </w:r>
          </w:p>
        </w:tc>
        <w:tc>
          <w:tcPr>
            <w:tcW w:w="568" w:type="dxa"/>
          </w:tcPr>
          <w:p w:rsidR="00DC09EF" w:rsidRPr="005B0796" w:rsidRDefault="00DC09EF" w:rsidP="00DC09EF">
            <w:pPr>
              <w:pStyle w:val="TableText"/>
              <w:jc w:val="right"/>
              <w:rPr>
                <w:lang w:eastAsia="en-AU"/>
              </w:rPr>
            </w:pPr>
            <w:r w:rsidRPr="005B0796">
              <w:rPr>
                <w:lang w:eastAsia="en-AU"/>
              </w:rPr>
              <w:t>13.4</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44" w:type="dxa"/>
          </w:tcPr>
          <w:p w:rsidR="00DC09EF" w:rsidRPr="005B0796" w:rsidRDefault="00DC09EF" w:rsidP="00DC09EF">
            <w:pPr>
              <w:pStyle w:val="TableText"/>
              <w:jc w:val="right"/>
              <w:rPr>
                <w:lang w:eastAsia="en-AU"/>
              </w:rPr>
            </w:pPr>
            <w:r w:rsidRPr="005B0796">
              <w:rPr>
                <w:lang w:eastAsia="en-AU"/>
              </w:rPr>
              <w:t>10.5, 16.4</w:t>
            </w:r>
          </w:p>
        </w:tc>
        <w:tc>
          <w:tcPr>
            <w:tcW w:w="596" w:type="dxa"/>
          </w:tcPr>
          <w:p w:rsidR="00DC09EF" w:rsidRPr="005B0796" w:rsidRDefault="00DC09EF" w:rsidP="00DC09EF">
            <w:pPr>
              <w:pStyle w:val="TableText"/>
              <w:jc w:val="right"/>
              <w:rPr>
                <w:lang w:eastAsia="en-AU"/>
              </w:rPr>
            </w:pPr>
            <w:r w:rsidRPr="005B0796">
              <w:rPr>
                <w:lang w:eastAsia="en-AU"/>
              </w:rPr>
              <w:t>-3.0</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-6.6, 0.5</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1–2 </w:t>
            </w:r>
          </w:p>
        </w:tc>
        <w:tc>
          <w:tcPr>
            <w:tcW w:w="540" w:type="dxa"/>
          </w:tcPr>
          <w:p w:rsidR="00DC09EF" w:rsidRPr="005B0796" w:rsidRDefault="00DC09EF" w:rsidP="00DC09EF">
            <w:pPr>
              <w:pStyle w:val="TableText"/>
              <w:jc w:val="right"/>
              <w:rPr>
                <w:lang w:eastAsia="en-AU"/>
              </w:rPr>
            </w:pPr>
            <w:r w:rsidRPr="005B0796">
              <w:rPr>
                <w:lang w:eastAsia="en-AU"/>
              </w:rPr>
              <w:t>12.4</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72" w:type="dxa"/>
          </w:tcPr>
          <w:p w:rsidR="00DC09EF" w:rsidRPr="005B0796" w:rsidRDefault="00DC09EF" w:rsidP="00DC09EF">
            <w:pPr>
              <w:pStyle w:val="TableText"/>
              <w:jc w:val="right"/>
              <w:rPr>
                <w:lang w:eastAsia="en-AU"/>
              </w:rPr>
            </w:pPr>
            <w:r w:rsidRPr="005B0796">
              <w:rPr>
                <w:lang w:eastAsia="en-AU"/>
              </w:rPr>
              <w:t>10.3, 14.9</w:t>
            </w:r>
          </w:p>
        </w:tc>
        <w:tc>
          <w:tcPr>
            <w:tcW w:w="568" w:type="dxa"/>
          </w:tcPr>
          <w:p w:rsidR="00DC09EF" w:rsidRPr="005B0796" w:rsidRDefault="00DC09EF" w:rsidP="00DC09EF">
            <w:pPr>
              <w:pStyle w:val="TableText"/>
              <w:jc w:val="right"/>
              <w:rPr>
                <w:lang w:eastAsia="en-AU"/>
              </w:rPr>
            </w:pPr>
            <w:r w:rsidRPr="005B0796">
              <w:rPr>
                <w:lang w:eastAsia="en-AU"/>
              </w:rPr>
              <w:t>15.1</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44" w:type="dxa"/>
          </w:tcPr>
          <w:p w:rsidR="00DC09EF" w:rsidRPr="005B0796" w:rsidRDefault="00DC09EF" w:rsidP="00DC09EF">
            <w:pPr>
              <w:pStyle w:val="TableText"/>
              <w:jc w:val="right"/>
              <w:rPr>
                <w:lang w:eastAsia="en-AU"/>
              </w:rPr>
            </w:pPr>
            <w:r w:rsidRPr="005B0796">
              <w:rPr>
                <w:lang w:eastAsia="en-AU"/>
              </w:rPr>
              <w:t>12.1, 18.1</w:t>
            </w:r>
          </w:p>
        </w:tc>
        <w:tc>
          <w:tcPr>
            <w:tcW w:w="596" w:type="dxa"/>
          </w:tcPr>
          <w:p w:rsidR="00DC09EF" w:rsidRPr="005B0796" w:rsidRDefault="00DC09EF" w:rsidP="00DC09EF">
            <w:pPr>
              <w:pStyle w:val="TableText"/>
              <w:jc w:val="right"/>
              <w:rPr>
                <w:lang w:eastAsia="en-AU"/>
              </w:rPr>
            </w:pPr>
            <w:r w:rsidRPr="005B0796">
              <w:rPr>
                <w:lang w:eastAsia="en-AU"/>
              </w:rPr>
              <w:t>-2.7</w:t>
            </w:r>
          </w:p>
        </w:tc>
        <w:tc>
          <w:tcPr>
            <w:tcW w:w="630" w:type="dxa"/>
          </w:tcPr>
          <w:p w:rsidR="00DC09EF" w:rsidRPr="005B0796" w:rsidRDefault="00DC09EF" w:rsidP="00DC09EF">
            <w:pPr>
              <w:pStyle w:val="TableText"/>
              <w:jc w:val="right"/>
              <w:rPr>
                <w:lang w:eastAsia="en-AU"/>
              </w:rPr>
            </w:pPr>
            <w:r w:rsidRPr="005B0796">
              <w:rPr>
                <w:lang w:eastAsia="en-AU"/>
              </w:rPr>
              <w:t>1.9</w:t>
            </w:r>
          </w:p>
        </w:tc>
        <w:tc>
          <w:tcPr>
            <w:tcW w:w="817" w:type="dxa"/>
          </w:tcPr>
          <w:p w:rsidR="00DC09EF" w:rsidRPr="005B0796" w:rsidRDefault="00DC09EF" w:rsidP="00DC09EF">
            <w:pPr>
              <w:pStyle w:val="TableText"/>
              <w:jc w:val="right"/>
              <w:rPr>
                <w:lang w:eastAsia="en-AU"/>
              </w:rPr>
            </w:pPr>
            <w:r w:rsidRPr="005B0796">
              <w:rPr>
                <w:lang w:eastAsia="en-AU"/>
              </w:rPr>
              <w:t>-6.5, -0.7</w:t>
            </w:r>
          </w:p>
        </w:tc>
      </w:tr>
      <w:tr w:rsidR="003D31FD" w:rsidRPr="005B0796" w:rsidTr="003D31FD">
        <w:tc>
          <w:tcPr>
            <w:tcW w:w="648" w:type="dxa"/>
          </w:tcPr>
          <w:p w:rsidR="00DC09EF" w:rsidRPr="005B0796" w:rsidRDefault="00DC09EF" w:rsidP="006B0AC1">
            <w:pPr>
              <w:pStyle w:val="TableText"/>
              <w:rPr>
                <w:lang w:eastAsia="en-AU"/>
              </w:rPr>
            </w:pPr>
            <w:r w:rsidRPr="005B0796">
              <w:rPr>
                <w:lang w:eastAsia="en-AU"/>
              </w:rPr>
              <w:t>48–57</w:t>
            </w:r>
          </w:p>
        </w:tc>
        <w:tc>
          <w:tcPr>
            <w:tcW w:w="540" w:type="dxa"/>
          </w:tcPr>
          <w:p w:rsidR="00DC09EF" w:rsidRPr="005B0796" w:rsidRDefault="00DC09EF" w:rsidP="006B0AC1">
            <w:pPr>
              <w:pStyle w:val="TableText"/>
              <w:rPr>
                <w:lang w:eastAsia="en-AU"/>
              </w:rPr>
            </w:pPr>
            <w:r w:rsidRPr="005B0796">
              <w:rPr>
                <w:lang w:eastAsia="en-AU"/>
              </w:rPr>
              <w:t>11 +</w:t>
            </w:r>
          </w:p>
        </w:tc>
        <w:tc>
          <w:tcPr>
            <w:tcW w:w="540" w:type="dxa"/>
          </w:tcPr>
          <w:p w:rsidR="00DC09EF" w:rsidRPr="005B0796" w:rsidRDefault="00DC09EF" w:rsidP="00DC09EF">
            <w:pPr>
              <w:pStyle w:val="TableText"/>
              <w:jc w:val="right"/>
              <w:rPr>
                <w:lang w:eastAsia="en-AU"/>
              </w:rPr>
            </w:pPr>
            <w:r w:rsidRPr="005B0796">
              <w:rPr>
                <w:lang w:eastAsia="en-AU"/>
              </w:rPr>
              <w:t>13.6</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72" w:type="dxa"/>
          </w:tcPr>
          <w:p w:rsidR="00DC09EF" w:rsidRPr="005B0796" w:rsidRDefault="00DC09EF" w:rsidP="00DC09EF">
            <w:pPr>
              <w:pStyle w:val="TableText"/>
              <w:jc w:val="right"/>
              <w:rPr>
                <w:lang w:eastAsia="en-AU"/>
              </w:rPr>
            </w:pPr>
            <w:r w:rsidRPr="005B0796">
              <w:rPr>
                <w:lang w:eastAsia="en-AU"/>
              </w:rPr>
              <w:t>11.4, 16.2</w:t>
            </w:r>
          </w:p>
        </w:tc>
        <w:tc>
          <w:tcPr>
            <w:tcW w:w="568" w:type="dxa"/>
          </w:tcPr>
          <w:p w:rsidR="00DC09EF" w:rsidRPr="005B0796" w:rsidRDefault="00DC09EF" w:rsidP="00DC09EF">
            <w:pPr>
              <w:pStyle w:val="TableText"/>
              <w:jc w:val="right"/>
              <w:rPr>
                <w:lang w:eastAsia="en-AU"/>
              </w:rPr>
            </w:pPr>
            <w:r w:rsidRPr="005B0796">
              <w:rPr>
                <w:lang w:eastAsia="en-AU"/>
              </w:rPr>
              <w:t>25.3</w:t>
            </w:r>
          </w:p>
        </w:tc>
        <w:tc>
          <w:tcPr>
            <w:tcW w:w="630" w:type="dxa"/>
          </w:tcPr>
          <w:p w:rsidR="00DC09EF" w:rsidRPr="005B0796" w:rsidRDefault="00DC09EF" w:rsidP="00DC09EF">
            <w:pPr>
              <w:pStyle w:val="TableText"/>
              <w:jc w:val="right"/>
              <w:rPr>
                <w:lang w:eastAsia="en-AU"/>
              </w:rPr>
            </w:pPr>
            <w:r w:rsidRPr="005B0796">
              <w:rPr>
                <w:lang w:eastAsia="en-AU"/>
              </w:rPr>
              <w:t>1.6</w:t>
            </w:r>
          </w:p>
        </w:tc>
        <w:tc>
          <w:tcPr>
            <w:tcW w:w="844" w:type="dxa"/>
          </w:tcPr>
          <w:p w:rsidR="00DC09EF" w:rsidRPr="005B0796" w:rsidRDefault="00DC09EF" w:rsidP="00DC09EF">
            <w:pPr>
              <w:pStyle w:val="TableText"/>
              <w:jc w:val="right"/>
              <w:rPr>
                <w:lang w:eastAsia="en-AU"/>
              </w:rPr>
            </w:pPr>
            <w:r w:rsidRPr="005B0796">
              <w:rPr>
                <w:lang w:eastAsia="en-AU"/>
              </w:rPr>
              <w:t>22.3, 28.4</w:t>
            </w:r>
          </w:p>
        </w:tc>
        <w:tc>
          <w:tcPr>
            <w:tcW w:w="596" w:type="dxa"/>
          </w:tcPr>
          <w:p w:rsidR="00DC09EF" w:rsidRPr="005B0796" w:rsidRDefault="00DC09EF" w:rsidP="00DC09EF">
            <w:pPr>
              <w:pStyle w:val="TableText"/>
              <w:jc w:val="right"/>
              <w:rPr>
                <w:lang w:eastAsia="en-AU"/>
              </w:rPr>
            </w:pPr>
            <w:r w:rsidRPr="005B0796">
              <w:rPr>
                <w:lang w:eastAsia="en-AU"/>
              </w:rPr>
              <w:t>-11.7</w:t>
            </w:r>
          </w:p>
        </w:tc>
        <w:tc>
          <w:tcPr>
            <w:tcW w:w="630" w:type="dxa"/>
          </w:tcPr>
          <w:p w:rsidR="00DC09EF" w:rsidRPr="005B0796" w:rsidRDefault="00DC09EF" w:rsidP="00DC09EF">
            <w:pPr>
              <w:pStyle w:val="TableText"/>
              <w:jc w:val="right"/>
              <w:rPr>
                <w:lang w:eastAsia="en-AU"/>
              </w:rPr>
            </w:pPr>
            <w:r w:rsidRPr="005B0796">
              <w:rPr>
                <w:lang w:eastAsia="en-AU"/>
              </w:rPr>
              <w:t>1.9</w:t>
            </w:r>
          </w:p>
        </w:tc>
        <w:tc>
          <w:tcPr>
            <w:tcW w:w="817" w:type="dxa"/>
          </w:tcPr>
          <w:p w:rsidR="00DC09EF" w:rsidRPr="005B0796" w:rsidRDefault="00DC09EF" w:rsidP="00DC09EF">
            <w:pPr>
              <w:pStyle w:val="TableText"/>
              <w:jc w:val="right"/>
              <w:rPr>
                <w:lang w:eastAsia="en-AU"/>
              </w:rPr>
            </w:pPr>
            <w:r w:rsidRPr="005B0796">
              <w:rPr>
                <w:lang w:eastAsia="en-AU"/>
              </w:rPr>
              <w:t>-15.6, -7.8</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7–10</w:t>
            </w:r>
          </w:p>
        </w:tc>
        <w:tc>
          <w:tcPr>
            <w:tcW w:w="540" w:type="dxa"/>
          </w:tcPr>
          <w:p w:rsidR="00DC09EF" w:rsidRPr="005B0796" w:rsidRDefault="00DC09EF" w:rsidP="00DC09EF">
            <w:pPr>
              <w:pStyle w:val="TableText"/>
              <w:jc w:val="right"/>
              <w:rPr>
                <w:lang w:eastAsia="en-AU"/>
              </w:rPr>
            </w:pPr>
            <w:r w:rsidRPr="005B0796">
              <w:rPr>
                <w:lang w:eastAsia="en-AU"/>
              </w:rPr>
              <w:t>10.1</w:t>
            </w:r>
          </w:p>
        </w:tc>
        <w:tc>
          <w:tcPr>
            <w:tcW w:w="630" w:type="dxa"/>
          </w:tcPr>
          <w:p w:rsidR="00DC09EF" w:rsidRPr="005B0796" w:rsidRDefault="00DC09EF" w:rsidP="00DC09EF">
            <w:pPr>
              <w:pStyle w:val="TableText"/>
              <w:jc w:val="right"/>
              <w:rPr>
                <w:lang w:eastAsia="en-AU"/>
              </w:rPr>
            </w:pPr>
            <w:r w:rsidRPr="005B0796">
              <w:rPr>
                <w:lang w:eastAsia="en-AU"/>
              </w:rPr>
              <w:t>1.0</w:t>
            </w:r>
          </w:p>
        </w:tc>
        <w:tc>
          <w:tcPr>
            <w:tcW w:w="872" w:type="dxa"/>
          </w:tcPr>
          <w:p w:rsidR="00DC09EF" w:rsidRPr="005B0796" w:rsidRDefault="00DC09EF" w:rsidP="00DC09EF">
            <w:pPr>
              <w:pStyle w:val="TableText"/>
              <w:jc w:val="right"/>
              <w:rPr>
                <w:lang w:eastAsia="en-AU"/>
              </w:rPr>
            </w:pPr>
            <w:r w:rsidRPr="005B0796">
              <w:rPr>
                <w:lang w:eastAsia="en-AU"/>
              </w:rPr>
              <w:t>8.2, 12.3</w:t>
            </w:r>
          </w:p>
        </w:tc>
        <w:tc>
          <w:tcPr>
            <w:tcW w:w="568" w:type="dxa"/>
          </w:tcPr>
          <w:p w:rsidR="00DC09EF" w:rsidRPr="005B0796" w:rsidRDefault="00DC09EF" w:rsidP="00DC09EF">
            <w:pPr>
              <w:pStyle w:val="TableText"/>
              <w:jc w:val="right"/>
              <w:rPr>
                <w:lang w:eastAsia="en-AU"/>
              </w:rPr>
            </w:pPr>
            <w:r w:rsidRPr="005B0796">
              <w:rPr>
                <w:lang w:eastAsia="en-AU"/>
              </w:rPr>
              <w:t>18.2</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44" w:type="dxa"/>
          </w:tcPr>
          <w:p w:rsidR="00DC09EF" w:rsidRPr="005B0796" w:rsidRDefault="00DC09EF" w:rsidP="00DC09EF">
            <w:pPr>
              <w:pStyle w:val="TableText"/>
              <w:jc w:val="right"/>
              <w:rPr>
                <w:lang w:eastAsia="en-AU"/>
              </w:rPr>
            </w:pPr>
            <w:r w:rsidRPr="005B0796">
              <w:rPr>
                <w:lang w:eastAsia="en-AU"/>
              </w:rPr>
              <w:t>15.3, 21.1</w:t>
            </w:r>
          </w:p>
        </w:tc>
        <w:tc>
          <w:tcPr>
            <w:tcW w:w="596" w:type="dxa"/>
          </w:tcPr>
          <w:p w:rsidR="00DC09EF" w:rsidRPr="005B0796" w:rsidRDefault="00DC09EF" w:rsidP="00DC09EF">
            <w:pPr>
              <w:pStyle w:val="TableText"/>
              <w:jc w:val="right"/>
              <w:rPr>
                <w:lang w:eastAsia="en-AU"/>
              </w:rPr>
            </w:pPr>
            <w:r w:rsidRPr="005B0796">
              <w:rPr>
                <w:lang w:eastAsia="en-AU"/>
              </w:rPr>
              <w:t>-8.1</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-11.6, -4.5</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5–6 </w:t>
            </w:r>
          </w:p>
        </w:tc>
        <w:tc>
          <w:tcPr>
            <w:tcW w:w="540" w:type="dxa"/>
          </w:tcPr>
          <w:p w:rsidR="00DC09EF" w:rsidRPr="005B0796" w:rsidRDefault="00DC09EF" w:rsidP="00DC09EF">
            <w:pPr>
              <w:pStyle w:val="TableText"/>
              <w:jc w:val="right"/>
              <w:rPr>
                <w:lang w:eastAsia="en-AU"/>
              </w:rPr>
            </w:pPr>
            <w:r w:rsidRPr="005B0796">
              <w:rPr>
                <w:lang w:eastAsia="en-AU"/>
              </w:rPr>
              <w:t>17.3</w:t>
            </w:r>
          </w:p>
        </w:tc>
        <w:tc>
          <w:tcPr>
            <w:tcW w:w="630" w:type="dxa"/>
          </w:tcPr>
          <w:p w:rsidR="00DC09EF" w:rsidRPr="005B0796" w:rsidRDefault="00DC09EF" w:rsidP="00DC09EF">
            <w:pPr>
              <w:pStyle w:val="TableText"/>
              <w:jc w:val="right"/>
              <w:rPr>
                <w:lang w:eastAsia="en-AU"/>
              </w:rPr>
            </w:pPr>
            <w:r w:rsidRPr="005B0796">
              <w:rPr>
                <w:lang w:eastAsia="en-AU"/>
              </w:rPr>
              <w:t>1.3</w:t>
            </w:r>
          </w:p>
        </w:tc>
        <w:tc>
          <w:tcPr>
            <w:tcW w:w="872" w:type="dxa"/>
          </w:tcPr>
          <w:p w:rsidR="00DC09EF" w:rsidRPr="005B0796" w:rsidRDefault="00DC09EF" w:rsidP="00DC09EF">
            <w:pPr>
              <w:pStyle w:val="TableText"/>
              <w:jc w:val="right"/>
              <w:rPr>
                <w:lang w:eastAsia="en-AU"/>
              </w:rPr>
            </w:pPr>
            <w:r w:rsidRPr="005B0796">
              <w:rPr>
                <w:lang w:eastAsia="en-AU"/>
              </w:rPr>
              <w:t>14.9, 19.9</w:t>
            </w:r>
          </w:p>
        </w:tc>
        <w:tc>
          <w:tcPr>
            <w:tcW w:w="568" w:type="dxa"/>
          </w:tcPr>
          <w:p w:rsidR="00DC09EF" w:rsidRPr="005B0796" w:rsidRDefault="00DC09EF" w:rsidP="00DC09EF">
            <w:pPr>
              <w:pStyle w:val="TableText"/>
              <w:jc w:val="right"/>
              <w:rPr>
                <w:lang w:eastAsia="en-AU"/>
              </w:rPr>
            </w:pPr>
            <w:r w:rsidRPr="005B0796">
              <w:rPr>
                <w:lang w:eastAsia="en-AU"/>
              </w:rPr>
              <w:t>11.9</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44" w:type="dxa"/>
          </w:tcPr>
          <w:p w:rsidR="00DC09EF" w:rsidRPr="005B0796" w:rsidRDefault="00DC09EF" w:rsidP="00DC09EF">
            <w:pPr>
              <w:pStyle w:val="TableText"/>
              <w:jc w:val="right"/>
              <w:rPr>
                <w:lang w:eastAsia="en-AU"/>
              </w:rPr>
            </w:pPr>
            <w:r w:rsidRPr="005B0796">
              <w:rPr>
                <w:lang w:eastAsia="en-AU"/>
              </w:rPr>
              <w:t>9.6, 14.2</w:t>
            </w:r>
          </w:p>
        </w:tc>
        <w:tc>
          <w:tcPr>
            <w:tcW w:w="596" w:type="dxa"/>
          </w:tcPr>
          <w:p w:rsidR="00DC09EF" w:rsidRPr="005B0796" w:rsidRDefault="00DC09EF" w:rsidP="00DC09EF">
            <w:pPr>
              <w:pStyle w:val="TableText"/>
              <w:jc w:val="right"/>
              <w:rPr>
                <w:lang w:eastAsia="en-AU"/>
              </w:rPr>
            </w:pPr>
            <w:r w:rsidRPr="005B0796">
              <w:rPr>
                <w:lang w:eastAsia="en-AU"/>
              </w:rPr>
              <w:t>5.4</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1.9, 8.8</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3–4 </w:t>
            </w:r>
          </w:p>
        </w:tc>
        <w:tc>
          <w:tcPr>
            <w:tcW w:w="540" w:type="dxa"/>
          </w:tcPr>
          <w:p w:rsidR="00DC09EF" w:rsidRPr="005B0796" w:rsidRDefault="00DC09EF" w:rsidP="00DC09EF">
            <w:pPr>
              <w:pStyle w:val="TableText"/>
              <w:jc w:val="right"/>
              <w:rPr>
                <w:lang w:eastAsia="en-AU"/>
              </w:rPr>
            </w:pPr>
            <w:r w:rsidRPr="005B0796">
              <w:rPr>
                <w:lang w:eastAsia="en-AU"/>
              </w:rPr>
              <w:t>17.1</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72" w:type="dxa"/>
          </w:tcPr>
          <w:p w:rsidR="00DC09EF" w:rsidRPr="005B0796" w:rsidRDefault="00DC09EF" w:rsidP="00DC09EF">
            <w:pPr>
              <w:pStyle w:val="TableText"/>
              <w:jc w:val="right"/>
              <w:rPr>
                <w:lang w:eastAsia="en-AU"/>
              </w:rPr>
            </w:pPr>
            <w:r w:rsidRPr="005B0796">
              <w:rPr>
                <w:lang w:eastAsia="en-AU"/>
              </w:rPr>
              <w:t>14.4, 20.1</w:t>
            </w:r>
          </w:p>
        </w:tc>
        <w:tc>
          <w:tcPr>
            <w:tcW w:w="568" w:type="dxa"/>
          </w:tcPr>
          <w:p w:rsidR="00DC09EF" w:rsidRPr="005B0796" w:rsidRDefault="00DC09EF" w:rsidP="00DC09EF">
            <w:pPr>
              <w:pStyle w:val="TableText"/>
              <w:jc w:val="right"/>
              <w:rPr>
                <w:lang w:eastAsia="en-AU"/>
              </w:rPr>
            </w:pPr>
            <w:r w:rsidRPr="005B0796">
              <w:rPr>
                <w:lang w:eastAsia="en-AU"/>
              </w:rPr>
              <w:t>13.6</w:t>
            </w:r>
          </w:p>
        </w:tc>
        <w:tc>
          <w:tcPr>
            <w:tcW w:w="630" w:type="dxa"/>
          </w:tcPr>
          <w:p w:rsidR="00DC09EF" w:rsidRPr="005B0796" w:rsidRDefault="00DC09EF" w:rsidP="00DC09EF">
            <w:pPr>
              <w:pStyle w:val="TableText"/>
              <w:jc w:val="right"/>
              <w:rPr>
                <w:lang w:eastAsia="en-AU"/>
              </w:rPr>
            </w:pPr>
            <w:r w:rsidRPr="005B0796">
              <w:rPr>
                <w:lang w:eastAsia="en-AU"/>
              </w:rPr>
              <w:t>1.1</w:t>
            </w:r>
          </w:p>
        </w:tc>
        <w:tc>
          <w:tcPr>
            <w:tcW w:w="844" w:type="dxa"/>
          </w:tcPr>
          <w:p w:rsidR="00DC09EF" w:rsidRPr="005B0796" w:rsidRDefault="00DC09EF" w:rsidP="00DC09EF">
            <w:pPr>
              <w:pStyle w:val="TableText"/>
              <w:jc w:val="right"/>
              <w:rPr>
                <w:lang w:eastAsia="en-AU"/>
              </w:rPr>
            </w:pPr>
            <w:r w:rsidRPr="005B0796">
              <w:rPr>
                <w:lang w:eastAsia="en-AU"/>
              </w:rPr>
              <w:t>11.5, 15.7</w:t>
            </w:r>
          </w:p>
        </w:tc>
        <w:tc>
          <w:tcPr>
            <w:tcW w:w="596" w:type="dxa"/>
          </w:tcPr>
          <w:p w:rsidR="00DC09EF" w:rsidRPr="005B0796" w:rsidRDefault="00DC09EF" w:rsidP="00DC09EF">
            <w:pPr>
              <w:pStyle w:val="TableText"/>
              <w:jc w:val="right"/>
              <w:rPr>
                <w:lang w:eastAsia="en-AU"/>
              </w:rPr>
            </w:pPr>
            <w:r w:rsidRPr="005B0796">
              <w:rPr>
                <w:lang w:eastAsia="en-AU"/>
              </w:rPr>
              <w:t>3.5</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-0.1, 7.1</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1–2 </w:t>
            </w:r>
          </w:p>
        </w:tc>
        <w:tc>
          <w:tcPr>
            <w:tcW w:w="540" w:type="dxa"/>
          </w:tcPr>
          <w:p w:rsidR="00DC09EF" w:rsidRPr="005B0796" w:rsidRDefault="00DC09EF" w:rsidP="00DC09EF">
            <w:pPr>
              <w:pStyle w:val="TableText"/>
              <w:jc w:val="right"/>
              <w:rPr>
                <w:lang w:eastAsia="en-AU"/>
              </w:rPr>
            </w:pPr>
            <w:r w:rsidRPr="005B0796">
              <w:rPr>
                <w:lang w:eastAsia="en-AU"/>
              </w:rPr>
              <w:t>14.5</w:t>
            </w:r>
          </w:p>
        </w:tc>
        <w:tc>
          <w:tcPr>
            <w:tcW w:w="630" w:type="dxa"/>
          </w:tcPr>
          <w:p w:rsidR="00DC09EF" w:rsidRPr="005B0796" w:rsidRDefault="00DC09EF" w:rsidP="00DC09EF">
            <w:pPr>
              <w:pStyle w:val="TableText"/>
              <w:jc w:val="right"/>
              <w:rPr>
                <w:lang w:eastAsia="en-AU"/>
              </w:rPr>
            </w:pPr>
            <w:r w:rsidRPr="005B0796">
              <w:rPr>
                <w:lang w:eastAsia="en-AU"/>
              </w:rPr>
              <w:t>1.2</w:t>
            </w:r>
          </w:p>
        </w:tc>
        <w:tc>
          <w:tcPr>
            <w:tcW w:w="872" w:type="dxa"/>
          </w:tcPr>
          <w:p w:rsidR="00DC09EF" w:rsidRPr="005B0796" w:rsidRDefault="00DC09EF" w:rsidP="00DC09EF">
            <w:pPr>
              <w:pStyle w:val="TableText"/>
              <w:jc w:val="right"/>
              <w:rPr>
                <w:lang w:eastAsia="en-AU"/>
              </w:rPr>
            </w:pPr>
            <w:r w:rsidRPr="005B0796">
              <w:rPr>
                <w:lang w:eastAsia="en-AU"/>
              </w:rPr>
              <w:t>12.2, 16.9</w:t>
            </w:r>
          </w:p>
        </w:tc>
        <w:tc>
          <w:tcPr>
            <w:tcW w:w="568" w:type="dxa"/>
          </w:tcPr>
          <w:p w:rsidR="00DC09EF" w:rsidRPr="005B0796" w:rsidRDefault="00DC09EF" w:rsidP="00DC09EF">
            <w:pPr>
              <w:pStyle w:val="TableText"/>
              <w:jc w:val="right"/>
              <w:rPr>
                <w:lang w:eastAsia="en-AU"/>
              </w:rPr>
            </w:pPr>
            <w:r w:rsidRPr="005B0796">
              <w:rPr>
                <w:lang w:eastAsia="en-AU"/>
              </w:rPr>
              <w:t>16.4</w:t>
            </w:r>
          </w:p>
        </w:tc>
        <w:tc>
          <w:tcPr>
            <w:tcW w:w="630" w:type="dxa"/>
          </w:tcPr>
          <w:p w:rsidR="00DC09EF" w:rsidRPr="005B0796" w:rsidRDefault="00DC09EF" w:rsidP="00DC09EF">
            <w:pPr>
              <w:pStyle w:val="TableText"/>
              <w:jc w:val="right"/>
              <w:rPr>
                <w:lang w:eastAsia="en-AU"/>
              </w:rPr>
            </w:pPr>
            <w:r w:rsidRPr="005B0796">
              <w:rPr>
                <w:lang w:eastAsia="en-AU"/>
              </w:rPr>
              <w:t>1.3</w:t>
            </w:r>
          </w:p>
        </w:tc>
        <w:tc>
          <w:tcPr>
            <w:tcW w:w="844" w:type="dxa"/>
          </w:tcPr>
          <w:p w:rsidR="00DC09EF" w:rsidRPr="005B0796" w:rsidRDefault="00DC09EF" w:rsidP="00DC09EF">
            <w:pPr>
              <w:pStyle w:val="TableText"/>
              <w:jc w:val="right"/>
              <w:rPr>
                <w:lang w:eastAsia="en-AU"/>
              </w:rPr>
            </w:pPr>
            <w:r w:rsidRPr="005B0796">
              <w:rPr>
                <w:lang w:eastAsia="en-AU"/>
              </w:rPr>
              <w:t>13.8, 19.0</w:t>
            </w:r>
          </w:p>
        </w:tc>
        <w:tc>
          <w:tcPr>
            <w:tcW w:w="596" w:type="dxa"/>
          </w:tcPr>
          <w:p w:rsidR="00DC09EF" w:rsidRPr="005B0796" w:rsidRDefault="00DC09EF" w:rsidP="00DC09EF">
            <w:pPr>
              <w:pStyle w:val="TableText"/>
              <w:jc w:val="right"/>
              <w:rPr>
                <w:lang w:eastAsia="en-AU"/>
              </w:rPr>
            </w:pPr>
            <w:r w:rsidRPr="005B0796">
              <w:rPr>
                <w:lang w:eastAsia="en-AU"/>
              </w:rPr>
              <w:t>-1.9</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-5.5, 1.5</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r w:rsidRPr="005B0796">
              <w:rPr>
                <w:lang w:eastAsia="en-AU"/>
              </w:rPr>
              <w:t>58+</w:t>
            </w:r>
          </w:p>
        </w:tc>
        <w:tc>
          <w:tcPr>
            <w:tcW w:w="540" w:type="dxa"/>
          </w:tcPr>
          <w:p w:rsidR="00DC09EF" w:rsidRPr="005B0796" w:rsidRDefault="00DC09EF" w:rsidP="006B0AC1">
            <w:pPr>
              <w:pStyle w:val="TableText"/>
              <w:rPr>
                <w:lang w:eastAsia="en-AU"/>
              </w:rPr>
            </w:pPr>
            <w:r w:rsidRPr="005B0796">
              <w:rPr>
                <w:lang w:eastAsia="en-AU"/>
              </w:rPr>
              <w:t>11 +</w:t>
            </w:r>
          </w:p>
        </w:tc>
        <w:tc>
          <w:tcPr>
            <w:tcW w:w="540" w:type="dxa"/>
          </w:tcPr>
          <w:p w:rsidR="00DC09EF" w:rsidRPr="005B0796" w:rsidRDefault="00DC09EF" w:rsidP="00DC09EF">
            <w:pPr>
              <w:pStyle w:val="TableText"/>
              <w:jc w:val="right"/>
              <w:rPr>
                <w:lang w:eastAsia="en-AU"/>
              </w:rPr>
            </w:pPr>
            <w:r w:rsidRPr="005B0796">
              <w:rPr>
                <w:lang w:eastAsia="en-AU"/>
              </w:rPr>
              <w:t>5.9</w:t>
            </w:r>
          </w:p>
        </w:tc>
        <w:tc>
          <w:tcPr>
            <w:tcW w:w="630" w:type="dxa"/>
          </w:tcPr>
          <w:p w:rsidR="00DC09EF" w:rsidRPr="005B0796" w:rsidRDefault="00DC09EF" w:rsidP="00DC09EF">
            <w:pPr>
              <w:pStyle w:val="TableText"/>
              <w:jc w:val="right"/>
              <w:rPr>
                <w:lang w:eastAsia="en-AU"/>
              </w:rPr>
            </w:pPr>
            <w:r w:rsidRPr="005B0796">
              <w:rPr>
                <w:lang w:eastAsia="en-AU"/>
              </w:rPr>
              <w:t>0.9</w:t>
            </w:r>
          </w:p>
        </w:tc>
        <w:tc>
          <w:tcPr>
            <w:tcW w:w="872" w:type="dxa"/>
          </w:tcPr>
          <w:p w:rsidR="00DC09EF" w:rsidRPr="005B0796" w:rsidRDefault="00DC09EF" w:rsidP="00DC09EF">
            <w:pPr>
              <w:pStyle w:val="TableText"/>
              <w:jc w:val="right"/>
              <w:rPr>
                <w:lang w:eastAsia="en-AU"/>
              </w:rPr>
            </w:pPr>
            <w:r w:rsidRPr="005B0796">
              <w:rPr>
                <w:lang w:eastAsia="en-AU"/>
              </w:rPr>
              <w:t>4.4, 7.9</w:t>
            </w:r>
          </w:p>
        </w:tc>
        <w:tc>
          <w:tcPr>
            <w:tcW w:w="568" w:type="dxa"/>
          </w:tcPr>
          <w:p w:rsidR="00DC09EF" w:rsidRPr="005B0796" w:rsidRDefault="00DC09EF" w:rsidP="00DC09EF">
            <w:pPr>
              <w:pStyle w:val="TableText"/>
              <w:jc w:val="right"/>
              <w:rPr>
                <w:lang w:eastAsia="en-AU"/>
              </w:rPr>
            </w:pPr>
            <w:r w:rsidRPr="005B0796">
              <w:rPr>
                <w:lang w:eastAsia="en-AU"/>
              </w:rPr>
              <w:t>13.4</w:t>
            </w:r>
          </w:p>
        </w:tc>
        <w:tc>
          <w:tcPr>
            <w:tcW w:w="630" w:type="dxa"/>
          </w:tcPr>
          <w:p w:rsidR="00DC09EF" w:rsidRPr="005B0796" w:rsidRDefault="00DC09EF" w:rsidP="00DC09EF">
            <w:pPr>
              <w:pStyle w:val="TableText"/>
              <w:jc w:val="right"/>
              <w:rPr>
                <w:lang w:eastAsia="en-AU"/>
              </w:rPr>
            </w:pPr>
            <w:r w:rsidRPr="005B0796">
              <w:rPr>
                <w:lang w:eastAsia="en-AU"/>
              </w:rPr>
              <w:t>1.1</w:t>
            </w:r>
          </w:p>
        </w:tc>
        <w:tc>
          <w:tcPr>
            <w:tcW w:w="844" w:type="dxa"/>
          </w:tcPr>
          <w:p w:rsidR="00DC09EF" w:rsidRPr="005B0796" w:rsidRDefault="00DC09EF" w:rsidP="00DC09EF">
            <w:pPr>
              <w:pStyle w:val="TableText"/>
              <w:jc w:val="right"/>
              <w:rPr>
                <w:lang w:eastAsia="en-AU"/>
              </w:rPr>
            </w:pPr>
            <w:r w:rsidRPr="005B0796">
              <w:rPr>
                <w:lang w:eastAsia="en-AU"/>
              </w:rPr>
              <w:t>11.2, 15.5</w:t>
            </w:r>
          </w:p>
        </w:tc>
        <w:tc>
          <w:tcPr>
            <w:tcW w:w="596" w:type="dxa"/>
          </w:tcPr>
          <w:p w:rsidR="00DC09EF" w:rsidRPr="005B0796" w:rsidRDefault="00DC09EF" w:rsidP="00DC09EF">
            <w:pPr>
              <w:pStyle w:val="TableText"/>
              <w:jc w:val="right"/>
              <w:rPr>
                <w:lang w:eastAsia="en-AU"/>
              </w:rPr>
            </w:pPr>
            <w:r w:rsidRPr="005B0796">
              <w:rPr>
                <w:lang w:eastAsia="en-AU"/>
              </w:rPr>
              <w:t>-7.4</w:t>
            </w:r>
          </w:p>
        </w:tc>
        <w:tc>
          <w:tcPr>
            <w:tcW w:w="630" w:type="dxa"/>
          </w:tcPr>
          <w:p w:rsidR="00DC09EF" w:rsidRPr="005B0796" w:rsidRDefault="00DC09EF" w:rsidP="00DC09EF">
            <w:pPr>
              <w:pStyle w:val="TableText"/>
              <w:jc w:val="right"/>
              <w:rPr>
                <w:lang w:eastAsia="en-AU"/>
              </w:rPr>
            </w:pPr>
            <w:r w:rsidRPr="005B0796">
              <w:rPr>
                <w:lang w:eastAsia="en-AU"/>
              </w:rPr>
              <w:t>1.4</w:t>
            </w:r>
          </w:p>
        </w:tc>
        <w:tc>
          <w:tcPr>
            <w:tcW w:w="817" w:type="dxa"/>
          </w:tcPr>
          <w:p w:rsidR="00DC09EF" w:rsidRPr="005B0796" w:rsidRDefault="00DC09EF" w:rsidP="00DC09EF">
            <w:pPr>
              <w:pStyle w:val="TableText"/>
              <w:jc w:val="right"/>
              <w:rPr>
                <w:lang w:eastAsia="en-AU"/>
              </w:rPr>
            </w:pPr>
            <w:r w:rsidRPr="005B0796">
              <w:rPr>
                <w:lang w:eastAsia="en-AU"/>
              </w:rPr>
              <w:t>-10.2, -4.7</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7–10</w:t>
            </w:r>
          </w:p>
        </w:tc>
        <w:tc>
          <w:tcPr>
            <w:tcW w:w="540" w:type="dxa"/>
          </w:tcPr>
          <w:p w:rsidR="00DC09EF" w:rsidRPr="005B0796" w:rsidRDefault="00DC09EF" w:rsidP="00DC09EF">
            <w:pPr>
              <w:pStyle w:val="TableText"/>
              <w:jc w:val="right"/>
              <w:rPr>
                <w:lang w:eastAsia="en-AU"/>
              </w:rPr>
            </w:pPr>
            <w:r w:rsidRPr="005B0796">
              <w:rPr>
                <w:lang w:eastAsia="en-AU"/>
              </w:rPr>
              <w:t>10.5</w:t>
            </w:r>
          </w:p>
        </w:tc>
        <w:tc>
          <w:tcPr>
            <w:tcW w:w="630" w:type="dxa"/>
          </w:tcPr>
          <w:p w:rsidR="00DC09EF" w:rsidRPr="005B0796" w:rsidRDefault="00DC09EF" w:rsidP="00DC09EF">
            <w:pPr>
              <w:pStyle w:val="TableText"/>
              <w:jc w:val="right"/>
              <w:rPr>
                <w:lang w:eastAsia="en-AU"/>
              </w:rPr>
            </w:pPr>
            <w:r w:rsidRPr="005B0796">
              <w:rPr>
                <w:lang w:eastAsia="en-AU"/>
              </w:rPr>
              <w:t>1.1</w:t>
            </w:r>
          </w:p>
        </w:tc>
        <w:tc>
          <w:tcPr>
            <w:tcW w:w="872" w:type="dxa"/>
          </w:tcPr>
          <w:p w:rsidR="00DC09EF" w:rsidRPr="005B0796" w:rsidRDefault="00DC09EF" w:rsidP="00DC09EF">
            <w:pPr>
              <w:pStyle w:val="TableText"/>
              <w:jc w:val="right"/>
              <w:rPr>
                <w:lang w:eastAsia="en-AU"/>
              </w:rPr>
            </w:pPr>
            <w:r w:rsidRPr="005B0796">
              <w:rPr>
                <w:lang w:eastAsia="en-AU"/>
              </w:rPr>
              <w:t>8.5, 12.9</w:t>
            </w:r>
          </w:p>
        </w:tc>
        <w:tc>
          <w:tcPr>
            <w:tcW w:w="568" w:type="dxa"/>
          </w:tcPr>
          <w:p w:rsidR="00DC09EF" w:rsidRPr="005B0796" w:rsidRDefault="00DC09EF" w:rsidP="00DC09EF">
            <w:pPr>
              <w:pStyle w:val="TableText"/>
              <w:jc w:val="right"/>
              <w:rPr>
                <w:lang w:eastAsia="en-AU"/>
              </w:rPr>
            </w:pPr>
            <w:r w:rsidRPr="005B0796">
              <w:rPr>
                <w:lang w:eastAsia="en-AU"/>
              </w:rPr>
              <w:t>13.1</w:t>
            </w:r>
          </w:p>
        </w:tc>
        <w:tc>
          <w:tcPr>
            <w:tcW w:w="630" w:type="dxa"/>
          </w:tcPr>
          <w:p w:rsidR="00DC09EF" w:rsidRPr="005B0796" w:rsidRDefault="00DC09EF" w:rsidP="00DC09EF">
            <w:pPr>
              <w:pStyle w:val="TableText"/>
              <w:jc w:val="right"/>
              <w:rPr>
                <w:lang w:eastAsia="en-AU"/>
              </w:rPr>
            </w:pPr>
            <w:r w:rsidRPr="005B0796">
              <w:rPr>
                <w:lang w:eastAsia="en-AU"/>
              </w:rPr>
              <w:t>1.0</w:t>
            </w:r>
          </w:p>
        </w:tc>
        <w:tc>
          <w:tcPr>
            <w:tcW w:w="844" w:type="dxa"/>
          </w:tcPr>
          <w:p w:rsidR="00DC09EF" w:rsidRPr="005B0796" w:rsidRDefault="00DC09EF" w:rsidP="00DC09EF">
            <w:pPr>
              <w:pStyle w:val="TableText"/>
              <w:jc w:val="right"/>
              <w:rPr>
                <w:lang w:eastAsia="en-AU"/>
              </w:rPr>
            </w:pPr>
            <w:r w:rsidRPr="005B0796">
              <w:rPr>
                <w:lang w:eastAsia="en-AU"/>
              </w:rPr>
              <w:t>11.1, 15.1</w:t>
            </w:r>
          </w:p>
        </w:tc>
        <w:tc>
          <w:tcPr>
            <w:tcW w:w="596" w:type="dxa"/>
          </w:tcPr>
          <w:p w:rsidR="00DC09EF" w:rsidRPr="005B0796" w:rsidRDefault="00DC09EF" w:rsidP="00DC09EF">
            <w:pPr>
              <w:pStyle w:val="TableText"/>
              <w:jc w:val="right"/>
              <w:rPr>
                <w:lang w:eastAsia="en-AU"/>
              </w:rPr>
            </w:pPr>
            <w:r w:rsidRPr="005B0796">
              <w:rPr>
                <w:lang w:eastAsia="en-AU"/>
              </w:rPr>
              <w:t>-2.6</w:t>
            </w:r>
          </w:p>
        </w:tc>
        <w:tc>
          <w:tcPr>
            <w:tcW w:w="630" w:type="dxa"/>
          </w:tcPr>
          <w:p w:rsidR="00DC09EF" w:rsidRPr="005B0796" w:rsidRDefault="00DC09EF" w:rsidP="00DC09EF">
            <w:pPr>
              <w:pStyle w:val="TableText"/>
              <w:jc w:val="right"/>
              <w:rPr>
                <w:lang w:eastAsia="en-AU"/>
              </w:rPr>
            </w:pPr>
            <w:r w:rsidRPr="005B0796">
              <w:rPr>
                <w:lang w:eastAsia="en-AU"/>
              </w:rPr>
              <w:t>1.5</w:t>
            </w:r>
          </w:p>
        </w:tc>
        <w:tc>
          <w:tcPr>
            <w:tcW w:w="817" w:type="dxa"/>
          </w:tcPr>
          <w:p w:rsidR="00DC09EF" w:rsidRPr="005B0796" w:rsidRDefault="00DC09EF" w:rsidP="00DC09EF">
            <w:pPr>
              <w:pStyle w:val="TableText"/>
              <w:jc w:val="right"/>
              <w:rPr>
                <w:lang w:eastAsia="en-AU"/>
              </w:rPr>
            </w:pPr>
            <w:r w:rsidRPr="005B0796">
              <w:rPr>
                <w:lang w:eastAsia="en-AU"/>
              </w:rPr>
              <w:t>-5.6, 0.4</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5–6 </w:t>
            </w:r>
          </w:p>
        </w:tc>
        <w:tc>
          <w:tcPr>
            <w:tcW w:w="540" w:type="dxa"/>
          </w:tcPr>
          <w:p w:rsidR="00DC09EF" w:rsidRPr="005B0796" w:rsidRDefault="00DC09EF" w:rsidP="00DC09EF">
            <w:pPr>
              <w:pStyle w:val="TableText"/>
              <w:jc w:val="right"/>
              <w:rPr>
                <w:lang w:eastAsia="en-AU"/>
              </w:rPr>
            </w:pPr>
            <w:r w:rsidRPr="005B0796">
              <w:rPr>
                <w:lang w:eastAsia="en-AU"/>
              </w:rPr>
              <w:t>17.1</w:t>
            </w:r>
          </w:p>
        </w:tc>
        <w:tc>
          <w:tcPr>
            <w:tcW w:w="630" w:type="dxa"/>
          </w:tcPr>
          <w:p w:rsidR="00DC09EF" w:rsidRPr="005B0796" w:rsidRDefault="00DC09EF" w:rsidP="00DC09EF">
            <w:pPr>
              <w:pStyle w:val="TableText"/>
              <w:jc w:val="right"/>
              <w:rPr>
                <w:lang w:eastAsia="en-AU"/>
              </w:rPr>
            </w:pPr>
            <w:r w:rsidRPr="005B0796">
              <w:rPr>
                <w:lang w:eastAsia="en-AU"/>
              </w:rPr>
              <w:t>1.4</w:t>
            </w:r>
          </w:p>
        </w:tc>
        <w:tc>
          <w:tcPr>
            <w:tcW w:w="872" w:type="dxa"/>
          </w:tcPr>
          <w:p w:rsidR="00DC09EF" w:rsidRPr="005B0796" w:rsidRDefault="00DC09EF" w:rsidP="00DC09EF">
            <w:pPr>
              <w:pStyle w:val="TableText"/>
              <w:jc w:val="right"/>
              <w:rPr>
                <w:lang w:eastAsia="en-AU"/>
              </w:rPr>
            </w:pPr>
            <w:r w:rsidRPr="005B0796">
              <w:rPr>
                <w:lang w:eastAsia="en-AU"/>
              </w:rPr>
              <w:t>14.4, 20.1</w:t>
            </w:r>
          </w:p>
        </w:tc>
        <w:tc>
          <w:tcPr>
            <w:tcW w:w="568" w:type="dxa"/>
          </w:tcPr>
          <w:p w:rsidR="00DC09EF" w:rsidRPr="005B0796" w:rsidRDefault="00DC09EF" w:rsidP="00DC09EF">
            <w:pPr>
              <w:pStyle w:val="TableText"/>
              <w:jc w:val="right"/>
              <w:rPr>
                <w:lang w:eastAsia="en-AU"/>
              </w:rPr>
            </w:pPr>
            <w:r w:rsidRPr="005B0796">
              <w:rPr>
                <w:lang w:eastAsia="en-AU"/>
              </w:rPr>
              <w:t>15.9</w:t>
            </w:r>
          </w:p>
        </w:tc>
        <w:tc>
          <w:tcPr>
            <w:tcW w:w="630" w:type="dxa"/>
          </w:tcPr>
          <w:p w:rsidR="00DC09EF" w:rsidRPr="005B0796" w:rsidRDefault="00DC09EF" w:rsidP="00DC09EF">
            <w:pPr>
              <w:pStyle w:val="TableText"/>
              <w:jc w:val="right"/>
              <w:rPr>
                <w:lang w:eastAsia="en-AU"/>
              </w:rPr>
            </w:pPr>
            <w:r w:rsidRPr="005B0796">
              <w:rPr>
                <w:lang w:eastAsia="en-AU"/>
              </w:rPr>
              <w:t>1.0</w:t>
            </w:r>
          </w:p>
        </w:tc>
        <w:tc>
          <w:tcPr>
            <w:tcW w:w="844" w:type="dxa"/>
          </w:tcPr>
          <w:p w:rsidR="00DC09EF" w:rsidRPr="005B0796" w:rsidRDefault="00DC09EF" w:rsidP="00DC09EF">
            <w:pPr>
              <w:pStyle w:val="TableText"/>
              <w:jc w:val="right"/>
              <w:rPr>
                <w:lang w:eastAsia="en-AU"/>
              </w:rPr>
            </w:pPr>
            <w:r w:rsidRPr="005B0796">
              <w:rPr>
                <w:lang w:eastAsia="en-AU"/>
              </w:rPr>
              <w:t>13.9, 17.9</w:t>
            </w:r>
          </w:p>
        </w:tc>
        <w:tc>
          <w:tcPr>
            <w:tcW w:w="596" w:type="dxa"/>
          </w:tcPr>
          <w:p w:rsidR="00DC09EF" w:rsidRPr="005B0796" w:rsidRDefault="00DC09EF" w:rsidP="00DC09EF">
            <w:pPr>
              <w:pStyle w:val="TableText"/>
              <w:jc w:val="right"/>
              <w:rPr>
                <w:lang w:eastAsia="en-AU"/>
              </w:rPr>
            </w:pPr>
            <w:r w:rsidRPr="005B0796">
              <w:rPr>
                <w:lang w:eastAsia="en-AU"/>
              </w:rPr>
              <w:t>1.1</w:t>
            </w:r>
          </w:p>
        </w:tc>
        <w:tc>
          <w:tcPr>
            <w:tcW w:w="630" w:type="dxa"/>
          </w:tcPr>
          <w:p w:rsidR="00DC09EF" w:rsidRPr="005B0796" w:rsidRDefault="00DC09EF" w:rsidP="00DC09EF">
            <w:pPr>
              <w:pStyle w:val="TableText"/>
              <w:jc w:val="right"/>
              <w:rPr>
                <w:lang w:eastAsia="en-AU"/>
              </w:rPr>
            </w:pPr>
            <w:r w:rsidRPr="005B0796">
              <w:rPr>
                <w:lang w:eastAsia="en-AU"/>
              </w:rPr>
              <w:t>1.8</w:t>
            </w:r>
          </w:p>
        </w:tc>
        <w:tc>
          <w:tcPr>
            <w:tcW w:w="817" w:type="dxa"/>
          </w:tcPr>
          <w:p w:rsidR="00DC09EF" w:rsidRPr="005B0796" w:rsidRDefault="00DC09EF" w:rsidP="00DC09EF">
            <w:pPr>
              <w:pStyle w:val="TableText"/>
              <w:jc w:val="right"/>
              <w:rPr>
                <w:lang w:eastAsia="en-AU"/>
              </w:rPr>
            </w:pPr>
            <w:r w:rsidRPr="005B0796">
              <w:rPr>
                <w:lang w:eastAsia="en-AU"/>
              </w:rPr>
              <w:t>-2.4, 4.6</w:t>
            </w:r>
          </w:p>
        </w:tc>
      </w:tr>
      <w:tr w:rsidR="003D31FD" w:rsidRPr="005B0796" w:rsidTr="003D31FD">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3–4 </w:t>
            </w:r>
          </w:p>
        </w:tc>
        <w:tc>
          <w:tcPr>
            <w:tcW w:w="540" w:type="dxa"/>
          </w:tcPr>
          <w:p w:rsidR="00DC09EF" w:rsidRPr="005B0796" w:rsidRDefault="00DC09EF" w:rsidP="00DC09EF">
            <w:pPr>
              <w:pStyle w:val="TableText"/>
              <w:jc w:val="right"/>
              <w:rPr>
                <w:lang w:eastAsia="en-AU"/>
              </w:rPr>
            </w:pPr>
            <w:r w:rsidRPr="005B0796">
              <w:rPr>
                <w:lang w:eastAsia="en-AU"/>
              </w:rPr>
              <w:t>17.0</w:t>
            </w:r>
          </w:p>
        </w:tc>
        <w:tc>
          <w:tcPr>
            <w:tcW w:w="630" w:type="dxa"/>
          </w:tcPr>
          <w:p w:rsidR="00DC09EF" w:rsidRPr="005B0796" w:rsidRDefault="00DC09EF" w:rsidP="00DC09EF">
            <w:pPr>
              <w:pStyle w:val="TableText"/>
              <w:jc w:val="right"/>
              <w:rPr>
                <w:lang w:eastAsia="en-AU"/>
              </w:rPr>
            </w:pPr>
            <w:r w:rsidRPr="005B0796">
              <w:rPr>
                <w:lang w:eastAsia="en-AU"/>
              </w:rPr>
              <w:t>1.7</w:t>
            </w:r>
          </w:p>
        </w:tc>
        <w:tc>
          <w:tcPr>
            <w:tcW w:w="872" w:type="dxa"/>
          </w:tcPr>
          <w:p w:rsidR="00DC09EF" w:rsidRPr="005B0796" w:rsidRDefault="00DC09EF" w:rsidP="00DC09EF">
            <w:pPr>
              <w:pStyle w:val="TableText"/>
              <w:jc w:val="right"/>
              <w:rPr>
                <w:lang w:eastAsia="en-AU"/>
              </w:rPr>
            </w:pPr>
            <w:r w:rsidRPr="005B0796">
              <w:rPr>
                <w:lang w:eastAsia="en-AU"/>
              </w:rPr>
              <w:t>13.9, 20.6</w:t>
            </w:r>
          </w:p>
        </w:tc>
        <w:tc>
          <w:tcPr>
            <w:tcW w:w="568" w:type="dxa"/>
          </w:tcPr>
          <w:p w:rsidR="00DC09EF" w:rsidRPr="005B0796" w:rsidRDefault="00DC09EF" w:rsidP="00DC09EF">
            <w:pPr>
              <w:pStyle w:val="TableText"/>
              <w:jc w:val="right"/>
              <w:rPr>
                <w:lang w:eastAsia="en-AU"/>
              </w:rPr>
            </w:pPr>
            <w:r w:rsidRPr="005B0796">
              <w:rPr>
                <w:lang w:eastAsia="en-AU"/>
              </w:rPr>
              <w:t>18.8</w:t>
            </w:r>
          </w:p>
        </w:tc>
        <w:tc>
          <w:tcPr>
            <w:tcW w:w="630" w:type="dxa"/>
          </w:tcPr>
          <w:p w:rsidR="00DC09EF" w:rsidRPr="005B0796" w:rsidRDefault="00DC09EF" w:rsidP="00DC09EF">
            <w:pPr>
              <w:pStyle w:val="TableText"/>
              <w:jc w:val="right"/>
              <w:rPr>
                <w:lang w:eastAsia="en-AU"/>
              </w:rPr>
            </w:pPr>
            <w:r w:rsidRPr="005B0796">
              <w:rPr>
                <w:lang w:eastAsia="en-AU"/>
              </w:rPr>
              <w:t>1.3</w:t>
            </w:r>
          </w:p>
        </w:tc>
        <w:tc>
          <w:tcPr>
            <w:tcW w:w="844" w:type="dxa"/>
          </w:tcPr>
          <w:p w:rsidR="00DC09EF" w:rsidRPr="005B0796" w:rsidRDefault="00DC09EF" w:rsidP="00DC09EF">
            <w:pPr>
              <w:pStyle w:val="TableText"/>
              <w:jc w:val="right"/>
              <w:rPr>
                <w:lang w:eastAsia="en-AU"/>
              </w:rPr>
            </w:pPr>
            <w:r w:rsidRPr="005B0796">
              <w:rPr>
                <w:lang w:eastAsia="en-AU"/>
              </w:rPr>
              <w:t>16.2, 21.4</w:t>
            </w:r>
          </w:p>
        </w:tc>
        <w:tc>
          <w:tcPr>
            <w:tcW w:w="596" w:type="dxa"/>
          </w:tcPr>
          <w:p w:rsidR="00DC09EF" w:rsidRPr="005B0796" w:rsidRDefault="00DC09EF" w:rsidP="00DC09EF">
            <w:pPr>
              <w:pStyle w:val="TableText"/>
              <w:jc w:val="right"/>
              <w:rPr>
                <w:lang w:eastAsia="en-AU"/>
              </w:rPr>
            </w:pPr>
            <w:r w:rsidRPr="005B0796">
              <w:rPr>
                <w:lang w:eastAsia="en-AU"/>
              </w:rPr>
              <w:t>-1.75</w:t>
            </w:r>
          </w:p>
        </w:tc>
        <w:tc>
          <w:tcPr>
            <w:tcW w:w="630" w:type="dxa"/>
          </w:tcPr>
          <w:p w:rsidR="00DC09EF" w:rsidRPr="005B0796" w:rsidRDefault="00DC09EF" w:rsidP="00DC09EF">
            <w:pPr>
              <w:pStyle w:val="TableText"/>
              <w:jc w:val="right"/>
              <w:rPr>
                <w:lang w:eastAsia="en-AU"/>
              </w:rPr>
            </w:pPr>
            <w:r w:rsidRPr="005B0796">
              <w:rPr>
                <w:lang w:eastAsia="en-AU"/>
              </w:rPr>
              <w:t>2.1</w:t>
            </w:r>
          </w:p>
        </w:tc>
        <w:tc>
          <w:tcPr>
            <w:tcW w:w="817" w:type="dxa"/>
          </w:tcPr>
          <w:p w:rsidR="00DC09EF" w:rsidRPr="005B0796" w:rsidRDefault="00DC09EF" w:rsidP="00DC09EF">
            <w:pPr>
              <w:pStyle w:val="TableText"/>
              <w:jc w:val="right"/>
              <w:rPr>
                <w:lang w:eastAsia="en-AU"/>
              </w:rPr>
            </w:pPr>
            <w:r w:rsidRPr="005B0796">
              <w:rPr>
                <w:lang w:eastAsia="en-AU"/>
              </w:rPr>
              <w:t>-5.9, 2.5</w:t>
            </w:r>
          </w:p>
        </w:tc>
      </w:tr>
      <w:tr w:rsidR="003D31FD" w:rsidRPr="005B0796" w:rsidTr="003D31FD">
        <w:trPr>
          <w:cnfStyle w:val="000000100000" w:firstRow="0" w:lastRow="0" w:firstColumn="0" w:lastColumn="0" w:oddVBand="0" w:evenVBand="0" w:oddHBand="1" w:evenHBand="0" w:firstRowFirstColumn="0" w:firstRowLastColumn="0" w:lastRowFirstColumn="0" w:lastRowLastColumn="0"/>
        </w:trPr>
        <w:tc>
          <w:tcPr>
            <w:tcW w:w="648" w:type="dxa"/>
          </w:tcPr>
          <w:p w:rsidR="00DC09EF" w:rsidRPr="005B0796" w:rsidRDefault="00DC09EF" w:rsidP="006B0AC1">
            <w:pPr>
              <w:pStyle w:val="TableText"/>
              <w:rPr>
                <w:lang w:eastAsia="en-AU"/>
              </w:rPr>
            </w:pPr>
          </w:p>
        </w:tc>
        <w:tc>
          <w:tcPr>
            <w:tcW w:w="540" w:type="dxa"/>
          </w:tcPr>
          <w:p w:rsidR="00DC09EF" w:rsidRPr="005B0796" w:rsidRDefault="00DC09EF" w:rsidP="006B0AC1">
            <w:pPr>
              <w:pStyle w:val="TableText"/>
              <w:rPr>
                <w:lang w:eastAsia="en-AU"/>
              </w:rPr>
            </w:pPr>
            <w:r w:rsidRPr="005B0796">
              <w:rPr>
                <w:lang w:eastAsia="en-AU"/>
              </w:rPr>
              <w:t xml:space="preserve">1–2 </w:t>
            </w:r>
          </w:p>
        </w:tc>
        <w:tc>
          <w:tcPr>
            <w:tcW w:w="540" w:type="dxa"/>
          </w:tcPr>
          <w:p w:rsidR="00DC09EF" w:rsidRPr="005B0796" w:rsidRDefault="00DC09EF" w:rsidP="00DC09EF">
            <w:pPr>
              <w:pStyle w:val="TableText"/>
              <w:jc w:val="right"/>
              <w:rPr>
                <w:lang w:eastAsia="en-AU"/>
              </w:rPr>
            </w:pPr>
            <w:r w:rsidRPr="005B0796">
              <w:rPr>
                <w:lang w:eastAsia="en-AU"/>
              </w:rPr>
              <w:t>21.8</w:t>
            </w:r>
          </w:p>
        </w:tc>
        <w:tc>
          <w:tcPr>
            <w:tcW w:w="630" w:type="dxa"/>
          </w:tcPr>
          <w:p w:rsidR="00DC09EF" w:rsidRPr="005B0796" w:rsidRDefault="00DC09EF" w:rsidP="00DC09EF">
            <w:pPr>
              <w:pStyle w:val="TableText"/>
              <w:jc w:val="right"/>
              <w:rPr>
                <w:lang w:eastAsia="en-AU"/>
              </w:rPr>
            </w:pPr>
            <w:r w:rsidRPr="005B0796">
              <w:rPr>
                <w:lang w:eastAsia="en-AU"/>
              </w:rPr>
              <w:t>1.9</w:t>
            </w:r>
          </w:p>
        </w:tc>
        <w:tc>
          <w:tcPr>
            <w:tcW w:w="872" w:type="dxa"/>
          </w:tcPr>
          <w:p w:rsidR="00DC09EF" w:rsidRPr="005B0796" w:rsidRDefault="00DC09EF" w:rsidP="00DC09EF">
            <w:pPr>
              <w:pStyle w:val="TableText"/>
              <w:jc w:val="right"/>
              <w:rPr>
                <w:lang w:eastAsia="en-AU"/>
              </w:rPr>
            </w:pPr>
            <w:r w:rsidRPr="005B0796">
              <w:rPr>
                <w:lang w:eastAsia="en-AU"/>
              </w:rPr>
              <w:t>18.2, 25.8</w:t>
            </w:r>
          </w:p>
        </w:tc>
        <w:tc>
          <w:tcPr>
            <w:tcW w:w="568" w:type="dxa"/>
          </w:tcPr>
          <w:p w:rsidR="00DC09EF" w:rsidRPr="005B0796" w:rsidRDefault="00DC09EF" w:rsidP="00DC09EF">
            <w:pPr>
              <w:pStyle w:val="TableText"/>
              <w:jc w:val="right"/>
              <w:rPr>
                <w:lang w:eastAsia="en-AU"/>
              </w:rPr>
            </w:pPr>
            <w:r w:rsidRPr="005B0796">
              <w:rPr>
                <w:lang w:eastAsia="en-AU"/>
              </w:rPr>
              <w:t>23.9</w:t>
            </w:r>
          </w:p>
        </w:tc>
        <w:tc>
          <w:tcPr>
            <w:tcW w:w="630" w:type="dxa"/>
          </w:tcPr>
          <w:p w:rsidR="00DC09EF" w:rsidRPr="005B0796" w:rsidRDefault="00DC09EF" w:rsidP="00DC09EF">
            <w:pPr>
              <w:pStyle w:val="TableText"/>
              <w:jc w:val="right"/>
              <w:rPr>
                <w:lang w:eastAsia="en-AU"/>
              </w:rPr>
            </w:pPr>
            <w:r w:rsidRPr="005B0796">
              <w:rPr>
                <w:lang w:eastAsia="en-AU"/>
              </w:rPr>
              <w:t>1.4</w:t>
            </w:r>
          </w:p>
        </w:tc>
        <w:tc>
          <w:tcPr>
            <w:tcW w:w="844" w:type="dxa"/>
          </w:tcPr>
          <w:p w:rsidR="00DC09EF" w:rsidRPr="005B0796" w:rsidRDefault="00DC09EF" w:rsidP="00DC09EF">
            <w:pPr>
              <w:pStyle w:val="TableText"/>
              <w:jc w:val="right"/>
              <w:rPr>
                <w:lang w:eastAsia="en-AU"/>
              </w:rPr>
            </w:pPr>
            <w:r w:rsidRPr="005B0796">
              <w:rPr>
                <w:lang w:eastAsia="en-AU"/>
              </w:rPr>
              <w:t>21.3, 26.6</w:t>
            </w:r>
          </w:p>
        </w:tc>
        <w:tc>
          <w:tcPr>
            <w:tcW w:w="596" w:type="dxa"/>
          </w:tcPr>
          <w:p w:rsidR="00DC09EF" w:rsidRPr="005B0796" w:rsidRDefault="00DC09EF" w:rsidP="00DC09EF">
            <w:pPr>
              <w:pStyle w:val="TableText"/>
              <w:jc w:val="right"/>
              <w:rPr>
                <w:lang w:eastAsia="en-AU"/>
              </w:rPr>
            </w:pPr>
            <w:r w:rsidRPr="005B0796">
              <w:rPr>
                <w:lang w:eastAsia="en-AU"/>
              </w:rPr>
              <w:t>-2.2</w:t>
            </w:r>
          </w:p>
        </w:tc>
        <w:tc>
          <w:tcPr>
            <w:tcW w:w="630" w:type="dxa"/>
          </w:tcPr>
          <w:p w:rsidR="00DC09EF" w:rsidRPr="005B0796" w:rsidRDefault="00DC09EF" w:rsidP="00DC09EF">
            <w:pPr>
              <w:pStyle w:val="TableText"/>
              <w:jc w:val="right"/>
              <w:rPr>
                <w:lang w:eastAsia="en-AU"/>
              </w:rPr>
            </w:pPr>
            <w:r w:rsidRPr="005B0796">
              <w:rPr>
                <w:lang w:eastAsia="en-AU"/>
              </w:rPr>
              <w:t>2.4</w:t>
            </w:r>
          </w:p>
        </w:tc>
        <w:tc>
          <w:tcPr>
            <w:tcW w:w="817" w:type="dxa"/>
          </w:tcPr>
          <w:p w:rsidR="00DC09EF" w:rsidRPr="005B0796" w:rsidRDefault="00DC09EF" w:rsidP="00DC09EF">
            <w:pPr>
              <w:pStyle w:val="TableText"/>
              <w:jc w:val="right"/>
              <w:rPr>
                <w:lang w:eastAsia="en-AU"/>
              </w:rPr>
            </w:pPr>
            <w:r w:rsidRPr="005B0796">
              <w:rPr>
                <w:lang w:eastAsia="en-AU"/>
              </w:rPr>
              <w:t>-6.8, 2.5</w:t>
            </w:r>
          </w:p>
        </w:tc>
      </w:tr>
    </w:tbl>
    <w:p w:rsidR="00DC09EF" w:rsidRPr="005B0796" w:rsidRDefault="00DC09EF" w:rsidP="00DC09EF">
      <w:pPr>
        <w:pStyle w:val="TableNotes"/>
      </w:pPr>
      <w:r w:rsidRPr="005B0796">
        <w:t xml:space="preserve">Note: 95% CI: 95% </w:t>
      </w:r>
      <w:r w:rsidR="00564689" w:rsidRPr="005B0796">
        <w:t>confidence interval</w:t>
      </w:r>
    </w:p>
    <w:p w:rsidR="003D31FD" w:rsidRPr="005B0796" w:rsidRDefault="003D31FD" w:rsidP="003D31FD">
      <w:pPr>
        <w:sectPr w:rsidR="003D31FD" w:rsidRPr="005B0796" w:rsidSect="00BE5E98">
          <w:footerReference w:type="even" r:id="rId279"/>
          <w:footerReference w:type="default" r:id="rId280"/>
          <w:pgSz w:w="9979" w:h="14170" w:code="243"/>
          <w:pgMar w:top="1440" w:right="1152" w:bottom="1440" w:left="1728" w:header="576" w:footer="576" w:gutter="0"/>
          <w:cols w:space="708"/>
          <w:docGrid w:linePitch="360"/>
        </w:sectPr>
      </w:pPr>
      <w:bookmarkStart w:id="1293" w:name="_Toc487014420"/>
    </w:p>
    <w:p w:rsidR="00DC09EF" w:rsidRPr="005B0796" w:rsidRDefault="003D31FD" w:rsidP="003D31FD">
      <w:pPr>
        <w:pStyle w:val="FigureName"/>
      </w:pPr>
      <w:bookmarkStart w:id="1294" w:name="_Toc511900595"/>
      <w:r w:rsidRPr="005B0796">
        <w:t xml:space="preserve">Figure </w:t>
      </w:r>
      <w:r w:rsidR="00D30A3C">
        <w:rPr>
          <w:noProof/>
        </w:rPr>
        <w:fldChar w:fldCharType="begin"/>
      </w:r>
      <w:r w:rsidR="00D30A3C">
        <w:rPr>
          <w:noProof/>
        </w:rPr>
        <w:instrText xml:space="preserve"> STYLEREF 1 \s </w:instrText>
      </w:r>
      <w:r w:rsidR="00D30A3C">
        <w:rPr>
          <w:noProof/>
        </w:rPr>
        <w:fldChar w:fldCharType="separate"/>
      </w:r>
      <w:r w:rsidR="006E0148">
        <w:rPr>
          <w:noProof/>
        </w:rPr>
        <w:t>6</w:t>
      </w:r>
      <w:r w:rsidR="00D30A3C">
        <w:rPr>
          <w:noProof/>
        </w:rPr>
        <w:fldChar w:fldCharType="end"/>
      </w:r>
      <w:r w:rsidRPr="005B0796">
        <w:t>.</w:t>
      </w:r>
      <w:r w:rsidR="00D30A3C">
        <w:rPr>
          <w:noProof/>
        </w:rPr>
        <w:fldChar w:fldCharType="begin"/>
      </w:r>
      <w:r w:rsidR="00D30A3C">
        <w:rPr>
          <w:noProof/>
        </w:rPr>
        <w:instrText xml:space="preserve"> SEQ Figure \* ARABIC \s 1 </w:instrText>
      </w:r>
      <w:r w:rsidR="00D30A3C">
        <w:rPr>
          <w:noProof/>
        </w:rPr>
        <w:fldChar w:fldCharType="separate"/>
      </w:r>
      <w:r w:rsidR="006E0148">
        <w:rPr>
          <w:noProof/>
        </w:rPr>
        <w:t>9</w:t>
      </w:r>
      <w:r w:rsidR="00D30A3C">
        <w:rPr>
          <w:noProof/>
        </w:rPr>
        <w:fldChar w:fldCharType="end"/>
      </w:r>
      <w:r w:rsidRPr="005B0796">
        <w:tab/>
        <w:t>Estimated proportions for maximum number of standard drinks consumed on a single occasion in the last 12 months in Transitioned ADF compared to the Australian Community by age</w:t>
      </w:r>
      <w:bookmarkEnd w:id="1293"/>
      <w:bookmarkEnd w:id="1294"/>
    </w:p>
    <w:tbl>
      <w:tblPr>
        <w:tblW w:w="5000" w:type="pct"/>
        <w:tblLayout w:type="fixed"/>
        <w:tblCellMar>
          <w:left w:w="115" w:type="dxa"/>
          <w:right w:w="115" w:type="dxa"/>
        </w:tblCellMar>
        <w:tblLook w:val="04A0" w:firstRow="1" w:lastRow="0" w:firstColumn="1" w:lastColumn="0" w:noHBand="0" w:noVBand="1"/>
      </w:tblPr>
      <w:tblGrid>
        <w:gridCol w:w="11520"/>
      </w:tblGrid>
      <w:tr w:rsidR="0086093B" w:rsidRPr="005B0796" w:rsidTr="003D31FD">
        <w:trPr>
          <w:cantSplit/>
        </w:trPr>
        <w:tc>
          <w:tcPr>
            <w:tcW w:w="7315" w:type="dxa"/>
            <w:tcBorders>
              <w:top w:val="nil"/>
              <w:left w:val="nil"/>
              <w:bottom w:val="nil"/>
              <w:right w:val="nil"/>
            </w:tcBorders>
          </w:tcPr>
          <w:p w:rsidR="0086093B" w:rsidRPr="005B0796" w:rsidRDefault="0086093B" w:rsidP="003D31FD">
            <w:pPr>
              <w:jc w:val="center"/>
            </w:pPr>
            <w:r w:rsidRPr="005B0796">
              <w:rPr>
                <w:rFonts w:asciiTheme="minorHAnsi" w:hAnsiTheme="minorHAnsi"/>
                <w:noProof/>
                <w:lang w:eastAsia="en-AU"/>
              </w:rPr>
              <w:drawing>
                <wp:inline distT="0" distB="0" distL="0" distR="0" wp14:anchorId="7ED795AE" wp14:editId="2F962C06">
                  <wp:extent cx="7132320" cy="3474720"/>
                  <wp:effectExtent l="0" t="0" r="0" b="0"/>
                  <wp:docPr id="327" name="Chart 327" descr="Figure 6.9 Estimated proportions for maximum number of standard drinks consumed on a single occasion in the last 12 months in Transitioned ADF compared to the Australian Community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c>
      </w:tr>
    </w:tbl>
    <w:p w:rsidR="0086093B" w:rsidRPr="005B0796" w:rsidRDefault="0086093B" w:rsidP="0086093B"/>
    <w:p w:rsidR="0086093B" w:rsidRPr="005B0796" w:rsidRDefault="0086093B" w:rsidP="0086093B">
      <w:pPr>
        <w:sectPr w:rsidR="0086093B" w:rsidRPr="005B0796" w:rsidSect="003D31FD">
          <w:footerReference w:type="even" r:id="rId282"/>
          <w:footerReference w:type="default" r:id="rId283"/>
          <w:pgSz w:w="14170" w:h="9979" w:orient="landscape" w:code="243"/>
          <w:pgMar w:top="1728" w:right="1440" w:bottom="1152" w:left="1440" w:header="576" w:footer="576" w:gutter="0"/>
          <w:cols w:space="708"/>
          <w:docGrid w:linePitch="360"/>
        </w:sectPr>
      </w:pPr>
    </w:p>
    <w:p w:rsidR="0086093B" w:rsidRPr="005B0796" w:rsidRDefault="006866ED" w:rsidP="006B0AC1">
      <w:pPr>
        <w:pStyle w:val="Heading1"/>
      </w:pPr>
      <w:bookmarkStart w:id="1295" w:name="_Toc494449774"/>
      <w:bookmarkStart w:id="1296" w:name="_Toc511900356"/>
      <w:r w:rsidRPr="005B0796">
        <w:t>Discussion</w:t>
      </w:r>
      <w:bookmarkEnd w:id="1295"/>
      <w:bookmarkEnd w:id="1296"/>
    </w:p>
    <w:p w:rsidR="006866ED" w:rsidRPr="005B0796" w:rsidRDefault="006866ED" w:rsidP="006B0AC1">
      <w:r w:rsidRPr="005B0796">
        <w:t xml:space="preserve">The key objective of this report was to document the mental health and wellbeing of </w:t>
      </w:r>
      <w:r w:rsidRPr="005B0796">
        <w:rPr>
          <w:szCs w:val="22"/>
        </w:rPr>
        <w:t xml:space="preserve">24,932 </w:t>
      </w:r>
      <w:r w:rsidRPr="005B0796">
        <w:t xml:space="preserve">ADF members who transitioned from the Regular ADF between 2010 and 2014. This evidence base is a fundamental component of the work underway at DVA and Defence to enhance transition processes. It also builds on the ground-breaking work of the Military Health Outcomes Program </w:t>
      </w:r>
      <w:r w:rsidRPr="005B0796">
        <w:fldChar w:fldCharType="begin"/>
      </w:r>
      <w:r w:rsidRPr="005B0796">
        <w:instrText xml:space="preserve"> ADDIN EN.CITE &lt;EndNote&gt;&lt;Cite&gt;&lt;Author&gt;Commonwealth of Australia&lt;/Author&gt;&lt;Year&gt;2017&lt;/Year&gt;&lt;RecNum&gt;975&lt;/RecNum&gt;&lt;DisplayText&gt;(Commonwealth of Australia, 2017)&lt;/DisplayText&gt;&lt;record&gt;&lt;rec-number&gt;975&lt;/rec-number&gt;&lt;foreign-keys&gt;&lt;key app="EN" db-id="arwdrezp9sdawxevtfyxtfw10exvr5exxfed" timestamp="1499128666"&gt;975&lt;/key&gt;&lt;/foreign-keys&gt;&lt;ref-type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5B0796">
        <w:fldChar w:fldCharType="separate"/>
      </w:r>
      <w:r w:rsidRPr="005B0796">
        <w:t>(Commonwealth of Australia, 2017)</w:t>
      </w:r>
      <w:r w:rsidRPr="005B0796">
        <w:fldChar w:fldCharType="end"/>
      </w:r>
      <w:r w:rsidRPr="005B0796">
        <w:t xml:space="preserve">. This report describes the characteristics of the population, provides population-level estimates of diagnosable mental disorders and maps potential risk and protective factors associated with mental disorders in the Transitioned ADF population. The report also compares the self-reported mental health and wellbeing outcomes of this population with a contemporary sample of 2015 Regular ADF members and the Australian Community. A secondary aim was to map the mental health and wellbeing outcomes of 2015 Regular ADF members against findings from the 2010 ADF </w:t>
      </w:r>
      <w:r w:rsidRPr="005B0796">
        <w:rPr>
          <w:szCs w:val="22"/>
        </w:rPr>
        <w:t>Mental Health Prevalence and Wellbeing Study (MHPWS),</w:t>
      </w:r>
      <w:r w:rsidRPr="005B0796">
        <w:t xml:space="preserve"> to provide an indication of change in mental health in the Regular ADF since 2010. </w:t>
      </w:r>
    </w:p>
    <w:p w:rsidR="006866ED" w:rsidRPr="005B0796" w:rsidRDefault="006866ED" w:rsidP="006B0AC1">
      <w:r w:rsidRPr="005B0796">
        <w:t xml:space="preserve">Section 7.1 describes the Transitioned ADF and discusses the rates of diagnosable mental disorders, including comorbidity and suicidality, broken down by key demographic, service-related and transition-specific factors. The section ends with a brief discussion of the differences between the rates of </w:t>
      </w:r>
      <w:r w:rsidRPr="005B0796">
        <w:rPr>
          <w:szCs w:val="22"/>
        </w:rPr>
        <w:t>International Statistical Classification of Diseases and Related Health Problems – 10th Revision</w:t>
      </w:r>
      <w:r w:rsidRPr="005B0796">
        <w:rPr>
          <w:rFonts w:eastAsia="MS ??" w:cs="Calibri"/>
          <w:szCs w:val="22"/>
        </w:rPr>
        <w:t xml:space="preserve"> (</w:t>
      </w:r>
      <w:r w:rsidRPr="005B0796">
        <w:t>ICD</w:t>
      </w:r>
      <w:r w:rsidRPr="005B0796">
        <w:noBreakHyphen/>
        <w:t xml:space="preserve">10) disorders in the Transitioned ADF in 2015 and the 2010 Regular ADF, to contextualise the Transitioned ADF results. Section 7.2 summarises rates of self-reported mental health and wellbeing outcomes for the Transitioned ADF, then compares rates to those for the 2015 Regular ADF. The mental health and wellbeing of the 2015 Regular ADF is also compared to </w:t>
      </w:r>
      <w:r w:rsidR="00963618">
        <w:t xml:space="preserve">that of </w:t>
      </w:r>
      <w:r w:rsidRPr="005B0796">
        <w:t xml:space="preserve">the 2010 Regular ADF. In section 7.3, rates of self-reported psychological distress and alcohol use in the Transitioned ADF are compared to a matched sample from the Australian Community. Because </w:t>
      </w:r>
      <w:r w:rsidRPr="005B0796">
        <w:rPr>
          <w:szCs w:val="22"/>
        </w:rPr>
        <w:t xml:space="preserve">the </w:t>
      </w:r>
      <w:r w:rsidRPr="005B0796">
        <w:t>2014–2015 Australian Bureau of Statistics (ABS) National Health Survey</w:t>
      </w:r>
      <w:r w:rsidRPr="005B0796" w:rsidDel="00A905DD">
        <w:rPr>
          <w:szCs w:val="22"/>
        </w:rPr>
        <w:t xml:space="preserve"> </w:t>
      </w:r>
      <w:r w:rsidRPr="005B0796">
        <w:rPr>
          <w:szCs w:val="22"/>
        </w:rPr>
        <w:t>(NHS) is an independent study, the data has not been socio-demographically matched to the Transitioned ADF population. Finally, the</w:t>
      </w:r>
      <w:r w:rsidRPr="005B0796">
        <w:t xml:space="preserve"> study findings are considered in the context of previous Australian research into the health and wellbeing of ADF members, and against comparable international studies. Implications for service and treatment provision, government policy, and future research directions are discussed.</w:t>
      </w:r>
    </w:p>
    <w:p w:rsidR="006866ED" w:rsidRPr="005B0796" w:rsidRDefault="006866ED" w:rsidP="006B0AC1">
      <w:pPr>
        <w:pStyle w:val="Heading2"/>
      </w:pPr>
      <w:bookmarkStart w:id="1297" w:name="_Toc482021410"/>
      <w:bookmarkStart w:id="1298" w:name="_Toc482024502"/>
      <w:bookmarkStart w:id="1299" w:name="_Toc484767271"/>
      <w:bookmarkStart w:id="1300" w:name="_Toc487011255"/>
      <w:bookmarkStart w:id="1301" w:name="_Toc493663150"/>
      <w:bookmarkStart w:id="1302" w:name="_Toc494449775"/>
      <w:bookmarkStart w:id="1303" w:name="_Toc511900357"/>
      <w:r w:rsidRPr="005B0796">
        <w:t>The Transitioned ADF</w:t>
      </w:r>
      <w:bookmarkEnd w:id="1297"/>
      <w:bookmarkEnd w:id="1298"/>
      <w:bookmarkEnd w:id="1299"/>
      <w:bookmarkEnd w:id="1300"/>
      <w:bookmarkEnd w:id="1301"/>
      <w:bookmarkEnd w:id="1302"/>
      <w:bookmarkEnd w:id="1303"/>
    </w:p>
    <w:p w:rsidR="006866ED" w:rsidRPr="005B0796" w:rsidRDefault="006866ED" w:rsidP="006B0AC1">
      <w:pPr>
        <w:pStyle w:val="Heading3"/>
        <w:rPr>
          <w:lang w:eastAsia="en-AU"/>
        </w:rPr>
      </w:pPr>
      <w:bookmarkStart w:id="1304" w:name="_Toc487011256"/>
      <w:bookmarkStart w:id="1305" w:name="_Toc493663151"/>
      <w:bookmarkStart w:id="1306" w:name="_Toc494449776"/>
      <w:bookmarkStart w:id="1307" w:name="_Toc511900358"/>
      <w:r w:rsidRPr="005B0796">
        <w:rPr>
          <w:lang w:eastAsia="en-AU"/>
        </w:rPr>
        <w:t>Socio-demographic characteristics</w:t>
      </w:r>
      <w:bookmarkEnd w:id="1304"/>
      <w:bookmarkEnd w:id="1305"/>
      <w:bookmarkEnd w:id="1306"/>
      <w:bookmarkEnd w:id="1307"/>
    </w:p>
    <w:p w:rsidR="006866ED" w:rsidRPr="005B0796" w:rsidRDefault="006866ED" w:rsidP="006B0AC1">
      <w:r w:rsidRPr="005B0796">
        <w:t>The majority of ADF members who transitioned from the Regular ADF between 2010 and 2014 (Transitioned ADF) were aged 28–47 (56.2%), male (86.9%), in a significant relationship (74.7%) and in the lower ranks (52.2%). Consistent with the greater number of Army members in the ADF, the majority of those who transitioned were also Army</w:t>
      </w:r>
      <w:r w:rsidR="00963618">
        <w:t xml:space="preserve"> members</w:t>
      </w:r>
      <w:r w:rsidRPr="005B0796">
        <w:t xml:space="preserve">. Just over one-third of Transitioned ADF had served 4–7.9 years in the Regular ADF (36.2%), followed by 23.2% who had served for 20+ years. </w:t>
      </w:r>
    </w:p>
    <w:p w:rsidR="006866ED" w:rsidRPr="005B0796" w:rsidRDefault="006866ED" w:rsidP="006B0AC1">
      <w:pPr>
        <w:rPr>
          <w:rFonts w:eastAsia="MS ??"/>
        </w:rPr>
      </w:pPr>
      <w:r w:rsidRPr="005B0796">
        <w:t xml:space="preserve">Just under half (43.3%) of the Transitioned ADF were Ex-Serving (discharged) at the time of completing the survey, and were no longer engaged with Defence in a Reservist role. A quarter of the Transitioned ADF had remained as Active Reservists (25.7%) and were engaged with Defence for a specified number of days per year; 30.1% were Inactive Reservists and their contact with Defence was variable – for some, there was no ongoing contact. </w:t>
      </w:r>
    </w:p>
    <w:p w:rsidR="006866ED" w:rsidRPr="005B0796" w:rsidRDefault="006866ED" w:rsidP="006B0AC1">
      <w:pPr>
        <w:rPr>
          <w:szCs w:val="22"/>
        </w:rPr>
      </w:pPr>
      <w:r w:rsidRPr="005B0796">
        <w:t xml:space="preserve">The most common type of discharge/resignation reported was </w:t>
      </w:r>
      <w:r w:rsidR="00462A0C" w:rsidRPr="005B0796">
        <w:t>‘</w:t>
      </w:r>
      <w:r w:rsidRPr="005B0796">
        <w:t>own request</w:t>
      </w:r>
      <w:r w:rsidR="00462A0C" w:rsidRPr="005B0796">
        <w:t>’</w:t>
      </w:r>
      <w:r w:rsidRPr="005B0796">
        <w:t xml:space="preserve"> (53.7%), with more than 60% being voluntarily discharged</w:t>
      </w:r>
      <w:r w:rsidR="00963618">
        <w:t>,</w:t>
      </w:r>
      <w:r w:rsidRPr="005B0796">
        <w:t xml:space="preserve"> or discharged due to a fixed period of service ending. </w:t>
      </w:r>
      <w:r w:rsidRPr="005B0796">
        <w:rPr>
          <w:szCs w:val="22"/>
        </w:rPr>
        <w:t xml:space="preserve">Just over 20% of the Transitioned ADF were estimated to have been medically discharged, with their employment terminated by the ADF </w:t>
      </w:r>
      <w:r w:rsidRPr="005B0796">
        <w:rPr>
          <w:rFonts w:eastAsia="MS ??"/>
          <w:szCs w:val="22"/>
        </w:rPr>
        <w:t>on the grounds of permanent or at least long-term unfitness to serve, or unfitness for deployment to operational (war-like) service.</w:t>
      </w:r>
      <w:r w:rsidRPr="005B0796">
        <w:rPr>
          <w:szCs w:val="22"/>
        </w:rPr>
        <w:t xml:space="preserve"> The most commonly reported reason for leaving the ADF related to family and lifestyle, including the impact of military service on family, and on mental and physical health, and to improve career prospects in the civilian domain. The impact of mental disorders on the children and partners of Serving and Ex-Serving ADF members was also an important issue that will be addressed in the Family Wellbeing Study.</w:t>
      </w:r>
    </w:p>
    <w:p w:rsidR="006866ED" w:rsidRPr="005B0796" w:rsidRDefault="006866ED" w:rsidP="006B0AC1">
      <w:r w:rsidRPr="005B0796">
        <w:t xml:space="preserve">In relation to civilian employment, almost two-thirds of the Transitioned ADF reported being employed at the time of completing the survey, with most employed in government administration (including Defence), mining, construction, transport and storage occupations. An estimated 5.5% were retired. When the spectrum of roles, including studying, were taken into account, approximately 84% of the Transitioned ADF were either working or engaged in some purposeful activity. Thus, overall it would appear that, despite the prevalence of psychiatric morbidity in this population (as will be discussed later in this Discussion), the majority of Transitioned ADF members are in the civilian workforce. </w:t>
      </w:r>
    </w:p>
    <w:p w:rsidR="006866ED" w:rsidRPr="005B0796" w:rsidRDefault="006866ED" w:rsidP="006B0AC1">
      <w:r w:rsidRPr="005B0796">
        <w:t xml:space="preserve">There are known risk factors for social disadvantage in the literature that can contribute to mental health issues </w:t>
      </w:r>
      <w:r w:rsidRPr="005B0796">
        <w:fldChar w:fldCharType="begin"/>
      </w:r>
      <w:r w:rsidRPr="005B0796">
        <w:instrText xml:space="preserve"> ADDIN EN.CITE &lt;EndNote&gt;&lt;Cite&gt;&lt;Author&gt;Australian Bureau of Statistics&lt;/Author&gt;&lt;Year&gt;2010&lt;/Year&gt;&lt;RecNum&gt;989&lt;/RecNum&gt;&lt;DisplayText&gt;(Australian Bureau of Statistics, 2010)&lt;/DisplayText&gt;&lt;record&gt;&lt;rec-number&gt;989&lt;/rec-number&gt;&lt;foreign-keys&gt;&lt;key app="EN" db-id="arwdrezp9sdawxevtfyxtfw10exvr5exxfed" timestamp="1499148913"&gt;989&lt;/key&gt;&lt;/foreign-keys&gt;&lt;ref-type name="Electronic Article"&gt;43&lt;/ref-type&gt;&lt;contributors&gt;&lt;authors&gt;&lt;author&gt;Australian Bureau of Statistics,&lt;/author&gt;&lt;/authors&gt;&lt;/contributors&gt;&lt;titles&gt;&lt;title&gt;Health and socioeconomic disadvantage&lt;/title&gt;&lt;/titles&gt;&lt;dates&gt;&lt;year&gt;2010&lt;/year&gt;&lt;/dates&gt;&lt;pub-location&gt;ABS social trends 4102&lt;/pub-location&gt;&lt;publisher&gt;Australian Bureau of Statistics&lt;/publisher&gt;&lt;urls&gt;&lt;related-urls&gt;&lt;url&gt;http://www.ausstats.abs.gov.au/Ausstats/subscriber.nsf/0/5703A93771AE2E4ECA2576E70016C8D3/$File/41020_%20healthandseifa.pdf&lt;/url&gt;&lt;/related-urls&gt;&lt;/urls&gt;&lt;/record&gt;&lt;/Cite&gt;&lt;/EndNote&gt;</w:instrText>
      </w:r>
      <w:r w:rsidRPr="005B0796">
        <w:fldChar w:fldCharType="separate"/>
      </w:r>
      <w:r w:rsidRPr="005B0796">
        <w:t>(Australian Bureau of Statistics, 2010)</w:t>
      </w:r>
      <w:r w:rsidRPr="005B0796">
        <w:fldChar w:fldCharType="end"/>
      </w:r>
      <w:r w:rsidRPr="005B0796">
        <w:t>. Key factors captured in this Programme include unemployment, incarceration, housing instability – including homelessness – and receiving disability payments. Tho</w:t>
      </w:r>
      <w:r w:rsidR="00963618">
        <w:t>se in the Transitioned ADF who we</w:t>
      </w:r>
      <w:r w:rsidRPr="005B0796">
        <w:t xml:space="preserve">re potentially at greatest risk were a small subset (5.2%) who reported being unemployed at the time of the survey. In addition, just under half of Transitioned ADF members reported being unemployed for a period of three months or more after transitioning from the Regular ADF. There was also a very small proportion who reported being arrested or incarcerated since transition (an estimated 5.1%), and approximately 3.4% who reported that they had not been living in stable housing in the two months before completing the survey. </w:t>
      </w:r>
    </w:p>
    <w:p w:rsidR="006866ED" w:rsidRPr="005B0796" w:rsidRDefault="006866ED" w:rsidP="006B0AC1">
      <w:r w:rsidRPr="005B0796">
        <w:t xml:space="preserve">Particularly for Ex-Serving members, employment is an important domain of social engagement. However, there is evidence from longitudinal research that those in poor-quality jobs have little gain in their social advantage compared to the unemployed. Equally, these individuals may struggle to move into better-quality work </w:t>
      </w:r>
      <w:r w:rsidRPr="005B0796">
        <w:fldChar w:fldCharType="begin"/>
      </w:r>
      <w:r w:rsidRPr="005B0796">
        <w:instrText xml:space="preserve"> ADDIN EN.CITE &lt;EndNote&gt;&lt;Cite&gt;&lt;Author&gt;Leach&lt;/Author&gt;&lt;Year&gt;2010&lt;/Year&gt;&lt;RecNum&gt;541&lt;/RecNum&gt;&lt;DisplayText&gt;(Leach et al., 2010)&lt;/DisplayText&gt;&lt;record&gt;&lt;rec-number&gt;541&lt;/rec-number&gt;&lt;foreign-keys&gt;&lt;key app="EN" db-id="arwdrezp9sdawxevtfyxtfw10exvr5exxfed" timestamp="1479079307"&gt;541&lt;/key&gt;&lt;/foreign-keys&gt;&lt;ref-type name="Journal Article"&gt;17&lt;/ref-type&gt;&lt;contributors&gt;&lt;authors&gt;&lt;author&gt;Leach, L. S.&lt;/author&gt;&lt;author&gt;Butterworth, P.&lt;/author&gt;&lt;author&gt;Strazdins, L.&lt;/author&gt;&lt;author&gt;Rodgers, B.&lt;/author&gt;&lt;author&gt;Broom, D. H.&lt;/author&gt;&lt;author&gt;Olesen, S. C.&lt;/author&gt;&lt;/authors&gt;&lt;/contributors&gt;&lt;auth-address&gt;Centre for Mental Health Research, The Australian National University, Canberra, 0200, Australia. Liana.Leach@anu.edu.au&lt;/auth-address&gt;&lt;titles&gt;&lt;title&gt;The limitations of employment as a tool for social inclusion&lt;/title&gt;&lt;secondary-title&gt;BMC Public Health&lt;/secondary-title&gt;&lt;alt-title&gt;BMC public health&lt;/alt-title&gt;&lt;/titles&gt;&lt;periodical&gt;&lt;full-title&gt;BMC Public Health&lt;/full-title&gt;&lt;/periodical&gt;&lt;alt-periodical&gt;&lt;full-title&gt;BMC Public Health&lt;/full-title&gt;&lt;/alt-periodical&gt;&lt;pages&gt;621&lt;/pages&gt;&lt;volume&gt;10&lt;/volume&gt;&lt;keywords&gt;&lt;keyword&gt;Adult&lt;/keyword&gt;&lt;keyword&gt;*Employment&lt;/keyword&gt;&lt;keyword&gt;Health Status&lt;/keyword&gt;&lt;keyword&gt;Humans&lt;/keyword&gt;&lt;keyword&gt;Job Satisfaction&lt;/keyword&gt;&lt;keyword&gt;Longitudinal Studies&lt;/keyword&gt;&lt;keyword&gt;Mental Health&lt;/keyword&gt;&lt;keyword&gt;Middle Aged&lt;/keyword&gt;&lt;keyword&gt;Personal Satisfaction&lt;/keyword&gt;&lt;keyword&gt;*Socialization&lt;/keyword&gt;&lt;keyword&gt;South Australia&lt;/keyword&gt;&lt;keyword&gt;Young Adult&lt;/keyword&gt;&lt;/keywords&gt;&lt;dates&gt;&lt;year&gt;2010&lt;/year&gt;&lt;pub-dates&gt;&lt;date&gt;Oct 19&lt;/date&gt;&lt;/pub-dates&gt;&lt;/dates&gt;&lt;isbn&gt;1471-2458 (Electronic)&amp;#xD;1471-2458 (Linking)&lt;/isbn&gt;&lt;accession-num&gt;20955623&lt;/accession-num&gt;&lt;urls&gt;&lt;related-urls&gt;&lt;url&gt;http://www.ncbi.nlm.nih.gov/pubmed/20955623&lt;/url&gt;&lt;/related-urls&gt;&lt;/urls&gt;&lt;custom2&gt;2972242&lt;/custom2&gt;&lt;electronic-resource-num&gt;10.1186/1471-2458-10-621&lt;/electronic-resource-num&gt;&lt;/record&gt;&lt;/Cite&gt;&lt;/EndNote&gt;</w:instrText>
      </w:r>
      <w:r w:rsidRPr="005B0796">
        <w:fldChar w:fldCharType="separate"/>
      </w:r>
      <w:r w:rsidRPr="005B0796">
        <w:t>(Leach et al., 2010)</w:t>
      </w:r>
      <w:r w:rsidRPr="005B0796">
        <w:fldChar w:fldCharType="end"/>
      </w:r>
      <w:r w:rsidRPr="005B0796">
        <w:t xml:space="preserve">. In part, this is a consequence of having psychological disorders and, even when treated, remaining at a significant disadvantage in terms of workplace performance </w:t>
      </w:r>
      <w:r w:rsidRPr="005B0796">
        <w:fldChar w:fldCharType="begin">
          <w:fldData xml:space="preserve">PEVuZE5vdGU+PENpdGU+PEF1dGhvcj5BZGxlcjwvQXV0aG9yPjxZZWFyPjIwMDY8L1llYXI+PFJl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</w:fldData>
        </w:fldChar>
      </w:r>
      <w:r w:rsidRPr="005B0796">
        <w:instrText xml:space="preserve"> ADDIN EN.CITE </w:instrText>
      </w:r>
      <w:r w:rsidRPr="005B0796">
        <w:fldChar w:fldCharType="begin">
          <w:fldData xml:space="preserve">PEVuZE5vdGU+PENpdGU+PEF1dGhvcj5BZGxlcjwvQXV0aG9yPjxZZWFyPjIwMDY8L1llYXI+PFJl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</w:fldData>
        </w:fldChar>
      </w:r>
      <w:r w:rsidRPr="005B0796">
        <w:instrText xml:space="preserve"> ADDIN EN.CITE.DATA </w:instrText>
      </w:r>
      <w:r w:rsidRPr="005B0796">
        <w:fldChar w:fldCharType="end"/>
      </w:r>
      <w:r w:rsidRPr="005B0796">
        <w:fldChar w:fldCharType="separate"/>
      </w:r>
      <w:r w:rsidRPr="005B0796">
        <w:t>(Adler et al., 2006)</w:t>
      </w:r>
      <w:r w:rsidRPr="005B0796">
        <w:fldChar w:fldCharType="end"/>
      </w:r>
      <w:r w:rsidRPr="005B0796">
        <w:t xml:space="preserve">. </w:t>
      </w:r>
    </w:p>
    <w:p w:rsidR="006866ED" w:rsidRPr="005B0796" w:rsidRDefault="006866ED" w:rsidP="006B0AC1">
      <w:r w:rsidRPr="005B0796">
        <w:t>Employment has the capacity to increase one</w:t>
      </w:r>
      <w:r w:rsidR="00462A0C" w:rsidRPr="005B0796">
        <w:t>’</w:t>
      </w:r>
      <w:r w:rsidRPr="005B0796">
        <w:t>s sense of purpose and social engagement, but it can also pose a risk to the individual</w:t>
      </w:r>
      <w:r w:rsidR="00462A0C" w:rsidRPr="005B0796">
        <w:t>’</w:t>
      </w:r>
      <w:r w:rsidRPr="005B0796">
        <w:t xml:space="preserve">s mental health if the employment is characterised by little control of the work environment and low job security, particularly for unskilled workers </w:t>
      </w:r>
      <w:r w:rsidRPr="005B0796">
        <w:fldChar w:fldCharType="begin">
          <w:fldData xml:space="preserve">PEVuZE5vdGU+PENpdGU+PEF1dGhvcj5TdHJhemRpbnM8L0F1dGhvcj48WWVhcj4yMDExPC9ZZWFy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</w:fldData>
        </w:fldChar>
      </w:r>
      <w:r w:rsidRPr="005B0796">
        <w:instrText xml:space="preserve"> ADDIN EN.CITE </w:instrText>
      </w:r>
      <w:r w:rsidRPr="005B0796">
        <w:fldChar w:fldCharType="begin">
          <w:fldData xml:space="preserve">PEVuZE5vdGU+PENpdGU+PEF1dGhvcj5TdHJhemRpbnM8L0F1dGhvcj48WWVhcj4yMDExPC9ZZWFy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</w:fldData>
        </w:fldChar>
      </w:r>
      <w:r w:rsidRPr="005B0796">
        <w:instrText xml:space="preserve"> ADDIN EN.CITE.DATA </w:instrText>
      </w:r>
      <w:r w:rsidRPr="005B0796">
        <w:fldChar w:fldCharType="end"/>
      </w:r>
      <w:r w:rsidRPr="005B0796">
        <w:fldChar w:fldCharType="separate"/>
      </w:r>
      <w:r w:rsidRPr="005B0796">
        <w:t>(Strazdins et al., 2011)</w:t>
      </w:r>
      <w:r w:rsidRPr="005B0796">
        <w:fldChar w:fldCharType="end"/>
      </w:r>
      <w:r w:rsidRPr="005B0796">
        <w:t xml:space="preserve">. The importance of Transitioned ADF members gaining quality employment is critical to their long-term physical and mental health outcomes </w:t>
      </w:r>
      <w:r w:rsidRPr="005B0796">
        <w:fldChar w:fldCharType="begin">
          <w:fldData xml:space="preserve">PEVuZE5vdGU+PENpdGU+PEF1dGhvcj5CdXR0ZXJ3b3J0aDwvQXV0aG9yPjxZZWFyPjIwMTM8L1ll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</w:fldData>
        </w:fldChar>
      </w:r>
      <w:r w:rsidRPr="005B0796">
        <w:instrText xml:space="preserve"> ADDIN EN.CITE </w:instrText>
      </w:r>
      <w:r w:rsidRPr="005B0796">
        <w:fldChar w:fldCharType="begin">
          <w:fldData xml:space="preserve">PEVuZE5vdGU+PENpdGU+PEF1dGhvcj5CdXR0ZXJ3b3J0aDwvQXV0aG9yPjxZZWFyPjIwMTM8L1ll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</w:fldData>
        </w:fldChar>
      </w:r>
      <w:r w:rsidRPr="005B0796">
        <w:instrText xml:space="preserve"> ADDIN EN.CITE.DATA </w:instrText>
      </w:r>
      <w:r w:rsidRPr="005B0796">
        <w:fldChar w:fldCharType="end"/>
      </w:r>
      <w:r w:rsidRPr="005B0796">
        <w:fldChar w:fldCharType="separate"/>
      </w:r>
      <w:r w:rsidRPr="005B0796">
        <w:t>(Butterworth et al., 2013; Butterworth et al., 2011)</w:t>
      </w:r>
      <w:r w:rsidRPr="005B0796">
        <w:fldChar w:fldCharType="end"/>
      </w:r>
      <w:r w:rsidRPr="005B0796">
        <w:t>.</w:t>
      </w:r>
    </w:p>
    <w:p w:rsidR="006866ED" w:rsidRPr="005B0796" w:rsidRDefault="006866ED" w:rsidP="006B0AC1">
      <w:r w:rsidRPr="005B0796">
        <w:t xml:space="preserve">In contrast to many other environments, there are unique opportunities for DVA and Defence to assist in transition and provide structured programs that address these aspects of employment, particularly for </w:t>
      </w:r>
      <w:r w:rsidR="00963618">
        <w:t xml:space="preserve">those </w:t>
      </w:r>
      <w:r w:rsidRPr="005B0796">
        <w:t>who are having difficulties with their mental health. This issue requires further focused analysis.</w:t>
      </w:r>
    </w:p>
    <w:p w:rsidR="006866ED" w:rsidRPr="005B0796" w:rsidRDefault="006866ED" w:rsidP="006B0AC1">
      <w:pPr>
        <w:rPr>
          <w:szCs w:val="22"/>
        </w:rPr>
      </w:pPr>
      <w:r w:rsidRPr="005B0796">
        <w:t>The 2016 Prime Minister</w:t>
      </w:r>
      <w:r w:rsidR="00462A0C" w:rsidRPr="005B0796">
        <w:t>’</w:t>
      </w:r>
      <w:r w:rsidRPr="005B0796">
        <w:t>s Veterans</w:t>
      </w:r>
      <w:r w:rsidR="00462A0C" w:rsidRPr="005B0796">
        <w:t>’</w:t>
      </w:r>
      <w:r w:rsidRPr="005B0796">
        <w:t xml:space="preserve"> Employment Program (VEP), for example, aims to raise awareness of the unique skills and experience that ex-serving ADF members can bring to the civilian workplace. It also aims to promote greater employment opportunities in the private sector for these individuals. The program includes several initiatives involving the public and private sectors and ex-service organisations. The Industry Advisory Committee is also looking at opportunities to enhance employment for the spouses and partners of ex-serving members</w:t>
      </w:r>
      <w:r w:rsidRPr="005B0796">
        <w:rPr>
          <w:szCs w:val="22"/>
        </w:rPr>
        <w:t xml:space="preserve">. Focused analysis of the Transition and Wellbeing Research Programme data will further inform implementation of these types of initiatives </w:t>
      </w:r>
      <w:r w:rsidRPr="005B0796">
        <w:rPr>
          <w:szCs w:val="22"/>
        </w:rPr>
        <w:fldChar w:fldCharType="begin"/>
      </w:r>
      <w:r w:rsidRPr="005B0796">
        <w:rPr>
          <w:szCs w:val="22"/>
        </w:rPr>
        <w:instrText xml:space="preserve"> ADDIN EN.CITE &lt;EndNote&gt;&lt;Cite&gt;&lt;Author&gt;Commonwealth of Australia&lt;/Author&gt;&lt;Year&gt;2017&lt;/Year&gt;&lt;RecNum&gt;975&lt;/RecNum&gt;&lt;DisplayText&gt;(Commonwealth of Australia, 2017)&lt;/DisplayText&gt;&lt;record&gt;&lt;rec-number&gt;975&lt;/rec-number&gt;&lt;foreign-keys&gt;&lt;key app="EN" db-id="arwdrezp9sdawxevtfyxtfw10exvr5exxfed" timestamp="1499128666"&gt;975&lt;/key&gt;&lt;/foreign-keys&gt;&lt;ref-type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5B0796">
        <w:rPr>
          <w:szCs w:val="22"/>
        </w:rPr>
        <w:fldChar w:fldCharType="separate"/>
      </w:r>
      <w:r w:rsidRPr="005B0796">
        <w:rPr>
          <w:szCs w:val="22"/>
        </w:rPr>
        <w:t>(Commonwealth of Australia, 2017)</w:t>
      </w:r>
      <w:r w:rsidRPr="005B0796">
        <w:rPr>
          <w:szCs w:val="22"/>
        </w:rPr>
        <w:fldChar w:fldCharType="end"/>
      </w:r>
      <w:r w:rsidRPr="005B0796">
        <w:rPr>
          <w:szCs w:val="22"/>
        </w:rPr>
        <w:t>.</w:t>
      </w:r>
    </w:p>
    <w:p w:rsidR="006866ED" w:rsidRPr="005B0796" w:rsidRDefault="006866ED" w:rsidP="006B0AC1">
      <w:r w:rsidRPr="005B0796">
        <w:t>One group of particular interest, and who may be at significant risk</w:t>
      </w:r>
      <w:r w:rsidR="00963618">
        <w:t>,</w:t>
      </w:r>
      <w:r w:rsidRPr="005B0796">
        <w:t xml:space="preserve"> are the 9.8% on some form of disability support pension, as well as those discharged from the ADF on a medical discharge but who have not yet engaged with DVA. The number of Transitioned ADF identified as currently receiving treatment support is relatively high (43.6%) with more than one</w:t>
      </w:r>
      <w:r w:rsidR="00963618">
        <w:t>-</w:t>
      </w:r>
      <w:r w:rsidRPr="005B0796">
        <w:t>third reporting the receipt of white card support and further four per</w:t>
      </w:r>
      <w:r w:rsidR="00A55B02" w:rsidRPr="005B0796">
        <w:t xml:space="preserve"> </w:t>
      </w:r>
      <w:r w:rsidRPr="005B0796">
        <w:t>cent holding a DVA gold card. However, it is possible that a small proportion of those who were medically discharged continue to remain disengaged with DVA and may therefore be at particular risk.</w:t>
      </w:r>
    </w:p>
    <w:p w:rsidR="006866ED" w:rsidRPr="005B0796" w:rsidRDefault="006866ED" w:rsidP="006B0AC1">
      <w:r w:rsidRPr="005B0796">
        <w:t xml:space="preserve">Taken together, these socio-demographic characteristics suggest that while the majority of the Transitioned ADF may be healthy and functioning well, a proportion left service unwell, and a smaller subset carry significant risk factors for disadvantage. Interestingly, the socio-demographic profile of the Transitioned ADF presented in this report mirrors that of other international military populations during the transition phase, particularly the Canadian military </w:t>
      </w:r>
      <w:r w:rsidRPr="005B0796">
        <w:fldChar w:fldCharType="begin">
          <w:fldData xml:space="preserve">PEVuZE5vdGU+PENpdGU+PEF1dGhvcj5NYWNMZWFuPC9BdXRob3I+PFllYXI+MjAxNDwvWWVhcj48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</w:fldData>
        </w:fldChar>
      </w:r>
      <w:r w:rsidRPr="005B0796">
        <w:instrText xml:space="preserve"> ADDIN EN.CITE </w:instrText>
      </w:r>
      <w:r w:rsidRPr="005B0796">
        <w:fldChar w:fldCharType="begin">
          <w:fldData xml:space="preserve">PEVuZE5vdGU+PENpdGU+PEF1dGhvcj5NYWNMZWFuPC9BdXRob3I+PFllYXI+MjAxNDwvWWVhcj48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</w:fldData>
        </w:fldChar>
      </w:r>
      <w:r w:rsidRPr="005B0796">
        <w:instrText xml:space="preserve"> ADDIN EN.CITE.DATA </w:instrText>
      </w:r>
      <w:r w:rsidRPr="005B0796">
        <w:fldChar w:fldCharType="end"/>
      </w:r>
      <w:r w:rsidRPr="005B0796">
        <w:fldChar w:fldCharType="separate"/>
      </w:r>
      <w:r w:rsidRPr="005B0796">
        <w:t>(MacLean et al., 2014)</w:t>
      </w:r>
      <w:r w:rsidRPr="005B0796">
        <w:fldChar w:fldCharType="end"/>
      </w:r>
      <w:r w:rsidRPr="005B0796">
        <w:t xml:space="preserve">. </w:t>
      </w:r>
    </w:p>
    <w:p w:rsidR="006866ED" w:rsidRPr="005B0796" w:rsidRDefault="006866ED" w:rsidP="006B0AC1">
      <w:pPr>
        <w:pStyle w:val="Heading3"/>
      </w:pPr>
      <w:bookmarkStart w:id="1308" w:name="_Toc487011257"/>
      <w:bookmarkStart w:id="1309" w:name="_Toc493663152"/>
      <w:bookmarkStart w:id="1310" w:name="_Toc482021411"/>
      <w:bookmarkStart w:id="1311" w:name="_Toc482024503"/>
      <w:bookmarkStart w:id="1312" w:name="_Toc484767272"/>
      <w:bookmarkStart w:id="1313" w:name="_Toc494449777"/>
      <w:bookmarkStart w:id="1314" w:name="_Toc511900359"/>
      <w:r w:rsidRPr="005B0796">
        <w:t>The prevalence of ICD-10 mental disorder</w:t>
      </w:r>
      <w:bookmarkEnd w:id="1308"/>
      <w:bookmarkEnd w:id="1309"/>
      <w:bookmarkEnd w:id="1310"/>
      <w:bookmarkEnd w:id="1311"/>
      <w:bookmarkEnd w:id="1312"/>
      <w:bookmarkEnd w:id="1313"/>
      <w:bookmarkEnd w:id="1314"/>
    </w:p>
    <w:p w:rsidR="006866ED" w:rsidRPr="005B0796" w:rsidRDefault="006866ED" w:rsidP="006B0AC1">
      <w:r w:rsidRPr="005B0796">
        <w:t xml:space="preserve">Consistent with the 2010 MHPWS report, this study examined three classes of common mental disorder: anxiety, affective and alcohol. Almost three-quarters of the Transitioned ADF were estimated to have met ICD-10 criteria for any lifetime mental disorder, with the most common being alcohol disorders (47.5%). Of the Transitioned ADF, 46% were estimated to have met criteria for a lifetime anxiety disorder, and one-quarter to have met criteria for posttraumatic stress disorder (PTSD) in their lifetime. Just under 40% were estimated to have met criteria for a lifetime affective disorder. </w:t>
      </w:r>
    </w:p>
    <w:p w:rsidR="006866ED" w:rsidRPr="005B0796" w:rsidRDefault="006866ED" w:rsidP="006B0AC1">
      <w:r w:rsidRPr="005B0796">
        <w:t>In the past 12 months, it is estimated that nearly half (46.4%) of Transitioned ADF met criteria for an ICD-10 mental disorder. The most common class of 12-month mental disorder among the Transitioned ADF was anxiety, with more than one in three estimated to have met criteria for an anxiety disorder in the past 12 months. PTSD, panic attacks, agoraphobia and social phobia were the most common individual disorders, with 17.7% of the Transitioned ADF estimated to have met criteria for PTSD in the previous 12 months. One in five Transitioned ADF members were estimated to have experienced an affective disorder in the previous 12 months, with the most common type being depressive episodes (11.2%). Alcohol disorders were the least prevalent 12-month mental disorders among the Transitioned ADF</w:t>
      </w:r>
      <w:r w:rsidR="00963618">
        <w:t>,</w:t>
      </w:r>
      <w:r w:rsidRPr="005B0796">
        <w:t xml:space="preserve"> with an estimated 12.9% meeting ICD-10 criteria for a 12-month diagnosis. </w:t>
      </w:r>
    </w:p>
    <w:p w:rsidR="006866ED" w:rsidRPr="005B0796" w:rsidRDefault="006866ED" w:rsidP="006B0AC1">
      <w:r w:rsidRPr="005B0796">
        <w:t>Mental disorder comorbidity among the Transitioned ADF was high. Of the 46.4% of the Transitioned ADF estimated to have a 12-month mental disorder, more than half had at least one mental disorder comorbidity. Overall</w:t>
      </w:r>
      <w:r w:rsidR="00963618">
        <w:t>,</w:t>
      </w:r>
      <w:r w:rsidRPr="005B0796">
        <w:t xml:space="preserve"> 25% of the Transitioned ADF were estimated to meet 12-month criteria for two or more disorder classes. Alcohol disorders were the most common comorbid condition, with approximately 95% of those meeting 12-month criteria for an alcohol disorder also having another mental disorder. In relation to PTSD, over 80% who met 12-month criteria had another comorbid mental disorder. </w:t>
      </w:r>
    </w:p>
    <w:p w:rsidR="006866ED" w:rsidRPr="005B0796" w:rsidRDefault="006866ED" w:rsidP="006B0AC1">
      <w:r w:rsidRPr="005B0796">
        <w:t>Detailed consideration of specific mental disorders is discussed below.</w:t>
      </w:r>
    </w:p>
    <w:p w:rsidR="006866ED" w:rsidRPr="005B0796" w:rsidRDefault="006866ED" w:rsidP="006B0AC1">
      <w:pPr>
        <w:pStyle w:val="Heading3"/>
      </w:pPr>
      <w:bookmarkStart w:id="1315" w:name="_Toc482021413"/>
      <w:bookmarkStart w:id="1316" w:name="_Toc482024505"/>
      <w:bookmarkStart w:id="1317" w:name="_Toc484767274"/>
      <w:bookmarkStart w:id="1318" w:name="_Toc487011258"/>
      <w:bookmarkStart w:id="1319" w:name="_Toc493663153"/>
      <w:bookmarkStart w:id="1320" w:name="_Toc494449778"/>
      <w:bookmarkStart w:id="1321" w:name="_Toc511900360"/>
      <w:r w:rsidRPr="005B0796">
        <w:t>Anxiety disorders</w:t>
      </w:r>
      <w:bookmarkEnd w:id="1315"/>
      <w:bookmarkEnd w:id="1316"/>
      <w:bookmarkEnd w:id="1317"/>
      <w:bookmarkEnd w:id="1318"/>
      <w:bookmarkEnd w:id="1319"/>
      <w:bookmarkEnd w:id="1320"/>
      <w:bookmarkEnd w:id="1321"/>
    </w:p>
    <w:p w:rsidR="006866ED" w:rsidRPr="005B0796" w:rsidRDefault="006866ED" w:rsidP="006B0AC1">
      <w:r w:rsidRPr="005B0796">
        <w:t xml:space="preserve">Consistent with findings from the 2010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the most common 12-month mental disorder class among the Transitioned ADF was anxiety disorders</w:t>
      </w:r>
      <w:r w:rsidR="00963618">
        <w:t>,</w:t>
      </w:r>
      <w:r w:rsidRPr="005B0796">
        <w:t xml:space="preserve"> with a 12-month prevalence of 37.0%. The anxiety disorders with the highest prevalence were PTSD (17.7%) and panic attacks (17.0%), followed by agoraphobia (11.9%), social phobia (11.0%) and specific phobia (7.8%). The anxiety disorders with the lowest prevalence were panic disorder (5.4%), obsessive-compulsive disorder (OCD) (4.1%) and generalised anxiety disorder (GAD) (3.7%). This section summarises the categories of anxiety disorder in relation to demographic, service and transition</w:t>
      </w:r>
      <w:r w:rsidR="00963618">
        <w:t>-</w:t>
      </w:r>
      <w:r w:rsidRPr="005B0796">
        <w:t xml:space="preserve">specific factors that need to be addressed in the relation to transition from the Regular ADF. </w:t>
      </w:r>
    </w:p>
    <w:p w:rsidR="006866ED" w:rsidRPr="005B0796" w:rsidRDefault="006866ED" w:rsidP="006B0AC1">
      <w:pPr>
        <w:rPr>
          <w:rFonts w:eastAsia="Times New Roman"/>
        </w:rPr>
      </w:pPr>
      <w:r w:rsidRPr="005B0796">
        <w:t xml:space="preserve">Regarding anxiety disorders more generally </w:t>
      </w:r>
      <w:r w:rsidR="00963618">
        <w:t xml:space="preserve">– </w:t>
      </w:r>
      <w:r w:rsidRPr="005B0796">
        <w:t xml:space="preserve">other than PTSD, which is now a separate stress-related category in DSM-5 and ICD-10 </w:t>
      </w:r>
      <w:r w:rsidRPr="005B0796">
        <w:fldChar w:fldCharType="begin"/>
      </w:r>
      <w:r w:rsidRPr="005B0796">
        <w:instrText xml:space="preserve"> ADDIN EN.CITE &lt;EndNote&gt;&lt;Cite&gt;&lt;Author&gt;Maercker&lt;/Author&gt;&lt;Year&gt;2013&lt;/Year&gt;&lt;RecNum&gt;952&lt;/RecNum&gt;&lt;DisplayText&gt;(Maercker et al., 2013)&lt;/DisplayText&gt;&lt;record&gt;&lt;rec-number&gt;952&lt;/rec-number&gt;&lt;foreign-keys&gt;&lt;key app="EN" db-id="arwdrezp9sdawxevtfyxtfw10exvr5exxfed" timestamp="1493016926"&gt;952&lt;/key&gt;&lt;/foreign-keys&gt;&lt;ref-type name="Journal Article"&gt;17&lt;/ref-type&gt;&lt;contributors&gt;&lt;authors&gt;&lt;author&gt;Maercker, Andreas&lt;/author&gt;&lt;author&gt;Brewin, Chris R&lt;/author&gt;&lt;author&gt;Bryant, Richard A&lt;/author&gt;&lt;author&gt;Cloitre, Marylene&lt;/author&gt;&lt;author&gt;Reed, Geoffrey M&lt;/author&gt;&lt;author&gt;van Ommeren, Mark&lt;/author&gt;&lt;author&gt;Humayun, Asma&lt;/author&gt;&lt;author&gt;Jones, Lynne M&lt;/author&gt;&lt;author&gt;Kagee, Ashraf&lt;/author&gt;&lt;author&gt;Llosa, Augusto E&lt;/author&gt;&lt;/authors&gt;&lt;/contributors&gt;&lt;titles&gt;&lt;title&gt;Proposals for mental disorders specifically associated with stress in the International Classification of Diseases-11&lt;/title&gt;&lt;secondary-title&gt;The Lancet&lt;/secondary-title&gt;&lt;/titles&gt;&lt;periodical&gt;&lt;full-title&gt;The Lancet&lt;/full-title&gt;&lt;/periodical&gt;&lt;pages&gt;1683&lt;/pages&gt;&lt;volume&gt;381&lt;/volume&gt;&lt;number&gt;9878&lt;/number&gt;&lt;dates&gt;&lt;year&gt;2013&lt;/year&gt;&lt;/dates&gt;&lt;isbn&gt;0140-6736&lt;/isbn&gt;&lt;urls&gt;&lt;/urls&gt;&lt;/record&gt;&lt;/Cite&gt;&lt;/EndNote&gt;</w:instrText>
      </w:r>
      <w:r w:rsidRPr="005B0796">
        <w:fldChar w:fldCharType="separate"/>
      </w:r>
      <w:r w:rsidRPr="005B0796">
        <w:t>(Maercker et al., 2013)</w:t>
      </w:r>
      <w:r w:rsidRPr="005B0796">
        <w:fldChar w:fldCharType="end"/>
      </w:r>
      <w:r w:rsidRPr="005B0796">
        <w:t xml:space="preserve"> – the most prevalent anxiety disorder diagnosis was panic attacks, which are experienced by an estimated 17% of the Transitioned ADF. Panic attacks involve a pattern of reactivity to environmental triggers that have the capacity to increase in frequency and severity by the process of sensitisation </w:t>
      </w:r>
      <w:r w:rsidRPr="005B0796">
        <w:fldChar w:fldCharType="begin"/>
      </w:r>
      <w:r w:rsidRPr="005B0796">
        <w:instrText xml:space="preserve"> ADDIN EN.CITE &lt;EndNote&gt;&lt;Cite&gt;&lt;Author&gt;McFarlane&lt;/Author&gt;&lt;Year&gt;2010&lt;/Year&gt;&lt;RecNum&gt;549&lt;/RecNum&gt;&lt;DisplayText&gt;(McFarlane, 2010)&lt;/DisplayText&gt;&lt;record&gt;&lt;rec-number&gt;549&lt;/rec-number&gt;&lt;foreign-keys&gt;&lt;key app="EN" db-id="arwdrezp9sdawxevtfyxtfw10exvr5exxfed" timestamp="1479079307"&gt;549&lt;/key&gt;&lt;/foreign-keys&gt;&lt;ref-type name="Journal Article"&gt;17&lt;/ref-type&gt;&lt;contributors&gt;&lt;authors&gt;&lt;author&gt;McFarlane, A. C.&lt;/author&gt;&lt;/authors&gt;&lt;/contributors&gt;&lt;auth-address&gt;Centre for Military and Veterans&amp;apos; Health, University of Adelaide, Level 2/122 Frome Street, Adelaide, South Australia, 5000 Australia.&lt;/auth-address&gt;&lt;titles&gt;&lt;title&gt;The long-term costs of traumatic stress: intertwined physical and psychological consequences&lt;/title&gt;&lt;secondary-title&gt;World Psychiatry&lt;/secondary-title&gt;&lt;alt-title&gt;World psychiatry : official journal of the World Psychiatric Association&lt;/alt-title&gt;&lt;/titles&gt;&lt;periodical&gt;&lt;full-title&gt;World Psychiatry&lt;/full-title&gt;&lt;/periodical&gt;&lt;pages&gt;3-10&lt;/pages&gt;&lt;volume&gt;9&lt;/volume&gt;&lt;number&gt;1&lt;/number&gt;&lt;dates&gt;&lt;year&gt;2010&lt;/year&gt;&lt;pub-dates&gt;&lt;date&gt;Feb&lt;/date&gt;&lt;/pub-dates&gt;&lt;/dates&gt;&lt;isbn&gt;2051-5545 (Electronic)&amp;#xD;1723-8617 (Linking)&lt;/isbn&gt;&lt;accession-num&gt;20148146&lt;/accession-num&gt;&lt;urls&gt;&lt;related-urls&gt;&lt;url&gt;http://www.ncbi.nlm.nih.gov/pubmed/20148146&lt;/url&gt;&lt;/related-urls&gt;&lt;/urls&gt;&lt;custom2&gt;2816923&lt;/custom2&gt;&lt;/record&gt;&lt;/Cite&gt;&lt;/EndNote&gt;</w:instrText>
      </w:r>
      <w:r w:rsidRPr="005B0796">
        <w:fldChar w:fldCharType="separate"/>
      </w:r>
      <w:r w:rsidRPr="005B0796">
        <w:t>(McFarlane, 2010)</w:t>
      </w:r>
      <w:r w:rsidRPr="005B0796">
        <w:fldChar w:fldCharType="end"/>
      </w:r>
      <w:r w:rsidRPr="005B0796">
        <w:t xml:space="preserve">.These do not represent full-blown panic disorder, experienced by a much smaller 5.4%, but are important antecedents, and occur in a significant percentage of sub-syndromal PTSD cases </w:t>
      </w:r>
      <w:r w:rsidRPr="005B0796">
        <w:fldChar w:fldCharType="begin"/>
      </w:r>
      <w:r w:rsidRPr="005B0796">
        <w:instrText xml:space="preserve"> ADDIN EN.CITE &lt;EndNote&gt;&lt;Cite&gt;&lt;Author&gt;Goodwin&lt;/Author&gt;&lt;Year&gt;2004&lt;/Year&gt;&lt;RecNum&gt;910&lt;/RecNum&gt;&lt;DisplayText&gt;(Goodwin et al., 2004; Marshall-Berenz et al., 2011)&lt;/DisplayText&gt;&lt;record&gt;&lt;rec-number&gt;910&lt;/rec-number&gt;&lt;foreign-keys&gt;&lt;key app="EN" db-id="arwdrezp9sdawxevtfyxtfw10exvr5exxfed" timestamp="1492995229"&gt;910&lt;/key&gt;&lt;/foreign-keys&gt;&lt;ref-type name="Journal Article"&gt;17&lt;/ref-type&gt;&lt;contributors&gt;&lt;authors&gt;&lt;author&gt;Goodwin, Renee D&lt;/author&gt;&lt;author&gt;Lieb, Roselind&lt;/author&gt;&lt;author&gt;Hoefler, Michael&lt;/author&gt;&lt;author&gt;Pfister, Hildegard&lt;/author&gt;&lt;author&gt;Bittner, Antje&lt;/author&gt;&lt;author&gt;Beesdo, Katja&lt;/author&gt;&lt;author&gt;Wittchen, Hans-Ulrich&lt;/author&gt;&lt;/authors&gt;&lt;/contributors&gt;&lt;titles&gt;&lt;title&gt;Panic attack as a risk factor for severe psychopathology&lt;/title&gt;&lt;secondary-title&gt;American Journal of Psychiatry&lt;/secondary-title&gt;&lt;/titles&gt;&lt;periodical&gt;&lt;full-title&gt;American Journal of Psychiatry&lt;/full-title&gt;&lt;/periodical&gt;&lt;pages&gt;2207-2214&lt;/pages&gt;&lt;volume&gt;161&lt;/volume&gt;&lt;number&gt;12&lt;/number&gt;&lt;dates&gt;&lt;year&gt;2004&lt;/year&gt;&lt;/dates&gt;&lt;isbn&gt;0002-953X&lt;/isbn&gt;&lt;urls&gt;&lt;/urls&gt;&lt;/record&gt;&lt;/Cite&gt;&lt;Cite&gt;&lt;Author&gt;Marshall-Berenz&lt;/Author&gt;&lt;Year&gt;2011&lt;/Year&gt;&lt;RecNum&gt;911&lt;/RecNum&gt;&lt;record&gt;&lt;rec-number&gt;911&lt;/rec-number&gt;&lt;foreign-keys&gt;&lt;key app="EN" db-id="arwdrezp9sdawxevtfyxtfw10exvr5exxfed" timestamp="1492995311"&gt;911&lt;/key&gt;&lt;/foreign-keys&gt;&lt;ref-type name="Journal Article"&gt;17&lt;/ref-type&gt;&lt;contributors&gt;&lt;authors&gt;&lt;author&gt;Marshall-Berenz, Erin C&lt;/author&gt;&lt;author&gt;Vujanovic, Anka A&lt;/author&gt;&lt;author&gt;Zvolensky, Michael J&lt;/author&gt;&lt;/authors&gt;&lt;/contributors&gt;&lt;titles&gt;&lt;title&gt;Main and interactive effects of a nonclinical panic attack history and distress tolerance in relation to PTSD symptom severity&lt;/title&gt;&lt;secondary-title&gt;Journal of anxiety disorders&lt;/secondary-title&gt;&lt;/titles&gt;&lt;periodical&gt;&lt;full-title&gt;Journal of Anxiety Disorders&lt;/full-title&gt;&lt;/periodical&gt;&lt;pages&gt;185-191&lt;/pages&gt;&lt;volume&gt;25&lt;/volume&gt;&lt;number&gt;2&lt;/number&gt;&lt;dates&gt;&lt;year&gt;2011&lt;/year&gt;&lt;/dates&gt;&lt;isbn&gt;0887-6185&lt;/isbn&gt;&lt;urls&gt;&lt;/urls&gt;&lt;/record&gt;&lt;/Cite&gt;&lt;/EndNote&gt;</w:instrText>
      </w:r>
      <w:r w:rsidRPr="005B0796">
        <w:fldChar w:fldCharType="separate"/>
      </w:r>
      <w:r w:rsidRPr="005B0796">
        <w:t>(Goodwin et al., 2004; Marshall-Berenz et al., 2011)</w:t>
      </w:r>
      <w:r w:rsidRPr="005B0796">
        <w:fldChar w:fldCharType="end"/>
      </w:r>
      <w:r w:rsidRPr="005B0796">
        <w:t xml:space="preserve">. </w:t>
      </w:r>
    </w:p>
    <w:p w:rsidR="006866ED" w:rsidRPr="005B0796" w:rsidRDefault="006866ED" w:rsidP="006B0AC1">
      <w:r w:rsidRPr="005B0796">
        <w:t>Agoraphobia was reported in 11.9% of the Transitioned ADF, with 11.0% also reporting social phobia. Interestingly, agoraphobia is closely related to panic disorder as it represents the avoidance behaviour associated with panic attacks that occur in public environments</w:t>
      </w:r>
      <w:r w:rsidR="00963618">
        <w:t>,</w:t>
      </w:r>
      <w:r w:rsidRPr="005B0796">
        <w:t xml:space="preserve"> as is social phobia, which represents the fear or avoidance behaviour associated with panic attacks in situations of public attention. As such</w:t>
      </w:r>
      <w:r w:rsidR="00963618">
        <w:t>,</w:t>
      </w:r>
      <w:r w:rsidRPr="005B0796">
        <w:t xml:space="preserve"> both of these disorders are a measure of substantial impairment associated with increasing social restriction in the lives of those diagnosed with these disorders. Taken together, the high rates of agoraphobia and social phobia highlight the number of transitioning individuals who are likely to struggle in their social relationships and are restricted in their capacity to freely move through their environment. Importantly, phobic disorders were found to be a significant predictor of PTSD in a longitudinal study of Australian Vietnam veterans </w:t>
      </w:r>
      <w:r w:rsidRPr="005B0796">
        <w:fldChar w:fldCharType="begin"/>
      </w:r>
      <w:r w:rsidRPr="005B0796">
        <w:instrText xml:space="preserve"> ADDIN EN.CITE &lt;EndNote&gt;&lt;Cite&gt;&lt;Author&gt;O&amp;apos;Toole&lt;/Author&gt;&lt;Year&gt;2017&lt;/Year&gt;&lt;RecNum&gt;912&lt;/RecNum&gt;&lt;DisplayText&gt;(O&amp;apos;Toole &amp;amp; Catts, 2017)&lt;/DisplayText&gt;&lt;record&gt;&lt;rec-number&gt;912&lt;/rec-number&gt;&lt;foreign-keys&gt;&lt;key app="EN" db-id="arwdrezp9sdawxevtfyxtfw10exvr5exxfed" timestamp="1492995412"&gt;912&lt;/key&gt;&lt;/foreign-keys&gt;&lt;ref-type name="Journal Article"&gt;17&lt;/ref-type&gt;&lt;contributors&gt;&lt;authors&gt;&lt;author&gt;O&amp;apos;Toole, Brian I&lt;/author&gt;&lt;author&gt;Catts, Stanley V&lt;/author&gt;&lt;/authors&gt;&lt;/contributors&gt;&lt;titles&gt;&lt;title&gt;The Course and Correlates of Combat‐Related PTSD in Australian Vietnam Veterans in the Three Decades After the War&lt;/title&gt;&lt;secondary-title&gt;Journal of Traumatic Stress&lt;/secondary-title&gt;&lt;/titles&gt;&lt;periodical&gt;&lt;full-title&gt;Journal of Traumatic Stress&lt;/full-title&gt;&lt;/periodical&gt;&lt;pages&gt;27-35&lt;/pages&gt;&lt;volume&gt;30&lt;/volume&gt;&lt;number&gt;1&lt;/number&gt;&lt;dates&gt;&lt;year&gt;2017&lt;/year&gt;&lt;/dates&gt;&lt;isbn&gt;1573-6598&lt;/isbn&gt;&lt;urls&gt;&lt;/urls&gt;&lt;/record&gt;&lt;/Cite&gt;&lt;/EndNote&gt;</w:instrText>
      </w:r>
      <w:r w:rsidRPr="005B0796">
        <w:fldChar w:fldCharType="separate"/>
      </w:r>
      <w:r w:rsidRPr="005B0796">
        <w:t>(O</w:t>
      </w:r>
      <w:r w:rsidR="00462A0C" w:rsidRPr="005B0796">
        <w:t>’</w:t>
      </w:r>
      <w:r w:rsidRPr="005B0796">
        <w:t>Toole &amp; Catts, 2017)</w:t>
      </w:r>
      <w:r w:rsidRPr="005B0796">
        <w:fldChar w:fldCharType="end"/>
      </w:r>
      <w:r w:rsidRPr="005B0796">
        <w:t xml:space="preserve">. Given the possible relationship between panic attacks, agoraphobia and other phobic disorders with PTSD, the </w:t>
      </w:r>
      <w:r w:rsidRPr="005B0796">
        <w:rPr>
          <w:rFonts w:asciiTheme="minorHAnsi" w:hAnsiTheme="minorHAnsi"/>
        </w:rPr>
        <w:t xml:space="preserve">progression of these disorders in ADF members is an important consideration. Further investigation of this issue will be undertaken in the </w:t>
      </w:r>
      <w:r w:rsidRPr="005B0796">
        <w:rPr>
          <w:rFonts w:asciiTheme="minorHAnsi" w:hAnsiTheme="minorHAnsi"/>
          <w:i/>
        </w:rPr>
        <w:t>Mental Health Changes Over Time: a Longitudinal Perspective Report</w:t>
      </w:r>
      <w:r w:rsidRPr="005B0796">
        <w:rPr>
          <w:rFonts w:asciiTheme="minorHAnsi" w:hAnsiTheme="minorHAnsi"/>
        </w:rPr>
        <w:t>, which will use data from the 2010 MHPWS and the 2015 Transition and Wellbeing Transition Study, and examine the course of mental health symptoms and disorder</w:t>
      </w:r>
      <w:r w:rsidR="00963618">
        <w:rPr>
          <w:rFonts w:asciiTheme="minorHAnsi" w:hAnsiTheme="minorHAnsi"/>
        </w:rPr>
        <w:t>s</w:t>
      </w:r>
      <w:r w:rsidRPr="005B0796">
        <w:rPr>
          <w:rFonts w:asciiTheme="minorHAnsi" w:hAnsiTheme="minorHAnsi"/>
        </w:rPr>
        <w:t xml:space="preserve"> over time.</w:t>
      </w:r>
    </w:p>
    <w:p w:rsidR="006866ED" w:rsidRPr="005B0796" w:rsidRDefault="006866ED" w:rsidP="006B0AC1">
      <w:r w:rsidRPr="005B0796">
        <w:t xml:space="preserve">The least prevalent 12-month disorders in the Transitioned ADF were OCD (4.1%) and GAD (3.7%). However, the symptoms for these disorders are likely to be experienced by a substantially greater number of individuals, who are not diagnosed because of exclusion criterion relating to other disorders. In other words, if an individual has a major depressive disorder, and has the symptoms of GAD, it is possible that they will only be diagnosed with </w:t>
      </w:r>
      <w:r w:rsidR="00963618">
        <w:t xml:space="preserve">a </w:t>
      </w:r>
      <w:r w:rsidRPr="005B0796">
        <w:t>major depressive disorder. The fact that one in four of the transition cohort had one or more anxiety disorders, including PTSD, highlights the extent of comorbidity and possible subsequent minimisation of GAD diagnoses.</w:t>
      </w:r>
    </w:p>
    <w:p w:rsidR="006866ED" w:rsidRPr="005B0796" w:rsidRDefault="006866ED" w:rsidP="006B0AC1">
      <w:r w:rsidRPr="005B0796">
        <w:t xml:space="preserve">In relation to the status of Transitioned ADF members, the estimated 12-month prevalence of </w:t>
      </w:r>
      <w:r w:rsidR="00462A0C" w:rsidRPr="005B0796">
        <w:t>‘</w:t>
      </w:r>
      <w:r w:rsidRPr="005B0796">
        <w:t>any anxiety disorder</w:t>
      </w:r>
      <w:r w:rsidR="00462A0C" w:rsidRPr="005B0796">
        <w:t>’</w:t>
      </w:r>
      <w:r w:rsidRPr="005B0796">
        <w:t xml:space="preserve"> was highest among the Ex-Serving, with Inactive and Active Reservists having lower rates. This pattern was more pronounced for agoraphobia, social phobia, specific phobia and GAD. For example, the estimated prevalence of agoraphobia was nearly three times higher among Ex</w:t>
      </w:r>
      <w:r w:rsidRPr="005B0796">
        <w:noBreakHyphen/>
        <w:t>Serving members than either Reservist group, highlighting the role of these phobic disorders in the impairment of the Ex-Serving Transitioned ADF. While there were no significant differences in rates of anxiety disorders</w:t>
      </w:r>
      <w:r w:rsidR="00963618">
        <w:t xml:space="preserve"> between men and women</w:t>
      </w:r>
      <w:r w:rsidRPr="005B0796">
        <w:t xml:space="preserve">, they tended to be slightly higher among females. </w:t>
      </w:r>
    </w:p>
    <w:p w:rsidR="006866ED" w:rsidRPr="005B0796" w:rsidRDefault="006866ED" w:rsidP="006B0AC1">
      <w:r w:rsidRPr="005B0796">
        <w:t>When the impact of age on the prevalence of the different anxiety disorders was examined, there were no clear trends. Overall, the 48–57 age group had the lowest reported prevalence of anxiety disorders (34.3%), with the 38–47 age group reporting the highest prevalence. The only disorder that showed a significant difference in prevalence by age was OCD, with rates among those aged 28–37 (0.8%) being significantly lower than among those aged 18–27 (10.8%).</w:t>
      </w:r>
    </w:p>
    <w:p w:rsidR="006866ED" w:rsidRPr="005B0796" w:rsidRDefault="006866ED" w:rsidP="006B0AC1">
      <w:r w:rsidRPr="005B0796">
        <w:t xml:space="preserve">In relation to rank, Officers had lower rates of anxiety disorders than Non-Commissioned Officers, and a trend to have lower rates than the Other Ranks, with these patterns particularly noted for agoraphobia and social phobia. These are important sources of impairment that may </w:t>
      </w:r>
      <w:r w:rsidR="00963618">
        <w:t>affect</w:t>
      </w:r>
      <w:r w:rsidRPr="005B0796">
        <w:t xml:space="preserve"> the capacity to engage in civilian employment, and should be addressed in transition strategies that aim to link members of the military with civilian employment opportunities.</w:t>
      </w:r>
    </w:p>
    <w:p w:rsidR="006866ED" w:rsidRPr="005B0796" w:rsidRDefault="006866ED" w:rsidP="006B0AC1">
      <w:r w:rsidRPr="005B0796">
        <w:t>Overall, the estimated 12-month rates of any anxiety disorder were 51.3% for those who were medically discharged</w:t>
      </w:r>
      <w:r w:rsidR="00963618">
        <w:t>. This was</w:t>
      </w:r>
      <w:r w:rsidRPr="005B0796">
        <w:t xml:space="preserve"> in contrast to those reporting another reason for discharge, where 30.3% were diagnosed with an anxiety disorder. This points to the importance of the discharge medical assessment communicating information about ongoing risk of emerging distress over time. The fact that one in three Transitioned ADF members who were not medically discharged met criteria for a diagnosable disorder in the 12 months before completing the survey highlights the importance of having a more general surveillance program in the five years after discharge from the Regular ADF. </w:t>
      </w:r>
    </w:p>
    <w:p w:rsidR="006866ED" w:rsidRPr="005B0796" w:rsidRDefault="006866ED" w:rsidP="006B0AC1">
      <w:r w:rsidRPr="005B0796">
        <w:t xml:space="preserve">Almost one in two Transitioned ADF members who were DVA clients (45.3%) were estimated to have a 12-month anxiety disorder. This is not unexpected </w:t>
      </w:r>
      <w:r w:rsidRPr="005B0796">
        <w:rPr>
          <w:rFonts w:eastAsia="MS Mincho" w:cs="Helvetica"/>
        </w:rPr>
        <w:t xml:space="preserve">because most of these individuals will have an entitlement for a service-related physical or mental health condition </w:t>
      </w:r>
      <w:r w:rsidRPr="005B0796">
        <w:rPr>
          <w:rFonts w:eastAsia="MS Mincho" w:cs="Helvetica"/>
        </w:rPr>
        <w:fldChar w:fldCharType="begin"/>
      </w:r>
      <w:r w:rsidRPr="005B0796">
        <w:rPr>
          <w:rFonts w:eastAsia="MS Mincho" w:cs="Helvetica"/>
        </w:rPr>
        <w:instrText xml:space="preserve"> ADDIN EN.CITE &lt;EndNote&gt;&lt;Cite&gt;&lt;Author&gt;Thompson&lt;/Author&gt;&lt;Year&gt;2011&lt;/Year&gt;&lt;RecNum&gt;268&lt;/RecNum&gt;&lt;DisplayText&gt;(Thompson et al., 2011b)&lt;/DisplayText&gt;&lt;record&gt;&lt;rec-number&gt;268&lt;/rec-number&gt;&lt;foreign-keys&gt;&lt;key app="EN" db-id="arwdrezp9sdawxevtfyxtfw10exvr5exxfed" timestamp="1476238459"&gt;268&lt;/key&gt;&lt;/foreign-keys&gt;&lt;ref-type name="Book"&gt;6&lt;/ref-type&gt;&lt;contributors&gt;&lt;authors&gt;&lt;author&gt;Thompson, J&lt;/author&gt;&lt;author&gt;Sweet, J&lt;/author&gt;&lt;author&gt;Poirier, A.&lt;/author&gt;&lt;author&gt;VanTil, L&lt;/author&gt;&lt;/authors&gt;&lt;/contributors&gt;&lt;titles&gt;&lt;title&gt;Suicide ideation and attempt findings in the Survey on Transition to Civilian Life: Descriptive analysis&lt;/title&gt;&lt;/titles&gt;&lt;dates&gt;&lt;year&gt;2011&lt;/year&gt;&lt;/dates&gt;&lt;pub-location&gt;Charlottetown,PEI&lt;/pub-location&gt;&lt;publisher&gt;Veterans Affairs Canada technical report. 30 November.&lt;/publisher&gt;&lt;urls&gt;&lt;/urls&gt;&lt;/record&gt;&lt;/Cite&gt;&lt;/EndNote&gt;</w:instrText>
      </w:r>
      <w:r w:rsidRPr="005B0796">
        <w:rPr>
          <w:rFonts w:eastAsia="MS Mincho" w:cs="Helvetica"/>
        </w:rPr>
        <w:fldChar w:fldCharType="separate"/>
      </w:r>
      <w:r w:rsidRPr="005B0796">
        <w:rPr>
          <w:rFonts w:eastAsia="MS Mincho" w:cs="Helvetica"/>
        </w:rPr>
        <w:t>(Thompson et al., 2011b)</w:t>
      </w:r>
      <w:r w:rsidRPr="005B0796">
        <w:rPr>
          <w:rFonts w:eastAsia="MS Mincho" w:cs="Helvetica"/>
        </w:rPr>
        <w:fldChar w:fldCharType="end"/>
      </w:r>
      <w:r w:rsidRPr="005B0796">
        <w:rPr>
          <w:rFonts w:eastAsia="MS Mincho" w:cs="Helvetica"/>
        </w:rPr>
        <w:t xml:space="preserve">. Similarly high rates of anxiety disorders (40.0%) </w:t>
      </w:r>
      <w:r w:rsidRPr="005B0796">
        <w:t>have been reported in studies of veterans</w:t>
      </w:r>
      <w:r w:rsidR="00462A0C" w:rsidRPr="005B0796">
        <w:t>’</w:t>
      </w:r>
      <w:r w:rsidRPr="005B0796">
        <w:t xml:space="preserve"> affairs clients internationally </w:t>
      </w:r>
      <w:r w:rsidRPr="005B0796">
        <w:fldChar w:fldCharType="begin">
          <w:fldData xml:space="preserve">PEVuZE5vdGU+PENpdGU+PEF1dGhvcj5EZWRlcnQ8L0F1dGhvcj48WWVhcj4yMDA5PC9ZZWFyPjxS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</w:fldData>
        </w:fldChar>
      </w:r>
      <w:r w:rsidRPr="005B0796">
        <w:instrText xml:space="preserve"> ADDIN EN.CITE </w:instrText>
      </w:r>
      <w:r w:rsidRPr="005B0796">
        <w:fldChar w:fldCharType="begin">
          <w:fldData xml:space="preserve">PEVuZE5vdGU+PENpdGU+PEF1dGhvcj5EZWRlcnQ8L0F1dGhvcj48WWVhcj4yMDA5PC9ZZWFyPjxS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</w:fldData>
        </w:fldChar>
      </w:r>
      <w:r w:rsidRPr="005B0796">
        <w:instrText xml:space="preserve"> ADDIN EN.CITE.DATA </w:instrText>
      </w:r>
      <w:r w:rsidRPr="005B0796">
        <w:fldChar w:fldCharType="end"/>
      </w:r>
      <w:r w:rsidRPr="005B0796">
        <w:fldChar w:fldCharType="separate"/>
      </w:r>
      <w:r w:rsidRPr="005B0796">
        <w:t>(Dedert et al., 2009)</w:t>
      </w:r>
      <w:r w:rsidRPr="005B0796">
        <w:fldChar w:fldCharType="end"/>
      </w:r>
      <w:r w:rsidRPr="005B0796">
        <w:t xml:space="preserve">. The extent to which these individuals have been assessed, accurately diagnosed and provided with effective treatment is an issue for further examination, and is discussed in the </w:t>
      </w:r>
      <w:r w:rsidRPr="005B0796">
        <w:rPr>
          <w:i/>
        </w:rPr>
        <w:t>Pathways to Care Report.</w:t>
      </w:r>
      <w:r w:rsidRPr="005B0796">
        <w:t xml:space="preserve"> However, the fact that an estimated 22.3% of the population who </w:t>
      </w:r>
      <w:r w:rsidRPr="005B0796">
        <w:rPr>
          <w:i/>
        </w:rPr>
        <w:t>were not</w:t>
      </w:r>
      <w:r w:rsidRPr="005B0796">
        <w:t xml:space="preserve"> DVA clients met criteria for a 12-month anxiety disorder indicates the extent to which Transitioned ADF members are not using DVA-funded health services for symptoms and disorders that may have arisen from military service. This raises important questions about the adequacy of </w:t>
      </w:r>
      <w:r w:rsidR="00743016">
        <w:t>assessment and referral and</w:t>
      </w:r>
      <w:r w:rsidRPr="005B0796">
        <w:t xml:space="preserve"> recognition of these mental disorders in the civilian health sector.</w:t>
      </w:r>
    </w:p>
    <w:p w:rsidR="006866ED" w:rsidRPr="005B0796" w:rsidRDefault="006866ED" w:rsidP="006B0AC1">
      <w:r w:rsidRPr="005B0796">
        <w:t xml:space="preserve">To date, the most comparable estimate of anxiety in a transitioned military population internationally is 10.0% in Canada. However, this rate referred to current PTSD diagnosed by a health professional and should be interpreted in this context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w:t>
      </w:r>
    </w:p>
    <w:p w:rsidR="006866ED" w:rsidRPr="005B0796" w:rsidRDefault="006866ED" w:rsidP="006B0AC1">
      <w:pPr>
        <w:pStyle w:val="Heading3"/>
      </w:pPr>
      <w:bookmarkStart w:id="1322" w:name="_Toc482021414"/>
      <w:bookmarkStart w:id="1323" w:name="_Toc482024506"/>
      <w:bookmarkStart w:id="1324" w:name="_Toc484767275"/>
      <w:bookmarkStart w:id="1325" w:name="_Toc487011259"/>
      <w:bookmarkStart w:id="1326" w:name="_Toc493663154"/>
      <w:bookmarkStart w:id="1327" w:name="_Toc494449779"/>
      <w:bookmarkStart w:id="1328" w:name="_Toc511900361"/>
      <w:r w:rsidRPr="005B0796">
        <w:t>Posttraumatic stress disorder</w:t>
      </w:r>
      <w:bookmarkEnd w:id="1322"/>
      <w:bookmarkEnd w:id="1323"/>
      <w:bookmarkEnd w:id="1324"/>
      <w:bookmarkEnd w:id="1325"/>
      <w:bookmarkEnd w:id="1326"/>
      <w:bookmarkEnd w:id="1327"/>
      <w:bookmarkEnd w:id="1328"/>
    </w:p>
    <w:p w:rsidR="006866ED" w:rsidRPr="005B0796" w:rsidRDefault="006866ED" w:rsidP="006B0AC1">
      <w:r w:rsidRPr="005B0796">
        <w:t xml:space="preserve">The estimated rate of PTSD in the Transitioned ADF attracts particular community concern. As such, it is discussed in detail. As summarised previously, the 12-month prevalence of PTSD in the Transitioned ADF was 17.7%, with just over one in five of the fully discharged (Ex-Serving) Transitioned ADF estimated to meet 12-month ICD-10 criteria. There was a non-significant trend for both Active and Inactive Reservists to have slightly lower rates (13.6% and 15.6% respectively). Despite being lower, the estimated rates of 12-month PTSD, and PTSD symptoms in Reservist groups, especially the Active Reserves, represent significant morbidity and are important. </w:t>
      </w:r>
    </w:p>
    <w:p w:rsidR="006866ED" w:rsidRPr="005B0796" w:rsidRDefault="006866ED" w:rsidP="006B0AC1">
      <w:r w:rsidRPr="005B0796">
        <w:t xml:space="preserve">Consistent with previous research </w:t>
      </w:r>
      <w:r w:rsidRPr="005B0796">
        <w:fldChar w:fldCharType="begin">
          <w:fldData xml:space="preserve">PEVuZE5vdGU+PENpdGU+PEF1dGhvcj5SYW1jaGFuZDwvQXV0aG9yPjxZZWFyPjIwMTU8L1llYXI+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</w:fldData>
        </w:fldChar>
      </w:r>
      <w:r w:rsidRPr="005B0796">
        <w:instrText xml:space="preserve"> ADDIN EN.CITE </w:instrText>
      </w:r>
      <w:r w:rsidRPr="005B0796">
        <w:fldChar w:fldCharType="begin">
          <w:fldData xml:space="preserve">PEVuZE5vdGU+PENpdGU+PEF1dGhvcj5SYW1jaGFuZDwvQXV0aG9yPjxZZWFyPjIwMTU8L1llYXI+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</w:fldData>
        </w:fldChar>
      </w:r>
      <w:r w:rsidRPr="005B0796">
        <w:instrText xml:space="preserve"> ADDIN EN.CITE.DATA </w:instrText>
      </w:r>
      <w:r w:rsidRPr="005B0796">
        <w:fldChar w:fldCharType="end"/>
      </w:r>
      <w:r w:rsidRPr="005B0796">
        <w:fldChar w:fldCharType="separate"/>
      </w:r>
      <w:r w:rsidRPr="005B0796">
        <w:t>(Ramchand et al., 2015; Richardson et al., 2010; Sundin et al., 2014)</w:t>
      </w:r>
      <w:r w:rsidRPr="005B0796">
        <w:fldChar w:fldCharType="end"/>
      </w:r>
      <w:r w:rsidRPr="005B0796">
        <w:t xml:space="preserve">, there were inter-Service differences in the prevalence of PTSD; however, the pattern was unexpected. Those who transitioned from the Army (20.1%) and Air Force (20.2%) had equally higher rates of 12-month PTSD than those who transitioned from the Navy (9.4%). Findings from the 2010 MHPWS showed that in the Regular ADF, rates of mental disorder tended to be lower among the Air Force compared to the other two Services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The fact that rates of PTSD are similarly high for the Air Force here suggests that the previously observed lower rates may have reflected a health worker effect in the Regular ADF, with those who have mental disorder or symptoms transitioning out. </w:t>
      </w:r>
    </w:p>
    <w:p w:rsidR="006866ED" w:rsidRPr="005B0796" w:rsidRDefault="006866ED" w:rsidP="006B0AC1">
      <w:r w:rsidRPr="005B0796">
        <w:t>Of note, there were significantly higher rates of 12-month PTSD in those who have deployed (20.1%) compared to those who had never deployed (3.5%)</w:t>
      </w:r>
      <w:r w:rsidR="00963618">
        <w:t>,</w:t>
      </w:r>
      <w:r w:rsidRPr="005B0796">
        <w:t xml:space="preserve"> and </w:t>
      </w:r>
      <w:r w:rsidR="00963618">
        <w:t xml:space="preserve">an </w:t>
      </w:r>
      <w:r w:rsidRPr="005B0796">
        <w:t>estimated PTSD rate of 27.8% in combat</w:t>
      </w:r>
      <w:r w:rsidR="00963618">
        <w:t>-</w:t>
      </w:r>
      <w:r w:rsidRPr="005B0796">
        <w:t xml:space="preserve">exposed Transitioned ADF. Again, this is different to findings from the 2010 MHPWS, where no differences were found in terms of PTSD among those who had deployed and who had never deployed, also possibly indicative of a healthy worker effect. However, consistent with previous studies of active serving military populations, rates of PTSD tended to be higher among those of lower ranks </w:t>
      </w:r>
      <w:r w:rsidRPr="005B0796">
        <w:fldChar w:fldCharType="begin">
          <w:fldData xml:space="preserve">PEVuZE5vdGU+PENpdGU+PEF1dGhvcj5JdmVyc2VuPC9BdXRob3I+PFllYXI+MjAwOTwvWWVhcj48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</w:fldData>
        </w:fldChar>
      </w:r>
      <w:r w:rsidRPr="005B0796">
        <w:instrText xml:space="preserve"> ADDIN EN.CITE </w:instrText>
      </w:r>
      <w:r w:rsidRPr="005B0796">
        <w:fldChar w:fldCharType="begin">
          <w:fldData xml:space="preserve">PEVuZE5vdGU+PENpdGU+PEF1dGhvcj5JdmVyc2VuPC9BdXRob3I+PFllYXI+MjAwOTwvWWVhcj48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</w:fldData>
        </w:fldChar>
      </w:r>
      <w:r w:rsidRPr="005B0796">
        <w:instrText xml:space="preserve"> ADDIN EN.CITE.DATA </w:instrText>
      </w:r>
      <w:r w:rsidRPr="005B0796">
        <w:fldChar w:fldCharType="end"/>
      </w:r>
      <w:r w:rsidRPr="005B0796">
        <w:fldChar w:fldCharType="separate"/>
      </w:r>
      <w:r w:rsidRPr="005B0796">
        <w:t>(Iversen et al., 2009)</w:t>
      </w:r>
      <w:r w:rsidRPr="005B0796">
        <w:fldChar w:fldCharType="end"/>
      </w:r>
      <w:r w:rsidRPr="005B0796">
        <w:t xml:space="preserve">. </w:t>
      </w:r>
    </w:p>
    <w:p w:rsidR="006866ED" w:rsidRPr="005B0796" w:rsidRDefault="006866ED" w:rsidP="006B0AC1">
      <w:r w:rsidRPr="005B0796">
        <w:t xml:space="preserve">In relation to years of service in the Regular ADF, rates tended to be highest among those </w:t>
      </w:r>
      <w:r w:rsidR="00963618">
        <w:t xml:space="preserve">with </w:t>
      </w:r>
      <w:r w:rsidRPr="005B0796">
        <w:t>4–7.9 years of military service, with 21.2% of this group estimated to meet 12-month ICD-10 diagnostic criteria for PTSD. Matched members</w:t>
      </w:r>
      <w:r w:rsidR="00462A0C" w:rsidRPr="005B0796">
        <w:t>’</w:t>
      </w:r>
      <w:r w:rsidRPr="005B0796">
        <w:t xml:space="preserve"> data from Defence indicates that the average length of service in the ADF is 11.1 years; however, this varies by Service and rank. Army members tend to have a slightly shorter length of service, with this reduced further in lower ranks. It is possible that the highe</w:t>
      </w:r>
      <w:r w:rsidR="00963618">
        <w:t>r rates of PTSD in this shorter-</w:t>
      </w:r>
      <w:r w:rsidRPr="005B0796">
        <w:t xml:space="preserve">service group corresponds to a </w:t>
      </w:r>
      <w:r w:rsidR="00963618">
        <w:t>larger</w:t>
      </w:r>
      <w:r w:rsidRPr="005B0796">
        <w:t xml:space="preserve"> proportion of lower ranks from the Army, a group </w:t>
      </w:r>
      <w:r w:rsidR="00963618">
        <w:t>who</w:t>
      </w:r>
      <w:r w:rsidRPr="005B0796">
        <w:t xml:space="preserve"> potentially have experienced higher rates of deployment exposures in combat roles.</w:t>
      </w:r>
    </w:p>
    <w:p w:rsidR="006866ED" w:rsidRPr="005B0796" w:rsidRDefault="006866ED" w:rsidP="006B0AC1">
      <w:r w:rsidRPr="005B0796">
        <w:t xml:space="preserve">When the rates of PTSD were examined by years since transition, 23.9% of those who had been discharged from full-time service for five years met diagnostic criteria, in contrast to 11.4% who were within the first year of discharge. Interestingly, there was also a slight increase in rates of PTSD at two years post-transition (20.7%). </w:t>
      </w:r>
    </w:p>
    <w:p w:rsidR="006866ED" w:rsidRPr="005B0796" w:rsidRDefault="006866ED" w:rsidP="006B0AC1">
      <w:r w:rsidRPr="005B0796">
        <w:t xml:space="preserve">Finally, rates of PTSD were also higher among those who were medically discharged, as well as DVA clients, with rates of PTSD amongst those who were not DVA clients less than half the rate of those who were DVA clients (8.5% vs 22.6%). Once again, the most comparable estimate of PTSD in transitioned military populations internationally is 11.0% for the Canadian military </w:t>
      </w:r>
      <w:r w:rsidRPr="005B0796">
        <w:fldChar w:fldCharType="begin"/>
      </w:r>
      <w:r w:rsidRPr="005B0796">
        <w:instrText xml:space="preserve"> ADDIN EN.CITE &lt;EndNote&gt;&lt;Cite&gt;&lt;Author&gt;Thompson&lt;/Author&gt;&lt;Year&gt;2011&lt;/Year&gt;&lt;RecNum&gt;14&lt;/RecNum&gt;&lt;DisplayText&gt;(Thompson et al., 2011a; Thompson et al., 2015)&lt;/DisplayText&gt;&lt;record&gt;&lt;rec-number&gt;14&lt;/rec-number&gt;&lt;foreign-keys&gt;&lt;key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Ottowa.&lt;/publisher&gt;&lt;urls&gt;&lt;/urls&gt;&lt;/record&gt;&lt;/Cite&gt;&lt;Cite&gt;&lt;Author&gt;Thompson&lt;/Author&gt;&lt;Year&gt;2015&lt;/Year&gt;&lt;RecNum&gt;389&lt;/RecNum&gt;&lt;record&gt;&lt;rec-number&gt;389&lt;/rec-number&gt;&lt;foreign-keys&gt;&lt;key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(Thompson et al., 2011a; Thompson et al., 2015)</w:t>
      </w:r>
      <w:r w:rsidRPr="005B0796">
        <w:fldChar w:fldCharType="end"/>
      </w:r>
      <w:r w:rsidRPr="005B0796">
        <w:t>. However, this rate referred to current PTSD diagnosed by a health professional, and should be interpreted in this context.</w:t>
      </w:r>
    </w:p>
    <w:p w:rsidR="006866ED" w:rsidRPr="005B0796" w:rsidRDefault="006866ED" w:rsidP="006B0AC1">
      <w:pPr>
        <w:pStyle w:val="Heading3"/>
      </w:pPr>
      <w:bookmarkStart w:id="1329" w:name="_Toc482021412"/>
      <w:bookmarkStart w:id="1330" w:name="_Toc482024504"/>
      <w:bookmarkStart w:id="1331" w:name="_Toc484767273"/>
      <w:bookmarkStart w:id="1332" w:name="_Toc487011260"/>
      <w:bookmarkStart w:id="1333" w:name="_Toc493663155"/>
      <w:bookmarkStart w:id="1334" w:name="_Toc494449780"/>
      <w:bookmarkStart w:id="1335" w:name="_Toc511900362"/>
      <w:r w:rsidRPr="005B0796">
        <w:t>Affective disorders</w:t>
      </w:r>
      <w:bookmarkEnd w:id="1329"/>
      <w:bookmarkEnd w:id="1330"/>
      <w:bookmarkEnd w:id="1331"/>
      <w:bookmarkEnd w:id="1332"/>
      <w:bookmarkEnd w:id="1333"/>
      <w:bookmarkEnd w:id="1334"/>
      <w:bookmarkEnd w:id="1335"/>
    </w:p>
    <w:p w:rsidR="006866ED" w:rsidRPr="005B0796" w:rsidRDefault="006866ED" w:rsidP="006B0AC1">
      <w:r w:rsidRPr="005B0796">
        <w:t xml:space="preserve">The most common 12-month affective disorder was depressive episodes, with an estimated 11.2% meeting ICD-10 criteria, followed by bipolar disorder (9.8%) and dysthymia (4.6%). Similar to anxiety disorders, the 12-month prevalence of affective disorders was highest among Ex-Serving Transitioned ADF, with an estimated 12-month prevalence of 32.9%. This compares to significantly lower estimated rates among the Inactive and Active Reservists (17.0% and 12.5% respectively). </w:t>
      </w:r>
    </w:p>
    <w:p w:rsidR="006866ED" w:rsidRPr="005B0796" w:rsidRDefault="006866ED" w:rsidP="006B0AC1">
      <w:r w:rsidRPr="005B0796">
        <w:t xml:space="preserve">While the overall estimated rates for affective disorders were not significantly different for males and females, rates of bipolar affective disorder were slightly higher among males, while rates of depressive episodes were higher among females. This difference may reflect gender-differentiated patterns of adaptation and reactivity </w:t>
      </w:r>
      <w:r w:rsidRPr="005B0796">
        <w:fldChar w:fldCharType="begin"/>
      </w:r>
      <w:r w:rsidRPr="005B0796">
        <w:instrText xml:space="preserve"> ADDIN EN.CITE &lt;EndNote&gt;&lt;Cite&gt;&lt;Author&gt;Altemus&lt;/Author&gt;&lt;Year&gt;2014&lt;/Year&gt;&lt;RecNum&gt;951&lt;/RecNum&gt;&lt;DisplayText&gt;(Altemus et al., 2014)&lt;/DisplayText&gt;&lt;record&gt;&lt;rec-number&gt;951&lt;/rec-number&gt;&lt;foreign-keys&gt;&lt;key app="EN" db-id="arwdrezp9sdawxevtfyxtfw10exvr5exxfed" timestamp="1493016609"&gt;951&lt;/key&gt;&lt;/foreign-keys&gt;&lt;ref-type name="Journal Article"&gt;17&lt;/ref-type&gt;&lt;contributors&gt;&lt;authors&gt;&lt;author&gt;Altemus, Margaret&lt;/author&gt;&lt;author&gt;Sarvaiya, Nilofar&lt;/author&gt;&lt;author&gt;Epperson, C Neill&lt;/author&gt;&lt;/authors&gt;&lt;/contributors&gt;&lt;titles&gt;&lt;title&gt;Sex differences in anxiety and depression clinical perspectives&lt;/title&gt;&lt;secondary-title&gt;Frontiers in neuroendocrinology&lt;/secondary-title&gt;&lt;/titles&gt;&lt;periodical&gt;&lt;full-title&gt;Frontiers in neuroendocrinology&lt;/full-title&gt;&lt;/periodical&gt;&lt;pages&gt;320-330&lt;/pages&gt;&lt;volume&gt;35&lt;/volume&gt;&lt;number&gt;3&lt;/number&gt;&lt;dates&gt;&lt;year&gt;2014&lt;/year&gt;&lt;/dates&gt;&lt;isbn&gt;0091-3022&lt;/isbn&gt;&lt;urls&gt;&lt;related-urls&gt;&lt;url&gt;http://ac.els-cdn.com/S009130221400051X/1-s2.0-S009130221400051X-main.pdf?_tid=b6281c8e-2a45-11e7-84da-00000aab0f6c&amp;amp;acdnat=1493186635_2bce8113a9569a3de2c311cdfe057919&lt;/url&gt;&lt;/related-urls&gt;&lt;/urls&gt;&lt;/record&gt;&lt;/Cite&gt;&lt;/EndNote&gt;</w:instrText>
      </w:r>
      <w:r w:rsidRPr="005B0796">
        <w:fldChar w:fldCharType="separate"/>
      </w:r>
      <w:r w:rsidRPr="005B0796">
        <w:t>(Altemus et al., 2014)</w:t>
      </w:r>
      <w:r w:rsidRPr="005B0796">
        <w:fldChar w:fldCharType="end"/>
      </w:r>
      <w:r w:rsidRPr="005B0796">
        <w:t>. The extent to which men and women access services also needs to be considered when comparing these rates. For affective disorders, there was a pattern of decreasing prevalence with increasing age and rank. This effect of rank was particularly relevant to bipolar disorder, with Transitioned ADF members in Other Ranks over three times more likely to meet criteria for bipolar disorder than Officers and Non-Commissioned Officers.</w:t>
      </w:r>
    </w:p>
    <w:p w:rsidR="006866ED" w:rsidRPr="005B0796" w:rsidRDefault="006866ED" w:rsidP="006B0AC1">
      <w:r w:rsidRPr="005B0796">
        <w:t>When examining disorder by years of Regular Service, there was a trend for affective disorders overall to be lower among those who served 12 or more years. Bipolar disorder particularly appeared to aggregate among those with 4–7.9 and 8–11.9 years of service, with the shorte</w:t>
      </w:r>
      <w:r w:rsidR="00963618">
        <w:t>r-</w:t>
      </w:r>
      <w:r w:rsidRPr="005B0796">
        <w:t xml:space="preserve">service group having a rate of 14.6%. </w:t>
      </w:r>
    </w:p>
    <w:p w:rsidR="006866ED" w:rsidRPr="005B0796" w:rsidRDefault="006866ED" w:rsidP="006B0AC1">
      <w:r w:rsidRPr="005B0796">
        <w:t>Among those who reported being medically discharged, an estimated 39.5% met criteria for a 12</w:t>
      </w:r>
      <w:r w:rsidRPr="005B0796">
        <w:noBreakHyphen/>
        <w:t>month affective disorder. Considering their medical discharge, it would be anticipated that this group would have had significant contact with the medical system</w:t>
      </w:r>
      <w:r w:rsidR="00963618">
        <w:t>,</w:t>
      </w:r>
      <w:r w:rsidRPr="005B0796">
        <w:t xml:space="preserve"> which should have assisted with the rates of diagnosis and detection, and presumably treatment</w:t>
      </w:r>
      <w:r w:rsidR="00963618">
        <w:t>.</w:t>
      </w:r>
      <w:r w:rsidRPr="005B0796">
        <w:t xml:space="preserve"> </w:t>
      </w:r>
      <w:r w:rsidR="00963618" w:rsidRPr="005B0796">
        <w:t>However</w:t>
      </w:r>
      <w:r w:rsidR="00963618">
        <w:t>,</w:t>
      </w:r>
      <w:r w:rsidR="00963618" w:rsidRPr="005B0796">
        <w:t xml:space="preserve"> </w:t>
      </w:r>
      <w:r w:rsidRPr="005B0796">
        <w:t>only half of those with an affective disorder are a DVA client. The very high rate of disorder is therefore of concern.</w:t>
      </w:r>
    </w:p>
    <w:p w:rsidR="006866ED" w:rsidRPr="005B0796" w:rsidRDefault="006866ED" w:rsidP="006B0AC1">
      <w:r w:rsidRPr="005B0796">
        <w:t xml:space="preserve">Furthermore, while it was expected that affective disorder rates would be higher among those with a medical discharge, because primary and secondary mental disorders can be a reason for being classified as medically unfit, </w:t>
      </w:r>
      <w:r w:rsidR="00963618">
        <w:t xml:space="preserve">it is concerning </w:t>
      </w:r>
      <w:r w:rsidRPr="005B0796">
        <w:t>that 17.4% who were not medically discharged reported an affective disorder in the last 12 months. This suggests that disorder</w:t>
      </w:r>
      <w:r w:rsidR="00963618">
        <w:t>s</w:t>
      </w:r>
      <w:r w:rsidRPr="005B0796">
        <w:t xml:space="preserve"> </w:t>
      </w:r>
      <w:r w:rsidR="00963618">
        <w:t>are</w:t>
      </w:r>
      <w:r w:rsidRPr="005B0796">
        <w:t xml:space="preserve"> either not being identified during the transition process, or </w:t>
      </w:r>
      <w:r w:rsidR="00963618">
        <w:t>present</w:t>
      </w:r>
      <w:r w:rsidRPr="005B0796">
        <w:t xml:space="preserve"> post-discharge when individuals may not have the same level of accessibility to services as those who transition through the medical discharge process.</w:t>
      </w:r>
    </w:p>
    <w:p w:rsidR="006866ED" w:rsidRPr="005B0796" w:rsidRDefault="006866ED" w:rsidP="006B0AC1">
      <w:r w:rsidRPr="005B0796">
        <w:t xml:space="preserve">Of particular concern were the rates of bipolar disorder in the Transitioned ADF (9.8%) </w:t>
      </w:r>
      <w:r w:rsidR="00963618">
        <w:t xml:space="preserve">– and especially </w:t>
      </w:r>
      <w:r w:rsidRPr="005B0796">
        <w:t xml:space="preserve">in the Ex-Serving, with an estimated 13.9% meeting 12-month ICD-10 criteria. These high rates of bipolar affective disorder represent more than four times the Australian rates reported in the 2007 National Survey of Mental Health and Wellbeing (NSMHW) (0.9% – 1.7%) </w:t>
      </w:r>
      <w:r w:rsidRPr="005B0796">
        <w:fldChar w:fldCharType="begin"/>
      </w:r>
      <w:r w:rsidRPr="005B0796">
        <w:instrText xml:space="preserve"> ADDIN EN.CITE &lt;EndNote&gt;&lt;Cite&gt;&lt;Author&gt;Mitchell&lt;/Author&gt;&lt;Year&gt;2013&lt;/Year&gt;&lt;RecNum&gt;972&lt;/RecNum&gt;&lt;DisplayText&gt;(Mitchell et al., 2013)&lt;/DisplayText&gt;&lt;record&gt;&lt;rec-number&gt;972&lt;/rec-number&gt;&lt;foreign-keys&gt;&lt;key app="EN" db-id="arwdrezp9sdawxevtfyxtfw10exvr5exxfed" timestamp="1498698652"&gt;972&lt;/key&gt;&lt;/foreign-keys&gt;&lt;ref-type name="Journal Article"&gt;17&lt;/ref-type&gt;&lt;contributors&gt;&lt;authors&gt;&lt;author&gt;Mitchell, PB&lt;/author&gt;&lt;author&gt;Johnston, Amy K&lt;/author&gt;&lt;author&gt;Frankland, A&lt;/author&gt;&lt;author&gt;Slade, T&lt;/author&gt;&lt;author&gt;Green, MJ&lt;/author&gt;&lt;author&gt;Roberts, G&lt;/author&gt;&lt;author&gt;Wright, A&lt;/author&gt;&lt;author&gt;Corry, J&lt;/author&gt;&lt;author&gt;Hadzi‐Pavlovic, D&lt;/author&gt;&lt;/authors&gt;&lt;/contributors&gt;&lt;titles&gt;&lt;title&gt;Bipolar disorder in a national survey using the World Mental Health Version of the Composite International Diagnostic Interview: the impact of differing diagnostic algorithms&lt;/title&gt;&lt;secondary-title&gt;Acta Psychiatrica Scandinavica&lt;/secondary-title&gt;&lt;/titles&gt;&lt;periodical&gt;&lt;full-title&gt;Acta Psychiatr Scand&lt;/full-title&gt;&lt;abbr-1&gt;Acta psychiatrica Scandinavica&lt;/abbr-1&gt;&lt;/periodical&gt;&lt;pages&gt;381-393&lt;/pages&gt;&lt;volume&gt;127&lt;/volume&gt;&lt;number&gt;5&lt;/number&gt;&lt;dates&gt;&lt;year&gt;2013&lt;/year&gt;&lt;/dates&gt;&lt;isbn&gt;1600-0447&lt;/isbn&gt;&lt;urls&gt;&lt;/urls&gt;&lt;/record&gt;&lt;/Cite&gt;&lt;/EndNote&gt;</w:instrText>
      </w:r>
      <w:r w:rsidRPr="005B0796">
        <w:fldChar w:fldCharType="separate"/>
      </w:r>
      <w:r w:rsidRPr="005B0796">
        <w:t>(Mitchell et al., 2013)</w:t>
      </w:r>
      <w:r w:rsidRPr="005B0796">
        <w:fldChar w:fldCharType="end"/>
      </w:r>
      <w:r w:rsidRPr="005B0796">
        <w:t xml:space="preserve"> and more than double the highest lifetime rate reported in other non-military population-based studies (0.1% – 7.5%) </w:t>
      </w:r>
      <w:r w:rsidRPr="005B0796">
        <w:fldChar w:fldCharType="begin"/>
      </w:r>
      <w:r w:rsidRPr="005B0796">
        <w:instrText xml:space="preserve"> ADDIN EN.CITE &lt;EndNote&gt;&lt;Cite&gt;&lt;Author&gt;Dell&amp;apos;Aglio&lt;/Author&gt;&lt;Year&gt;2013&lt;/Year&gt;&lt;RecNum&gt;641&lt;/RecNum&gt;&lt;DisplayText&gt;(Dell&amp;apos;Aglio et al., 2013)&lt;/DisplayText&gt;&lt;record&gt;&lt;rec-number&gt;641&lt;/rec-number&gt;&lt;foreign-keys&gt;&lt;key app="EN" db-id="arwdrezp9sdawxevtfyxtfw10exvr5exxfed" timestamp="1486946778"&gt;641&lt;/key&gt;&lt;/foreign-keys&gt;&lt;ref-type name="Journal Article"&gt;17&lt;/ref-type&gt;&lt;contributors&gt;&lt;authors&gt;&lt;author&gt;Dell&amp;apos;Aglio, J. C., Jr.&lt;/author&gt;&lt;author&gt;Basso, L. A.&lt;/author&gt;&lt;author&gt;Argimon,, II&lt;/author&gt;&lt;author&gt;Arteche, A.&lt;/author&gt;&lt;/authors&gt;&lt;/contributors&gt;&lt;auth-address&gt;Pontificia Universidade Catolica do Rio Grande do Sul, Porto Alegre, RS, Brazil.&amp;#xD;WP Centro de Psicoterapia Cognitivo-Comportamental, Santa Maria, RS, Brazil.&amp;#xD;PUCRS, Porto Alegre, RS, Brazil.&lt;/auth-address&gt;&lt;titles&gt;&lt;title&gt;Systematic review of the prevalence of bipolar disorder and bipolar spectrum disorders in population-based studies&lt;/title&gt;&lt;secondary-title&gt;Trends Psychiatry Psychother&lt;/secondary-title&gt;&lt;alt-title&gt;Trends in psychiatry and psychotherapy&lt;/alt-title&gt;&lt;/titles&gt;&lt;periodical&gt;&lt;full-title&gt;Trends Psychiatry Psychother&lt;/full-title&gt;&lt;abbr-1&gt;Trends in psychiatry and psychotherapy&lt;/abbr-1&gt;&lt;/periodical&gt;&lt;alt-periodical&gt;&lt;full-title&gt;Trends Psychiatry Psychother&lt;/full-title&gt;&lt;abbr-1&gt;Trends in psychiatry and psychotherapy&lt;/abbr-1&gt;&lt;/alt-periodical&gt;&lt;pages&gt;99-105&lt;/pages&gt;&lt;volume&gt;35&lt;/volume&gt;&lt;number&gt;2&lt;/number&gt;&lt;edition&gt;2013/01/01&lt;/edition&gt;&lt;dates&gt;&lt;year&gt;2013&lt;/year&gt;&lt;/dates&gt;&lt;isbn&gt;2237-6089 (Print)&amp;#xD;2237-6089&lt;/isbn&gt;&lt;accession-num&gt;25923299&lt;/accession-num&gt;&lt;urls&gt;&lt;/urls&gt;&lt;remote-database-provider&gt;NLM&lt;/remote-database-provider&gt;&lt;language&gt;eng&lt;/language&gt;&lt;/record&gt;&lt;/Cite&gt;&lt;/EndNote&gt;</w:instrText>
      </w:r>
      <w:r w:rsidRPr="005B0796">
        <w:fldChar w:fldCharType="separate"/>
      </w:r>
      <w:r w:rsidRPr="005B0796">
        <w:t>(Dell</w:t>
      </w:r>
      <w:r w:rsidR="00462A0C" w:rsidRPr="005B0796">
        <w:t>’</w:t>
      </w:r>
      <w:r w:rsidRPr="005B0796">
        <w:t>Aglio et al., 2013)</w:t>
      </w:r>
      <w:r w:rsidRPr="005B0796">
        <w:fldChar w:fldCharType="end"/>
      </w:r>
      <w:r w:rsidRPr="005B0796">
        <w:t xml:space="preserve">. </w:t>
      </w:r>
    </w:p>
    <w:p w:rsidR="006866ED" w:rsidRPr="005B0796" w:rsidRDefault="006866ED" w:rsidP="006B0AC1">
      <w:r w:rsidRPr="005B0796">
        <w:t>The unanticipated and unexpectedly high estimated prevalence of bipolar disorder in the Transitioned ADF requires comment. To date, the prevalence of bipolar disorder in Serving and Ex</w:t>
      </w:r>
      <w:r w:rsidRPr="005B0796">
        <w:noBreakHyphen/>
        <w:t xml:space="preserve">Serving military and veteran populations has been largely unaddressed in the published literature. Only one recent study has focused on bipolar disorder among military combat members. In this </w:t>
      </w:r>
      <w:r w:rsidR="00963618" w:rsidRPr="005B0796">
        <w:fldChar w:fldCharType="begin"/>
      </w:r>
      <w:r w:rsidR="00963618" w:rsidRPr="005B0796">
        <w:instrText xml:space="preserve"> ADDIN EN.CITE &lt;EndNote&gt;&lt;Cite ExcludeAuth="1"&gt;&lt;Author&gt;McLay&lt;/Author&gt;&lt;Year&gt;2014&lt;/Year&gt;&lt;RecNum&gt;973&lt;/RecNum&gt;&lt;DisplayText&gt;(2014)&lt;/DisplayText&gt;&lt;record&gt;&lt;rec-number&gt;973&lt;/rec-number&gt;&lt;foreign-keys&gt;&lt;key app="EN" db-id="arwdrezp9sdawxevtfyxtfw10exvr5exxfed" timestamp="1498698670"&gt;973&lt;/key&gt;&lt;/foreign-keys&gt;&lt;ref-type name="Journal Article"&gt;17&lt;/ref-type&gt;&lt;contributors&gt;&lt;authors&gt;&lt;author&gt;McLay, Robert N&lt;/author&gt;&lt;author&gt;Ram, Vasudha&lt;/author&gt;&lt;author&gt;Anita Hickey MC, USN&lt;/author&gt;&lt;author&gt;Scott Johnston MS, CUSN&lt;/author&gt;&lt;/authors&gt;&lt;/contributors&gt;&lt;titles&gt;&lt;title&gt;Apparent comorbidity of bipolar disorder in a population with combat-related post-traumatic stress disorder&lt;/title&gt;&lt;secondary-title&gt;Military medicine&lt;/secondary-title&gt;&lt;/titles&gt;&lt;periodical&gt;&lt;full-title&gt;Military medicine&lt;/full-title&gt;&lt;/periodical&gt;&lt;pages&gt;157&lt;/pages&gt;&lt;volume&gt;179&lt;/volume&gt;&lt;number&gt;2&lt;/number&gt;&lt;dates&gt;&lt;year&gt;2014&lt;/year&gt;&lt;/dates&gt;&lt;isbn&gt;0026-4075&lt;/isbn&gt;&lt;urls&gt;&lt;/urls&gt;&lt;/record&gt;&lt;/Cite&gt;&lt;/EndNote&gt;</w:instrText>
      </w:r>
      <w:r w:rsidR="00963618" w:rsidRPr="005B0796">
        <w:fldChar w:fldCharType="separate"/>
      </w:r>
      <w:r w:rsidR="00963618" w:rsidRPr="005B0796">
        <w:t>2014</w:t>
      </w:r>
      <w:r w:rsidR="00963618" w:rsidRPr="005B0796">
        <w:fldChar w:fldCharType="end"/>
      </w:r>
      <w:r w:rsidR="00963618">
        <w:t xml:space="preserve"> </w:t>
      </w:r>
      <w:r w:rsidRPr="005B0796">
        <w:t>study</w:t>
      </w:r>
      <w:r w:rsidR="00963618">
        <w:t>,</w:t>
      </w:r>
      <w:r w:rsidRPr="005B0796">
        <w:t xml:space="preserve"> McLay examined the rates of bipolar disorder among 109 Active Duty US military members with PTSD, using a structured clinical interview. </w:t>
      </w:r>
    </w:p>
    <w:p w:rsidR="006866ED" w:rsidRPr="005B0796" w:rsidRDefault="006866ED" w:rsidP="006B0AC1">
      <w:r w:rsidRPr="005B0796">
        <w:t>The</w:t>
      </w:r>
      <w:r w:rsidR="00963618">
        <w:t xml:space="preserve"> stud</w:t>
      </w:r>
      <w:r w:rsidRPr="005B0796">
        <w:t xml:space="preserve">y </w:t>
      </w:r>
      <w:r w:rsidR="00963618">
        <w:t>found</w:t>
      </w:r>
      <w:r w:rsidRPr="005B0796">
        <w:t xml:space="preserve"> that 54% of those with PTSD also met criteria for bipolar disorder. Further examination showed that clinicians had not previously detected bipolar disorder in any of the 59 patients with PTSD, with the authors suggesting this may be due to under-diagnosis of bipolar disorder by military providers due to </w:t>
      </w:r>
      <w:r w:rsidR="00462A0C" w:rsidRPr="005B0796">
        <w:t>‘</w:t>
      </w:r>
      <w:r w:rsidRPr="005B0796">
        <w:t>lack of insight into mania by patients, lack of systematic assessment of mania by clinicians, stigma and aggressive marketing of antidepressants</w:t>
      </w:r>
      <w:r w:rsidR="00462A0C" w:rsidRPr="005B0796">
        <w:t>’</w:t>
      </w:r>
      <w:r w:rsidRPr="005B0796">
        <w:t xml:space="preserve"> (</w:t>
      </w:r>
      <w:r w:rsidRPr="005B0796">
        <w:fldChar w:fldCharType="begin"/>
      </w:r>
      <w:r w:rsidRPr="005B0796">
        <w:instrText xml:space="preserve"> ADDIN EN.CITE &lt;EndNote&gt;&lt;Cite AuthorYear="1"&gt;&lt;Author&gt;McLay&lt;/Author&gt;&lt;Year&gt;2014&lt;/Year&gt;&lt;RecNum&gt;973&lt;/RecNum&gt;&lt;DisplayText&gt;McLay et al. (2014)&lt;/DisplayText&gt;&lt;record&gt;&lt;rec-number&gt;973&lt;/rec-number&gt;&lt;foreign-keys&gt;&lt;key app="EN" db-id="arwdrezp9sdawxevtfyxtfw10exvr5exxfed" timestamp="1498698670"&gt;973&lt;/key&gt;&lt;/foreign-keys&gt;&lt;ref-type name="Journal Article"&gt;17&lt;/ref-type&gt;&lt;contributors&gt;&lt;authors&gt;&lt;author&gt;McLay, Robert N&lt;/author&gt;&lt;author&gt;Ram, Vasudha&lt;/author&gt;&lt;author&gt;Anita Hickey MC, USN&lt;/author&gt;&lt;author&gt;Scott Johnston MS, CUSN&lt;/author&gt;&lt;/authors&gt;&lt;/contributors&gt;&lt;titles&gt;&lt;title&gt;Apparent comorbidity of bipolar disorder in a population with combat-related post-traumatic stress disorder&lt;/title&gt;&lt;secondary-title&gt;Military medicine&lt;/secondary-title&gt;&lt;/titles&gt;&lt;periodical&gt;&lt;full-title&gt;Military medicine&lt;/full-title&gt;&lt;/periodical&gt;&lt;pages&gt;157&lt;/pages&gt;&lt;volume&gt;179&lt;/volume&gt;&lt;number&gt;2&lt;/number&gt;&lt;dates&gt;&lt;year&gt;2014&lt;/year&gt;&lt;/dates&gt;&lt;isbn&gt;0026-4075&lt;/isbn&gt;&lt;urls&gt;&lt;/urls&gt;&lt;/record&gt;&lt;/Cite&gt;&lt;/EndNote&gt;</w:instrText>
      </w:r>
      <w:r w:rsidRPr="005B0796">
        <w:fldChar w:fldCharType="separate"/>
      </w:r>
      <w:r w:rsidRPr="005B0796">
        <w:t>McLay et al. (2014)</w:t>
      </w:r>
      <w:r w:rsidRPr="005B0796">
        <w:fldChar w:fldCharType="end"/>
      </w:r>
      <w:r w:rsidRPr="005B0796">
        <w:t xml:space="preserve">, p. 160). This under-diagnosis of bipolar disorder is also acknowledged in the scientific literature more broadly, with other studies reporting that milder forms of bipolar disorder are frequently missed in clinical practice </w:t>
      </w:r>
      <w:r w:rsidRPr="005B0796">
        <w:fldChar w:fldCharType="begin"/>
      </w:r>
      <w:r w:rsidRPr="005B0796">
        <w:instrText xml:space="preserve"> ADDIN EN.CITE &lt;EndNote&gt;&lt;Cite&gt;&lt;Author&gt;Carvalho&lt;/Author&gt;&lt;Year&gt;2015&lt;/Year&gt;&lt;RecNum&gt;896&lt;/RecNum&gt;&lt;DisplayText&gt;(Carvalho et al., 2015)&lt;/DisplayText&gt;&lt;record&gt;&lt;rec-number&gt;896&lt;/rec-number&gt;&lt;foreign-keys&gt;&lt;key app="EN" db-id="arwdrezp9sdawxevtfyxtfw10exvr5exxfed" timestamp="1492993490"&gt;896&lt;/key&gt;&lt;/foreign-keys&gt;&lt;ref-type name="Journal Article"&gt;17&lt;/ref-type&gt;&lt;contributors&gt;&lt;authors&gt;&lt;author&gt;Carvalho, André F&lt;/author&gt;&lt;author&gt;Takwoingi, Yemisi&lt;/author&gt;&lt;author&gt;Sales, Paulo Marcelo G&lt;/author&gt;&lt;author&gt;Soczynska, Joanna K&lt;/author&gt;&lt;author&gt;Köhler, Cristiano A&lt;/author&gt;&lt;author&gt;Freitas, Thiago H&lt;/author&gt;&lt;author&gt;Quevedo, João&lt;/author&gt;&lt;author&gt;Hyphantis, Thomas N&lt;/author&gt;&lt;author&gt;McIntyre, Roger S&lt;/author&gt;&lt;author&gt;Vieta, Eduard&lt;/author&gt;&lt;/authors&gt;&lt;/contributors&gt;&lt;titles&gt;&lt;title&gt;Screening for bipolar spectrum disorders: a comprehensive meta-analysis of accuracy studies&lt;/title&gt;&lt;secondary-title&gt;Journal of affective disorders&lt;/secondary-title&gt;&lt;/titles&gt;&lt;periodical&gt;&lt;full-title&gt;Journal of Affective Disorders&lt;/full-title&gt;&lt;/periodical&gt;&lt;pages&gt;337-346&lt;/pages&gt;&lt;volume&gt;172&lt;/volume&gt;&lt;dates&gt;&lt;year&gt;2015&lt;/year&gt;&lt;/dates&gt;&lt;isbn&gt;0165-0327&lt;/isbn&gt;&lt;urls&gt;&lt;related-urls&gt;&lt;url&gt;http://ac.els-cdn.com/S0165032714006466/1-s2.0-S0165032714006466-main.pdf?_tid=613499b8-2a4b-11e7-880f-00000aacb35e&amp;amp;acdnat=1493189070_8bf3dfe4bb0ad47268a36cd75ea62015&lt;/url&gt;&lt;/related-urls&gt;&lt;/urls&gt;&lt;/record&gt;&lt;/Cite&gt;&lt;/EndNote&gt;</w:instrText>
      </w:r>
      <w:r w:rsidRPr="005B0796">
        <w:fldChar w:fldCharType="separate"/>
      </w:r>
      <w:r w:rsidRPr="005B0796">
        <w:t>(Carvalho et al., 2015)</w:t>
      </w:r>
      <w:r w:rsidRPr="005B0796">
        <w:fldChar w:fldCharType="end"/>
      </w:r>
      <w:r w:rsidRPr="005B0796">
        <w:t xml:space="preserve">. </w:t>
      </w:r>
      <w:r w:rsidRPr="005B0796">
        <w:rPr>
          <w:rFonts w:cs="Times"/>
        </w:rPr>
        <w:t xml:space="preserve">Furthermore, a third of individuals with bipolar disorders report being misdiagnosed at least once, with a proper diagnosis taking, on average, 10 years from the initiation of affective symptoms </w:t>
      </w:r>
      <w:r w:rsidRPr="005B0796">
        <w:rPr>
          <w:rFonts w:cs="Times"/>
        </w:rPr>
        <w:fldChar w:fldCharType="begin">
          <w:fldData xml:space="preserve">PEVuZE5vdGU+PENpdGU+PEF1dGhvcj5EcmFuY291cnQ8L0F1dGhvcj48WWVhcj4yMDEzPC9ZZWFy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</w:fldData>
        </w:fldChar>
      </w:r>
      <w:r w:rsidRPr="005B0796">
        <w:rPr>
          <w:rFonts w:cs="Times"/>
        </w:rPr>
        <w:instrText xml:space="preserve"> ADDIN EN.CITE </w:instrText>
      </w:r>
      <w:r w:rsidRPr="005B0796">
        <w:rPr>
          <w:rFonts w:cs="Times"/>
        </w:rPr>
        <w:fldChar w:fldCharType="begin">
          <w:fldData xml:space="preserve">PEVuZE5vdGU+PENpdGU+PEF1dGhvcj5EcmFuY291cnQ8L0F1dGhvcj48WWVhcj4yMDEzPC9ZZWFy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</w:fldData>
        </w:fldChar>
      </w:r>
      <w:r w:rsidRPr="005B0796">
        <w:rPr>
          <w:rFonts w:cs="Times"/>
        </w:rPr>
        <w:instrText xml:space="preserve"> ADDIN EN.CITE.DATA </w:instrText>
      </w:r>
      <w:r w:rsidRPr="005B0796">
        <w:rPr>
          <w:rFonts w:cs="Times"/>
        </w:rPr>
      </w:r>
      <w:r w:rsidRPr="005B0796">
        <w:rPr>
          <w:rFonts w:cs="Times"/>
        </w:rPr>
        <w:fldChar w:fldCharType="end"/>
      </w:r>
      <w:r w:rsidRPr="005B0796">
        <w:rPr>
          <w:rFonts w:cs="Times"/>
        </w:rPr>
      </w:r>
      <w:r w:rsidRPr="005B0796">
        <w:rPr>
          <w:rFonts w:cs="Times"/>
        </w:rPr>
        <w:fldChar w:fldCharType="separate"/>
      </w:r>
      <w:r w:rsidRPr="005B0796">
        <w:rPr>
          <w:rFonts w:cs="Times"/>
        </w:rPr>
        <w:t>(Drancourt et al., 2013; Lish et al., 1994)</w:t>
      </w:r>
      <w:r w:rsidRPr="005B0796">
        <w:rPr>
          <w:rFonts w:cs="Times"/>
        </w:rPr>
        <w:fldChar w:fldCharType="end"/>
      </w:r>
      <w:r w:rsidRPr="005B0796">
        <w:rPr>
          <w:rFonts w:cs="Times"/>
        </w:rPr>
        <w:t xml:space="preserve">. </w:t>
      </w:r>
    </w:p>
    <w:p w:rsidR="006866ED" w:rsidRPr="005B0796" w:rsidRDefault="006866ED" w:rsidP="006B0AC1">
      <w:pPr>
        <w:rPr>
          <w:rFonts w:eastAsia="Times New Roman"/>
          <w:color w:val="000000" w:themeColor="text1"/>
        </w:rPr>
      </w:pPr>
      <w:r w:rsidRPr="005B0796">
        <w:rPr>
          <w:rFonts w:cs="Times"/>
          <w:color w:val="000000" w:themeColor="text1"/>
        </w:rPr>
        <w:t xml:space="preserve">It is possible that the prevalence estimates are identifying subthreshold bipolar disorder; however, these are still </w:t>
      </w:r>
      <w:r w:rsidRPr="005B0796">
        <w:t xml:space="preserve">clinically important </w:t>
      </w:r>
      <w:r w:rsidRPr="005B0796">
        <w:fldChar w:fldCharType="begin"/>
      </w:r>
      <w:r w:rsidRPr="005B0796">
        <w:instrText xml:space="preserve"> ADDIN EN.CITE &lt;EndNote&gt;&lt;Cite&gt;&lt;Author&gt;Marangell&lt;/Author&gt;&lt;Year&gt;2004&lt;/Year&gt;&lt;RecNum&gt;843&lt;/RecNum&gt;&lt;DisplayText&gt;(Marangell, 2004)&lt;/DisplayText&gt;&lt;record&gt;&lt;rec-number&gt;843&lt;/rec-number&gt;&lt;foreign-keys&gt;&lt;key app="EN" db-id="arwdrezp9sdawxevtfyxtfw10exvr5exxfed" timestamp="1488860892"&gt;843&lt;/key&gt;&lt;/foreign-keys&gt;&lt;ref-type name="Journal Article"&gt;17&lt;/ref-type&gt;&lt;contributors&gt;&lt;authors&gt;&lt;author&gt;Marangell, LB.  &lt;/author&gt;&lt;/authors&gt;&lt;/contributors&gt;&lt;titles&gt;&lt;title&gt;The importance of subsyndromal symptoms in bipolar disorder. &lt;/title&gt;&lt;secondary-title&gt;J Clin Psychiatry.&lt;/secondary-title&gt;&lt;/titles&gt;&lt;periodical&gt;&lt;full-title&gt;J Clin Psychiatry.&lt;/full-title&gt;&lt;/periodical&gt;&lt;pages&gt;24-7&lt;/pages&gt;&lt;volume&gt;65 Suppl&lt;/volume&gt;&lt;number&gt;10&lt;/number&gt;&lt;dates&gt;&lt;year&gt;2004&lt;/year&gt;&lt;/dates&gt;&lt;urls&gt;&lt;/urls&gt;&lt;/record&gt;&lt;/Cite&gt;&lt;/EndNote&gt;</w:instrText>
      </w:r>
      <w:r w:rsidRPr="005B0796">
        <w:fldChar w:fldCharType="separate"/>
      </w:r>
      <w:r w:rsidRPr="005B0796">
        <w:t>(Marangell, 2004)</w:t>
      </w:r>
      <w:r w:rsidRPr="005B0796">
        <w:fldChar w:fldCharType="end"/>
      </w:r>
      <w:r w:rsidRPr="005B0796">
        <w:t xml:space="preserve">. The </w:t>
      </w:r>
      <w:r w:rsidRPr="005B0796">
        <w:rPr>
          <w:rFonts w:cs="Times"/>
          <w:color w:val="000000" w:themeColor="text1"/>
        </w:rPr>
        <w:t>US National Comorbidity Survey investigated this clinical entity and found that nearly 40% of study participants with a history of a major depressive disorder had a history of subthreshold hypomania. This subgroup had a younger age at ons</w:t>
      </w:r>
      <w:r w:rsidR="00963618">
        <w:rPr>
          <w:rFonts w:cs="Times"/>
          <w:color w:val="000000" w:themeColor="text1"/>
        </w:rPr>
        <w:t>et, more episodes of depression</w:t>
      </w:r>
      <w:r w:rsidRPr="005B0796">
        <w:rPr>
          <w:rFonts w:cs="Times"/>
          <w:color w:val="000000" w:themeColor="text1"/>
        </w:rPr>
        <w:t xml:space="preserve"> and higher rates of comorbidity </w:t>
      </w:r>
      <w:r w:rsidRPr="005B0796">
        <w:rPr>
          <w:rFonts w:cs="Times"/>
          <w:color w:val="000000" w:themeColor="text1"/>
        </w:rPr>
        <w:fldChar w:fldCharType="begin"/>
      </w:r>
      <w:r w:rsidRPr="005B0796">
        <w:rPr>
          <w:rFonts w:cs="Times"/>
          <w:color w:val="000000" w:themeColor="text1"/>
        </w:rPr>
        <w:instrText xml:space="preserve"> ADDIN EN.CITE &lt;EndNote&gt;&lt;Cite&gt;&lt;Author&gt;Angst&lt;/Author&gt;&lt;Year&gt;2010&lt;/Year&gt;&lt;RecNum&gt;901&lt;/RecNum&gt;&lt;DisplayText&gt;(Angst et al., 2010)&lt;/DisplayText&gt;&lt;record&gt;&lt;rec-number&gt;901&lt;/rec-number&gt;&lt;foreign-keys&gt;&lt;key app="EN" db-id="arwdrezp9sdawxevtfyxtfw10exvr5exxfed" timestamp="1492994125"&gt;901&lt;/key&gt;&lt;/foreign-keys&gt;&lt;ref-type name="Journal Article"&gt;17&lt;/ref-type&gt;&lt;contributors&gt;&lt;authors&gt;&lt;author&gt;Angst, Jules&lt;/author&gt;&lt;author&gt;Cui, Lihong&lt;/author&gt;&lt;author&gt;Swendsen, Joel&lt;/author&gt;&lt;author&gt;Rothen, Stéphane&lt;/author&gt;&lt;author&gt;Cravchik, Anibal&lt;/author&gt;&lt;author&gt;Kessler, Ronald C&lt;/author&gt;&lt;author&gt;Merikangas, Kathleen R&lt;/author&gt;&lt;/authors&gt;&lt;/contributors&gt;&lt;titles&gt;&lt;title&gt;Major depressive disorder with subthreshold bipolarity in the National Comorbidity Survey Replication&lt;/title&gt;&lt;secondary-title&gt;American Journal of Psychiatry&lt;/secondary-title&gt;&lt;/titles&gt;&lt;periodical&gt;&lt;full-title&gt;American Journal of Psychiatry&lt;/full-title&gt;&lt;/periodical&gt;&lt;pages&gt;1194-1201&lt;/pages&gt;&lt;volume&gt;167&lt;/volume&gt;&lt;number&gt;10&lt;/number&gt;&lt;dates&gt;&lt;year&gt;2010&lt;/year&gt;&lt;/dates&gt;&lt;isbn&gt;0002-953X&lt;/isbn&gt;&lt;urls&gt;&lt;related-urls&gt;&lt;url&gt;https://www.ncbi.nlm.nih.gov/pmc/articles/PMC3145248/pdf/nihms249007.pdf&lt;/url&gt;&lt;/related-urls&gt;&lt;/urls&gt;&lt;/record&gt;&lt;/Cite&gt;&lt;/EndNote&gt;</w:instrText>
      </w:r>
      <w:r w:rsidRPr="005B0796">
        <w:rPr>
          <w:rFonts w:cs="Times"/>
          <w:color w:val="000000" w:themeColor="text1"/>
        </w:rPr>
        <w:fldChar w:fldCharType="separate"/>
      </w:r>
      <w:r w:rsidRPr="005B0796">
        <w:rPr>
          <w:rFonts w:cs="Times"/>
          <w:color w:val="000000" w:themeColor="text1"/>
        </w:rPr>
        <w:t>(Angst et al., 2010)</w:t>
      </w:r>
      <w:r w:rsidRPr="005B0796">
        <w:rPr>
          <w:rFonts w:cs="Times"/>
          <w:color w:val="000000" w:themeColor="text1"/>
        </w:rPr>
        <w:fldChar w:fldCharType="end"/>
      </w:r>
      <w:r w:rsidRPr="005B0796">
        <w:rPr>
          <w:rFonts w:cs="Times"/>
          <w:color w:val="000000" w:themeColor="text1"/>
        </w:rPr>
        <w:t xml:space="preserve">. </w:t>
      </w:r>
      <w:r w:rsidRPr="005B0796">
        <w:rPr>
          <w:rFonts w:eastAsia="Times New Roman" w:cs="Arial"/>
          <w:color w:val="000000" w:themeColor="text1"/>
          <w:shd w:val="clear" w:color="auto" w:fill="FFFFFF"/>
        </w:rPr>
        <w:t xml:space="preserve">Subthreshold bipolar disorder is also associated with significant morbidity, including criminal behaviour and substance abuse </w:t>
      </w:r>
      <w:r w:rsidRPr="005B0796">
        <w:rPr>
          <w:rFonts w:eastAsia="Times New Roman" w:cs="Arial"/>
          <w:color w:val="000000" w:themeColor="text1"/>
          <w:shd w:val="clear" w:color="auto" w:fill="FFFFFF"/>
        </w:rPr>
        <w:fldChar w:fldCharType="begin"/>
      </w:r>
      <w:r w:rsidRPr="005B0796">
        <w:rPr>
          <w:rFonts w:eastAsia="Times New Roman" w:cs="Arial"/>
          <w:color w:val="000000" w:themeColor="text1"/>
          <w:shd w:val="clear" w:color="auto" w:fill="FFFFFF"/>
        </w:rPr>
        <w:instrText xml:space="preserve"> ADDIN EN.CITE &lt;EndNote&gt;&lt;Cite&gt;&lt;Author&gt;Zimmermann&lt;/Author&gt;&lt;Year&gt;2009&lt;/Year&gt;&lt;RecNum&gt;902&lt;/RecNum&gt;&lt;DisplayText&gt;(Zimmermann et al., 2009)&lt;/DisplayText&gt;&lt;record&gt;&lt;rec-number&gt;902&lt;/rec-number&gt;&lt;foreign-keys&gt;&lt;key app="EN" db-id="arwdrezp9sdawxevtfyxtfw10exvr5exxfed" timestamp="1492994205"&gt;902&lt;/key&gt;&lt;/foreign-keys&gt;&lt;ref-type name="Journal Article"&gt;17&lt;/ref-type&gt;&lt;contributors&gt;&lt;authors&gt;&lt;author&gt;Zimmermann, Petra&lt;/author&gt;&lt;author&gt;Brückl, Tanja&lt;/author&gt;&lt;author&gt;Nocon, Agnes&lt;/author&gt;&lt;author&gt;Pfister, Hildegard&lt;/author&gt;&lt;author&gt;Lieb, Roselind&lt;/author&gt;&lt;author&gt;Wittchen, Hans-Ulrich&lt;/author&gt;&lt;author&gt;Holsboer, Florian&lt;/author&gt;&lt;author&gt;Angst, Jules&lt;/author&gt;&lt;/authors&gt;&lt;/contributors&gt;&lt;titles&gt;&lt;title&gt;Heterogeneity of DSM-IV major depressive disorder as a consequence of subthreshold bipolarity&lt;/title&gt;&lt;secondary-title&gt;Archives of general psychiatry&lt;/secondary-title&gt;&lt;/titles&gt;&lt;periodical&gt;&lt;full-title&gt;Archives of General Psychiatry&lt;/full-title&gt;&lt;/periodical&gt;&lt;pages&gt;1341-1352&lt;/pages&gt;&lt;volume&gt;66&lt;/volume&gt;&lt;number&gt;12&lt;/number&gt;&lt;dates&gt;&lt;year&gt;2009&lt;/year&gt;&lt;/dates&gt;&lt;isbn&gt;0003-990X&lt;/isbn&gt;&lt;urls&gt;&lt;/urls&gt;&lt;/record&gt;&lt;/Cite&gt;&lt;/EndNote&gt;</w:instrText>
      </w:r>
      <w:r w:rsidRPr="005B0796">
        <w:rPr>
          <w:rFonts w:eastAsia="Times New Roman" w:cs="Arial"/>
          <w:color w:val="000000" w:themeColor="text1"/>
          <w:shd w:val="clear" w:color="auto" w:fill="FFFFFF"/>
        </w:rPr>
        <w:fldChar w:fldCharType="separate"/>
      </w:r>
      <w:r w:rsidRPr="005B0796">
        <w:rPr>
          <w:rFonts w:eastAsia="Times New Roman" w:cs="Arial"/>
          <w:color w:val="000000" w:themeColor="text1"/>
          <w:shd w:val="clear" w:color="auto" w:fill="FFFFFF"/>
        </w:rPr>
        <w:t>(Zimmermann et al., 2009)</w:t>
      </w:r>
      <w:r w:rsidRPr="005B0796">
        <w:rPr>
          <w:rFonts w:eastAsia="Times New Roman" w:cs="Arial"/>
          <w:color w:val="000000" w:themeColor="text1"/>
          <w:shd w:val="clear" w:color="auto" w:fill="FFFFFF"/>
        </w:rPr>
        <w:fldChar w:fldCharType="end"/>
      </w:r>
      <w:r w:rsidRPr="005B0796">
        <w:rPr>
          <w:rFonts w:eastAsia="Times New Roman" w:cs="Arial"/>
          <w:color w:val="000000" w:themeColor="text1"/>
          <w:shd w:val="clear" w:color="auto" w:fill="FFFFFF"/>
        </w:rPr>
        <w:t xml:space="preserve">. Prospective studies have also found that </w:t>
      </w:r>
      <w:r w:rsidRPr="005B0796">
        <w:rPr>
          <w:rFonts w:cs="Times"/>
          <w:color w:val="000000" w:themeColor="text1"/>
        </w:rPr>
        <w:t xml:space="preserve">subthreshold bipolar disorder converted more often into bipolar disorder during follow-up. Hence, this group is at significant risk – including of suicide and suicidal ideation – in addition to disorder severity, particularly when it is comorbid with PTSD </w:t>
      </w:r>
      <w:r w:rsidRPr="005B0796">
        <w:rPr>
          <w:rFonts w:cs="Times"/>
          <w:color w:val="000000" w:themeColor="text1"/>
        </w:rPr>
        <w:fldChar w:fldCharType="begin"/>
      </w:r>
      <w:r w:rsidRPr="005B0796">
        <w:rPr>
          <w:rFonts w:cs="Times"/>
          <w:color w:val="000000" w:themeColor="text1"/>
        </w:rPr>
        <w:instrText xml:space="preserve"> ADDIN EN.CITE &lt;EndNote&gt;&lt;Cite&gt;&lt;Author&gt;Reddy&lt;/Author&gt;&lt;Year&gt;2017&lt;/Year&gt;&lt;RecNum&gt;903&lt;/RecNum&gt;&lt;DisplayText&gt;(Reddy et al., 2017)&lt;/DisplayText&gt;&lt;record&gt;&lt;rec-number&gt;903&lt;/rec-number&gt;&lt;foreign-keys&gt;&lt;key app="EN" db-id="arwdrezp9sdawxevtfyxtfw10exvr5exxfed" timestamp="1492994269"&gt;903&lt;/key&gt;&lt;/foreign-keys&gt;&lt;ref-type name="Journal Article"&gt;17&lt;/ref-type&gt;&lt;contributors&gt;&lt;authors&gt;&lt;author&gt;Reddy, Madhavi K&lt;/author&gt;&lt;author&gt;Meyer, Thomas D&lt;/author&gt;&lt;author&gt;Wittlin, Natalie M&lt;/author&gt;&lt;author&gt;Miller, Ivan W&lt;/author&gt;&lt;author&gt;Weinstock, Lauren M&lt;/author&gt;&lt;/authors&gt;&lt;/contributors&gt;&lt;titles&gt;&lt;title&gt;Bipolar I disorder with comorbid PTSD: Demographic and clinical correlates in a sample of hospitalized patients&lt;/title&gt;&lt;secondary-title&gt;Comprehensive Psychiatry&lt;/secondary-title&gt;&lt;/titles&gt;&lt;periodical&gt;&lt;full-title&gt;Compr Psychiatry&lt;/full-title&gt;&lt;abbr-1&gt;Comprehensive psychiatry&lt;/abbr-1&gt;&lt;/periodical&gt;&lt;pages&gt;13-17&lt;/pages&gt;&lt;volume&gt;72&lt;/volume&gt;&lt;dates&gt;&lt;year&gt;2017&lt;/year&gt;&lt;/dates&gt;&lt;isbn&gt;0010-440X&lt;/isbn&gt;&lt;urls&gt;&lt;/urls&gt;&lt;/record&gt;&lt;/Cite&gt;&lt;/EndNote&gt;</w:instrText>
      </w:r>
      <w:r w:rsidRPr="005B0796">
        <w:rPr>
          <w:rFonts w:cs="Times"/>
          <w:color w:val="000000" w:themeColor="text1"/>
        </w:rPr>
        <w:fldChar w:fldCharType="separate"/>
      </w:r>
      <w:r w:rsidRPr="005B0796">
        <w:rPr>
          <w:rFonts w:cs="Times"/>
          <w:color w:val="000000" w:themeColor="text1"/>
        </w:rPr>
        <w:t>(Reddy et al., 2017)</w:t>
      </w:r>
      <w:r w:rsidRPr="005B0796">
        <w:rPr>
          <w:rFonts w:cs="Times"/>
          <w:color w:val="000000" w:themeColor="text1"/>
        </w:rPr>
        <w:fldChar w:fldCharType="end"/>
      </w:r>
      <w:r w:rsidRPr="005B0796">
        <w:rPr>
          <w:rFonts w:cs="Times"/>
          <w:color w:val="000000" w:themeColor="text1"/>
        </w:rPr>
        <w:t>.</w:t>
      </w:r>
    </w:p>
    <w:p w:rsidR="006866ED" w:rsidRPr="005B0796" w:rsidRDefault="006866ED" w:rsidP="006B0AC1">
      <w:r w:rsidRPr="005B0796">
        <w:t xml:space="preserve">More generally, evidence also suggests that the Transitioned ADF may be at particular risk of bipolar disorder because </w:t>
      </w:r>
      <w:r w:rsidR="00963618">
        <w:t xml:space="preserve">they have </w:t>
      </w:r>
      <w:r w:rsidR="00F20C22">
        <w:t xml:space="preserve">a </w:t>
      </w:r>
      <w:r w:rsidRPr="005B0796">
        <w:t xml:space="preserve">high rate of anxiety disorders (as discussed above), which epidemiological research has shown pose a greater risk for developing an affective disorder </w:t>
      </w:r>
      <w:r w:rsidRPr="005B0796">
        <w:fldChar w:fldCharType="begin"/>
      </w:r>
      <w:r w:rsidRPr="005B0796">
        <w:instrText xml:space="preserve"> ADDIN EN.CITE &lt;EndNote&gt;&lt;Cite&gt;&lt;Author&gt;Goldstein&lt;/Author&gt;&lt;Year&gt;2007&lt;/Year&gt;&lt;RecNum&gt;904&lt;/RecNum&gt;&lt;DisplayText&gt;(Goldstein &amp;amp; Levitt, 2007)&lt;/DisplayText&gt;&lt;record&gt;&lt;rec-number&gt;904&lt;/rec-number&gt;&lt;foreign-keys&gt;&lt;key app="EN" db-id="arwdrezp9sdawxevtfyxtfw10exvr5exxfed" timestamp="1492994367"&gt;904&lt;/key&gt;&lt;/foreign-keys&gt;&lt;ref-type name="Journal Article"&gt;17&lt;/ref-type&gt;&lt;contributors&gt;&lt;authors&gt;&lt;author&gt;Goldstein, Benjamin I&lt;/author&gt;&lt;author&gt;Levitt, Anthony J&lt;/author&gt;&lt;/authors&gt;&lt;/contributors&gt;&lt;titles&gt;&lt;title&gt;Prevalence and correlates of bipolar I disorder among adults with primary youth‐onset anxiety disorders&lt;/title&gt;&lt;secondary-title&gt;Journal of affective disorders&lt;/secondary-title&gt;&lt;/titles&gt;&lt;periodical&gt;&lt;full-title&gt;Journal of Affective Disorders&lt;/full-title&gt;&lt;/periodical&gt;&lt;pages&gt;187-195&lt;/pages&gt;&lt;volume&gt;103&lt;/volume&gt;&lt;number&gt;1&lt;/number&gt;&lt;dates&gt;&lt;year&gt;2007&lt;/year&gt;&lt;/dates&gt;&lt;isbn&gt;0165-0327&lt;/isbn&gt;&lt;urls&gt;&lt;/urls&gt;&lt;/record&gt;&lt;/Cite&gt;&lt;/EndNote&gt;</w:instrText>
      </w:r>
      <w:r w:rsidRPr="005B0796">
        <w:fldChar w:fldCharType="separate"/>
      </w:r>
      <w:r w:rsidRPr="005B0796">
        <w:t>(Goldstein &amp; Levitt, 2007)</w:t>
      </w:r>
      <w:r w:rsidRPr="005B0796">
        <w:fldChar w:fldCharType="end"/>
      </w:r>
      <w:r w:rsidRPr="005B0796">
        <w:t xml:space="preserve">. Other research findings have also concluded that PTSD may predict the incidence of major depressive disorder and bipolar disorder in civilian populations </w:t>
      </w:r>
      <w:r w:rsidRPr="005B0796">
        <w:fldChar w:fldCharType="begin"/>
      </w:r>
      <w:r w:rsidRPr="005B0796">
        <w:instrText xml:space="preserve"> ADDIN EN.CITE &lt;EndNote&gt;&lt;Cite&gt;&lt;Author&gt;Chou&lt;/Author&gt;&lt;Year&gt;2011&lt;/Year&gt;&lt;RecNum&gt;905&lt;/RecNum&gt;&lt;DisplayText&gt;(Chou et al., 2011)&lt;/DisplayText&gt;&lt;record&gt;&lt;rec-number&gt;905&lt;/rec-number&gt;&lt;foreign-keys&gt;&lt;key app="EN" db-id="arwdrezp9sdawxevtfyxtfw10exvr5exxfed" timestamp="1492994428"&gt;905&lt;/key&gt;&lt;/foreign-keys&gt;&lt;ref-type name="Journal Article"&gt;17&lt;/ref-type&gt;&lt;contributors&gt;&lt;authors&gt;&lt;author&gt;Chou, Kee-Lee&lt;/author&gt;&lt;author&gt;Mackenzie, Corey S&lt;/author&gt;&lt;author&gt;Liang, Kun&lt;/author&gt;&lt;author&gt;Sareen, Jitender&lt;/author&gt;&lt;/authors&gt;&lt;/contributors&gt;&lt;titles&gt;&lt;title&gt;Three-Year Incidence and Predictors of First-Onset of DSM-IV Mood, Anxiety, and Substance Use Disorders in Older Adults: Results From Wave 2 of the National Epidemiologic Survey on Alcohol and Related Conditions [CME]&lt;/title&gt;&lt;secondary-title&gt;The Journal of clinical psychiatry&lt;/secondary-title&gt;&lt;/titles&gt;&lt;periodical&gt;&lt;full-title&gt;J Clin Psychiatry&lt;/full-title&gt;&lt;abbr-1&gt;The Journal of clinical psychiatry&lt;/abbr-1&gt;&lt;/periodical&gt;&lt;pages&gt;144-155&lt;/pages&gt;&lt;volume&gt;72&lt;/volume&gt;&lt;number&gt;2&lt;/number&gt;&lt;dates&gt;&lt;year&gt;2011&lt;/year&gt;&lt;/dates&gt;&lt;isbn&gt;0160-6689&lt;/isbn&gt;&lt;urls&gt;&lt;/urls&gt;&lt;/record&gt;&lt;/Cite&gt;&lt;/EndNote&gt;</w:instrText>
      </w:r>
      <w:r w:rsidRPr="005B0796">
        <w:fldChar w:fldCharType="separate"/>
      </w:r>
      <w:r w:rsidRPr="005B0796">
        <w:t>(Chou et al., 2011)</w:t>
      </w:r>
      <w:r w:rsidRPr="005B0796">
        <w:fldChar w:fldCharType="end"/>
      </w:r>
      <w:r w:rsidRPr="005B0796">
        <w:t xml:space="preserve">. Hence, the unexpected rate of bipolar disorder in this population may arise as a secondary consequence of the rates of other disorders in the Transitioned ADF. </w:t>
      </w:r>
    </w:p>
    <w:p w:rsidR="006866ED" w:rsidRPr="005B0796" w:rsidRDefault="006866ED" w:rsidP="006B0AC1">
      <w:r w:rsidRPr="005B0796">
        <w:t xml:space="preserve">Whatever the cause or consequence of the elevated rate of bipolar disorder in the Transitioned ADF, this issue requires further detailed examination. It also highlights the importance of ensuring that mental health professionals who provide clinical services to Serving and Ex-Serving ADF members are adequately trained in differential diagnosis and can detect a comprehensive range of emerging disorders. </w:t>
      </w:r>
    </w:p>
    <w:p w:rsidR="006866ED" w:rsidRPr="005B0796" w:rsidRDefault="006866ED" w:rsidP="006B0AC1">
      <w:r w:rsidRPr="005B0796">
        <w:t xml:space="preserve">The estimated 12-month prevalence rate of approximately 40% for depression among the medically discharged group highlights the morbidity among this subpopulation. It could also reflect the rising complexity of physical and comorbid mental health conditions for members post-discharge </w:t>
      </w:r>
      <w:r w:rsidRPr="005B0796">
        <w:fldChar w:fldCharType="begin">
          <w:fldData xml:space="preserve">PEVuZE5vdGU+PENpdGU+PEF1dGhvcj5P4oCZRG9ub3ZhbjwvQXV0aG9yPjxZZWFyPjIwMTU8L1ll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</w:fldData>
        </w:fldChar>
      </w:r>
      <w:r w:rsidRPr="005B0796">
        <w:instrText xml:space="preserve"> ADDIN EN.CITE </w:instrText>
      </w:r>
      <w:r w:rsidRPr="005B0796">
        <w:fldChar w:fldCharType="begin">
          <w:fldData xml:space="preserve">PEVuZE5vdGU+PENpdGU+PEF1dGhvcj5P4oCZRG9ub3ZhbjwvQXV0aG9yPjxZZWFyPjIwMTU8L1ll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</w:fldData>
        </w:fldChar>
      </w:r>
      <w:r w:rsidRPr="005B0796">
        <w:instrText xml:space="preserve"> ADDIN EN.CITE.DATA </w:instrText>
      </w:r>
      <w:r w:rsidRPr="005B0796">
        <w:fldChar w:fldCharType="end"/>
      </w:r>
      <w:r w:rsidRPr="005B0796">
        <w:fldChar w:fldCharType="separate"/>
      </w:r>
      <w:r w:rsidRPr="005B0796">
        <w:t>(O</w:t>
      </w:r>
      <w:r w:rsidR="00462A0C" w:rsidRPr="005B0796">
        <w:t>’</w:t>
      </w:r>
      <w:r w:rsidRPr="005B0796">
        <w:t>Donovan et al., 2015; Pacella et al., 2013)</w:t>
      </w:r>
      <w:r w:rsidRPr="005B0796">
        <w:fldChar w:fldCharType="end"/>
      </w:r>
      <w:r w:rsidRPr="005B0796">
        <w:t xml:space="preserve">. The extent of comorbidity between physical and mental disorders needs further exploration to ensure the appropriate treatment services are being put in place </w:t>
      </w:r>
      <w:r w:rsidRPr="005B0796">
        <w:fldChar w:fldCharType="begin"/>
      </w:r>
      <w:r w:rsidRPr="005B0796">
        <w:instrText xml:space="preserve"> ADDIN EN.CITE &lt;EndNote&gt;&lt;Cite&gt;&lt;Author&gt;McFarlane&lt;/Author&gt;&lt;Year&gt;2017&lt;/Year&gt;&lt;RecNum&gt;895&lt;/RecNum&gt;&lt;DisplayText&gt;(McFarlane, 2017)&lt;/DisplayText&gt;&lt;record&gt;&lt;rec-number&gt;895&lt;/rec-number&gt;&lt;foreign-keys&gt;&lt;key app="EN" db-id="arwdrezp9sdawxevtfyxtfw10exvr5exxfed" timestamp="1492993368"&gt;895&lt;/key&gt;&lt;/foreign-keys&gt;&lt;ref-type name="Journal Article"&gt;17&lt;/ref-type&gt;&lt;contributors&gt;&lt;authors&gt;&lt;author&gt;McFarlane, A C,&lt;/author&gt;&lt;/authors&gt;&lt;/contributors&gt;&lt;titles&gt;&lt;title&gt;Post-traumatic stress disorder is a systemic illness, not a mental disorder: is Cartesian dualism dead?&lt;/title&gt;&lt;secondary-title&gt;Medical Journal of Australia&lt;/secondary-title&gt;&lt;/titles&gt;&lt;periodical&gt;&lt;full-title&gt;Medical Journal of Australia&lt;/full-title&gt;&lt;/periodical&gt;&lt;pages&gt;248-249&lt;/pages&gt;&lt;volume&gt;206&lt;/volume&gt;&lt;number&gt;6&lt;/number&gt;&lt;dates&gt;&lt;year&gt;2017&lt;/year&gt;&lt;/dates&gt;&lt;urls&gt;&lt;/urls&gt;&lt;electronic-resource-num&gt;10.5694/mja17.00048&lt;/electronic-resource-num&gt;&lt;/record&gt;&lt;/Cite&gt;&lt;/EndNote&gt;</w:instrText>
      </w:r>
      <w:r w:rsidRPr="005B0796">
        <w:fldChar w:fldCharType="separate"/>
      </w:r>
      <w:r w:rsidRPr="005B0796">
        <w:t>(McFarlane, 2017)</w:t>
      </w:r>
      <w:r w:rsidRPr="005B0796">
        <w:fldChar w:fldCharType="end"/>
      </w:r>
      <w:r w:rsidRPr="005B0796">
        <w:t>. Comorbidity is a component of this research Programme</w:t>
      </w:r>
      <w:r w:rsidR="00462A0C" w:rsidRPr="005B0796">
        <w:t>’</w:t>
      </w:r>
      <w:r w:rsidRPr="005B0796">
        <w:t>s Physical Health Study. Once again, the most comparable estimate of affective disorder</w:t>
      </w:r>
      <w:r w:rsidR="00F20C22">
        <w:t>s</w:t>
      </w:r>
      <w:r w:rsidRPr="005B0796">
        <w:t xml:space="preserve"> (mania, dysthymia or bipolar disorder) in transitioned military populations internationally is 3% for the Canadian military. However, this rate referred to a current mood disorder diagnosed by a health professional, and should be interpreted in this context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w:t>
      </w:r>
    </w:p>
    <w:p w:rsidR="006866ED" w:rsidRPr="005B0796" w:rsidRDefault="006866ED" w:rsidP="006B0AC1">
      <w:pPr>
        <w:pStyle w:val="Heading3"/>
      </w:pPr>
      <w:bookmarkStart w:id="1336" w:name="_Toc482021415"/>
      <w:bookmarkStart w:id="1337" w:name="_Toc482024507"/>
      <w:bookmarkStart w:id="1338" w:name="_Toc484767276"/>
      <w:bookmarkStart w:id="1339" w:name="_Toc487011261"/>
      <w:bookmarkStart w:id="1340" w:name="_Toc493663156"/>
      <w:bookmarkStart w:id="1341" w:name="_Toc494449781"/>
      <w:bookmarkStart w:id="1342" w:name="_Toc511900363"/>
      <w:r w:rsidRPr="005B0796">
        <w:t>Alcohol disorders</w:t>
      </w:r>
      <w:bookmarkEnd w:id="1336"/>
      <w:bookmarkEnd w:id="1337"/>
      <w:bookmarkEnd w:id="1338"/>
      <w:bookmarkEnd w:id="1339"/>
      <w:bookmarkEnd w:id="1340"/>
      <w:bookmarkEnd w:id="1341"/>
      <w:bookmarkEnd w:id="1342"/>
    </w:p>
    <w:p w:rsidR="006866ED" w:rsidRPr="005B0796" w:rsidRDefault="006866ED" w:rsidP="006B0AC1">
      <w:r w:rsidRPr="005B0796">
        <w:t xml:space="preserve">A further area of concern are the rates of alcohol dependence (9.1%) and harmful use (3.8%) among the Transitioned ADF, where 12.9% were estimated to meet criteria for a diagnosable alcohol disorder. Estimated rates of 12-month alcohol disorders were noticeably higher in the Ex-Serving Transitioned ADF, where 18.7% had either alcohol dependence and/or abuse, in contrast to the Active Reservists where a much lower 7.3% met diagnostic criteria. </w:t>
      </w:r>
    </w:p>
    <w:p w:rsidR="006866ED" w:rsidRPr="005B0796" w:rsidRDefault="006866ED" w:rsidP="006B0AC1">
      <w:r w:rsidRPr="005B0796">
        <w:t>Gender did not appear to significantly impact the prevalence of alcohol disorder, but increasing age tended to be associated with declining rates of alcohol dependence. Alcohol disorder overall was highest in the 28–37 age group. There was a non-significant trend for members of the Navy and Army to have higher rates than members of the Air Force. Other Ranks had significantly higher rates (18.3%) than Officers (6.4%) and Non-Commissioned Officers (7.3%). A related non-significant trend showed that those who transitioned before completing 7.9 years of military service – in particular, early service leavers who completed between three months and 3.9 years of service – had greater rates of 12</w:t>
      </w:r>
      <w:r w:rsidRPr="005B0796">
        <w:noBreakHyphen/>
        <w:t xml:space="preserve">month alcohol disorders than those with longer periods of service. </w:t>
      </w:r>
    </w:p>
    <w:p w:rsidR="006866ED" w:rsidRPr="005B0796" w:rsidRDefault="006866ED" w:rsidP="006B0AC1">
      <w:r w:rsidRPr="005B0796">
        <w:t>The first year post-transition appeared to be a particularly vulnerable period for alcohol disorder, suggesting that separation from the ADF is a risk factor for increased drinking. Again, an estimated 47% of individuals with alcohol disorder did not have contact with DVA. This contrasts with the 53% accessing some form of assistance from the DVA, highlighting the extent of potential unmet need in the Transitioned ADF.</w:t>
      </w:r>
    </w:p>
    <w:p w:rsidR="006866ED" w:rsidRPr="005B0796" w:rsidRDefault="006866ED" w:rsidP="006B0AC1">
      <w:r w:rsidRPr="005B0796">
        <w:t>Currently, there is no international literature on diagnosable alcohol disorder in other transitioned military cohorts.</w:t>
      </w:r>
    </w:p>
    <w:p w:rsidR="006866ED" w:rsidRPr="005B0796" w:rsidRDefault="006866ED" w:rsidP="006B0AC1">
      <w:pPr>
        <w:pStyle w:val="Heading3"/>
      </w:pPr>
      <w:bookmarkStart w:id="1343" w:name="_Toc487011262"/>
      <w:bookmarkStart w:id="1344" w:name="_Toc493663157"/>
      <w:bookmarkStart w:id="1345" w:name="_Toc494449782"/>
      <w:bookmarkStart w:id="1346" w:name="_Toc511900364"/>
      <w:r w:rsidRPr="005B0796">
        <w:t>Comorbidity</w:t>
      </w:r>
      <w:bookmarkEnd w:id="1343"/>
      <w:bookmarkEnd w:id="1344"/>
      <w:bookmarkEnd w:id="1345"/>
      <w:bookmarkEnd w:id="1346"/>
    </w:p>
    <w:p w:rsidR="006866ED" w:rsidRPr="005B0796" w:rsidRDefault="006866ED" w:rsidP="006B0AC1">
      <w:r w:rsidRPr="005B0796">
        <w:t xml:space="preserve">The issue of mental disorder comorbidity is important as it is a marker of the severity of disorder and presents a significant challenge in obtaining optimal treatment outcomes </w:t>
      </w:r>
      <w:r w:rsidRPr="005B0796">
        <w:fldChar w:fldCharType="begin"/>
      </w:r>
      <w:r w:rsidRPr="005B0796">
        <w:instrText xml:space="preserve"> ADDIN EN.CITE &lt;EndNote&gt;&lt;Cite&gt;&lt;Author&gt;Hruska&lt;/Author&gt;&lt;Year&gt;2014&lt;/Year&gt;&lt;RecNum&gt;918&lt;/RecNum&gt;&lt;DisplayText&gt;(Hruska et al., 2014)&lt;/DisplayText&gt;&lt;record&gt;&lt;rec-number&gt;918&lt;/rec-number&gt;&lt;foreign-keys&gt;&lt;key app="EN" db-id="arwdrezp9sdawxevtfyxtfw10exvr5exxfed" timestamp="1492996372"&gt;918&lt;/key&gt;&lt;/foreign-keys&gt;&lt;ref-type name="Journal Article"&gt;17&lt;/ref-type&gt;&lt;contributors&gt;&lt;authors&gt;&lt;author&gt;Hruska, Bryce&lt;/author&gt;&lt;author&gt;Irish, Leah A&lt;/author&gt;&lt;author&gt;Pacella, Maria L&lt;/author&gt;&lt;author&gt;Sledjeski, Eve M&lt;/author&gt;&lt;author&gt;Delahanty, Douglas L&lt;/author&gt;&lt;/authors&gt;&lt;/contributors&gt;&lt;titles&gt;&lt;title&gt;PTSD symptom severity and psychiatric comorbidity in recent motor vehicle accident victims: A latent class analysis&lt;/title&gt;&lt;secondary-title&gt;Journal of anxiety disorders&lt;/secondary-title&gt;&lt;/titles&gt;&lt;periodical&gt;&lt;full-title&gt;Journal of Anxiety Disorders&lt;/full-title&gt;&lt;/periodical&gt;&lt;pages&gt;644-649&lt;/pages&gt;&lt;volume&gt;28&lt;/volume&gt;&lt;number&gt;7&lt;/number&gt;&lt;dates&gt;&lt;year&gt;2014&lt;/year&gt;&lt;/dates&gt;&lt;isbn&gt;0887-6185&lt;/isbn&gt;&lt;urls&gt;&lt;related-urls&gt;&lt;url&gt;http://ac.els-cdn.com/S0887618514000930/1-s2.0-S0887618514000930-main.pdf?_tid=113b8600-2a4c-11e7-a136-00000aab0f6b&amp;amp;acdnat=1493189365_50e855c382fbb9913da73bbabe1a543f&lt;/url&gt;&lt;/related-urls&gt;&lt;/urls&gt;&lt;/record&gt;&lt;/Cite&gt;&lt;/EndNote&gt;</w:instrText>
      </w:r>
      <w:r w:rsidRPr="005B0796">
        <w:fldChar w:fldCharType="separate"/>
      </w:r>
      <w:r w:rsidRPr="005B0796">
        <w:t>(Hruska et al., 2014)</w:t>
      </w:r>
      <w:r w:rsidRPr="005B0796">
        <w:fldChar w:fldCharType="end"/>
      </w:r>
      <w:r w:rsidRPr="005B0796">
        <w:t xml:space="preserve">. </w:t>
      </w:r>
    </w:p>
    <w:p w:rsidR="006866ED" w:rsidRPr="005B0796" w:rsidRDefault="006866ED" w:rsidP="006B0AC1">
      <w:r w:rsidRPr="005B0796">
        <w:t xml:space="preserve">In the Transitioned ADF, just over half of those with a mental disorder had a least one comorbid disorder, with one in four Transitioned ADF meeting criteria for two or more mental disorder classes. </w:t>
      </w:r>
    </w:p>
    <w:p w:rsidR="006866ED" w:rsidRPr="005B0796" w:rsidRDefault="006866ED" w:rsidP="006B0AC1">
      <w:r w:rsidRPr="005B0796">
        <w:t xml:space="preserve">Anxiety and affective disorders were the most common comorbidity – and importantly, more than 80% of those meeting 12-month ICD-10 criteria for PTSD had another comorbid mental disorder. An even greater 95% of the Transitioned ADF meeting criteria for a 12-month alcohol disorder had another mental disorder comorbidity. While there are independent determinants of alcohol abuse, in a significant percentage of cases, self-medication plays a role in alcohol use </w:t>
      </w:r>
      <w:r w:rsidRPr="005B0796">
        <w:fldChar w:fldCharType="begin">
          <w:fldData xml:space="preserve">PEVuZE5vdGU+PENpdGU+PEF1dGhvcj5DcnVtPC9BdXRob3I+PFllYXI+MjAxMzwvWWVhcj48UmVj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</w:fldData>
        </w:fldChar>
      </w:r>
      <w:r w:rsidRPr="005B0796">
        <w:instrText xml:space="preserve"> ADDIN EN.CITE </w:instrText>
      </w:r>
      <w:r w:rsidRPr="005B0796">
        <w:fldChar w:fldCharType="begin">
          <w:fldData xml:space="preserve">PEVuZE5vdGU+PENpdGU+PEF1dGhvcj5DcnVtPC9BdXRob3I+PFllYXI+MjAxMzwvWWVhcj48UmVj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</w:fldData>
        </w:fldChar>
      </w:r>
      <w:r w:rsidRPr="005B0796">
        <w:instrText xml:space="preserve"> ADDIN EN.CITE.DATA </w:instrText>
      </w:r>
      <w:r w:rsidRPr="005B0796">
        <w:fldChar w:fldCharType="end"/>
      </w:r>
      <w:r w:rsidRPr="005B0796">
        <w:fldChar w:fldCharType="separate"/>
      </w:r>
      <w:r w:rsidRPr="005B0796">
        <w:t>(Crum et al., 2013; Davis et al., 2013)</w:t>
      </w:r>
      <w:r w:rsidRPr="005B0796">
        <w:fldChar w:fldCharType="end"/>
      </w:r>
      <w:r w:rsidRPr="005B0796">
        <w:t xml:space="preserve">. This highlights the importance of having treatment programs that assess and treat comorbidity as an integral part of standard clinical approaches </w:t>
      </w:r>
      <w:r w:rsidRPr="005B0796">
        <w:fldChar w:fldCharType="begin"/>
      </w:r>
      <w:r w:rsidRPr="005B0796">
        <w:instrText xml:space="preserve"> ADDIN EN.CITE &lt;EndNote&gt;&lt;Cite&gt;&lt;Author&gt;Langdon&lt;/Author&gt;&lt;Year&gt;2016&lt;/Year&gt;&lt;RecNum&gt;919&lt;/RecNum&gt;&lt;DisplayText&gt;(Langdon et al., 2016)&lt;/DisplayText&gt;&lt;record&gt;&lt;rec-number&gt;919&lt;/rec-number&gt;&lt;foreign-keys&gt;&lt;key app="EN" db-id="arwdrezp9sdawxevtfyxtfw10exvr5exxfed" timestamp="1492996529"&gt;919&lt;/key&gt;&lt;/foreign-keys&gt;&lt;ref-type name="Journal Article"&gt;17&lt;/ref-type&gt;&lt;contributors&gt;&lt;authors&gt;&lt;author&gt;Langdon, Kirsten J&lt;/author&gt;&lt;author&gt;Fox, Annie B&lt;/author&gt;&lt;author&gt;King, Lynda A&lt;/author&gt;&lt;author&gt;King, Daniel W&lt;/author&gt;&lt;author&gt;Eisen, Susan&lt;/author&gt;&lt;author&gt;Vogt, Dawne&lt;/author&gt;&lt;/authors&gt;&lt;/contributors&gt;&lt;titles&gt;&lt;title&gt;Examination of the dynamic interplay between posttraumatic stress symptoms and alcohol misuse among combat-exposed Operation Enduring Freedom (OEF)/Operation Iraqi Freedom (OIF) Veterans&lt;/title&gt;&lt;secondary-title&gt;Journal of affective disorders&lt;/secondary-title&gt;&lt;/titles&gt;&lt;periodical&gt;&lt;full-title&gt;Journal of Affective Disorders&lt;/full-title&gt;&lt;/periodical&gt;&lt;pages&gt;234-242&lt;/pages&gt;&lt;volume&gt;196&lt;/volume&gt;&lt;dates&gt;&lt;year&gt;2016&lt;/year&gt;&lt;/dates&gt;&lt;isbn&gt;0165-0327&lt;/isbn&gt;&lt;urls&gt;&lt;/urls&gt;&lt;/record&gt;&lt;/Cite&gt;&lt;/EndNote&gt;</w:instrText>
      </w:r>
      <w:r w:rsidRPr="005B0796">
        <w:fldChar w:fldCharType="separate"/>
      </w:r>
      <w:r w:rsidRPr="005B0796">
        <w:t>(Langdon et al., 2016)</w:t>
      </w:r>
      <w:r w:rsidRPr="005B0796">
        <w:fldChar w:fldCharType="end"/>
      </w:r>
      <w:r w:rsidRPr="005B0796">
        <w:t xml:space="preserve">. </w:t>
      </w:r>
    </w:p>
    <w:p w:rsidR="006866ED" w:rsidRPr="005B0796" w:rsidRDefault="006866ED" w:rsidP="006B0AC1">
      <w:r w:rsidRPr="005B0796">
        <w:t xml:space="preserve">The comorbidity observed between PTSD and affective disorders deserves specific consideration because traumatic stress exposure also plays a role in the onset of affective disorder. The neurobiology of PTSD and major depressive disorder have many shared elements </w:t>
      </w:r>
      <w:r w:rsidRPr="005B0796">
        <w:fldChar w:fldCharType="begin">
          <w:fldData xml:space="preserve">PEVuZE5vdGU+PENpdGU+PEF1dGhvcj5EZWtlbDwvQXV0aG9yPjxZZWFyPjIwMTQ8L1llYXI+PFJl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==
</w:fldData>
        </w:fldChar>
      </w:r>
      <w:r w:rsidRPr="005B0796">
        <w:instrText xml:space="preserve"> ADDIN EN.CITE </w:instrText>
      </w:r>
      <w:r w:rsidRPr="005B0796">
        <w:fldChar w:fldCharType="begin">
          <w:fldData xml:space="preserve">PEVuZE5vdGU+PENpdGU+PEF1dGhvcj5EZWtlbDwvQXV0aG9yPjxZZWFyPjIwMTQ8L1llYXI+PFJl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==
</w:fldData>
        </w:fldChar>
      </w:r>
      <w:r w:rsidRPr="005B0796">
        <w:instrText xml:space="preserve"> ADDIN EN.CITE.DATA </w:instrText>
      </w:r>
      <w:r w:rsidRPr="005B0796">
        <w:fldChar w:fldCharType="end"/>
      </w:r>
      <w:r w:rsidRPr="005B0796">
        <w:fldChar w:fldCharType="separate"/>
      </w:r>
      <w:r w:rsidRPr="005B0796">
        <w:t>(Dekel et al., 2014; Rytwinski et al., 2013)</w:t>
      </w:r>
      <w:r w:rsidRPr="005B0796">
        <w:fldChar w:fldCharType="end"/>
      </w:r>
      <w:r w:rsidRPr="005B0796">
        <w:t xml:space="preserve">, and it is likely that the co-existence of an affective disorder indicates a greater degree of severity and general psychological stress among those diagnosed with PTSD </w:t>
      </w:r>
      <w:r w:rsidRPr="005B0796">
        <w:fldChar w:fldCharType="begin">
          <w:fldData xml:space="preserve">PEVuZE5vdGU+PENpdGU+PEF1dGhvcj5Nb3JpbmE8L0F1dGhvcj48WWVhcj4yMDEzPC9ZZWFyPjxS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==
</w:fldData>
        </w:fldChar>
      </w:r>
      <w:r w:rsidRPr="005B0796">
        <w:instrText xml:space="preserve"> ADDIN EN.CITE </w:instrText>
      </w:r>
      <w:r w:rsidRPr="005B0796">
        <w:fldChar w:fldCharType="begin">
          <w:fldData xml:space="preserve">PEVuZE5vdGU+PENpdGU+PEF1dGhvcj5Nb3JpbmE8L0F1dGhvcj48WWVhcj4yMDEzPC9ZZWFyPjxS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==
</w:fldData>
        </w:fldChar>
      </w:r>
      <w:r w:rsidRPr="005B0796">
        <w:instrText xml:space="preserve"> ADDIN EN.CITE.DATA </w:instrText>
      </w:r>
      <w:r w:rsidRPr="005B0796">
        <w:fldChar w:fldCharType="end"/>
      </w:r>
      <w:r w:rsidRPr="005B0796">
        <w:fldChar w:fldCharType="separate"/>
      </w:r>
      <w:r w:rsidRPr="005B0796">
        <w:t>(Morina et al., 2013)</w:t>
      </w:r>
      <w:r w:rsidRPr="005B0796">
        <w:fldChar w:fldCharType="end"/>
      </w:r>
      <w:r w:rsidRPr="005B0796">
        <w:t>.</w:t>
      </w:r>
    </w:p>
    <w:p w:rsidR="006866ED" w:rsidRPr="005B0796" w:rsidRDefault="006866ED" w:rsidP="006B0AC1">
      <w:r w:rsidRPr="005B0796">
        <w:t xml:space="preserve">The rates of comorbidity in the Transitioned ADF (15.1% meeting criteria for two disorder classes; 10.1% meeting criteria for three or more disorder classes) is greater than the rates reported in the Australian Community. In the 2007 NSMHW, 14.9% met ICD-10 criteria for one disorder class, 4.4% met criteria for two disorder classes and 0.7% met criteria for three disorder classes </w:t>
      </w:r>
      <w:r w:rsidRPr="005B0796">
        <w:fldChar w:fldCharType="begin">
          <w:fldData xml:space="preserve">PEVuZE5vdGU+PENpdGU+PEF1dGhvcj5UZWVzc29uPC9BdXRob3I+PFllYXI+MjAwOTwvWWVhcj48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</w:fldData>
        </w:fldChar>
      </w:r>
      <w:r w:rsidRPr="005B0796">
        <w:instrText xml:space="preserve"> ADDIN EN.CITE </w:instrText>
      </w:r>
      <w:r w:rsidRPr="005B0796">
        <w:fldChar w:fldCharType="begin">
          <w:fldData xml:space="preserve">PEVuZE5vdGU+PENpdGU+PEF1dGhvcj5UZWVzc29uPC9BdXRob3I+PFllYXI+MjAwOTwvWWVhcj48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</w:fldData>
        </w:fldChar>
      </w:r>
      <w:r w:rsidRPr="005B0796">
        <w:instrText xml:space="preserve"> ADDIN EN.CITE.DATA </w:instrText>
      </w:r>
      <w:r w:rsidRPr="005B0796">
        <w:fldChar w:fldCharType="end"/>
      </w:r>
      <w:r w:rsidRPr="005B0796">
        <w:fldChar w:fldCharType="separate"/>
      </w:r>
      <w:r w:rsidRPr="005B0796">
        <w:t>(Teesson et al., 2009)</w:t>
      </w:r>
      <w:r w:rsidRPr="005B0796">
        <w:fldChar w:fldCharType="end"/>
      </w:r>
      <w:r w:rsidRPr="005B0796">
        <w:t xml:space="preserve">. Similar to the Transitioned ADF, the most common comorbidities were anxiety disorders and affective disorders, which were consistent across the sexes (females 3.9%, males 2.9%). The second most common comorbid disorder combination was substance abuse and anxiety disorders (females 0.8%, males 1.3%), followed by substance abuse and affective disorders (females 0.2%, males 0.6%). </w:t>
      </w:r>
    </w:p>
    <w:p w:rsidR="006866ED" w:rsidRPr="005B0796" w:rsidRDefault="006866ED" w:rsidP="006B0AC1">
      <w:r w:rsidRPr="005B0796">
        <w:t xml:space="preserve">Overall, the high rate of comorbidities observed in the Transitioned ADF points to the greater challenge of effectively treating and managing the complexity of disorder identified within this population. This raises important questions about developing treatment programs that specifically address comorbidity, including comorbidities of substance abuse, affective disorder and PTSD. The treatment literature has tended to incorrectly assume that the treatment of PTSD will have significant additional benefits for comorbid disorders. </w:t>
      </w:r>
      <w:r w:rsidR="00F20C22" w:rsidRPr="005B0796">
        <w:t>However</w:t>
      </w:r>
      <w:r w:rsidR="00F20C22">
        <w:t>, this</w:t>
      </w:r>
      <w:r w:rsidR="00F20C22" w:rsidRPr="005B0796">
        <w:t xml:space="preserve"> </w:t>
      </w:r>
      <w:r w:rsidRPr="005B0796">
        <w:t>may not be the case and therefore requires further examination and consideration because of the substantial impairment and social disadvantage of this group. In general, it is accepted that comorbidity is a marker of severity of disorder, further underscoring the importance of these results.</w:t>
      </w:r>
    </w:p>
    <w:p w:rsidR="006866ED" w:rsidRPr="005B0796" w:rsidRDefault="006866ED" w:rsidP="006B0AC1">
      <w:pPr>
        <w:pStyle w:val="Heading3"/>
      </w:pPr>
      <w:bookmarkStart w:id="1347" w:name="_Toc482021416"/>
      <w:bookmarkStart w:id="1348" w:name="_Toc482024508"/>
      <w:bookmarkStart w:id="1349" w:name="_Toc484767277"/>
      <w:bookmarkStart w:id="1350" w:name="_Toc487011263"/>
      <w:bookmarkStart w:id="1351" w:name="_Toc493663158"/>
      <w:bookmarkStart w:id="1352" w:name="_Toc494449783"/>
      <w:bookmarkStart w:id="1353" w:name="_Toc511900365"/>
      <w:r w:rsidRPr="005B0796">
        <w:t>Suicidality</w:t>
      </w:r>
      <w:bookmarkEnd w:id="1347"/>
      <w:bookmarkEnd w:id="1348"/>
      <w:bookmarkEnd w:id="1349"/>
      <w:bookmarkEnd w:id="1350"/>
      <w:bookmarkEnd w:id="1351"/>
      <w:bookmarkEnd w:id="1352"/>
      <w:bookmarkEnd w:id="1353"/>
    </w:p>
    <w:p w:rsidR="006866ED" w:rsidRPr="005B0796" w:rsidRDefault="006866ED" w:rsidP="006B0AC1">
      <w:r w:rsidRPr="005B0796">
        <w:t xml:space="preserve">Suicide and suicidality are issues of major concern in military populations </w:t>
      </w:r>
      <w:r w:rsidRPr="005B0796">
        <w:fldChar w:fldCharType="begin"/>
      </w:r>
      <w:r w:rsidRPr="005B0796">
        <w:instrText xml:space="preserve"> ADDIN EN.CITE &lt;EndNote&gt;&lt;Cite&gt;&lt;Author&gt;Brenner&lt;/Author&gt;&lt;Year&gt;2012&lt;/Year&gt;&lt;RecNum&gt;915&lt;/RecNum&gt;&lt;DisplayText&gt;(Brenner &amp;amp; Barnes, 2012; Ursano et al., 2016)&lt;/DisplayText&gt;&lt;record&gt;&lt;rec-number&gt;915&lt;/rec-number&gt;&lt;foreign-keys&gt;&lt;key app="EN" db-id="arwdrezp9sdawxevtfyxtfw10exvr5exxfed" timestamp="1492995958"&gt;915&lt;/key&gt;&lt;/foreign-keys&gt;&lt;ref-type name="Journal Article"&gt;17&lt;/ref-type&gt;&lt;contributors&gt;&lt;authors&gt;&lt;author&gt;Brenner, Lisa A&lt;/author&gt;&lt;author&gt;Barnes, Sean M&lt;/author&gt;&lt;/authors&gt;&lt;/contributors&gt;&lt;titles&gt;&lt;title&gt;Facilitating treatment engagement during high-risk transition periods: a potential suicide prevention strategy&lt;/title&gt;&lt;secondary-title&gt;American Journal of Public Health&lt;/secondary-title&gt;&lt;/titles&gt;&lt;periodical&gt;&lt;full-title&gt;American Journal of Public Health&lt;/full-title&gt;&lt;/periodical&gt;&lt;pages&gt;S1-2&lt;/pages&gt;&lt;volume&gt;102&lt;/volume&gt;&lt;dates&gt;&lt;year&gt;2012&lt;/year&gt;&lt;/dates&gt;&lt;isbn&gt;1541-0048&lt;/isbn&gt;&lt;urls&gt;&lt;/urls&gt;&lt;/record&gt;&lt;/Cite&gt;&lt;Cite&gt;&lt;Author&gt;Ursano&lt;/Author&gt;&lt;Year&gt;2016&lt;/Year&gt;&lt;RecNum&gt;914&lt;/RecNum&gt;&lt;record&gt;&lt;rec-number&gt;914&lt;/rec-number&gt;&lt;foreign-keys&gt;&lt;key app="EN" db-id="arwdrezp9sdawxevtfyxtfw10exvr5exxfed" timestamp="1492995810"&gt;914&lt;/key&gt;&lt;/foreign-keys&gt;&lt;ref-type name="Journal Article"&gt;17&lt;/ref-type&gt;&lt;contributors&gt;&lt;authors&gt;&lt;author&gt;Ursano, Robert J&lt;/author&gt;&lt;author&gt;Kessler, Ronald C&lt;/author&gt;&lt;author&gt;Stein, Murray B&lt;/author&gt;&lt;author&gt;Naifeh, James A&lt;/author&gt;&lt;author&gt;Aliaga, Pablo A&lt;/author&gt;&lt;author&gt;Fullerton, Carol S&lt;/author&gt;&lt;author&gt;Wynn, Gary H&lt;/author&gt;&lt;author&gt;Vegella, Patti L&lt;/author&gt;&lt;author&gt;Ng, Tsz Hin Hinz&lt;/author&gt;&lt;author&gt;Zhang, Bailey G&lt;/author&gt;&lt;/authors&gt;&lt;/contributors&gt;&lt;titles&gt;&lt;title&gt;Risk factors, methods, and timing of suicide attempts among US Army soldiers&lt;/title&gt;&lt;secondary-title&gt;JAMA psychiatry&lt;/secondary-title&gt;&lt;/titles&gt;&lt;periodical&gt;&lt;full-title&gt;JAMA Psychiatry&lt;/full-title&gt;&lt;/periodical&gt;&lt;pages&gt;741-749&lt;/pages&gt;&lt;volume&gt;73&lt;/volume&gt;&lt;number&gt;7&lt;/number&gt;&lt;dates&gt;&lt;year&gt;2016&lt;/year&gt;&lt;/dates&gt;&lt;isbn&gt;2168-622X&lt;/isbn&gt;&lt;urls&gt;&lt;/urls&gt;&lt;/record&gt;&lt;/Cite&gt;&lt;/EndNote&gt;</w:instrText>
      </w:r>
      <w:r w:rsidRPr="005B0796">
        <w:fldChar w:fldCharType="separate"/>
      </w:r>
      <w:r w:rsidRPr="005B0796">
        <w:t>(Brenner &amp; Barnes, 2012; Ursano et al., 2016)</w:t>
      </w:r>
      <w:r w:rsidRPr="005B0796">
        <w:fldChar w:fldCharType="end"/>
      </w:r>
      <w:r w:rsidRPr="005B0796">
        <w:t>. In this study, 21.7% of the Transitioned ADF reported some form of suicidal ideation, plans or attempts in the last 12 months, with more than one-quarter reporting they felt their life was not worth living, and an estimated 21.2% reporting they had felt so low they thought about death by suicide. An estimated 7.9% of the Transitioned ADF reported making a suicide plan and 2.0% had attempted suicide. These rates highlight the degree of distress, support concerns about suicidality in the Transitioned ADF, and point to an opportunity for early intervention.</w:t>
      </w:r>
    </w:p>
    <w:p w:rsidR="006866ED" w:rsidRPr="005B0796" w:rsidRDefault="006866ED" w:rsidP="006B0AC1">
      <w:r w:rsidRPr="005B0796">
        <w:t xml:space="preserve">Those who have attempted suicide represent an estimated 505 individuals and, when identifying to services, present an opportunity for targeted intervention because of the risk </w:t>
      </w:r>
      <w:r w:rsidR="00F20C22">
        <w:t xml:space="preserve">that </w:t>
      </w:r>
      <w:r w:rsidRPr="005B0796">
        <w:t xml:space="preserve">attempts represent for future completed suicide </w:t>
      </w:r>
      <w:r w:rsidRPr="005B0796">
        <w:fldChar w:fldCharType="begin"/>
      </w:r>
      <w:r w:rsidRPr="005B0796">
        <w:instrText xml:space="preserve"> ADDIN EN.CITE &lt;EndNote&gt;&lt;Cite&gt;&lt;Author&gt;Ribeiro&lt;/Author&gt;&lt;Year&gt;2016&lt;/Year&gt;&lt;RecNum&gt;962&lt;/RecNum&gt;&lt;DisplayText&gt;(Ribeiro et al., 2016)&lt;/DisplayText&gt;&lt;record&gt;&lt;rec-number&gt;962&lt;/rec-number&gt;&lt;foreign-keys&gt;&lt;key app="EN" db-id="arwdrezp9sdawxevtfyxtfw10exvr5exxfed" timestamp="1493964042"&gt;962&lt;/key&gt;&lt;/foreign-keys&gt;&lt;ref-type name="Journal Article"&gt;17&lt;/ref-type&gt;&lt;contributors&gt;&lt;authors&gt;&lt;author&gt;Ribeiro, JD&lt;/author&gt;&lt;author&gt;Franklin, JC&lt;/author&gt;&lt;author&gt;Fox, KR&lt;/author&gt;&lt;author&gt;Bentley, KH&lt;/author&gt;&lt;author&gt;Kleiman, EM&lt;/author&gt;&lt;author&gt;Chang, BP&lt;/author&gt;&lt;author&gt;Nock, MK&lt;/author&gt;&lt;/authors&gt;&lt;/contributors&gt;&lt;titles&gt;&lt;title&gt;Self-injurious thoughts and behaviors as risk factors for future suicide ideation, attempts, and death: a meta-analysis of longitudinal studies&lt;/title&gt;&lt;secondary-title&gt;Psychological medicine&lt;/secondary-title&gt;&lt;/titles&gt;&lt;periodical&gt;&lt;full-title&gt;Psychological Medicine&lt;/full-title&gt;&lt;/periodical&gt;&lt;pages&gt;225-236&lt;/pages&gt;&lt;volume&gt;46&lt;/volume&gt;&lt;number&gt;02&lt;/number&gt;&lt;dates&gt;&lt;year&gt;2016&lt;/year&gt;&lt;/dates&gt;&lt;isbn&gt;1469-8978&lt;/isbn&gt;&lt;urls&gt;&lt;/urls&gt;&lt;/record&gt;&lt;/Cite&gt;&lt;/EndNote&gt;</w:instrText>
      </w:r>
      <w:r w:rsidRPr="005B0796">
        <w:fldChar w:fldCharType="separate"/>
      </w:r>
      <w:r w:rsidRPr="005B0796">
        <w:t>(Ribeiro et al., 2016)</w:t>
      </w:r>
      <w:r w:rsidRPr="005B0796">
        <w:fldChar w:fldCharType="end"/>
      </w:r>
      <w:r w:rsidRPr="005B0796">
        <w:t xml:space="preserve">. These rates closely match those reported </w:t>
      </w:r>
      <w:r w:rsidR="00F20C22">
        <w:t xml:space="preserve">for </w:t>
      </w:r>
      <w:r w:rsidRPr="005B0796">
        <w:t>transitioned Canadian Military personnel</w:t>
      </w:r>
      <w:r w:rsidR="00F20C22">
        <w:t>, for whom</w:t>
      </w:r>
      <w:r w:rsidRPr="005B0796">
        <w:t xml:space="preserve"> the prevalence of past-year suicidal ideation was 7% (6% – 8%) </w:t>
      </w:r>
      <w:r w:rsidRPr="005B0796">
        <w:fldChar w:fldCharType="begin"/>
      </w:r>
      <w:r w:rsidRPr="005B0796">
        <w:instrText xml:space="preserve"> ADDIN EN.CITE &lt;EndNote&gt;&lt;Cite&gt;&lt;Author&gt;Thompson&lt;/Author&gt;&lt;Year&gt;2015&lt;/Year&gt;&lt;RecNum&gt;389&lt;/RecNum&gt;&lt;DisplayText&gt;(Thompson et al., 2015)&lt;/DisplayText&gt;&lt;record&gt;&lt;rec-number&gt;389&lt;/rec-number&gt;&lt;foreign-keys&gt;&lt;key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(Thompson et al., 2015)</w:t>
      </w:r>
      <w:r w:rsidRPr="005B0796">
        <w:fldChar w:fldCharType="end"/>
      </w:r>
      <w:r w:rsidRPr="005B0796">
        <w:t xml:space="preserve">. Similar to the current study, suicidal ideation was much more common than suicide attempts, which were more common than completed suicide. Very low numbers reported 12-month suicide attempts (1%) </w:t>
      </w:r>
      <w:r w:rsidRPr="005B0796">
        <w:fldChar w:fldCharType="begin"/>
      </w:r>
      <w:r w:rsidRPr="005B0796">
        <w:instrText xml:space="preserve"> ADDIN EN.CITE &lt;EndNote&gt;&lt;Cite&gt;&lt;Author&gt;Thompson&lt;/Author&gt;&lt;Year&gt;2011&lt;/Year&gt;&lt;RecNum&gt;14&lt;/RecNum&gt;&lt;DisplayText&gt;(Thompson et al., 2011a)&lt;/DisplayText&gt;&lt;record&gt;&lt;rec-number&gt;14&lt;/rec-number&gt;&lt;foreign-keys&gt;&lt;key app="EN" db-id="arwdrezp9sdawxevtfyxtfw10exvr5exxfed" timestamp="1473833608"&gt;14&lt;/key&gt;&lt;/foreign-keys&gt;&lt;ref-type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5B0796">
        <w:fldChar w:fldCharType="separate"/>
      </w:r>
      <w:r w:rsidRPr="005B0796">
        <w:t>(Thompson et al., 2011a)</w:t>
      </w:r>
      <w:r w:rsidRPr="005B0796">
        <w:fldChar w:fldCharType="end"/>
      </w:r>
      <w:r w:rsidRPr="005B0796">
        <w:t>.</w:t>
      </w:r>
    </w:p>
    <w:p w:rsidR="006866ED" w:rsidRPr="005B0796" w:rsidRDefault="006866ED" w:rsidP="006B0AC1">
      <w:r w:rsidRPr="005B0796">
        <w:t xml:space="preserve">Among the Ex-Serving ADF (13.1%), the rate of suicide plans was higher than both Reservist groups </w:t>
      </w:r>
      <w:r w:rsidR="00F20C22">
        <w:t>(</w:t>
      </w:r>
      <w:r w:rsidRPr="005B0796">
        <w:t xml:space="preserve">2.7% – 4.7%), with an estimated 3.8% of the Ex-Serving Transitioned ADF reporting they had attempted suicide, contrasted with the Active and Inactive Reservist populations where the rates were substantially lower (0.1% </w:t>
      </w:r>
      <w:r w:rsidR="00F20C22">
        <w:t>–</w:t>
      </w:r>
      <w:r w:rsidRPr="005B0796">
        <w:t xml:space="preserve"> 1.1%). This highlights that the group who have fully discharged from the ADF are particularly at risk of suicidal ideation and attempts</w:t>
      </w:r>
      <w:r w:rsidR="00F20C22">
        <w:t>. This</w:t>
      </w:r>
      <w:r w:rsidRPr="005B0796">
        <w:t xml:space="preserve"> finding </w:t>
      </w:r>
      <w:r w:rsidR="00F20C22">
        <w:t xml:space="preserve">is </w:t>
      </w:r>
      <w:r w:rsidRPr="005B0796">
        <w:t xml:space="preserve">consistent with recently released Australian Institute of Health and Welfare (AIHW) suicide data, which showed a pattern of increased risk of completed suicides among ADF members following transition from the Regular ADF </w:t>
      </w:r>
      <w:r w:rsidRPr="005B0796">
        <w:fldChar w:fldCharType="begin"/>
      </w:r>
      <w:r w:rsidRPr="005B0796">
        <w:instrText xml:space="preserve"> ADDIN EN.CITE &lt;EndNote&gt;&lt;Cite&gt;&lt;Author&gt;Australian Institute of Health and Welfare&lt;/Author&gt;&lt;Year&gt;2017&lt;/Year&gt;&lt;RecNum&gt;977&lt;/RecNum&gt;&lt;DisplayText&gt;(Australian Institute of Health and Welfare, 2017a)&lt;/DisplayText&gt;&lt;record&gt;&lt;rec-number&gt;977&lt;/rec-number&gt;&lt;foreign-keys&gt;&lt;key app="EN" db-id="arwdrezp9sdawxevtfyxtfw10exvr5exxfed" timestamp="1499132914"&gt;977&lt;/key&gt;&lt;/foreign-keys&gt;&lt;ref-type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5B0796">
        <w:fldChar w:fldCharType="separate"/>
      </w:r>
      <w:r w:rsidRPr="005B0796">
        <w:t>(Australian Institute of Health and Welfare, 2017a)</w:t>
      </w:r>
      <w:r w:rsidRPr="005B0796">
        <w:fldChar w:fldCharType="end"/>
      </w:r>
      <w:r w:rsidRPr="005B0796">
        <w:t xml:space="preserve">. </w:t>
      </w:r>
    </w:p>
    <w:p w:rsidR="006866ED" w:rsidRPr="005B0796" w:rsidRDefault="006866ED" w:rsidP="006B0AC1">
      <w:r w:rsidRPr="005B0796">
        <w:t xml:space="preserve">A significant trend for increasing suicidality was found in the current study over the passage of time since discharge from full-time military service. This may be related to the increasing duration of mental disorder in this population and the increasing awareness of the difficulties of transition into meaningful civilian roles in those with psychiatric symptoms. </w:t>
      </w:r>
    </w:p>
    <w:p w:rsidR="006866ED" w:rsidRPr="005B0796" w:rsidRDefault="006866ED" w:rsidP="006B0AC1">
      <w:r w:rsidRPr="005B0796">
        <w:t>These relationships require detailed exploration in further analyses. Rates of suicidal thoughts, plans and attempts were significantly lower in Officers compared to Non-Commissioned Officers, and significantly higher in those with less years of service, specifically for suicidal ideation. In line with the pattern of results for affective, anxiety and alcohol disorders, those who were medically discharged and DVA clients reported significantly higher rates of suicidal ideation plans and attempts, than those who were not.</w:t>
      </w:r>
    </w:p>
    <w:p w:rsidR="006866ED" w:rsidRPr="005B0796" w:rsidRDefault="006866ED" w:rsidP="006B0AC1">
      <w:r w:rsidRPr="005B0796">
        <w:t xml:space="preserve">In relation to comorbidity, affective disorders in particular have been identified as a significant risk factor for suicidality </w:t>
      </w:r>
      <w:r w:rsidRPr="005B0796">
        <w:fldChar w:fldCharType="begin"/>
      </w:r>
      <w:r w:rsidRPr="005B0796">
        <w:instrText xml:space="preserve"> ADDIN EN.CITE &lt;EndNote&gt;&lt;Cite&gt;&lt;Author&gt;Panagioti&lt;/Author&gt;&lt;Year&gt;2012&lt;/Year&gt;&lt;RecNum&gt;916&lt;/RecNum&gt;&lt;DisplayText&gt;(Panagioti et al., 2012)&lt;/DisplayText&gt;&lt;record&gt;&lt;rec-number&gt;916&lt;/rec-number&gt;&lt;foreign-keys&gt;&lt;key app="EN" db-id="arwdrezp9sdawxevtfyxtfw10exvr5exxfed" timestamp="1492996188"&gt;916&lt;/key&gt;&lt;/foreign-keys&gt;&lt;ref-type name="Journal Article"&gt;17&lt;/ref-type&gt;&lt;contributors&gt;&lt;authors&gt;&lt;author&gt;Panagioti, Maria&lt;/author&gt;&lt;author&gt;Gooding, Patricia A&lt;/author&gt;&lt;author&gt;Tarrier, Nicholas&lt;/author&gt;&lt;/authors&gt;&lt;/contributors&gt;&lt;titles&gt;&lt;title&gt;A meta-analysis of the association between posttraumatic stress disorder and suicidality: the role of comorbid depression&lt;/title&gt;&lt;secondary-title&gt;Comprehensive psychiatry&lt;/secondary-title&gt;&lt;/titles&gt;&lt;periodical&gt;&lt;full-title&gt;Compr Psychiatry&lt;/full-title&gt;&lt;abbr-1&gt;Comprehensive psychiatry&lt;/abbr-1&gt;&lt;/periodical&gt;&lt;pages&gt;915-930&lt;/pages&gt;&lt;volume&gt;53&lt;/volume&gt;&lt;number&gt;7&lt;/number&gt;&lt;dates&gt;&lt;year&gt;2012&lt;/year&gt;&lt;/dates&gt;&lt;isbn&gt;0010-440X&lt;/isbn&gt;&lt;urls&gt;&lt;/urls&gt;&lt;/record&gt;&lt;/Cite&gt;&lt;/EndNote&gt;</w:instrText>
      </w:r>
      <w:r w:rsidRPr="005B0796">
        <w:fldChar w:fldCharType="separate"/>
      </w:r>
      <w:r w:rsidRPr="005B0796">
        <w:t>(Panagioti et al., 2012)</w:t>
      </w:r>
      <w:r w:rsidRPr="005B0796">
        <w:fldChar w:fldCharType="end"/>
      </w:r>
      <w:r w:rsidRPr="005B0796">
        <w:t>. A recent review of the literatu</w:t>
      </w:r>
      <w:r w:rsidRPr="00F20C22">
        <w:t xml:space="preserve">re </w:t>
      </w:r>
      <w:r w:rsidRPr="00F20C22">
        <w:fldChar w:fldCharType="begin"/>
      </w:r>
      <w:r w:rsidRPr="00F20C22">
        <w:instrText xml:space="preserve"> ADDIN EN.CITE &lt;EndNote&gt;&lt;Cite&gt;&lt;Author&gt;Bentley&lt;/Author&gt;&lt;Year&gt;2016&lt;/Year&gt;&lt;RecNum&gt;917&lt;/RecNum&gt;&lt;DisplayText&gt;(Bentley et al., 2016)&lt;/DisplayText&gt;&lt;record&gt;&lt;rec-number&gt;917&lt;/rec-number&gt;&lt;foreign-keys&gt;&lt;key app="EN" db-id="arwdrezp9sdawxevtfyxtfw10exvr5exxfed" timestamp="1492996271"&gt;917&lt;/key&gt;&lt;/foreign-keys&gt;&lt;ref-type name="Journal Article"&gt;17&lt;/ref-type&gt;&lt;contributors&gt;&lt;authors&gt;&lt;author&gt;Bentley, Kate H&lt;/author&gt;&lt;author&gt;Franklin, Joseph C&lt;/author&gt;&lt;author&gt;Ribeiro, Jessica D&lt;/author&gt;&lt;author&gt;Kleiman, Evan M&lt;/author&gt;&lt;author&gt;Fox, Kathryn R&lt;/author&gt;&lt;author&gt;Nock, Matthew K&lt;/author&gt;&lt;/authors&gt;&lt;/contributors&gt;&lt;titles&gt;&lt;title&gt;Anxiety and its disorders as risk factors for suicidal thoughts and behaviors: a meta-analytic review&lt;/title&gt;&lt;secondary-title&gt;Clinical psychology review&lt;/secondary-title&gt;&lt;/titles&gt;&lt;periodical&gt;&lt;full-title&gt;Clin Psychol Rev&lt;/full-title&gt;&lt;abbr-1&gt;Clinical psychology review&lt;/abbr-1&gt;&lt;/periodical&gt;&lt;pages&gt;30-46&lt;/pages&gt;&lt;volume&gt;43&lt;/volume&gt;&lt;dates&gt;&lt;year&gt;2016&lt;/year&gt;&lt;/dates&gt;&lt;isbn&gt;0272-7358&lt;/isbn&gt;&lt;urls&gt;&lt;related-urls&gt;&lt;url&gt;http://ac.els-cdn.com/S0272735815300714/1-s2.0-S0272735815300714-main.pdf?_tid=67dfbcfe-2a49-11e7-8a32-00000aab0f26&amp;amp;acdnat=1493188222_37fead769463d79d421006c79697f386&lt;/url&gt;&lt;/related-urls&gt;&lt;/urls&gt;&lt;/record&gt;&lt;/Cite&gt;&lt;/EndNote&gt;</w:instrText>
      </w:r>
      <w:r w:rsidRPr="00F20C22">
        <w:fldChar w:fldCharType="separate"/>
      </w:r>
      <w:r w:rsidRPr="00F20C22">
        <w:t>(Bentley et al., 2016)</w:t>
      </w:r>
      <w:r w:rsidRPr="00F20C22">
        <w:fldChar w:fldCharType="end"/>
      </w:r>
      <w:r w:rsidRPr="00F20C22">
        <w:t xml:space="preserve"> concluded that the issue of suicide risk is much broader, noting </w:t>
      </w:r>
      <w:r w:rsidR="00462A0C" w:rsidRPr="00F20C22">
        <w:t>‘</w:t>
      </w:r>
      <w:r w:rsidRPr="00F20C22">
        <w:t>…</w:t>
      </w:r>
      <w:r w:rsidR="00462A0C" w:rsidRPr="00F20C22">
        <w:t> </w:t>
      </w:r>
      <w:r w:rsidRPr="00F20C22">
        <w:t>suicidal thoughts and behaviours are highly prevalent public health problems with devastating consequences. There is an urgent need to improve our understanding of the risk factors for suicide to identify effective intervention targets</w:t>
      </w:r>
      <w:r w:rsidR="00462A0C" w:rsidRPr="00F20C22">
        <w:t>’</w:t>
      </w:r>
      <w:r w:rsidRPr="00F20C22">
        <w:t xml:space="preserve">. When examining the spectrum of anxiety disorders, it concluded that </w:t>
      </w:r>
      <w:r w:rsidR="00462A0C" w:rsidRPr="00F20C22">
        <w:t>‘</w:t>
      </w:r>
      <w:r w:rsidRPr="00F20C22">
        <w:t>…</w:t>
      </w:r>
      <w:r w:rsidR="00462A0C" w:rsidRPr="00F20C22">
        <w:t> </w:t>
      </w:r>
      <w:r w:rsidRPr="00F20C22">
        <w:t>the strongest associations were found for PTSD</w:t>
      </w:r>
      <w:r w:rsidR="00462A0C" w:rsidRPr="00F20C22">
        <w:t>’</w:t>
      </w:r>
      <w:r w:rsidRPr="00F20C22">
        <w:t xml:space="preserve"> </w:t>
      </w:r>
      <w:r w:rsidRPr="00F20C22">
        <w:fldChar w:fldCharType="begin"/>
      </w:r>
      <w:r w:rsidRPr="00F20C22">
        <w:instrText xml:space="preserve"> ADDIN EN.CITE &lt;EndNote&gt;&lt;Cite&gt;&lt;Author&gt;Bentley&lt;/Author&gt;&lt;Year&gt;2016&lt;/Year&gt;&lt;RecNum&gt;917&lt;/RecNum&gt;&lt;DisplayText&gt;(Bentley et al., 2016)&lt;/DisplayText&gt;&lt;record&gt;&lt;rec-number&gt;917&lt;/rec-number&gt;&lt;foreign-keys&gt;&lt;key app="EN" db-id="arwdrezp9sdawxevtfyxtfw10exvr5exxfed" timestamp="1492996271"&gt;917&lt;/key&gt;&lt;/foreign-keys&gt;&lt;ref-type name="Journal Article"&gt;17&lt;/ref-type&gt;&lt;contributors&gt;&lt;authors&gt;&lt;author&gt;Bentley, Kate H&lt;/author&gt;&lt;author&gt;Franklin, Joseph C&lt;/author&gt;&lt;author&gt;Ribeiro, Jessica D&lt;/author&gt;&lt;author&gt;Kleiman, Evan M&lt;/author&gt;&lt;author&gt;Fox, Kathryn R&lt;/author&gt;&lt;author&gt;Nock, Matthew K&lt;/author&gt;&lt;/authors&gt;&lt;/contributors&gt;&lt;titles&gt;&lt;title&gt;Anxiety and its disorders as risk factors for suicidal thoughts and behaviors: a meta-analytic review&lt;/title&gt;&lt;secondary-title&gt;Clinical psychology review&lt;/secondary-title&gt;&lt;/titles&gt;&lt;periodical&gt;&lt;full-title&gt;Clin Psychol Rev&lt;/full-title&gt;&lt;abbr-1&gt;Clinical psychology review&lt;/abbr-1&gt;&lt;/periodical&gt;&lt;pages&gt;30-46&lt;/pages&gt;&lt;volume&gt;43&lt;/volume&gt;&lt;dates&gt;&lt;year&gt;2016&lt;/year&gt;&lt;/dates&gt;&lt;isbn&gt;0272-7358&lt;/isbn&gt;&lt;urls&gt;&lt;related-urls&gt;&lt;url&gt;http://ac.els-cdn.com/S0272735815300714/1-s2.0-S0272735815300714-main.pdf?_tid=67dfbcfe-2a49-11e7-8a32-00000aab0f26&amp;amp;acdnat=1493188222_37fead769463d79d421006c79697f386&lt;/url&gt;&lt;/related-urls&gt;&lt;/urls&gt;&lt;/record&gt;&lt;/Cite&gt;&lt;/EndNote&gt;</w:instrText>
      </w:r>
      <w:r w:rsidRPr="00F20C22">
        <w:fldChar w:fldCharType="separate"/>
      </w:r>
      <w:r w:rsidRPr="00F20C22">
        <w:t>(Bentley et al., 2016)</w:t>
      </w:r>
      <w:r w:rsidRPr="00F20C22">
        <w:fldChar w:fldCharType="end"/>
      </w:r>
      <w:r w:rsidRPr="00F20C22">
        <w:t xml:space="preserve">. Considering the overall high rates of mental disorder observed in this study, and in particular the high rates of PTSD, there is an </w:t>
      </w:r>
      <w:r w:rsidRPr="005B0796">
        <w:t>urgent need to further analyse these data and determine the effectiveness of the interventions that serving and ex-serving ADF members may or may not be receiving.</w:t>
      </w:r>
    </w:p>
    <w:p w:rsidR="006866ED" w:rsidRPr="005B0796" w:rsidRDefault="006866ED" w:rsidP="006B0AC1">
      <w:pPr>
        <w:pStyle w:val="Heading3"/>
      </w:pPr>
      <w:bookmarkStart w:id="1354" w:name="_Toc487011264"/>
      <w:bookmarkStart w:id="1355" w:name="_Toc493663159"/>
      <w:bookmarkStart w:id="1356" w:name="_Toc494449784"/>
      <w:bookmarkStart w:id="1357" w:name="_Toc511900366"/>
      <w:r w:rsidRPr="005B0796">
        <w:t>Risk and protective factors for ICD-10 mental disorder and suicidality</w:t>
      </w:r>
      <w:bookmarkEnd w:id="1354"/>
      <w:bookmarkEnd w:id="1355"/>
      <w:bookmarkEnd w:id="1356"/>
      <w:bookmarkEnd w:id="1357"/>
    </w:p>
    <w:p w:rsidR="006866ED" w:rsidRPr="005B0796" w:rsidRDefault="006866ED" w:rsidP="006B0AC1">
      <w:r w:rsidRPr="005B0796">
        <w:t xml:space="preserve">As briefly covered above, further to the detailed examination of 12-month mental disorder prevalence and suicidality among the Transitioned ADF, a number of key demographic, service and transition factors were examined. The pattern of findings for each of these factors across all disorders are summarised in this section. </w:t>
      </w:r>
    </w:p>
    <w:p w:rsidR="006866ED" w:rsidRPr="005B0796" w:rsidRDefault="006866ED" w:rsidP="006B0AC1">
      <w:pPr>
        <w:pStyle w:val="Heading3"/>
      </w:pPr>
      <w:bookmarkStart w:id="1358" w:name="_Toc487011265"/>
      <w:bookmarkStart w:id="1359" w:name="_Toc493663160"/>
      <w:bookmarkStart w:id="1360" w:name="_Toc494449785"/>
      <w:bookmarkStart w:id="1361" w:name="_Toc511900367"/>
      <w:r w:rsidRPr="005B0796">
        <w:t>Demographic factors</w:t>
      </w:r>
      <w:bookmarkEnd w:id="1358"/>
      <w:bookmarkEnd w:id="1359"/>
      <w:bookmarkEnd w:id="1360"/>
      <w:bookmarkEnd w:id="1361"/>
    </w:p>
    <w:p w:rsidR="006866ED" w:rsidRPr="005B0796" w:rsidRDefault="006866ED" w:rsidP="006B0AC1">
      <w:r w:rsidRPr="005B0796">
        <w:t>Overall, the demographic predictors of age and sex had little impact on estimated rates of 12-month ICD-10 mental disorder in the Transitioned ADF. There were no significant sex-related differences in affective, anxiety or alcohol disorders, or self-reported suicidality. There were some age-related trends, with 12-month affective disorders lowest in Transitioned ADF members aged 58+ and dysthymia most commonly observed in the 38</w:t>
      </w:r>
      <w:r w:rsidR="00F20C22">
        <w:t>–</w:t>
      </w:r>
      <w:r w:rsidRPr="005B0796">
        <w:t xml:space="preserve">47 age group (11.8%). Alcohol disorders were most commonly observed among the younger Transitioned ADF, aged 18–47. </w:t>
      </w:r>
    </w:p>
    <w:p w:rsidR="006866ED" w:rsidRPr="005B0796" w:rsidRDefault="006866ED" w:rsidP="006B0AC1">
      <w:pPr>
        <w:pStyle w:val="Heading3"/>
      </w:pPr>
      <w:bookmarkStart w:id="1362" w:name="_Toc487011266"/>
      <w:bookmarkStart w:id="1363" w:name="_Toc493663161"/>
      <w:bookmarkStart w:id="1364" w:name="_Toc494449786"/>
      <w:bookmarkStart w:id="1365" w:name="_Toc511900368"/>
      <w:r w:rsidRPr="005B0796">
        <w:t>Service factors</w:t>
      </w:r>
      <w:bookmarkEnd w:id="1362"/>
      <w:bookmarkEnd w:id="1363"/>
      <w:bookmarkEnd w:id="1364"/>
      <w:bookmarkEnd w:id="1365"/>
    </w:p>
    <w:p w:rsidR="006866ED" w:rsidRPr="005B0796" w:rsidRDefault="006866ED" w:rsidP="006B0AC1">
      <w:r w:rsidRPr="005B0796">
        <w:t xml:space="preserve">Service-specific factors, </w:t>
      </w:r>
      <w:r w:rsidR="00F20C22">
        <w:t xml:space="preserve">including </w:t>
      </w:r>
      <w:r w:rsidRPr="005B0796">
        <w:t>Service branch, years of service, deployment and rank showed mixed effects on mental disorder and suicidality prevalence among the Transitioned ADF. Service branch at time of transition had some association with rates of PTSD, alcohol disorder and suicidality. Specifically, estimates of 12</w:t>
      </w:r>
      <w:r w:rsidRPr="005B0796">
        <w:noBreakHyphen/>
        <w:t xml:space="preserve">month PTSD were greater in the Army and the Air Force than the Navy; the Navy and the Army had higher estimated alcohol disorder compared to </w:t>
      </w:r>
      <w:r w:rsidR="00F20C22">
        <w:t xml:space="preserve">the </w:t>
      </w:r>
      <w:r w:rsidRPr="005B0796">
        <w:t xml:space="preserve">Air Force; and estimated suicidality was highest among Transitioned ADF from the Army. Consistent with previous Australian and international findings </w:t>
      </w:r>
      <w:r w:rsidRPr="005B0796">
        <w:fldChar w:fldCharType="begin">
          <w:fldData xml:space="preserve">PEVuZE5vdGU+PENpdGU+PEF1dGhvcj5IYWxsZXI8L0F1dGhvcj48WWVhcj4yMDE2PC9ZZWFyPjxS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</w:fldData>
        </w:fldChar>
      </w:r>
      <w:r w:rsidRPr="005B0796">
        <w:instrText xml:space="preserve"> ADDIN EN.CITE </w:instrText>
      </w:r>
      <w:r w:rsidRPr="005B0796">
        <w:fldChar w:fldCharType="begin">
          <w:fldData xml:space="preserve">PEVuZE5vdGU+PENpdGU+PEF1dGhvcj5IYWxsZXI8L0F1dGhvcj48WWVhcj4yMDE2PC9ZZWFyPjxS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</w:fldData>
        </w:fldChar>
      </w:r>
      <w:r w:rsidRPr="005B0796">
        <w:instrText xml:space="preserve"> ADDIN EN.CITE.DATA </w:instrText>
      </w:r>
      <w:r w:rsidRPr="005B0796">
        <w:fldChar w:fldCharType="end"/>
      </w:r>
      <w:r w:rsidRPr="005B0796">
        <w:fldChar w:fldCharType="separate"/>
      </w:r>
      <w:r w:rsidRPr="005B0796">
        <w:t>(Haller et al., 2016; Kline et al., 2011; LeardMann et al., 2013)</w:t>
      </w:r>
      <w:r w:rsidRPr="005B0796">
        <w:fldChar w:fldCharType="end"/>
      </w:r>
      <w:r w:rsidRPr="005B0796">
        <w:t xml:space="preserve">, rank at the time of transition from the Regular ADF had some association with </w:t>
      </w:r>
      <w:r w:rsidR="00F20C22">
        <w:t xml:space="preserve">the prevalence of </w:t>
      </w:r>
      <w:r w:rsidRPr="005B0796">
        <w:t xml:space="preserve">12-month mental disorder. Specifically, estimated rates of 12-month ICD-10 affective disorders </w:t>
      </w:r>
      <w:r w:rsidR="00F20C22">
        <w:t xml:space="preserve">and </w:t>
      </w:r>
      <w:r w:rsidRPr="005B0796">
        <w:t xml:space="preserve">alcohol disorders, and rates of self-reported suicidality were higher among Other Ranks, while anxiety disorders were higher among Non-Commissioned Officers </w:t>
      </w:r>
      <w:r w:rsidR="00743016">
        <w:t>compared to</w:t>
      </w:r>
      <w:r w:rsidRPr="005B0796">
        <w:t xml:space="preserve"> Officers. </w:t>
      </w:r>
    </w:p>
    <w:p w:rsidR="006866ED" w:rsidRPr="005B0796" w:rsidRDefault="006866ED" w:rsidP="006B0AC1">
      <w:r w:rsidRPr="005B0796">
        <w:t>Overall, years of Regular ADF service was negatively associated with estimated rates of 12</w:t>
      </w:r>
      <w:r w:rsidRPr="005B0796">
        <w:noBreakHyphen/>
        <w:t>month ICD</w:t>
      </w:r>
      <w:r w:rsidRPr="005B0796">
        <w:noBreakHyphen/>
        <w:t xml:space="preserve">10 mental health disorder, though this was not a linear relationship, and varied by disorder category. </w:t>
      </w:r>
    </w:p>
    <w:p w:rsidR="006866ED" w:rsidRPr="005B0796" w:rsidRDefault="006866ED" w:rsidP="006B0AC1">
      <w:r w:rsidRPr="005B0796">
        <w:t xml:space="preserve">In general, affective disorders were most commonly observed in members of the Transitioned ADF with fewer years of service. There was an overall trend for rates of anxiety disorders to decrease with increasing service length, with the highest rates among those with less than four years of service. Alcohol disorders were also most commonly observed in Transitioned ADF members with fewer years of service. </w:t>
      </w:r>
    </w:p>
    <w:p w:rsidR="006866ED" w:rsidRPr="005B0796" w:rsidRDefault="006866ED" w:rsidP="006B0AC1">
      <w:pPr>
        <w:rPr>
          <w:rFonts w:cs="Calibri"/>
        </w:rPr>
      </w:pPr>
      <w:r w:rsidRPr="005B0796">
        <w:t xml:space="preserve">The concept of early service leavers </w:t>
      </w:r>
      <w:r w:rsidRPr="005B0796">
        <w:rPr>
          <w:rFonts w:cs="Calibri"/>
        </w:rPr>
        <w:t>(</w:t>
      </w:r>
      <w:r w:rsidRPr="005B0796">
        <w:t>generally defined as those who leave before completing their minimum 3–4.5 years of service</w:t>
      </w:r>
      <w:r w:rsidRPr="005B0796">
        <w:rPr>
          <w:rFonts w:cs="Calibri"/>
        </w:rPr>
        <w:t xml:space="preserve">) being at particular risk is supported by the international literature. </w:t>
      </w:r>
      <w:r w:rsidRPr="005B0796">
        <w:t xml:space="preserve">Furthermore, those who leave at short notice with little time to plan the transition to civilian life (that is, those whose military career was cut short by redundancy, or medical or disciplinary discharge) may be at particular risk. For example, an examination of 874 service leavers found that common mental disorders were more prevalent among early service leavers compared to non-early service leavers (45.6% vs 26.5%) </w:t>
      </w:r>
      <w:r w:rsidRPr="005B0796">
        <w:fldChar w:fldCharType="begin">
          <w:fldData xml:space="preserve">PEVuZE5vdGU+PENpdGU+PEF1dGhvcj5CdWNrbWFuPC9BdXRob3I+PFllYXI+MjAxMzwvWWVhcj48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</w:fldData>
        </w:fldChar>
      </w:r>
      <w:r w:rsidRPr="005B0796">
        <w:instrText xml:space="preserve"> ADDIN EN.CITE </w:instrText>
      </w:r>
      <w:r w:rsidRPr="005B0796">
        <w:fldChar w:fldCharType="begin">
          <w:fldData xml:space="preserve">PEVuZE5vdGU+PENpdGU+PEF1dGhvcj5CdWNrbWFuPC9BdXRob3I+PFllYXI+MjAxMzwvWWVhcj48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</w:fldData>
        </w:fldChar>
      </w:r>
      <w:r w:rsidRPr="005B0796">
        <w:instrText xml:space="preserve"> ADDIN EN.CITE.DATA </w:instrText>
      </w:r>
      <w:r w:rsidRPr="005B0796">
        <w:fldChar w:fldCharType="end"/>
      </w:r>
      <w:r w:rsidRPr="005B0796">
        <w:fldChar w:fldCharType="separate"/>
      </w:r>
      <w:r w:rsidRPr="005B0796">
        <w:t>(Buckman et al., 2013)</w:t>
      </w:r>
      <w:r w:rsidRPr="005B0796">
        <w:fldChar w:fldCharType="end"/>
      </w:r>
      <w:r w:rsidRPr="005B0796">
        <w:t xml:space="preserve">. Similarly, Giebel </w:t>
      </w:r>
      <w:r w:rsidRPr="005B0796">
        <w:fldChar w:fldCharType="begin"/>
      </w:r>
      <w:r w:rsidRPr="005B0796">
        <w:instrText xml:space="preserve"> ADDIN EN.CITE &lt;EndNote&gt;&lt;Cite ExcludeAuth="1"&gt;&lt;Author&gt;Giebel&lt;/Author&gt;&lt;Year&gt;2014&lt;/Year&gt;&lt;RecNum&gt;154&lt;/RecNum&gt;&lt;DisplayText&gt;(2014)&lt;/DisplayText&gt;&lt;record&gt;&lt;rec-number&gt;154&lt;/rec-number&gt;&lt;foreign-keys&gt;&lt;key app="EN" db-id="arwdrezp9sdawxevtfyxtfw10exvr5exxfed" timestamp="1474848020"&gt;154&lt;/key&gt;&lt;/foreign-keys&gt;&lt;ref-type name="Journal Article"&gt;17&lt;/ref-type&gt;&lt;contributors&gt;&lt;authors&gt;&lt;author&gt;Giebel, C. M.&lt;/author&gt;&lt;author&gt;Clarkson, P.&lt;/author&gt;&lt;author&gt;Challis, D.&lt;/author&gt;&lt;/authors&gt;&lt;/contributors&gt;&lt;auth-address&gt;University of Manchester, UK.&lt;/auth-address&gt;&lt;titles&gt;&lt;title&gt;Demographic and clinical characteristics of UK military veterans attending a psychological therapies service&lt;/title&gt;&lt;secondary-title&gt;Psychiatr Bull (2014)&lt;/secondary-title&gt;&lt;/titles&gt;&lt;periodical&gt;&lt;full-title&gt;Psychiatr Bull (2014)&lt;/full-title&gt;&lt;/periodical&gt;&lt;pages&gt;270-5&lt;/pages&gt;&lt;volume&gt;38&lt;/volume&gt;&lt;number&gt;6&lt;/number&gt;&lt;dates&gt;&lt;year&gt;2014&lt;/year&gt;&lt;pub-dates&gt;&lt;date&gt;Dec&lt;/date&gt;&lt;/pub-dates&gt;&lt;/dates&gt;&lt;isbn&gt;2053-4868 (Print)&amp;#xD;2053-4868 (Linking)&lt;/isbn&gt;&lt;accession-num&gt;25505626&lt;/accession-num&gt;&lt;urls&gt;&lt;related-urls&gt;&lt;url&gt;http://www.ncbi.nlm.nih.gov/pubmed/25505626&lt;/url&gt;&lt;url&gt;http://www.ncbi.nlm.nih.gov/pmc/articles/PMC4248162/pdf/pbrcpsych_38_6_004.pdf&lt;/url&gt;&lt;url&gt;https://www.ncbi.nlm.nih.gov/pmc/articles/PMC4248162/pdf/pbrcpsych_38_6_004.pdf&lt;/url&gt;&lt;/related-urls&gt;&lt;/urls&gt;&lt;custom2&gt;4248162&lt;/custom2&gt;&lt;electronic-resource-num&gt;10.1192/pb.bp.113.046474&lt;/electronic-resource-num&gt;&lt;/record&gt;&lt;/Cite&gt;&lt;/EndNote&gt;</w:instrText>
      </w:r>
      <w:r w:rsidRPr="005B0796">
        <w:fldChar w:fldCharType="separate"/>
      </w:r>
      <w:r w:rsidRPr="005B0796">
        <w:t>(2014)</w:t>
      </w:r>
      <w:r w:rsidRPr="005B0796">
        <w:fldChar w:fldCharType="end"/>
      </w:r>
      <w:r w:rsidR="00F20C22">
        <w:t>,</w:t>
      </w:r>
      <w:r w:rsidRPr="005B0796">
        <w:t xml:space="preserve"> in a study of 952 treatment-seeking UK veterans</w:t>
      </w:r>
      <w:r w:rsidR="00F20C22">
        <w:t>,</w:t>
      </w:r>
      <w:r w:rsidRPr="005B0796">
        <w:t xml:space="preserve"> reported higher levels of anxiety disorder (9%) and depression (30.8%) in early service leavers compared to non–early service leavers (5.3% and 24.2% respectively). </w:t>
      </w:r>
    </w:p>
    <w:p w:rsidR="006866ED" w:rsidRPr="005B0796" w:rsidRDefault="006866ED" w:rsidP="006B0AC1">
      <w:r w:rsidRPr="005B0796">
        <w:t xml:space="preserve">Transitioned ADF who had ever deployed were more likely to meet criteria for an anxiety disorder than those who had not. This finding of increased rates of disorder in deployed members of the military has been reported elsewhere </w:t>
      </w:r>
      <w:r w:rsidRPr="005B0796">
        <w:rPr>
          <w:rFonts w:cs="Calibri"/>
        </w:rPr>
        <w:fldChar w:fldCharType="begin">
          <w:fldData xml:space="preserve">PEVuZE5vdGU+PENpdGU+PEF1dGhvcj5JbnRlcmlhbjwvQXV0aG9yPjxZZWFyPjIwMTI8L1llYXI+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</w:fldData>
        </w:fldChar>
      </w:r>
      <w:r w:rsidRPr="005B0796">
        <w:rPr>
          <w:rFonts w:cs="Calibri"/>
        </w:rPr>
        <w:instrText xml:space="preserve"> ADDIN EN.CITE </w:instrText>
      </w:r>
      <w:r w:rsidRPr="005B0796">
        <w:rPr>
          <w:rFonts w:cs="Calibri"/>
        </w:rPr>
        <w:fldChar w:fldCharType="begin">
          <w:fldData xml:space="preserve">PEVuZE5vdGU+PENpdGU+PEF1dGhvcj5JbnRlcmlhbjwvQXV0aG9yPjxZZWFyPjIwMTI8L1llYXI+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</w:fldData>
        </w:fldChar>
      </w:r>
      <w:r w:rsidRPr="005B0796">
        <w:rPr>
          <w:rFonts w:cs="Calibri"/>
        </w:rPr>
        <w:instrText xml:space="preserve"> ADDIN EN.CITE.DATA </w:instrText>
      </w:r>
      <w:r w:rsidRPr="005B0796">
        <w:rPr>
          <w:rFonts w:cs="Calibri"/>
        </w:rPr>
      </w:r>
      <w:r w:rsidRPr="005B0796">
        <w:rPr>
          <w:rFonts w:cs="Calibri"/>
        </w:rPr>
        <w:fldChar w:fldCharType="end"/>
      </w:r>
      <w:r w:rsidRPr="005B0796">
        <w:rPr>
          <w:rFonts w:cs="Calibri"/>
        </w:rPr>
      </w:r>
      <w:r w:rsidRPr="005B0796">
        <w:rPr>
          <w:rFonts w:cs="Calibri"/>
        </w:rPr>
        <w:fldChar w:fldCharType="separate"/>
      </w:r>
      <w:r w:rsidRPr="005B0796">
        <w:rPr>
          <w:rFonts w:cs="Calibri"/>
        </w:rPr>
        <w:t>(Interian et al., 2012; Institute of Medicine, 2013; Iversen et al., 2005a)</w:t>
      </w:r>
      <w:r w:rsidRPr="005B0796">
        <w:rPr>
          <w:rFonts w:cs="Calibri"/>
        </w:rPr>
        <w:fldChar w:fldCharType="end"/>
      </w:r>
      <w:r w:rsidRPr="005B0796">
        <w:rPr>
          <w:rFonts w:cs="Calibri"/>
        </w:rPr>
        <w:t xml:space="preserve">. </w:t>
      </w:r>
      <w:r w:rsidRPr="005B0796">
        <w:t xml:space="preserve">While there was a trend for Transitioned ADF who had ever deployed to be more likely to meet criteria for all of the individual anxiety disorders, OCD and PTSD were the only disorders </w:t>
      </w:r>
      <w:r w:rsidR="00F20C22">
        <w:t>that</w:t>
      </w:r>
      <w:r w:rsidRPr="005B0796">
        <w:t xml:space="preserve"> were significantly more prevalent in the deployed versus the non-deployed group. Further research on the impact of deployment on the mental health of the Transitioned ADF is required and will be examined in further detail in the Impact of Combat Study. </w:t>
      </w:r>
    </w:p>
    <w:p w:rsidR="006866ED" w:rsidRPr="005B0796" w:rsidRDefault="006866ED" w:rsidP="006B0AC1">
      <w:pPr>
        <w:pStyle w:val="Heading3"/>
      </w:pPr>
      <w:bookmarkStart w:id="1366" w:name="_Toc487011267"/>
      <w:bookmarkStart w:id="1367" w:name="_Toc493663162"/>
      <w:bookmarkStart w:id="1368" w:name="_Toc494449787"/>
      <w:bookmarkStart w:id="1369" w:name="_Toc511900369"/>
      <w:r w:rsidRPr="005B0796">
        <w:t>Transition factors</w:t>
      </w:r>
      <w:bookmarkEnd w:id="1366"/>
      <w:bookmarkEnd w:id="1367"/>
      <w:bookmarkEnd w:id="1368"/>
      <w:bookmarkEnd w:id="1369"/>
    </w:p>
    <w:p w:rsidR="006866ED" w:rsidRPr="005B0796" w:rsidRDefault="006866ED" w:rsidP="006B0AC1">
      <w:r w:rsidRPr="005B0796">
        <w:t xml:space="preserve">Perhaps unsurprisingly, transition-specific factors – including type of transition, years since transition, reason for discharge and DVA status – had the greatest impact on mental disorder and suicidality prevalence. Across both 12-month ICD-10 mental disorder and self-reported suicidality, there was a consistent pattern whereby mental health outcomes were poorer for those Transitioned ADF who were most disengaged with Defence. Specifically, those who had fully discharged at the time of completing the study (Ex-Serving) recorded the highest rates of 12-month mental disorder across the various disorder categories, and had significantly higher estimated rates of suicidality. This was consistent with the finding of the 2017 AIHW suicide study </w:t>
      </w:r>
      <w:r w:rsidRPr="005B0796">
        <w:fldChar w:fldCharType="begin"/>
      </w:r>
      <w:r w:rsidRPr="005B0796">
        <w:instrText xml:space="preserve"> ADDIN EN.CITE &lt;EndNote&gt;&lt;Cite&gt;&lt;Author&gt;Australian Institute of Health and Welfare&lt;/Author&gt;&lt;Year&gt;2017&lt;/Year&gt;&lt;RecNum&gt;977&lt;/RecNum&gt;&lt;DisplayText&gt;(Australian Institute of Health and Welfare, 2017a)&lt;/DisplayText&gt;&lt;record&gt;&lt;rec-number&gt;977&lt;/rec-number&gt;&lt;foreign-keys&gt;&lt;key app="EN" db-id="arwdrezp9sdawxevtfyxtfw10exvr5exxfed" timestamp="1499132914"&gt;977&lt;/key&gt;&lt;/foreign-keys&gt;&lt;ref-type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5B0796">
        <w:fldChar w:fldCharType="separate"/>
      </w:r>
      <w:r w:rsidRPr="005B0796">
        <w:t>(Australian Institute of Health and Welfare, 2017a)</w:t>
      </w:r>
      <w:r w:rsidRPr="005B0796">
        <w:fldChar w:fldCharType="end"/>
      </w:r>
      <w:r w:rsidRPr="005B0796">
        <w:t>.</w:t>
      </w:r>
    </w:p>
    <w:p w:rsidR="006866ED" w:rsidRPr="005B0796" w:rsidRDefault="006866ED" w:rsidP="006B0AC1">
      <w:r w:rsidRPr="005B0796">
        <w:t xml:space="preserve">In contrast, Transitioned ADF members who were Inactive and Active Reservists had substantially lower rates of 12-month mental disorder and suicidality. Logically, Reservists – particularly those who remain in the Active Reserves – should have better mental health than those who are fully discharged, however rates of diagnosable disorder, representing one in three, still remain a concern within this group. This pattern of reduced symptoms in transitioned Reservists has been reported previously </w:t>
      </w:r>
      <w:r w:rsidRPr="005B0796">
        <w:fldChar w:fldCharType="begin"/>
      </w:r>
      <w:r w:rsidRPr="005B0796">
        <w:instrText xml:space="preserve"> ADDIN EN.CITE &lt;EndNote&gt;&lt;Cite&gt;&lt;Author&gt;Thompson&lt;/Author&gt;&lt;Year&gt;2015&lt;/Year&gt;&lt;RecNum&gt;389&lt;/RecNum&gt;&lt;DisplayText&gt;(Thompson et al., 2015)&lt;/DisplayText&gt;&lt;record&gt;&lt;rec-number&gt;389&lt;/rec-number&gt;&lt;foreign-keys&gt;&lt;key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2105&lt;/publisher&gt;&lt;urls&gt;&lt;/urls&gt;&lt;/record&gt;&lt;/Cite&gt;&lt;Cite&gt;&lt;Author&gt;Thompson&lt;/Author&gt;&lt;Year&gt;2015&lt;/Year&gt;&lt;RecNum&gt;389&lt;/RecNum&gt;&lt;record&gt;&lt;rec-number&gt;389&lt;/rec-number&gt;&lt;foreign-keys&gt;&lt;key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(Thompson et al., 2015)</w:t>
      </w:r>
      <w:r w:rsidRPr="005B0796">
        <w:fldChar w:fldCharType="end"/>
      </w:r>
      <w:r w:rsidRPr="005B0796">
        <w:t>.</w:t>
      </w:r>
    </w:p>
    <w:p w:rsidR="006866ED" w:rsidRPr="005B0796" w:rsidRDefault="006866ED" w:rsidP="006B0AC1">
      <w:r w:rsidRPr="005B0796">
        <w:t xml:space="preserve">Length of time since transition was also associated with various mental health outcomes. Overall, estimated rates of 12-month mental disorder were lowest in those who had transitioned less than one year ago, increasing at one year or more post-transition. This was not a linear association, and varied according to mental health outcome. This is a particularly important finding as it suggests that the most critical time for mental health surveillance, which could potentially include screening, may occur a significant time after transition from the Regular ADF. Furthermore, it may be indicative of the first 12 months following transition being a critical risk period for future disorder emergence. </w:t>
      </w:r>
    </w:p>
    <w:p w:rsidR="006866ED" w:rsidRPr="005B0796" w:rsidRDefault="006866ED" w:rsidP="006B0AC1">
      <w:r w:rsidRPr="005B0796">
        <w:t xml:space="preserve">Further investigation of this issue will be undertaken in the </w:t>
      </w:r>
      <w:r w:rsidRPr="005B0796">
        <w:rPr>
          <w:i/>
        </w:rPr>
        <w:t>Mental Health Changes Over Time: a Longitudinal Perspective Report</w:t>
      </w:r>
      <w:r w:rsidRPr="005B0796">
        <w:t>, which will utilise data from the MHPWS cohort 2010 and 2015, and examine the course of mental health symptoms and disorder, including mapping the emergence of disorder in the period following transition from regular service.</w:t>
      </w:r>
    </w:p>
    <w:p w:rsidR="006866ED" w:rsidRPr="005B0796" w:rsidRDefault="006866ED" w:rsidP="006B0AC1">
      <w:r w:rsidRPr="005B0796">
        <w:t xml:space="preserve">Among the Transitioned ADF, prevalence estimates of 12-month ICD-10 mental disorder were also examined in relation to two further factors: reason for discharge and DVA status. These variables denoted whether an individual was medically discharged, or transitioned for another reason and whether or not an individual was a DVA client or not. A similar pattern of findings emerged for both factors: those with a medical discharge, and those who were a DVA client had significantly greater estimated rates of affective, anxiety and alcohol disorder, and greater suicidality. These findings, while highlighting areas of interest for further examination, are not unexpected. </w:t>
      </w:r>
    </w:p>
    <w:p w:rsidR="006866ED" w:rsidRPr="005B0796" w:rsidRDefault="006866ED" w:rsidP="006B0AC1">
      <w:r w:rsidRPr="005B0796">
        <w:t xml:space="preserve">Individuals with a medical versus other type of discharge would be expected to have greater rates of mental (and other) disorders. Similarly, as DVA is the primary conduit to care and assistance for ex-serving members, rates of mental disorder are expected to be significantly higher among DVA clients. This is a positive finding, suggesting that many of those Transitioned ADF who require assistance are seeking it through DVA. </w:t>
      </w:r>
    </w:p>
    <w:p w:rsidR="006866ED" w:rsidRPr="005B0796" w:rsidRDefault="006866ED" w:rsidP="006B0AC1">
      <w:r w:rsidRPr="005B0796">
        <w:t>Of concern, however, is the remaining, relatively large proportion of Transitioned ADF who met criteria for a 12-month ICD-10 mental disorder, but are not recorded as DVA client</w:t>
      </w:r>
      <w:r w:rsidR="00F20C22">
        <w:t>s</w:t>
      </w:r>
      <w:r w:rsidRPr="005B0796">
        <w:t xml:space="preserve">. This highlights the many transitioned members who have a mental disorder in the first five years following discharge from military service who are </w:t>
      </w:r>
      <w:r w:rsidRPr="005B0796">
        <w:rPr>
          <w:i/>
        </w:rPr>
        <w:t>not DVA clients</w:t>
      </w:r>
      <w:r w:rsidRPr="005B0796">
        <w:t xml:space="preserve">, and therefore are </w:t>
      </w:r>
      <w:r w:rsidRPr="005B0796">
        <w:rPr>
          <w:i/>
        </w:rPr>
        <w:t>not</w:t>
      </w:r>
      <w:r w:rsidRPr="005B0796">
        <w:t xml:space="preserve"> receiving support through DVA.</w:t>
      </w:r>
    </w:p>
    <w:p w:rsidR="006866ED" w:rsidRPr="005B0796" w:rsidRDefault="006866ED" w:rsidP="006B0AC1">
      <w:pPr>
        <w:pStyle w:val="Heading3"/>
      </w:pPr>
      <w:bookmarkStart w:id="1370" w:name="_Toc487011268"/>
      <w:bookmarkStart w:id="1371" w:name="_Toc493663163"/>
      <w:bookmarkStart w:id="1372" w:name="_Toc494449788"/>
      <w:bookmarkStart w:id="1373" w:name="_Toc511900370"/>
      <w:r w:rsidRPr="005B0796">
        <w:t>Risk and protective factors</w:t>
      </w:r>
      <w:bookmarkEnd w:id="1370"/>
      <w:bookmarkEnd w:id="1371"/>
      <w:bookmarkEnd w:id="1372"/>
      <w:bookmarkEnd w:id="1373"/>
    </w:p>
    <w:p w:rsidR="006866ED" w:rsidRPr="005B0796" w:rsidRDefault="006866ED" w:rsidP="006B0AC1">
      <w:r w:rsidRPr="005B0796">
        <w:t xml:space="preserve">It is important to consider these summary findings from two perspectives. Inevitably, these rates of disorder represent the outcomes of the drivers and risk factors for the emergence of mental disorders, versus the factors that might mitigate them. The latter include the significant efforts that have been put in place subsequent to the Dunt reviews </w:t>
      </w:r>
      <w:r w:rsidRPr="005B0796">
        <w:fldChar w:fldCharType="begin"/>
      </w:r>
      <w:r w:rsidRPr="005B0796">
        <w:instrText xml:space="preserve"> ADDIN EN.CITE &lt;EndNote&gt;&lt;Cite&gt;&lt;Author&gt;Dunt&lt;/Author&gt;&lt;Year&gt;2009&lt;/Year&gt;&lt;RecNum&gt;893&lt;/RecNum&gt;&lt;DisplayText&gt;(Dunt, 2009b; Dunt, 2009a)&lt;/DisplayText&gt;&lt;record&gt;&lt;rec-number&gt;893&lt;/rec-number&gt;&lt;foreign-keys&gt;&lt;key app="EN" db-id="arwdrezp9sdawxevtfyxtfw10exvr5exxfed" timestamp="1492992018"&gt;893&lt;/key&gt;&lt;/foreign-keys&gt;&lt;ref-type name="Book"&gt;6&lt;/ref-type&gt;&lt;contributors&gt;&lt;authors&gt;&lt;author&gt;Dunt, David R&lt;/author&gt;&lt;/authors&gt;&lt;/contributors&gt;&lt;titles&gt;&lt;title&gt;Review of mental health care in the ADF and transition through discharge&lt;/title&gt;&lt;/titles&gt;&lt;dates&gt;&lt;year&gt;2009&lt;/year&gt;&lt;/dates&gt;&lt;pub-location&gt;Canberra&lt;/pub-location&gt;&lt;publisher&gt;Department of Defence&lt;/publisher&gt;&lt;urls&gt;&lt;/urls&gt;&lt;/record&gt;&lt;/Cite&gt;&lt;Cite&gt;&lt;Author&gt;Dunt&lt;/Author&gt;&lt;Year&gt;2009&lt;/Year&gt;&lt;RecNum&gt;988&lt;/RecNum&gt;&lt;record&gt;&lt;rec-number&gt;988&lt;/rec-number&gt;&lt;foreign-keys&gt;&lt;key app="EN" db-id="arwdrezp9sdawxevtfyxtfw10exvr5exxfed" timestamp="1499137573"&gt;988&lt;/key&gt;&lt;/foreign-keys&gt;&lt;ref-type name="Web Page"&gt;12&lt;/ref-type&gt;&lt;contributors&gt;&lt;authors&gt;&lt;author&gt;Dunt, D.R,&lt;/author&gt;&lt;/authors&gt;&lt;/contributors&gt;&lt;titles&gt;&lt;title&gt;Independent study into suicide in the ex-service community&lt;/title&gt;&lt;/titles&gt;&lt;dates&gt;&lt;year&gt;2009&lt;/year&gt;&lt;/dates&gt;&lt;pub-location&gt;Victoria&lt;/pub-location&gt;&lt;publisher&gt;Dunt Health Evaluation Services&lt;/publisher&gt;&lt;urls&gt;&lt;related-urls&gt;&lt;url&gt;https://www.dva.gov.au/sites/default/files/files/consultation%20and%20grants/healthstudies/Dunt%20Suicide%20Study%20Jan%202009.pdf&lt;/url&gt;&lt;/related-urls&gt;&lt;/urls&gt;&lt;/record&gt;&lt;/Cite&gt;&lt;/EndNote&gt;</w:instrText>
      </w:r>
      <w:r w:rsidRPr="005B0796">
        <w:fldChar w:fldCharType="separate"/>
      </w:r>
      <w:r w:rsidRPr="005B0796">
        <w:t>(Dunt, 2009b; Dunt, 2009a)</w:t>
      </w:r>
      <w:r w:rsidRPr="005B0796">
        <w:fldChar w:fldCharType="end"/>
      </w:r>
      <w:r w:rsidRPr="005B0796">
        <w:t xml:space="preserve"> to improve mental health service delivery within the ADF and to assist a smooth transition to services delivered by DVA, as outlined in the recent Government response to the Review into the Suicide and Self Harm Prevention Services available to current and former serving ADF members and their families (the Review) </w:t>
      </w:r>
      <w:r w:rsidRPr="005B0796">
        <w:fldChar w:fldCharType="begin"/>
      </w:r>
      <w:r w:rsidRPr="005B0796">
        <w:instrText xml:space="preserve"> ADDIN EN.CITE &lt;EndNote&gt;&lt;Cite&gt;&lt;Author&gt;Commonwealth of Australia&lt;/Author&gt;&lt;Year&gt;2017&lt;/Year&gt;&lt;RecNum&gt;975&lt;/RecNum&gt;&lt;DisplayText&gt;(Commonwealth of Australia, 2017)&lt;/DisplayText&gt;&lt;record&gt;&lt;rec-number&gt;975&lt;/rec-number&gt;&lt;foreign-keys&gt;&lt;key app="EN" db-id="arwdrezp9sdawxevtfyxtfw10exvr5exxfed" timestamp="1499128666"&gt;975&lt;/key&gt;&lt;/foreign-keys&gt;&lt;ref-type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5B0796">
        <w:fldChar w:fldCharType="separate"/>
      </w:r>
      <w:r w:rsidRPr="005B0796">
        <w:t>(Commonwealth of Australia, 2017)</w:t>
      </w:r>
      <w:r w:rsidRPr="005B0796">
        <w:fldChar w:fldCharType="end"/>
      </w:r>
      <w:r w:rsidRPr="005B0796">
        <w:t>.</w:t>
      </w:r>
    </w:p>
    <w:p w:rsidR="006866ED" w:rsidRPr="005B0796" w:rsidRDefault="006866ED" w:rsidP="006B0AC1">
      <w:r w:rsidRPr="005B0796">
        <w:t>Importantly, a key component of the response to the Review has been the establishment of a taskforce, including DVA, Defence and the Commonwealth Superannuation Corporation, to work with recently transitioned members and their families, to inform and co-design an enhanced transition pathway. Notably, Defence is implementing a new policy and process that supports the discharge process to ensure that ADF members are discharged with all their necessary documentation including a transition plan and paperwork, inclusive of record of service, record of training and employment, and copies of medical records.</w:t>
      </w:r>
    </w:p>
    <w:p w:rsidR="006866ED" w:rsidRPr="005B0796" w:rsidRDefault="006866ED" w:rsidP="006B0AC1">
      <w:pPr>
        <w:pStyle w:val="Heading3"/>
      </w:pPr>
      <w:bookmarkStart w:id="1374" w:name="_Toc487011269"/>
      <w:bookmarkStart w:id="1375" w:name="_Toc493663164"/>
      <w:bookmarkStart w:id="1376" w:name="_Toc494449789"/>
      <w:bookmarkStart w:id="1377" w:name="_Toc511900371"/>
      <w:r w:rsidRPr="005B0796">
        <w:t>Comparisons with the 2010 ADF Mental Health Prevalence and Wellbeing Study</w:t>
      </w:r>
      <w:bookmarkEnd w:id="1374"/>
      <w:bookmarkEnd w:id="1375"/>
      <w:bookmarkEnd w:id="1376"/>
      <w:bookmarkEnd w:id="1377"/>
    </w:p>
    <w:p w:rsidR="006866ED" w:rsidRPr="005B0796" w:rsidRDefault="006866ED" w:rsidP="006B0AC1">
      <w:r w:rsidRPr="005B0796">
        <w:t>The results of this study outlined above should also be considered against the background of the 2010 MHPWS, noting two primary caveats: firstly, that these two populations are not entirely separate (i.e. Transitioned ADF members in 2015 may have been Regular ADF members in 2010 and hence are included in both populations) and</w:t>
      </w:r>
      <w:r w:rsidR="00F20C22">
        <w:t>,</w:t>
      </w:r>
      <w:r w:rsidRPr="005B0796">
        <w:t xml:space="preserve"> secondly</w:t>
      </w:r>
      <w:r w:rsidR="00F20C22">
        <w:t>,</w:t>
      </w:r>
      <w:r w:rsidRPr="005B0796">
        <w:t xml:space="preserve"> that the prevalence estimates have been established five years apart. A more detailed and contemporaneous comparison of the mental health of Transitioned and Regular ADF is provided in section </w:t>
      </w:r>
      <w:r w:rsidR="00520FC8" w:rsidRPr="005B0796">
        <w:t>7.</w:t>
      </w:r>
      <w:r w:rsidRPr="005B0796">
        <w:t>2 of this discussion.</w:t>
      </w:r>
    </w:p>
    <w:p w:rsidR="006866ED" w:rsidRPr="005B0796" w:rsidRDefault="006866ED" w:rsidP="006B0AC1">
      <w:pPr>
        <w:rPr>
          <w:shd w:val="clear" w:color="auto" w:fill="FFFFFF"/>
        </w:rPr>
      </w:pPr>
      <w:r w:rsidRPr="005B0796">
        <w:t>The 2010 MHPWS reported an estimated lifetime prevalence of mental disorder of 54%, a 12-month prevalence of 22% and a 31% prevalence of comorbid disorder in Regular ADF members in 2010. In contrast, in the current study</w:t>
      </w:r>
      <w:r w:rsidR="00F20C22">
        <w:t>,</w:t>
      </w:r>
      <w:r w:rsidRPr="005B0796">
        <w:t xml:space="preserve"> </w:t>
      </w:r>
      <w:r w:rsidRPr="005B0796">
        <w:rPr>
          <w:shd w:val="clear" w:color="auto" w:fill="FFFFFF"/>
        </w:rPr>
        <w:t xml:space="preserve">approximately three out of four Transitioned ADF members (74.7%) were estimated to meet criteria for any ICD-10 mental disorder in their lifetime, with a 12-month prevalence of </w:t>
      </w:r>
      <w:r w:rsidRPr="005B0796">
        <w:t xml:space="preserve">46.4% and a rate of 55% for </w:t>
      </w:r>
      <w:r w:rsidRPr="005B0796">
        <w:rPr>
          <w:shd w:val="clear" w:color="auto" w:fill="FFFFFF"/>
        </w:rPr>
        <w:t>comorbid mental disorder.</w:t>
      </w:r>
      <w:r w:rsidRPr="005B0796">
        <w:t xml:space="preserve"> This indicates that the estimated 12-month prevalence of mental disorders in the Transitioned ADF is more than double the prevalence reported in the Regular ADF in 2010. </w:t>
      </w:r>
      <w:r w:rsidRPr="005B0796">
        <w:rPr>
          <w:shd w:val="clear" w:color="auto" w:fill="FFFFFF"/>
        </w:rPr>
        <w:t xml:space="preserve">The fact that rates of 12-month disorder were closer than might be expected to lifetime disorder rates in the Transitioned ADF </w:t>
      </w:r>
      <w:r w:rsidRPr="005B0796">
        <w:rPr>
          <w:shd w:val="clear" w:color="auto" w:fill="FFFFFF"/>
        </w:rPr>
        <w:fldChar w:fldCharType="begin"/>
      </w:r>
      <w:r w:rsidRPr="005B0796">
        <w:rPr>
          <w:shd w:val="clear" w:color="auto" w:fill="FFFFFF"/>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shd w:val="clear" w:color="auto" w:fill="FFFFFF"/>
        </w:rPr>
        <w:fldChar w:fldCharType="separate"/>
      </w:r>
      <w:r w:rsidRPr="005B0796">
        <w:rPr>
          <w:shd w:val="clear" w:color="auto" w:fill="FFFFFF"/>
        </w:rPr>
        <w:t>(McFarlane et al., 2011)</w:t>
      </w:r>
      <w:r w:rsidRPr="005B0796">
        <w:rPr>
          <w:shd w:val="clear" w:color="auto" w:fill="FFFFFF"/>
        </w:rPr>
        <w:fldChar w:fldCharType="end"/>
      </w:r>
      <w:r w:rsidRPr="005B0796">
        <w:rPr>
          <w:shd w:val="clear" w:color="auto" w:fill="FFFFFF"/>
        </w:rPr>
        <w:t xml:space="preserve"> suggests the increasing chronicity and severity of mental disorder </w:t>
      </w:r>
      <w:r w:rsidRPr="005B0796">
        <w:rPr>
          <w:shd w:val="clear" w:color="auto" w:fill="FFFFFF"/>
        </w:rPr>
        <w:fldChar w:fldCharType="begin">
          <w:fldData xml:space="preserve">PEVuZE5vdGU+PENpdGU+PEF1dGhvcj5Nb3JpbmE8L0F1dGhvcj48WWVhcj4yMDEzPC9ZZWFyPjxS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==
</w:fldData>
        </w:fldChar>
      </w:r>
      <w:r w:rsidRPr="005B0796">
        <w:rPr>
          <w:shd w:val="clear" w:color="auto" w:fill="FFFFFF"/>
        </w:rPr>
        <w:instrText xml:space="preserve"> ADDIN EN.CITE </w:instrText>
      </w:r>
      <w:r w:rsidRPr="005B0796">
        <w:rPr>
          <w:shd w:val="clear" w:color="auto" w:fill="FFFFFF"/>
        </w:rPr>
        <w:fldChar w:fldCharType="begin">
          <w:fldData xml:space="preserve">PEVuZE5vdGU+PENpdGU+PEF1dGhvcj5Nb3JpbmE8L0F1dGhvcj48WWVhcj4yMDEzPC9ZZWFyPjxS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==
</w:fldData>
        </w:fldChar>
      </w:r>
      <w:r w:rsidRPr="005B0796">
        <w:rPr>
          <w:shd w:val="clear" w:color="auto" w:fill="FFFFFF"/>
        </w:rPr>
        <w:instrText xml:space="preserve"> ADDIN EN.CITE.DATA </w:instrText>
      </w:r>
      <w:r w:rsidRPr="005B0796">
        <w:rPr>
          <w:shd w:val="clear" w:color="auto" w:fill="FFFFFF"/>
        </w:rPr>
      </w:r>
      <w:r w:rsidRPr="005B0796">
        <w:rPr>
          <w:shd w:val="clear" w:color="auto" w:fill="FFFFFF"/>
        </w:rPr>
        <w:fldChar w:fldCharType="end"/>
      </w:r>
      <w:r w:rsidRPr="005B0796">
        <w:rPr>
          <w:shd w:val="clear" w:color="auto" w:fill="FFFFFF"/>
        </w:rPr>
      </w:r>
      <w:r w:rsidRPr="005B0796">
        <w:rPr>
          <w:shd w:val="clear" w:color="auto" w:fill="FFFFFF"/>
        </w:rPr>
        <w:fldChar w:fldCharType="separate"/>
      </w:r>
      <w:r w:rsidRPr="005B0796">
        <w:rPr>
          <w:shd w:val="clear" w:color="auto" w:fill="FFFFFF"/>
        </w:rPr>
        <w:t>(Morina et al., 2013)</w:t>
      </w:r>
      <w:r w:rsidRPr="005B0796">
        <w:rPr>
          <w:shd w:val="clear" w:color="auto" w:fill="FFFFFF"/>
        </w:rPr>
        <w:fldChar w:fldCharType="end"/>
      </w:r>
      <w:r w:rsidRPr="005B0796">
        <w:rPr>
          <w:shd w:val="clear" w:color="auto" w:fill="FFFFFF"/>
        </w:rPr>
        <w:t xml:space="preserve"> and highlights the cumulative psychological morbidity in this population. </w:t>
      </w:r>
    </w:p>
    <w:p w:rsidR="006866ED" w:rsidRPr="005B0796" w:rsidRDefault="006866ED" w:rsidP="006B0AC1">
      <w:r w:rsidRPr="005B0796">
        <w:t>The rate for PTSD in the Transitioned ADF (17.7%) was also more than double that of the Regular ADF in 2010 (8%). These results indicate that ADF members with PTSD have a greater probability of transitioning from military service. However, it is only after the first year following discharge that rates substantially increase, and appear to escalate with the passage of time. This is in keeping with the anticipated process of time-dependent sensitisation and the reactivity of those with sub</w:t>
      </w:r>
      <w:r w:rsidR="00520FC8" w:rsidRPr="005B0796">
        <w:t>-</w:t>
      </w:r>
      <w:r w:rsidRPr="005B0796">
        <w:t xml:space="preserve">syndromal symptoms to intercurrent life stressors </w:t>
      </w:r>
      <w:r w:rsidRPr="005B0796">
        <w:fldChar w:fldCharType="begin"/>
      </w:r>
      <w:r w:rsidRPr="005B0796">
        <w:instrText xml:space="preserve"> ADDIN EN.CITE &lt;EndNote&gt;&lt;Cite&gt;&lt;Author&gt;McFarlane&lt;/Author&gt;&lt;Year&gt;2010&lt;/Year&gt;&lt;RecNum&gt;549&lt;/RecNum&gt;&lt;DisplayText&gt;(McFarlane, 2010)&lt;/DisplayText&gt;&lt;record&gt;&lt;rec-number&gt;549&lt;/rec-number&gt;&lt;foreign-keys&gt;&lt;key app="EN" db-id="arwdrezp9sdawxevtfyxtfw10exvr5exxfed" timestamp="1479079307"&gt;549&lt;/key&gt;&lt;/foreign-keys&gt;&lt;ref-type name="Journal Article"&gt;17&lt;/ref-type&gt;&lt;contributors&gt;&lt;authors&gt;&lt;author&gt;McFarlane, A. C.&lt;/author&gt;&lt;/authors&gt;&lt;/contributors&gt;&lt;auth-address&gt;Centre for Military and Veterans&amp;apos; Health, University of Adelaide, Level 2/122 Frome Street, Adelaide, South Australia, 5000 Australia.&lt;/auth-address&gt;&lt;titles&gt;&lt;title&gt;The long-term costs of traumatic stress: intertwined physical and psychological consequences&lt;/title&gt;&lt;secondary-title&gt;World Psychiatry&lt;/secondary-title&gt;&lt;alt-title&gt;World psychiatry : official journal of the World Psychiatric Association&lt;/alt-title&gt;&lt;/titles&gt;&lt;periodical&gt;&lt;full-title&gt;World Psychiatry&lt;/full-title&gt;&lt;/periodical&gt;&lt;pages&gt;3-10&lt;/pages&gt;&lt;volume&gt;9&lt;/volume&gt;&lt;number&gt;1&lt;/number&gt;&lt;dates&gt;&lt;year&gt;2010&lt;/year&gt;&lt;pub-dates&gt;&lt;date&gt;Feb&lt;/date&gt;&lt;/pub-dates&gt;&lt;/dates&gt;&lt;isbn&gt;2051-5545 (Electronic)&amp;#xD;1723-8617 (Linking)&lt;/isbn&gt;&lt;accession-num&gt;20148146&lt;/accession-num&gt;&lt;urls&gt;&lt;related-urls&gt;&lt;url&gt;http://www.ncbi.nlm.nih.gov/pubmed/20148146&lt;/url&gt;&lt;/related-urls&gt;&lt;/urls&gt;&lt;custom2&gt;2816923&lt;/custom2&gt;&lt;/record&gt;&lt;/Cite&gt;&lt;/EndNote&gt;</w:instrText>
      </w:r>
      <w:r w:rsidRPr="005B0796">
        <w:fldChar w:fldCharType="separate"/>
      </w:r>
      <w:r w:rsidRPr="005B0796">
        <w:t>(McFarlane, 2010)</w:t>
      </w:r>
      <w:r w:rsidRPr="005B0796">
        <w:fldChar w:fldCharType="end"/>
      </w:r>
      <w:r w:rsidRPr="005B0796">
        <w:t>. The issue of how PTSD emerges over time will also be examined in further detail in the</w:t>
      </w:r>
      <w:r w:rsidR="006B0AC1" w:rsidRPr="005B0796">
        <w:rPr>
          <w:i/>
        </w:rPr>
        <w:t xml:space="preserve"> Impact of Combat Report</w:t>
      </w:r>
      <w:r w:rsidRPr="005B0796">
        <w:t xml:space="preserve"> and the </w:t>
      </w:r>
      <w:r w:rsidRPr="005B0796">
        <w:rPr>
          <w:i/>
        </w:rPr>
        <w:t xml:space="preserve">Mental Health Changes Over Time, a Longitudinal Perspective Report. </w:t>
      </w:r>
    </w:p>
    <w:p w:rsidR="006866ED" w:rsidRPr="005B0796" w:rsidRDefault="006866ED" w:rsidP="006B0AC1">
      <w:r w:rsidRPr="005B0796">
        <w:rPr>
          <w:lang w:eastAsia="en-AU"/>
        </w:rPr>
        <w:t>T</w:t>
      </w:r>
      <w:r w:rsidRPr="005B0796">
        <w:t>he 12-month estimated rates of panic attacks and panic disorder in the Transitioned ADF (17.0% and 5.4%) were greater than was found in the Regular ADF in 2010 (7.1% and 1.4% respectively) as were the rates of social phobia (11.0% vs 3.8% in the 2010 Regular ADF), affective disorder (23.1% vs 9.5% in the 2010 Regular ADF) and in particular bipolar disorder (9.8% vs 2.8% in the 2010 Regular ADF), alcohol disorder (12.9% vs 5.2% in the 2010 Regular ADF), and suicidality (21.7% vs 4.0% in the 2010 Regular ADF). In contrast, rates of OCD were relatively similar to those reported in 2010 and generally low in both groups (4.1% in the Transitioned ADF and 3.2% in the 2010 Regular ADF), as were rates of generalised anxiety disorder (3.7% in the Transitioned ADF and 1.1% in the 2010 Regular ADF).</w:t>
      </w:r>
    </w:p>
    <w:p w:rsidR="006866ED" w:rsidRPr="005B0796" w:rsidRDefault="006866ED" w:rsidP="006B0AC1">
      <w:pPr>
        <w:rPr>
          <w:shd w:val="clear" w:color="auto" w:fill="FFFFFF"/>
        </w:rPr>
      </w:pPr>
      <w:r w:rsidRPr="005B0796">
        <w:t>Emerging psychological distress is likely to be a significant driver of an individual</w:t>
      </w:r>
      <w:r w:rsidR="00462A0C" w:rsidRPr="005B0796">
        <w:t>’</w:t>
      </w:r>
      <w:r w:rsidRPr="005B0796">
        <w:t xml:space="preserve">s decision to discharge or be medically discharged from military service. Hence it is not surprising that there are substantially greater rates of morbidity in the Transitioned ADF population than </w:t>
      </w:r>
      <w:r w:rsidR="00F20C22">
        <w:t xml:space="preserve">among </w:t>
      </w:r>
      <w:r w:rsidRPr="005B0796">
        <w:t xml:space="preserve">2010 Regular ADF members. </w:t>
      </w:r>
      <w:r w:rsidRPr="005B0796">
        <w:rPr>
          <w:shd w:val="clear" w:color="auto" w:fill="FFFFFF"/>
        </w:rPr>
        <w:t xml:space="preserve">The key findings from the 2010 MHPWS indicated that ADF members with the highest number of mental health symptoms may also be those most likely to transition from service, thereby possibly obscuring the true individual costs of military service </w:t>
      </w:r>
      <w:r w:rsidRPr="005B0796">
        <w:fldChar w:fldCharType="begin"/>
      </w:r>
      <w:r w:rsidRPr="005B0796">
        <w:instrText xml:space="preserve"> ADDIN EN.CITE &lt;EndNote&gt;&lt;Cite&gt;&lt;Author&gt;McFarlane&lt;/Author&gt;&lt;Year&gt;2013&lt;/Year&gt;&lt;RecNum&gt;395&lt;/RecNum&gt;&lt;DisplayText&gt;(McFarlane &amp;amp; Bryant, 2013)&lt;/DisplayText&gt;&lt;record&gt;&lt;rec-number&gt;395&lt;/rec-number&gt;&lt;foreign-keys&gt;&lt;key app="EN" db-id="arwdrezp9sdawxevtfyxtfw10exvr5exxfed" timestamp="1478147543"&gt;395&lt;/key&gt;&lt;/foreign-keys&gt;&lt;ref-type name="Book"&gt;6&lt;/ref-type&gt;&lt;contributors&gt;&lt;authors&gt;&lt;author&gt;McFarlane, A C.&lt;/author&gt;&lt;author&gt;Bryant, R.&lt;/author&gt;&lt;/authors&gt;&lt;/contributors&gt;&lt;titles&gt;&lt;title&gt;Predicted trajectories of morbidity for the Australian Defence Force&lt;/title&gt;&lt;/titles&gt;&lt;dates&gt;&lt;year&gt;2013&lt;/year&gt;&lt;/dates&gt;&lt;publisher&gt;Centre for Traumatic Stress Studies&lt;/publisher&gt;&lt;urls&gt;&lt;/urls&gt;&lt;/record&gt;&lt;/Cite&gt;&lt;/EndNote&gt;</w:instrText>
      </w:r>
      <w:r w:rsidRPr="005B0796">
        <w:fldChar w:fldCharType="separate"/>
      </w:r>
      <w:r w:rsidRPr="005B0796">
        <w:t>(McFarlane &amp; Bryant, 2013)</w:t>
      </w:r>
      <w:r w:rsidRPr="005B0796">
        <w:fldChar w:fldCharType="end"/>
      </w:r>
      <w:r w:rsidRPr="005B0796">
        <w:t>.</w:t>
      </w:r>
      <w:r w:rsidRPr="005B0796">
        <w:rPr>
          <w:shd w:val="clear" w:color="auto" w:fill="FFFFFF"/>
        </w:rPr>
        <w:t xml:space="preserve"> </w:t>
      </w:r>
      <w:r w:rsidRPr="005B0796">
        <w:t>This suggestion was based on the observation of higher rates of affective and anxiety disorders in younger ADF members compared to the Australian Community</w:t>
      </w:r>
      <w:r w:rsidR="00F20C22">
        <w:t>,</w:t>
      </w:r>
      <w:r w:rsidRPr="005B0796">
        <w:t xml:space="preserve"> and is supported in the international literature </w:t>
      </w:r>
      <w:r w:rsidRPr="005B0796">
        <w:rPr>
          <w:rFonts w:eastAsia="Calibri"/>
          <w:lang w:eastAsia="en-GB"/>
        </w:rPr>
        <w:fldChar w:fldCharType="begin">
          <w:fldData xml:space="preserve">PEVuZE5vdGU+PENpdGU+PEF1dGhvcj5JdmVyc2VuPC9BdXRob3I+PFllYXI+MjAwNTwvWWVhcj48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</w:fldData>
        </w:fldChar>
      </w:r>
      <w:r w:rsidRPr="005B0796">
        <w:rPr>
          <w:rFonts w:eastAsia="Calibri"/>
          <w:lang w:eastAsia="en-GB"/>
        </w:rPr>
        <w:instrText xml:space="preserve"> ADDIN EN.CITE </w:instrText>
      </w:r>
      <w:r w:rsidRPr="005B0796">
        <w:rPr>
          <w:rFonts w:eastAsia="Calibri"/>
          <w:lang w:eastAsia="en-GB"/>
        </w:rPr>
        <w:fldChar w:fldCharType="begin">
          <w:fldData xml:space="preserve">PEVuZE5vdGU+PENpdGU+PEF1dGhvcj5JdmVyc2VuPC9BdXRob3I+PFllYXI+MjAwNTwvWWVhcj48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</w:fldData>
        </w:fldChar>
      </w:r>
      <w:r w:rsidRPr="005B0796">
        <w:rPr>
          <w:rFonts w:eastAsia="Calibri"/>
          <w:lang w:eastAsia="en-GB"/>
        </w:rPr>
        <w:instrText xml:space="preserve"> ADDIN EN.CITE.DATA </w:instrText>
      </w:r>
      <w:r w:rsidRPr="005B0796">
        <w:rPr>
          <w:rFonts w:eastAsia="Calibri"/>
          <w:lang w:eastAsia="en-GB"/>
        </w:rPr>
      </w:r>
      <w:r w:rsidRPr="005B0796">
        <w:rPr>
          <w:rFonts w:eastAsia="Calibri"/>
          <w:lang w:eastAsia="en-GB"/>
        </w:rPr>
        <w:fldChar w:fldCharType="end"/>
      </w:r>
      <w:r w:rsidRPr="005B0796">
        <w:rPr>
          <w:rFonts w:eastAsia="Calibri"/>
          <w:lang w:eastAsia="en-GB"/>
        </w:rPr>
      </w:r>
      <w:r w:rsidRPr="005B0796">
        <w:rPr>
          <w:rFonts w:eastAsia="Calibri"/>
          <w:lang w:eastAsia="en-GB"/>
        </w:rPr>
        <w:fldChar w:fldCharType="separate"/>
      </w:r>
      <w:r w:rsidRPr="005B0796">
        <w:rPr>
          <w:rFonts w:eastAsia="Calibri"/>
          <w:lang w:eastAsia="en-GB"/>
        </w:rPr>
        <w:t>(Iversen et al., 2005a; Iversen et al., 2005b)</w:t>
      </w:r>
      <w:r w:rsidRPr="005B0796">
        <w:rPr>
          <w:rFonts w:eastAsia="Calibri"/>
          <w:lang w:eastAsia="en-GB"/>
        </w:rPr>
        <w:fldChar w:fldCharType="end"/>
      </w:r>
      <w:r w:rsidRPr="005B0796">
        <w:t xml:space="preserve">. </w:t>
      </w:r>
      <w:r w:rsidRPr="005B0796">
        <w:rPr>
          <w:shd w:val="clear" w:color="auto" w:fill="FFFFFF"/>
        </w:rPr>
        <w:t>The higher rates of disorder in the Transitioned ADF compared to the 2010 Regular ADF support this hypothesis by emphasi</w:t>
      </w:r>
      <w:r w:rsidR="00520FC8" w:rsidRPr="005B0796">
        <w:rPr>
          <w:shd w:val="clear" w:color="auto" w:fill="FFFFFF"/>
        </w:rPr>
        <w:t>s</w:t>
      </w:r>
      <w:r w:rsidRPr="005B0796">
        <w:rPr>
          <w:shd w:val="clear" w:color="auto" w:fill="FFFFFF"/>
        </w:rPr>
        <w:t>ing that those who transition out of the ADF are in fact less healthy than those who remain in service.</w:t>
      </w:r>
    </w:p>
    <w:p w:rsidR="006866ED" w:rsidRPr="005B0796" w:rsidRDefault="006866ED" w:rsidP="006B0AC1">
      <w:r w:rsidRPr="005B0796">
        <w:t xml:space="preserve">These findings combined shed light on why the costs of deployment may not be readily visible </w:t>
      </w:r>
      <w:r w:rsidRPr="005B0796">
        <w:rPr>
          <w:i/>
        </w:rPr>
        <w:t>within</w:t>
      </w:r>
      <w:r w:rsidRPr="005B0796">
        <w:t xml:space="preserve"> the ADF. The ADF members with emerging symptomatic distress have a substantially greater probability of transitioning from full-time service, whereas as those who remain in the ADF following a deployment are more likely to be those who remained mentally well. Together, these results highlight the importance of studying transitioning members in addition to Regular ADF members if the true risks associated with combat exposure are to be defined.</w:t>
      </w:r>
    </w:p>
    <w:p w:rsidR="006866ED" w:rsidRPr="005B0796" w:rsidRDefault="006866ED" w:rsidP="006B0AC1">
      <w:r w:rsidRPr="005B0796">
        <w:rPr>
          <w:shd w:val="clear" w:color="auto" w:fill="FFFFFF"/>
        </w:rPr>
        <w:t>The following chapter will examine this point in greater detail by comparing the self-reported mental health and wellbeing of the Transitioned ADF and the Regular ADF using data collected from both populations in the same year – 2015.</w:t>
      </w:r>
    </w:p>
    <w:p w:rsidR="006866ED" w:rsidRPr="005B0796" w:rsidRDefault="006866ED" w:rsidP="006B0AC1">
      <w:pPr>
        <w:pStyle w:val="Heading2"/>
      </w:pPr>
      <w:bookmarkStart w:id="1378" w:name="_Toc487011270"/>
      <w:bookmarkStart w:id="1379" w:name="_Toc493663165"/>
      <w:bookmarkStart w:id="1380" w:name="_Toc494449790"/>
      <w:bookmarkStart w:id="1381" w:name="_Toc511900372"/>
      <w:r w:rsidRPr="005B0796">
        <w:t>The Transitioned ADF compared to the 2015 Regular ADF</w:t>
      </w:r>
      <w:bookmarkEnd w:id="1378"/>
      <w:bookmarkEnd w:id="1379"/>
      <w:bookmarkEnd w:id="1380"/>
      <w:bookmarkEnd w:id="1381"/>
    </w:p>
    <w:p w:rsidR="006866ED" w:rsidRPr="005B0796" w:rsidRDefault="006866ED" w:rsidP="006B0AC1">
      <w:pPr>
        <w:pStyle w:val="Heading3"/>
      </w:pPr>
      <w:bookmarkStart w:id="1382" w:name="_Toc487011271"/>
      <w:bookmarkStart w:id="1383" w:name="_Toc493663166"/>
      <w:bookmarkStart w:id="1384" w:name="_Toc494449791"/>
      <w:bookmarkStart w:id="1385" w:name="_Toc511900373"/>
      <w:r w:rsidRPr="005B0796">
        <w:t>The rationale for using self-report measures</w:t>
      </w:r>
      <w:bookmarkEnd w:id="1382"/>
      <w:bookmarkEnd w:id="1383"/>
      <w:bookmarkEnd w:id="1384"/>
      <w:bookmarkEnd w:id="1385"/>
    </w:p>
    <w:p w:rsidR="006866ED" w:rsidRPr="005B0796" w:rsidRDefault="006866ED" w:rsidP="006B0AC1">
      <w:r w:rsidRPr="005B0796">
        <w:t xml:space="preserve">The results discussed to this point have primarily focused on describing the estimates of </w:t>
      </w:r>
      <w:r w:rsidRPr="005B0796">
        <w:rPr>
          <w:i/>
        </w:rPr>
        <w:t>12-month</w:t>
      </w:r>
      <w:r w:rsidRPr="005B0796">
        <w:t xml:space="preserve"> diagnosable mental disorder among the Transitioned ADF. The data examined was substantially derived from the World Mental Health Survey Initiative Version of the</w:t>
      </w:r>
      <w:r w:rsidR="00462A0C" w:rsidRPr="005B0796">
        <w:t xml:space="preserve"> </w:t>
      </w:r>
      <w:r w:rsidRPr="005B0796">
        <w:t>World Health Organization Composite International Diagnostic Interview – version 3.0 (CIDI) on a sub</w:t>
      </w:r>
      <w:r w:rsidRPr="005B0796">
        <w:noBreakHyphen/>
        <w:t xml:space="preserve">cohort of the Transitioned ADF (CIDI sample). The sample was weighted to represent the total Transitioned ADF population. Twelve-month prevalence estimates were used in this study as this is the accepted period used in psychiatric epidemiology, and it allows comparison with the national mental health surveys </w: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 </w:instrTex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EN.CITE.DATA </w:instrText>
      </w:r>
      <w:r w:rsidRPr="005B0796">
        <w:fldChar w:fldCharType="end"/>
      </w:r>
      <w:r w:rsidRPr="005B0796">
        <w:fldChar w:fldCharType="separate"/>
      </w:r>
      <w:r w:rsidRPr="005B0796">
        <w:t>(Slade et al., 2009)</w:t>
      </w:r>
      <w:r w:rsidRPr="005B0796">
        <w:fldChar w:fldCharType="end"/>
      </w:r>
      <w:r w:rsidRPr="005B0796">
        <w:t>.</w:t>
      </w:r>
    </w:p>
    <w:p w:rsidR="006866ED" w:rsidRPr="005B0796" w:rsidRDefault="006866ED" w:rsidP="006B0AC1">
      <w:r w:rsidRPr="005B0796">
        <w:t xml:space="preserve">The following section provides valuable additional information on the severity and nature of </w:t>
      </w:r>
      <w:r w:rsidRPr="005B0796">
        <w:rPr>
          <w:i/>
        </w:rPr>
        <w:t xml:space="preserve">current </w:t>
      </w:r>
      <w:r w:rsidRPr="005B0796">
        <w:t>mental health symptomatology, above and beyond the dichotomous 12-month diagnoses provided by the CIDI. In particular, it provides a detailed discussion of current self-reported mental health – including psychological</w:t>
      </w:r>
      <w:r w:rsidRPr="005B0796">
        <w:rPr>
          <w:rFonts w:cs="Cambria Math"/>
        </w:rPr>
        <w:t xml:space="preserve"> distress, abuse of alcohol, PTSD, anger, generalised anxiety, suicidality, depression and illicit drug use – in </w:t>
      </w:r>
      <w:r w:rsidR="00F20C22">
        <w:rPr>
          <w:rFonts w:cs="Cambria Math"/>
        </w:rPr>
        <w:t xml:space="preserve">the </w:t>
      </w:r>
      <w:r w:rsidRPr="005B0796">
        <w:rPr>
          <w:rFonts w:cs="Cambria Math"/>
        </w:rPr>
        <w:t>Transitioned ADF compared to the 2015 and 2010 Regular ADF.</w:t>
      </w:r>
      <w:r w:rsidRPr="005B0796">
        <w:t xml:space="preserve"> In contrast to the CIDI interview, the self-report measures of mental health were administered to </w:t>
      </w:r>
      <w:r w:rsidRPr="005B0796">
        <w:rPr>
          <w:i/>
        </w:rPr>
        <w:t>all</w:t>
      </w:r>
      <w:r w:rsidRPr="005B0796">
        <w:t xml:space="preserve"> study participants; therefore, they allow comparisons between the mental health of the Transitioned ADF and a contemporary cohort of the Regular ADF.</w:t>
      </w:r>
    </w:p>
    <w:p w:rsidR="006866ED" w:rsidRPr="005B0796" w:rsidRDefault="006866ED" w:rsidP="006B0AC1">
      <w:r w:rsidRPr="005B0796">
        <w:t xml:space="preserve">Furthermore, self-report symptom measures used in this study document mental health from a dimensional perspective in contrast to the use of categorical diagnosis of mental disorder using ICD-10 criteria. The use of a dimensional examination of self-reported symptoms has gained increasing consideration in mapping the emerging risks of mental disorder at a population level over time </w:t>
      </w:r>
      <w:r w:rsidRPr="005B0796">
        <w:fldChar w:fldCharType="begin"/>
      </w:r>
      <w:r w:rsidRPr="005B0796">
        <w:instrText xml:space="preserve"> ADDIN EN.CITE &lt;EndNote&gt;&lt;Cite&gt;&lt;Author&gt;Karsten&lt;/Author&gt;&lt;Year&gt;2011&lt;/Year&gt;&lt;RecNum&gt;800&lt;/RecNum&gt;&lt;DisplayText&gt;(Karsten et al., 2011)&lt;/DisplayText&gt;&lt;record&gt;&lt;rec-number&gt;800&lt;/rec-number&gt;&lt;foreign-keys&gt;&lt;key app="EN" db-id="arwdrezp9sdawxevtfyxtfw10exvr5exxfed" timestamp="1488860890"&gt;800&lt;/key&gt;&lt;/foreign-keys&gt;&lt;ref-type name="Journal Article"&gt;17&lt;/ref-type&gt;&lt;contributors&gt;&lt;authors&gt;&lt;author&gt;Karsten,J.&lt;/author&gt;&lt;author&gt;Nolen ,WA.&lt;/author&gt;&lt;author&gt;Penninx ,B.W. &lt;/author&gt;&lt;author&gt;Hartman,CA. &lt;/author&gt;&lt;/authors&gt;&lt;/contributors&gt;&lt;titles&gt;&lt;title&gt;Subthreshold anxiety better defined by symptom self-report than by diagnostic interview. &lt;/title&gt;&lt;secondary-title&gt;J Affect Disord&lt;/secondary-title&gt;&lt;/titles&gt;&lt;periodical&gt;&lt;full-title&gt;J Affect Disord&lt;/full-title&gt;&lt;/periodical&gt;&lt;pages&gt;236-43&lt;/pages&gt;&lt;volume&gt;129&lt;/volume&gt;&lt;number&gt;1-3&lt;/number&gt;&lt;dates&gt;&lt;year&gt;2011&lt;/year&gt;&lt;/dates&gt;&lt;urls&gt;&lt;/urls&gt;&lt;/record&gt;&lt;/Cite&gt;&lt;/EndNote&gt;</w:instrText>
      </w:r>
      <w:r w:rsidRPr="005B0796">
        <w:fldChar w:fldCharType="separate"/>
      </w:r>
      <w:r w:rsidRPr="005B0796">
        <w:t>(Karsten et al., 2011)</w:t>
      </w:r>
      <w:r w:rsidRPr="005B0796">
        <w:fldChar w:fldCharType="end"/>
      </w:r>
      <w:r w:rsidRPr="005B0796">
        <w:t xml:space="preserve">. While diagnosis has a considerable utility for categorising and treating patients, the sometimes-arbitrary cut-offs between disorder and no disorder disguise the significance of subthreshold symptomatology. There is substantial evidence that subthreshold symptoms across the spectrum of anxiety and depression are associated with significant levels of impairment and distress </w:t>
      </w:r>
      <w:r w:rsidRPr="005B0796">
        <w:fldChar w:fldCharType="begin"/>
      </w:r>
      <w:r w:rsidRPr="005B0796">
        <w:instrText xml:space="preserve"> ADDIN EN.CITE &lt;EndNote&gt;&lt;Cite&gt;&lt;Author&gt;Judd&lt;/Author&gt;&lt;Year&gt;1996&lt;/Year&gt;&lt;RecNum&gt;793&lt;/RecNum&gt;&lt;DisplayText&gt;(Judd et al., 1996; Karsten et al., 2013)&lt;/DisplayText&gt;&lt;record&gt;&lt;rec-number&gt;793&lt;/rec-number&gt;&lt;foreign-keys&gt;&lt;key app="EN" db-id="arwdrezp9sdawxevtfyxtfw10exvr5exxfed" timestamp="1488860889"&gt;793&lt;/key&gt;&lt;/foreign-keys&gt;&lt;ref-type name="Journal Article"&gt;17&lt;/ref-type&gt;&lt;contributors&gt;&lt;authors&gt;&lt;author&gt;Judd, L.L.&lt;/author&gt;&lt;author&gt;Paulus ,MP.&lt;/author&gt;&lt;author&gt;Wells, K.B.&lt;/author&gt;&lt;author&gt;Rapaport, MH. . &lt;/author&gt;&lt;/authors&gt;&lt;/contributors&gt;&lt;titles&gt;&lt;title&gt;Socioeconomic burden of subsyndromal depressive symptoms and major depression in a sample of the general population&lt;/title&gt;&lt;secondary-title&gt;Am J Psychiatry&lt;/secondary-title&gt;&lt;/titles&gt;&lt;periodical&gt;&lt;full-title&gt;Am J Psychiatry&lt;/full-title&gt;&lt;/periodical&gt;&lt;pages&gt;1411-7&lt;/pages&gt;&lt;volume&gt;153&lt;/volume&gt;&lt;number&gt;11&lt;/number&gt;&lt;dates&gt;&lt;year&gt;1996&lt;/year&gt;&lt;/dates&gt;&lt;urls&gt;&lt;/urls&gt;&lt;/record&gt;&lt;/Cite&gt;&lt;Cite&gt;&lt;Author&gt;Karsten&lt;/Author&gt;&lt;Year&gt;2013&lt;/Year&gt;&lt;RecNum&gt;801&lt;/RecNum&gt;&lt;record&gt;&lt;rec-number&gt;801&lt;/rec-number&gt;&lt;foreign-keys&gt;&lt;key app="EN" db-id="arwdrezp9sdawxevtfyxtfw10exvr5exxfed" timestamp="1488860890"&gt;801&lt;/key&gt;&lt;/foreign-keys&gt;&lt;ref-type name="Journal Article"&gt;17&lt;/ref-type&gt;&lt;contributors&gt;&lt;authors&gt;&lt;author&gt;Karsten, J. &lt;/author&gt;&lt;author&gt;Penninx ,B.W.&lt;/author&gt;&lt;author&gt;Verboom,CE,.&lt;/author&gt;&lt;author&gt;Nolen, WA. &lt;/author&gt;&lt;author&gt;Hartman, CA.  &lt;/author&gt;&lt;/authors&gt;&lt;/contributors&gt;&lt;titles&gt;&lt;title&gt;Course and risk factors of functional impairment in subthreshold depression and anxiety.&lt;/title&gt;&lt;secondary-title&gt;Depress Anxiety&lt;/secondary-title&gt;&lt;/titles&gt;&lt;periodical&gt;&lt;full-title&gt;Depress Anxiety&lt;/full-title&gt;&lt;abbr-1&gt;Depression and anxiety&lt;/abbr-1&gt;&lt;/periodical&gt;&lt;pages&gt;386-94&lt;/pages&gt;&lt;volume&gt;30&lt;/volume&gt;&lt;number&gt;4&lt;/number&gt;&lt;dates&gt;&lt;year&gt;2013&lt;/year&gt;&lt;/dates&gt;&lt;urls&gt;&lt;/urls&gt;&lt;/record&gt;&lt;/Cite&gt;&lt;/EndNote&gt;</w:instrText>
      </w:r>
      <w:r w:rsidRPr="005B0796">
        <w:fldChar w:fldCharType="separate"/>
      </w:r>
      <w:r w:rsidRPr="005B0796">
        <w:t>(Judd et al., 1996; Karsten et al., 2013)</w:t>
      </w:r>
      <w:r w:rsidRPr="005B0796">
        <w:fldChar w:fldCharType="end"/>
      </w:r>
      <w:r w:rsidRPr="005B0796">
        <w:t xml:space="preserve"> and that they represent a significant risk of further development of symptoms and escalation of disorder with the passage of time </w:t>
      </w:r>
      <w:r w:rsidRPr="005B0796">
        <w:fldChar w:fldCharType="begin"/>
      </w:r>
      <w:r w:rsidRPr="005B0796">
        <w:instrText xml:space="preserve"> ADDIN EN.CITE &lt;EndNote&gt;&lt;Cite&gt;&lt;Author&gt;O&amp;apos;Donnell&lt;/Author&gt;&lt;Year&gt;2013&lt;/Year&gt;&lt;RecNum&gt;598&lt;/RecNum&gt;&lt;DisplayText&gt;(O&amp;apos;Donnell, 2013; Pietrzak, 2013)&lt;/DisplayText&gt;&lt;record&gt;&lt;rec-number&gt;598&lt;/rec-number&gt;&lt;foreign-keys&gt;&lt;key app="EN" db-id="arwdrezp9sdawxevtfyxtfw10exvr5exxfed" timestamp="1479352442"&gt;598&lt;/key&gt;&lt;/foreign-keys&gt;&lt;ref-type name="Journal Article"&gt;17&lt;/ref-type&gt;&lt;contributors&gt;&lt;authors&gt;&lt;author&gt;O&amp;apos;Donnell, M.&lt;/author&gt;&lt;/authors&gt;&lt;/contributors&gt;&lt;titles&gt;&lt;title&gt;Explanation of delayed-onset posttraumatic stress disorder after severe injury.&lt;/title&gt;&lt;secondary-title&gt;Psychological Medicine&lt;/secondary-title&gt;&lt;/titles&gt;&lt;periodical&gt;&lt;full-title&gt;Psychological Medicine&lt;/full-title&gt;&lt;/periodical&gt;&lt;pages&gt;68-75&lt;/pages&gt;&lt;volume&gt;75&lt;/volume&gt;&lt;dates&gt;&lt;year&gt;2013&lt;/year&gt;&lt;/dates&gt;&lt;urls&gt;&lt;/urls&gt;&lt;/record&gt;&lt;/Cite&gt;&lt;Cite&gt;&lt;Author&gt;Pietrzak&lt;/Author&gt;&lt;Year&gt;2013&lt;/Year&gt;&lt;RecNum&gt;599&lt;/RecNum&gt;&lt;record&gt;&lt;rec-number&gt;599&lt;/rec-number&gt;&lt;foreign-keys&gt;&lt;key app="EN" db-id="arwdrezp9sdawxevtfyxtfw10exvr5exxfed" timestamp="1479352581"&gt;599&lt;/key&gt;&lt;/foreign-keys&gt;&lt;ref-type name="Journal Article"&gt;17&lt;/ref-type&gt;&lt;contributors&gt;&lt;authors&gt;&lt;author&gt;Pietrzak, E.&lt;/author&gt;&lt;/authors&gt;&lt;/contributors&gt;&lt;titles&gt;&lt;title&gt;Trajectories of PTSD risk and resilience in World Trade Centre responders: an 8 year prospective cohort study&lt;/title&gt;&lt;secondary-title&gt;Psychological Medicine&lt;/secondary-title&gt;&lt;/titles&gt;&lt;periodical&gt;&lt;full-title&gt;Psychological Medicine&lt;/full-title&gt;&lt;/periodical&gt;&lt;pages&gt;1-15&lt;/pages&gt;&lt;volume&gt;3&lt;/volume&gt;&lt;number&gt;April &lt;/number&gt;&lt;dates&gt;&lt;year&gt;2013&lt;/year&gt;&lt;/dates&gt;&lt;urls&gt;&lt;/urls&gt;&lt;/record&gt;&lt;/Cite&gt;&lt;/EndNote&gt;</w:instrText>
      </w:r>
      <w:r w:rsidRPr="005B0796">
        <w:fldChar w:fldCharType="separate"/>
      </w:r>
      <w:r w:rsidRPr="005B0796">
        <w:t>(O</w:t>
      </w:r>
      <w:r w:rsidR="00462A0C" w:rsidRPr="005B0796">
        <w:t>’</w:t>
      </w:r>
      <w:r w:rsidRPr="005B0796">
        <w:t>Donnell, 2013; Pietrzak, 2013)</w:t>
      </w:r>
      <w:r w:rsidRPr="005B0796">
        <w:fldChar w:fldCharType="end"/>
      </w:r>
      <w:r w:rsidRPr="005B0796">
        <w:t xml:space="preserve">. Individuals experiencing subthreshold symptoms are also at significant risk because of the likelihood of not receiving treatment for their symptoms, and the potential associated suicidal ideation and levels of impairment that may accompany this </w:t>
      </w:r>
      <w:r w:rsidRPr="005B0796">
        <w:fldChar w:fldCharType="begin"/>
      </w:r>
      <w:r w:rsidRPr="005B0796">
        <w:instrText xml:space="preserve"> ADDIN EN.CITE &lt;EndNote&gt;&lt;Cite&gt;&lt;Author&gt;Marshall&lt;/Author&gt;&lt;Year&gt;2001&lt;/Year&gt;&lt;RecNum&gt;847&lt;/RecNum&gt;&lt;DisplayText&gt;(Marshall et al., 2001)&lt;/DisplayText&gt;&lt;record&gt;&lt;rec-number&gt;847&lt;/rec-number&gt;&lt;foreign-keys&gt;&lt;key app="EN" db-id="arwdrezp9sdawxevtfyxtfw10exvr5exxfed" timestamp="1488860892"&gt;847&lt;/key&gt;&lt;/foreign-keys&gt;&lt;ref-type name="Journal Article"&gt;17&lt;/ref-type&gt;&lt;contributors&gt;&lt;authors&gt;&lt;author&gt;Randall D. Marshall&lt;/author&gt;&lt;author&gt;Mark Olfson&lt;/author&gt;&lt;author&gt;Fredric Hellman&lt;/author&gt;&lt;author&gt;Carlos Blanco&lt;/author&gt;&lt;author&gt;Mary Guardino&lt;/author&gt;&lt;author&gt;Elmer L. Struening&lt;/author&gt;&lt;/authors&gt;&lt;/contributors&gt;&lt;titles&gt;&lt;title&gt;Comorbidity, Impairment, and Suicidality in Subthreshold PTSD&lt;/title&gt;&lt;secondary-title&gt;American Journal of Psychiatry&lt;/secondary-title&gt;&lt;/titles&gt;&lt;periodical&gt;&lt;full-title&gt;American Journal of Psychiatry&lt;/full-title&gt;&lt;/periodical&gt;&lt;pages&gt;1467-1473&lt;/pages&gt;&lt;volume&gt;158&lt;/volume&gt;&lt;number&gt;9&lt;/number&gt;&lt;dates&gt;&lt;year&gt;2001&lt;/year&gt;&lt;/dates&gt;&lt;accession-num&gt;11532733&lt;/accession-num&gt;&lt;urls&gt;&lt;related-urls&gt;&lt;url&gt;http://ajp.psychiatryonline.org/doi/abs/10.1176/appi.ajp.158.9.1467&lt;/url&gt;&lt;/related-urls&gt;&lt;/urls&gt;&lt;electronic-resource-num&gt;10.1176/appi.ajp.158.9.1467&lt;/electronic-resource-num&gt;&lt;/record&gt;&lt;/Cite&gt;&lt;/EndNote&gt;</w:instrText>
      </w:r>
      <w:r w:rsidRPr="005B0796">
        <w:fldChar w:fldCharType="separate"/>
      </w:r>
      <w:r w:rsidRPr="005B0796">
        <w:t>(Marshall et al., 2001)</w:t>
      </w:r>
      <w:r w:rsidRPr="005B0796">
        <w:fldChar w:fldCharType="end"/>
      </w:r>
      <w:r w:rsidRPr="005B0796">
        <w:t xml:space="preserve">. These subthreshold symptoms therefore have significant relevance from a public health perspective. In particular, some subthreshold symptoms are potentially less entrenched and more susceptible to brief interventions than are fully established mental disorder </w:t>
      </w:r>
      <w:r w:rsidRPr="005B0796">
        <w:fldChar w:fldCharType="begin">
          <w:fldData xml:space="preserve">PEVuZE5vdGU+PENpdGU+PEF1dGhvcj5IYWxsZXI8L0F1dGhvcj48WWVhcj4yMDE0PC9ZZWFyPjxS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</w:fldData>
        </w:fldChar>
      </w:r>
      <w:r w:rsidRPr="005B0796">
        <w:instrText xml:space="preserve"> ADDIN EN.CITE </w:instrText>
      </w:r>
      <w:r w:rsidRPr="005B0796">
        <w:fldChar w:fldCharType="begin">
          <w:fldData xml:space="preserve">PEVuZE5vdGU+PENpdGU+PEF1dGhvcj5IYWxsZXI8L0F1dGhvcj48WWVhcj4yMDE0PC9ZZWFyPjxS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</w:fldData>
        </w:fldChar>
      </w:r>
      <w:r w:rsidRPr="005B0796">
        <w:instrText xml:space="preserve"> ADDIN EN.CITE.DATA </w:instrText>
      </w:r>
      <w:r w:rsidRPr="005B0796">
        <w:fldChar w:fldCharType="end"/>
      </w:r>
      <w:r w:rsidRPr="005B0796">
        <w:fldChar w:fldCharType="separate"/>
      </w:r>
      <w:r w:rsidRPr="005B0796">
        <w:t>(Haller et al., 2014; McFarlane et al., 2017; Scott et</w:t>
      </w:r>
      <w:r w:rsidR="00F31C78">
        <w:t> </w:t>
      </w:r>
      <w:r w:rsidRPr="005B0796">
        <w:t>al., 2013)</w:t>
      </w:r>
      <w:r w:rsidRPr="005B0796">
        <w:fldChar w:fldCharType="end"/>
      </w:r>
      <w:r w:rsidRPr="005B0796">
        <w:t xml:space="preserve">. </w:t>
      </w:r>
    </w:p>
    <w:p w:rsidR="006866ED" w:rsidRPr="005B0796" w:rsidRDefault="006866ED" w:rsidP="006B0AC1">
      <w:pPr>
        <w:rPr>
          <w:b/>
        </w:rPr>
      </w:pPr>
      <w:r w:rsidRPr="005B0796">
        <w:t>In this report, ADF screening cut-offs</w:t>
      </w:r>
      <w:r w:rsidR="00743016">
        <w:t>,</w:t>
      </w:r>
      <w:r w:rsidRPr="005B0796">
        <w:t xml:space="preserve"> mean scores and symptom risk categories were presented and compared between groups. This screening cut-off is the value that maximises the sum of the sensitivity and specificity (the proportion of those with and without the disease that are correctly classified). These were derived from the 2010 MHPWS, using the Kessler Psychological Distress Scale (K10), </w:t>
      </w:r>
      <w:r w:rsidRPr="005B0796">
        <w:rPr>
          <w:rFonts w:cs="Calibri"/>
          <w:szCs w:val="22"/>
          <w:bdr w:val="none" w:sz="0" w:space="0" w:color="auto" w:frame="1"/>
        </w:rPr>
        <w:t>Alcohol Use Disorders Identification Test</w:t>
      </w:r>
      <w:r w:rsidRPr="005B0796">
        <w:t xml:space="preserve"> (AUDIT), </w:t>
      </w:r>
      <w:r w:rsidRPr="005B0796">
        <w:rPr>
          <w:bdr w:val="none" w:sz="0" w:space="0" w:color="auto" w:frame="1"/>
        </w:rPr>
        <w:t>Posttraumatic Stress Disorder Checklist</w:t>
      </w:r>
      <w:r w:rsidRPr="005B0796">
        <w:t xml:space="preserve"> (PCL) and Patient Health Questionnaire-9 (PHQ-9)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w:t>
      </w:r>
    </w:p>
    <w:p w:rsidR="006866ED" w:rsidRPr="005B0796" w:rsidRDefault="006866ED" w:rsidP="006B0AC1">
      <w:pPr>
        <w:pStyle w:val="Heading3"/>
      </w:pPr>
      <w:bookmarkStart w:id="1386" w:name="_Toc487011272"/>
      <w:bookmarkStart w:id="1387" w:name="_Toc493663167"/>
      <w:bookmarkStart w:id="1388" w:name="_Toc494449792"/>
      <w:bookmarkStart w:id="1389" w:name="_Toc511900374"/>
      <w:r w:rsidRPr="005B0796">
        <w:t>Psychological distress</w:t>
      </w:r>
      <w:bookmarkEnd w:id="1386"/>
      <w:bookmarkEnd w:id="1387"/>
      <w:bookmarkEnd w:id="1388"/>
      <w:bookmarkEnd w:id="1389"/>
    </w:p>
    <w:p w:rsidR="006866ED" w:rsidRPr="005B0796" w:rsidRDefault="006866ED" w:rsidP="006B0AC1">
      <w:r w:rsidRPr="005B0796">
        <w:t xml:space="preserve">The K10 is a self-report instrument administered regularly to ADF members as part of the Return to Australia Psychological Screen and Post Operational Psychological Screen. The K10 was also administered to the 2010 Regular ADF as part of the 2010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providing an opportunity to map levels of symptomatic psychological distress over time.</w:t>
      </w:r>
    </w:p>
    <w:p w:rsidR="006866ED" w:rsidRPr="005B0796" w:rsidRDefault="006866ED" w:rsidP="006B0AC1">
      <w:r w:rsidRPr="005B0796">
        <w:t>In the current study, the K10 was administered to all cohorts, providing the opportunity to not only compare the levels of psychological distress of the Transitioned ADF with the levels of psychological distress in the 2015 Regular ADF, but also to compare the levels of psychological distress of the Regular ADF in 2010 with the Regular ADF in 2015.</w:t>
      </w:r>
    </w:p>
    <w:p w:rsidR="006866ED" w:rsidRPr="005B0796" w:rsidRDefault="006866ED" w:rsidP="006B0AC1">
      <w:r w:rsidRPr="005B0796">
        <w:t>Psychological distress, as measured by the K10, was high among the Transitioned ADF, with 33.1% scoring in the high to very high symptom bands, and over 40.6% scoring equal to or above the screening cut-off of 19. Importantly, a further 17.8% of the Transitioned ADF had a moderate level of symptomatology reflecting subthreshold anxiety or depressive disorders. Clearly</w:t>
      </w:r>
      <w:r w:rsidR="00F31C78">
        <w:t>,</w:t>
      </w:r>
      <w:r w:rsidRPr="005B0796">
        <w:t xml:space="preserve"> the latter are a group at risk of developing a diagnosable disorder in the future, with these results highlighting that more than 50% of the Transitioned ADF have some level of symptomatic distress. These rates are higher than rates reported in Transitioned Canadian military personnel whereby 30% of Transitioned Regular Members showed psychological distress. Also using the K10, the Canadian study reported 13% of Regular force veterans</w:t>
      </w:r>
      <w:r w:rsidR="00F31C78">
        <w:t xml:space="preserve"> had moderate</w:t>
      </w:r>
      <w:r w:rsidR="00743016">
        <w:t>/</w:t>
      </w:r>
      <w:r w:rsidRPr="005B0796">
        <w:t>severe (7%</w:t>
      </w:r>
      <w:r w:rsidR="00743016">
        <w:t>/</w:t>
      </w:r>
      <w:r w:rsidRPr="005B0796">
        <w:t>5%) levels of psychological distress respectively in the past month</w:t>
      </w:r>
      <w:r w:rsidR="00F31C78">
        <w:t xml:space="preserve"> </w:t>
      </w:r>
      <w:r w:rsidRPr="005B0796">
        <w:fldChar w:fldCharType="begin"/>
      </w:r>
      <w:r w:rsidRPr="005B0796">
        <w:instrText xml:space="preserve"> ADDIN EN.CITE &lt;EndNote&gt;&lt;Cite&gt;&lt;Author&gt;Thompson&lt;/Author&gt;&lt;Year&gt;2015&lt;/Year&gt;&lt;RecNum&gt;389&lt;/RecNum&gt;&lt;DisplayText&gt;(Thompson et al., 2015)&lt;/DisplayText&gt;&lt;record&gt;&lt;rec-number&gt;389&lt;/rec-number&gt;&lt;foreign-keys&gt;&lt;key app="EN" db-id="arwdrezp9sdawxevtfyxtfw10exvr5exxfed" timestamp="1477630180"&gt;389&lt;/key&gt;&lt;/foreign-keys&gt;&lt;ref-type name="Book"&gt;6&lt;/ref-type&gt;&lt;contributors&gt;&lt;authors&gt;&lt;author&gt;Thompson, J&lt;/author&gt;&lt;author&gt;Van Til, L.&lt;/author&gt;&lt;author&gt;Sweet, J&lt;/author&gt;&lt;author&gt;Poirier, A.&lt;/author&gt;&lt;author&gt;McKinnon, K.&lt;/author&gt;&lt;author&gt;Dursun, S.&lt;/author&gt;&lt;author&gt;Sudom, K.&lt;/author&gt;&lt;author&gt;Zamorski, M.&lt;/author&gt;&lt;author&gt;Sareen, J.&lt;/author&gt;&lt;author&gt;Ross, D.&lt;/author&gt;&lt;author&gt;Hoskins,C.&lt;/author&gt;&lt;author&gt;Pedlar, D&lt;/author&gt;&lt;/authors&gt;&lt;/contributors&gt;&lt;titles&gt;&lt;title&gt;Canadian armed forces veterans: mental health findings from the 2013 Life After Service Survey.&lt;/title&gt;&lt;/titles&gt;&lt;dates&gt;&lt;year&gt;2015&lt;/year&gt;&lt;/dates&gt;&lt;pub-location&gt;Charlottetown PE Research Directorate&lt;/pub-location&gt;&lt;publisher&gt;Veterans Affairs Canada. Research Directorate Technical Report. 19 March  2105&lt;/publisher&gt;&lt;urls&gt;&lt;/urls&gt;&lt;/record&gt;&lt;/Cite&gt;&lt;/EndNote&gt;</w:instrText>
      </w:r>
      <w:r w:rsidRPr="005B0796">
        <w:fldChar w:fldCharType="separate"/>
      </w:r>
      <w:r w:rsidRPr="005B0796">
        <w:t>(Thompson et al., 2015)</w:t>
      </w:r>
      <w:r w:rsidRPr="005B0796">
        <w:fldChar w:fldCharType="end"/>
      </w:r>
      <w:r w:rsidRPr="005B0796">
        <w:t>.</w:t>
      </w:r>
    </w:p>
    <w:p w:rsidR="006866ED" w:rsidRPr="005B0796" w:rsidRDefault="006866ED" w:rsidP="006B0AC1">
      <w:r w:rsidRPr="005B0796">
        <w:t>Psychological distress in the 2015 Regular ADF was significantly lower than among the Transitioned ADF, with 18.7% scoring in the high to very high band compared to 33.1% of the Transitioned ADF.</w:t>
      </w:r>
      <w:r w:rsidR="00462A0C" w:rsidRPr="005B0796">
        <w:t xml:space="preserve"> </w:t>
      </w:r>
      <w:r w:rsidRPr="005B0796">
        <w:t xml:space="preserve">When compared to the findings from the 2010 Regular ADF, the 2015 Regular ADF had proportionally more very high scorers (10.8% vs 3.6%), and proportionally </w:t>
      </w:r>
      <w:r w:rsidR="00F31C78">
        <w:t>fewer</w:t>
      </w:r>
      <w:r w:rsidRPr="005B0796">
        <w:t xml:space="preserve"> moderate scorers (15.8% vs 22.5%).</w:t>
      </w:r>
      <w:r w:rsidR="00462A0C" w:rsidRPr="005B0796">
        <w:t xml:space="preserve"> </w:t>
      </w:r>
      <w:r w:rsidRPr="005B0796">
        <w:t>Concerns have been raised within the military and broader Australian Community about the potential increasing burden of mental disorder over time following the draw-down of troops from the MEAO.</w:t>
      </w:r>
      <w:r w:rsidR="00462A0C" w:rsidRPr="005B0796">
        <w:t xml:space="preserve"> </w:t>
      </w:r>
      <w:r w:rsidRPr="005B0796">
        <w:t xml:space="preserve">Looking at these two cross-sectional samples, there is some indication of this increasing morbidity. Unfortunately, however, this preliminary analysis cannot tell us about incidence (the rate of development of new mental disorders) in this period. </w:t>
      </w:r>
    </w:p>
    <w:p w:rsidR="006866ED" w:rsidRPr="005B0796" w:rsidRDefault="006866ED" w:rsidP="006B0AC1">
      <w:r w:rsidRPr="005B0796">
        <w:t>While the change in symptoms over time was not considered in this report, the apparent shift in the pattern of scores between 2010 and 2015 may reflect the progression to more severe symptoms in a proportion of individuals who remain in the Regular ADF and who had moderate symptoms in 2010.</w:t>
      </w:r>
      <w:r w:rsidR="00462A0C" w:rsidRPr="005B0796">
        <w:t xml:space="preserve"> </w:t>
      </w:r>
      <w:r w:rsidRPr="005B0796">
        <w:t xml:space="preserve">This hypothesis will be specifically examined in the </w:t>
      </w:r>
      <w:r w:rsidR="00743016">
        <w:rPr>
          <w:i/>
          <w:szCs w:val="22"/>
        </w:rPr>
        <w:t>Mental Health Changes Over Time:</w:t>
      </w:r>
      <w:r w:rsidRPr="005B0796">
        <w:rPr>
          <w:i/>
          <w:szCs w:val="22"/>
        </w:rPr>
        <w:t xml:space="preserve"> a Longitudinal Perspective</w:t>
      </w:r>
      <w:r w:rsidRPr="005B0796" w:rsidDel="005D5E0D">
        <w:t xml:space="preserve"> </w:t>
      </w:r>
      <w:r w:rsidRPr="005B0796">
        <w:rPr>
          <w:i/>
        </w:rPr>
        <w:t>Report</w:t>
      </w:r>
      <w:r w:rsidR="00F31C78">
        <w:t>, which</w:t>
      </w:r>
      <w:r w:rsidRPr="005B0796" w:rsidDel="00721157">
        <w:t xml:space="preserve"> </w:t>
      </w:r>
      <w:r w:rsidRPr="005B0796">
        <w:t xml:space="preserve">will discuss implications regarding the possibility of early intervention to mitigate the escalation of symptomatic distress over time. Equally, it remains the case in 2015 that there is a substantial proportion of the Regular ADF population who would benefit from targeted early intervention for psychological distress symptoms. </w:t>
      </w:r>
    </w:p>
    <w:p w:rsidR="006866ED" w:rsidRPr="005B0796" w:rsidRDefault="006866ED" w:rsidP="006B0AC1">
      <w:r w:rsidRPr="005B0796">
        <w:t>As with diagnosable mental disorder, Transitioned ADF who were Ex-Serving were particularly at risk, with nearly two</w:t>
      </w:r>
      <w:r w:rsidR="00F31C78">
        <w:t>-</w:t>
      </w:r>
      <w:r w:rsidRPr="005B0796">
        <w:t>thirds reporting some level of psychological distress. Also, consistent with diagnosable mental disorder, greater symptomatology t</w:t>
      </w:r>
      <w:r w:rsidR="00F31C78">
        <w:t>ended to emerge after the first year post-</w:t>
      </w:r>
      <w:r w:rsidRPr="005B0796">
        <w:t>transition, indicating the importance of considering possible post-discharge screening in the second year after leaving military service. This further highlights the importance of taking a longitudinal perspective of symptomatic distress and the role that inter-current stressors play in magnifying or mitigating individual symptoms over time, an issue that will be addressed in detail in the future t</w:t>
      </w:r>
      <w:r w:rsidRPr="005B0796">
        <w:rPr>
          <w:szCs w:val="22"/>
        </w:rPr>
        <w:t>he</w:t>
      </w:r>
      <w:r w:rsidRPr="005B0796">
        <w:rPr>
          <w:i/>
          <w:szCs w:val="22"/>
        </w:rPr>
        <w:t xml:space="preserve"> Impact of Combat Report </w:t>
      </w:r>
      <w:r w:rsidRPr="005B0796">
        <w:rPr>
          <w:szCs w:val="22"/>
        </w:rPr>
        <w:t>and the</w:t>
      </w:r>
      <w:r w:rsidRPr="005B0796">
        <w:rPr>
          <w:i/>
          <w:szCs w:val="22"/>
        </w:rPr>
        <w:t xml:space="preserve"> Mental Health Changes Over Time: a Longitudinal Perspective Report</w:t>
      </w:r>
      <w:r w:rsidRPr="005B0796">
        <w:t>.</w:t>
      </w:r>
    </w:p>
    <w:p w:rsidR="006866ED" w:rsidRPr="005B0796" w:rsidRDefault="006866ED" w:rsidP="006B0AC1">
      <w:pPr>
        <w:pStyle w:val="Heading3"/>
      </w:pPr>
      <w:bookmarkStart w:id="1390" w:name="_Toc487011273"/>
      <w:bookmarkStart w:id="1391" w:name="_Toc493663168"/>
      <w:bookmarkStart w:id="1392" w:name="_Toc494449793"/>
      <w:bookmarkStart w:id="1393" w:name="_Toc511900375"/>
      <w:r w:rsidRPr="005B0796">
        <w:t>Posttraumatic stress symptoms</w:t>
      </w:r>
      <w:bookmarkEnd w:id="1390"/>
      <w:bookmarkEnd w:id="1391"/>
      <w:bookmarkEnd w:id="1392"/>
      <w:bookmarkEnd w:id="1393"/>
    </w:p>
    <w:p w:rsidR="006866ED" w:rsidRPr="005B0796" w:rsidRDefault="006866ED" w:rsidP="006B0AC1">
      <w:r w:rsidRPr="005B0796">
        <w:t>The level of posttraumatic stress symptoms in the Transitioned ADF was particularly striking, with approximately 38.0% scoring in the moderate to very high scoring bands on the P</w:t>
      </w:r>
      <w:r w:rsidR="00F31C78">
        <w:t>CL and almost one-quarter scoring</w:t>
      </w:r>
      <w:r w:rsidRPr="005B0796">
        <w:t xml:space="preserve"> in the high to very high risk categories. Almost 40% of the Transitioned ADF scored equal to or above the ADF screening cut-off of 29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Importantly, these individuals represent the group who could be considered to have subthreshold or partial PTSD and should be a target for early intervention. When the subgroups in the Transitioned ADF were examined, the Ex-Serving were most symptomatic, with posttraumatic stress symptoms lower among Inactive Reservists, and lowest of all among Active Reservists. This pattern of findings may reflect that Active Reservists may be less symptomatic and are functioning better overall and therefore have </w:t>
      </w:r>
      <w:r w:rsidR="00462A0C" w:rsidRPr="005B0796">
        <w:t>‘</w:t>
      </w:r>
      <w:r w:rsidRPr="005B0796">
        <w:t>self</w:t>
      </w:r>
      <w:r w:rsidRPr="005B0796">
        <w:noBreakHyphen/>
        <w:t>selected</w:t>
      </w:r>
      <w:r w:rsidR="00462A0C" w:rsidRPr="005B0796">
        <w:t>’</w:t>
      </w:r>
      <w:r w:rsidRPr="005B0796">
        <w:t xml:space="preserve"> to remain more actively engaged in military service. When years since transition was examined, there was some indication of the recruitment of posttraumatic stress symptoms with the passage of time, with symptoms showing the greatest peak at three years post-transition.</w:t>
      </w:r>
    </w:p>
    <w:p w:rsidR="006866ED" w:rsidRPr="005B0796" w:rsidRDefault="006866ED" w:rsidP="006B0AC1">
      <w:r w:rsidRPr="005B0796">
        <w:t>Similar to findings for psychological distress, the severity of posttraumatic stress symptoms was significantly greater in the Transitioned ADF compared to the 2015 Regular ADF, highlighting the strength of the relationship between poor mental health and transition. Similarly, the 2015 Regular ADF reported significantly greater levels of posttraumatic stress symptoms than the 2010 Regular ADF. This issue will be further analysed in t</w:t>
      </w:r>
      <w:r w:rsidRPr="005B0796">
        <w:rPr>
          <w:szCs w:val="22"/>
        </w:rPr>
        <w:t>he</w:t>
      </w:r>
      <w:r w:rsidRPr="005B0796">
        <w:rPr>
          <w:i/>
          <w:szCs w:val="22"/>
        </w:rPr>
        <w:t xml:space="preserve"> Impact of Combat Report </w:t>
      </w:r>
      <w:r w:rsidRPr="005B0796">
        <w:rPr>
          <w:szCs w:val="22"/>
        </w:rPr>
        <w:t>and the</w:t>
      </w:r>
      <w:r w:rsidRPr="005B0796">
        <w:rPr>
          <w:i/>
          <w:szCs w:val="22"/>
        </w:rPr>
        <w:t xml:space="preserve"> Mental Health Changes Over Time: a Longitudinal Perspective Report</w:t>
      </w:r>
      <w:r w:rsidRPr="005B0796">
        <w:t>.</w:t>
      </w:r>
    </w:p>
    <w:p w:rsidR="006866ED" w:rsidRPr="005B0796" w:rsidRDefault="006866ED" w:rsidP="006B0AC1">
      <w:r w:rsidRPr="005B0796">
        <w:t>Again, while not tested in this report, this is consistent with an increasing burden of sub-syndromal symptoms from 2010 and 2015</w:t>
      </w:r>
      <w:r w:rsidR="00F31C78">
        <w:t>,</w:t>
      </w:r>
      <w:r w:rsidRPr="005B0796">
        <w:t xml:space="preserve"> and could represent the cumulative burden of traumatic stress exposures due to the deployment cycle of the ADF over the last decade. A number of longitudinal studies have emphasi</w:t>
      </w:r>
      <w:r w:rsidR="00520FC8" w:rsidRPr="005B0796">
        <w:t>s</w:t>
      </w:r>
      <w:r w:rsidRPr="005B0796">
        <w:t xml:space="preserve">ed the risk of delayed onset PTSD </w:t>
      </w:r>
      <w:r w:rsidRPr="005B0796">
        <w:fldChar w:fldCharType="begin">
          <w:fldData xml:space="preserve">PEVuZE5vdGU+PENpdGU+PEF1dGhvcj5NYXJtYXI8L0F1dGhvcj48WWVhcj4yMDE1PC9ZZWFyPjxS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</w:fldData>
        </w:fldChar>
      </w:r>
      <w:r w:rsidRPr="005B0796">
        <w:instrText xml:space="preserve"> ADDIN EN.CITE </w:instrText>
      </w:r>
      <w:r w:rsidRPr="005B0796">
        <w:fldChar w:fldCharType="begin">
          <w:fldData xml:space="preserve">PEVuZE5vdGU+PENpdGU+PEF1dGhvcj5NYXJtYXI8L0F1dGhvcj48WWVhcj4yMDE1PC9ZZWFyPjxS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</w:fldData>
        </w:fldChar>
      </w:r>
      <w:r w:rsidRPr="005B0796">
        <w:instrText xml:space="preserve"> ADDIN EN.CITE.DATA </w:instrText>
      </w:r>
      <w:r w:rsidRPr="005B0796">
        <w:fldChar w:fldCharType="end"/>
      </w:r>
      <w:r w:rsidRPr="005B0796">
        <w:fldChar w:fldCharType="separate"/>
      </w:r>
      <w:r w:rsidRPr="005B0796">
        <w:t>(Marmar et al., 2015)</w:t>
      </w:r>
      <w:r w:rsidRPr="005B0796">
        <w:fldChar w:fldCharType="end"/>
      </w:r>
      <w:r w:rsidRPr="005B0796">
        <w:t xml:space="preserve">. In the 2010 MHPWS report, the progressive recruitment of PTSD symptoms with an increasing number of trauma exposures was highlighted as an important issue to monitor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In this study, the rates of sub-syndromal PTSD symptoms in both the Transitioned ADF and the 2015 Regular PTSD warrant early intervention particularly due to the associated risk of delayed onset PTSD and the significant risk for later disorder development </w:t>
      </w:r>
      <w:r w:rsidRPr="005B0796">
        <w:fldChar w:fldCharType="begin"/>
      </w:r>
      <w:r w:rsidRPr="005B0796">
        <w:instrText xml:space="preserve"> ADDIN EN.CITE &lt;EndNote&gt;&lt;Cite&gt;&lt;Author&gt;Pietrzak&lt;/Author&gt;&lt;Year&gt;2014&lt;/Year&gt;&lt;RecNum&gt;925&lt;/RecNum&gt;&lt;DisplayText&gt;(Pietrzak et al., 2014)&lt;/DisplayText&gt;&lt;record&gt;&lt;rec-number&gt;925&lt;/rec-number&gt;&lt;foreign-keys&gt;&lt;key app="EN" db-id="arwdrezp9sdawxevtfyxtfw10exvr5exxfed" timestamp="1492998476"&gt;925&lt;/key&gt;&lt;/foreign-keys&gt;&lt;ref-type name="Journal Article"&gt;17&lt;/ref-type&gt;&lt;contributors&gt;&lt;authors&gt;&lt;author&gt;Pietrzak, RH&lt;/author&gt;&lt;author&gt;Feder, A&lt;/author&gt;&lt;author&gt;Singh, R&lt;/author&gt;&lt;author&gt;Schechter, CB&lt;/author&gt;&lt;author&gt;Bromet, Evelyn J&lt;/author&gt;&lt;author&gt;Katz, CL&lt;/author&gt;&lt;author&gt;Reissman, DB&lt;/author&gt;&lt;author&gt;Ozbay, F&lt;/author&gt;&lt;author&gt;Sharma, V&lt;/author&gt;&lt;author&gt;Crane, M&lt;/author&gt;&lt;/authors&gt;&lt;/contributors&gt;&lt;titles&gt;&lt;title&gt;Trajectories of PTSD risk and resilience in World Trade Center responders: an 8-year prospective cohort study&lt;/title&gt;&lt;secondary-title&gt;Psychological Medicine&lt;/secondary-title&gt;&lt;/titles&gt;&lt;periodical&gt;&lt;full-title&gt;Psychological Medicine&lt;/full-title&gt;&lt;/periodical&gt;&lt;pages&gt;205-219&lt;/pages&gt;&lt;volume&gt;44&lt;/volume&gt;&lt;number&gt;01&lt;/number&gt;&lt;dates&gt;&lt;year&gt;2014&lt;/year&gt;&lt;/dates&gt;&lt;isbn&gt;1469-8978&lt;/isbn&gt;&lt;urls&gt;&lt;/urls&gt;&lt;/record&gt;&lt;/Cite&gt;&lt;/EndNote&gt;</w:instrText>
      </w:r>
      <w:r w:rsidRPr="005B0796">
        <w:fldChar w:fldCharType="separate"/>
      </w:r>
      <w:r w:rsidRPr="005B0796">
        <w:t>(Pietrzak et</w:t>
      </w:r>
      <w:r w:rsidR="00F31C78">
        <w:t> </w:t>
      </w:r>
      <w:r w:rsidRPr="005B0796">
        <w:t>al., 2014)</w:t>
      </w:r>
      <w:r w:rsidRPr="005B0796">
        <w:fldChar w:fldCharType="end"/>
      </w:r>
      <w:r w:rsidRPr="005B0796">
        <w:t xml:space="preserve"> </w:t>
      </w:r>
      <w:r w:rsidRPr="005B0796">
        <w:fldChar w:fldCharType="begin"/>
      </w:r>
      <w:r w:rsidRPr="005B0796">
        <w:instrText xml:space="preserve"> ADDIN EN.CITE &lt;EndNote&gt;&lt;Cite&gt;&lt;Author&gt;McFarlane&lt;/Author&gt;&lt;Year&gt;2010&lt;/Year&gt;&lt;RecNum&gt;549&lt;/RecNum&gt;&lt;DisplayText&gt;(McFarlane, 2010)&lt;/DisplayText&gt;&lt;record&gt;&lt;rec-number&gt;549&lt;/rec-number&gt;&lt;foreign-keys&gt;&lt;key app="EN" db-id="arwdrezp9sdawxevtfyxtfw10exvr5exxfed" timestamp="1479079307"&gt;549&lt;/key&gt;&lt;/foreign-keys&gt;&lt;ref-type name="Journal Article"&gt;17&lt;/ref-type&gt;&lt;contributors&gt;&lt;authors&gt;&lt;author&gt;McFarlane, A. C.&lt;/author&gt;&lt;/authors&gt;&lt;/contributors&gt;&lt;auth-address&gt;Centre for Military and Veterans&amp;apos; Health, University of Adelaide, Level 2/122 Frome Street, Adelaide, South Australia, 5000 Australia.&lt;/auth-address&gt;&lt;titles&gt;&lt;title&gt;The long-term costs of traumatic stress: intertwined physical and psychological consequences&lt;/title&gt;&lt;secondary-title&gt;World Psychiatry&lt;/secondary-title&gt;&lt;alt-title&gt;World psychiatry : official journal of the World Psychiatric Association&lt;/alt-title&gt;&lt;/titles&gt;&lt;periodical&gt;&lt;full-title&gt;World Psychiatry&lt;/full-title&gt;&lt;/periodical&gt;&lt;pages&gt;3-10&lt;/pages&gt;&lt;volume&gt;9&lt;/volume&gt;&lt;number&gt;1&lt;/number&gt;&lt;dates&gt;&lt;year&gt;2010&lt;/year&gt;&lt;pub-dates&gt;&lt;date&gt;Feb&lt;/date&gt;&lt;/pub-dates&gt;&lt;/dates&gt;&lt;isbn&gt;2051-5545 (Electronic)&amp;#xD;1723-8617 (Linking)&lt;/isbn&gt;&lt;accession-num&gt;20148146&lt;/accession-num&gt;&lt;urls&gt;&lt;related-urls&gt;&lt;url&gt;http://www.ncbi.nlm.nih.gov/pubmed/20148146&lt;/url&gt;&lt;/related-urls&gt;&lt;/urls&gt;&lt;custom2&gt;2816923&lt;/custom2&gt;&lt;/record&gt;&lt;/Cite&gt;&lt;/EndNote&gt;</w:instrText>
      </w:r>
      <w:r w:rsidRPr="005B0796">
        <w:fldChar w:fldCharType="separate"/>
      </w:r>
      <w:r w:rsidRPr="005B0796">
        <w:t>(McFarlane, 2010)</w:t>
      </w:r>
      <w:r w:rsidRPr="005B0796">
        <w:fldChar w:fldCharType="end"/>
      </w:r>
      <w:r w:rsidRPr="005B0796">
        <w:t xml:space="preserve">. </w:t>
      </w:r>
    </w:p>
    <w:p w:rsidR="006866ED" w:rsidRPr="005B0796" w:rsidRDefault="006866ED" w:rsidP="006B0AC1">
      <w:r w:rsidRPr="005B0796">
        <w:t xml:space="preserve">Overall, the findings relating to self-reported posttraumatic stress symptoms in this report should be interpreted against the background of the epidemiological literature showing that sub-syndromal PTSD has similar levels of impairment to the full disorder </w:t>
      </w:r>
      <w:r w:rsidRPr="005B0796">
        <w:fldChar w:fldCharType="begin">
          <w:fldData xml:space="preserve">PEVuZE5vdGU+PENpdGU+PEF1dGhvcj5GZXR6bmVyPC9BdXRob3I+PFllYXI+MjAxMjwvWWVhcj48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</w:fldData>
        </w:fldChar>
      </w:r>
      <w:r w:rsidRPr="005B0796">
        <w:instrText xml:space="preserve"> ADDIN EN.CITE </w:instrText>
      </w:r>
      <w:r w:rsidRPr="005B0796">
        <w:fldChar w:fldCharType="begin">
          <w:fldData xml:space="preserve">PEVuZE5vdGU+PENpdGU+PEF1dGhvcj5GZXR6bmVyPC9BdXRob3I+PFllYXI+MjAxMjwvWWVhcj48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</w:fldData>
        </w:fldChar>
      </w:r>
      <w:r w:rsidRPr="005B0796">
        <w:instrText xml:space="preserve"> ADDIN EN.CITE.DATA </w:instrText>
      </w:r>
      <w:r w:rsidRPr="005B0796">
        <w:fldChar w:fldCharType="end"/>
      </w:r>
      <w:r w:rsidRPr="005B0796">
        <w:fldChar w:fldCharType="separate"/>
      </w:r>
      <w:r w:rsidRPr="005B0796">
        <w:t>(Fetzner et al., 2012; Marshall et al., 2001; Pietrzak et al., 2009; Schmidt, 2015)</w:t>
      </w:r>
      <w:r w:rsidRPr="005B0796">
        <w:fldChar w:fldCharType="end"/>
      </w:r>
      <w:r w:rsidRPr="005B0796">
        <w:t>. Prospective epidemiological population studies, for example, have highlighted the role of emerging symptomatic distress</w:t>
      </w:r>
      <w:r w:rsidR="00F31C78">
        <w:t xml:space="preserve"> –</w:t>
      </w:r>
      <w:r w:rsidRPr="005B0796">
        <w:t xml:space="preserve"> even relatively brief episodes of symptoms</w:t>
      </w:r>
      <w:r w:rsidR="00F31C78">
        <w:t xml:space="preserve"> –</w:t>
      </w:r>
      <w:r w:rsidRPr="005B0796">
        <w:t xml:space="preserve"> as markers of risk for later disorder </w:t>
      </w:r>
      <w:r w:rsidRPr="005B0796">
        <w:fldChar w:fldCharType="begin"/>
      </w:r>
      <w:r w:rsidRPr="005B0796">
        <w:instrText xml:space="preserve"> ADDIN EN.CITE &lt;EndNote&gt;&lt;Cite&gt;&lt;Author&gt;Halpern&lt;/Author&gt;&lt;Year&gt;2011&lt;/Year&gt;&lt;RecNum&gt;926&lt;/RecNum&gt;&lt;DisplayText&gt;(Halpern et al., 2011)&lt;/DisplayText&gt;&lt;record&gt;&lt;rec-number&gt;926&lt;/rec-number&gt;&lt;foreign-keys&gt;&lt;key app="EN" db-id="arwdrezp9sdawxevtfyxtfw10exvr5exxfed" timestamp="1492998755"&gt;926&lt;/key&gt;&lt;/foreign-keys&gt;&lt;ref-type name="Journal Article"&gt;17&lt;/ref-type&gt;&lt;contributors&gt;&lt;authors&gt;&lt;author&gt;Halpern, Janice&lt;/author&gt;&lt;author&gt;Maunder, Robert G&lt;/author&gt;&lt;author&gt;Schwartz, Brian&lt;/author&gt;&lt;author&gt;Gurevich, Maria&lt;/author&gt;&lt;/authors&gt;&lt;/contributors&gt;&lt;titles&gt;&lt;title&gt;Identifying risk of emotional sequelae after critical incidents&lt;/title&gt;&lt;secondary-title&gt;Emergency Medicine Journal&lt;/secondary-title&gt;&lt;/titles&gt;&lt;periodical&gt;&lt;full-title&gt;Emergency Medicine Journal&lt;/full-title&gt;&lt;/periodical&gt;&lt;pages&gt;51-56&lt;/pages&gt;&lt;volume&gt;28&lt;/volume&gt;&lt;number&gt;1&lt;/number&gt;&lt;dates&gt;&lt;year&gt;2011&lt;/year&gt;&lt;/dates&gt;&lt;isbn&gt;1472-0205&lt;/isbn&gt;&lt;urls&gt;&lt;related-urls&gt;&lt;url&gt;http://emj.bmj.com/content/emermed/28/1/51.full.pdf&lt;/url&gt;&lt;/related-urls&gt;&lt;/urls&gt;&lt;/record&gt;&lt;/Cite&gt;&lt;/EndNote&gt;</w:instrText>
      </w:r>
      <w:r w:rsidRPr="005B0796">
        <w:fldChar w:fldCharType="separate"/>
      </w:r>
      <w:r w:rsidRPr="005B0796">
        <w:t>(Halpern et al., 2011)</w:t>
      </w:r>
      <w:r w:rsidRPr="005B0796">
        <w:fldChar w:fldCharType="end"/>
      </w:r>
      <w:r w:rsidRPr="005B0796">
        <w:t xml:space="preserve">. Studies of military cohorts, in particular, have shown emerging patterns of altered neurobiology even where symptom levels are well below what is required for the full diagnosis of PTSD </w:t>
      </w:r>
      <w:r w:rsidRPr="005B0796">
        <w:fldChar w:fldCharType="begin">
          <w:fldData xml:space="preserve">PEVuZE5vdGU+PENpdGU+PEF1dGhvcj5TY2jDvHI8L0F1dGhvcj48WWVhcj4yMDE2PC9ZZWFyPjxS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</w:fldData>
        </w:fldChar>
      </w:r>
      <w:r w:rsidRPr="005B0796">
        <w:instrText xml:space="preserve"> ADDIN EN.CITE </w:instrText>
      </w:r>
      <w:r w:rsidRPr="005B0796">
        <w:fldChar w:fldCharType="begin">
          <w:fldData xml:space="preserve">PEVuZE5vdGU+PENpdGU+PEF1dGhvcj5TY2jDvHI8L0F1dGhvcj48WWVhcj4yMDE2PC9ZZWFyPjxS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</w:fldData>
        </w:fldChar>
      </w:r>
      <w:r w:rsidRPr="005B0796">
        <w:instrText xml:space="preserve"> ADDIN EN.CITE.DATA </w:instrText>
      </w:r>
      <w:r w:rsidRPr="005B0796">
        <w:fldChar w:fldCharType="end"/>
      </w:r>
      <w:r w:rsidRPr="005B0796">
        <w:fldChar w:fldCharType="separate"/>
      </w:r>
      <w:r w:rsidRPr="005B0796">
        <w:t>(Schür et</w:t>
      </w:r>
      <w:r w:rsidR="00F31C78">
        <w:t> </w:t>
      </w:r>
      <w:r w:rsidRPr="005B0796">
        <w:t>al., 2016; Steudte-Schmiedgen et al., 2015; van Zuiden et al., 2015; Vermetten et al., 2015; Wiborg et al., 2016)</w:t>
      </w:r>
      <w:r w:rsidRPr="005B0796">
        <w:fldChar w:fldCharType="end"/>
      </w:r>
      <w:r w:rsidRPr="005B0796">
        <w:t xml:space="preserve">. The MEAO Prospective Health Study </w:t>
      </w:r>
      <w:r w:rsidRPr="005B0796">
        <w:fldChar w:fldCharType="begin"/>
      </w:r>
      <w:r w:rsidRPr="005B0796">
        <w:instrText xml:space="preserve"> ADDIN EN.CITE &lt;EndNote&gt;&lt;Cite&gt;&lt;Author&gt;Dobson&lt;/Author&gt;&lt;Year&gt;2012&lt;/Year&gt;&lt;RecNum&gt;440&lt;/RecNum&gt;&lt;DisplayText&gt;(Dobson et al., 2012)&lt;/DisplayText&gt;&lt;record&gt;&lt;rec-number&gt;440&lt;/rec-number&gt;&lt;foreign-keys&gt;&lt;key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Health.&lt;/publisher&gt;&lt;urls&gt;&lt;/urls&gt;&lt;/record&gt;&lt;/Cite&gt;&lt;/EndNote&gt;</w:instrText>
      </w:r>
      <w:r w:rsidRPr="005B0796">
        <w:fldChar w:fldCharType="separate"/>
      </w:r>
      <w:r w:rsidRPr="005B0796">
        <w:t>(Dobson et al., 2012)</w:t>
      </w:r>
      <w:r w:rsidRPr="005B0796">
        <w:fldChar w:fldCharType="end"/>
      </w:r>
      <w:r w:rsidRPr="005B0796">
        <w:t xml:space="preserve"> and subsequent detailed analyses </w:t>
      </w:r>
      <w:r w:rsidRPr="005B0796">
        <w:fldChar w:fldCharType="begin"/>
      </w:r>
      <w:r w:rsidRPr="005B0796">
        <w:instrText xml:space="preserve"> ADDIN EN.CITE &lt;EndNote&gt;&lt;Cite&gt;&lt;Author&gt;Lawrence-Wood&lt;/Author&gt;&lt;Year&gt;2014&lt;/Year&gt;&lt;RecNum&gt;963&lt;/RecNum&gt;&lt;DisplayText&gt;(Lawrence-Wood et al., 2014)&lt;/DisplayText&gt;&lt;record&gt;&lt;rec-number&gt;963&lt;/rec-number&gt;&lt;foreign-keys&gt;&lt;key app="EN" db-id="arwdrezp9sdawxevtfyxtfw10exvr5exxfed" timestamp="1493964213"&gt;963&lt;/key&gt;&lt;/foreign-keys&gt;&lt;ref-type name="Book"&gt;6&lt;/ref-type&gt;&lt;contributors&gt;&lt;authors&gt;&lt;author&gt;Lawrence-Wood, E.,&lt;/author&gt;&lt;author&gt;McFarlane A.,&lt;/author&gt;&lt;author&gt;Searle A.,&lt;/author&gt;&lt;author&gt;van Hooff, M.,&lt;/author&gt;&lt;author&gt;Davy, C.&lt;/author&gt;&lt;/authors&gt;&lt;/contributors&gt;&lt;titles&gt;&lt;title&gt;Exploration of the association between inflammation and psychological distress in deployed Australian Defence Force personnel. &lt;/title&gt;&lt;/titles&gt;&lt;dates&gt;&lt;year&gt;2014&lt;/year&gt;&lt;/dates&gt;&lt;pub-location&gt;Paper presented at the Australasian Military Medicine Association annual conference, Sydney, Australia.&lt;/pub-location&gt;&lt;urls&gt;&lt;/urls&gt;&lt;/record&gt;&lt;/Cite&gt;&lt;/EndNote&gt;</w:instrText>
      </w:r>
      <w:r w:rsidRPr="005B0796">
        <w:fldChar w:fldCharType="separate"/>
      </w:r>
      <w:r w:rsidRPr="005B0796">
        <w:t>(Lawrence-Wood et al., 2014)</w:t>
      </w:r>
      <w:r w:rsidRPr="005B0796">
        <w:fldChar w:fldCharType="end"/>
      </w:r>
      <w:r w:rsidRPr="005B0796">
        <w:t xml:space="preserve"> for example, documented changes in the neurobiology of individuals at subthreshold levels of symptomatic distress. </w:t>
      </w:r>
    </w:p>
    <w:p w:rsidR="006866ED" w:rsidRPr="005B0796" w:rsidRDefault="006866ED" w:rsidP="006B0AC1">
      <w:r w:rsidRPr="005B0796">
        <w:t xml:space="preserve">These shifts in homeostasis, with the upregulation of physiological regulatory systems, highlight the importance of further investigating the emerging neurobiology of this group so as to provide potential targets for intervention. The domains that have shown dysregulation include inflammatory mediators, measures of brain neural stability and allostatic load </w:t>
      </w:r>
      <w:r w:rsidRPr="005B0796">
        <w:fldChar w:fldCharType="begin">
          <w:fldData xml:space="preserve">PEVuZE5vdGU+PENpdGU+PEF1dGhvcj5Hb2xhPC9BdXRob3I+PFllYXI+MjAxMzwvWWVhcj48UmVj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</w:fldData>
        </w:fldChar>
      </w:r>
      <w:r w:rsidRPr="005B0796">
        <w:instrText xml:space="preserve"> ADDIN EN.CITE </w:instrText>
      </w:r>
      <w:r w:rsidRPr="005B0796">
        <w:fldChar w:fldCharType="begin">
          <w:fldData xml:space="preserve">PEVuZE5vdGU+PENpdGU+PEF1dGhvcj5Hb2xhPC9BdXRob3I+PFllYXI+MjAxMzwvWWVhcj48UmVj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</w:fldData>
        </w:fldChar>
      </w:r>
      <w:r w:rsidRPr="005B0796">
        <w:instrText xml:space="preserve"> ADDIN EN.CITE.DATA </w:instrText>
      </w:r>
      <w:r w:rsidRPr="005B0796">
        <w:fldChar w:fldCharType="end"/>
      </w:r>
      <w:r w:rsidRPr="005B0796">
        <w:fldChar w:fldCharType="separate"/>
      </w:r>
      <w:r w:rsidRPr="005B0796">
        <w:t>(Gola et al., 2013; Heinzelmann &amp; Gill, 2013; McFarlane, 2010)</w:t>
      </w:r>
      <w:r w:rsidRPr="005B0796">
        <w:fldChar w:fldCharType="end"/>
      </w:r>
      <w:r w:rsidRPr="005B0796">
        <w:t xml:space="preserve">. </w:t>
      </w:r>
    </w:p>
    <w:p w:rsidR="006866ED" w:rsidRPr="005B0796" w:rsidRDefault="006866ED" w:rsidP="006B0AC1">
      <w:r w:rsidRPr="005B0796">
        <w:t xml:space="preserve">These epidemiological observations need to be interpreted in the context of the substantial growing body of knowledge about biomarkers and the future risk of disorder </w:t>
      </w:r>
      <w:r w:rsidRPr="005B0796">
        <w:fldChar w:fldCharType="begin"/>
      </w:r>
      <w:r w:rsidRPr="005B0796">
        <w:instrText xml:space="preserve"> ADDIN EN.CITE &lt;EndNote&gt;&lt;Cite&gt;&lt;Author&gt;McFarlane&lt;/Author&gt;&lt;Year&gt;2017&lt;/Year&gt;&lt;RecNum&gt;921&lt;/RecNum&gt;&lt;DisplayText&gt;(McFarlane et al., 2017)&lt;/DisplayText&gt;&lt;record&gt;&lt;rec-number&gt;921&lt;/rec-number&gt;&lt;foreign-keys&gt;&lt;key app="EN" db-id="arwdrezp9sdawxevtfyxtfw10exvr5exxfed" timestamp="1492997835"&gt;921&lt;/key&gt;&lt;/foreign-keys&gt;&lt;ref-type name="Journal Article"&gt;17&lt;/ref-type&gt;&lt;contributors&gt;&lt;authors&gt;&lt;author&gt;McFarlane, Alexander Cowell&lt;/author&gt;&lt;author&gt;Lawrence-Wood, Eleanor&lt;/author&gt;&lt;author&gt;Van Hooff, Miranda&lt;/author&gt;&lt;author&gt;Malhi, Gin S&lt;/author&gt;&lt;author&gt;Yehuda, Rachel&lt;/author&gt;&lt;/authors&gt;&lt;/contributors&gt;&lt;titles&gt;&lt;title&gt;The Need to Take a Staging Approach to the Biological Mechanisms of PTSD and its Treatment&lt;/title&gt;&lt;secondary-title&gt;Current psychiatry reports&lt;/secondary-title&gt;&lt;/titles&gt;&lt;periodical&gt;&lt;full-title&gt;Curr Psychiatry Rep&lt;/full-title&gt;&lt;abbr-1&gt;Current psychiatry reports&lt;/abbr-1&gt;&lt;/periodical&gt;&lt;pages&gt;10&lt;/pages&gt;&lt;volume&gt;19&lt;/volume&gt;&lt;number&gt;2&lt;/number&gt;&lt;dates&gt;&lt;year&gt;2017&lt;/year&gt;&lt;/dates&gt;&lt;isbn&gt;1523-3812&lt;/isbn&gt;&lt;urls&gt;&lt;related-urls&gt;&lt;url&gt;http://download.springer.com/static/pdf/386/art%253A10.1007%252Fs11920-017-0761-2.pdf?originUrl=http%3A%2F%2Flink.springer.com%2Farticle%2F10.1007%2Fs11920-017-0761-2&amp;amp;token2=exp=1492999058~acl=%2Fstatic%2Fpdf%2F386%2Fart%25253A10.1007%25252Fs11920-017-0761-2.pdf%3ForiginUrl%3Dhttp%253A%252F%252Flink.springer.com%252Farticle%252F10.1007%252Fs11920-017-0761-2*~hmac=397b6d2578cbfa3ed4c01c2e70e1bcb429e720f25a47b8112308fcade7fda3a3&lt;/url&gt;&lt;/related-urls&gt;&lt;/urls&gt;&lt;/record&gt;&lt;/Cite&gt;&lt;/EndNote&gt;</w:instrText>
      </w:r>
      <w:r w:rsidRPr="005B0796">
        <w:fldChar w:fldCharType="separate"/>
      </w:r>
      <w:r w:rsidRPr="005B0796">
        <w:t>(McFarlane et al., 2017)</w:t>
      </w:r>
      <w:r w:rsidRPr="005B0796">
        <w:fldChar w:fldCharType="end"/>
      </w:r>
      <w:r w:rsidRPr="005B0796">
        <w:t>. Finally, posttraumatic stress symptoms are also regularly observed in military primary care settings and are associated with treatment</w:t>
      </w:r>
      <w:r w:rsidR="00F31C78">
        <w:t>-</w:t>
      </w:r>
      <w:r w:rsidRPr="005B0796">
        <w:t xml:space="preserve">seeking behaviour </w:t>
      </w:r>
      <w:r w:rsidRPr="005B0796">
        <w:fldChar w:fldCharType="begin"/>
      </w:r>
      <w:r w:rsidRPr="005B0796">
        <w:instrText xml:space="preserve"> ADDIN EN.CITE &lt;EndNote&gt;&lt;Cite&gt;&lt;Author&gt;Kornfield&lt;/Author&gt;&lt;Year&gt;2012&lt;/Year&gt;&lt;RecNum&gt;600&lt;/RecNum&gt;&lt;DisplayText&gt;(Kornfield et al., 2012)&lt;/DisplayText&gt;&lt;record&gt;&lt;rec-number&gt;600&lt;/rec-number&gt;&lt;foreign-keys&gt;&lt;key app="EN" db-id="arwdrezp9sdawxevtfyxtfw10exvr5exxfed" timestamp="1479352889"&gt;600&lt;/key&gt;&lt;/foreign-keys&gt;&lt;ref-type name="Journal Article"&gt;17&lt;/ref-type&gt;&lt;contributors&gt;&lt;authors&gt;&lt;author&gt;Kornfield, S.&lt;/author&gt;&lt;author&gt;Klaus, J.&lt;/author&gt;&lt;author&gt;McKay, C.&lt;/author&gt;&lt;author&gt;Helstrom,A..&lt;/author&gt;&lt;author&gt;Oslin, D. W.&lt;/author&gt;&lt;/authors&gt;&lt;/contributors&gt;&lt;titles&gt;&lt;title&gt;Subsyndromal posttraumatic stress disorder symptomatology in primary care military veterans: treatment and applications&lt;/title&gt;&lt;secondary-title&gt;Psychological Services&lt;/secondary-title&gt;&lt;/titles&gt;&lt;periodical&gt;&lt;full-title&gt;Psychological Services&lt;/full-title&gt;&lt;/periodical&gt;&lt;pages&gt;383-389.&lt;/pages&gt;&lt;volume&gt;9&lt;/volume&gt;&lt;dates&gt;&lt;year&gt;2012&lt;/year&gt;&lt;/dates&gt;&lt;urls&gt;&lt;/urls&gt;&lt;/record&gt;&lt;/Cite&gt;&lt;/EndNote&gt;</w:instrText>
      </w:r>
      <w:r w:rsidRPr="005B0796">
        <w:fldChar w:fldCharType="separate"/>
      </w:r>
      <w:r w:rsidRPr="005B0796">
        <w:t>(Kornfield et al., 2012)</w:t>
      </w:r>
      <w:r w:rsidRPr="005B0796">
        <w:fldChar w:fldCharType="end"/>
      </w:r>
      <w:r w:rsidRPr="005B0796">
        <w:t xml:space="preserve">. Hence the imperative of further analysing the potential clinical interventions for this group is substantial. The </w:t>
      </w:r>
      <w:r w:rsidR="00D33302" w:rsidRPr="005B0796">
        <w:rPr>
          <w:i/>
        </w:rPr>
        <w:t>Impact of Combat Study Report</w:t>
      </w:r>
      <w:r w:rsidRPr="005B0796">
        <w:rPr>
          <w:i/>
        </w:rPr>
        <w:t xml:space="preserve"> </w:t>
      </w:r>
      <w:r w:rsidRPr="005B0796">
        <w:t>will significantly inform this discussion.</w:t>
      </w:r>
    </w:p>
    <w:p w:rsidR="006866ED" w:rsidRPr="005B0796" w:rsidRDefault="006866ED" w:rsidP="00D33302">
      <w:r w:rsidRPr="005B0796">
        <w:t xml:space="preserve">Together these findings emphasise the importance of investigating the early stages of symptom development and how these relate to later disorder </w:t>
      </w:r>
      <w:r w:rsidRPr="005B0796">
        <w:fldChar w:fldCharType="begin"/>
      </w:r>
      <w:r w:rsidRPr="005B0796">
        <w:instrText xml:space="preserve"> ADDIN EN.CITE &lt;EndNote&gt;&lt;Cite&gt;&lt;Author&gt;McFarlane&lt;/Author&gt;&lt;Year&gt;2017&lt;/Year&gt;&lt;RecNum&gt;921&lt;/RecNum&gt;&lt;DisplayText&gt;(McFarlane et al., 2017)&lt;/DisplayText&gt;&lt;record&gt;&lt;rec-number&gt;921&lt;/rec-number&gt;&lt;foreign-keys&gt;&lt;key app="EN" db-id="arwdrezp9sdawxevtfyxtfw10exvr5exxfed" timestamp="1492997835"&gt;921&lt;/key&gt;&lt;/foreign-keys&gt;&lt;ref-type name="Journal Article"&gt;17&lt;/ref-type&gt;&lt;contributors&gt;&lt;authors&gt;&lt;author&gt;McFarlane, Alexander Cowell&lt;/author&gt;&lt;author&gt;Lawrence-Wood, Eleanor&lt;/author&gt;&lt;author&gt;Van Hooff, Miranda&lt;/author&gt;&lt;author&gt;Malhi, Gin S&lt;/author&gt;&lt;author&gt;Yehuda, Rachel&lt;/author&gt;&lt;/authors&gt;&lt;/contributors&gt;&lt;titles&gt;&lt;title&gt;The Need to Take a Staging Approach to the Biological Mechanisms of PTSD and its Treatment&lt;/title&gt;&lt;secondary-title&gt;Current psychiatry reports&lt;/secondary-title&gt;&lt;/titles&gt;&lt;periodical&gt;&lt;full-title&gt;Curr Psychiatry Rep&lt;/full-title&gt;&lt;abbr-1&gt;Current psychiatry reports&lt;/abbr-1&gt;&lt;/periodical&gt;&lt;pages&gt;10&lt;/pages&gt;&lt;volume&gt;19&lt;/volume&gt;&lt;number&gt;2&lt;/number&gt;&lt;dates&gt;&lt;year&gt;2017&lt;/year&gt;&lt;/dates&gt;&lt;isbn&gt;1523-3812&lt;/isbn&gt;&lt;urls&gt;&lt;related-urls&gt;&lt;url&gt;http://download.springer.com/static/pdf/386/art%253A10.1007%252Fs11920-017-0761-2.pdf?originUrl=http%3A%2F%2Flink.springer.com%2Farticle%2F10.1007%2Fs11920-017-0761-2&amp;amp;token2=exp=1492999058~acl=%2Fstatic%2Fpdf%2F386%2Fart%25253A10.1007%25252Fs11920-017-0761-2.pdf%3ForiginUrl%3Dhttp%253A%252F%252Flink.springer.com%252Farticle%252F10.1007%252Fs11920-017-0761-2*~hmac=397b6d2578cbfa3ed4c01c2e70e1bcb429e720f25a47b8112308fcade7fda3a3&lt;/url&gt;&lt;/related-urls&gt;&lt;/urls&gt;&lt;/record&gt;&lt;/Cite&gt;&lt;/EndNote&gt;</w:instrText>
      </w:r>
      <w:r w:rsidRPr="005B0796">
        <w:fldChar w:fldCharType="separate"/>
      </w:r>
      <w:r w:rsidRPr="005B0796">
        <w:t>(McFarlane et al., 2017)</w:t>
      </w:r>
      <w:r w:rsidRPr="005B0796">
        <w:fldChar w:fldCharType="end"/>
      </w:r>
      <w:r w:rsidRPr="005B0796">
        <w:t>. These investigations may also provide important leads in the development of novel preventive interventions.</w:t>
      </w:r>
    </w:p>
    <w:p w:rsidR="006866ED" w:rsidRPr="005B0796" w:rsidRDefault="006866ED" w:rsidP="00D33302">
      <w:pPr>
        <w:pStyle w:val="Heading3"/>
      </w:pPr>
      <w:bookmarkStart w:id="1394" w:name="_Toc487011274"/>
      <w:bookmarkStart w:id="1395" w:name="_Toc493663169"/>
      <w:bookmarkStart w:id="1396" w:name="_Toc494449794"/>
      <w:bookmarkStart w:id="1397" w:name="_Toc511900376"/>
      <w:r w:rsidRPr="005B0796">
        <w:t>Alcohol usage</w:t>
      </w:r>
      <w:bookmarkEnd w:id="1394"/>
      <w:bookmarkEnd w:id="1395"/>
      <w:bookmarkEnd w:id="1396"/>
      <w:bookmarkEnd w:id="1397"/>
    </w:p>
    <w:p w:rsidR="006866ED" w:rsidRPr="005B0796" w:rsidRDefault="006866ED" w:rsidP="00D33302">
      <w:r w:rsidRPr="005B0796">
        <w:t>The self-report measure of alcohol use used within the ADF and in this study</w:t>
      </w:r>
      <w:r w:rsidR="00F31C78">
        <w:t xml:space="preserve"> –</w:t>
      </w:r>
      <w:r w:rsidRPr="005B0796">
        <w:t xml:space="preserve"> the AUDIT</w:t>
      </w:r>
      <w:r w:rsidR="00F31C78">
        <w:t xml:space="preserve"> –</w:t>
      </w:r>
      <w:r w:rsidRPr="005B0796">
        <w:t xml:space="preserve"> while providing a good indication of patterns of drinking behaviour, has low levels of sensitivity and specificity in predicting alcohol abuse and dependence. Hence interpretation of these data needs to be carefully considered in the context of the rates of diagnosable alcohol dependence and harmful use discussed earlier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w:t>
      </w:r>
    </w:p>
    <w:p w:rsidR="006866ED" w:rsidRPr="005B0796" w:rsidRDefault="006866ED" w:rsidP="00D33302">
      <w:pPr>
        <w:rPr>
          <w:lang w:eastAsia="en-AU"/>
        </w:rPr>
      </w:pPr>
      <w:r w:rsidRPr="005B0796">
        <w:t xml:space="preserve">Overall, self-reported alcohol use and problem drinking were significantly greater in the Transitioned ADF compared to the 2015 Regular ADF. However, rates significantly decreased in the Regular ADF from 2010 to 2015. </w:t>
      </w:r>
      <w:r w:rsidRPr="005B0796">
        <w:rPr>
          <w:lang w:eastAsia="en-AU"/>
        </w:rPr>
        <w:t xml:space="preserve">Compared to the 2015 Regular ADF, the Transitioned ADF reported significantly higher AUDIT total scores, more frequent drinking, and drinking more standard drinks on a typical day. They were also more likely to report a problem with drinking and to anticipate problems cutting down or stopping drinking if they tried, a pattern of drinking consistent with psychological dependence. Compared to the 2010 Regular ADF, the 2015 Regular ADF scored lower on the AUDIT, drank less frequently, consumed </w:t>
      </w:r>
      <w:r w:rsidR="00F31C78">
        <w:rPr>
          <w:lang w:eastAsia="en-AU"/>
        </w:rPr>
        <w:t>fewer</w:t>
      </w:r>
      <w:r w:rsidRPr="005B0796">
        <w:rPr>
          <w:lang w:eastAsia="en-AU"/>
        </w:rPr>
        <w:t xml:space="preserve"> drinks per occasion and anticipated less difficulty reducing their alcohol consumption in the next three months. </w:t>
      </w:r>
      <w:r w:rsidRPr="005B0796">
        <w:t xml:space="preserve">The positive finding of a decrease in rates from 2010 to 2015 supports the effectiveness of the ongoing alcohol intervention and prevention strategies employed by the ADF. The finding of increased rates in the Transitioned ADF may possibly reflect the loosening of institutional controls around alcohol consumption that exist during full-time military service. </w:t>
      </w:r>
    </w:p>
    <w:p w:rsidR="006866ED" w:rsidRPr="005B0796" w:rsidRDefault="006866ED" w:rsidP="00D33302">
      <w:r w:rsidRPr="005B0796">
        <w:t>A matter of concern was that 14.4% of the Transitioned ADF reported drinking an average of seven or more standard drinks on a typical day when consuming alcohol. This represents a pattern of harmful usage in terms of an individual</w:t>
      </w:r>
      <w:r w:rsidR="00462A0C" w:rsidRPr="005B0796">
        <w:t>’</w:t>
      </w:r>
      <w:r w:rsidRPr="005B0796">
        <w:t xml:space="preserve">s long-term health </w:t>
      </w:r>
      <w:r w:rsidRPr="005B0796">
        <w:fldChar w:fldCharType="begin"/>
      </w:r>
      <w:r w:rsidRPr="005B0796">
        <w:instrText xml:space="preserve"> ADDIN EN.CITE &lt;EndNote&gt;&lt;Cite&gt;&lt;Author&gt;Fuehrlein&lt;/Author&gt;&lt;Year&gt;2016&lt;/Year&gt;&lt;RecNum&gt;913&lt;/RecNum&gt;&lt;DisplayText&gt;(Fuehrlein et al., 2016)&lt;/DisplayText&gt;&lt;record&gt;&lt;rec-number&gt;913&lt;/rec-number&gt;&lt;foreign-keys&gt;&lt;key app="EN" db-id="arwdrezp9sdawxevtfyxtfw10exvr5exxfed" timestamp="1492995687"&gt;913&lt;/key&gt;&lt;/foreign-keys&gt;&lt;ref-type name="Journal Article"&gt;17&lt;/ref-type&gt;&lt;contributors&gt;&lt;authors&gt;&lt;author&gt;Fuehrlein, Brian S&lt;/author&gt;&lt;author&gt;Mota, Natalie&lt;/author&gt;&lt;author&gt;Arias, Albert J&lt;/author&gt;&lt;author&gt;Trevisan, Louis A&lt;/author&gt;&lt;author&gt;Kachadourian, Lorig K&lt;/author&gt;&lt;author&gt;Krystal, John H&lt;/author&gt;&lt;author&gt;Southwick, Steven M&lt;/author&gt;&lt;author&gt;Pietrzak, Robert H&lt;/author&gt;&lt;/authors&gt;&lt;/contributors&gt;&lt;titles&gt;&lt;title&gt;The burden of alcohol use disorders in US military veterans: results from the National Health and Resilience in Veterans Study&lt;/title&gt;&lt;secondary-title&gt;Addiction&lt;/secondary-title&gt;&lt;/titles&gt;&lt;periodical&gt;&lt;full-title&gt;Addiction&lt;/full-title&gt;&lt;abbr-1&gt;Addiction&lt;/abbr-1&gt;&lt;/periodical&gt;&lt;pages&gt;1786-1794&lt;/pages&gt;&lt;volume&gt;111&lt;/volume&gt;&lt;number&gt;10&lt;/number&gt;&lt;dates&gt;&lt;year&gt;2016&lt;/year&gt;&lt;/dates&gt;&lt;isbn&gt;1360-0443&lt;/isbn&gt;&lt;urls&gt;&lt;related-urls&gt;&lt;url&gt;http://onlinelibrary.wiley.com/store/10.1111/add.13423/asset/add13423.pdf?v=1&amp;amp;t=j1ym7k44&amp;amp;s=48f8dc70e551af81cc7dcd7efd5ccf23af9955bb&lt;/url&gt;&lt;/related-urls&gt;&lt;/urls&gt;&lt;/record&gt;&lt;/Cite&gt;&lt;/EndNote&gt;</w:instrText>
      </w:r>
      <w:r w:rsidRPr="005B0796">
        <w:fldChar w:fldCharType="separate"/>
      </w:r>
      <w:r w:rsidRPr="005B0796">
        <w:t>(Fuehrlein et al., 2016)</w:t>
      </w:r>
      <w:r w:rsidRPr="005B0796">
        <w:fldChar w:fldCharType="end"/>
      </w:r>
      <w:r w:rsidRPr="005B0796">
        <w:t xml:space="preserve">. The pattern of problematic alcohol use also became more prevalent with increasing disengagement from Defence, with Ex-Serving members reporting the most problems and higher usage, and Active Reservists reporting the least. Time since transition on the other hand appeared to have little impact on alcohol usage patterns. Combined with the patterns of use among Active Reservists, this suggests a more general overall pattern of change in alcohol consumption once an individual leaves the ADF community. </w:t>
      </w:r>
    </w:p>
    <w:p w:rsidR="006866ED" w:rsidRPr="005B0796" w:rsidRDefault="006866ED" w:rsidP="00D33302">
      <w:r w:rsidRPr="005B0796">
        <w:t xml:space="preserve">An important question that has not been examined in this study is the relationship between ongoing trauma exposure and patterns of alcohol consumption. This is a matter of particular importance, due to the known relationship between the consumption of alcohol and posttraumatic stress symptoms </w:t>
      </w:r>
      <w:r w:rsidRPr="005B0796">
        <w:fldChar w:fldCharType="begin"/>
      </w:r>
      <w:r w:rsidRPr="005B0796">
        <w:instrText xml:space="preserve"> ADDIN EN.CITE &lt;EndNote&gt;&lt;Cite&gt;&lt;Author&gt;Boscarino&lt;/Author&gt;&lt;Year&gt;2011&lt;/Year&gt;&lt;RecNum&gt;935&lt;/RecNum&gt;&lt;DisplayText&gt;(Boscarino et al., 2011)&lt;/DisplayText&gt;&lt;record&gt;&lt;rec-number&gt;935&lt;/rec-number&gt;&lt;foreign-keys&gt;&lt;key app="EN" db-id="arwdrezp9sdawxevtfyxtfw10exvr5exxfed" timestamp="1493000164"&gt;935&lt;/key&gt;&lt;/foreign-keys&gt;&lt;ref-type name="Journal Article"&gt;17&lt;/ref-type&gt;&lt;contributors&gt;&lt;authors&gt;&lt;author&gt;Boscarino, Joseph A&lt;/author&gt;&lt;author&gt;Kirchner, H Lester&lt;/author&gt;&lt;author&gt;Hoffman, Stuart N&lt;/author&gt;&lt;author&gt;Sartorius, Jennifer&lt;/author&gt;&lt;author&gt;Adams, Richard E&lt;/author&gt;&lt;/authors&gt;&lt;/contributors&gt;&lt;titles&gt;&lt;title&gt;PTSD and alcohol use after the World Trade Center attacks: a longitudinal study&lt;/title&gt;&lt;secondary-title&gt;Journal of traumatic stress&lt;/secondary-title&gt;&lt;/titles&gt;&lt;periodical&gt;&lt;full-title&gt;Journal of Traumatic Stress&lt;/full-title&gt;&lt;/periodical&gt;&lt;pages&gt;515-525&lt;/pages&gt;&lt;volume&gt;24&lt;/volume&gt;&lt;number&gt;5&lt;/number&gt;&lt;dates&gt;&lt;year&gt;2011&lt;/year&gt;&lt;/dates&gt;&lt;isbn&gt;1573-6598&lt;/isbn&gt;&lt;urls&gt;&lt;related-urls&gt;&lt;url&gt;http://onlinelibrary.wiley.com/store/10.1002/jts.20673/asset/20673_ftp.pdf?v=1&amp;amp;t=j1ylm3nd&amp;amp;s=c5e3adf7d3e73be3a813fd05676372065cc46122&lt;/url&gt;&lt;/related-urls&gt;&lt;/urls&gt;&lt;/record&gt;&lt;/Cite&gt;&lt;/EndNote&gt;</w:instrText>
      </w:r>
      <w:r w:rsidRPr="005B0796">
        <w:fldChar w:fldCharType="separate"/>
      </w:r>
      <w:r w:rsidRPr="005B0796">
        <w:t>(Boscarino et al., 2011)</w:t>
      </w:r>
      <w:r w:rsidRPr="005B0796">
        <w:fldChar w:fldCharType="end"/>
      </w:r>
      <w:r w:rsidRPr="005B0796">
        <w:t>. The literature generally supports</w:t>
      </w:r>
      <w:r w:rsidRPr="005B0796">
        <w:rPr>
          <w:i/>
        </w:rPr>
        <w:t xml:space="preserve"> </w:t>
      </w:r>
      <w:r w:rsidRPr="005B0796">
        <w:t>a self-medication model with elevated PTSD symptoms predictive of greater alcohol use</w:t>
      </w:r>
      <w:r w:rsidRPr="005B0796">
        <w:rPr>
          <w:i/>
        </w:rPr>
        <w:t xml:space="preserve"> </w:t>
      </w:r>
      <w:r w:rsidRPr="005B0796">
        <w:fldChar w:fldCharType="begin"/>
      </w:r>
      <w:r w:rsidRPr="005B0796">
        <w:instrText xml:space="preserve"> ADDIN EN.CITE &lt;EndNote&gt;&lt;Cite&gt;&lt;Author&gt;Haller&lt;/Author&gt;&lt;Year&gt;2014&lt;/Year&gt;&lt;RecNum&gt;937&lt;/RecNum&gt;&lt;DisplayText&gt;(Haller &amp;amp; Chassin, 2014; Simpson et al., 2014)&lt;/DisplayText&gt;&lt;record&gt;&lt;rec-number&gt;937&lt;/rec-number&gt;&lt;foreign-keys&gt;&lt;key app="EN" db-id="arwdrezp9sdawxevtfyxtfw10exvr5exxfed" timestamp="1493000392"&gt;937&lt;/key&gt;&lt;/foreign-keys&gt;&lt;ref-type name="Journal Article"&gt;17&lt;/ref-type&gt;&lt;contributors&gt;&lt;authors&gt;&lt;author&gt;Haller, Moira&lt;/author&gt;&lt;author&gt;Chassin, Laurie&lt;/author&gt;&lt;/authors&gt;&lt;/contributors&gt;&lt;titles&gt;&lt;title&gt;Risk pathways among traumatic stress, posttraumatic stress disorder symptoms, and alcohol and drug problems: A test of four hypotheses&lt;/title&gt;&lt;secondary-title&gt;Psychology of Addictive Behaviors&lt;/secondary-title&gt;&lt;/titles&gt;&lt;periodical&gt;&lt;full-title&gt;Psychology of Addictive Behaviors&lt;/full-title&gt;&lt;/periodical&gt;&lt;pages&gt;841-851.&lt;/pages&gt;&lt;volume&gt;28&lt;/volume&gt;&lt;number&gt;3&lt;/number&gt;&lt;dates&gt;&lt;year&gt;2014&lt;/year&gt;&lt;/dates&gt;&lt;isbn&gt;1939-1501&lt;/isbn&gt;&lt;urls&gt;&lt;related-urls&gt;&lt;url&gt;http://ovidsp.tx.ovid.com/ovftpdfs/FPDDNCLBPGPGFG00/fs047/ovft/live/gv024/00011970/00011970-201409000-00022.pdf&lt;/url&gt;&lt;/related-urls&gt;&lt;/urls&gt;&lt;/record&gt;&lt;/Cite&gt;&lt;Cite&gt;&lt;Author&gt;Simpson&lt;/Author&gt;&lt;Year&gt;2014&lt;/Year&gt;&lt;RecNum&gt;936&lt;/RecNum&gt;&lt;record&gt;&lt;rec-number&gt;936&lt;/rec-number&gt;&lt;foreign-keys&gt;&lt;key app="EN" db-id="arwdrezp9sdawxevtfyxtfw10exvr5exxfed" timestamp="1493000270"&gt;936&lt;/key&gt;&lt;/foreign-keys&gt;&lt;ref-type name="Journal Article"&gt;17&lt;/ref-type&gt;&lt;contributors&gt;&lt;authors&gt;&lt;author&gt;Simpson, Tracy L&lt;/author&gt;&lt;author&gt;Stappenbeck, Cynthia A&lt;/author&gt;&lt;author&gt;Luterek, Jane A&lt;/author&gt;&lt;author&gt;Lehavot, Keren&lt;/author&gt;&lt;author&gt;Kaysen, Debra L&lt;/author&gt;&lt;/authors&gt;&lt;/contributors&gt;&lt;titles&gt;&lt;title&gt;Drinking motives moderate daily relationships between PTSD symptoms and alcohol use&lt;/title&gt;&lt;secondary-title&gt;Journal of abnormal psychology&lt;/secondary-title&gt;&lt;/titles&gt;&lt;periodical&gt;&lt;full-title&gt;Journal of abnormal psychology&lt;/full-title&gt;&lt;/periodical&gt;&lt;pages&gt;237&lt;/pages&gt;&lt;volume&gt;123&lt;/volume&gt;&lt;number&gt;1&lt;/number&gt;&lt;dates&gt;&lt;year&gt;2014&lt;/year&gt;&lt;/dates&gt;&lt;isbn&gt;1939-1846&lt;/isbn&gt;&lt;urls&gt;&lt;/urls&gt;&lt;/record&gt;&lt;/Cite&gt;&lt;/EndNote&gt;</w:instrText>
      </w:r>
      <w:r w:rsidRPr="005B0796">
        <w:fldChar w:fldCharType="separate"/>
      </w:r>
      <w:r w:rsidRPr="005B0796">
        <w:t>(Haller &amp; Chassin, 2014; Simpson et al., 2014)</w:t>
      </w:r>
      <w:r w:rsidRPr="005B0796">
        <w:fldChar w:fldCharType="end"/>
      </w:r>
      <w:r w:rsidR="00F31C78">
        <w:t>;</w:t>
      </w:r>
      <w:r w:rsidRPr="005B0796">
        <w:t xml:space="preserve"> however</w:t>
      </w:r>
      <w:r w:rsidR="00F31C78">
        <w:t>,</w:t>
      </w:r>
      <w:r w:rsidRPr="005B0796">
        <w:t xml:space="preserve"> there is also the need to consider the potential bi-directional relationship between psychological symptoms and alcohol consumption with some evidence that excessive regular consumption of alcohol could impact on psychological symptoms </w:t>
      </w:r>
      <w:r w:rsidRPr="005B0796">
        <w:fldChar w:fldCharType="begin">
          <w:fldData xml:space="preserve">PEVuZE5vdGU+PENpdGU+PEF1dGhvcj5SdW1wZjwvQXV0aG9yPjxZZWFyPjIwMDI8L1llYXI+PFJl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</w:fldData>
        </w:fldChar>
      </w:r>
      <w:r w:rsidRPr="005B0796">
        <w:instrText xml:space="preserve"> ADDIN EN.CITE </w:instrText>
      </w:r>
      <w:r w:rsidRPr="005B0796">
        <w:fldChar w:fldCharType="begin">
          <w:fldData xml:space="preserve">PEVuZE5vdGU+PENpdGU+PEF1dGhvcj5SdW1wZjwvQXV0aG9yPjxZZWFyPjIwMDI8L1llYXI+PFJl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</w:fldData>
        </w:fldChar>
      </w:r>
      <w:r w:rsidRPr="005B0796">
        <w:instrText xml:space="preserve"> ADDIN EN.CITE.DATA </w:instrText>
      </w:r>
      <w:r w:rsidRPr="005B0796">
        <w:fldChar w:fldCharType="end"/>
      </w:r>
      <w:r w:rsidRPr="005B0796">
        <w:fldChar w:fldCharType="separate"/>
      </w:r>
      <w:r w:rsidRPr="005B0796">
        <w:t>(Rumpf et al., 2002; Saunders et al., 1993)</w:t>
      </w:r>
      <w:r w:rsidRPr="005B0796">
        <w:fldChar w:fldCharType="end"/>
      </w:r>
      <w:r w:rsidRPr="005B0796">
        <w:t>.</w:t>
      </w:r>
    </w:p>
    <w:p w:rsidR="006866ED" w:rsidRPr="005B0796" w:rsidRDefault="006866ED" w:rsidP="00D33302">
      <w:pPr>
        <w:pStyle w:val="Heading3"/>
        <w:rPr>
          <w:rFonts w:cs="Times New Roman"/>
        </w:rPr>
      </w:pPr>
      <w:bookmarkStart w:id="1398" w:name="_Toc487011275"/>
      <w:bookmarkStart w:id="1399" w:name="_Toc493663170"/>
      <w:bookmarkStart w:id="1400" w:name="_Toc494449795"/>
      <w:bookmarkStart w:id="1401" w:name="_Toc511900377"/>
      <w:r w:rsidRPr="005B0796">
        <w:t>Depressive symptoms</w:t>
      </w:r>
      <w:bookmarkEnd w:id="1398"/>
      <w:bookmarkEnd w:id="1399"/>
      <w:bookmarkEnd w:id="1400"/>
      <w:bookmarkEnd w:id="1401"/>
    </w:p>
    <w:p w:rsidR="006866ED" w:rsidRPr="005B0796" w:rsidRDefault="006866ED" w:rsidP="00F31C78">
      <w:pPr>
        <w:keepLines/>
      </w:pPr>
      <w:r w:rsidRPr="005B0796">
        <w:t>The prevalence of sub</w:t>
      </w:r>
      <w:r w:rsidR="00520FC8" w:rsidRPr="005B0796">
        <w:t>-</w:t>
      </w:r>
      <w:r w:rsidRPr="005B0796">
        <w:t xml:space="preserve">syndromal and diagnosable depressive disorder are important to consider in this population. The severity of self-reported depressive symptoms, as measured by the </w:t>
      </w:r>
      <w:r w:rsidRPr="005B0796">
        <w:rPr>
          <w:szCs w:val="22"/>
        </w:rPr>
        <w:t>Patient Health Questionnaire-9 (</w:t>
      </w:r>
      <w:r w:rsidRPr="005B0796">
        <w:t>PHQ-9), were elevated in the Transitioned ADF, with nearly one in five reporting moderately severe to severe depressive symptoms. A further 11.1% of the Transitioned ADF had symptoms of depression in the moderate range, highlighting the prevalence of subthreshold depression</w:t>
      </w:r>
      <w:r w:rsidR="00F31C78">
        <w:t>,</w:t>
      </w:r>
      <w:r w:rsidRPr="005B0796">
        <w:t xml:space="preserve"> which is a significant risk in terms of future morbidity (Pine et al., 1999). In contrast, the 2015 Regular ADF reported a significantly lower severity of depressive symptoms. As with posttraumatic stress symptoms and symptoms of psychological distress, this further underscores the role that symptoms may play in influencing the decision to leave the military, as well as the impact of transition on mood more generally. </w:t>
      </w:r>
    </w:p>
    <w:p w:rsidR="006866ED" w:rsidRPr="005B0796" w:rsidRDefault="006866ED" w:rsidP="00D33302">
      <w:pPr>
        <w:rPr>
          <w:lang w:eastAsia="en-AU"/>
        </w:rPr>
      </w:pPr>
      <w:r w:rsidRPr="005B0796">
        <w:rPr>
          <w:lang w:eastAsia="en-AU"/>
        </w:rPr>
        <w:t xml:space="preserve">The 2015 Regular ADF sample reported significantly higher depressive symptoms compared to the 2010 Regular ADF sample. </w:t>
      </w:r>
      <w:r w:rsidRPr="005B0796">
        <w:t xml:space="preserve">In the context of Regular ADF service, these symptoms are of concern because of their impact on the functioning of the work force </w:t>
      </w:r>
      <w:r w:rsidRPr="005B0796">
        <w:fldChar w:fldCharType="begin"/>
      </w:r>
      <w:r w:rsidRPr="005B0796">
        <w:instrText xml:space="preserve"> ADDIN EN.CITE &lt;EndNote&gt;&lt;Cite&gt;&lt;Author&gt;Wang&lt;/Author&gt;&lt;Year&gt;2007&lt;/Year&gt;&lt;RecNum&gt;939&lt;/RecNum&gt;&lt;DisplayText&gt;(Wang et al., 2007)&lt;/DisplayText&gt;&lt;record&gt;&lt;rec-number&gt;939&lt;/rec-number&gt;&lt;foreign-keys&gt;&lt;key app="EN" db-id="arwdrezp9sdawxevtfyxtfw10exvr5exxfed" timestamp="1493000650"&gt;939&lt;/key&gt;&lt;/foreign-keys&gt;&lt;ref-type name="Journal Article"&gt;17&lt;/ref-type&gt;&lt;contributors&gt;&lt;authors&gt;&lt;author&gt;Wang, Philip S&lt;/author&gt;&lt;author&gt;Simon, Gregory E&lt;/author&gt;&lt;author&gt;Avorn, Jerry&lt;/author&gt;&lt;author&gt;Azocar, Francisca&lt;/author&gt;&lt;author&gt;Ludman, Evette J&lt;/author&gt;&lt;author&gt;McCulloch, Joyce&lt;/author&gt;&lt;author&gt;Petukhova, Maria Z&lt;/author&gt;&lt;author&gt;Kessler, Ronald C&lt;/author&gt;&lt;/authors&gt;&lt;/contributors&gt;&lt;titles&gt;&lt;title&gt;Telephone screening, outreach, and care management for depressed workers and impact on clinical and work productivity outcomes: a randomized controlled trial&lt;/title&gt;&lt;secondary-title&gt;Jama&lt;/secondary-title&gt;&lt;/titles&gt;&lt;periodical&gt;&lt;full-title&gt;JAMA&lt;/full-title&gt;&lt;abbr-1&gt;Jama&lt;/abbr-1&gt;&lt;/periodical&gt;&lt;pages&gt;1401-1411&lt;/pages&gt;&lt;volume&gt;298&lt;/volume&gt;&lt;number&gt;12&lt;/number&gt;&lt;dates&gt;&lt;year&gt;2007&lt;/year&gt;&lt;/dates&gt;&lt;isbn&gt;0098-7484&lt;/isbn&gt;&lt;urls&gt;&lt;/urls&gt;&lt;/record&gt;&lt;/Cite&gt;&lt;/EndNote&gt;</w:instrText>
      </w:r>
      <w:r w:rsidRPr="005B0796">
        <w:fldChar w:fldCharType="separate"/>
      </w:r>
      <w:r w:rsidRPr="005B0796">
        <w:t>(Wang et al., 2007)</w:t>
      </w:r>
      <w:r w:rsidRPr="005B0796">
        <w:fldChar w:fldCharType="end"/>
      </w:r>
      <w:r w:rsidRPr="005B0796">
        <w:t>. The risk factors for the observed higher rates of depressive symptoms among the 2015 Regular ADF should be further investigated, including the potential impacts of deployments, morale and other employment</w:t>
      </w:r>
      <w:r w:rsidR="00F31C78">
        <w:t>-</w:t>
      </w:r>
      <w:r w:rsidRPr="005B0796">
        <w:t>related stressors. This would assist in framing preventive interventions for the future.</w:t>
      </w:r>
    </w:p>
    <w:p w:rsidR="006866ED" w:rsidRPr="005B0796" w:rsidRDefault="006866ED" w:rsidP="00D33302">
      <w:r w:rsidRPr="005B0796">
        <w:t>The pattern of symptoms observed in this study also highlights the risk of disengagement with the ADF, with the Ex-Serving Transitioned ADF having more than three times the risk of being in the moderately severe and severe symptom range compared with the Inactive and Active Reservists. It is possible that this reflects an increasing loss of self-esteem, sense of worthlessness and sense of loss among those no longer directly linked to the military (Denneson et al., 2015; Forces in Mind Trust, 2013; Forces in Mind Trust, 2015; Pease et al., 2016). Although not statistically significant, there appeared to be a trend for depressive symptoms to emerge after the first year following transition from full-time service. In combination with the patterns of emerging diagnosable disorder, and other symptoms, this would suggest the importance of following up members into the second year after discharge from military service as this appears to be a point of particular risk for the emergence of increasing distress and disorder across multiple domains. More generally, the rates of depression and depressive symptoms observed among the Transitioned ADF raise important questions about the adequacy of care provided, including targeted antidepressant usage, and adequately addressing treatment non-response (Jha et al., 2017). The association between depressive symptoms and suicidal ideation should also be further examined because of the well</w:t>
      </w:r>
      <w:r w:rsidRPr="005B0796">
        <w:noBreakHyphen/>
        <w:t xml:space="preserve">recognised relationship between affective disorder and suicide risk (Beautrais et al., 1996). </w:t>
      </w:r>
    </w:p>
    <w:p w:rsidR="006866ED" w:rsidRPr="005B0796" w:rsidRDefault="006866ED" w:rsidP="00D33302">
      <w:pPr>
        <w:pStyle w:val="Heading3"/>
      </w:pPr>
      <w:bookmarkStart w:id="1402" w:name="_Toc487011276"/>
      <w:bookmarkStart w:id="1403" w:name="_Toc493663171"/>
      <w:bookmarkStart w:id="1404" w:name="_Toc494449796"/>
      <w:bookmarkStart w:id="1405" w:name="_Toc511900378"/>
      <w:r w:rsidRPr="005B0796">
        <w:t>Anger symptoms</w:t>
      </w:r>
      <w:bookmarkEnd w:id="1402"/>
      <w:bookmarkEnd w:id="1403"/>
      <w:bookmarkEnd w:id="1404"/>
      <w:bookmarkEnd w:id="1405"/>
    </w:p>
    <w:p w:rsidR="006866ED" w:rsidRPr="005B0796" w:rsidRDefault="006866ED" w:rsidP="00D33302">
      <w:r w:rsidRPr="005B0796">
        <w:t>Self-reported anger was measured in this study for a range of reasons, notably because it is an important symptom of PTSD. In particular</w:t>
      </w:r>
      <w:r w:rsidR="00F31C78">
        <w:t>,</w:t>
      </w:r>
      <w:r w:rsidRPr="005B0796">
        <w:t xml:space="preserve"> the associated impairments and impacts on interpersonal relationships and social functioning in relation to anger are significant.</w:t>
      </w:r>
    </w:p>
    <w:p w:rsidR="006866ED" w:rsidRPr="005B0796" w:rsidRDefault="006866ED" w:rsidP="00D33302">
      <w:pPr>
        <w:rPr>
          <w:lang w:eastAsia="en-AU"/>
        </w:rPr>
      </w:pPr>
      <w:r w:rsidRPr="005B0796">
        <w:t>Overall, self-reported anger followed the same patterns as for other psychological symptoms and for diagnosable mental disorder</w:t>
      </w:r>
      <w:r w:rsidR="00F31C78">
        <w:t>,</w:t>
      </w:r>
      <w:r w:rsidRPr="005B0796">
        <w:t xml:space="preserve"> with </w:t>
      </w:r>
      <w:r w:rsidRPr="005B0796">
        <w:rPr>
          <w:lang w:eastAsia="en-AU"/>
        </w:rPr>
        <w:t xml:space="preserve">Transitioned ADF members reported significantly greater levels of anger than the 2015 Regular ADF. Similarly, </w:t>
      </w:r>
      <w:r w:rsidRPr="005B0796">
        <w:t>the rates of self-reported anger and its intensity above the screening cut-off observed in this study were substantially higher among the Ex-Serving Transitioned ADF in contrast to those remaining in the Inactive or Active Reserves. Furthermore, anger frequency, intensity</w:t>
      </w:r>
      <w:r w:rsidR="00F31C78">
        <w:t xml:space="preserve"> and</w:t>
      </w:r>
      <w:r w:rsidRPr="005B0796">
        <w:t xml:space="preserve"> duration</w:t>
      </w:r>
      <w:r w:rsidR="00F31C78">
        <w:t>,</w:t>
      </w:r>
      <w:r w:rsidRPr="005B0796">
        <w:t xml:space="preserve"> and antagonism towards others, as well as </w:t>
      </w:r>
      <w:r w:rsidR="00F31C78">
        <w:t xml:space="preserve">the </w:t>
      </w:r>
      <w:r w:rsidRPr="005B0796">
        <w:t>impacts of anger on social relationships, was significantly higher among the 2015 Regular ADF when compared to the 2010 Regular ADF.</w:t>
      </w:r>
    </w:p>
    <w:p w:rsidR="006866ED" w:rsidRPr="005B0796" w:rsidRDefault="006866ED" w:rsidP="00D33302">
      <w:r w:rsidRPr="005B0796">
        <w:t xml:space="preserve">Anger and hostility can be seen as a manifestation of PTSD </w:t>
      </w:r>
      <w:r w:rsidRPr="005B0796">
        <w:fldChar w:fldCharType="begin">
          <w:fldData xml:space="preserve">PEVuZE5vdGU+PENpdGU+PEF1dGhvcj5CYXJyZXR0PC9BdXRob3I+PFllYXI+MjAxMzwvWWVhcj48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</w:fldData>
        </w:fldChar>
      </w:r>
      <w:r w:rsidRPr="005B0796">
        <w:instrText xml:space="preserve"> ADDIN EN.CITE </w:instrText>
      </w:r>
      <w:r w:rsidRPr="005B0796">
        <w:fldChar w:fldCharType="begin">
          <w:fldData xml:space="preserve">PEVuZE5vdGU+PENpdGU+PEF1dGhvcj5CYXJyZXR0PC9BdXRob3I+PFllYXI+MjAxMzwvWWVhcj48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</w:fldData>
        </w:fldChar>
      </w:r>
      <w:r w:rsidRPr="005B0796">
        <w:instrText xml:space="preserve"> ADDIN EN.CITE.DATA </w:instrText>
      </w:r>
      <w:r w:rsidRPr="005B0796">
        <w:fldChar w:fldCharType="end"/>
      </w:r>
      <w:r w:rsidRPr="005B0796">
        <w:fldChar w:fldCharType="separate"/>
      </w:r>
      <w:r w:rsidRPr="005B0796">
        <w:t>(Barrett et al., 2013; Jakupcak et al., 2007)</w:t>
      </w:r>
      <w:r w:rsidRPr="005B0796">
        <w:fldChar w:fldCharType="end"/>
      </w:r>
      <w:r w:rsidR="00F31C78">
        <w:t>.</w:t>
      </w:r>
      <w:r w:rsidRPr="005B0796">
        <w:t xml:space="preserve"> Therefore, the role of PTSD and anxiety disorders need to be explored further as possible drivers of the levels of anger observed in the both the Transitioned ADF and the 2015 Regular ADF. It is important to also assess whether current treatment programs for Transitioned ADF members are adequately addressing the issue of aggression</w:t>
      </w:r>
      <w:r w:rsidR="00F31C78">
        <w:t>,</w:t>
      </w:r>
      <w:r w:rsidRPr="005B0796">
        <w:t xml:space="preserve"> which may not respond to more targeted interventions for PTSD </w:t>
      </w:r>
      <w:r w:rsidRPr="005B0796">
        <w:fldChar w:fldCharType="begin"/>
      </w:r>
      <w:r w:rsidRPr="005B0796">
        <w:instrText xml:space="preserve"> ADDIN EN.CITE &lt;EndNote&gt;&lt;Cite&gt;&lt;Author&gt;Rodenburg&lt;/Author&gt;&lt;Year&gt;2016&lt;/Year&gt;&lt;RecNum&gt;964&lt;/RecNum&gt;&lt;DisplayText&gt;(Rodenburg et al., 2016)&lt;/DisplayText&gt;&lt;record&gt;&lt;rec-number&gt;964&lt;/rec-number&gt;&lt;foreign-keys&gt;&lt;key app="EN" db-id="arwdrezp9sdawxevtfyxtfw10exvr5exxfed" timestamp="1493964298"&gt;964&lt;/key&gt;&lt;/foreign-keys&gt;&lt;ref-type name="Journal Article"&gt;17&lt;/ref-type&gt;&lt;contributors&gt;&lt;authors&gt;&lt;author&gt;Rodenburg, Jan&lt;/author&gt;&lt;author&gt;Heesink, Lieke&lt;/author&gt;&lt;author&gt;Drožđek, Boris&lt;/author&gt;&lt;/authors&gt;&lt;/contributors&gt;&lt;titles&gt;&lt;title&gt;PTSD, Anger, and Aggression: Epidemiology, Etiology and Clinical Practice&lt;/title&gt;&lt;secondary-title&gt;Comprehensive Guide to Post-Traumatic Stress Disorders&lt;/secondary-title&gt;&lt;/titles&gt;&lt;periodical&gt;&lt;full-title&gt;Comprehensive Guide to Post-Traumatic Stress Disorders&lt;/full-title&gt;&lt;/periodical&gt;&lt;pages&gt;739-758&lt;/pages&gt;&lt;dates&gt;&lt;year&gt;2016&lt;/year&gt;&lt;/dates&gt;&lt;isbn&gt;3319083589&lt;/isbn&gt;&lt;urls&gt;&lt;/urls&gt;&lt;/record&gt;&lt;/Cite&gt;&lt;/EndNote&gt;</w:instrText>
      </w:r>
      <w:r w:rsidRPr="005B0796">
        <w:fldChar w:fldCharType="separate"/>
      </w:r>
      <w:r w:rsidRPr="005B0796">
        <w:t>(Rodenburg et al., 2016)</w:t>
      </w:r>
      <w:r w:rsidRPr="005B0796">
        <w:fldChar w:fldCharType="end"/>
      </w:r>
      <w:r w:rsidRPr="005B0796">
        <w:t xml:space="preserve">. It is likely that as individuals become increasingly symptomatic, anger and reactivity become increasingly disruptive to their social functioning and intimate relationships </w:t>
      </w:r>
      <w:r w:rsidRPr="005B0796">
        <w:fldChar w:fldCharType="begin"/>
      </w:r>
      <w:r w:rsidRPr="005B0796">
        <w:instrText xml:space="preserve"> ADDIN EN.CITE &lt;EndNote&gt;&lt;Cite&gt;&lt;Author&gt;Meffert&lt;/Author&gt;&lt;Year&gt;2014&lt;/Year&gt;&lt;RecNum&gt;940&lt;/RecNum&gt;&lt;DisplayText&gt;(Meffert et al., 2014)&lt;/DisplayText&gt;&lt;record&gt;&lt;rec-number&gt;940&lt;/rec-number&gt;&lt;foreign-keys&gt;&lt;key app="EN" db-id="arwdrezp9sdawxevtfyxtfw10exvr5exxfed" timestamp="1493000759"&gt;940&lt;/key&gt;&lt;/foreign-keys&gt;&lt;ref-type name="Journal Article"&gt;17&lt;/ref-type&gt;&lt;contributors&gt;&lt;authors&gt;&lt;author&gt;Meffert, Susan M&lt;/author&gt;&lt;author&gt;Henn-Haase, Clare&lt;/author&gt;&lt;author&gt;Metzler, Thomas J&lt;/author&gt;&lt;author&gt;Qian, Meng&lt;/author&gt;&lt;author&gt;Best, Suzanne&lt;/author&gt;&lt;author&gt;Hirschfeld, Ayelet&lt;/author&gt;&lt;author&gt;McCaslin, Shannon&lt;/author&gt;&lt;author&gt;Inslicht, Sabra&lt;/author&gt;&lt;author&gt;Neylan, Thomas C&lt;/author&gt;&lt;author&gt;Marmar, Charles R&lt;/author&gt;&lt;/authors&gt;&lt;/contributors&gt;&lt;titles&gt;&lt;title&gt;Prospective study of police officer spouse/partners: a new pathway to secondary trauma and relationship violence?&lt;/title&gt;&lt;secondary-title&gt;PloS one&lt;/secondary-title&gt;&lt;/titles&gt;&lt;periodical&gt;&lt;full-title&gt;PLoS One&lt;/full-title&gt;&lt;abbr-1&gt;PloS one&lt;/abbr-1&gt;&lt;/periodical&gt;&lt;pages&gt;e100663&lt;/pages&gt;&lt;volume&gt;9&lt;/volume&gt;&lt;number&gt;7&lt;/number&gt;&lt;dates&gt;&lt;year&gt;2014&lt;/year&gt;&lt;/dates&gt;&lt;isbn&gt;1932-6203&lt;/isbn&gt;&lt;urls&gt;&lt;/urls&gt;&lt;/record&gt;&lt;/Cite&gt;&lt;/EndNote&gt;</w:instrText>
      </w:r>
      <w:r w:rsidRPr="005B0796">
        <w:fldChar w:fldCharType="separate"/>
      </w:r>
      <w:r w:rsidRPr="005B0796">
        <w:t>(Meffert et al., 2014)</w:t>
      </w:r>
      <w:r w:rsidRPr="005B0796">
        <w:fldChar w:fldCharType="end"/>
      </w:r>
      <w:r w:rsidRPr="005B0796">
        <w:t xml:space="preserve">. </w:t>
      </w:r>
    </w:p>
    <w:p w:rsidR="006866ED" w:rsidRPr="005B0796" w:rsidRDefault="006866ED" w:rsidP="00D33302">
      <w:r w:rsidRPr="005B0796">
        <w:t>This anger and reactivity may also be a potential cause of domestic violence and criminal assault. A further enquiry into the consequence of the high levels of anger in the Transitioned ADF is recommended. It is also important to identify the risk factors for increasing anger and the extent to which this is aggravated by a sense of social disenfranchisement and social isolation</w:t>
      </w:r>
      <w:r w:rsidR="00F31C78">
        <w:t>,</w:t>
      </w:r>
      <w:r w:rsidRPr="005B0796">
        <w:t xml:space="preserve"> which is often described by the veteran community </w:t>
      </w:r>
      <w:r w:rsidRPr="005B0796">
        <w:fldChar w:fldCharType="begin">
          <w:fldData xml:space="preserve">PEVuZE5vdGU+PENpdGU+PEF1dGhvcj5BZGxlcjwvQXV0aG9yPjxZZWFyPjIwMTE8L1llYXI+PFJl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PC9hbHQtcGVyaW9kaWNhbD48cGFnZXM+ZTAxMjg1OTk8L3BhZ2VzPjx2b2x1bWU+MTA8L3ZvbHVt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</w:fldData>
        </w:fldChar>
      </w:r>
      <w:r w:rsidRPr="005B0796">
        <w:instrText xml:space="preserve"> ADDIN EN.CITE </w:instrText>
      </w:r>
      <w:r w:rsidRPr="005B0796">
        <w:fldChar w:fldCharType="begin">
          <w:fldData xml:space="preserve">PEVuZE5vdGU+PENpdGU+PEF1dGhvcj5BZGxlcjwvQXV0aG9yPjxZZWFyPjIwMTE8L1llYXI+PFJl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PC9hbHQtcGVyaW9kaWNhbD48cGFnZXM+ZTAxMjg1OTk8L3BhZ2VzPjx2b2x1bWU+MTA8L3ZvbHVt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</w:fldData>
        </w:fldChar>
      </w:r>
      <w:r w:rsidRPr="005B0796">
        <w:instrText xml:space="preserve"> ADDIN EN.CITE.DATA </w:instrText>
      </w:r>
      <w:r w:rsidRPr="005B0796">
        <w:fldChar w:fldCharType="end"/>
      </w:r>
      <w:r w:rsidRPr="005B0796">
        <w:fldChar w:fldCharType="separate"/>
      </w:r>
      <w:r w:rsidRPr="005B0796">
        <w:t>(Adler et al., 2011; Ahern et al., 2015; Pedlar &amp; Thompson, 2016)</w:t>
      </w:r>
      <w:r w:rsidRPr="005B0796">
        <w:fldChar w:fldCharType="end"/>
      </w:r>
      <w:r w:rsidRPr="005B0796">
        <w:t xml:space="preserve">. A further possible risk factor is the nature of the exposures on deployment and how the related traumatic memories can drive a sense of vigilance in self-defensive aggression </w:t>
      </w:r>
      <w:r w:rsidRPr="005B0796">
        <w:fldChar w:fldCharType="begin"/>
      </w:r>
      <w:r w:rsidRPr="005B0796">
        <w:instrText xml:space="preserve"> ADDIN EN.CITE &lt;EndNote&gt;&lt;Cite&gt;&lt;Author&gt;Jakupcak&lt;/Author&gt;&lt;Year&gt;2007&lt;/Year&gt;&lt;RecNum&gt;941&lt;/RecNum&gt;&lt;DisplayText&gt;(Jakupcak et al., 2007)&lt;/DisplayText&gt;&lt;record&gt;&lt;rec-number&gt;941&lt;/rec-number&gt;&lt;foreign-keys&gt;&lt;key app="EN" db-id="arwdrezp9sdawxevtfyxtfw10exvr5exxfed" timestamp="1493000896"&gt;941&lt;/key&gt;&lt;/foreign-keys&gt;&lt;ref-type name="Journal Article"&gt;17&lt;/ref-type&gt;&lt;contributors&gt;&lt;authors&gt;&lt;author&gt;Jakupcak, Matthew&lt;/author&gt;&lt;author&gt;Conybeare, Daniel&lt;/author&gt;&lt;author&gt;Phelps, Lori&lt;/author&gt;&lt;author&gt;Hunt, Stephen&lt;/author&gt;&lt;author&gt;Holmes, Hollie A&lt;/author&gt;&lt;author&gt;Felker, Bradford&lt;/author&gt;&lt;author&gt;Klevens, Michele&lt;/author&gt;&lt;author&gt;McFall, Miles E&lt;/author&gt;&lt;/authors&gt;&lt;/contributors&gt;&lt;titles&gt;&lt;title&gt;Anger, hostility, and aggression among Iraq and Afghanistan war veterans reporting PTSD and subthreshold PTSD&lt;/title&gt;&lt;secondary-title&gt;Journal of traumatic stress&lt;/secondary-title&gt;&lt;/titles&gt;&lt;periodical&gt;&lt;full-title&gt;Journal of Traumatic Stress&lt;/full-title&gt;&lt;/periodical&gt;&lt;pages&gt;945-954&lt;/pages&gt;&lt;volume&gt;20&lt;/volume&gt;&lt;number&gt;6&lt;/number&gt;&lt;dates&gt;&lt;year&gt;2007&lt;/year&gt;&lt;/dates&gt;&lt;isbn&gt;1573-6598&lt;/isbn&gt;&lt;urls&gt;&lt;related-urls&gt;&lt;url&gt;http://onlinelibrary.wiley.com/store/10.1002/jts.20258/asset/20258_ftp.pdf?v=1&amp;amp;t=j1ymaw61&amp;amp;s=c8a11d59d2984a9c9c681e84e7bf829c2a10c9f6&lt;/url&gt;&lt;/related-urls&gt;&lt;/urls&gt;&lt;/record&gt;&lt;/Cite&gt;&lt;/EndNote&gt;</w:instrText>
      </w:r>
      <w:r w:rsidRPr="005B0796">
        <w:fldChar w:fldCharType="separate"/>
      </w:r>
      <w:r w:rsidRPr="005B0796">
        <w:t>(Jakupcak et al., 2007)</w:t>
      </w:r>
      <w:r w:rsidRPr="005B0796">
        <w:fldChar w:fldCharType="end"/>
      </w:r>
      <w:r w:rsidRPr="005B0796">
        <w:t xml:space="preserve">. Aggression can also be an emotion that is used to inhibit fear. </w:t>
      </w:r>
    </w:p>
    <w:p w:rsidR="006866ED" w:rsidRPr="005B0796" w:rsidRDefault="006866ED" w:rsidP="00D33302">
      <w:pPr>
        <w:pStyle w:val="Heading3"/>
      </w:pPr>
      <w:bookmarkStart w:id="1406" w:name="_Toc487011277"/>
      <w:bookmarkStart w:id="1407" w:name="_Toc493663172"/>
      <w:bookmarkStart w:id="1408" w:name="_Toc494449797"/>
      <w:bookmarkStart w:id="1409" w:name="_Toc511900379"/>
      <w:r w:rsidRPr="005B0796">
        <w:t>Suicidality</w:t>
      </w:r>
      <w:bookmarkEnd w:id="1406"/>
      <w:bookmarkEnd w:id="1407"/>
      <w:bookmarkEnd w:id="1408"/>
      <w:bookmarkEnd w:id="1409"/>
    </w:p>
    <w:p w:rsidR="006866ED" w:rsidRPr="005B0796" w:rsidRDefault="006866ED" w:rsidP="00D33302">
      <w:r w:rsidRPr="005B0796">
        <w:t>Due to the high level of community interest and concern</w:t>
      </w:r>
      <w:r w:rsidR="00F31C78">
        <w:t xml:space="preserve"> –</w:t>
      </w:r>
      <w:r w:rsidRPr="005B0796">
        <w:t xml:space="preserve"> for example reflected through the 2017 National Mental Health Commission </w:t>
      </w:r>
      <w:r w:rsidRPr="005B0796">
        <w:rPr>
          <w:i/>
        </w:rPr>
        <w:t>Review into the Suicide and Self-Harm Prevention Services Available to current and former serving ADF members and their families</w:t>
      </w:r>
      <w:r w:rsidRPr="005B0796">
        <w:t xml:space="preserve"> </w:t>
      </w:r>
      <w:r w:rsidR="00F31C78">
        <w:t xml:space="preserve">– </w:t>
      </w:r>
      <w:r w:rsidRPr="005B0796">
        <w:t xml:space="preserve">and the significance and risk of suicidality in the broader Australian Community, suicidality was examined in multiple chapters. Chapter 4 focused on the prevalence and risk factors for suicidality in the Transitioned ADF. In chapter 5, suicidality in the Transitioned ADF was compared with </w:t>
      </w:r>
      <w:r w:rsidR="00F31C78">
        <w:t xml:space="preserve">that experienced by </w:t>
      </w:r>
      <w:r w:rsidRPr="005B0796">
        <w:t xml:space="preserve">the 2015 and 2010 Regular ADF. </w:t>
      </w:r>
    </w:p>
    <w:p w:rsidR="006866ED" w:rsidRPr="005B0796" w:rsidRDefault="006866ED" w:rsidP="00D33302">
      <w:r w:rsidRPr="005B0796">
        <w:t>As previously stated, in relation to suicidal thoughts and behavio</w:t>
      </w:r>
      <w:r w:rsidR="00520FC8" w:rsidRPr="005B0796">
        <w:t>u</w:t>
      </w:r>
      <w:r w:rsidRPr="005B0796">
        <w:t>r, an estimated one in five of the Transitioned ADF reported some form of suicidal ideation, plans or attempts in the last 12 months. More than a quarter</w:t>
      </w:r>
      <w:r w:rsidR="00462A0C" w:rsidRPr="005B0796">
        <w:t xml:space="preserve"> </w:t>
      </w:r>
      <w:r w:rsidRPr="005B0796">
        <w:t>reported that they felt their life was not worth living and an estimated one in five reported they had felt so low that they thought about death by suicide. Further to this</w:t>
      </w:r>
      <w:r w:rsidR="00F31C78">
        <w:t>,</w:t>
      </w:r>
      <w:r w:rsidRPr="005B0796">
        <w:t xml:space="preserve"> an</w:t>
      </w:r>
      <w:r w:rsidR="00462A0C" w:rsidRPr="005B0796">
        <w:t xml:space="preserve"> </w:t>
      </w:r>
      <w:r w:rsidRPr="005B0796">
        <w:t>estimated 7.9% of the Transitioned ADF reported making a suicide plan and 2.0% reported trying to take their own life in the past 12 months. Ex-Serving Transitioned ADF members were at greatest risk, reporting significantly greater suicidality than Inactive or Active Reservists, and suicidality increased with the years since transition, peaking at three years post-transition.</w:t>
      </w:r>
    </w:p>
    <w:p w:rsidR="006866ED" w:rsidRPr="005B0796" w:rsidRDefault="006866ED" w:rsidP="00D33302">
      <w:pPr>
        <w:rPr>
          <w:lang w:eastAsia="en-AU"/>
        </w:rPr>
      </w:pPr>
      <w:r w:rsidRPr="005B0796">
        <w:rPr>
          <w:lang w:eastAsia="en-AU"/>
        </w:rPr>
        <w:t xml:space="preserve">The Transitioned ADF were significantly more likely to report suicidal ideation, plans and attempts than the 2015 Regular ADF. This is </w:t>
      </w:r>
      <w:r w:rsidRPr="005B0796">
        <w:t xml:space="preserve">consistent with the </w:t>
      </w:r>
      <w:r w:rsidR="00F31C78">
        <w:t>2016</w:t>
      </w:r>
      <w:r w:rsidRPr="005B0796">
        <w:t xml:space="preserve"> AIHW report into the incidence of suicide among serving and Ex-Serving ADF members</w:t>
      </w:r>
      <w:r w:rsidR="00F31C78">
        <w:t>,</w:t>
      </w:r>
      <w:r w:rsidRPr="005B0796">
        <w:t xml:space="preserve"> which found rates of completed suicide were lower than the general population among those still serving in the ADF (Regular and Reserve) but higher in those who were Ex-Serving. The consistency of the self-reported suicidality observed in the current study with data regarding completed suicide is of high importance, as it strongly indicates that the Ex-Serving Transitioned ADF are at increased risk of suicidal ideation escalating to suicidal behaviour. </w:t>
      </w:r>
    </w:p>
    <w:p w:rsidR="006866ED" w:rsidRPr="005B0796" w:rsidRDefault="006866ED" w:rsidP="00D33302">
      <w:r w:rsidRPr="005B0796">
        <w:t xml:space="preserve">In keeping with the elevated levels of psychological distress, posttraumatic stress symptoms, depressive symptoms and anger, </w:t>
      </w:r>
      <w:r w:rsidRPr="005B0796">
        <w:rPr>
          <w:lang w:eastAsia="en-AU"/>
        </w:rPr>
        <w:t xml:space="preserve">the 2015 Regular ADF sample were significantly more likely to report suicidal ideation than the 2010 Regular ADF cohort. </w:t>
      </w:r>
      <w:r w:rsidR="00F31C78" w:rsidRPr="005B0796">
        <w:rPr>
          <w:lang w:eastAsia="en-AU"/>
        </w:rPr>
        <w:t>However</w:t>
      </w:r>
      <w:r w:rsidR="00F31C78">
        <w:rPr>
          <w:lang w:eastAsia="en-AU"/>
        </w:rPr>
        <w:t>,</w:t>
      </w:r>
      <w:r w:rsidR="00F31C78" w:rsidRPr="005B0796">
        <w:rPr>
          <w:lang w:eastAsia="en-AU"/>
        </w:rPr>
        <w:t xml:space="preserve"> </w:t>
      </w:r>
      <w:r w:rsidR="00F31C78">
        <w:rPr>
          <w:lang w:eastAsia="en-AU"/>
        </w:rPr>
        <w:t>t</w:t>
      </w:r>
      <w:r w:rsidRPr="005B0796">
        <w:rPr>
          <w:lang w:eastAsia="en-AU"/>
        </w:rPr>
        <w:t xml:space="preserve">his pattern did not apply to plans and attempts. The higher rates of suicidal ideation in the 2015 Regular ADF </w:t>
      </w:r>
      <w:r w:rsidRPr="005B0796">
        <w:t xml:space="preserve">may be indicative of substantial ongoing consequences of the high operational deployment tempo of the last decade. </w:t>
      </w:r>
    </w:p>
    <w:p w:rsidR="006866ED" w:rsidRPr="005B0796" w:rsidRDefault="006866ED" w:rsidP="00D33302">
      <w:pPr>
        <w:rPr>
          <w:lang w:eastAsia="en-AU"/>
        </w:rPr>
      </w:pPr>
      <w:r w:rsidRPr="005B0796">
        <w:t>The impact of specific trauma exposures during military service, including on deployment, as against pre-military risk factors of suicidality among the Regular ADF and Transitioned ADF needs further detailed investigation.</w:t>
      </w:r>
    </w:p>
    <w:p w:rsidR="006866ED" w:rsidRPr="005B0796" w:rsidRDefault="006866ED" w:rsidP="00D33302">
      <w:r w:rsidRPr="005B0796">
        <w:t xml:space="preserve">Mental disorder is a known significant risk factor for suicidal ideation and completed suicide </w:t>
      </w:r>
      <w:r w:rsidRPr="005B0796">
        <w:fldChar w:fldCharType="begin">
          <w:fldData xml:space="preserve">PEVuZE5vdGU+PENpdGU+PEF1dGhvcj5CZWF1dHJhaXM8L0F1dGhvcj48WWVhcj4xOTk2PC9ZZWFy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</w:fldData>
        </w:fldChar>
      </w:r>
      <w:r w:rsidRPr="005B0796">
        <w:instrText xml:space="preserve"> ADDIN EN.CITE </w:instrText>
      </w:r>
      <w:r w:rsidRPr="005B0796">
        <w:fldChar w:fldCharType="begin">
          <w:fldData xml:space="preserve">PEVuZE5vdGU+PENpdGU+PEF1dGhvcj5CZWF1dHJhaXM8L0F1dGhvcj48WWVhcj4xOTk2PC9ZZWFy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</w:fldData>
        </w:fldChar>
      </w:r>
      <w:r w:rsidRPr="005B0796">
        <w:instrText xml:space="preserve"> ADDIN EN.CITE.DATA </w:instrText>
      </w:r>
      <w:r w:rsidRPr="005B0796">
        <w:fldChar w:fldCharType="end"/>
      </w:r>
      <w:r w:rsidRPr="005B0796">
        <w:fldChar w:fldCharType="separate"/>
      </w:r>
      <w:r w:rsidRPr="005B0796">
        <w:t>(Beautrais et al., 1996)</w:t>
      </w:r>
      <w:r w:rsidRPr="005B0796">
        <w:fldChar w:fldCharType="end"/>
      </w:r>
      <w:r w:rsidRPr="005B0796">
        <w:t xml:space="preserve">. Furthermore, exposure to death and suffering, cumulative trauma exposure </w:t>
      </w:r>
      <w:r w:rsidRPr="005B0796">
        <w:fldChar w:fldCharType="begin">
          <w:fldData xml:space="preserve">PEVuZE5vdGU+PENpdGU+PEF1dGhvcj5MZUJvdXRoaWxsaWVyPC9BdXRob3I+PFllYXI+MjAxNTwv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</w:fldData>
        </w:fldChar>
      </w:r>
      <w:r w:rsidRPr="005B0796">
        <w:instrText xml:space="preserve"> ADDIN EN.CITE </w:instrText>
      </w:r>
      <w:r w:rsidRPr="005B0796">
        <w:fldChar w:fldCharType="begin">
          <w:fldData xml:space="preserve">PEVuZE5vdGU+PENpdGU+PEF1dGhvcj5MZUJvdXRoaWxsaWVyPC9BdXRob3I+PFllYXI+MjAxNTwv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</w:fldData>
        </w:fldChar>
      </w:r>
      <w:r w:rsidRPr="005B0796">
        <w:instrText xml:space="preserve"> ADDIN EN.CITE.DATA </w:instrText>
      </w:r>
      <w:r w:rsidRPr="005B0796">
        <w:fldChar w:fldCharType="end"/>
      </w:r>
      <w:r w:rsidRPr="005B0796">
        <w:fldChar w:fldCharType="separate"/>
      </w:r>
      <w:r w:rsidRPr="005B0796">
        <w:t>(LeBouthillier et al., 2015; Stanley et al., 2015)</w:t>
      </w:r>
      <w:r w:rsidRPr="005B0796">
        <w:fldChar w:fldCharType="end"/>
      </w:r>
      <w:r w:rsidRPr="005B0796">
        <w:t xml:space="preserve"> and PTSD convey further risk </w:t>
      </w:r>
      <w:r w:rsidRPr="005B0796">
        <w:fldChar w:fldCharType="begin">
          <w:fldData xml:space="preserve">PEVuZE5vdGU+PENpdGU+PEF1dGhvcj5LcnlzaW5za2E8L0F1dGhvcj48WWVhcj4yMDEwPC9ZZWFy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</w:fldData>
        </w:fldChar>
      </w:r>
      <w:r w:rsidRPr="005B0796">
        <w:instrText xml:space="preserve"> ADDIN EN.CITE </w:instrText>
      </w:r>
      <w:r w:rsidRPr="005B0796">
        <w:fldChar w:fldCharType="begin">
          <w:fldData xml:space="preserve">PEVuZE5vdGU+PENpdGU+PEF1dGhvcj5LcnlzaW5za2E8L0F1dGhvcj48WWVhcj4yMDEwPC9ZZWFy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</w:fldData>
        </w:fldChar>
      </w:r>
      <w:r w:rsidRPr="005B0796">
        <w:instrText xml:space="preserve"> ADDIN EN.CITE.DATA </w:instrText>
      </w:r>
      <w:r w:rsidRPr="005B0796">
        <w:fldChar w:fldCharType="end"/>
      </w:r>
      <w:r w:rsidRPr="005B0796">
        <w:fldChar w:fldCharType="separate"/>
      </w:r>
      <w:r w:rsidRPr="005B0796">
        <w:t>(Krysinska &amp; Lester, 2010)</w:t>
      </w:r>
      <w:r w:rsidRPr="005B0796">
        <w:fldChar w:fldCharType="end"/>
      </w:r>
      <w:r w:rsidRPr="005B0796">
        <w:t>. Defence has undertaken initiatives to manage and prevent suicide among members</w:t>
      </w:r>
      <w:r w:rsidR="00F31C78">
        <w:t>. While</w:t>
      </w:r>
      <w:r w:rsidRPr="005B0796">
        <w:t xml:space="preserve"> the 2010 MHPWS </w:t>
      </w:r>
      <w:r w:rsidR="00F31C78">
        <w:t xml:space="preserve">showed </w:t>
      </w:r>
      <w:r w:rsidRPr="005B0796">
        <w:t xml:space="preserve">high rates of suicidal ideation compared with the Australian Community, the rates of </w:t>
      </w:r>
      <w:r w:rsidRPr="005B0796">
        <w:rPr>
          <w:i/>
        </w:rPr>
        <w:t>attempted</w:t>
      </w:r>
      <w:r w:rsidRPr="005B0796">
        <w:t xml:space="preserve"> suicide were significantly lower. These findings, combined with the recent AIHW findings suggest that the various programs put in place have been beneficial while in ADF service. However, once personnel have fully transitioned to the civilian community there appears to be a significant rise in suicidal behavio</w:t>
      </w:r>
      <w:r w:rsidR="00520FC8" w:rsidRPr="005B0796">
        <w:t>u</w:t>
      </w:r>
      <w:r w:rsidRPr="005B0796">
        <w:t xml:space="preserve">r that needs to be addressed. </w:t>
      </w:r>
    </w:p>
    <w:p w:rsidR="006866ED" w:rsidRPr="005B0796" w:rsidRDefault="006866ED" w:rsidP="00D33302">
      <w:pPr>
        <w:pStyle w:val="Heading3"/>
      </w:pPr>
      <w:bookmarkStart w:id="1410" w:name="_Toc487011278"/>
      <w:bookmarkStart w:id="1411" w:name="_Toc493663173"/>
      <w:bookmarkStart w:id="1412" w:name="_Toc494449798"/>
      <w:bookmarkStart w:id="1413" w:name="_Toc511900380"/>
      <w:r w:rsidRPr="005B0796">
        <w:t>Anxiety symptoms</w:t>
      </w:r>
      <w:bookmarkEnd w:id="1410"/>
      <w:bookmarkEnd w:id="1411"/>
      <w:bookmarkEnd w:id="1412"/>
      <w:bookmarkEnd w:id="1413"/>
    </w:p>
    <w:p w:rsidR="006866ED" w:rsidRPr="005B0796" w:rsidRDefault="006866ED" w:rsidP="00D33302">
      <w:r w:rsidRPr="005B0796">
        <w:t>The severity of self-reported symptoms of generalised anxiety, as measured by the Generalised Anxiety Disorder 7-item Scale</w:t>
      </w:r>
      <w:r w:rsidRPr="00F31C78">
        <w:rPr>
          <w:rFonts w:eastAsia="MS ??"/>
        </w:rPr>
        <w:t xml:space="preserve"> (</w:t>
      </w:r>
      <w:r w:rsidRPr="005B0796">
        <w:t xml:space="preserve">GAD-7), in the Transitioned ADF was high, with 22.3% reporting moderate to severe symptoms. In contrast, a significantly lower proportion of the 2015 Regular ADF (9.6%) reported moderate to severe symptoms. </w:t>
      </w:r>
      <w:r w:rsidRPr="005B0796">
        <w:rPr>
          <w:rFonts w:eastAsia="Times New Roman" w:cs="Arial"/>
          <w:color w:val="222222"/>
          <w:shd w:val="clear" w:color="auto" w:fill="FFFFFF"/>
          <w:lang w:eastAsia="en-GB"/>
        </w:rPr>
        <w:t xml:space="preserve">When examined by transitioned status, 33.2% of the Ex-Serving group fell within the moderate to severe range of GAD symptoms. This contrasts with 15.5% of Inactive Reservists and 11.7% of Active Reservists. </w:t>
      </w:r>
    </w:p>
    <w:p w:rsidR="006866ED" w:rsidRPr="005B0796" w:rsidRDefault="006866ED" w:rsidP="00D33302">
      <w:pPr>
        <w:rPr>
          <w:shd w:val="clear" w:color="auto" w:fill="FFFFFF"/>
          <w:lang w:eastAsia="en-GB"/>
        </w:rPr>
      </w:pPr>
      <w:r w:rsidRPr="005B0796">
        <w:rPr>
          <w:shd w:val="clear" w:color="auto" w:fill="FFFFFF"/>
          <w:lang w:eastAsia="en-GB"/>
        </w:rPr>
        <w:t>While there was a significant relationship between years since transition and symptoms of generalised anxiety, there was a sharp increase in the proportion reporting severe symptoms at the one-year mark, with rates in the Transitioned ADF increasing from 5.7% to 14.5% at this time point.</w:t>
      </w:r>
    </w:p>
    <w:p w:rsidR="006866ED" w:rsidRPr="005B0796" w:rsidRDefault="006866ED" w:rsidP="00D33302">
      <w:r w:rsidRPr="005B0796">
        <w:t xml:space="preserve">In interpreting this data, one notable finding is the disparity in the proportion of Transitioned ADF scoring above the screening cut-off for current anxiety using the GAD-7 (GAD-7 ≥ 10: 33.2%) and the proportion meeting diagnostic criteria for 12-month GAD on the CIDI (3.7%). This is in vast contrast to the size of difference reported for the PCL (PCL ≥ 29: 39.9%, CIDI PTSD: 17.7%), AUDIT (AUDIT ≥ 8, 33.6%, CIDI alcohol disorder: 12.9%) and PHQ (PHQ ≥ 6: 48.6%, CIDI affective disorder 23.1%). While the proportion scoring above the screening cut-off on the GAD-7 was nine times greater than for those meeting CIDI criteria for 12-month GAD, the proportion scoring above the screening cut-off on the PCL, AUDIT and PHQ-9 compared to the CIDI was much lower. This discrepancy is largely due to the hierarchical nature of diagnostic criteria for ICD-10 GAD. </w:t>
      </w:r>
    </w:p>
    <w:p w:rsidR="006866ED" w:rsidRPr="005B0796" w:rsidRDefault="006866ED" w:rsidP="00D33302">
      <w:r w:rsidRPr="005B0796">
        <w:t>Under the ICD system of diagnosis, generalised anxiety symptoms are recognised as relatively ubiquitous and highly comorbid with a number of other psychiatric disorders. Accordingly, the ICD</w:t>
      </w:r>
      <w:r w:rsidRPr="005B0796">
        <w:noBreakHyphen/>
        <w:t xml:space="preserve">10 criteria do not allow a diagnosis of GAD if the symptoms can be better explained by another disorder, such as panic disorder, social phobia, specific disorder, OCD or hypochondriacal disorder </w:t>
      </w:r>
      <w:r w:rsidRPr="005B0796">
        <w:fldChar w:fldCharType="begin"/>
      </w:r>
      <w:r w:rsidRPr="005B0796">
        <w:instrText xml:space="preserve"> ADDIN EN.CITE &lt;EndNote&gt;&lt;Cite&gt;&lt;Author&gt;World Health Organisation&lt;/Author&gt;&lt;Year&gt;1992&lt;/Year&gt;&lt;RecNum&gt;618&lt;/RecNum&gt;&lt;DisplayText&gt;(World Health Organisation, 1992)&lt;/DisplayText&gt;&lt;record&gt;&lt;rec-number&gt;618&lt;/rec-number&gt;&lt;foreign-keys&gt;&lt;key app="EN" db-id="arwdrezp9sdawxevtfyxtfw10exvr5exxfed" timestamp="1479952978"&gt;618&lt;/key&gt;&lt;/foreign-keys&gt;&lt;ref-type name="Book"&gt;6&lt;/ref-type&gt;&lt;contributors&gt;&lt;authors&gt;&lt;author&gt;World Health Organisation,&lt;/author&gt;&lt;/authors&gt;&lt;/contributors&gt;&lt;titles&gt;&lt;title&gt;International Statistical Classification of Diseases and Health Related Problems.&lt;/title&gt;&lt;/titles&gt;&lt;dates&gt;&lt;year&gt;1992&lt;/year&gt;&lt;/dates&gt;&lt;pub-location&gt;Vol 10, Geneva&lt;/pub-location&gt;&lt;publisher&gt;World Health Organisation&lt;/publisher&gt;&lt;urls&gt;&lt;/urls&gt;&lt;/record&gt;&lt;/Cite&gt;&lt;/EndNote&gt;</w:instrText>
      </w:r>
      <w:r w:rsidRPr="005B0796">
        <w:fldChar w:fldCharType="separate"/>
      </w:r>
      <w:r w:rsidRPr="005B0796">
        <w:t>(World Health Organization, 1992)</w:t>
      </w:r>
      <w:r w:rsidRPr="005B0796">
        <w:fldChar w:fldCharType="end"/>
      </w:r>
      <w:r w:rsidRPr="005B0796">
        <w:t>. Looking across the spectrum of other diagnoses reported by the Transitioned ADF, the prevalence of panic disorder, social phobia and specific phobia was 5</w:t>
      </w:r>
      <w:r w:rsidR="00F31C78">
        <w:t>–</w:t>
      </w:r>
      <w:r w:rsidRPr="005B0796">
        <w:t xml:space="preserve">8%. This provides some insight into why the symptoms of generalised anxiety were common yet only 3.7% met criteria for a 12-month diagnosis. </w:t>
      </w:r>
    </w:p>
    <w:p w:rsidR="006866ED" w:rsidRPr="005B0796" w:rsidRDefault="006866ED" w:rsidP="00D33302">
      <w:r w:rsidRPr="005B0796">
        <w:t xml:space="preserve">Despite this issue, the significance of these symptoms should not be underestimated. For example, studies of monozygotic and dizygotic twin pairs on the Vietnam Era Twin Registry have identified aetiological elements shared between GAD and other psychiatric disorders, as well as unique environmental determinants of this disorder </w:t>
      </w:r>
      <w:r w:rsidRPr="005B0796">
        <w:fldChar w:fldCharType="begin"/>
      </w:r>
      <w:r w:rsidRPr="005B0796">
        <w:instrText xml:space="preserve"> ADDIN EN.CITE &lt;EndNote&gt;&lt;Cite&gt;&lt;Author&gt;Chantarujikapong&lt;/Author&gt;&lt;Year&gt;2001&lt;/Year&gt;&lt;RecNum&gt;978&lt;/RecNum&gt;&lt;DisplayText&gt;(Chantarujikapong et al., 2001)&lt;/DisplayText&gt;&lt;record&gt;&lt;rec-number&gt;978&lt;/rec-number&gt;&lt;foreign-keys&gt;&lt;key app="EN" db-id="arwdrezp9sdawxevtfyxtfw10exvr5exxfed" timestamp="1499134379"&gt;978&lt;/key&gt;&lt;/foreign-keys&gt;&lt;ref-type name="Journal Article"&gt;17&lt;/ref-type&gt;&lt;contributors&gt;&lt;authors&gt;&lt;author&gt;Chantarujikapong, Sunanta I&lt;/author&gt;&lt;author&gt;Scherrer, Jeffrey F&lt;/author&gt;&lt;author&gt;Xian, Hong&lt;/author&gt;&lt;author&gt;Eisen, Seth A&lt;/author&gt;&lt;author&gt;Lyons, Michael J&lt;/author&gt;&lt;author&gt;Goldberg, Jack&lt;/author&gt;&lt;author&gt;Tsuang, Ming&lt;/author&gt;&lt;author&gt;True, William R&lt;/author&gt;&lt;/authors&gt;&lt;/contributors&gt;&lt;titles&gt;&lt;title&gt;A twin study of generalized anxiety disorder symptoms, panic disorder symptoms and post-traumatic stress disorder in men&lt;/title&gt;&lt;secondary-title&gt;Psychiatry research&lt;/secondary-title&gt;&lt;/titles&gt;&lt;periodical&gt;&lt;full-title&gt;Psychiatry research&lt;/full-title&gt;&lt;/periodical&gt;&lt;pages&gt;133-145&lt;/pages&gt;&lt;volume&gt;103&lt;/volume&gt;&lt;number&gt;2&lt;/number&gt;&lt;dates&gt;&lt;year&gt;2001&lt;/year&gt;&lt;/dates&gt;&lt;isbn&gt;0165-1781&lt;/isbn&gt;&lt;urls&gt;&lt;/urls&gt;&lt;/record&gt;&lt;/Cite&gt;&lt;/EndNote&gt;</w:instrText>
      </w:r>
      <w:r w:rsidRPr="005B0796">
        <w:fldChar w:fldCharType="separate"/>
      </w:r>
      <w:r w:rsidRPr="005B0796">
        <w:t>(Chantarujikapong et al., 2001)</w:t>
      </w:r>
      <w:r w:rsidRPr="005B0796">
        <w:fldChar w:fldCharType="end"/>
      </w:r>
      <w:r w:rsidRPr="005B0796">
        <w:t xml:space="preserve">. </w:t>
      </w:r>
    </w:p>
    <w:p w:rsidR="006866ED" w:rsidRPr="005B0796" w:rsidRDefault="006866ED" w:rsidP="00D33302">
      <w:pPr>
        <w:rPr>
          <w:rFonts w:eastAsia="Times New Roman" w:cs="Arial"/>
          <w:color w:val="222222"/>
          <w:shd w:val="clear" w:color="auto" w:fill="FFFFFF"/>
          <w:lang w:eastAsia="en-GB"/>
        </w:rPr>
      </w:pPr>
      <w:r w:rsidRPr="005B0796">
        <w:t>This has important implications for treatment as it means that the symptoms of GAD often are not fully resolved by the evidence-based interv</w:t>
      </w:r>
      <w:r w:rsidR="00F31C78">
        <w:t>entions administered for the co</w:t>
      </w:r>
      <w:r w:rsidRPr="005B0796">
        <w:t>morbid condition.</w:t>
      </w:r>
    </w:p>
    <w:p w:rsidR="006866ED" w:rsidRPr="005B0796" w:rsidRDefault="006866ED" w:rsidP="00D33302">
      <w:pPr>
        <w:rPr>
          <w:shd w:val="clear" w:color="auto" w:fill="FFFFFF"/>
          <w:lang w:eastAsia="en-GB"/>
        </w:rPr>
      </w:pPr>
      <w:r w:rsidRPr="005B0796">
        <w:rPr>
          <w:shd w:val="clear" w:color="auto" w:fill="FFFFFF"/>
          <w:lang w:eastAsia="en-GB"/>
        </w:rPr>
        <w:t xml:space="preserve">Similarly, traumatic exposures (in particular childhood trauma) play a significant role in the onset of generalised anxiety disorder symptoms, even after controlling for PTSD, depression, panic disorder and substance abuse disorders </w:t>
      </w:r>
      <w:r w:rsidRPr="005B0796">
        <w:rPr>
          <w:shd w:val="clear" w:color="auto" w:fill="FFFFFF"/>
          <w:lang w:eastAsia="en-GB"/>
        </w:rPr>
        <w:fldChar w:fldCharType="begin"/>
      </w:r>
      <w:r w:rsidRPr="005B0796">
        <w:rPr>
          <w:shd w:val="clear" w:color="auto" w:fill="FFFFFF"/>
          <w:lang w:eastAsia="en-GB"/>
        </w:rPr>
        <w:instrText xml:space="preserve"> ADDIN EN.CITE &lt;EndNote&gt;&lt;Cite&gt;&lt;Author&gt;Ghafoori&lt;/Author&gt;&lt;Year&gt;2009&lt;/Year&gt;&lt;RecNum&gt;979&lt;/RecNum&gt;&lt;DisplayText&gt;(Ghafoori et al., 2009)&lt;/DisplayText&gt;&lt;record&gt;&lt;rec-number&gt;979&lt;/rec-number&gt;&lt;foreign-keys&gt;&lt;key app="EN" db-id="arwdrezp9sdawxevtfyxtfw10exvr5exxfed" timestamp="1499134449"&gt;979&lt;/key&gt;&lt;/foreign-keys&gt;&lt;ref-type name="Journal Article"&gt;17&lt;/ref-type&gt;&lt;contributors&gt;&lt;authors&gt;&lt;author&gt;Ghafoori, Bita&lt;/author&gt;&lt;author&gt;Neria, Yuval&lt;/author&gt;&lt;author&gt;Gameroff, Marc J&lt;/author&gt;&lt;author&gt;Olfson, Mark&lt;/author&gt;&lt;author&gt;Lantigua, Rafael&lt;/author&gt;&lt;author&gt;Shea, Steven&lt;/author&gt;&lt;author&gt;Weissman, Myrna M&lt;/author&gt;&lt;/authors&gt;&lt;/contributors&gt;&lt;titles&gt;&lt;title&gt;Screening for generalized anxiety disorder symptoms in the wake of terrorist attacks: a study in primary care&lt;/title&gt;&lt;secondary-title&gt;Journal of traumatic stress&lt;/secondary-title&gt;&lt;/titles&gt;&lt;periodical&gt;&lt;full-title&gt;Journal of Traumatic Stress&lt;/full-title&gt;&lt;/periodical&gt;&lt;pages&gt;218-226&lt;/pages&gt;&lt;volume&gt;22&lt;/volume&gt;&lt;number&gt;3&lt;/number&gt;&lt;dates&gt;&lt;year&gt;2009&lt;/year&gt;&lt;/dates&gt;&lt;isbn&gt;1573-6598&lt;/isbn&gt;&lt;urls&gt;&lt;/urls&gt;&lt;/record&gt;&lt;/Cite&gt;&lt;/EndNote&gt;</w:instrText>
      </w:r>
      <w:r w:rsidRPr="005B0796">
        <w:rPr>
          <w:shd w:val="clear" w:color="auto" w:fill="FFFFFF"/>
          <w:lang w:eastAsia="en-GB"/>
        </w:rPr>
        <w:fldChar w:fldCharType="separate"/>
      </w:r>
      <w:r w:rsidRPr="005B0796">
        <w:rPr>
          <w:shd w:val="clear" w:color="auto" w:fill="FFFFFF"/>
          <w:lang w:eastAsia="en-GB"/>
        </w:rPr>
        <w:t>(Ghafoori et al., 2009)</w:t>
      </w:r>
      <w:r w:rsidRPr="005B0796">
        <w:rPr>
          <w:shd w:val="clear" w:color="auto" w:fill="FFFFFF"/>
          <w:lang w:eastAsia="en-GB"/>
        </w:rPr>
        <w:fldChar w:fldCharType="end"/>
      </w:r>
      <w:r w:rsidRPr="005B0796">
        <w:rPr>
          <w:shd w:val="clear" w:color="auto" w:fill="FFFFFF"/>
          <w:lang w:eastAsia="en-GB"/>
        </w:rPr>
        <w:t xml:space="preserve">. This has important implications for Transitioned ADF, particularly due to the inflated rates of lifetime trauma and deployment exposures in this population compared to the 2015 Regular ADF. </w:t>
      </w:r>
    </w:p>
    <w:p w:rsidR="006866ED" w:rsidRPr="005B0796" w:rsidRDefault="006866ED" w:rsidP="00D33302">
      <w:pPr>
        <w:rPr>
          <w:shd w:val="clear" w:color="auto" w:fill="FFFFFF"/>
          <w:lang w:eastAsia="en-GB"/>
        </w:rPr>
      </w:pPr>
      <w:r w:rsidRPr="005B0796">
        <w:rPr>
          <w:shd w:val="clear" w:color="auto" w:fill="FFFFFF"/>
          <w:lang w:eastAsia="en-GB"/>
        </w:rPr>
        <w:t xml:space="preserve">Finally, prospective research has shown GAD to be a major risk factor for later depression, emphasising the potential long-term morbidity associated with these symptoms </w:t>
      </w:r>
      <w:r w:rsidRPr="005B0796">
        <w:rPr>
          <w:shd w:val="clear" w:color="auto" w:fill="FFFFFF"/>
          <w:lang w:eastAsia="en-GB"/>
        </w:rPr>
        <w:fldChar w:fldCharType="begin"/>
      </w:r>
      <w:r w:rsidRPr="005B0796">
        <w:rPr>
          <w:shd w:val="clear" w:color="auto" w:fill="FFFFFF"/>
          <w:lang w:eastAsia="en-GB"/>
        </w:rPr>
        <w:instrText xml:space="preserve"> ADDIN EN.CITE &lt;EndNote&gt;&lt;Cite&gt;&lt;Author&gt;Moffitt&lt;/Author&gt;&lt;Year&gt;2007&lt;/Year&gt;&lt;RecNum&gt;980&lt;/RecNum&gt;&lt;DisplayText&gt;(Moffitt et al., 2007)&lt;/DisplayText&gt;&lt;record&gt;&lt;rec-number&gt;980&lt;/rec-number&gt;&lt;foreign-keys&gt;&lt;key app="EN" db-id="arwdrezp9sdawxevtfyxtfw10exvr5exxfed" timestamp="1499134529"&gt;980&lt;/key&gt;&lt;/foreign-keys&gt;&lt;ref-type name="Journal Article"&gt;17&lt;/ref-type&gt;&lt;contributors&gt;&lt;authors&gt;&lt;author&gt;Moffitt, Terrie E&lt;/author&gt;&lt;author&gt;Harrington, HonaLee&lt;/author&gt;&lt;author&gt;Caspi, Avshalom&lt;/author&gt;&lt;author&gt;Kim-Cohen, Julia&lt;/author&gt;&lt;author&gt;Goldberg, David&lt;/author&gt;&lt;author&gt;Gregory, Alice M&lt;/author&gt;&lt;author&gt;Poulton, Richie&lt;/author&gt;&lt;/authors&gt;&lt;/contributors&gt;&lt;titles&gt;&lt;title&gt;Depression and generalized anxiety disorder: cumulative and sequential comorbidity in a birth cohort followed prospectively to age 32 years&lt;/title&gt;&lt;secondary-title&gt;Archives of general psychiatry&lt;/secondary-title&gt;&lt;/titles&gt;&lt;periodical&gt;&lt;full-title&gt;Archives of General Psychiatry&lt;/full-title&gt;&lt;/periodical&gt;&lt;pages&gt;651-660&lt;/pages&gt;&lt;volume&gt;64&lt;/volume&gt;&lt;number&gt;6&lt;/number&gt;&lt;dates&gt;&lt;year&gt;2007&lt;/year&gt;&lt;/dates&gt;&lt;isbn&gt;0003-990X&lt;/isbn&gt;&lt;urls&gt;&lt;/urls&gt;&lt;/record&gt;&lt;/Cite&gt;&lt;/EndNote&gt;</w:instrText>
      </w:r>
      <w:r w:rsidRPr="005B0796">
        <w:rPr>
          <w:shd w:val="clear" w:color="auto" w:fill="FFFFFF"/>
          <w:lang w:eastAsia="en-GB"/>
        </w:rPr>
        <w:fldChar w:fldCharType="separate"/>
      </w:r>
      <w:r w:rsidRPr="005B0796">
        <w:rPr>
          <w:shd w:val="clear" w:color="auto" w:fill="FFFFFF"/>
          <w:lang w:eastAsia="en-GB"/>
        </w:rPr>
        <w:t>(Moffitt et al., 2007)</w:t>
      </w:r>
      <w:r w:rsidRPr="005B0796">
        <w:rPr>
          <w:shd w:val="clear" w:color="auto" w:fill="FFFFFF"/>
          <w:lang w:eastAsia="en-GB"/>
        </w:rPr>
        <w:fldChar w:fldCharType="end"/>
      </w:r>
      <w:r w:rsidRPr="005B0796">
        <w:rPr>
          <w:shd w:val="clear" w:color="auto" w:fill="FFFFFF"/>
          <w:lang w:eastAsia="en-GB"/>
        </w:rPr>
        <w:t>.</w:t>
      </w:r>
    </w:p>
    <w:p w:rsidR="006866ED" w:rsidRPr="005B0796" w:rsidRDefault="006866ED" w:rsidP="00D33302">
      <w:pPr>
        <w:rPr>
          <w:shd w:val="clear" w:color="auto" w:fill="FFFFFF"/>
          <w:lang w:eastAsia="en-GB"/>
        </w:rPr>
      </w:pPr>
      <w:r w:rsidRPr="005B0796">
        <w:rPr>
          <w:shd w:val="clear" w:color="auto" w:fill="FFFFFF"/>
          <w:lang w:eastAsia="en-GB"/>
        </w:rPr>
        <w:t>To summarise, in clinical situations, GAD symptoms are often dealt with in the context of hierarchical diagnostic symptoms and, as such, are subsumed under PTSD, OCD and other disorders, indicating that the morbidity associated with these symptoms is significant. The prevalence within the Transitioned ADF, and particularly how they are appointed to future risk of disorders, such as depression, highlights the potential need for these symptoms to become a specific focus of intervention strategies in the clinical setting.</w:t>
      </w:r>
    </w:p>
    <w:p w:rsidR="006866ED" w:rsidRPr="005B0796" w:rsidRDefault="006866ED" w:rsidP="00D33302">
      <w:pPr>
        <w:pStyle w:val="Heading3"/>
      </w:pPr>
      <w:bookmarkStart w:id="1414" w:name="_Toc487011279"/>
      <w:bookmarkStart w:id="1415" w:name="_Toc493663174"/>
      <w:bookmarkStart w:id="1416" w:name="_Toc494449799"/>
      <w:bookmarkStart w:id="1417" w:name="_Toc511900381"/>
      <w:r w:rsidRPr="005B0796">
        <w:t>Deployment and non-deployment traumatic exposures</w:t>
      </w:r>
      <w:bookmarkEnd w:id="1414"/>
      <w:bookmarkEnd w:id="1415"/>
      <w:bookmarkEnd w:id="1416"/>
      <w:bookmarkEnd w:id="1417"/>
    </w:p>
    <w:p w:rsidR="006866ED" w:rsidRPr="005B0796" w:rsidRDefault="006866ED" w:rsidP="00D33302">
      <w:r w:rsidRPr="005B0796">
        <w:t>The consistent findings of elevated rates of psychological symptoms and mental disorders in the</w:t>
      </w:r>
      <w:r w:rsidR="00462A0C" w:rsidRPr="005B0796">
        <w:t xml:space="preserve"> </w:t>
      </w:r>
      <w:r w:rsidRPr="005B0796">
        <w:t xml:space="preserve">Transitioned ADF need to be considered in the context of </w:t>
      </w:r>
      <w:r w:rsidR="00D929FC">
        <w:t xml:space="preserve">the </w:t>
      </w:r>
      <w:r w:rsidRPr="005B0796">
        <w:t>reported deployment and non</w:t>
      </w:r>
      <w:r w:rsidRPr="005B0796">
        <w:noBreakHyphen/>
        <w:t xml:space="preserve">deployment traumatic stress exposures </w:t>
      </w:r>
      <w:r w:rsidR="00D929FC">
        <w:t xml:space="preserve">of </w:t>
      </w:r>
      <w:r w:rsidRPr="005B0796">
        <w:t xml:space="preserve">this population. </w:t>
      </w:r>
    </w:p>
    <w:p w:rsidR="006866ED" w:rsidRPr="005B0796" w:rsidRDefault="006866ED" w:rsidP="00D33302">
      <w:r w:rsidRPr="005B0796">
        <w:t>Results of this study suggest that those who ha</w:t>
      </w:r>
      <w:r w:rsidR="00D929FC">
        <w:t>d</w:t>
      </w:r>
      <w:r w:rsidRPr="005B0796">
        <w:t xml:space="preserve"> transitioned from the ADF had substantia</w:t>
      </w:r>
      <w:r w:rsidR="00D929FC">
        <w:t>lly higher levels of deployment-</w:t>
      </w:r>
      <w:r w:rsidRPr="005B0796">
        <w:t>related traumas in contrast to those who remain</w:t>
      </w:r>
      <w:r w:rsidR="00D929FC">
        <w:t>ed</w:t>
      </w:r>
      <w:r w:rsidRPr="005B0796">
        <w:t xml:space="preserve"> in the ADF in 2015. For example, in the Transitioned ADF, 38.3% reported they had gone on combat patrols in contrast to 29.9% of the 2015 Regular ADF. Similarly, among the Transitioned ADF, 37.4% had either handled or seen dead bodies in contrast to 30.2% of the 2015 Regular ADF. While it is important not to minimise the significant exposures of those who remain in the Regular ADF, these findings suggest that those who transition have on average endured a slightly greater history of a range of traumatic exposures related to deployment. The relationship between these exposures and the levels of psychological symptoms and mental disorder in this population require further exploration. This is particularly important longitudinally given recent research highlighting the role of sensitisation following deployment as a risk factor</w:t>
      </w:r>
      <w:r w:rsidR="00D929FC">
        <w:t xml:space="preserve"> for the development of delayed-</w:t>
      </w:r>
      <w:r w:rsidRPr="005B0796">
        <w:t xml:space="preserve">onset PTSD and other mental disorders </w:t>
      </w:r>
      <w:r w:rsidRPr="005B0796">
        <w:fldChar w:fldCharType="begin">
          <w:fldData xml:space="preserve">PEVuZE5vdGU+PENpdGU+PEF1dGhvcj5NY0V3ZW48L0F1dGhvcj48WWVhcj4yMDAzPC9ZZWFyPjxS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Y2hpYXRyeTwvYWJici0xPjwvYWx0LXBlcmlvZGljYWw+PHBhZ2VzPjIwMC03PC9wYWdlcz48dm9s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</w:fldData>
        </w:fldChar>
      </w:r>
      <w:r w:rsidRPr="005B0796">
        <w:instrText xml:space="preserve"> ADDIN EN.CITE </w:instrText>
      </w:r>
      <w:r w:rsidRPr="005B0796">
        <w:fldChar w:fldCharType="begin">
          <w:fldData xml:space="preserve">PEVuZE5vdGU+PENpdGU+PEF1dGhvcj5NY0V3ZW48L0F1dGhvcj48WWVhcj4yMDAzPC9ZZWFyPjxS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Y2hpYXRyeTwvYWJici0xPjwvYWx0LXBlcmlvZGljYWw+PHBhZ2VzPjIwMC03PC9wYWdlcz48dm9s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</w:fldData>
        </w:fldChar>
      </w:r>
      <w:r w:rsidRPr="005B0796">
        <w:instrText xml:space="preserve"> ADDIN EN.CITE.DATA </w:instrText>
      </w:r>
      <w:r w:rsidRPr="005B0796">
        <w:fldChar w:fldCharType="end"/>
      </w:r>
      <w:r w:rsidRPr="005B0796">
        <w:fldChar w:fldCharType="separate"/>
      </w:r>
      <w:r w:rsidRPr="005B0796">
        <w:t>(McEwen, 2003; Smid et al., 2013)</w:t>
      </w:r>
      <w:r w:rsidRPr="005B0796">
        <w:fldChar w:fldCharType="end"/>
      </w:r>
      <w:r w:rsidRPr="005B0796">
        <w:t>.</w:t>
      </w:r>
    </w:p>
    <w:p w:rsidR="006866ED" w:rsidRPr="005B0796" w:rsidRDefault="006866ED" w:rsidP="00D33302">
      <w:r w:rsidRPr="005B0796">
        <w:t xml:space="preserve">It is important not to conclude that deployment-related trauma is the substantial cause of the majority of the morbidity identified in the Transitioned ADF until further analyses are conducted; however, the findings summarised in this report highlight the potential impact of these exposures. This trend was not apparent in the 2010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which found no significant differences in the rates of mental disorder between those who had been deployed and those who had not. The reason for the latter finding may be that those who had developed mental health symptoms as a consequence of de</w:t>
      </w:r>
      <w:r w:rsidR="00D929FC">
        <w:t>ployment-</w:t>
      </w:r>
      <w:r w:rsidRPr="005B0796">
        <w:t xml:space="preserve">related trauma had already self-selected for discharge. </w:t>
      </w:r>
    </w:p>
    <w:p w:rsidR="006866ED" w:rsidRPr="005B0796" w:rsidRDefault="006866ED" w:rsidP="00D33302">
      <w:r w:rsidRPr="005B0796">
        <w:t xml:space="preserve">In this study, the measure of lifetime trauma exposure similarly highlights the significantly higher levels of combat exposure in the Transitioned ADF compared with the 2015 Regular ADF (31% vs 21%). </w:t>
      </w:r>
    </w:p>
    <w:p w:rsidR="006866ED" w:rsidRPr="005B0796" w:rsidRDefault="006866ED" w:rsidP="00D33302">
      <w:r w:rsidRPr="005B0796">
        <w:t xml:space="preserve">Interestingly, the Transitioned ADF were more likely to have been engaged in a peacekeeping role and report having been kidnapped and held captive, when compared to the 2015 Regular ADF. This latter experience was identified in the 2010 ADF MHPWS as being a particular risk factor for PTSD. Again, this measure highlights the important role of deployment as well as non-deployment related traumas in differentiating the Transitioned ADF from those who remain in the Regular ADF. Substantial further analyses are required to unpack the specific risks associated with these exposures. Investigation of the role of trauma on the mental health of the Transitioned ADF </w:t>
      </w:r>
      <w:r w:rsidR="00D929FC">
        <w:t xml:space="preserve">–whether or not deployment related – </w:t>
      </w:r>
      <w:r w:rsidRPr="005B0796">
        <w:t>is an important question for further interrogation, and will be explored in t</w:t>
      </w:r>
      <w:r w:rsidRPr="005B0796">
        <w:rPr>
          <w:szCs w:val="22"/>
        </w:rPr>
        <w:t>he</w:t>
      </w:r>
      <w:r w:rsidRPr="005B0796">
        <w:rPr>
          <w:i/>
          <w:szCs w:val="22"/>
        </w:rPr>
        <w:t xml:space="preserve"> Impact of Combat Report</w:t>
      </w:r>
      <w:r w:rsidRPr="005B0796">
        <w:t xml:space="preserve">. </w:t>
      </w:r>
    </w:p>
    <w:p w:rsidR="006866ED" w:rsidRPr="005B0796" w:rsidRDefault="006866ED" w:rsidP="00D33302">
      <w:pPr>
        <w:pStyle w:val="Heading3"/>
      </w:pPr>
      <w:bookmarkStart w:id="1418" w:name="_Toc487011280"/>
      <w:bookmarkStart w:id="1419" w:name="_Toc493663175"/>
      <w:bookmarkStart w:id="1420" w:name="_Toc494449800"/>
      <w:bookmarkStart w:id="1421" w:name="_Toc511900382"/>
      <w:r w:rsidRPr="005B0796">
        <w:t>Drug use in the Transitioned ADF</w:t>
      </w:r>
      <w:bookmarkEnd w:id="1418"/>
      <w:bookmarkEnd w:id="1419"/>
      <w:bookmarkEnd w:id="1420"/>
      <w:bookmarkEnd w:id="1421"/>
    </w:p>
    <w:p w:rsidR="006866ED" w:rsidRPr="005B0796" w:rsidRDefault="006866ED" w:rsidP="00D33302">
      <w:pPr>
        <w:rPr>
          <w:rFonts w:eastAsia="Times New Roman"/>
        </w:rPr>
      </w:pPr>
      <w:r w:rsidRPr="005B0796">
        <w:t>Illicit drug use and the use of prescription drugs for non-medical purposes w</w:t>
      </w:r>
      <w:r w:rsidR="00D929FC">
        <w:t>ere</w:t>
      </w:r>
      <w:r w:rsidRPr="005B0796">
        <w:t xml:space="preserve"> examined in the Transitioned ADF only. Currently, the </w:t>
      </w:r>
      <w:r w:rsidRPr="005B0796">
        <w:rPr>
          <w:rFonts w:cs="Helvetica"/>
          <w:color w:val="1F1F1F"/>
        </w:rPr>
        <w:t>ADF has a zero-tolerance policy on the use of illicit drugs by full</w:t>
      </w:r>
      <w:r w:rsidR="00D929FC">
        <w:rPr>
          <w:rFonts w:cs="Helvetica"/>
          <w:color w:val="1F1F1F"/>
        </w:rPr>
        <w:t>-</w:t>
      </w:r>
      <w:r w:rsidRPr="005B0796">
        <w:rPr>
          <w:rFonts w:cs="Helvetica"/>
          <w:color w:val="1F1F1F"/>
        </w:rPr>
        <w:t>time and Reserve personnel</w:t>
      </w:r>
      <w:r w:rsidR="00D929FC">
        <w:rPr>
          <w:rFonts w:cs="Helvetica"/>
          <w:color w:val="1F1F1F"/>
        </w:rPr>
        <w:t>.</w:t>
      </w:r>
      <w:r w:rsidRPr="005B0796">
        <w:rPr>
          <w:rFonts w:cs="Helvetica"/>
          <w:color w:val="1F1F1F"/>
        </w:rPr>
        <w:t xml:space="preserve"> </w:t>
      </w:r>
      <w:r w:rsidR="00D929FC" w:rsidRPr="005B0796">
        <w:rPr>
          <w:rFonts w:cs="Helvetica"/>
          <w:color w:val="1F1F1F"/>
        </w:rPr>
        <w:t xml:space="preserve">Members </w:t>
      </w:r>
      <w:r w:rsidRPr="005B0796">
        <w:rPr>
          <w:rFonts w:cs="Helvetica"/>
          <w:color w:val="1F1F1F"/>
        </w:rPr>
        <w:t xml:space="preserve">found using illicit drugs may </w:t>
      </w:r>
      <w:r w:rsidRPr="005B0796">
        <w:rPr>
          <w:rFonts w:eastAsia="Times New Roman" w:cs="Arial"/>
          <w:color w:val="000000" w:themeColor="text1"/>
          <w:shd w:val="clear" w:color="auto" w:fill="FFFFFF"/>
        </w:rPr>
        <w:t>attract disciplinary and administrative action, including dismissal.</w:t>
      </w:r>
      <w:r w:rsidR="00462A0C" w:rsidRPr="005B0796">
        <w:rPr>
          <w:rFonts w:eastAsia="Times New Roman" w:cs="Arial"/>
          <w:color w:val="000000" w:themeColor="text1"/>
          <w:shd w:val="clear" w:color="auto" w:fill="FFFFFF"/>
        </w:rPr>
        <w:t xml:space="preserve"> </w:t>
      </w:r>
      <w:r w:rsidRPr="005B0796">
        <w:rPr>
          <w:rFonts w:cs="Helvetica"/>
          <w:color w:val="1F1F1F"/>
        </w:rPr>
        <w:t xml:space="preserve">For this reason, data on drug use in the 2015 Regular ADF was not collected as it was improbable that the result would provide reliable usable data. </w:t>
      </w:r>
    </w:p>
    <w:p w:rsidR="006866ED" w:rsidRPr="005B0796" w:rsidRDefault="006866ED" w:rsidP="00D33302">
      <w:pPr>
        <w:rPr>
          <w:lang w:eastAsia="en-AU"/>
        </w:rPr>
      </w:pPr>
      <w:r w:rsidRPr="005B0796">
        <w:rPr>
          <w:rFonts w:cs="Helvetica"/>
        </w:rPr>
        <w:t xml:space="preserve">In this study, 39.3% </w:t>
      </w:r>
      <w:r w:rsidRPr="005B0796">
        <w:rPr>
          <w:lang w:eastAsia="en-AU"/>
        </w:rPr>
        <w:t>of Ex-Serving ADF members reported using illicit drugs in their lifetime, with 16.4% reporting illicit drug use in the last 12 months.</w:t>
      </w:r>
      <w:r w:rsidRPr="005B0796">
        <w:t xml:space="preserve"> </w:t>
      </w:r>
      <w:r w:rsidRPr="005B0796">
        <w:rPr>
          <w:lang w:eastAsia="en-AU"/>
        </w:rPr>
        <w:t xml:space="preserve">These rates closely matched the rates reported in the 2016 National Drug Strategy Household Survey, which reported a lifetime rate of 43% and a 12-month rate of 15.6% in the general Australian population aged 14 and over </w:t>
      </w:r>
      <w:r w:rsidRPr="005B0796">
        <w:rPr>
          <w:lang w:eastAsia="en-AU"/>
        </w:rPr>
        <w:fldChar w:fldCharType="begin"/>
      </w:r>
      <w:r w:rsidRPr="005B0796">
        <w:rPr>
          <w:lang w:eastAsia="en-AU"/>
        </w:rPr>
        <w:instrText xml:space="preserve"> ADDIN EN.CITE &lt;EndNote&gt;&lt;Cite&gt;&lt;Author&gt;Australian Institute of Health and Welfare&lt;/Author&gt;&lt;Year&gt;2017&lt;/Year&gt;&lt;RecNum&gt;981&lt;/RecNum&gt;&lt;DisplayText&gt;(Australian Institute of Health and Welfare, 2017b)&lt;/DisplayText&gt;&lt;record&gt;&lt;rec-number&gt;981&lt;/rec-number&gt;&lt;foreign-keys&gt;&lt;key app="EN" db-id="arwdrezp9sdawxevtfyxtfw10exvr5exxfed" timestamp="1499134994"&gt;981&lt;/key&gt;&lt;/foreign-keys&gt;&lt;ref-type name="Electronic Article"&gt;43&lt;/ref-type&gt;&lt;contributors&gt;&lt;authors&gt;&lt;author&gt;Australian Institute of Health and Welfare,&lt;/author&gt;&lt;/authors&gt;&lt;/contributors&gt;&lt;titles&gt;&lt;title&gt;National Drug Strategy Household Survey (NDSHS) 2016 key findings&lt;/title&gt;&lt;/titles&gt;&lt;dates&gt;&lt;year&gt;2017&lt;/year&gt;&lt;/dates&gt;&lt;pub-location&gt;Canberra&lt;/pub-location&gt;&lt;publisher&gt;AIHW&lt;/publisher&gt;&lt;urls&gt;&lt;related-urls&gt;&lt;url&gt;http://www.aihw.gov.au/alcohol-and-other-drugs/data-sources/ndshs-2016/key-findings/&lt;/url&gt;&lt;/related-urls&gt;&lt;/urls&gt;&lt;/record&gt;&lt;/Cite&gt;&lt;/EndNote&gt;</w:instrText>
      </w:r>
      <w:r w:rsidRPr="005B0796">
        <w:rPr>
          <w:lang w:eastAsia="en-AU"/>
        </w:rPr>
        <w:fldChar w:fldCharType="separate"/>
      </w:r>
      <w:r w:rsidRPr="005B0796">
        <w:rPr>
          <w:lang w:eastAsia="en-AU"/>
        </w:rPr>
        <w:t>(AIHW, 2017b)</w:t>
      </w:r>
      <w:r w:rsidRPr="005B0796">
        <w:rPr>
          <w:lang w:eastAsia="en-AU"/>
        </w:rPr>
        <w:fldChar w:fldCharType="end"/>
      </w:r>
      <w:r w:rsidRPr="005B0796">
        <w:rPr>
          <w:lang w:eastAsia="en-AU"/>
        </w:rPr>
        <w:t>. Despite this, the high level of recent use represents a substantial issue that requires consideration in terms of treatment and prevention.</w:t>
      </w:r>
    </w:p>
    <w:p w:rsidR="006866ED" w:rsidRPr="005B0796" w:rsidRDefault="006866ED" w:rsidP="00D33302">
      <w:pPr>
        <w:rPr>
          <w:rFonts w:eastAsia="Times New Roman"/>
        </w:rPr>
      </w:pPr>
      <w:r w:rsidRPr="005B0796">
        <w:rPr>
          <w:lang w:eastAsia="en-AU"/>
        </w:rPr>
        <w:t xml:space="preserve">An estimated 11.3% of Ex-Serving ADF members reported using prescription drugs for non-medical purposes in their lifetime, with more than half reporting using them in the last 12 months (6.7%). This is similar to the finding that </w:t>
      </w:r>
      <w:r w:rsidRPr="005B0796">
        <w:rPr>
          <w:rFonts w:eastAsia="Times New Roman"/>
        </w:rPr>
        <w:t xml:space="preserve">approximately </w:t>
      </w:r>
      <w:r w:rsidR="00D929FC">
        <w:rPr>
          <w:rFonts w:eastAsia="Times New Roman"/>
        </w:rPr>
        <w:t>one</w:t>
      </w:r>
      <w:r w:rsidRPr="005B0796">
        <w:rPr>
          <w:rFonts w:eastAsia="Times New Roman"/>
        </w:rPr>
        <w:t xml:space="preserve"> in 20 Australians misused prescription drugs in 2016 (4.8%) </w:t>
      </w:r>
      <w:r w:rsidRPr="005B0796">
        <w:rPr>
          <w:lang w:eastAsia="en-AU"/>
        </w:rPr>
        <w:fldChar w:fldCharType="begin"/>
      </w:r>
      <w:r w:rsidRPr="005B0796">
        <w:rPr>
          <w:lang w:eastAsia="en-AU"/>
        </w:rPr>
        <w:instrText xml:space="preserve"> ADDIN EN.CITE &lt;EndNote&gt;&lt;Cite&gt;&lt;Author&gt;Australian Institute of Health and Welfare&lt;/Author&gt;&lt;Year&gt;2017&lt;/Year&gt;&lt;RecNum&gt;981&lt;/RecNum&gt;&lt;DisplayText&gt;(Australian Institute of Health and Welfare, 2017b)&lt;/DisplayText&gt;&lt;record&gt;&lt;rec-number&gt;981&lt;/rec-number&gt;&lt;foreign-keys&gt;&lt;key app="EN" db-id="arwdrezp9sdawxevtfyxtfw10exvr5exxfed" timestamp="1499134994"&gt;981&lt;/key&gt;&lt;/foreign-keys&gt;&lt;ref-type name="Electronic Article"&gt;43&lt;/ref-type&gt;&lt;contributors&gt;&lt;authors&gt;&lt;author&gt;Australian Institute of Health and Welfare,&lt;/author&gt;&lt;/authors&gt;&lt;/contributors&gt;&lt;titles&gt;&lt;title&gt;National Drug Strategy Household Survey (NDSHS) 2016 key findings&lt;/title&gt;&lt;/titles&gt;&lt;dates&gt;&lt;year&gt;2017&lt;/year&gt;&lt;/dates&gt;&lt;pub-location&gt;Canberra&lt;/pub-location&gt;&lt;publisher&gt;AIHW&lt;/publisher&gt;&lt;urls&gt;&lt;related-urls&gt;&lt;url&gt;http://www.aihw.gov.au/alcohol-and-other-drugs/data-sources/ndshs-2016/key-findings/&lt;/url&gt;&lt;/related-urls&gt;&lt;/urls&gt;&lt;/record&gt;&lt;/Cite&gt;&lt;/EndNote&gt;</w:instrText>
      </w:r>
      <w:r w:rsidRPr="005B0796">
        <w:rPr>
          <w:lang w:eastAsia="en-AU"/>
        </w:rPr>
        <w:fldChar w:fldCharType="separate"/>
      </w:r>
      <w:r w:rsidRPr="005B0796">
        <w:rPr>
          <w:lang w:eastAsia="en-AU"/>
        </w:rPr>
        <w:t>(AIHW, 2017b)</w:t>
      </w:r>
      <w:r w:rsidRPr="005B0796">
        <w:rPr>
          <w:lang w:eastAsia="en-AU"/>
        </w:rPr>
        <w:fldChar w:fldCharType="end"/>
      </w:r>
      <w:r w:rsidRPr="005B0796">
        <w:rPr>
          <w:lang w:eastAsia="en-AU"/>
        </w:rPr>
        <w:t xml:space="preserve">. Internationally, rates of prescription drug misuse in current serving US members of the military is suggested to be on the rise, </w:t>
      </w:r>
      <w:r w:rsidRPr="005B0796">
        <w:t xml:space="preserve">with past-month prescription drug misuse among Active Duty service members increasing from 1.8% in 2002 to 11.1% in 2008 </w:t>
      </w:r>
      <w:r w:rsidRPr="005B0796">
        <w:fldChar w:fldCharType="begin"/>
      </w:r>
      <w:r w:rsidRPr="005B0796">
        <w:instrText xml:space="preserve"> ADDIN EN.CITE &lt;EndNote&gt;&lt;Cite&gt;&lt;Author&gt;Bray&lt;/Author&gt;&lt;Year&gt;2010&lt;/Year&gt;&lt;RecNum&gt;982&lt;/RecNum&gt;&lt;DisplayText&gt;(Bray et al., 2010)&lt;/DisplayText&gt;&lt;record&gt;&lt;rec-number&gt;982&lt;/rec-number&gt;&lt;foreign-keys&gt;&lt;key app="EN" db-id="arwdrezp9sdawxevtfyxtfw10exvr5exxfed" timestamp="1499135218"&gt;982&lt;/key&gt;&lt;/foreign-keys&gt;&lt;ref-type name="Journal Article"&gt;17&lt;/ref-type&gt;&lt;contributors&gt;&lt;authors&gt;&lt;author&gt;Bray, Robert M&lt;/author&gt;&lt;author&gt;Pemberton, Michael R&lt;/author&gt;&lt;author&gt;Lane, Marian E&lt;/author&gt;&lt;author&gt;Hourani, Laurel L&lt;/author&gt;&lt;author&gt;Mattiko, Mark J&lt;/author&gt;&lt;author&gt;Babeu, Lorraine A&lt;/author&gt;&lt;/authors&gt;&lt;/contributors&gt;&lt;titles&gt;&lt;title&gt;Substance use and mental health trends among US military active duty personnel: key findings from the 2008 DoD Health Behavior Survey&lt;/title&gt;&lt;secondary-title&gt;Military medicine&lt;/secondary-title&gt;&lt;/titles&gt;&lt;periodical&gt;&lt;full-title&gt;Military medicine&lt;/full-title&gt;&lt;/periodical&gt;&lt;pages&gt;390-399&lt;/pages&gt;&lt;volume&gt;175&lt;/volume&gt;&lt;number&gt;6&lt;/number&gt;&lt;dates&gt;&lt;year&gt;2010&lt;/year&gt;&lt;/dates&gt;&lt;urls&gt;&lt;/urls&gt;&lt;/record&gt;&lt;/Cite&gt;&lt;/EndNote&gt;</w:instrText>
      </w:r>
      <w:r w:rsidRPr="005B0796">
        <w:fldChar w:fldCharType="separate"/>
      </w:r>
      <w:r w:rsidRPr="005B0796">
        <w:t>(Bray et al., 2010)</w:t>
      </w:r>
      <w:r w:rsidRPr="005B0796">
        <w:fldChar w:fldCharType="end"/>
      </w:r>
      <w:r w:rsidRPr="005B0796">
        <w:t xml:space="preserve">; however, the rates of </w:t>
      </w:r>
      <w:r w:rsidRPr="005B0796">
        <w:rPr>
          <w:lang w:eastAsia="en-AU"/>
        </w:rPr>
        <w:t>drug use in</w:t>
      </w:r>
      <w:r w:rsidRPr="005B0796">
        <w:t xml:space="preserve"> transitioned militaries remains largely unknown. Further research is required to better understand which medication groups are being used for non-medical purposes and how patterns of use relate to patterns of mental disorder and physical conditions such as chronic pain. </w:t>
      </w:r>
    </w:p>
    <w:p w:rsidR="006866ED" w:rsidRPr="005B0796" w:rsidRDefault="006866ED" w:rsidP="00D33302">
      <w:pPr>
        <w:rPr>
          <w:rFonts w:eastAsia="Times New Roman"/>
        </w:rPr>
      </w:pPr>
      <w:r w:rsidRPr="005B0796">
        <w:rPr>
          <w:lang w:eastAsia="en-AU"/>
        </w:rPr>
        <w:t>Ex-Serving ADF members and Inactive Reservists reported similar patterns of lifetime and 12-month drug use. They were significantly more likely to report 12-month and lifetime illicit drug use, as well as 12-month and lifetime use of prescription drugs for non-medical purposes, than those in the Active Reserves. The potential for legal sanctions for drug use remains of greater significance to the Active than the Inactive Reservists</w:t>
      </w:r>
      <w:r w:rsidR="00D929FC">
        <w:rPr>
          <w:lang w:eastAsia="en-AU"/>
        </w:rPr>
        <w:t>,</w:t>
      </w:r>
      <w:r w:rsidRPr="005B0796">
        <w:rPr>
          <w:lang w:eastAsia="en-AU"/>
        </w:rPr>
        <w:t xml:space="preserve"> which may partly account for this pattern. Similar to the pattern observed with posttraumatic stress symptoms, both types of drug use (illicit and non-medical use of prescription drugs) showed a gradual increase over the first few years following years since transition, reaching a peak at three years post</w:t>
      </w:r>
      <w:r w:rsidRPr="005B0796">
        <w:rPr>
          <w:lang w:eastAsia="en-AU"/>
        </w:rPr>
        <w:noBreakHyphen/>
        <w:t xml:space="preserve">transition. This pattern highlights the importance of awareness of this risk in clinical settings. Equally it may represent self-medication of symptoms that have not been effectively treated by available therapies </w:t>
      </w:r>
      <w:r w:rsidRPr="005B0796">
        <w:rPr>
          <w:lang w:eastAsia="en-AU"/>
        </w:rPr>
        <w:fldChar w:fldCharType="begin"/>
      </w:r>
      <w:r w:rsidRPr="005B0796">
        <w:rPr>
          <w:lang w:eastAsia="en-AU"/>
        </w:rPr>
        <w:instrText xml:space="preserve"> ADDIN EN.CITE &lt;EndNote&gt;&lt;Cite&gt;&lt;Author&gt;Leeies&lt;/Author&gt;&lt;Year&gt;2010&lt;/Year&gt;&lt;RecNum&gt;983&lt;/RecNum&gt;&lt;DisplayText&gt;(Leeies et al., 2010)&lt;/DisplayText&gt;&lt;record&gt;&lt;rec-number&gt;983&lt;/rec-number&gt;&lt;foreign-keys&gt;&lt;key app="EN" db-id="arwdrezp9sdawxevtfyxtfw10exvr5exxfed" timestamp="1499135378"&gt;983&lt;/key&gt;&lt;/foreign-keys&gt;&lt;ref-type name="Journal Article"&gt;17&lt;/ref-type&gt;&lt;contributors&gt;&lt;authors&gt;&lt;author&gt;Leeies, Murdoch&lt;/author&gt;&lt;author&gt;Pagura, Jina&lt;/author&gt;&lt;author&gt;Sareen, Jitender&lt;/author&gt;&lt;author&gt;Bolton, James M&lt;/author&gt;&lt;/authors&gt;&lt;/contributors&gt;&lt;titles&gt;&lt;title&gt;The use of alcohol and drugs to self‐medicate symptoms of posttraumatic stress disorder&lt;/title&gt;&lt;secondary-title&gt;Depression and anxiety&lt;/secondary-title&gt;&lt;/titles&gt;&lt;periodical&gt;&lt;full-title&gt;Depress Anxiety&lt;/full-title&gt;&lt;abbr-1&gt;Depression and anxiety&lt;/abbr-1&gt;&lt;/periodical&gt;&lt;pages&gt;731-736&lt;/pages&gt;&lt;volume&gt;27&lt;/volume&gt;&lt;number&gt;8&lt;/number&gt;&lt;dates&gt;&lt;year&gt;2010&lt;/year&gt;&lt;/dates&gt;&lt;isbn&gt;1520-6394&lt;/isbn&gt;&lt;urls&gt;&lt;/urls&gt;&lt;/record&gt;&lt;/Cite&gt;&lt;/EndNote&gt;</w:instrText>
      </w:r>
      <w:r w:rsidRPr="005B0796">
        <w:rPr>
          <w:lang w:eastAsia="en-AU"/>
        </w:rPr>
        <w:fldChar w:fldCharType="separate"/>
      </w:r>
      <w:r w:rsidRPr="005B0796">
        <w:rPr>
          <w:lang w:eastAsia="en-AU"/>
        </w:rPr>
        <w:t>(Leeies et al., 2010)</w:t>
      </w:r>
      <w:r w:rsidRPr="005B0796">
        <w:rPr>
          <w:lang w:eastAsia="en-AU"/>
        </w:rPr>
        <w:fldChar w:fldCharType="end"/>
      </w:r>
      <w:r w:rsidRPr="005B0796">
        <w:rPr>
          <w:lang w:eastAsia="en-AU"/>
        </w:rPr>
        <w:t>. This group represents a particular concern as self-medication with drugs is a marker for suicidal ideation and risk (Leeies et al</w:t>
      </w:r>
      <w:r w:rsidR="00D929FC">
        <w:rPr>
          <w:lang w:eastAsia="en-AU"/>
        </w:rPr>
        <w:t>.</w:t>
      </w:r>
      <w:r w:rsidRPr="005B0796">
        <w:rPr>
          <w:lang w:eastAsia="en-AU"/>
        </w:rPr>
        <w:t>, 2010).</w:t>
      </w:r>
    </w:p>
    <w:p w:rsidR="006866ED" w:rsidRPr="005B0796" w:rsidRDefault="006866ED" w:rsidP="00D33302">
      <w:r w:rsidRPr="005B0796">
        <w:rPr>
          <w:color w:val="000000" w:themeColor="text1"/>
          <w:lang w:eastAsia="en-AU"/>
        </w:rPr>
        <w:t>Similar to suicidality and alcohol misuse,</w:t>
      </w:r>
      <w:r w:rsidRPr="005B0796">
        <w:t xml:space="preserve"> mental disorder (in particular PTSD) is a known significant risk factor for substance use (illicit and non-medical use of prescription drugs). </w:t>
      </w:r>
    </w:p>
    <w:p w:rsidR="006866ED" w:rsidRPr="005B0796" w:rsidRDefault="006866ED" w:rsidP="00D33302">
      <w:r w:rsidRPr="005B0796">
        <w:t xml:space="preserve">A further marker is chronic pain, including mild traumatic brain injury (mTBI) whereby military personnel are suspected to misuse prescription drugs as part of maladaptive coping with deployment-related injuries, pain or psychological injury </w:t>
      </w:r>
      <w:r w:rsidRPr="005B0796">
        <w:fldChar w:fldCharType="begin"/>
      </w:r>
      <w:r w:rsidRPr="005B0796">
        <w:instrText xml:space="preserve"> ADDIN EN.CITE &lt;EndNote&gt;&lt;Cite&gt;&lt;Author&gt;Jacobsen&lt;/Author&gt;&lt;Year&gt;2001&lt;/Year&gt;&lt;RecNum&gt;984&lt;/RecNum&gt;&lt;DisplayText&gt;(Jacobsen et al., 2001; Dao &amp;amp; Frosch, 2010)&lt;/DisplayText&gt;&lt;record&gt;&lt;rec-number&gt;984&lt;/rec-number&gt;&lt;foreign-keys&gt;&lt;key app="EN" db-id="arwdrezp9sdawxevtfyxtfw10exvr5exxfed" timestamp="1499135484"&gt;984&lt;/key&gt;&lt;/foreign-keys&gt;&lt;ref-type name="Journal Article"&gt;17&lt;/ref-type&gt;&lt;contributors&gt;&lt;authors&gt;&lt;author&gt;Jacobsen, Leslie K&lt;/author&gt;&lt;author&gt;Southwick, Steven M&lt;/author&gt;&lt;author&gt;Kosten, Thomas R&lt;/author&gt;&lt;/authors&gt;&lt;/contributors&gt;&lt;titles&gt;&lt;title&gt;Substance use disorders in patients with posttraumatic stress disorder: a review of the literature&lt;/title&gt;&lt;secondary-title&gt;American Journal of Psychiatry&lt;/secondary-title&gt;&lt;/titles&gt;&lt;periodical&gt;&lt;full-title&gt;American Journal of Psychiatry&lt;/full-title&gt;&lt;/periodical&gt;&lt;pages&gt;1184-1190&lt;/pages&gt;&lt;volume&gt;158&lt;/volume&gt;&lt;number&gt;8&lt;/number&gt;&lt;dates&gt;&lt;year&gt;2001&lt;/year&gt;&lt;/dates&gt;&lt;isbn&gt;0002-953X&lt;/isbn&gt;&lt;urls&gt;&lt;/urls&gt;&lt;/record&gt;&lt;/Cite&gt;&lt;Cite&gt;&lt;Author&gt;Dao&lt;/Author&gt;&lt;Year&gt;2010&lt;/Year&gt;&lt;RecNum&gt;985&lt;/RecNum&gt;&lt;record&gt;&lt;rec-number&gt;985&lt;/rec-number&gt;&lt;foreign-keys&gt;&lt;key app="EN" db-id="arwdrezp9sdawxevtfyxtfw10exvr5exxfed" timestamp="1499135708"&gt;985&lt;/key&gt;&lt;/foreign-keys&gt;&lt;ref-type name="Journal Article"&gt;17&lt;/ref-type&gt;&lt;contributors&gt;&lt;authors&gt;&lt;author&gt;Dao, James&lt;/author&gt;&lt;author&gt;Frosch, Dan&lt;/author&gt;&lt;/authors&gt;&lt;/contributors&gt;&lt;titles&gt;&lt;title&gt;Feeling warehoused in army trauma care units&lt;/title&gt;&lt;secondary-title&gt;The New York Times&lt;/secondary-title&gt;&lt;/titles&gt;&lt;periodical&gt;&lt;full-title&gt;The New York Times&lt;/full-title&gt;&lt;/periodical&gt;&lt;volume&gt;24&lt;/volume&gt;&lt;dates&gt;&lt;year&gt;2010&lt;/year&gt;&lt;/dates&gt;&lt;urls&gt;&lt;/urls&gt;&lt;/record&gt;&lt;/Cite&gt;&lt;/EndNote&gt;</w:instrText>
      </w:r>
      <w:r w:rsidRPr="005B0796">
        <w:fldChar w:fldCharType="separate"/>
      </w:r>
      <w:r w:rsidRPr="005B0796">
        <w:t>(Jacobsen et al., 2001; Dao &amp; Frosch, 2010)</w:t>
      </w:r>
      <w:r w:rsidRPr="005B0796">
        <w:fldChar w:fldCharType="end"/>
      </w:r>
      <w:r w:rsidRPr="005B0796">
        <w:t xml:space="preserve">. There is substantial evidence that individuals with PTSD self-medicate with alcohol and drugs </w:t>
      </w:r>
      <w:r w:rsidRPr="005B0796">
        <w:fldChar w:fldCharType="begin"/>
      </w:r>
      <w:r w:rsidRPr="005B0796">
        <w:instrText xml:space="preserve"> ADDIN EN.CITE &lt;EndNote&gt;&lt;Cite&gt;&lt;Author&gt;Haller&lt;/Author&gt;&lt;Year&gt;2014&lt;/Year&gt;&lt;RecNum&gt;937&lt;/RecNum&gt;&lt;DisplayText&gt;(Haller &amp;amp; Chassin, 2014; Simpson et al., 2014)&lt;/DisplayText&gt;&lt;record&gt;&lt;rec-number&gt;937&lt;/rec-number&gt;&lt;foreign-keys&gt;&lt;key app="EN" db-id="arwdrezp9sdawxevtfyxtfw10exvr5exxfed" timestamp="1493000392"&gt;937&lt;/key&gt;&lt;/foreign-keys&gt;&lt;ref-type name="Journal Article"&gt;17&lt;/ref-type&gt;&lt;contributors&gt;&lt;authors&gt;&lt;author&gt;Haller, Moira&lt;/author&gt;&lt;author&gt;Chassin, Laurie&lt;/author&gt;&lt;/authors&gt;&lt;/contributors&gt;&lt;titles&gt;&lt;title&gt;Risk pathways among traumatic stress, posttraumatic stress disorder symptoms, and alcohol and drug problems: A test of four hypotheses&lt;/title&gt;&lt;secondary-title&gt;Psychology of Addictive Behaviors&lt;/secondary-title&gt;&lt;/titles&gt;&lt;periodical&gt;&lt;full-title&gt;Psychology of Addictive Behaviors&lt;/full-title&gt;&lt;/periodical&gt;&lt;pages&gt;841-851.&lt;/pages&gt;&lt;volume&gt;28&lt;/volume&gt;&lt;number&gt;3&lt;/number&gt;&lt;dates&gt;&lt;year&gt;2014&lt;/year&gt;&lt;/dates&gt;&lt;isbn&gt;1939-1501&lt;/isbn&gt;&lt;urls&gt;&lt;related-urls&gt;&lt;url&gt;http://ovidsp.tx.ovid.com/ovftpdfs/FPDDNCLBPGPGFG00/fs047/ovft/live/gv024/00011970/00011970-201409000-00022.pdf&lt;/url&gt;&lt;/related-urls&gt;&lt;/urls&gt;&lt;/record&gt;&lt;/Cite&gt;&lt;Cite&gt;&lt;Author&gt;Simpson&lt;/Author&gt;&lt;Year&gt;2014&lt;/Year&gt;&lt;RecNum&gt;936&lt;/RecNum&gt;&lt;record&gt;&lt;rec-number&gt;936&lt;/rec-number&gt;&lt;foreign-keys&gt;&lt;key app="EN" db-id="arwdrezp9sdawxevtfyxtfw10exvr5exxfed" timestamp="1493000270"&gt;936&lt;/key&gt;&lt;/foreign-keys&gt;&lt;ref-type name="Journal Article"&gt;17&lt;/ref-type&gt;&lt;contributors&gt;&lt;authors&gt;&lt;author&gt;Simpson, Tracy L&lt;/author&gt;&lt;author&gt;Stappenbeck, Cynthia A&lt;/author&gt;&lt;author&gt;Luterek, Jane A&lt;/author&gt;&lt;author&gt;Lehavot, Keren&lt;/author&gt;&lt;author&gt;Kaysen, Debra L&lt;/author&gt;&lt;/authors&gt;&lt;/contributors&gt;&lt;titles&gt;&lt;title&gt;Drinking motives moderate daily relationships between PTSD symptoms and alcohol use&lt;/title&gt;&lt;secondary-title&gt;Journal of abnormal psychology&lt;/secondary-title&gt;&lt;/titles&gt;&lt;periodical&gt;&lt;full-title&gt;Journal of abnormal psychology&lt;/full-title&gt;&lt;/periodical&gt;&lt;pages&gt;237&lt;/pages&gt;&lt;volume&gt;123&lt;/volume&gt;&lt;number&gt;1&lt;/number&gt;&lt;dates&gt;&lt;year&gt;2014&lt;/year&gt;&lt;/dates&gt;&lt;isbn&gt;1939-1846&lt;/isbn&gt;&lt;urls&gt;&lt;/urls&gt;&lt;/record&gt;&lt;/Cite&gt;&lt;/EndNote&gt;</w:instrText>
      </w:r>
      <w:r w:rsidRPr="005B0796">
        <w:fldChar w:fldCharType="separate"/>
      </w:r>
      <w:r w:rsidRPr="005B0796">
        <w:t>(Haller &amp; Chassin, 2014; Simpson et al., 2014)</w:t>
      </w:r>
      <w:r w:rsidRPr="005B0796">
        <w:fldChar w:fldCharType="end"/>
      </w:r>
      <w:r w:rsidRPr="005B0796">
        <w:t xml:space="preserve">. Further research should examine the association between deployment-related exposures and injuries, and other risk and protective factors for substance use among Transitioned ADF members. The interaction between PTSD and substance use represents specific challenges in the treatment setting. In general, the evidence suggests that both disorders should be treated in conjunction due to drugs and alcohol usage represent self-medication </w:t>
      </w:r>
      <w:r w:rsidRPr="005B0796">
        <w:fldChar w:fldCharType="begin"/>
      </w:r>
      <w:r w:rsidRPr="005B0796">
        <w:instrText xml:space="preserve"> ADDIN EN.CITE &lt;EndNote&gt;&lt;Cite&gt;&lt;Author&gt;Simpson&lt;/Author&gt;&lt;Year&gt;2012&lt;/Year&gt;&lt;RecNum&gt;986&lt;/RecNum&gt;&lt;DisplayText&gt;(Simpson et al., 2012)&lt;/DisplayText&gt;&lt;record&gt;&lt;rec-number&gt;986&lt;/rec-number&gt;&lt;foreign-keys&gt;&lt;key app="EN" db-id="arwdrezp9sdawxevtfyxtfw10exvr5exxfed" timestamp="1499135861"&gt;986&lt;/key&gt;&lt;/foreign-keys&gt;&lt;ref-type name="Journal Article"&gt;17&lt;/ref-type&gt;&lt;contributors&gt;&lt;authors&gt;&lt;author&gt;Simpson, Tracy L&lt;/author&gt;&lt;author&gt;Stappenbeck, Cynthia A&lt;/author&gt;&lt;author&gt;Varra, Alethea A&lt;/author&gt;&lt;author&gt;Moore, Sally A&lt;/author&gt;&lt;author&gt;Kaysen, Debra&lt;/author&gt;&lt;/authors&gt;&lt;/contributors&gt;&lt;titles&gt;&lt;title&gt;Symptoms of posttraumatic stress predict craving among alcohol treatment seekers: Results of a daily monitoring study&lt;/title&gt;&lt;secondary-title&gt;Psychology of Addictive Behaviors&lt;/secondary-title&gt;&lt;/titles&gt;&lt;periodical&gt;&lt;full-title&gt;Psychology of Addictive Behaviors&lt;/full-title&gt;&lt;/periodical&gt;&lt;pages&gt;724&lt;/pages&gt;&lt;volume&gt;26&lt;/volume&gt;&lt;number&gt;4&lt;/number&gt;&lt;dates&gt;&lt;year&gt;2012&lt;/year&gt;&lt;/dates&gt;&lt;isbn&gt;1939-1501&lt;/isbn&gt;&lt;urls&gt;&lt;/urls&gt;&lt;/record&gt;&lt;/Cite&gt;&lt;/EndNote&gt;</w:instrText>
      </w:r>
      <w:r w:rsidRPr="005B0796">
        <w:fldChar w:fldCharType="separate"/>
      </w:r>
      <w:r w:rsidRPr="005B0796">
        <w:t>(Simpson et al., 2012)</w:t>
      </w:r>
      <w:r w:rsidRPr="005B0796">
        <w:fldChar w:fldCharType="end"/>
      </w:r>
      <w:r w:rsidRPr="005B0796">
        <w:t xml:space="preserve">. A further area that requires investigation is the relationship between aggression and drug and alcohol use in this population </w:t>
      </w:r>
      <w:r w:rsidRPr="005B0796">
        <w:fldChar w:fldCharType="begin"/>
      </w:r>
      <w:r w:rsidRPr="005B0796">
        <w:instrText xml:space="preserve"> ADDIN EN.CITE &lt;EndNote&gt;&lt;Cite&gt;&lt;Author&gt;Watkins&lt;/Author&gt;&lt;Year&gt;2017&lt;/Year&gt;&lt;RecNum&gt;987&lt;/RecNum&gt;&lt;DisplayText&gt;(Watkins et al., 2017)&lt;/DisplayText&gt;&lt;record&gt;&lt;rec-number&gt;987&lt;/rec-number&gt;&lt;foreign-keys&gt;&lt;key app="EN" db-id="arwdrezp9sdawxevtfyxtfw10exvr5exxfed" timestamp="1499135942"&gt;987&lt;/key&gt;&lt;/foreign-keys&gt;&lt;ref-type name="Journal Article"&gt;17&lt;/ref-type&gt;&lt;contributors&gt;&lt;authors&gt;&lt;author&gt;Watkins, Laura E&lt;/author&gt;&lt;author&gt;Sippel, Lauren M&lt;/author&gt;&lt;author&gt;Pietrzak, Robert H&lt;/author&gt;&lt;author&gt;Hoff, Rani&lt;/author&gt;&lt;author&gt;Harpaz-Rotem, Ilan&lt;/author&gt;&lt;/authors&gt;&lt;/contributors&gt;&lt;titles&gt;&lt;title&gt;Co-occurring aggression and suicide attempt among veterans entering residential treatment for PTSD: The role of PTSD symptom clusters and alcohol misuse&lt;/title&gt;&lt;secondary-title&gt;Journal of psychiatric research&lt;/secondary-title&gt;&lt;/titles&gt;&lt;periodical&gt;&lt;full-title&gt;Journal of Psychiatric Research&lt;/full-title&gt;&lt;/periodical&gt;&lt;pages&gt;8-14&lt;/pages&gt;&lt;volume&gt;87&lt;/volume&gt;&lt;dates&gt;&lt;year&gt;2017&lt;/year&gt;&lt;/dates&gt;&lt;isbn&gt;0022-3956&lt;/isbn&gt;&lt;urls&gt;&lt;/urls&gt;&lt;/record&gt;&lt;/Cite&gt;&lt;/EndNote&gt;</w:instrText>
      </w:r>
      <w:r w:rsidRPr="005B0796">
        <w:fldChar w:fldCharType="separate"/>
      </w:r>
      <w:r w:rsidRPr="005B0796">
        <w:t>(Watkins et al., 2017)</w:t>
      </w:r>
      <w:r w:rsidRPr="005B0796">
        <w:fldChar w:fldCharType="end"/>
      </w:r>
      <w:r w:rsidRPr="005B0796">
        <w:t xml:space="preserve">, as this carries with it a substantial societal and individual cost. </w:t>
      </w:r>
    </w:p>
    <w:p w:rsidR="006866ED" w:rsidRPr="005B0796" w:rsidRDefault="006866ED" w:rsidP="00D33302">
      <w:pPr>
        <w:pStyle w:val="Heading3"/>
      </w:pPr>
      <w:bookmarkStart w:id="1422" w:name="_Toc487011281"/>
      <w:bookmarkStart w:id="1423" w:name="_Toc493663176"/>
      <w:bookmarkStart w:id="1424" w:name="_Toc494449801"/>
      <w:bookmarkStart w:id="1425" w:name="_Toc511900383"/>
      <w:r w:rsidRPr="005B0796">
        <w:t>Implications of the dimensional data analyses</w:t>
      </w:r>
      <w:bookmarkEnd w:id="1422"/>
      <w:bookmarkEnd w:id="1423"/>
      <w:bookmarkEnd w:id="1424"/>
      <w:bookmarkEnd w:id="1425"/>
    </w:p>
    <w:p w:rsidR="006866ED" w:rsidRPr="005B0796" w:rsidRDefault="006866ED" w:rsidP="00D33302">
      <w:r w:rsidRPr="005B0796">
        <w:t xml:space="preserve">Together these data further confirm that the Transitioned ADF are a population with substantially higher levels of psychological distress than those who remain in the ADF, including the Reserves. Strategies such as ongoing screening while in the Active and Inactive Reserves is one method of case definition for the purposes of early intervention. While disorder and symptomatology are lower among the Reservists than the Ex-Serving Transitioned ADF, they are still higher than observed in the 2015 Regular ADF, suggesting a need for greater screening and intervention. </w:t>
      </w:r>
    </w:p>
    <w:p w:rsidR="006866ED" w:rsidRPr="005B0796" w:rsidRDefault="006866ED" w:rsidP="00D33302">
      <w:r w:rsidRPr="005B0796">
        <w:t>Equally, at the point of discharge from the Reserves, a further screen and thorough medical should be conducted, similar to what is currently in place for ADF members transitioning from full-time service. An important unanswered question is how the patterns of distress in the Transitioned ADF will progress in the future. This again underscores the importance of considering approaches to monitoring health conditions and the need for ongoing health surveillance of this group.</w:t>
      </w:r>
    </w:p>
    <w:p w:rsidR="006866ED" w:rsidRPr="005B0796" w:rsidRDefault="006866ED" w:rsidP="00D33302">
      <w:r w:rsidRPr="005B0796">
        <w:t xml:space="preserve">The self-report data discussed here highlights the importance of considering mental health symptoms according to a dimensional perspective. In particular, these symptoms should be considered in light of the increasing emphasis in psychiatry to examine the prodromal symptoms of mental disorder, because of the substantial benefits of early intervention </w:t>
      </w:r>
      <w:r w:rsidRPr="005B0796">
        <w:fldChar w:fldCharType="begin"/>
      </w:r>
      <w:r w:rsidRPr="005B0796">
        <w:instrText xml:space="preserve"> ADDIN EN.CITE &lt;EndNote&gt;&lt;Cite&gt;&lt;Author&gt;McGorry&lt;/Author&gt;&lt;Year&gt;2016&lt;/Year&gt;&lt;RecNum&gt;594&lt;/RecNum&gt;&lt;DisplayText&gt;(McGorry &amp;amp; Nelson 2016)&lt;/DisplayText&gt;&lt;record&gt;&lt;rec-number&gt;594&lt;/rec-number&gt;&lt;foreign-keys&gt;&lt;key app="EN" db-id="arwdrezp9sdawxevtfyxtfw10exvr5exxfed" timestamp="1479351243"&gt;594&lt;/key&gt;&lt;/foreign-keys&gt;&lt;ref-type name="Journal Article"&gt;17&lt;/ref-type&gt;&lt;contributors&gt;&lt;authors&gt;&lt;author&gt;McGorry, P.&lt;/author&gt;&lt;author&gt;Nelson ,B.&lt;/author&gt;&lt;/authors&gt;&lt;/contributors&gt;&lt;titles&gt;&lt;title&gt;Why We Need a Transdiagnostic Staging Approach to Emerging Psychopathology, Early Diagnosis, and Treatment&lt;/title&gt;&lt;secondary-title&gt;JAMA Psychiatry. &lt;/secondary-title&gt;&lt;/titles&gt;&lt;periodical&gt;&lt;full-title&gt;JAMA Psychiatry.&lt;/full-title&gt;&lt;/periodical&gt;&lt;pages&gt;191-2&lt;/pages&gt;&lt;volume&gt;73&lt;/volume&gt;&lt;number&gt;3&lt;/number&gt;&lt;dates&gt;&lt;year&gt;2016&lt;/year&gt;&lt;/dates&gt;&lt;urls&gt;&lt;/urls&gt;&lt;/record&gt;&lt;/Cite&gt;&lt;/EndNote&gt;</w:instrText>
      </w:r>
      <w:r w:rsidRPr="005B0796">
        <w:fldChar w:fldCharType="separate"/>
      </w:r>
      <w:r w:rsidRPr="005B0796">
        <w:t>(McGorry &amp; Nelson, 2016)</w:t>
      </w:r>
      <w:r w:rsidRPr="005B0796">
        <w:fldChar w:fldCharType="end"/>
      </w:r>
      <w:r w:rsidRPr="005B0796">
        <w:t xml:space="preserve">. Particularly for the younger age groups in the ADF, the body of research following adolescent populations into adulthood is of some relevance. In the area of adolescent mental health, symptoms of dysphoria and distress have equally attracted increasing investigation because of their ability to predict adult mental disorder, an approach that is relevant to younger ADF recruits </w:t>
      </w:r>
      <w:r w:rsidRPr="005B0796">
        <w:fldChar w:fldCharType="begin"/>
      </w:r>
      <w:r w:rsidRPr="005B0796">
        <w:instrText xml:space="preserve"> ADDIN EN.CITE &lt;EndNote&gt;&lt;Cite&gt;&lt;Author&gt;Pine&lt;/Author&gt;&lt;Year&gt;1999&lt;/Year&gt;&lt;RecNum&gt;590&lt;/RecNum&gt;&lt;DisplayText&gt;(Pine et al., 1999)&lt;/DisplayText&gt;&lt;record&gt;&lt;rec-number&gt;590&lt;/rec-number&gt;&lt;foreign-keys&gt;&lt;key app="EN" db-id="arwdrezp9sdawxevtfyxtfw10exvr5exxfed" timestamp="1479350140"&gt;590&lt;/key&gt;&lt;/foreign-keys&gt;&lt;ref-type name="Journal Article"&gt;17&lt;/ref-type&gt;&lt;contributors&gt;&lt;authors&gt;&lt;author&gt;Pine, D.S.&lt;/author&gt;&lt;author&gt;Cohen E, &lt;/author&gt;&lt;author&gt;Cohen ,P.&lt;/author&gt;&lt;author&gt;Brook J. &lt;/author&gt;&lt;/authors&gt;&lt;/contributors&gt;&lt;titles&gt;&lt;title&gt;Adolescent depressive symptoms as predictors of adult depression: moodiness or mood disorder?&lt;/title&gt;&lt;secondary-title&gt; Am J Psychiatry&lt;/secondary-title&gt;&lt;/titles&gt;&lt;pages&gt;133-5&lt;/pages&gt;&lt;volume&gt;56&lt;/volume&gt;&lt;number&gt;1&lt;/number&gt;&lt;dates&gt;&lt;year&gt;1999&lt;/year&gt;&lt;/dates&gt;&lt;urls&gt;&lt;/urls&gt;&lt;/record&gt;&lt;/Cite&gt;&lt;/EndNote&gt;</w:instrText>
      </w:r>
      <w:r w:rsidRPr="005B0796">
        <w:fldChar w:fldCharType="separate"/>
      </w:r>
      <w:r w:rsidRPr="005B0796">
        <w:t>(Pine et al., 1999)</w:t>
      </w:r>
      <w:r w:rsidRPr="005B0796">
        <w:fldChar w:fldCharType="end"/>
      </w:r>
      <w:r w:rsidRPr="005B0796">
        <w:t xml:space="preserve">. Individuals who join the ADF at age 18 are at relatively high risk of </w:t>
      </w:r>
      <w:r w:rsidR="00D929FC">
        <w:t xml:space="preserve">an </w:t>
      </w:r>
      <w:r w:rsidRPr="005B0796">
        <w:t>emerging disorder, and so their mental health requires consideration and monitoring. This is in part ameliorated by the recent Defence trial and potential expansion of a mental health screening continuum</w:t>
      </w:r>
      <w:r w:rsidR="00D929FC">
        <w:t>,</w:t>
      </w:r>
      <w:r w:rsidRPr="005B0796">
        <w:t xml:space="preserve"> which provides opportunistic screening across the career span of ADF members </w:t>
      </w:r>
      <w:r w:rsidRPr="005B0796">
        <w:fldChar w:fldCharType="begin"/>
      </w:r>
      <w:r w:rsidRPr="005B0796">
        <w:instrText xml:space="preserve"> ADDIN EN.CITE &lt;EndNote&gt;&lt;Cite&gt;&lt;Author&gt;O’Donnell&lt;/Author&gt;&lt;Year&gt;2014&lt;/Year&gt;&lt;RecNum&gt;990&lt;/RecNum&gt;&lt;DisplayText&gt;(O’Donnell et al., 2014)&lt;/DisplayText&gt;&lt;record&gt;&lt;rec-number&gt;990&lt;/rec-number&gt;&lt;foreign-keys&gt;&lt;key app="EN" db-id="arwdrezp9sdawxevtfyxtfw10exvr5exxfed" timestamp="1499213787"&gt;990&lt;/key&gt;&lt;/foreign-keys&gt;&lt;ref-type name="Book"&gt;6&lt;/ref-type&gt;&lt;contributors&gt;&lt;authors&gt;&lt;author&gt;O’Donnell, ML., &lt;/author&gt;&lt;author&gt;Dell, L., &lt;/author&gt;&lt;author&gt;Fletcher, S., &lt;/author&gt;&lt;author&gt;Couineau, AL., &lt;/author&gt;&lt;author&gt;Forbes, D.  &lt;/author&gt;&lt;/authors&gt;&lt;/contributors&gt;&lt;titles&gt;&lt;title&gt;The Australian Defence Force Mental Health Screening Continuum Framework: Full Report.&lt;/title&gt;&lt;/titles&gt;&lt;dates&gt;&lt;year&gt;2014&lt;/year&gt;&lt;/dates&gt;&lt;pub-location&gt;Canberra&lt;/pub-location&gt;&lt;publisher&gt;Department of Defence&lt;/publisher&gt;&lt;urls&gt;&lt;/urls&gt;&lt;/record&gt;&lt;/Cite&gt;&lt;/EndNote&gt;</w:instrText>
      </w:r>
      <w:r w:rsidRPr="005B0796">
        <w:fldChar w:fldCharType="separate"/>
      </w:r>
      <w:r w:rsidRPr="005B0796">
        <w:t>(O</w:t>
      </w:r>
      <w:r w:rsidR="00462A0C" w:rsidRPr="005B0796">
        <w:t>’</w:t>
      </w:r>
      <w:r w:rsidRPr="005B0796">
        <w:t>Donnell et al., 2014)</w:t>
      </w:r>
      <w:r w:rsidRPr="005B0796">
        <w:fldChar w:fldCharType="end"/>
      </w:r>
      <w:r w:rsidRPr="005B0796">
        <w:t>. However, the results of this report suggest that consideration of novel approaches to support access to care for early service leavers may also be justified.</w:t>
      </w:r>
    </w:p>
    <w:p w:rsidR="006866ED" w:rsidRPr="005B0796" w:rsidRDefault="006866ED" w:rsidP="00D33302">
      <w:r w:rsidRPr="005B0796">
        <w:t xml:space="preserve">A further corollary of the utility of a dimensional perspective of symptomatic distress is the use of a staging approach in understanding the development of mental disorders and to develop optimal treatment strategies </w:t>
      </w:r>
      <w:r w:rsidRPr="005B0796">
        <w:fldChar w:fldCharType="begin"/>
      </w:r>
      <w:r w:rsidRPr="005B0796">
        <w:instrText xml:space="preserve"> ADDIN EN.CITE &lt;EndNote&gt;&lt;Cite&gt;&lt;Author&gt;McGorry&lt;/Author&gt;&lt;Year&gt;2014&lt;/Year&gt;&lt;RecNum&gt;944&lt;/RecNum&gt;&lt;DisplayText&gt;(McGorry et al., 2014; McGorry et al., 2006)&lt;/DisplayText&gt;&lt;record&gt;&lt;rec-number&gt;944&lt;/rec-number&gt;&lt;foreign-keys&gt;&lt;key app="EN" db-id="arwdrezp9sdawxevtfyxtfw10exvr5exxfed" timestamp="1493001320"&gt;944&lt;/key&gt;&lt;/foreign-keys&gt;&lt;ref-type name="Journal Article"&gt;17&lt;/ref-type&gt;&lt;contributors&gt;&lt;authors&gt;&lt;author&gt;McGorry, Patrick&lt;/author&gt;&lt;author&gt;Keshavan, Matcheri&lt;/author&gt;&lt;author&gt;Goldstone, Sherilyn&lt;/author&gt;&lt;author&gt;Amminger, Paul&lt;/author&gt;&lt;author&gt;Allott, Kelly&lt;/author&gt;&lt;author&gt;Berk, Michael&lt;/author&gt;&lt;author&gt;Lavoie, Suzie&lt;/author&gt;&lt;author&gt;Pantelis, Christos&lt;/author&gt;&lt;author&gt;Yung, Alison&lt;/author&gt;&lt;author&gt;Wood, Stephen&lt;/author&gt;&lt;/authors&gt;&lt;/contributors&gt;&lt;titles&gt;&lt;title&gt;Biomarkers and clinical staging in psychiatry&lt;/title&gt;&lt;secondary-title&gt;World Psychiatry&lt;/secondary-title&gt;&lt;/titles&gt;&lt;periodical&gt;&lt;full-title&gt;World Psychiatry&lt;/full-title&gt;&lt;/periodical&gt;&lt;pages&gt;211-223&lt;/pages&gt;&lt;volume&gt;13&lt;/volume&gt;&lt;number&gt;3&lt;/number&gt;&lt;dates&gt;&lt;year&gt;2014&lt;/year&gt;&lt;/dates&gt;&lt;isbn&gt;2051-5545&lt;/isbn&gt;&lt;urls&gt;&lt;/urls&gt;&lt;/record&gt;&lt;/Cite&gt;&lt;Cite&gt;&lt;Author&gt;McGorry&lt;/Author&gt;&lt;Year&gt;2006&lt;/Year&gt;&lt;RecNum&gt;945&lt;/RecNum&gt;&lt;record&gt;&lt;rec-number&gt;945&lt;/rec-number&gt;&lt;foreign-keys&gt;&lt;key app="EN" db-id="arwdrezp9sdawxevtfyxtfw10exvr5exxfed" timestamp="1493001431"&gt;945&lt;/key&gt;&lt;/foreign-keys&gt;&lt;ref-type name="Journal Article"&gt;17&lt;/ref-type&gt;&lt;contributors&gt;&lt;authors&gt;&lt;author&gt;McGorry, Patrick D&lt;/author&gt;&lt;author&gt;Hickie, Ian B&lt;/author&gt;&lt;author&gt;Yung, Alison R&lt;/author&gt;&lt;author&gt;Pantelis, Christos&lt;/author&gt;&lt;author&gt;Jackson, Henry J&lt;/author&gt;&lt;/authors&gt;&lt;/contributors&gt;&lt;titles&gt;&lt;title&gt;Clinical staging of psychiatric disorders: a heuristic framework for choosing earlier, safer and more effective interventions&lt;/title&gt;&lt;secondary-title&gt;Australian and New Zealand Journal of Psychiatry&lt;/secondary-title&gt;&lt;/titles&gt;&lt;periodical&gt;&lt;full-title&gt;Australian and New Zealand Journal of Psychiatry&lt;/full-title&gt;&lt;/periodical&gt;&lt;pages&gt;616-622&lt;/pages&gt;&lt;volume&gt;40&lt;/volume&gt;&lt;number&gt;8&lt;/number&gt;&lt;dates&gt;&lt;year&gt;2006&lt;/year&gt;&lt;/dates&gt;&lt;isbn&gt;1440-1614&lt;/isbn&gt;&lt;urls&gt;&lt;/urls&gt;&lt;/record&gt;&lt;/Cite&gt;&lt;/EndNote&gt;</w:instrText>
      </w:r>
      <w:r w:rsidRPr="005B0796">
        <w:fldChar w:fldCharType="separate"/>
      </w:r>
      <w:r w:rsidRPr="005B0796">
        <w:t>(McGorry et al., 2014; McGorry et al., 2006)</w:t>
      </w:r>
      <w:r w:rsidRPr="005B0796">
        <w:fldChar w:fldCharType="end"/>
      </w:r>
      <w:r w:rsidRPr="005B0796">
        <w:t xml:space="preserve">. The staging approach postulates that the boundaries between syndromes and disorders are not as distinct as often assumed, and that comorbidity is the rule rather than the exception. It is recognised that the early stages of developing mental disorders are complex and less differentiated than the strict diagnostic categories would suggest. Emerging psychopathology represents a mixture of changes in motivation, anxiety and depression, and affect dysregulation: all dimensions of adaptation that interact with each other </w:t>
      </w:r>
      <w:r w:rsidRPr="005B0796">
        <w:fldChar w:fldCharType="begin">
          <w:fldData xml:space="preserve">PEVuZE5vdGU+PENpdGU+PEF1dGhvcj5NY0ZhcmxhbmU8L0F1dGhvcj48WWVhcj4yMDE3PC9ZZWFy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</w:fldData>
        </w:fldChar>
      </w:r>
      <w:r w:rsidRPr="005B0796">
        <w:instrText xml:space="preserve"> ADDIN EN.CITE </w:instrText>
      </w:r>
      <w:r w:rsidRPr="005B0796">
        <w:fldChar w:fldCharType="begin">
          <w:fldData xml:space="preserve">PEVuZE5vdGU+PENpdGU+PEF1dGhvcj5NY0ZhcmxhbmU8L0F1dGhvcj48WWVhcj4yMDE3PC9ZZWFy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</w:fldData>
        </w:fldChar>
      </w:r>
      <w:r w:rsidRPr="005B0796">
        <w:instrText xml:space="preserve"> ADDIN EN.CITE.DATA </w:instrText>
      </w:r>
      <w:r w:rsidRPr="005B0796">
        <w:fldChar w:fldCharType="end"/>
      </w:r>
      <w:r w:rsidRPr="005B0796">
        <w:fldChar w:fldCharType="separate"/>
      </w:r>
      <w:r w:rsidRPr="005B0796">
        <w:t>(McFarlane et al., 2017; McGorry &amp; Nelson 2016)</w:t>
      </w:r>
      <w:r w:rsidRPr="005B0796">
        <w:fldChar w:fldCharType="end"/>
      </w:r>
      <w:r w:rsidRPr="005B0796">
        <w:t xml:space="preserve">. </w:t>
      </w:r>
    </w:p>
    <w:p w:rsidR="006866ED" w:rsidRPr="005B0796" w:rsidRDefault="006866ED" w:rsidP="00D33302">
      <w:r w:rsidRPr="005B0796">
        <w:t>Clinical staging is an approach that captures these emerging dimensions of psychiatric morbidity, better defining the risk and emphasising the importance of differential intervention strategies according to the severity of symptomatic distress. The development of this approach has the potential to lead to treatments better tailored to the fluidity, severity and chronicity of an individual</w:t>
      </w:r>
      <w:r w:rsidR="00462A0C" w:rsidRPr="005B0796">
        <w:t>’</w:t>
      </w:r>
      <w:r w:rsidRPr="005B0796">
        <w:t>s disorder.</w:t>
      </w:r>
    </w:p>
    <w:p w:rsidR="006866ED" w:rsidRPr="005B0796" w:rsidRDefault="006866ED" w:rsidP="00D33302">
      <w:r w:rsidRPr="005B0796">
        <w:t>In summary, Transitioned ADF and Regular ADF members with sub</w:t>
      </w:r>
      <w:r w:rsidR="00520FC8" w:rsidRPr="005B0796">
        <w:t>-</w:t>
      </w:r>
      <w:r w:rsidRPr="005B0796">
        <w:t>syndromal levels of distress, irrespective of their age, represent a group that is at significant risk into the future. Hence, the rates of diagnosable mental disorder documented in this report need to be considered against the background of this further pool of potential distress. This level of sub</w:t>
      </w:r>
      <w:r w:rsidR="00520FC8" w:rsidRPr="005B0796">
        <w:t>-</w:t>
      </w:r>
      <w:r w:rsidRPr="005B0796">
        <w:t>syndromal distress points to the future risk of both mental and physical morbidity in the 2015 Regular ADF and the Transitioned ADF. The levels of self-reported distress also highlight the potential opportunity for interventions to be provided at a population level.</w:t>
      </w:r>
    </w:p>
    <w:p w:rsidR="006866ED" w:rsidRPr="005B0796" w:rsidRDefault="006866ED" w:rsidP="00D33302">
      <w:pPr>
        <w:pStyle w:val="Heading2"/>
      </w:pPr>
      <w:bookmarkStart w:id="1426" w:name="_Toc482021430"/>
      <w:bookmarkStart w:id="1427" w:name="_Toc482024522"/>
      <w:bookmarkStart w:id="1428" w:name="_Toc487011282"/>
      <w:bookmarkStart w:id="1429" w:name="_Toc493663177"/>
      <w:bookmarkStart w:id="1430" w:name="_Toc494449802"/>
      <w:bookmarkStart w:id="1431" w:name="_Toc511900384"/>
      <w:r w:rsidRPr="005B0796">
        <w:t xml:space="preserve">The Transitioned ADF compared to the </w:t>
      </w:r>
      <w:bookmarkEnd w:id="1426"/>
      <w:bookmarkEnd w:id="1427"/>
      <w:bookmarkEnd w:id="1428"/>
      <w:r w:rsidRPr="005B0796">
        <w:t>Australian Community</w:t>
      </w:r>
      <w:bookmarkEnd w:id="1429"/>
      <w:bookmarkEnd w:id="1430"/>
      <w:bookmarkEnd w:id="1431"/>
    </w:p>
    <w:p w:rsidR="006866ED" w:rsidRPr="005B0796" w:rsidRDefault="006866ED" w:rsidP="00D33302">
      <w:r w:rsidRPr="005B0796">
        <w:t>A limited comparison of the mental health of the Transitioned ADF with an Australian Community sample from the ABS – matched on age, sex and employment status – was included in this report to situate the Transitioned ADF in the context of the civilian population.</w:t>
      </w:r>
      <w:r w:rsidR="00D33302" w:rsidRPr="005B0796">
        <w:t xml:space="preserve"> </w:t>
      </w:r>
      <w:r w:rsidRPr="005B0796">
        <w:t>Two mental health outcomes were available for comparison between these groups:</w:t>
      </w:r>
      <w:r w:rsidR="00D33302" w:rsidRPr="005B0796">
        <w:t xml:space="preserve"> </w:t>
      </w:r>
      <w:r w:rsidRPr="005B0796">
        <w:t xml:space="preserve">psychological distress and self-reported alcohol consumption. </w:t>
      </w:r>
    </w:p>
    <w:p w:rsidR="006866ED" w:rsidRPr="005B0796" w:rsidRDefault="006866ED" w:rsidP="00D33302">
      <w:r w:rsidRPr="005B0796">
        <w:t>In general, psychological distress was higher in the Transitioned ADF compared to the Australian Community. Almost three times more Transitioned ADF members scored in the high to very high psychological distress bands (33.1%) compared to the Australian Community (12.8%). The largest difference between the Transitioned ADF and the Australian Community – across the various sex and age groups – was in the very high scoring band on the K10 for psychological distress</w:t>
      </w:r>
      <w:r w:rsidR="00D929FC">
        <w:t>.</w:t>
      </w:r>
      <w:r w:rsidRPr="005B0796">
        <w:t xml:space="preserve"> </w:t>
      </w:r>
      <w:r w:rsidR="00D929FC" w:rsidRPr="005B0796">
        <w:t xml:space="preserve">Nearly </w:t>
      </w:r>
      <w:r w:rsidRPr="005B0796">
        <w:t xml:space="preserve">one in five Transitioned ADF scored in this band compared with just under 5% of the Australian Community. Psychological distress was also found to decrease overall with age in the Transitioned ADF, while in the Australian Community, it remained relatively stable across age groups. </w:t>
      </w:r>
    </w:p>
    <w:p w:rsidR="006866ED" w:rsidRPr="005B0796" w:rsidRDefault="006866ED" w:rsidP="00D33302">
      <w:pPr>
        <w:rPr>
          <w:rFonts w:cs="Calibri"/>
          <w:szCs w:val="22"/>
        </w:rPr>
      </w:pPr>
      <w:r w:rsidRPr="005B0796">
        <w:t xml:space="preserve">A quite different pattern of results was found when comparing patterns of alcohol use between the Transitioned ADF and the Australian Community. Overall, there were fewer observed differences in the rates of alcohol consumption between the two samples, particularly in the </w:t>
      </w:r>
      <w:r w:rsidR="00D929FC">
        <w:t>younger</w:t>
      </w:r>
      <w:r w:rsidRPr="005B0796">
        <w:t xml:space="preserve"> age groups. The majority of both populations consumed alcohol monthly, </w:t>
      </w:r>
      <w:r w:rsidRPr="005B0796">
        <w:rPr>
          <w:rFonts w:cs="Calibri"/>
          <w:szCs w:val="22"/>
        </w:rPr>
        <w:t>with members of the Transitioned ADF significantly more likely to do this than members of the 2015 Regular ADF. This pattern was mostly accounted for by ADF males.</w:t>
      </w:r>
      <w:r w:rsidRPr="005B0796">
        <w:t xml:space="preserve"> There were female-specific differences in rates of problem drinking between the Transitioned ADF and the community, with </w:t>
      </w:r>
      <w:r w:rsidRPr="005B0796">
        <w:rPr>
          <w:rFonts w:cs="Calibri"/>
          <w:szCs w:val="22"/>
        </w:rPr>
        <w:t xml:space="preserve">a significantly higher proportion of Transitioned ADF females reporting drinking daily, weekly and monthly compared to Australian Community females. </w:t>
      </w:r>
    </w:p>
    <w:p w:rsidR="006866ED" w:rsidRPr="005B0796" w:rsidRDefault="006866ED" w:rsidP="00D33302">
      <w:r w:rsidRPr="005B0796">
        <w:t>Overall, members of the Australian Community had more standard drinks on a single occasion in the last 12 months than the Transitioned ADF, with a significantly higher proportion of the Australian Community (48.3%) drinking more than seven or more standard drinks on a single occasion compared to the Transitioned ADF (33.2%). This pattern was particularly salient in Australian Community males.</w:t>
      </w:r>
    </w:p>
    <w:p w:rsidR="006866ED" w:rsidRPr="005B0796" w:rsidRDefault="006866ED" w:rsidP="00D33302">
      <w:r w:rsidRPr="005B0796">
        <w:t xml:space="preserve">In the 2010 MHPWS, lower rates of alcohol use and disorders were </w:t>
      </w:r>
      <w:r w:rsidR="00D929FC">
        <w:t xml:space="preserve">shown </w:t>
      </w:r>
      <w:r w:rsidRPr="005B0796">
        <w:t xml:space="preserve">in the Regular ADF compared to the Australian Community in 2007. </w:t>
      </w:r>
      <w:r w:rsidR="00D929FC" w:rsidRPr="005B0796">
        <w:t>Chapter</w:t>
      </w:r>
      <w:r w:rsidR="00D929FC">
        <w:t> </w:t>
      </w:r>
      <w:r w:rsidRPr="005B0796">
        <w:t>5 of this report</w:t>
      </w:r>
      <w:r w:rsidR="00D929FC">
        <w:t xml:space="preserve"> details how</w:t>
      </w:r>
      <w:r w:rsidRPr="005B0796">
        <w:t xml:space="preserve"> rates of alcohol use were observed to be similarly low among the 2015 Regular ADF, however rates of use were higher among the Transitioned ADF, particularly those who were Ex-Serving.</w:t>
      </w:r>
    </w:p>
    <w:p w:rsidR="006866ED" w:rsidRPr="005B0796" w:rsidRDefault="006866ED" w:rsidP="00D33302">
      <w:pPr>
        <w:rPr>
          <w:rFonts w:cs="Calibri"/>
          <w:szCs w:val="22"/>
        </w:rPr>
      </w:pPr>
      <w:r w:rsidRPr="005B0796">
        <w:t>It appears that differences in alcohol consumption observed between the Transitioned ADF and the 2015 Regular ADF may reflect a movement towards the general population drinking behaviour among the Transitioned ADF.</w:t>
      </w:r>
    </w:p>
    <w:p w:rsidR="006866ED" w:rsidRPr="005B0796" w:rsidRDefault="006866ED" w:rsidP="00D33302">
      <w:pPr>
        <w:pStyle w:val="Heading2"/>
      </w:pPr>
      <w:bookmarkStart w:id="1432" w:name="_Toc482021435"/>
      <w:bookmarkStart w:id="1433" w:name="_Toc482024527"/>
      <w:bookmarkStart w:id="1434" w:name="_Toc487011283"/>
      <w:bookmarkStart w:id="1435" w:name="_Toc493663178"/>
      <w:bookmarkStart w:id="1436" w:name="_Toc494449803"/>
      <w:bookmarkStart w:id="1437" w:name="_Toc511900385"/>
      <w:r w:rsidRPr="005B0796">
        <w:t>Strengths and limitations of the study</w:t>
      </w:r>
      <w:bookmarkEnd w:id="1432"/>
      <w:bookmarkEnd w:id="1433"/>
      <w:bookmarkEnd w:id="1434"/>
      <w:bookmarkEnd w:id="1435"/>
      <w:bookmarkEnd w:id="1436"/>
      <w:bookmarkEnd w:id="1437"/>
    </w:p>
    <w:p w:rsidR="006866ED" w:rsidRPr="005B0796" w:rsidRDefault="006866ED" w:rsidP="00D33302">
      <w:pPr>
        <w:pStyle w:val="Heading3"/>
      </w:pPr>
      <w:bookmarkStart w:id="1438" w:name="_Toc487011284"/>
      <w:bookmarkStart w:id="1439" w:name="_Toc493663179"/>
      <w:bookmarkStart w:id="1440" w:name="_Toc494449804"/>
      <w:bookmarkStart w:id="1441" w:name="_Toc511900386"/>
      <w:r w:rsidRPr="005B0796">
        <w:rPr>
          <w:lang w:eastAsia="en-AU"/>
        </w:rPr>
        <w:t>Limitations and caveats</w:t>
      </w:r>
      <w:bookmarkEnd w:id="1438"/>
      <w:bookmarkEnd w:id="1439"/>
      <w:bookmarkEnd w:id="1440"/>
      <w:bookmarkEnd w:id="1441"/>
    </w:p>
    <w:p w:rsidR="006866ED" w:rsidRPr="005B0796" w:rsidRDefault="00D929FC" w:rsidP="00D33302">
      <w:pPr>
        <w:rPr>
          <w:lang w:eastAsia="en-GB"/>
        </w:rPr>
      </w:pPr>
      <w:r>
        <w:rPr>
          <w:lang w:eastAsia="en-GB"/>
        </w:rPr>
        <w:t xml:space="preserve">A </w:t>
      </w:r>
      <w:r w:rsidR="006866ED" w:rsidRPr="005B0796">
        <w:rPr>
          <w:lang w:eastAsia="en-GB"/>
        </w:rPr>
        <w:t xml:space="preserve">range of limitations and caveats should be considered when interpreting the findings from this study. </w:t>
      </w:r>
    </w:p>
    <w:p w:rsidR="006866ED" w:rsidRPr="005B0796" w:rsidRDefault="006866ED" w:rsidP="00D33302">
      <w:pPr>
        <w:rPr>
          <w:lang w:eastAsia="en-GB"/>
        </w:rPr>
      </w:pPr>
      <w:r w:rsidRPr="005B0796">
        <w:rPr>
          <w:lang w:eastAsia="en-GB"/>
        </w:rPr>
        <w:t>First and foremost is the study response rate: the overall response rate for the study was low</w:t>
      </w:r>
      <w:r w:rsidR="00D929FC">
        <w:rPr>
          <w:lang w:eastAsia="en-GB"/>
        </w:rPr>
        <w:t>. This is</w:t>
      </w:r>
      <w:r w:rsidRPr="005B0796">
        <w:rPr>
          <w:lang w:eastAsia="en-GB"/>
        </w:rPr>
        <w:t xml:space="preserve"> particularly </w:t>
      </w:r>
      <w:r w:rsidR="00D929FC">
        <w:rPr>
          <w:lang w:eastAsia="en-GB"/>
        </w:rPr>
        <w:t xml:space="preserve">so </w:t>
      </w:r>
      <w:r w:rsidRPr="005B0796">
        <w:rPr>
          <w:lang w:eastAsia="en-GB"/>
        </w:rPr>
        <w:t>for the Transitioned ADF</w:t>
      </w:r>
      <w:r w:rsidR="00D929FC">
        <w:rPr>
          <w:lang w:eastAsia="en-GB"/>
        </w:rPr>
        <w:t>,</w:t>
      </w:r>
      <w:r w:rsidRPr="005B0796">
        <w:rPr>
          <w:lang w:eastAsia="en-GB"/>
        </w:rPr>
        <w:t xml:space="preserve"> with a response rate of 18% (n = 4326). This was largely due to the limited contact information available for this group. Participant contact information for all new invitees was obtained from the Department of Def</w:t>
      </w:r>
      <w:r w:rsidR="00D929FC">
        <w:rPr>
          <w:lang w:eastAsia="en-GB"/>
        </w:rPr>
        <w:t>ence following an extensive opt-</w:t>
      </w:r>
      <w:r w:rsidRPr="005B0796">
        <w:rPr>
          <w:lang w:eastAsia="en-GB"/>
        </w:rPr>
        <w:t xml:space="preserve">out process. Unfortunately, for most individuals, particularly those who were Ex-Serving, </w:t>
      </w:r>
      <w:r w:rsidR="00D929FC">
        <w:rPr>
          <w:lang w:eastAsia="en-GB"/>
        </w:rPr>
        <w:t>contact</w:t>
      </w:r>
      <w:r w:rsidRPr="005B0796">
        <w:rPr>
          <w:lang w:eastAsia="en-GB"/>
        </w:rPr>
        <w:t xml:space="preserve"> information may not have been updated for several years</w:t>
      </w:r>
      <w:r w:rsidRPr="005B0796">
        <w:rPr>
          <w:szCs w:val="22"/>
          <w:lang w:eastAsia="en-GB"/>
        </w:rPr>
        <w:t xml:space="preserve"> highlighting a difference in response patterns for Serving and Ex-Serving members</w:t>
      </w:r>
      <w:r w:rsidRPr="005B0796">
        <w:rPr>
          <w:lang w:eastAsia="en-GB"/>
        </w:rPr>
        <w:t xml:space="preserve">. In contrast, the response rate for those who participated in the earlier </w:t>
      </w:r>
      <w:r w:rsidRPr="005B0796">
        <w:rPr>
          <w:rFonts w:eastAsia="MS ??"/>
          <w:szCs w:val="22"/>
        </w:rPr>
        <w:t>Military Health Outcomes Program</w:t>
      </w:r>
      <w:r w:rsidRPr="00D929FC">
        <w:rPr>
          <w:rFonts w:eastAsia="MS ??"/>
          <w:szCs w:val="22"/>
        </w:rPr>
        <w:t xml:space="preserve"> (</w:t>
      </w:r>
      <w:r w:rsidRPr="005B0796">
        <w:rPr>
          <w:lang w:eastAsia="en-GB"/>
        </w:rPr>
        <w:t>MilHOP) studies (where more up</w:t>
      </w:r>
      <w:r w:rsidRPr="005B0796">
        <w:rPr>
          <w:lang w:eastAsia="en-GB"/>
        </w:rPr>
        <w:noBreakHyphen/>
        <w:t>to</w:t>
      </w:r>
      <w:r w:rsidRPr="005B0796">
        <w:rPr>
          <w:lang w:eastAsia="en-GB"/>
        </w:rPr>
        <w:noBreakHyphen/>
        <w:t>date information was available) was much higher (35%)</w:t>
      </w:r>
      <w:r w:rsidRPr="005B0796">
        <w:rPr>
          <w:szCs w:val="22"/>
          <w:lang w:eastAsia="en-GB"/>
        </w:rPr>
        <w:t xml:space="preserve">. </w:t>
      </w:r>
      <w:r w:rsidR="001F4DC8">
        <w:rPr>
          <w:lang w:eastAsia="en-GB"/>
        </w:rPr>
        <w:t>Maintaining contact has important practical implications for DVA as well as for research</w:t>
      </w:r>
      <w:r w:rsidRPr="005B0796">
        <w:rPr>
          <w:lang w:eastAsia="en-GB"/>
        </w:rPr>
        <w:t>. Comprehensive strategies for improving research participation rates and surveillance is a matter that should be discussed with the Transitioned ADF community moving into the future.</w:t>
      </w:r>
    </w:p>
    <w:p w:rsidR="006866ED" w:rsidRPr="005B0796" w:rsidRDefault="006866ED" w:rsidP="00D33302">
      <w:pPr>
        <w:rPr>
          <w:rFonts w:cs="Calibri"/>
        </w:rPr>
      </w:pPr>
      <w:r w:rsidRPr="005B0796">
        <w:rPr>
          <w:lang w:eastAsia="en-GB"/>
        </w:rPr>
        <w:t xml:space="preserve">Consistent with previous research </w:t>
      </w:r>
      <w:r w:rsidRPr="005B0796">
        <w:rPr>
          <w:lang w:eastAsia="en-GB"/>
        </w:rPr>
        <w:fldChar w:fldCharType="begin"/>
      </w:r>
      <w:r w:rsidRPr="005B0796">
        <w:rPr>
          <w:lang w:eastAsia="en-GB"/>
        </w:rPr>
        <w:instrText xml:space="preserve"> ADDIN EN.CITE &lt;EndNote&gt;&lt;Cite&gt;&lt;Author&gt;Dobson&lt;/Author&gt;&lt;Year&gt;2012&lt;/Year&gt;&lt;RecNum&gt;440&lt;/RecNum&gt;&lt;DisplayText&gt;(Dobson et al., 2012; McFarlane et al., 2011)&lt;/DisplayText&gt;&lt;record&gt;&lt;rec-number&gt;440&lt;/rec-number&gt;&lt;foreign-keys&gt;&lt;key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Health.&lt;/publisher&gt;&lt;urls&gt;&lt;/urls&gt;&lt;/record&gt;&lt;/Cite&gt;&lt;Cite&gt;&lt;Author&gt;McFarlane&lt;/Author&gt;&lt;Year&gt;2011&lt;/Year&gt;&lt;RecNum&gt;260&lt;/RecNum&gt;&lt;record&gt;&lt;rec-number&gt;260&lt;/rec-number&gt;&lt;foreign-keys&gt;&lt;key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lang w:eastAsia="en-GB"/>
        </w:rPr>
        <w:fldChar w:fldCharType="separate"/>
      </w:r>
      <w:r w:rsidRPr="005B0796">
        <w:rPr>
          <w:lang w:eastAsia="en-GB"/>
        </w:rPr>
        <w:t>(Dobson et al., 2012; McFarlane et al., 2011)</w:t>
      </w:r>
      <w:r w:rsidRPr="005B0796">
        <w:rPr>
          <w:lang w:eastAsia="en-GB"/>
        </w:rPr>
        <w:fldChar w:fldCharType="end"/>
      </w:r>
      <w:r w:rsidRPr="005B0796">
        <w:rPr>
          <w:lang w:eastAsia="en-GB"/>
        </w:rPr>
        <w:t xml:space="preserve">, responders in this study were more likely to be females, Officers, Non-Commissioned Officers and Air Force members. Individuals classified as medically unfit were also more likely to respond. The current study addressed this response bias by statistically weighting the results based on </w:t>
      </w:r>
      <w:r w:rsidRPr="005B0796">
        <w:rPr>
          <w:rFonts w:cs="Calibri"/>
        </w:rPr>
        <w:t xml:space="preserve">four key variables – sex, rank, Service (Navy, Army or Air Force) </w:t>
      </w:r>
      <w:r w:rsidR="001F4DC8">
        <w:rPr>
          <w:rFonts w:cs="Calibri"/>
        </w:rPr>
        <w:t xml:space="preserve">and medical fitness </w:t>
      </w:r>
      <w:r w:rsidRPr="005B0796">
        <w:rPr>
          <w:rFonts w:cs="Calibri"/>
        </w:rPr>
        <w:t xml:space="preserve">– known to impact response rates and the prevalence of mental disorder more broadly, and medical fitness. Therefore, where prevalence rates of mental disorder are reported, they are referring to the </w:t>
      </w:r>
      <w:r w:rsidRPr="005B0796">
        <w:rPr>
          <w:rFonts w:cs="Calibri"/>
          <w:i/>
          <w:u w:val="single"/>
        </w:rPr>
        <w:t>estimated</w:t>
      </w:r>
      <w:r w:rsidRPr="005B0796">
        <w:rPr>
          <w:rFonts w:cs="Calibri"/>
        </w:rPr>
        <w:t xml:space="preserve"> rates of a particular outcome within the entire population. As such these estimates represent the proportion of cases we would predict to observe in the entire population, based on the proportion of a</w:t>
      </w:r>
      <w:r w:rsidR="00D929FC">
        <w:rPr>
          <w:rFonts w:cs="Calibri"/>
        </w:rPr>
        <w:t>ctual cases detected in the sub</w:t>
      </w:r>
      <w:r w:rsidRPr="005B0796">
        <w:rPr>
          <w:rFonts w:cs="Calibri"/>
        </w:rPr>
        <w:t xml:space="preserve">population who completed the outcome measure (the CIDI for mental disorder estimates, the survey for symptom estimates). This weighting process assumes a general consistency across individuals with each combination of these characteristics (strata), and does not account for individual differences, or other factors that may influence the outcomes of interest. </w:t>
      </w:r>
      <w:r w:rsidRPr="005B0796">
        <w:rPr>
          <w:szCs w:val="22"/>
          <w:lang w:eastAsia="en-GB"/>
        </w:rPr>
        <w:t xml:space="preserve">Importantly, </w:t>
      </w:r>
      <w:r w:rsidRPr="005B0796">
        <w:rPr>
          <w:rFonts w:eastAsia="MS Gothic"/>
          <w:lang w:eastAsia="en-AU"/>
        </w:rPr>
        <w:t>however, the lower the number of responders, the less accurate the resulting weighted population estimates are likely to be. This is highly relevant to rank where Officers and Non-Commissioned Officers were overrepresented among responders, while Other Ranks were highly underrepresented despite accounting for the largest proportion of the total population. As such, any estimates, when stratified by rank, should be interpreted with a degree of caution.</w:t>
      </w:r>
    </w:p>
    <w:p w:rsidR="006866ED" w:rsidRPr="005B0796" w:rsidRDefault="006866ED" w:rsidP="00D33302">
      <w:pPr>
        <w:rPr>
          <w:lang w:eastAsia="en-AU"/>
        </w:rPr>
      </w:pPr>
      <w:r w:rsidRPr="005B0796">
        <w:rPr>
          <w:lang w:eastAsia="en-AU"/>
        </w:rPr>
        <w:t>A large proportion of this study is based on self-report measures, which are subject to potential biases, including recall bias and other response biases. The collection of diagnostic mental disorder data allows for corroboration of findings; however, these potential biases should be noted.</w:t>
      </w:r>
    </w:p>
    <w:p w:rsidR="006866ED" w:rsidRPr="005B0796" w:rsidRDefault="006866ED" w:rsidP="00D33302">
      <w:pPr>
        <w:rPr>
          <w:lang w:eastAsia="en-GB"/>
        </w:rPr>
      </w:pPr>
      <w:r w:rsidRPr="005B0796">
        <w:rPr>
          <w:lang w:eastAsia="en-GB"/>
        </w:rPr>
        <w:t xml:space="preserve">This study reported ICD-10 rates of mental disorder to allow comparison with the 2010 MHPWS (primarily in the </w:t>
      </w:r>
      <w:r w:rsidRPr="005B0796">
        <w:rPr>
          <w:i/>
        </w:rPr>
        <w:t>Mental Health Changes Over Time: a Longitudinal Perspective Report</w:t>
      </w:r>
      <w:r w:rsidRPr="005B0796">
        <w:rPr>
          <w:lang w:eastAsia="en-GB"/>
        </w:rPr>
        <w:t xml:space="preserve">), and past and future data from the Australian studies conducted by the ABS. This is likely to have some impact on the prevalence estimates for PTSD, due to the fact that ICD-10 PTSD has a lower threshold of severity of symptoms to meet the necessary diagnostic threshold (Peters et al., 2006) compared to the alternative DSM diagnostic system. However, given the extant literature regarding the morbidity associated with sub-syndromal DSM PTSD, this still means that the population defined in this study are of clinical relevance (McFarlane, 2010). </w:t>
      </w:r>
    </w:p>
    <w:p w:rsidR="006866ED" w:rsidRPr="005B0796" w:rsidRDefault="006866ED" w:rsidP="00D33302">
      <w:pPr>
        <w:rPr>
          <w:lang w:eastAsia="en-GB"/>
        </w:rPr>
      </w:pPr>
      <w:r w:rsidRPr="005B0796">
        <w:rPr>
          <w:lang w:eastAsia="en-GB"/>
        </w:rPr>
        <w:t>Finally, this study only represents the investigation of the initial stages of transition (the first five years).</w:t>
      </w:r>
      <w:r w:rsidR="00D929FC">
        <w:rPr>
          <w:lang w:eastAsia="en-GB"/>
        </w:rPr>
        <w:t xml:space="preserve"> </w:t>
      </w:r>
      <w:r w:rsidRPr="005B0796">
        <w:rPr>
          <w:lang w:eastAsia="en-GB"/>
        </w:rPr>
        <w:t xml:space="preserve">Further study of this cohort should be an important priority to map the ongoing course of mental disorder following ADF service, particularly in light of evidence regarding the emergence of disorder many years after active service in earlier conflicts such as Vietnam </w:t>
      </w:r>
      <w:r w:rsidRPr="005B0796">
        <w:rPr>
          <w:lang w:eastAsia="en-GB"/>
        </w:rPr>
        <w:fldChar w:fldCharType="begin"/>
      </w:r>
      <w:r w:rsidRPr="005B0796">
        <w:rPr>
          <w:lang w:eastAsia="en-GB"/>
        </w:rPr>
        <w:instrText xml:space="preserve"> ADDIN EN.CITE &lt;EndNote&gt;&lt;Cite&gt;&lt;Author&gt;Johnston&lt;/Author&gt;&lt;Year&gt;2016&lt;/Year&gt;&lt;RecNum&gt;965&lt;/RecNum&gt;&lt;DisplayText&gt;(Johnston et al., 2016)&lt;/DisplayText&gt;&lt;record&gt;&lt;rec-number&gt;965&lt;/rec-number&gt;&lt;foreign-keys&gt;&lt;key app="EN" db-id="arwdrezp9sdawxevtfyxtfw10exvr5exxfed" timestamp="1493964383"&gt;965&lt;/key&gt;&lt;/foreign-keys&gt;&lt;ref-type name="Journal Article"&gt;17&lt;/ref-type&gt;&lt;contributors&gt;&lt;authors&gt;&lt;author&gt;Johnston, David W&lt;/author&gt;&lt;author&gt;Shields, Michael A&lt;/author&gt;&lt;author&gt;Siminski, Peter&lt;/author&gt;&lt;/authors&gt;&lt;/contributors&gt;&lt;titles&gt;&lt;title&gt;Long-term health effects of Vietnam-era military service: A quasi-experiment using Australian conscription lotteries&lt;/title&gt;&lt;secondary-title&gt;Journal of health economics&lt;/secondary-title&gt;&lt;/titles&gt;&lt;periodical&gt;&lt;full-title&gt;Journal of health economics&lt;/full-title&gt;&lt;/periodical&gt;&lt;pages&gt;12-26&lt;/pages&gt;&lt;volume&gt;45&lt;/volume&gt;&lt;dates&gt;&lt;year&gt;2016&lt;/year&gt;&lt;/dates&gt;&lt;isbn&gt;0167-6296&lt;/isbn&gt;&lt;urls&gt;&lt;/urls&gt;&lt;/record&gt;&lt;/Cite&gt;&lt;/EndNote&gt;</w:instrText>
      </w:r>
      <w:r w:rsidRPr="005B0796">
        <w:rPr>
          <w:lang w:eastAsia="en-GB"/>
        </w:rPr>
        <w:fldChar w:fldCharType="separate"/>
      </w:r>
      <w:r w:rsidRPr="005B0796">
        <w:rPr>
          <w:lang w:eastAsia="en-GB"/>
        </w:rPr>
        <w:t>(Johnston et al., 2016)</w:t>
      </w:r>
      <w:r w:rsidRPr="005B0796">
        <w:rPr>
          <w:lang w:eastAsia="en-GB"/>
        </w:rPr>
        <w:fldChar w:fldCharType="end"/>
      </w:r>
      <w:r w:rsidRPr="005B0796">
        <w:rPr>
          <w:lang w:eastAsia="en-GB"/>
        </w:rPr>
        <w:t>.</w:t>
      </w:r>
    </w:p>
    <w:p w:rsidR="006866ED" w:rsidRPr="005B0796" w:rsidRDefault="006866ED" w:rsidP="00D33302">
      <w:pPr>
        <w:pStyle w:val="Heading3"/>
        <w:rPr>
          <w:lang w:eastAsia="en-GB"/>
        </w:rPr>
      </w:pPr>
      <w:bookmarkStart w:id="1442" w:name="_Toc487011285"/>
      <w:bookmarkStart w:id="1443" w:name="_Toc493663180"/>
      <w:bookmarkStart w:id="1444" w:name="_Toc494449805"/>
      <w:bookmarkStart w:id="1445" w:name="_Toc511900387"/>
      <w:r w:rsidRPr="005B0796">
        <w:rPr>
          <w:lang w:eastAsia="en-GB"/>
        </w:rPr>
        <w:t>Strengths of the study</w:t>
      </w:r>
      <w:bookmarkEnd w:id="1442"/>
      <w:bookmarkEnd w:id="1443"/>
      <w:bookmarkEnd w:id="1444"/>
      <w:bookmarkEnd w:id="1445"/>
    </w:p>
    <w:p w:rsidR="006866ED" w:rsidRPr="005B0796" w:rsidRDefault="006866ED" w:rsidP="00D33302">
      <w:pPr>
        <w:rPr>
          <w:lang w:eastAsia="en-GB"/>
        </w:rPr>
      </w:pPr>
      <w:r w:rsidRPr="005B0796">
        <w:rPr>
          <w:lang w:eastAsia="en-GB"/>
        </w:rPr>
        <w:t xml:space="preserve">An important strength of the design of this study was the use of a two-phase design, where in phase 1, the population was screened using a self-report questionnaire, then in the second phase a stratified sample of phase 1 participants were interviewed using the </w:t>
      </w:r>
      <w:r w:rsidR="00462A0C" w:rsidRPr="005B0796">
        <w:rPr>
          <w:lang w:eastAsia="en-GB"/>
        </w:rPr>
        <w:t>‘</w:t>
      </w:r>
      <w:r w:rsidRPr="005B0796">
        <w:rPr>
          <w:lang w:eastAsia="en-GB"/>
        </w:rPr>
        <w:t>gold standard</w:t>
      </w:r>
      <w:r w:rsidR="00462A0C" w:rsidRPr="005B0796">
        <w:rPr>
          <w:lang w:eastAsia="en-GB"/>
        </w:rPr>
        <w:t>’</w:t>
      </w:r>
      <w:r w:rsidRPr="005B0796">
        <w:rPr>
          <w:lang w:eastAsia="en-GB"/>
        </w:rPr>
        <w:t xml:space="preserve"> CIDI diagnostic interview. Similar to the 2010 MHPWS (see Annex</w:t>
      </w:r>
      <w:r w:rsidR="00411B45" w:rsidRPr="005B0796">
        <w:rPr>
          <w:lang w:eastAsia="en-GB"/>
        </w:rPr>
        <w:t> A</w:t>
      </w:r>
      <w:r w:rsidRPr="005B0796">
        <w:rPr>
          <w:lang w:eastAsia="en-GB"/>
        </w:rPr>
        <w:t xml:space="preserve"> for the detailed methodology used), scores on the PCL and AUDIT were used to select a higher proportion of high scorers for the CIDI, resulting in an enriched prevalence of disorder. This method provides greater capacity and power to examine the risk factors and treatment outcomes of particular diagnostic groups in particular disorders of low prevalence. The use of a structured diagnostic interview to detect mental disorder is in direct contrast to most other military and veterans</w:t>
      </w:r>
      <w:r w:rsidR="00462A0C" w:rsidRPr="005B0796">
        <w:rPr>
          <w:lang w:eastAsia="en-GB"/>
        </w:rPr>
        <w:t>’</w:t>
      </w:r>
      <w:r w:rsidRPr="005B0796">
        <w:rPr>
          <w:lang w:eastAsia="en-GB"/>
        </w:rPr>
        <w:t xml:space="preserve"> health studies conducted to date</w:t>
      </w:r>
      <w:r w:rsidR="00D929FC">
        <w:rPr>
          <w:lang w:eastAsia="en-GB"/>
        </w:rPr>
        <w:t>,</w:t>
      </w:r>
      <w:r w:rsidRPr="005B0796">
        <w:rPr>
          <w:lang w:eastAsia="en-GB"/>
        </w:rPr>
        <w:t xml:space="preserve"> which </w:t>
      </w:r>
      <w:r w:rsidR="00D929FC">
        <w:rPr>
          <w:lang w:eastAsia="en-GB"/>
        </w:rPr>
        <w:t xml:space="preserve">have </w:t>
      </w:r>
      <w:r w:rsidRPr="005B0796">
        <w:rPr>
          <w:lang w:eastAsia="en-GB"/>
        </w:rPr>
        <w:t>typically use</w:t>
      </w:r>
      <w:r w:rsidR="00D929FC">
        <w:rPr>
          <w:lang w:eastAsia="en-GB"/>
        </w:rPr>
        <w:t>d</w:t>
      </w:r>
      <w:r w:rsidRPr="005B0796">
        <w:rPr>
          <w:lang w:eastAsia="en-GB"/>
        </w:rPr>
        <w:t xml:space="preserve"> self-report questionnaire data to derive prevalence estimates of </w:t>
      </w:r>
      <w:r w:rsidR="00462A0C" w:rsidRPr="005B0796">
        <w:rPr>
          <w:lang w:eastAsia="en-GB"/>
        </w:rPr>
        <w:t>‘</w:t>
      </w:r>
      <w:r w:rsidRPr="005B0796">
        <w:rPr>
          <w:lang w:eastAsia="en-GB"/>
        </w:rPr>
        <w:t>probable</w:t>
      </w:r>
      <w:r w:rsidR="00462A0C" w:rsidRPr="005B0796">
        <w:rPr>
          <w:lang w:eastAsia="en-GB"/>
        </w:rPr>
        <w:t>’</w:t>
      </w:r>
      <w:r w:rsidRPr="005B0796">
        <w:rPr>
          <w:lang w:eastAsia="en-GB"/>
        </w:rPr>
        <w:t xml:space="preserve"> disorder. </w:t>
      </w:r>
    </w:p>
    <w:p w:rsidR="006866ED" w:rsidRPr="005B0796" w:rsidRDefault="006866ED" w:rsidP="00D33302">
      <w:pPr>
        <w:rPr>
          <w:lang w:eastAsia="en-GB"/>
        </w:rPr>
      </w:pPr>
      <w:r w:rsidRPr="005B0796">
        <w:rPr>
          <w:lang w:eastAsia="en-GB"/>
        </w:rPr>
        <w:t xml:space="preserve">The use of a structured diagnostic interview such as the CIDI, which covers the broad range of mental disorders, provides a more accurate picture of the breadth of diagnosable psychopathology in the Transitioned ADF. The CIDI also allows comparisons with Australian data collected by the ABS, such as the 2007 </w:t>
      </w:r>
      <w:r w:rsidRPr="005B0796">
        <w:t>NSMHW</w:t>
      </w:r>
      <w:r w:rsidRPr="005B0796" w:rsidDel="00CC3784">
        <w:rPr>
          <w:lang w:eastAsia="en-GB"/>
        </w:rPr>
        <w:t xml:space="preserve"> </w:t>
      </w:r>
      <w:r w:rsidRPr="005B0796">
        <w:rPr>
          <w:lang w:eastAsia="en-GB"/>
        </w:rPr>
        <w:fldChar w:fldCharType="begin"/>
      </w:r>
      <w:r w:rsidRPr="005B0796">
        <w:rPr>
          <w:lang w:eastAsia="en-GB"/>
        </w:rPr>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5B0796">
        <w:rPr>
          <w:lang w:eastAsia="en-GB"/>
        </w:rPr>
        <w:fldChar w:fldCharType="separate"/>
      </w:r>
      <w:r w:rsidRPr="005B0796">
        <w:rPr>
          <w:lang w:eastAsia="en-GB"/>
        </w:rPr>
        <w:t>(Australian Bureau of Statistics, 2008)</w:t>
      </w:r>
      <w:r w:rsidRPr="005B0796">
        <w:rPr>
          <w:lang w:eastAsia="en-GB"/>
        </w:rPr>
        <w:fldChar w:fldCharType="end"/>
      </w:r>
      <w:r w:rsidRPr="005B0796">
        <w:rPr>
          <w:lang w:eastAsia="en-GB"/>
        </w:rPr>
        <w:t>. Furthermore, this strategy allowed the examination of a range</w:t>
      </w:r>
      <w:r w:rsidR="00D929FC">
        <w:rPr>
          <w:lang w:eastAsia="en-GB"/>
        </w:rPr>
        <w:t xml:space="preserve"> of specific diagnostic groups </w:t>
      </w:r>
      <w:r w:rsidRPr="005B0796">
        <w:rPr>
          <w:lang w:eastAsia="en-GB"/>
        </w:rPr>
        <w:t>that have not generally been examined in military cohorts</w:t>
      </w:r>
      <w:r w:rsidR="00D929FC">
        <w:rPr>
          <w:lang w:eastAsia="en-GB"/>
        </w:rPr>
        <w:t>,</w:t>
      </w:r>
      <w:r w:rsidRPr="005B0796">
        <w:rPr>
          <w:lang w:eastAsia="en-GB"/>
        </w:rPr>
        <w:t xml:space="preserve"> such as bipolar affective disorder, agoraphobia and social phobia. These mental disorders are important to investigate as they are important sources of impairment that carry high levels of disability. Furthermore, the design of this study has allowed the screening of a significant number of Defence and transitioned members for mental disorders and suicidal ideation. The nature of additional consents provided by participants to the research team allows the opportunity for those participants at risk or with ongoing mental disorder to be offered further assistance and therapeutic interventions. </w:t>
      </w:r>
    </w:p>
    <w:p w:rsidR="006866ED" w:rsidRPr="005B0796" w:rsidRDefault="006866ED" w:rsidP="00D33302">
      <w:pPr>
        <w:rPr>
          <w:rFonts w:eastAsia="Calibri"/>
          <w:szCs w:val="22"/>
          <w:lang w:eastAsia="en-GB"/>
        </w:rPr>
      </w:pPr>
      <w:r w:rsidRPr="005B0796">
        <w:rPr>
          <w:rFonts w:eastAsia="Calibri"/>
          <w:szCs w:val="22"/>
          <w:lang w:eastAsia="en-GB"/>
        </w:rPr>
        <w:t xml:space="preserve">The only other study of a comparable nature conducted to date </w:t>
      </w:r>
      <w:r w:rsidRPr="005B0796">
        <w:t xml:space="preserve">is the 2010 Canadian Survey on Transition to Civilian Life (STCL) and the Life After Service Survey (LASS 2013) </w:t>
      </w:r>
      <w:r w:rsidRPr="005B0796">
        <w:fldChar w:fldCharType="begin">
          <w:fldData xml:space="preserve">PEVuZE5vdGU+PENpdGU+PEF1dGhvcj5UaG9tcHNvbjwvQXV0aG9yPjxZZWFyPjIwMTE8L1llYXI+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</w:fldData>
        </w:fldChar>
      </w:r>
      <w:r w:rsidRPr="005B0796">
        <w:instrText xml:space="preserve"> ADDIN EN.CITE </w:instrText>
      </w:r>
      <w:r w:rsidRPr="005B0796">
        <w:fldChar w:fldCharType="begin">
          <w:fldData xml:space="preserve">PEVuZE5vdGU+PENpdGU+PEF1dGhvcj5UaG9tcHNvbjwvQXV0aG9yPjxZZWFyPjIwMTE8L1llYXI+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</w:fldData>
        </w:fldChar>
      </w:r>
      <w:r w:rsidRPr="005B0796">
        <w:instrText xml:space="preserve"> ADDIN EN.CITE.DATA </w:instrText>
      </w:r>
      <w:r w:rsidRPr="005B0796">
        <w:fldChar w:fldCharType="end"/>
      </w:r>
      <w:r w:rsidRPr="005B0796">
        <w:fldChar w:fldCharType="separate"/>
      </w:r>
      <w:r w:rsidRPr="005B0796">
        <w:t>(Thompson et al., 2011a; Thompson et al., 2015; Thompson et al., 2014; Van Til et al., 2014a)</w:t>
      </w:r>
      <w:r w:rsidRPr="005B0796">
        <w:fldChar w:fldCharType="end"/>
      </w:r>
      <w:r w:rsidRPr="005B0796">
        <w:t xml:space="preserve">, </w:t>
      </w:r>
      <w:r w:rsidRPr="005B0796">
        <w:rPr>
          <w:rFonts w:eastAsia="Calibri"/>
          <w:szCs w:val="22"/>
          <w:lang w:eastAsia="en-GB"/>
        </w:rPr>
        <w:t xml:space="preserve">although sample differences still limit direct comparison of mental disorder estimates. </w:t>
      </w:r>
    </w:p>
    <w:p w:rsidR="006866ED" w:rsidRPr="005B0796" w:rsidRDefault="006866ED" w:rsidP="00D33302">
      <w:pPr>
        <w:rPr>
          <w:rFonts w:eastAsia="Calibri"/>
          <w:lang w:eastAsia="en-GB"/>
        </w:rPr>
      </w:pPr>
      <w:r w:rsidRPr="005B0796">
        <w:t xml:space="preserve">Importantly, the structure of the study within the broader and comprehensive research programme allows not only levels of mental distress or disorder to be explored but also comorbidity with physical health, patterns of help seeking, as well as stigma and barriers to care. These issues will be covered in </w:t>
      </w:r>
      <w:r w:rsidRPr="005B0796">
        <w:rPr>
          <w:i/>
        </w:rPr>
        <w:t>t</w:t>
      </w:r>
      <w:r w:rsidRPr="005B0796">
        <w:rPr>
          <w:rFonts w:eastAsia="Times New Roman"/>
          <w:i/>
          <w:lang w:eastAsia="en-GB"/>
        </w:rPr>
        <w:t>he Pathways to Care Report</w:t>
      </w:r>
      <w:r w:rsidRPr="00D929FC">
        <w:rPr>
          <w:rFonts w:eastAsia="Times New Roman"/>
          <w:lang w:eastAsia="en-GB"/>
        </w:rPr>
        <w:t xml:space="preserve">, </w:t>
      </w:r>
      <w:r w:rsidRPr="005B0796">
        <w:rPr>
          <w:rFonts w:eastAsia="Times New Roman"/>
          <w:lang w:eastAsia="en-GB"/>
        </w:rPr>
        <w:t>the</w:t>
      </w:r>
      <w:r w:rsidRPr="005B0796">
        <w:rPr>
          <w:rFonts w:eastAsia="Times New Roman"/>
          <w:i/>
          <w:lang w:eastAsia="en-GB"/>
        </w:rPr>
        <w:t xml:space="preserve"> Physical Health Report </w:t>
      </w:r>
      <w:r w:rsidRPr="005B0796">
        <w:rPr>
          <w:rFonts w:eastAsia="Times New Roman"/>
          <w:lang w:eastAsia="en-GB"/>
        </w:rPr>
        <w:t>and the</w:t>
      </w:r>
      <w:r w:rsidRPr="005B0796">
        <w:rPr>
          <w:rFonts w:eastAsia="Times New Roman"/>
          <w:i/>
          <w:lang w:eastAsia="en-GB"/>
        </w:rPr>
        <w:t xml:space="preserve"> Technology Use and Wellbeing Report. </w:t>
      </w:r>
    </w:p>
    <w:p w:rsidR="006866ED" w:rsidRPr="005B0796" w:rsidRDefault="006866ED" w:rsidP="00D33302">
      <w:pPr>
        <w:rPr>
          <w:rFonts w:eastAsia="Calibri"/>
          <w:lang w:eastAsia="en-GB"/>
        </w:rPr>
      </w:pPr>
      <w:r w:rsidRPr="005B0796">
        <w:rPr>
          <w:lang w:eastAsia="en-AU"/>
        </w:rPr>
        <w:t xml:space="preserve">Finally, </w:t>
      </w:r>
      <w:r w:rsidRPr="005B0796">
        <w:t xml:space="preserve">the current study allows for the course of mental disorder and symptoms across a five-year window (between 2010 and 2015) to be mapped in the same cohort of individuals. This is a major strength of the longitudinal design and will be the focus of the </w:t>
      </w:r>
      <w:r w:rsidRPr="005B0796">
        <w:rPr>
          <w:i/>
        </w:rPr>
        <w:t>Mental Health Changes Over Time: a Longitudinal Perspective Report</w:t>
      </w:r>
      <w:r w:rsidRPr="005B0796">
        <w:t xml:space="preserve"> and the</w:t>
      </w:r>
      <w:r w:rsidRPr="005B0796">
        <w:rPr>
          <w:i/>
        </w:rPr>
        <w:t xml:space="preserve"> Impact of Combat Report</w:t>
      </w:r>
      <w:r w:rsidRPr="005B0796">
        <w:t xml:space="preserve">. </w:t>
      </w:r>
    </w:p>
    <w:p w:rsidR="006866ED" w:rsidRPr="005B0796" w:rsidRDefault="006866ED" w:rsidP="00D33302">
      <w:pPr>
        <w:pStyle w:val="Heading2"/>
      </w:pPr>
      <w:bookmarkStart w:id="1446" w:name="_Toc482021436"/>
      <w:bookmarkStart w:id="1447" w:name="_Toc482024528"/>
      <w:bookmarkStart w:id="1448" w:name="_Toc487011286"/>
      <w:bookmarkStart w:id="1449" w:name="_Toc493663181"/>
      <w:bookmarkStart w:id="1450" w:name="_Toc494449806"/>
      <w:bookmarkStart w:id="1451" w:name="_Toc511900388"/>
      <w:r w:rsidRPr="005B0796">
        <w:t>Implications and future directions</w:t>
      </w:r>
      <w:bookmarkEnd w:id="1446"/>
      <w:bookmarkEnd w:id="1447"/>
      <w:bookmarkEnd w:id="1448"/>
      <w:bookmarkEnd w:id="1449"/>
      <w:bookmarkEnd w:id="1450"/>
      <w:bookmarkEnd w:id="1451"/>
    </w:p>
    <w:p w:rsidR="006866ED" w:rsidRPr="005B0796" w:rsidRDefault="006866ED" w:rsidP="00D33302">
      <w:pPr>
        <w:rPr>
          <w:lang w:eastAsia="en-GB"/>
        </w:rPr>
      </w:pPr>
      <w:r w:rsidRPr="005B0796">
        <w:rPr>
          <w:lang w:eastAsia="en-GB"/>
        </w:rPr>
        <w:t xml:space="preserve">The rates of mental disorder the study identified among ADF members in the first five years after transition </w:t>
      </w:r>
      <w:r w:rsidR="00D929FC">
        <w:rPr>
          <w:lang w:eastAsia="en-GB"/>
        </w:rPr>
        <w:t xml:space="preserve">– </w:t>
      </w:r>
      <w:r w:rsidRPr="005B0796">
        <w:rPr>
          <w:lang w:eastAsia="en-GB"/>
        </w:rPr>
        <w:t>with nearly half estimated to have a 12-month mental disorder</w:t>
      </w:r>
      <w:r w:rsidR="00D929FC">
        <w:rPr>
          <w:lang w:eastAsia="en-GB"/>
        </w:rPr>
        <w:t xml:space="preserve"> –</w:t>
      </w:r>
      <w:r w:rsidRPr="005B0796">
        <w:rPr>
          <w:lang w:eastAsia="en-GB"/>
        </w:rPr>
        <w:t xml:space="preserve"> are a matter of concern that warrants attention. This level of mental distress highlights the challenges of transitioning out of full-time military service. Clearly, detailed consideration of the findings in this report and analyses of the data in the reports to follow are required before drawing final conclusions and making recommendations. However, this study already highlights key needs of this transitioned population and actions that could be considered.</w:t>
      </w:r>
    </w:p>
    <w:p w:rsidR="006866ED" w:rsidRPr="005B0796" w:rsidRDefault="006866ED" w:rsidP="00D33302">
      <w:pPr>
        <w:rPr>
          <w:rFonts w:asciiTheme="minorHAnsi" w:hAnsiTheme="minorHAnsi"/>
        </w:rPr>
      </w:pPr>
      <w:r w:rsidRPr="005B0796">
        <w:rPr>
          <w:lang w:eastAsia="en-GB"/>
        </w:rPr>
        <w:t>Consistent with the findings of the 2016 AIHW report on suicide incidence among Serving and Ex</w:t>
      </w:r>
      <w:r w:rsidRPr="005B0796">
        <w:rPr>
          <w:lang w:eastAsia="en-GB"/>
        </w:rPr>
        <w:noBreakHyphen/>
        <w:t>Serving members, those discharging medically are one of the most high-risk groups identified in this report and should be a priority for further evaluation and follow-up. Importantly</w:t>
      </w:r>
      <w:r w:rsidR="00D929FC">
        <w:rPr>
          <w:lang w:eastAsia="en-GB"/>
        </w:rPr>
        <w:t>,</w:t>
      </w:r>
      <w:r w:rsidRPr="005B0796">
        <w:rPr>
          <w:lang w:eastAsia="en-GB"/>
        </w:rPr>
        <w:t xml:space="preserve"> however, there is also a large proportion of Transitioned ADF who were not medically discharged but who met criteria for a mental disorder in the last 12 months. Thus, many of these individuals may not have been referred to the appropriate mental health providers at the point of transition. This raises important questions as to whether these disorders emerged following discharge or failed to be declared or identified during the discharge medical. It also raises questions as to whether there should be a more systematic mental health assessment during military service and/or the discharge process using structured diagnostic interviews. Furthermore, as has been planned by Defence, referral of discharging members to a primary health care provider should increasingly become a priority as this is likely to significantly assist in both the diagnosis of emerging disorders as well as referral to treatment networks. </w:t>
      </w:r>
    </w:p>
    <w:p w:rsidR="006866ED" w:rsidRPr="005B0796" w:rsidRDefault="006866ED" w:rsidP="00D33302">
      <w:r w:rsidRPr="005B0796">
        <w:rPr>
          <w:rFonts w:eastAsia="Calibri"/>
          <w:lang w:eastAsia="en-GB"/>
        </w:rPr>
        <w:t xml:space="preserve">Similarly, a </w:t>
      </w:r>
      <w:r w:rsidRPr="005B0796">
        <w:t>large proportion of Transitioned ADF members who met criteria for a 12-month mental disorder were not recorded as DVA clients. Taken together</w:t>
      </w:r>
      <w:r w:rsidR="00D929FC">
        <w:t>,</w:t>
      </w:r>
      <w:r w:rsidRPr="005B0796">
        <w:t xml:space="preserve"> these findings suggest a need to address how ADF members are screened, assessed and monitored for mental health conditions both pre</w:t>
      </w:r>
      <w:r w:rsidR="00D929FC">
        <w:t>-</w:t>
      </w:r>
      <w:r w:rsidRPr="005B0796">
        <w:t xml:space="preserve"> and post-transition. The data also reinforces the importance of a range of initiatives currently being implemented by DVA and Defence to enhance early identification and intervention, including through the transition process.</w:t>
      </w:r>
    </w:p>
    <w:p w:rsidR="006866ED" w:rsidRPr="005B0796" w:rsidRDefault="006866ED" w:rsidP="00D33302">
      <w:r w:rsidRPr="005B0796">
        <w:t>One example highlighted in the Australian Government</w:t>
      </w:r>
      <w:r w:rsidR="00462A0C" w:rsidRPr="005B0796">
        <w:t>’</w:t>
      </w:r>
      <w:r w:rsidRPr="005B0796">
        <w:t>s response to the National Mental Health Commission</w:t>
      </w:r>
      <w:r w:rsidR="00462A0C" w:rsidRPr="005B0796">
        <w:t>’</w:t>
      </w:r>
      <w:r w:rsidRPr="005B0796">
        <w:t>s review is the Early Engagement Model. The goal is for DVA to establish a relationship with serving members as early in their career as practical. This will include Defence notifying DVA at agreed events during a member</w:t>
      </w:r>
      <w:r w:rsidR="00462A0C" w:rsidRPr="005B0796">
        <w:t>’</w:t>
      </w:r>
      <w:r w:rsidRPr="005B0796">
        <w:t xml:space="preserve">s career, such as enlistment, involvement in a serious incident, medical discharge or retirement </w:t>
      </w:r>
      <w:r w:rsidRPr="005B0796">
        <w:fldChar w:fldCharType="begin"/>
      </w:r>
      <w:r w:rsidRPr="005B0796">
        <w:instrText xml:space="preserve"> ADDIN EN.CITE &lt;EndNote&gt;&lt;Cite&gt;&lt;Author&gt;Commonwealth of Australia&lt;/Author&gt;&lt;Year&gt;2017&lt;/Year&gt;&lt;RecNum&gt;975&lt;/RecNum&gt;&lt;DisplayText&gt;(Commonwealth of Australia, 2017)&lt;/DisplayText&gt;&lt;record&gt;&lt;rec-number&gt;975&lt;/rec-number&gt;&lt;foreign-keys&gt;&lt;key app="EN" db-id="arwdrezp9sdawxevtfyxtfw10exvr5exxfed" timestamp="1499128666"&gt;975&lt;/key&gt;&lt;/foreign-keys&gt;&lt;ref-type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5B0796">
        <w:fldChar w:fldCharType="separate"/>
      </w:r>
      <w:r w:rsidRPr="005B0796">
        <w:t>(Commonwealth of Australia, 2017)</w:t>
      </w:r>
      <w:r w:rsidRPr="005B0796">
        <w:fldChar w:fldCharType="end"/>
      </w:r>
      <w:r w:rsidRPr="005B0796">
        <w:t>. Defence is also reforming the ADF Transition Support Services to offer coaching and mentoring, focusing on developing an individual post</w:t>
      </w:r>
      <w:r w:rsidR="00060BAD" w:rsidRPr="005B0796">
        <w:t>-</w:t>
      </w:r>
      <w:r w:rsidRPr="005B0796">
        <w:t>separation plan, including employment support. This new model is aimed at all ADF members who are transitioning. Under the model, a Transition Officer will contact each member one month after separation to check on the success of the post-separation plan and whether any new issues have arisen.</w:t>
      </w:r>
    </w:p>
    <w:p w:rsidR="006866ED" w:rsidRPr="005B0796" w:rsidRDefault="006866ED" w:rsidP="00D33302">
      <w:r w:rsidRPr="005B0796">
        <w:t xml:space="preserve">Over recent years, Defence has been trialling and implementing an enhanced mental health screening program, which builds on the comprehensive program of screening that already occurs post-deployment and post-exposure to critical incidents. Key components include standardising mental health screening measures across screening events, introducing opportunistic periodic mental health screening for all ADF members (regardless of whether they have been deployed) in primary </w:t>
      </w:r>
      <w:bookmarkStart w:id="1452" w:name="_Hlk490726401"/>
      <w:r w:rsidRPr="005B0796">
        <w:t>healthcare settings, command-requested screening for high-risk groups</w:t>
      </w:r>
      <w:bookmarkEnd w:id="1452"/>
      <w:r w:rsidRPr="005B0796">
        <w:t xml:space="preserve">, and updates to the health examination conducted as part of the discharge process </w:t>
      </w:r>
      <w:r w:rsidRPr="005B0796">
        <w:fldChar w:fldCharType="begin"/>
      </w:r>
      <w:r w:rsidRPr="005B0796">
        <w:instrText xml:space="preserve"> ADDIN EN.CITE &lt;EndNote&gt;&lt;Cite&gt;&lt;Author&gt;O’Donnell&lt;/Author&gt;&lt;Year&gt;2014&lt;/Year&gt;&lt;RecNum&gt;990&lt;/RecNum&gt;&lt;DisplayText&gt;(O’Donnell et al., 2014)&lt;/DisplayText&gt;&lt;record&gt;&lt;rec-number&gt;990&lt;/rec-number&gt;&lt;foreign-keys&gt;&lt;key app="EN" db-id="arwdrezp9sdawxevtfyxtfw10exvr5exxfed" timestamp="1499213787"&gt;990&lt;/key&gt;&lt;/foreign-keys&gt;&lt;ref-type name="Book"&gt;6&lt;/ref-type&gt;&lt;contributors&gt;&lt;authors&gt;&lt;author&gt;O’Donnell, ML., &lt;/author&gt;&lt;author&gt;Dell, L., &lt;/author&gt;&lt;author&gt;Fletcher, S., &lt;/author&gt;&lt;author&gt;Couineau, AL., &lt;/author&gt;&lt;author&gt;Forbes, D.  &lt;/author&gt;&lt;/authors&gt;&lt;/contributors&gt;&lt;titles&gt;&lt;title&gt;The Australian Defence Force Mental Health Screening Continuum Framework: Full Report.&lt;/title&gt;&lt;/titles&gt;&lt;dates&gt;&lt;year&gt;2014&lt;/year&gt;&lt;/dates&gt;&lt;pub-location&gt;Canberra&lt;/pub-location&gt;&lt;publisher&gt;Department of Defence&lt;/publisher&gt;&lt;urls&gt;&lt;/urls&gt;&lt;/record&gt;&lt;/Cite&gt;&lt;/EndNote&gt;</w:instrText>
      </w:r>
      <w:r w:rsidRPr="005B0796">
        <w:fldChar w:fldCharType="separate"/>
      </w:r>
      <w:r w:rsidRPr="005B0796">
        <w:t>(O</w:t>
      </w:r>
      <w:r w:rsidR="00462A0C" w:rsidRPr="005B0796">
        <w:t>’</w:t>
      </w:r>
      <w:r w:rsidRPr="005B0796">
        <w:t>Donnell et al., 2014)</w:t>
      </w:r>
      <w:r w:rsidRPr="005B0796">
        <w:fldChar w:fldCharType="end"/>
      </w:r>
      <w:r w:rsidRPr="005B0796">
        <w:t xml:space="preserve">. This Mental Health Screening Continuum includes the development of an online self-assessment website, which will allow ADF members to anonymously assess their own mental health. </w:t>
      </w:r>
    </w:p>
    <w:p w:rsidR="006866ED" w:rsidRPr="005B0796" w:rsidRDefault="006866ED" w:rsidP="00D33302">
      <w:r w:rsidRPr="005B0796">
        <w:t xml:space="preserve">Meanwhile, the Veterans and Veterans Families Counselling Service (VVCS) is developing a VVCS online system to increase help-seeking, early intervention and self-management </w:t>
      </w:r>
      <w:r w:rsidRPr="005B0796">
        <w:fldChar w:fldCharType="begin"/>
      </w:r>
      <w:r w:rsidRPr="005B0796">
        <w:instrText xml:space="preserve"> ADDIN EN.CITE &lt;EndNote&gt;&lt;Cite&gt;&lt;Author&gt;Australian Liberal Party&lt;/Author&gt;&lt;Year&gt;2017&lt;/Year&gt;&lt;RecNum&gt;994&lt;/RecNum&gt;&lt;DisplayText&gt;(Australian Liberal Party, 2017)&lt;/DisplayText&gt;&lt;record&gt;&lt;rec-number&gt;994&lt;/rec-number&gt;&lt;foreign-keys&gt;&lt;key app="EN" db-id="arwdrezp9sdawxevtfyxtfw10exvr5exxfed" timestamp="1499215500"&gt;994&lt;/key&gt;&lt;/foreign-keys&gt;&lt;ref-type name="Web Page"&gt;12&lt;/ref-type&gt;&lt;contributors&gt;&lt;authors&gt;&lt;author&gt;Australian Liberal Party,&lt;/author&gt;&lt;/authors&gt;&lt;/contributors&gt;&lt;titles&gt;&lt;title&gt;Strengthen mental health care in Australia&lt;/title&gt;&lt;/titles&gt;&lt;dates&gt;&lt;year&gt;2017&lt;/year&gt;&lt;/dates&gt;&lt;urls&gt;&lt;related-urls&gt;&lt;url&gt;https://www.dva.gov.au/health-and-wellbeing/mental-health/national-mental-health-commission-review&lt;/url&gt;&lt;/related-urls&gt;&lt;/urls&gt;&lt;/record&gt;&lt;/Cite&gt;&lt;/EndNote&gt;</w:instrText>
      </w:r>
      <w:r w:rsidRPr="005B0796">
        <w:fldChar w:fldCharType="separate"/>
      </w:r>
      <w:r w:rsidRPr="005B0796">
        <w:t>(Australian Liberal Party, 2017)</w:t>
      </w:r>
      <w:r w:rsidRPr="005B0796">
        <w:fldChar w:fldCharType="end"/>
      </w:r>
      <w:r w:rsidRPr="005B0796">
        <w:t>. Using participatory design, VVCS intends to establish digital options for care, including a Mental Health e-Clinic that will offer immediate online assessment, resulting in a dashboard of results and support via apps and e-tools that will progressively display real-time data (for example, for physical activity, mood and sleep). This initiative will make available a wide variety of information, co</w:t>
      </w:r>
      <w:r w:rsidRPr="005B0796">
        <w:noBreakHyphen/>
        <w:t xml:space="preserve">designed with members and their families, which enhances awareness of the challenges experienced by transitioning members, and offers information and tools to manage these experiences. Increased tailoring of online tools will not mitigate the need for some members of the community to access more direct clinical support, but it will increase the likelihood that all discharging ADF members and their families are aware of, and understand, the VVCS services available to them. As part of this offering, VVCS will seek to create a self-administered, online mental health check offering appropriate tools, resources and support, depending on individual need. </w:t>
      </w:r>
    </w:p>
    <w:p w:rsidR="006866ED" w:rsidRPr="005B0796" w:rsidRDefault="006866ED" w:rsidP="00D33302">
      <w:r w:rsidRPr="005B0796">
        <w:t xml:space="preserve">In addition to these initiatives, it is suggested Defence and DVA consider integrating screening processes pre- and post-transition, and online resources to enable continuity throughout the transition process. The </w:t>
      </w:r>
      <w:r w:rsidRPr="005B0796">
        <w:rPr>
          <w:i/>
        </w:rPr>
        <w:t>Pathways to Care Report</w:t>
      </w:r>
      <w:r w:rsidRPr="005B0796">
        <w:t xml:space="preserve"> and the </w:t>
      </w:r>
      <w:r w:rsidRPr="005B0796">
        <w:rPr>
          <w:i/>
        </w:rPr>
        <w:t xml:space="preserve">Technology Use and Wellbeing Report </w:t>
      </w:r>
      <w:r w:rsidRPr="005B0796">
        <w:t xml:space="preserve">will provide important information about </w:t>
      </w:r>
      <w:r w:rsidR="00D929FC">
        <w:t xml:space="preserve">the </w:t>
      </w:r>
      <w:r w:rsidRPr="005B0796">
        <w:t>current use of, and potential benefits to improving, online mental health resources for this population.</w:t>
      </w:r>
    </w:p>
    <w:p w:rsidR="006866ED" w:rsidRPr="005B0796" w:rsidRDefault="006866ED" w:rsidP="00D33302">
      <w:pPr>
        <w:rPr>
          <w:szCs w:val="22"/>
        </w:rPr>
      </w:pPr>
      <w:r w:rsidRPr="005B0796">
        <w:t xml:space="preserve">The findings in this study also strongly support an important DVA initiative to increase access to care: the DVA non-liability healthcare program. This program pays for mental health treatment for Serving and Ex-Serving ADF members, without the need to establish that the condition was caused by their ADF service. This treatment is delivered through the provision of a DVA White Card and allows Ex-Serving ADF members to access general practitioners, psychologists, psychiatrists, medication, public and private hospital care, and VVCS counselling services. Originally, it covered only five common mental health conditions – PTSD, depressive disorder, anxiety disorder, alcohol disorder and substance use disorders </w:t>
      </w:r>
      <w:r w:rsidR="00D929FC">
        <w:t xml:space="preserve">– </w:t>
      </w:r>
      <w:r w:rsidRPr="005B0796">
        <w:t>with a set period of service. This access has been extended to anyone who has ever served at least one day in the full-time ADF, and to all mental health conditions.</w:t>
      </w:r>
    </w:p>
    <w:p w:rsidR="006866ED" w:rsidRPr="005B0796" w:rsidRDefault="006866ED" w:rsidP="00D33302">
      <w:pPr>
        <w:rPr>
          <w:rFonts w:eastAsia="Calibri"/>
          <w:lang w:eastAsia="en-GB"/>
        </w:rPr>
      </w:pPr>
      <w:r w:rsidRPr="005B0796">
        <w:t>The data in the study also highlights the importance of ensuring that when individuals access care they need comprehensive assessment by military</w:t>
      </w:r>
      <w:r w:rsidR="00D929FC">
        <w:t>-</w:t>
      </w:r>
      <w:r w:rsidRPr="005B0796">
        <w:t xml:space="preserve">aware clinicians to ensure effective treatment. The relatively high rates of bipolar disorder for example, found in the transitioned personnel and potential associated impairments, are matters of considerable concern, particularly due to the behavioural disinhibition, including greater suicidal risk, associated with bipolar disorder </w:t>
      </w:r>
      <w:r w:rsidRPr="005B0796">
        <w:fldChar w:fldCharType="begin">
          <w:fldData xml:space="preserve">PEVuZE5vdGU+PENpdGU+PEF1dGhvcj5SYWphPC9BdXRob3I+PFllYXI+MjAwNDwvWWVhcj48UmVj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</w:fldData>
        </w:fldChar>
      </w:r>
      <w:r w:rsidRPr="005B0796">
        <w:instrText xml:space="preserve"> ADDIN EN.CITE </w:instrText>
      </w:r>
      <w:r w:rsidRPr="005B0796">
        <w:fldChar w:fldCharType="begin">
          <w:fldData xml:space="preserve">PEVuZE5vdGU+PENpdGU+PEF1dGhvcj5SYWphPC9BdXRob3I+PFllYXI+MjAwNDwvWWVhcj48UmVj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</w:fldData>
        </w:fldChar>
      </w:r>
      <w:r w:rsidRPr="005B0796">
        <w:instrText xml:space="preserve"> ADDIN EN.CITE.DATA </w:instrText>
      </w:r>
      <w:r w:rsidRPr="005B0796">
        <w:fldChar w:fldCharType="end"/>
      </w:r>
      <w:r w:rsidRPr="005B0796">
        <w:fldChar w:fldCharType="separate"/>
      </w:r>
      <w:r w:rsidRPr="005B0796">
        <w:t>(Raja &amp; Azzoni, 2004)</w:t>
      </w:r>
      <w:r w:rsidRPr="005B0796">
        <w:fldChar w:fldCharType="end"/>
      </w:r>
      <w:r w:rsidRPr="005B0796">
        <w:t>. Hypomanic episodes are often missed in primary care settings</w:t>
      </w:r>
      <w:r w:rsidR="00D929FC">
        <w:t>, which means</w:t>
      </w:r>
      <w:r w:rsidRPr="005B0796">
        <w:t xml:space="preserve"> there is a reasonable probability that a number of these individuals are not being effectively managed or treated </w:t>
      </w:r>
      <w:r w:rsidRPr="005B0796">
        <w:fldChar w:fldCharType="begin"/>
      </w:r>
      <w:r w:rsidRPr="005B0796">
        <w:instrText xml:space="preserve"> ADDIN EN.CITE &lt;EndNote&gt;&lt;Cite&gt;&lt;Author&gt;Dunner&lt;/Author&gt;&lt;Year&gt;2003&lt;/Year&gt;&lt;RecNum&gt;533&lt;/RecNum&gt;&lt;DisplayText&gt;(Dunner, 2003)&lt;/DisplayText&gt;&lt;record&gt;&lt;rec-number&gt;533&lt;/rec-number&gt;&lt;foreign-keys&gt;&lt;key app="EN" db-id="arwdrezp9sdawxevtfyxtfw10exvr5exxfed" timestamp="1479079307"&gt;533&lt;/key&gt;&lt;/foreign-keys&gt;&lt;ref-type name="Journal Article"&gt;17&lt;/ref-type&gt;&lt;contributors&gt;&lt;authors&gt;&lt;author&gt;Dunner, D. L.&lt;/author&gt;&lt;/authors&gt;&lt;/contributors&gt;&lt;auth-address&gt;Department of Psychiatry and Behavioral Sciences, Center for Anxiety and Depression, University of Washington School of Medicine, Seattle, WA 98105, USA. ddunner@uwashington.edu&lt;/auth-address&gt;&lt;titles&gt;&lt;title&gt;Clinical consequences of under-recognized bipolar spectrum disorder&lt;/title&gt;&lt;secondary-title&gt;Bipolar Disord&lt;/secondary-title&gt;&lt;alt-title&gt;Bipolar disorders&lt;/alt-title&gt;&lt;/titles&gt;&lt;periodical&gt;&lt;full-title&gt;Bipolar Disord&lt;/full-title&gt;&lt;abbr-1&gt;Bipolar disorders&lt;/abbr-1&gt;&lt;/periodical&gt;&lt;alt-periodical&gt;&lt;full-title&gt;Bipolar Disord&lt;/full-title&gt;&lt;abbr-1&gt;Bipolar disorders&lt;/abbr-1&gt;&lt;/alt-periodical&gt;&lt;pages&gt;456-63&lt;/pages&gt;&lt;volume&gt;5&lt;/volume&gt;&lt;number&gt;6&lt;/number&gt;&lt;keywords&gt;&lt;keyword&gt;Bipolar Disorder/*diagnosis/epidemiology/therapy&lt;/keyword&gt;&lt;keyword&gt;Comorbidity&lt;/keyword&gt;&lt;keyword&gt;Diagnosis, Differential&lt;/keyword&gt;&lt;keyword&gt;Humans&lt;/keyword&gt;&lt;keyword&gt;Mood Disorders/diagnosis&lt;/keyword&gt;&lt;keyword&gt;Quality of Life&lt;/keyword&gt;&lt;keyword&gt;Substance-Related Disorders/*diagnosis/epidemiology&lt;/keyword&gt;&lt;keyword&gt;Suicide/psychology&lt;/keyword&gt;&lt;keyword&gt;Syndrome&lt;/keyword&gt;&lt;/keywords&gt;&lt;dates&gt;&lt;year&gt;2003&lt;/year&gt;&lt;pub-dates&gt;&lt;date&gt;Dec&lt;/date&gt;&lt;/pub-dates&gt;&lt;/dates&gt;&lt;isbn&gt;1398-5647 (Print)&amp;#xD;1398-5647 (Linking)&lt;/isbn&gt;&lt;accession-num&gt;14636371&lt;/accession-num&gt;&lt;urls&gt;&lt;related-urls&gt;&lt;url&gt;http://www.ncbi.nlm.nih.gov/pubmed/14636371&lt;/url&gt;&lt;url&gt;http://onlinelibrary.wiley.com/store/10.1046/j.1399-5618.2003.00073.x/asset/j.1399-5618.2003.00073.x.pdf?v=1&amp;amp;t=j1ym61e3&amp;amp;s=dceab6fb747d5d42205a2335fb21aeebee81dce9&lt;/url&gt;&lt;/related-urls&gt;&lt;/urls&gt;&lt;/record&gt;&lt;/Cite&gt;&lt;/EndNote&gt;</w:instrText>
      </w:r>
      <w:r w:rsidRPr="005B0796">
        <w:fldChar w:fldCharType="separate"/>
      </w:r>
      <w:r w:rsidRPr="005B0796">
        <w:t>(Dunner, 2003)</w:t>
      </w:r>
      <w:r w:rsidRPr="005B0796">
        <w:fldChar w:fldCharType="end"/>
      </w:r>
      <w:r w:rsidRPr="005B0796">
        <w:t xml:space="preserve">. This is also a group who are at particular risk of suicidal ideation, </w:t>
      </w:r>
      <w:r w:rsidR="00D929FC">
        <w:t xml:space="preserve">suicide </w:t>
      </w:r>
      <w:r w:rsidRPr="005B0796">
        <w:t xml:space="preserve">attempts and completed suicides </w:t>
      </w:r>
      <w:r w:rsidRPr="005B0796">
        <w:fldChar w:fldCharType="begin">
          <w:fldData xml:space="preserve">PEVuZE5vdGU+PENpdGU+PEF1dGhvcj5SYWphPC9BdXRob3I+PFllYXI+MjAwNDwvWWVhcj48UmVj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</w:fldData>
        </w:fldChar>
      </w:r>
      <w:r w:rsidRPr="005B0796">
        <w:instrText xml:space="preserve"> ADDIN EN.CITE </w:instrText>
      </w:r>
      <w:r w:rsidRPr="005B0796">
        <w:fldChar w:fldCharType="begin">
          <w:fldData xml:space="preserve">PEVuZE5vdGU+PENpdGU+PEF1dGhvcj5SYWphPC9BdXRob3I+PFllYXI+MjAwNDwvWWVhcj48UmVj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</w:fldData>
        </w:fldChar>
      </w:r>
      <w:r w:rsidRPr="005B0796">
        <w:instrText xml:space="preserve"> ADDIN EN.CITE.DATA </w:instrText>
      </w:r>
      <w:r w:rsidRPr="005B0796">
        <w:fldChar w:fldCharType="end"/>
      </w:r>
      <w:r w:rsidRPr="005B0796">
        <w:fldChar w:fldCharType="separate"/>
      </w:r>
      <w:r w:rsidRPr="005B0796">
        <w:t>(Raja &amp; Azzoni, 2004)</w:t>
      </w:r>
      <w:r w:rsidRPr="005B0796">
        <w:fldChar w:fldCharType="end"/>
      </w:r>
      <w:r w:rsidRPr="005B0796">
        <w:t xml:space="preserve">. </w:t>
      </w:r>
      <w:r w:rsidRPr="005B0796">
        <w:rPr>
          <w:rFonts w:eastAsia="Calibri"/>
          <w:lang w:eastAsia="en-GB"/>
        </w:rPr>
        <w:t xml:space="preserve">The longer the duration of untreated bipolar disorder, the lower the probability of good treatment response </w:t>
      </w:r>
      <w:r w:rsidRPr="005B0796">
        <w:rPr>
          <w:rFonts w:eastAsia="Calibri"/>
          <w:lang w:eastAsia="en-GB"/>
        </w:rPr>
        <w:fldChar w:fldCharType="begin">
          <w:fldData xml:space="preserve">PEVuZE5vdGU+PENpdGU+PEF1dGhvcj5EcmFuY291cnQ8L0F1dGhvcj48WWVhcj4yMDEzPC9ZZWFy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</w:fldData>
        </w:fldChar>
      </w:r>
      <w:r w:rsidRPr="005B0796">
        <w:rPr>
          <w:rFonts w:eastAsia="Calibri"/>
          <w:lang w:eastAsia="en-GB"/>
        </w:rPr>
        <w:instrText xml:space="preserve"> ADDIN EN.CITE </w:instrText>
      </w:r>
      <w:r w:rsidRPr="005B0796">
        <w:rPr>
          <w:rFonts w:eastAsia="Calibri"/>
          <w:lang w:eastAsia="en-GB"/>
        </w:rPr>
        <w:fldChar w:fldCharType="begin">
          <w:fldData xml:space="preserve">PEVuZE5vdGU+PENpdGU+PEF1dGhvcj5EcmFuY291cnQ8L0F1dGhvcj48WWVhcj4yMDEzPC9ZZWFy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</w:fldData>
        </w:fldChar>
      </w:r>
      <w:r w:rsidRPr="005B0796">
        <w:rPr>
          <w:rFonts w:eastAsia="Calibri"/>
          <w:lang w:eastAsia="en-GB"/>
        </w:rPr>
        <w:instrText xml:space="preserve"> ADDIN EN.CITE.DATA </w:instrText>
      </w:r>
      <w:r w:rsidRPr="005B0796">
        <w:rPr>
          <w:rFonts w:eastAsia="Calibri"/>
          <w:lang w:eastAsia="en-GB"/>
        </w:rPr>
      </w:r>
      <w:r w:rsidRPr="005B0796">
        <w:rPr>
          <w:rFonts w:eastAsia="Calibri"/>
          <w:lang w:eastAsia="en-GB"/>
        </w:rPr>
        <w:fldChar w:fldCharType="end"/>
      </w:r>
      <w:r w:rsidRPr="005B0796">
        <w:rPr>
          <w:rFonts w:eastAsia="Calibri"/>
          <w:lang w:eastAsia="en-GB"/>
        </w:rPr>
      </w:r>
      <w:r w:rsidRPr="005B0796">
        <w:rPr>
          <w:rFonts w:eastAsia="Calibri"/>
          <w:lang w:eastAsia="en-GB"/>
        </w:rPr>
        <w:fldChar w:fldCharType="separate"/>
      </w:r>
      <w:r w:rsidRPr="005B0796">
        <w:rPr>
          <w:rFonts w:eastAsia="Calibri"/>
          <w:lang w:eastAsia="en-GB"/>
        </w:rPr>
        <w:t>(Drancourt et al., 2013; Dunner, 2003)</w:t>
      </w:r>
      <w:r w:rsidRPr="005B0796">
        <w:rPr>
          <w:rFonts w:eastAsia="Calibri"/>
          <w:lang w:eastAsia="en-GB"/>
        </w:rPr>
        <w:fldChar w:fldCharType="end"/>
      </w:r>
      <w:r w:rsidRPr="005B0796">
        <w:rPr>
          <w:rFonts w:eastAsia="Calibri"/>
          <w:lang w:eastAsia="en-GB"/>
        </w:rPr>
        <w:t xml:space="preserve">, heightening the imperative to develop a plan to further assess and manage these individuals. This group specifically deserves further clinical assessment, particularly as bipolar disorder is not subject to investigation in veteran populations in any systematic manner currently in the scientific literature. The increased rates of disorder in deployed Transitioned ADF, which was not apparent in the Regular ADF in 2010 also raises important questions as to whether the emergence of bipolar disorder is an as yet unidentified consequence of warlike service. </w:t>
      </w:r>
    </w:p>
    <w:p w:rsidR="006866ED" w:rsidRPr="005B0796" w:rsidRDefault="006866ED" w:rsidP="00D33302">
      <w:pPr>
        <w:rPr>
          <w:lang w:eastAsia="en-GB"/>
        </w:rPr>
      </w:pPr>
      <w:r w:rsidRPr="005B0796">
        <w:rPr>
          <w:lang w:eastAsia="en-GB"/>
        </w:rPr>
        <w:t xml:space="preserve">These findings have important implications from a clinical perspective including the need to upskill both military and civilian clinicians on the specific criteria of mania and hypomania. While some of these symptoms may be considered a natural consequence of combat exposure (that is, feeling they can do things others could not do, engaging in pleasurable activities to the point of ignoring risks or consequences) </w:t>
      </w:r>
      <w:r w:rsidRPr="005B0796">
        <w:rPr>
          <w:lang w:eastAsia="en-GB"/>
        </w:rPr>
        <w:fldChar w:fldCharType="begin"/>
      </w:r>
      <w:r w:rsidRPr="005B0796">
        <w:rPr>
          <w:lang w:eastAsia="en-GB"/>
        </w:rPr>
        <w:instrText xml:space="preserve"> ADDIN EN.CITE &lt;EndNote&gt;&lt;Cite&gt;&lt;Author&gt;McLay&lt;/Author&gt;&lt;Year&gt;2014&lt;/Year&gt;&lt;RecNum&gt;973&lt;/RecNum&gt;&lt;DisplayText&gt;(McLay et al., 2014)&lt;/DisplayText&gt;&lt;record&gt;&lt;rec-number&gt;973&lt;/rec-number&gt;&lt;foreign-keys&gt;&lt;key app="EN" db-id="arwdrezp9sdawxevtfyxtfw10exvr5exxfed" timestamp="1498698670"&gt;973&lt;/key&gt;&lt;/foreign-keys&gt;&lt;ref-type name="Journal Article"&gt;17&lt;/ref-type&gt;&lt;contributors&gt;&lt;authors&gt;&lt;author&gt;McLay, Robert N&lt;/author&gt;&lt;author&gt;Ram, Vasudha&lt;/author&gt;&lt;author&gt;Anita Hickey MC, USN&lt;/author&gt;&lt;author&gt;Scott Johnston MS, CUSN&lt;/author&gt;&lt;/authors&gt;&lt;/contributors&gt;&lt;titles&gt;&lt;title&gt;Apparent comorbidity of bipolar disorder in a population with combat-related post-traumatic stress disorder&lt;/title&gt;&lt;secondary-title&gt;Military medicine&lt;/secondary-title&gt;&lt;/titles&gt;&lt;periodical&gt;&lt;full-title&gt;Military medicine&lt;/full-title&gt;&lt;/periodical&gt;&lt;pages&gt;157&lt;/pages&gt;&lt;volume&gt;179&lt;/volume&gt;&lt;number&gt;2&lt;/number&gt;&lt;dates&gt;&lt;year&gt;2014&lt;/year&gt;&lt;/dates&gt;&lt;isbn&gt;0026-4075&lt;/isbn&gt;&lt;urls&gt;&lt;/urls&gt;&lt;/record&gt;&lt;/Cite&gt;&lt;/EndNote&gt;</w:instrText>
      </w:r>
      <w:r w:rsidRPr="005B0796">
        <w:rPr>
          <w:lang w:eastAsia="en-GB"/>
        </w:rPr>
        <w:fldChar w:fldCharType="separate"/>
      </w:r>
      <w:r w:rsidRPr="005B0796">
        <w:rPr>
          <w:lang w:eastAsia="en-GB"/>
        </w:rPr>
        <w:t>(McLay et al., 2014)</w:t>
      </w:r>
      <w:r w:rsidRPr="005B0796">
        <w:rPr>
          <w:lang w:eastAsia="en-GB"/>
        </w:rPr>
        <w:fldChar w:fldCharType="end"/>
      </w:r>
      <w:r w:rsidRPr="005B0796">
        <w:rPr>
          <w:lang w:eastAsia="en-GB"/>
        </w:rPr>
        <w:t>, clinicians need to be cognisant of the acceptable limitations of these thoughts and patterns of behaviour. Transitioned ADF members who are still exhibiting a substantial number of these symptoms once they have left full-time service should be appropriately assessed to ensure that their symptoms do not meet diagnostic criteria. The findings in relation to GAD also reinforced the need for effective differential diagnosis when developing treatment plans.</w:t>
      </w:r>
    </w:p>
    <w:p w:rsidR="006866ED" w:rsidRPr="005B0796" w:rsidRDefault="006866ED" w:rsidP="00D33302">
      <w:r w:rsidRPr="005B0796">
        <w:t xml:space="preserve">The epigenetic consequences of PTSD and related stress exposures may also play a significant role in triggering the risk of disorders like bipolar disorder in this population </w:t>
      </w:r>
      <w:r w:rsidRPr="005B0796">
        <w:fldChar w:fldCharType="begin"/>
      </w:r>
      <w:r w:rsidRPr="005B0796">
        <w:instrText xml:space="preserve"> ADDIN EN.CITE &lt;EndNote&gt;&lt;Cite&gt;&lt;Author&gt;Zannas&lt;/Author&gt;&lt;Year&gt;2015&lt;/Year&gt;&lt;RecNum&gt;907&lt;/RecNum&gt;&lt;DisplayText&gt;(Zannas et al., 2015)&lt;/DisplayText&gt;&lt;record&gt;&lt;rec-number&gt;907&lt;/rec-number&gt;&lt;foreign-keys&gt;&lt;key app="EN" db-id="arwdrezp9sdawxevtfyxtfw10exvr5exxfed" timestamp="1492994597"&gt;907&lt;/key&gt;&lt;/foreign-keys&gt;&lt;ref-type name="Journal Article"&gt;17&lt;/ref-type&gt;&lt;contributors&gt;&lt;authors&gt;&lt;author&gt;Zannas, Anthony S&lt;/author&gt;&lt;author&gt;Provençal, Nadine&lt;/author&gt;&lt;author&gt;Binder, Elisabeth B&lt;/author&gt;&lt;/authors&gt;&lt;/contributors&gt;&lt;titles&gt;&lt;title&gt;Epigenetics of posttraumatic stress disorder: current evidence, challenges, and future directions&lt;/title&gt;&lt;secondary-title&gt;Biological psychiatry&lt;/secondary-title&gt;&lt;/titles&gt;&lt;periodical&gt;&lt;full-title&gt;Biol Psychiatry&lt;/full-title&gt;&lt;abbr-1&gt;Biological psychiatry&lt;/abbr-1&gt;&lt;/periodical&gt;&lt;pages&gt;327-335&lt;/pages&gt;&lt;volume&gt;78&lt;/volume&gt;&lt;number&gt;5&lt;/number&gt;&lt;dates&gt;&lt;year&gt;2015&lt;/year&gt;&lt;/dates&gt;&lt;isbn&gt;0006-3223&lt;/isbn&gt;&lt;urls&gt;&lt;/urls&gt;&lt;/record&gt;&lt;/Cite&gt;&lt;/EndNote&gt;</w:instrText>
      </w:r>
      <w:r w:rsidRPr="005B0796">
        <w:fldChar w:fldCharType="separate"/>
      </w:r>
      <w:r w:rsidRPr="005B0796">
        <w:t>(Zannas et al., 2015)</w:t>
      </w:r>
      <w:r w:rsidRPr="005B0796">
        <w:fldChar w:fldCharType="end"/>
      </w:r>
      <w:r w:rsidRPr="005B0796">
        <w:t>. There are further epigenetic changes</w:t>
      </w:r>
      <w:r w:rsidR="00D929FC">
        <w:t xml:space="preserve"> –</w:t>
      </w:r>
      <w:r w:rsidRPr="005B0796">
        <w:t xml:space="preserve"> for example</w:t>
      </w:r>
      <w:r w:rsidR="00D929FC">
        <w:t>,</w:t>
      </w:r>
      <w:r w:rsidRPr="005B0796">
        <w:t xml:space="preserve"> in the context of PTSD, major depression and anxiety disorders</w:t>
      </w:r>
      <w:r w:rsidR="00D929FC">
        <w:t xml:space="preserve"> –</w:t>
      </w:r>
      <w:r w:rsidRPr="005B0796">
        <w:t xml:space="preserve"> that could contribute to the later emergence of bipolar disorder </w:t>
      </w:r>
      <w:r w:rsidRPr="005B0796">
        <w:fldChar w:fldCharType="begin"/>
      </w:r>
      <w:r w:rsidRPr="005B0796">
        <w:instrText xml:space="preserve"> ADDIN EN.CITE &lt;EndNote&gt;&lt;Cite&gt;&lt;Author&gt;Goes&lt;/Author&gt;&lt;Year&gt;2016&lt;/Year&gt;&lt;RecNum&gt;908&lt;/RecNum&gt;&lt;DisplayText&gt;(Goes, 2016)&lt;/DisplayText&gt;&lt;record&gt;&lt;rec-number&gt;908&lt;/rec-number&gt;&lt;foreign-keys&gt;&lt;key app="EN" db-id="arwdrezp9sdawxevtfyxtfw10exvr5exxfed" timestamp="1492994692"&gt;908&lt;/key&gt;&lt;/foreign-keys&gt;&lt;ref-type name="Journal Article"&gt;17&lt;/ref-type&gt;&lt;contributors&gt;&lt;authors&gt;&lt;author&gt;Goes, Fernando S&lt;/author&gt;&lt;/authors&gt;&lt;/contributors&gt;&lt;titles&gt;&lt;title&gt;Genetics of bipolar disorder: recent update and future directions&lt;/title&gt;&lt;secondary-title&gt;Psychiatric Clinics of North America&lt;/secondary-title&gt;&lt;/titles&gt;&lt;periodical&gt;&lt;full-title&gt;Psychiatric Clinics of North America&lt;/full-title&gt;&lt;/periodical&gt;&lt;pages&gt;139-155&lt;/pages&gt;&lt;volume&gt;39&lt;/volume&gt;&lt;number&gt;1&lt;/number&gt;&lt;dates&gt;&lt;year&gt;2016&lt;/year&gt;&lt;/dates&gt;&lt;isbn&gt;0193-953X&lt;/isbn&gt;&lt;urls&gt;&lt;/urls&gt;&lt;/record&gt;&lt;/Cite&gt;&lt;/EndNote&gt;</w:instrText>
      </w:r>
      <w:r w:rsidRPr="005B0796">
        <w:fldChar w:fldCharType="separate"/>
      </w:r>
      <w:r w:rsidRPr="005B0796">
        <w:t>(Goes, 2016)</w:t>
      </w:r>
      <w:r w:rsidRPr="005B0796">
        <w:fldChar w:fldCharType="end"/>
      </w:r>
      <w:r w:rsidRPr="005B0796">
        <w:t xml:space="preserve">. This perspective emphasises the importance of a longitudinal model of psychiatric morbidity </w:t>
      </w:r>
      <w:r w:rsidR="00D929FC">
        <w:t>that</w:t>
      </w:r>
      <w:r w:rsidRPr="005B0796">
        <w:t xml:space="preserve"> is fluid and reactive to environmental stressors and interventions </w:t>
      </w:r>
      <w:r w:rsidRPr="005B0796">
        <w:fldChar w:fldCharType="begin"/>
      </w:r>
      <w:r w:rsidRPr="005B0796">
        <w:instrText xml:space="preserve"> ADDIN EN.CITE &lt;EndNote&gt;&lt;Cite&gt;&lt;Author&gt;Fichter&lt;/Author&gt;&lt;Year&gt;2008&lt;/Year&gt;&lt;RecNum&gt;596&lt;/RecNum&gt;&lt;DisplayText&gt;(Fichter  et al., 2008)&lt;/DisplayText&gt;&lt;record&gt;&lt;rec-number&gt;596&lt;/rec-number&gt;&lt;foreign-keys&gt;&lt;key app="EN" db-id="arwdrezp9sdawxevtfyxtfw10exvr5exxfed" timestamp="1479351569"&gt;596&lt;/key&gt;&lt;/foreign-keys&gt;&lt;ref-type name="Journal Article"&gt;17&lt;/ref-type&gt;&lt;contributors&gt;&lt;authors&gt;&lt;author&gt;Fichter ,M.M, &lt;/author&gt;&lt;author&gt;Kohlboeck ,G. &lt;/author&gt;&lt;author&gt;Quadflieg, N.&lt;/author&gt;&lt;/authors&gt;&lt;/contributors&gt;&lt;titles&gt;&lt;title&gt;The Upper Bavarian longitudinal community study 1975-2004. 2. Long-term course and outcome of depression. A controlled study. &lt;/title&gt;&lt;secondary-title&gt;Eur Arch Psychiatry Clin Neurosci.&lt;/secondary-title&gt;&lt;/titles&gt;&lt;periodical&gt;&lt;full-title&gt;Eur Arch Psychiatry Clin Neurosci.&lt;/full-title&gt;&lt;/periodical&gt;&lt;pages&gt;476-88&lt;/pages&gt;&lt;volume&gt;258&lt;/volume&gt;&lt;number&gt;8&lt;/number&gt;&lt;dates&gt;&lt;year&gt;2008&lt;/year&gt;&lt;/dates&gt;&lt;urls&gt;&lt;related-urls&gt;&lt;url&gt;http://download.springer.com/static/pdf/0/art%253A10.1007%252Fs00406-008-0821-z.pdf?originUrl=http%3A%2F%2Flink.springer.com%2Farticle%2F10.1007%2Fs00406-008-0821-z&amp;amp;token2=exp=1493190242~acl=%2Fstatic%2Fpdf%2F0%2Fart%25253A10.1007%25252Fs00406-008-0821-z.pdf%3ForiginUrl%3Dhttp%253A%252F%252Flink.springer.com%252Farticle%252F10.1007%252Fs00406-008-0821-z*~hmac=dfd79aa9f57c5fa6a2d1f45edb56ac2684570722d83c754c5dca55458dd48c8d&lt;/url&gt;&lt;/related-urls&gt;&lt;/urls&gt;&lt;/record&gt;&lt;/Cite&gt;&lt;/EndNote&gt;</w:instrText>
      </w:r>
      <w:r w:rsidRPr="005B0796">
        <w:fldChar w:fldCharType="separate"/>
      </w:r>
      <w:r w:rsidRPr="005B0796">
        <w:t>(Fichter et al., 2008)</w:t>
      </w:r>
      <w:r w:rsidRPr="005B0796">
        <w:fldChar w:fldCharType="end"/>
      </w:r>
      <w:r w:rsidRPr="005B0796">
        <w:t>. This body of work highlights the importance of further investigating the role of stress exposure in this group and explorin</w:t>
      </w:r>
      <w:r w:rsidR="00D929FC">
        <w:t>g</w:t>
      </w:r>
      <w:r w:rsidRPr="005B0796">
        <w:t xml:space="preserve"> the longitudinal course of disorder </w:t>
      </w:r>
      <w:r w:rsidRPr="005B0796">
        <w:fldChar w:fldCharType="begin"/>
      </w:r>
      <w:r w:rsidRPr="005B0796">
        <w:instrText xml:space="preserve"> ADDIN EN.CITE &lt;EndNote&gt;&lt;Cite&gt;&lt;Author&gt;Post&lt;/Author&gt;&lt;Year&gt;1998&lt;/Year&gt;&lt;RecNum&gt;909&lt;/RecNum&gt;&lt;DisplayText&gt;(Post &amp;amp; Weiss, 1998)&lt;/DisplayText&gt;&lt;record&gt;&lt;rec-number&gt;909&lt;/rec-number&gt;&lt;foreign-keys&gt;&lt;key app="EN" db-id="arwdrezp9sdawxevtfyxtfw10exvr5exxfed" timestamp="1492994782"&gt;909&lt;/key&gt;&lt;/foreign-keys&gt;&lt;ref-type name="Journal Article"&gt;17&lt;/ref-type&gt;&lt;contributors&gt;&lt;authors&gt;&lt;author&gt;Post, Robert M&lt;/author&gt;&lt;author&gt;Weiss, Susan RB&lt;/author&gt;&lt;/authors&gt;&lt;/contributors&gt;&lt;titles&gt;&lt;title&gt;Sensitization and kindling phenomena in mood, anxiety, and obsessive–compulsive disorders: the role of serotonergic mechanisms in illness progression&lt;/title&gt;&lt;secondary-title&gt;Biological psychiatry&lt;/secondary-title&gt;&lt;/titles&gt;&lt;periodical&gt;&lt;full-title&gt;Biol Psychiatry&lt;/full-title&gt;&lt;abbr-1&gt;Biological psychiatry&lt;/abbr-1&gt;&lt;/periodical&gt;&lt;pages&gt;193-206&lt;/pages&gt;&lt;volume&gt;44&lt;/volume&gt;&lt;number&gt;3&lt;/number&gt;&lt;dates&gt;&lt;year&gt;1998&lt;/year&gt;&lt;/dates&gt;&lt;isbn&gt;0006-3223&lt;/isbn&gt;&lt;urls&gt;&lt;/urls&gt;&lt;/record&gt;&lt;/Cite&gt;&lt;/EndNote&gt;</w:instrText>
      </w:r>
      <w:r w:rsidRPr="005B0796">
        <w:fldChar w:fldCharType="separate"/>
      </w:r>
      <w:r w:rsidRPr="005B0796">
        <w:t>(Post &amp; Weiss, 1998)</w:t>
      </w:r>
      <w:r w:rsidRPr="005B0796">
        <w:fldChar w:fldCharType="end"/>
      </w:r>
      <w:r w:rsidRPr="005B0796">
        <w:t>. In light of this, an important clinical priori</w:t>
      </w:r>
      <w:r w:rsidR="00D929FC">
        <w:t>ty should be the further follow-</w:t>
      </w:r>
      <w:r w:rsidRPr="005B0796">
        <w:t>up of individuals identified with bipolar disorder in this study, to ensure that they have been formally diagnosed, to ensure that they are receiving appropriate treatment, and to better characterise their risk factors.</w:t>
      </w:r>
      <w:r w:rsidRPr="005B0796">
        <w:rPr>
          <w:rFonts w:eastAsia="Calibri"/>
          <w:lang w:eastAsia="en-GB"/>
        </w:rPr>
        <w:t xml:space="preserve"> Further research also needs to be conducted to examine the potential risk factors for this disorder in military populations, including the prevalence of comorbid disorder, in order to clearly identify subpopulations who maybe at particular risk.</w:t>
      </w:r>
    </w:p>
    <w:p w:rsidR="006866ED" w:rsidRPr="005B0796" w:rsidRDefault="006866ED" w:rsidP="00D33302">
      <w:pPr>
        <w:rPr>
          <w:lang w:eastAsia="en-GB"/>
        </w:rPr>
      </w:pPr>
      <w:r w:rsidRPr="005B0796">
        <w:rPr>
          <w:lang w:eastAsia="en-GB"/>
        </w:rPr>
        <w:t>A qualitative study of Transitioned ADF members who have been identified as having particular mental disorders would assist in better understanding the issues that cannot be captured by the structured diagnostic interview and questionnaires used in this study. This strategy would assist in better understanding the nuances and difficulties experienced by ADF members as they navigate the civilian he</w:t>
      </w:r>
      <w:r w:rsidR="00E21BD4">
        <w:rPr>
          <w:lang w:eastAsia="en-GB"/>
        </w:rPr>
        <w:t>althcare system upon transition</w:t>
      </w:r>
      <w:r w:rsidRPr="005B0796">
        <w:rPr>
          <w:lang w:eastAsia="en-GB"/>
        </w:rPr>
        <w:t xml:space="preserve">. This would also build on the quantitative information in the </w:t>
      </w:r>
      <w:r w:rsidRPr="005B0796">
        <w:rPr>
          <w:i/>
          <w:lang w:eastAsia="en-GB"/>
        </w:rPr>
        <w:t>Pathways to Care Report</w:t>
      </w:r>
      <w:r w:rsidR="00E21BD4">
        <w:rPr>
          <w:lang w:eastAsia="en-GB"/>
        </w:rPr>
        <w:t>,</w:t>
      </w:r>
      <w:r w:rsidRPr="005B0796">
        <w:rPr>
          <w:lang w:eastAsia="en-GB"/>
        </w:rPr>
        <w:t xml:space="preserve"> including the nature of the interventions that have been offered once contact is made with the mental health system. It needs to be recognised that there are many limitat</w:t>
      </w:r>
      <w:r w:rsidR="00E21BD4">
        <w:rPr>
          <w:lang w:eastAsia="en-GB"/>
        </w:rPr>
        <w:t>ions within the civilian health</w:t>
      </w:r>
      <w:r w:rsidRPr="005B0796">
        <w:rPr>
          <w:lang w:eastAsia="en-GB"/>
        </w:rPr>
        <w:t>care sector</w:t>
      </w:r>
      <w:r w:rsidR="00E21BD4">
        <w:rPr>
          <w:lang w:eastAsia="en-GB"/>
        </w:rPr>
        <w:t>,</w:t>
      </w:r>
      <w:r w:rsidRPr="005B0796">
        <w:rPr>
          <w:lang w:eastAsia="en-GB"/>
        </w:rPr>
        <w:t xml:space="preserve"> and these are potentially impacting on Transitioned ADF members who do not have DVA entitlements.</w:t>
      </w:r>
    </w:p>
    <w:p w:rsidR="006866ED" w:rsidRPr="005B0796" w:rsidRDefault="006866ED" w:rsidP="00D33302">
      <w:pPr>
        <w:rPr>
          <w:lang w:eastAsia="en-GB"/>
        </w:rPr>
      </w:pPr>
      <w:r w:rsidRPr="005B0796">
        <w:rPr>
          <w:lang w:eastAsia="en-GB"/>
        </w:rPr>
        <w:t>This report examined diagnosable mental disorders and subthreshold mental health symptoms. This latter group represents those at significant risk of the later emergence of disorder: a predictable outcome given the international evidence showing an association between increasing age</w:t>
      </w:r>
      <w:r w:rsidR="00E21BD4">
        <w:rPr>
          <w:lang w:eastAsia="en-GB"/>
        </w:rPr>
        <w:t xml:space="preserve"> and </w:t>
      </w:r>
      <w:r w:rsidRPr="005B0796">
        <w:rPr>
          <w:lang w:eastAsia="en-GB"/>
        </w:rPr>
        <w:t xml:space="preserve">time and increasing rates of some disorders such as PTSD </w:t>
      </w:r>
      <w:r w:rsidRPr="005B0796">
        <w:rPr>
          <w:lang w:eastAsia="en-GB"/>
        </w:rPr>
        <w:fldChar w:fldCharType="begin">
          <w:fldData xml:space="preserve">PEVuZE5vdGU+PENpdGU+PEF1dGhvcj5Nb3RhPC9BdXRob3I+PFllYXI+MjAxNjwvWWVhcj48UmVj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</w:fldData>
        </w:fldChar>
      </w:r>
      <w:r w:rsidRPr="005B0796">
        <w:rPr>
          <w:lang w:eastAsia="en-GB"/>
        </w:rPr>
        <w:instrText xml:space="preserve"> ADDIN EN.CITE </w:instrText>
      </w:r>
      <w:r w:rsidRPr="005B0796">
        <w:rPr>
          <w:lang w:eastAsia="en-GB"/>
        </w:rPr>
        <w:fldChar w:fldCharType="begin">
          <w:fldData xml:space="preserve">PEVuZE5vdGU+PENpdGU+PEF1dGhvcj5Nb3RhPC9BdXRob3I+PFllYXI+MjAxNjwvWWVhcj48UmVj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</w:fldData>
        </w:fldChar>
      </w:r>
      <w:r w:rsidRPr="005B0796">
        <w:rPr>
          <w:lang w:eastAsia="en-GB"/>
        </w:rPr>
        <w:instrText xml:space="preserve"> ADDIN EN.CITE.DATA </w:instrText>
      </w:r>
      <w:r w:rsidRPr="005B0796">
        <w:rPr>
          <w:lang w:eastAsia="en-GB"/>
        </w:rPr>
      </w:r>
      <w:r w:rsidRPr="005B0796">
        <w:rPr>
          <w:lang w:eastAsia="en-GB"/>
        </w:rPr>
        <w:fldChar w:fldCharType="end"/>
      </w:r>
      <w:r w:rsidRPr="005B0796">
        <w:rPr>
          <w:lang w:eastAsia="en-GB"/>
        </w:rPr>
      </w:r>
      <w:r w:rsidRPr="005B0796">
        <w:rPr>
          <w:lang w:eastAsia="en-GB"/>
        </w:rPr>
        <w:fldChar w:fldCharType="separate"/>
      </w:r>
      <w:r w:rsidRPr="005B0796">
        <w:rPr>
          <w:lang w:eastAsia="en-GB"/>
        </w:rPr>
        <w:t>(Mota et al., 2016</w:t>
      </w:r>
      <w:r w:rsidR="00E21BD4">
        <w:rPr>
          <w:lang w:eastAsia="en-GB"/>
        </w:rPr>
        <w:t>;</w:t>
      </w:r>
      <w:r w:rsidRPr="005B0796">
        <w:rPr>
          <w:lang w:eastAsia="en-GB"/>
        </w:rPr>
        <w:fldChar w:fldCharType="end"/>
      </w:r>
      <w:r w:rsidRPr="005B0796">
        <w:rPr>
          <w:lang w:eastAsia="en-GB"/>
        </w:rPr>
        <w:t xml:space="preserve"> </w:t>
      </w:r>
      <w:r w:rsidRPr="005B0796">
        <w:rPr>
          <w:lang w:eastAsia="en-GB"/>
        </w:rPr>
        <w:fldChar w:fldCharType="begin">
          <w:fldData xml:space="preserve">PEVuZE5vdGU+PENpdGU+PEF1dGhvcj5TbWlkPC9BdXRob3I+PFllYXI+MjAxMzwvWWVhcj48UmVj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</w:fldData>
        </w:fldChar>
      </w:r>
      <w:r w:rsidRPr="005B0796">
        <w:rPr>
          <w:lang w:eastAsia="en-GB"/>
        </w:rPr>
        <w:instrText xml:space="preserve"> ADDIN EN.CITE </w:instrText>
      </w:r>
      <w:r w:rsidRPr="005B0796">
        <w:rPr>
          <w:lang w:eastAsia="en-GB"/>
        </w:rPr>
        <w:fldChar w:fldCharType="begin">
          <w:fldData xml:space="preserve">PEVuZE5vdGU+PENpdGU+PEF1dGhvcj5TbWlkPC9BdXRob3I+PFllYXI+MjAxMzwvWWVhcj48UmVj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</w:fldData>
        </w:fldChar>
      </w:r>
      <w:r w:rsidRPr="005B0796">
        <w:rPr>
          <w:lang w:eastAsia="en-GB"/>
        </w:rPr>
        <w:instrText xml:space="preserve"> ADDIN EN.CITE.DATA </w:instrText>
      </w:r>
      <w:r w:rsidRPr="005B0796">
        <w:rPr>
          <w:lang w:eastAsia="en-GB"/>
        </w:rPr>
      </w:r>
      <w:r w:rsidRPr="005B0796">
        <w:rPr>
          <w:lang w:eastAsia="en-GB"/>
        </w:rPr>
        <w:fldChar w:fldCharType="end"/>
      </w:r>
      <w:r w:rsidRPr="005B0796">
        <w:rPr>
          <w:lang w:eastAsia="en-GB"/>
        </w:rPr>
      </w:r>
      <w:r w:rsidRPr="005B0796">
        <w:rPr>
          <w:lang w:eastAsia="en-GB"/>
        </w:rPr>
        <w:fldChar w:fldCharType="separate"/>
      </w:r>
      <w:r w:rsidRPr="005B0796">
        <w:rPr>
          <w:lang w:eastAsia="en-GB"/>
        </w:rPr>
        <w:t>Smid et al., 2013)</w:t>
      </w:r>
      <w:r w:rsidRPr="005B0796">
        <w:rPr>
          <w:lang w:eastAsia="en-GB"/>
        </w:rPr>
        <w:fldChar w:fldCharType="end"/>
      </w:r>
      <w:r w:rsidRPr="005B0796">
        <w:rPr>
          <w:lang w:eastAsia="en-GB"/>
        </w:rPr>
        <w:t xml:space="preserve">. This </w:t>
      </w:r>
      <w:r w:rsidR="00E21BD4">
        <w:rPr>
          <w:lang w:eastAsia="en-GB"/>
        </w:rPr>
        <w:t xml:space="preserve">reinforces </w:t>
      </w:r>
      <w:r w:rsidRPr="005B0796">
        <w:rPr>
          <w:lang w:eastAsia="en-GB"/>
        </w:rPr>
        <w:t xml:space="preserve">the importance of </w:t>
      </w:r>
      <w:r w:rsidR="00E21BD4">
        <w:rPr>
          <w:lang w:eastAsia="en-GB"/>
        </w:rPr>
        <w:t xml:space="preserve">providing Australian GPs with the ability </w:t>
      </w:r>
      <w:r w:rsidRPr="005B0796">
        <w:rPr>
          <w:lang w:eastAsia="en-GB"/>
        </w:rPr>
        <w:t xml:space="preserve">to conduct a comprehensive ADF Post Discharge Health Assessment </w:t>
      </w:r>
      <w:r w:rsidRPr="005B0796">
        <w:rPr>
          <w:lang w:eastAsia="en-GB"/>
        </w:rPr>
        <w:fldChar w:fldCharType="begin"/>
      </w:r>
      <w:r w:rsidRPr="005B0796">
        <w:rPr>
          <w:lang w:eastAsia="en-GB"/>
        </w:rPr>
        <w:instrText xml:space="preserve"> ADDIN EN.CITE &lt;EndNote&gt;&lt;Cite&gt;&lt;Author&gt;Reed&lt;/Author&gt;&lt;Year&gt;2016&lt;/Year&gt;&lt;RecNum&gt;991&lt;/RecNum&gt;&lt;DisplayText&gt;(Reed et al., 2016)&lt;/DisplayText&gt;&lt;record&gt;&lt;rec-number&gt;991&lt;/rec-number&gt;&lt;foreign-keys&gt;&lt;key app="EN" db-id="arwdrezp9sdawxevtfyxtfw10exvr5exxfed" timestamp="1499214129"&gt;991&lt;/key&gt;&lt;/foreign-keys&gt;&lt;ref-type name="Journal Article"&gt;17&lt;/ref-type&gt;&lt;contributors&gt;&lt;authors&gt;&lt;author&gt;Reed, Richard L&lt;/author&gt;&lt;author&gt;Masters, Stacey&lt;/author&gt;&lt;author&gt;Roeger, Leigh S&lt;/author&gt;&lt;/authors&gt;&lt;/contributors&gt;&lt;titles&gt;&lt;title&gt;The Australian Defence Force Post-discharge GP Health Assessment&lt;/title&gt;&lt;secondary-title&gt;Australian family physician&lt;/secondary-title&gt;&lt;/titles&gt;&lt;periodical&gt;&lt;full-title&gt;Australian family physician&lt;/full-title&gt;&lt;/periodical&gt;&lt;pages&gt;94&lt;/pages&gt;&lt;volume&gt;45&lt;/volume&gt;&lt;number&gt;3&lt;/number&gt;&lt;dates&gt;&lt;year&gt;2016&lt;/year&gt;&lt;/dates&gt;&lt;urls&gt;&lt;/urls&gt;&lt;/record&gt;&lt;/Cite&gt;&lt;/EndNote&gt;</w:instrText>
      </w:r>
      <w:r w:rsidRPr="005B0796">
        <w:rPr>
          <w:lang w:eastAsia="en-GB"/>
        </w:rPr>
        <w:fldChar w:fldCharType="separate"/>
      </w:r>
      <w:r w:rsidRPr="005B0796">
        <w:rPr>
          <w:lang w:eastAsia="en-GB"/>
        </w:rPr>
        <w:t>(Reed et al., 2016)</w:t>
      </w:r>
      <w:r w:rsidRPr="005B0796">
        <w:rPr>
          <w:lang w:eastAsia="en-GB"/>
        </w:rPr>
        <w:fldChar w:fldCharType="end"/>
      </w:r>
      <w:r w:rsidR="00E21BD4">
        <w:rPr>
          <w:lang w:eastAsia="en-GB"/>
        </w:rPr>
        <w:t>. It also</w:t>
      </w:r>
      <w:r w:rsidRPr="005B0796">
        <w:rPr>
          <w:lang w:eastAsia="en-GB"/>
        </w:rPr>
        <w:t xml:space="preserve"> further supports the Department</w:t>
      </w:r>
      <w:r w:rsidR="001F4DC8">
        <w:rPr>
          <w:lang w:eastAsia="en-GB"/>
        </w:rPr>
        <w:t>s</w:t>
      </w:r>
      <w:r w:rsidR="00E21BD4">
        <w:rPr>
          <w:lang w:eastAsia="en-GB"/>
        </w:rPr>
        <w:t>’</w:t>
      </w:r>
      <w:r w:rsidRPr="005B0796">
        <w:rPr>
          <w:lang w:eastAsia="en-GB"/>
        </w:rPr>
        <w:t xml:space="preserve"> considering further options for ongoing surveillance of this population</w:t>
      </w:r>
      <w:r w:rsidR="00E21BD4">
        <w:rPr>
          <w:lang w:eastAsia="en-GB"/>
        </w:rPr>
        <w:t>,</w:t>
      </w:r>
      <w:r w:rsidRPr="005B0796">
        <w:rPr>
          <w:lang w:eastAsia="en-GB"/>
        </w:rPr>
        <w:t xml:space="preserve"> including those who have transitioned to the Active and Inactive Reserves. </w:t>
      </w:r>
    </w:p>
    <w:p w:rsidR="006866ED" w:rsidRPr="005B0796" w:rsidRDefault="006866ED" w:rsidP="00D33302">
      <w:pPr>
        <w:rPr>
          <w:lang w:eastAsia="en-GB"/>
        </w:rPr>
      </w:pPr>
      <w:r w:rsidRPr="005B0796">
        <w:rPr>
          <w:lang w:eastAsia="en-GB"/>
        </w:rPr>
        <w:t xml:space="preserve">Another issue not explored in this study is psychological outcomes for those who sustained physical injuries during military service </w:t>
      </w:r>
      <w:r w:rsidRPr="005B0796">
        <w:rPr>
          <w:lang w:eastAsia="en-GB"/>
        </w:rPr>
        <w:fldChar w:fldCharType="begin">
          <w:fldData xml:space="preserve">PEVuZE5vdGU+PENpdGU+PEF1dGhvcj5CcnlhbnQ8L0F1dGhvcj48WWVhcj4yMDE1PC9ZZWFyPjxS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YmJyLTE+PC9hbHQtcGVyaW9kaWNhbD48cGFnZXM+MjEyNi0zMzwvcGFnZXM+PHZvbHVtZT4xMzI8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</w:fldData>
        </w:fldChar>
      </w:r>
      <w:r w:rsidRPr="005B0796">
        <w:rPr>
          <w:lang w:eastAsia="en-GB"/>
        </w:rPr>
        <w:instrText xml:space="preserve"> ADDIN EN.CITE </w:instrText>
      </w:r>
      <w:r w:rsidRPr="005B0796">
        <w:rPr>
          <w:lang w:eastAsia="en-GB"/>
        </w:rPr>
        <w:fldChar w:fldCharType="begin">
          <w:fldData xml:space="preserve">PEVuZE5vdGU+PENpdGU+PEF1dGhvcj5CcnlhbnQ8L0F1dGhvcj48WWVhcj4yMDE1PC9ZZWFyPjxS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YmJyLTE+PC9hbHQtcGVyaW9kaWNhbD48cGFnZXM+MjEyNi0zMzwvcGFnZXM+PHZvbHVtZT4xMzI8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</w:fldData>
        </w:fldChar>
      </w:r>
      <w:r w:rsidRPr="005B0796">
        <w:rPr>
          <w:lang w:eastAsia="en-GB"/>
        </w:rPr>
        <w:instrText xml:space="preserve"> ADDIN EN.CITE.DATA </w:instrText>
      </w:r>
      <w:r w:rsidRPr="005B0796">
        <w:rPr>
          <w:lang w:eastAsia="en-GB"/>
        </w:rPr>
      </w:r>
      <w:r w:rsidRPr="005B0796">
        <w:rPr>
          <w:lang w:eastAsia="en-GB"/>
        </w:rPr>
        <w:fldChar w:fldCharType="end"/>
      </w:r>
      <w:r w:rsidRPr="005B0796">
        <w:rPr>
          <w:lang w:eastAsia="en-GB"/>
        </w:rPr>
      </w:r>
      <w:r w:rsidRPr="005B0796">
        <w:rPr>
          <w:lang w:eastAsia="en-GB"/>
        </w:rPr>
        <w:fldChar w:fldCharType="separate"/>
      </w:r>
      <w:r w:rsidRPr="005B0796">
        <w:rPr>
          <w:lang w:eastAsia="en-GB"/>
        </w:rPr>
        <w:t>(Bryant et al., 2015; Stewart et al., 2015)</w:t>
      </w:r>
      <w:r w:rsidRPr="005B0796">
        <w:rPr>
          <w:lang w:eastAsia="en-GB"/>
        </w:rPr>
        <w:fldChar w:fldCharType="end"/>
      </w:r>
      <w:r w:rsidRPr="005B0796">
        <w:rPr>
          <w:lang w:eastAsia="en-GB"/>
        </w:rPr>
        <w:t xml:space="preserve">, with those injured on deployment representing a group at particular risk. Current literature </w:t>
      </w:r>
      <w:r w:rsidR="00E21BD4">
        <w:rPr>
          <w:lang w:eastAsia="en-GB"/>
        </w:rPr>
        <w:t xml:space="preserve">indicates an </w:t>
      </w:r>
      <w:r w:rsidRPr="005B0796">
        <w:rPr>
          <w:lang w:eastAsia="en-GB"/>
        </w:rPr>
        <w:t xml:space="preserve">increased recognition of the substantial comorbidity that exists between psychiatric and physical illness </w:t>
      </w:r>
      <w:r w:rsidRPr="005B0796">
        <w:rPr>
          <w:lang w:eastAsia="en-GB"/>
        </w:rPr>
        <w:fldChar w:fldCharType="begin">
          <w:fldData xml:space="preserve">PEVuZE5vdGU+PENpdGU+PEF1dGhvcj5Mb2hyPC9BdXRob3I+PFllYXI+MjAxNTwvWWVhcj48UmVj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</w:fldData>
        </w:fldChar>
      </w:r>
      <w:r w:rsidRPr="005B0796">
        <w:rPr>
          <w:lang w:eastAsia="en-GB"/>
        </w:rPr>
        <w:instrText xml:space="preserve"> ADDIN EN.CITE </w:instrText>
      </w:r>
      <w:r w:rsidRPr="005B0796">
        <w:rPr>
          <w:lang w:eastAsia="en-GB"/>
        </w:rPr>
        <w:fldChar w:fldCharType="begin">
          <w:fldData xml:space="preserve">PEVuZE5vdGU+PENpdGU+PEF1dGhvcj5Mb2hyPC9BdXRob3I+PFllYXI+MjAxNTwvWWVhcj48UmVj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</w:fldData>
        </w:fldChar>
      </w:r>
      <w:r w:rsidRPr="005B0796">
        <w:rPr>
          <w:lang w:eastAsia="en-GB"/>
        </w:rPr>
        <w:instrText xml:space="preserve"> ADDIN EN.CITE.DATA </w:instrText>
      </w:r>
      <w:r w:rsidRPr="005B0796">
        <w:rPr>
          <w:lang w:eastAsia="en-GB"/>
        </w:rPr>
      </w:r>
      <w:r w:rsidRPr="005B0796">
        <w:rPr>
          <w:lang w:eastAsia="en-GB"/>
        </w:rPr>
        <w:fldChar w:fldCharType="end"/>
      </w:r>
      <w:r w:rsidRPr="005B0796">
        <w:rPr>
          <w:lang w:eastAsia="en-GB"/>
        </w:rPr>
      </w:r>
      <w:r w:rsidRPr="005B0796">
        <w:rPr>
          <w:lang w:eastAsia="en-GB"/>
        </w:rPr>
        <w:fldChar w:fldCharType="separate"/>
      </w:r>
      <w:r w:rsidRPr="005B0796">
        <w:rPr>
          <w:lang w:eastAsia="en-GB"/>
        </w:rPr>
        <w:t>(Lohr et al., 2015; Pacella et al., 2013)</w:t>
      </w:r>
      <w:r w:rsidRPr="005B0796">
        <w:rPr>
          <w:lang w:eastAsia="en-GB"/>
        </w:rPr>
        <w:fldChar w:fldCharType="end"/>
      </w:r>
      <w:r w:rsidRPr="005B0796">
        <w:rPr>
          <w:lang w:eastAsia="en-GB"/>
        </w:rPr>
        <w:t xml:space="preserve">. While these issues will be explored in the </w:t>
      </w:r>
      <w:r w:rsidRPr="005B0796">
        <w:rPr>
          <w:i/>
          <w:lang w:eastAsia="en-GB"/>
        </w:rPr>
        <w:t xml:space="preserve">Physical Health Report </w:t>
      </w:r>
      <w:r w:rsidRPr="005B0796">
        <w:rPr>
          <w:lang w:eastAsia="en-GB"/>
        </w:rPr>
        <w:t xml:space="preserve">and the </w:t>
      </w:r>
      <w:r w:rsidRPr="005B0796">
        <w:rPr>
          <w:i/>
          <w:lang w:eastAsia="en-GB"/>
        </w:rPr>
        <w:t>Impact of Combat Report</w:t>
      </w:r>
      <w:r w:rsidRPr="005B0796">
        <w:rPr>
          <w:lang w:eastAsia="en-GB"/>
        </w:rPr>
        <w:t>, t</w:t>
      </w:r>
      <w:r w:rsidR="00E21BD4">
        <w:rPr>
          <w:lang w:eastAsia="en-GB"/>
        </w:rPr>
        <w:t>hey deserve</w:t>
      </w:r>
      <w:r w:rsidRPr="005B0796">
        <w:rPr>
          <w:lang w:eastAsia="en-GB"/>
        </w:rPr>
        <w:t xml:space="preserve"> to be highlighted for future targeted and detailed analysis. </w:t>
      </w:r>
    </w:p>
    <w:p w:rsidR="006866ED" w:rsidRPr="005B0796" w:rsidRDefault="006866ED" w:rsidP="00D33302">
      <w:pPr>
        <w:rPr>
          <w:lang w:eastAsia="en-GB"/>
        </w:rPr>
      </w:pPr>
      <w:r w:rsidRPr="005B0796">
        <w:rPr>
          <w:lang w:eastAsia="en-GB"/>
        </w:rPr>
        <w:t>The current study focuses on ADF members who transitioned from the Regular ADF between 2010 and 2014. This includes ADF members who transitioned into the Active and Inactive Reserves. What this study does not address is the mental health of Reservists who have never served in the Regular ADF (Ab</w:t>
      </w:r>
      <w:r w:rsidR="005B681B">
        <w:rPr>
          <w:lang w:eastAsia="en-GB"/>
        </w:rPr>
        <w:t> </w:t>
      </w:r>
      <w:r w:rsidRPr="005B0796">
        <w:rPr>
          <w:lang w:eastAsia="en-GB"/>
        </w:rPr>
        <w:t>initio Reservists). Data was collected on a sample of Ab</w:t>
      </w:r>
      <w:r w:rsidR="005B681B">
        <w:rPr>
          <w:lang w:eastAsia="en-GB"/>
        </w:rPr>
        <w:t> </w:t>
      </w:r>
      <w:r w:rsidRPr="005B0796">
        <w:rPr>
          <w:lang w:eastAsia="en-GB"/>
        </w:rPr>
        <w:t xml:space="preserve">initio Reservists as part of this Programme, and a future report is planned that will compare the impacts of military service in these three Reservist groups. </w:t>
      </w:r>
    </w:p>
    <w:p w:rsidR="006866ED" w:rsidRPr="005B0796" w:rsidRDefault="006866ED" w:rsidP="00D33302">
      <w:pPr>
        <w:rPr>
          <w:lang w:eastAsia="en-GB"/>
        </w:rPr>
      </w:pPr>
      <w:r w:rsidRPr="005B0796">
        <w:rPr>
          <w:lang w:eastAsia="en-GB"/>
        </w:rPr>
        <w:t>More generally, this study highlights the value of ongoing health surveillance of longitudinal cohorts. In the case of longitudinal surveillance, it is possible to make causal associations particularly where exposures have been measured in close proximity to their occurrence. The</w:t>
      </w:r>
      <w:r w:rsidRPr="005B0796">
        <w:rPr>
          <w:i/>
        </w:rPr>
        <w:t xml:space="preserve"> Impact of Combat Report </w:t>
      </w:r>
      <w:r w:rsidRPr="005B0796">
        <w:t>and the</w:t>
      </w:r>
      <w:r w:rsidRPr="005B0796">
        <w:rPr>
          <w:i/>
        </w:rPr>
        <w:t xml:space="preserve"> Mental Health Changes Over Time: a Longitudinal Perspective Report</w:t>
      </w:r>
      <w:r w:rsidRPr="005B0796">
        <w:rPr>
          <w:lang w:eastAsia="en-GB"/>
        </w:rPr>
        <w:t xml:space="preserve"> will provide examples of the power of these prospective cohort studies to </w:t>
      </w:r>
      <w:r w:rsidR="00E21BD4">
        <w:rPr>
          <w:lang w:eastAsia="en-GB"/>
        </w:rPr>
        <w:t xml:space="preserve">help identify </w:t>
      </w:r>
      <w:r w:rsidRPr="005B0796">
        <w:rPr>
          <w:lang w:eastAsia="en-GB"/>
        </w:rPr>
        <w:t>risk and protective factors for good and poor health outcomes over time. They can also inform risk mitigation and resilience-building strategies to protect future cohorts.</w:t>
      </w:r>
    </w:p>
    <w:p w:rsidR="006866ED" w:rsidRPr="005B0796" w:rsidRDefault="006866ED" w:rsidP="00D33302">
      <w:pPr>
        <w:pStyle w:val="Heading2"/>
      </w:pPr>
      <w:bookmarkStart w:id="1453" w:name="_Toc482021437"/>
      <w:bookmarkStart w:id="1454" w:name="_Toc482024529"/>
      <w:bookmarkStart w:id="1455" w:name="_Toc487011287"/>
      <w:bookmarkStart w:id="1456" w:name="_Toc493663182"/>
      <w:bookmarkStart w:id="1457" w:name="_Toc494449807"/>
      <w:bookmarkStart w:id="1458" w:name="_Toc511900389"/>
      <w:r w:rsidRPr="005B0796">
        <w:t>Conclusion</w:t>
      </w:r>
      <w:bookmarkEnd w:id="1453"/>
      <w:bookmarkEnd w:id="1454"/>
      <w:bookmarkEnd w:id="1455"/>
      <w:bookmarkEnd w:id="1456"/>
      <w:bookmarkEnd w:id="1457"/>
      <w:bookmarkEnd w:id="1458"/>
    </w:p>
    <w:p w:rsidR="006866ED" w:rsidRPr="005B0796" w:rsidRDefault="006866ED" w:rsidP="005068AA">
      <w:pPr>
        <w:keepLines/>
        <w:rPr>
          <w:lang w:eastAsia="en-GB"/>
        </w:rPr>
      </w:pPr>
      <w:r w:rsidRPr="005B0796">
        <w:rPr>
          <w:lang w:eastAsia="en-GB"/>
        </w:rPr>
        <w:t xml:space="preserve">The Transition and Wellbeing Research Programme aimed to address a number of key research priorities of both DVA and Defence over three studies: The Mental Health and Wellbeing Transition Study, the Impact of Combat Study and the Family Wellbeing Study. This comprehensive programme of research aimed to provide a detailed understanding of the impact of contemporary military service on the mental, physical and social health of serving and ex-serving members and their families, to ensure policy and service delivery responds to future needs. </w:t>
      </w:r>
    </w:p>
    <w:p w:rsidR="006866ED" w:rsidRPr="005B0796" w:rsidRDefault="006866ED" w:rsidP="00D33302">
      <w:pPr>
        <w:rPr>
          <w:lang w:eastAsia="en-GB"/>
        </w:rPr>
      </w:pPr>
      <w:r w:rsidRPr="005B0796">
        <w:rPr>
          <w:lang w:eastAsia="en-GB"/>
        </w:rPr>
        <w:t xml:space="preserve">This research arose out of the need to align future work to the DVA Strategic Research goal of conducting longitudinal studies. It also provided a bridge between the data collected by MilHOP </w:t>
      </w:r>
      <w:r w:rsidRPr="005B0796">
        <w:rPr>
          <w:lang w:eastAsia="en-GB"/>
        </w:rPr>
        <w:fldChar w:fldCharType="begin"/>
      </w:r>
      <w:r w:rsidRPr="005B0796">
        <w:rPr>
          <w:lang w:eastAsia="en-GB"/>
        </w:rPr>
        <w:instrText xml:space="preserve"> ADDIN EN.CITE &lt;EndNote&gt;&lt;Cite&gt;&lt;Author&gt;Defence Health&lt;/Author&gt;&lt;Year&gt;2017&lt;/Year&gt;&lt;RecNum&gt;992&lt;/RecNum&gt;&lt;DisplayText&gt;(Defence Health, 2017)&lt;/DisplayText&gt;&lt;record&gt;&lt;rec-number&gt;992&lt;/rec-number&gt;&lt;foreign-keys&gt;&lt;key app="EN" db-id="arwdrezp9sdawxevtfyxtfw10exvr5exxfed" timestamp="1499214404"&gt;992&lt;/key&gt;&lt;/foreign-keys&gt;&lt;ref-type name="Electronic Article"&gt;43&lt;/ref-type&gt;&lt;contributors&gt;&lt;authors&gt;&lt;author&gt;Defence Health,&lt;/author&gt;&lt;/authors&gt;&lt;/contributors&gt;&lt;titles&gt;&lt;title&gt;Military Health Outcomes Programme (MiLHOP)&lt;/title&gt;&lt;/titles&gt;&lt;dates&gt;&lt;year&gt;2017&lt;/year&gt;&lt;/dates&gt;&lt;urls&gt;&lt;related-urls&gt;&lt;url&gt;http://www.defence.gov.au/health/home/milhop.asp&lt;/url&gt;&lt;/related-urls&gt;&lt;/urls&gt;&lt;/record&gt;&lt;/Cite&gt;&lt;/EndNote&gt;</w:instrText>
      </w:r>
      <w:r w:rsidRPr="005B0796">
        <w:rPr>
          <w:lang w:eastAsia="en-GB"/>
        </w:rPr>
        <w:fldChar w:fldCharType="separate"/>
      </w:r>
      <w:r w:rsidRPr="005B0796">
        <w:rPr>
          <w:lang w:eastAsia="en-GB"/>
        </w:rPr>
        <w:t>(Defence Health, 2017)</w:t>
      </w:r>
      <w:r w:rsidRPr="005B0796">
        <w:rPr>
          <w:lang w:eastAsia="en-GB"/>
        </w:rPr>
        <w:fldChar w:fldCharType="end"/>
      </w:r>
      <w:r w:rsidRPr="005B0796">
        <w:rPr>
          <w:lang w:eastAsia="en-GB"/>
        </w:rPr>
        <w:t xml:space="preserve"> and future longitudinal studies of Australian contemporary veterans. The first priority identified was to establish the prevalence of mental disorder in ADF members who recently transitioned from the full-time Regular ADF (since 2010), the remit of this report. </w:t>
      </w:r>
      <w:r w:rsidRPr="005B0796">
        <w:rPr>
          <w:rFonts w:cs="Calibri"/>
        </w:rPr>
        <w:t xml:space="preserve">Importantly, the findings of this report are a </w:t>
      </w:r>
      <w:r w:rsidRPr="005B0796">
        <w:t>fundamental component of DVA and Defence work to enhance transition processes</w:t>
      </w:r>
      <w:r w:rsidR="00E21BD4">
        <w:t>,</w:t>
      </w:r>
      <w:r w:rsidRPr="005B0796">
        <w:t xml:space="preserve"> including enhancing mental health support services and suicide prevention initiatives </w:t>
      </w:r>
      <w:r w:rsidRPr="005B0796">
        <w:rPr>
          <w:lang w:eastAsia="en-GB"/>
        </w:rPr>
        <w:fldChar w:fldCharType="begin"/>
      </w:r>
      <w:r w:rsidRPr="005B0796">
        <w:rPr>
          <w:lang w:eastAsia="en-GB"/>
        </w:rPr>
        <w:instrText xml:space="preserve"> ADDIN EN.CITE &lt;EndNote&gt;&lt;Cite&gt;&lt;Author&gt;Commonwealth of Australia&lt;/Author&gt;&lt;Year&gt;2017&lt;/Year&gt;&lt;RecNum&gt;975&lt;/RecNum&gt;&lt;DisplayText&gt;(Commonwealth of Australia, 2017)&lt;/DisplayText&gt;&lt;record&gt;&lt;rec-number&gt;975&lt;/rec-number&gt;&lt;foreign-keys&gt;&lt;key app="EN" db-id="arwdrezp9sdawxevtfyxtfw10exvr5exxfed" timestamp="1499128666"&gt;975&lt;/key&gt;&lt;/foreign-keys&gt;&lt;ref-type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5B0796">
        <w:rPr>
          <w:lang w:eastAsia="en-GB"/>
        </w:rPr>
        <w:fldChar w:fldCharType="separate"/>
      </w:r>
      <w:r w:rsidRPr="005B0796">
        <w:rPr>
          <w:lang w:eastAsia="en-GB"/>
        </w:rPr>
        <w:t>(Commonwealth of Australia, 2017)</w:t>
      </w:r>
      <w:r w:rsidRPr="005B0796">
        <w:rPr>
          <w:lang w:eastAsia="en-GB"/>
        </w:rPr>
        <w:fldChar w:fldCharType="end"/>
      </w:r>
      <w:r w:rsidRPr="005B0796">
        <w:rPr>
          <w:lang w:eastAsia="en-GB"/>
        </w:rPr>
        <w:t>.</w:t>
      </w:r>
    </w:p>
    <w:p w:rsidR="006866ED" w:rsidRPr="005B0796" w:rsidRDefault="006866ED" w:rsidP="00D33302">
      <w:pPr>
        <w:rPr>
          <w:lang w:eastAsia="en-GB"/>
        </w:rPr>
      </w:pPr>
      <w:r w:rsidRPr="005B0796">
        <w:rPr>
          <w:lang w:eastAsia="en-GB"/>
        </w:rPr>
        <w:t xml:space="preserve">Based on the 2010 MHPWS </w:t>
      </w:r>
      <w:r w:rsidRPr="005B0796">
        <w:rPr>
          <w:lang w:eastAsia="en-GB"/>
        </w:rPr>
        <w:fldChar w:fldCharType="begin"/>
      </w:r>
      <w:r w:rsidRPr="005B0796">
        <w:rPr>
          <w:lang w:eastAsia="en-GB"/>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lang w:eastAsia="en-GB"/>
        </w:rPr>
        <w:fldChar w:fldCharType="separate"/>
      </w:r>
      <w:r w:rsidRPr="005B0796">
        <w:rPr>
          <w:lang w:eastAsia="en-GB"/>
        </w:rPr>
        <w:t>(McFarlane et al., 2011)</w:t>
      </w:r>
      <w:r w:rsidRPr="005B0796">
        <w:rPr>
          <w:lang w:eastAsia="en-GB"/>
        </w:rPr>
        <w:fldChar w:fldCharType="end"/>
      </w:r>
      <w:r w:rsidRPr="005B0796">
        <w:rPr>
          <w:lang w:eastAsia="en-GB"/>
        </w:rPr>
        <w:t xml:space="preserve">, it was predicted that younger Defence members who developed mental disorders were at particular risk of transitioning. The recent intensity of deployments to the </w:t>
      </w:r>
      <w:r w:rsidR="001F4DC8" w:rsidRPr="001F4DC8">
        <w:rPr>
          <w:lang w:eastAsia="en-GB"/>
        </w:rPr>
        <w:t>Middle East Area of Operations</w:t>
      </w:r>
      <w:r w:rsidRPr="005B0796">
        <w:rPr>
          <w:lang w:eastAsia="en-GB"/>
        </w:rPr>
        <w:t xml:space="preserve"> meant there was an accumulated risk as a consequence of trauma-related exposures in war-like environments. The growing body of literature about the prevalence of delayed-onset PTSD meant the MEAO Census and Prospective Health Studies were likely to underestimate the rates of disorder that would emerge as a consequence of these deployments. These deployment and combat exposures may, in part, account for the apparent decline in the mental health and wellbeing of the 2015 Regular ADF members that has been observed in this study.</w:t>
      </w:r>
    </w:p>
    <w:p w:rsidR="006866ED" w:rsidRPr="005B0796" w:rsidRDefault="006866ED" w:rsidP="00D33302">
      <w:pPr>
        <w:rPr>
          <w:lang w:eastAsia="en-GB"/>
        </w:rPr>
      </w:pPr>
      <w:r w:rsidRPr="005B0796">
        <w:rPr>
          <w:lang w:eastAsia="en-GB"/>
        </w:rPr>
        <w:t>As anticipated, those ADF members transitioning from military service represent a group at particular risk o</w:t>
      </w:r>
      <w:r w:rsidR="00E21BD4">
        <w:rPr>
          <w:lang w:eastAsia="en-GB"/>
        </w:rPr>
        <w:t>f</w:t>
      </w:r>
      <w:r w:rsidRPr="005B0796">
        <w:rPr>
          <w:lang w:eastAsia="en-GB"/>
        </w:rPr>
        <w:t xml:space="preserve"> mental disorder. The finding that an estimated 46% met 12</w:t>
      </w:r>
      <w:r w:rsidR="00E21BD4">
        <w:rPr>
          <w:lang w:eastAsia="en-GB"/>
        </w:rPr>
        <w:noBreakHyphen/>
      </w:r>
      <w:r w:rsidRPr="005B0796">
        <w:rPr>
          <w:lang w:eastAsia="en-GB"/>
        </w:rPr>
        <w:t xml:space="preserve">month ICD-10 diagnostic criteria for a mental disorder, using a structured diagnostic interview, highlights the burden of the identified morbidity, representing twice the rates found in full-time ADF members in 2010 </w:t>
      </w:r>
      <w:r w:rsidRPr="005B0796">
        <w:rPr>
          <w:lang w:eastAsia="en-GB"/>
        </w:rPr>
        <w:fldChar w:fldCharType="begin"/>
      </w:r>
      <w:r w:rsidRPr="005B0796">
        <w:rPr>
          <w:lang w:eastAsia="en-GB"/>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lang w:eastAsia="en-GB"/>
        </w:rPr>
        <w:fldChar w:fldCharType="separate"/>
      </w:r>
      <w:r w:rsidRPr="005B0796">
        <w:rPr>
          <w:lang w:eastAsia="en-GB"/>
        </w:rPr>
        <w:t>(McFarlane et al., 2011)</w:t>
      </w:r>
      <w:r w:rsidRPr="005B0796">
        <w:rPr>
          <w:lang w:eastAsia="en-GB"/>
        </w:rPr>
        <w:fldChar w:fldCharType="end"/>
      </w:r>
      <w:r w:rsidRPr="005B0796">
        <w:rPr>
          <w:lang w:eastAsia="en-GB"/>
        </w:rPr>
        <w:t>. Furthermore, the patterns of disorder and subthreshold symptomatology suggest a picture of increasing severity of disorder, particularly with the emergence of agoraphobia, social phobia, PTSD and bipolar disorder</w:t>
      </w:r>
      <w:r w:rsidR="00E21BD4">
        <w:rPr>
          <w:lang w:eastAsia="en-GB"/>
        </w:rPr>
        <w:t>,</w:t>
      </w:r>
      <w:r w:rsidRPr="005B0796">
        <w:rPr>
          <w:lang w:eastAsia="en-GB"/>
        </w:rPr>
        <w:t xml:space="preserve"> which carry particular risks of impairment and disability. The second report in this series, the </w:t>
      </w:r>
      <w:r w:rsidRPr="005B0796">
        <w:rPr>
          <w:i/>
          <w:lang w:eastAsia="en-GB"/>
        </w:rPr>
        <w:t>Pathways to Care Report</w:t>
      </w:r>
      <w:r w:rsidRPr="005B0796">
        <w:rPr>
          <w:lang w:eastAsia="en-GB"/>
        </w:rPr>
        <w:t>, provides vital information about how these individuals access care.</w:t>
      </w:r>
    </w:p>
    <w:p w:rsidR="006866ED" w:rsidRPr="005B0796" w:rsidRDefault="006866ED" w:rsidP="00D33302">
      <w:pPr>
        <w:rPr>
          <w:lang w:eastAsia="en-GB"/>
        </w:rPr>
      </w:pPr>
      <w:r w:rsidRPr="005B0796">
        <w:rPr>
          <w:lang w:eastAsia="en-GB"/>
        </w:rPr>
        <w:t>Despite these levels of disorder, the levels of engagement in employment and socially connected roles among the Transitioned ADF is encouraging. However, this is clearly a population who is at risk and would benefit from proactive strategies that aim to lessen the burden of mental illness within the group. The rates of suicidal ideation are of particular concern among those who have fully disengaged from the ADF</w:t>
      </w:r>
      <w:r w:rsidR="00E21BD4">
        <w:rPr>
          <w:lang w:eastAsia="en-GB"/>
        </w:rPr>
        <w:t>,</w:t>
      </w:r>
      <w:r w:rsidRPr="005B0796">
        <w:rPr>
          <w:lang w:eastAsia="en-GB"/>
        </w:rPr>
        <w:t xml:space="preserve"> and will be a focus of further investigation. Substantially more information exists in the dataset collected, and is yet to be analysed. It is critical that the value of this information is understood and that ongoing strategies for further analyses are developed. The findings of this study and subsequent reports will provide the foundation for evidence-based policy and programs to support those who have served our nation to successfully transition from full-time military service.</w:t>
      </w:r>
    </w:p>
    <w:p w:rsidR="001E64C2" w:rsidRPr="005B0796" w:rsidRDefault="001E64C2" w:rsidP="00D33302">
      <w:pPr>
        <w:sectPr w:rsidR="001E64C2" w:rsidRPr="005B0796" w:rsidSect="006C652D">
          <w:footerReference w:type="even" r:id="rId284"/>
          <w:footerReference w:type="default" r:id="rId285"/>
          <w:type w:val="oddPage"/>
          <w:pgSz w:w="9979" w:h="14170" w:code="243"/>
          <w:pgMar w:top="1440" w:right="1152" w:bottom="1440" w:left="1728" w:header="576" w:footer="576" w:gutter="0"/>
          <w:cols w:space="708"/>
          <w:docGrid w:linePitch="360"/>
        </w:sectPr>
      </w:pPr>
    </w:p>
    <w:p w:rsidR="00BB73DC" w:rsidRPr="005B0796" w:rsidRDefault="00BB73DC" w:rsidP="00134AF3">
      <w:pPr>
        <w:pStyle w:val="Heading1b"/>
      </w:pPr>
      <w:bookmarkStart w:id="1459" w:name="_Toc341700577"/>
      <w:bookmarkStart w:id="1460" w:name="_Toc487011289"/>
      <w:bookmarkStart w:id="1461" w:name="_Toc493663184"/>
      <w:bookmarkStart w:id="1462" w:name="_Toc494449808"/>
      <w:bookmarkStart w:id="1463" w:name="_Toc511900390"/>
      <w:r w:rsidRPr="005B0796">
        <w:t>Mental Health and Wellbeing Transition Study method</w:t>
      </w:r>
      <w:bookmarkEnd w:id="1459"/>
      <w:bookmarkEnd w:id="1460"/>
      <w:bookmarkEnd w:id="1461"/>
      <w:bookmarkEnd w:id="1462"/>
      <w:bookmarkEnd w:id="1463"/>
    </w:p>
    <w:p w:rsidR="00BB73DC" w:rsidRPr="005B0796" w:rsidRDefault="00BB73DC" w:rsidP="009B20BD">
      <w:pPr>
        <w:rPr>
          <w:lang w:eastAsia="en-AU"/>
        </w:rPr>
      </w:pPr>
      <w:r w:rsidRPr="005B0796">
        <w:t>This annex outlines the study design, selection criteria, instrumentation, recruitment strategy and statistical procedures used for the Mental Health and Wellbeing Transition Study. Details of the Impact of Combat Study and the Family Wellbeing Study will be outlined in future reports.</w:t>
      </w:r>
    </w:p>
    <w:p w:rsidR="00BB73DC" w:rsidRPr="005B0796" w:rsidRDefault="00BB73DC" w:rsidP="00751C86">
      <w:pPr>
        <w:pStyle w:val="Heading2b"/>
      </w:pPr>
      <w:bookmarkStart w:id="1464" w:name="_Toc487011290"/>
      <w:bookmarkStart w:id="1465" w:name="_Toc493663185"/>
      <w:r w:rsidRPr="005B0796">
        <w:t>Summary of the research</w:t>
      </w:r>
      <w:bookmarkEnd w:id="1464"/>
      <w:bookmarkEnd w:id="1465"/>
    </w:p>
    <w:p w:rsidR="00BB73DC" w:rsidRPr="005B0796" w:rsidRDefault="00BB73DC" w:rsidP="009B20BD">
      <w:r w:rsidRPr="005B0796">
        <w:t>The Transition and Wellbeing Research Programme is a joint research initiative of the Department of Veterans</w:t>
      </w:r>
      <w:r w:rsidR="00462A0C" w:rsidRPr="005B0796">
        <w:t>’</w:t>
      </w:r>
      <w:r w:rsidRPr="005B0796">
        <w:t xml:space="preserve"> Affairs (DVA) and the Department of Defence (Defence) to examine the impact of contemporary military service on the mental, physical and social health of Serving and Ex-Serving Australian Defence Force (ADF) members and their families. It builds on previous research and will inform effective and evidence-based health and mental health service provision. </w:t>
      </w:r>
    </w:p>
    <w:p w:rsidR="009B20BD" w:rsidRPr="005B0796" w:rsidRDefault="009B20BD" w:rsidP="009B20BD">
      <w:r w:rsidRPr="005B0796">
        <w:t>The Programme was conducted by a consortium of six of Australia</w:t>
      </w:r>
      <w:r w:rsidR="00462A0C" w:rsidRPr="005B0796">
        <w:t>’</w:t>
      </w:r>
      <w:r w:rsidRPr="005B0796">
        <w:t>s leading research institutions, led by the Centre for Traumatic Stress Studies (CTSS) at the University of Adelaide and the Australian Institute of Family Studies. The consortium included researchers from Phoenix Australia: Centre for Posttraumatic Mental Health, the University of New South Wales, Monash University and the University of Sydney.</w:t>
      </w:r>
    </w:p>
    <w:p w:rsidR="009B20BD" w:rsidRPr="005B0796" w:rsidRDefault="009B20BD" w:rsidP="009B20BD">
      <w:r w:rsidRPr="005B0796">
        <w:t>The 2010 Military Health Outcomes Program (MilHOP) detailed the prevalence of mental disorder in the 2010 Regular ADF and deployment-related health issues for those deployed to the Middle East Area of Operations (MEAO) between 2010 and 2012. Following the MilHOP, several research gaps were identified, including the mental health of Ex-Serving ADF members, Reservists, family members and ADF members in high-risk roles, as well as the course of mental disorders and pathways to care for individuals over time.</w:t>
      </w:r>
    </w:p>
    <w:p w:rsidR="009B20BD" w:rsidRPr="005B0796" w:rsidRDefault="009B20BD" w:rsidP="009B20BD">
      <w:r w:rsidRPr="005B0796">
        <w:t>The Programme aimed to address these research gaps in three separate but related studies:</w:t>
      </w:r>
    </w:p>
    <w:p w:rsidR="009B20BD" w:rsidRPr="005B0796" w:rsidRDefault="009B20BD" w:rsidP="009B20BD">
      <w:pPr>
        <w:pStyle w:val="Bullet"/>
        <w:spacing w:after="60"/>
      </w:pPr>
      <w:r w:rsidRPr="005B0796">
        <w:t>Mental Health and Wellbeing Transition Study</w:t>
      </w:r>
    </w:p>
    <w:p w:rsidR="009B20BD" w:rsidRPr="005B0796" w:rsidRDefault="009B20BD" w:rsidP="009B20BD">
      <w:pPr>
        <w:pStyle w:val="Bullet"/>
        <w:spacing w:after="60"/>
      </w:pPr>
      <w:r w:rsidRPr="005B0796">
        <w:t>Impact of Combat Study</w:t>
      </w:r>
    </w:p>
    <w:p w:rsidR="009B20BD" w:rsidRPr="005B0796" w:rsidRDefault="009B20BD" w:rsidP="009B20BD">
      <w:pPr>
        <w:pStyle w:val="Bullet"/>
      </w:pPr>
      <w:r w:rsidRPr="005B0796">
        <w:t>Family Wellbeing Study.</w:t>
      </w:r>
    </w:p>
    <w:p w:rsidR="009B20BD" w:rsidRPr="005B0796" w:rsidRDefault="009B20BD" w:rsidP="00751C86">
      <w:pPr>
        <w:pStyle w:val="Heading2b"/>
      </w:pPr>
      <w:bookmarkStart w:id="1466" w:name="_Toc482021442"/>
      <w:bookmarkStart w:id="1467" w:name="_Toc482024533"/>
      <w:bookmarkStart w:id="1468" w:name="_Toc484594355"/>
      <w:bookmarkStart w:id="1469" w:name="_Toc487011291"/>
      <w:bookmarkStart w:id="1470" w:name="_Toc493663186"/>
      <w:r w:rsidRPr="005B0796">
        <w:t>Aims of the Programme</w:t>
      </w:r>
      <w:bookmarkEnd w:id="1466"/>
      <w:bookmarkEnd w:id="1467"/>
      <w:bookmarkEnd w:id="1468"/>
      <w:bookmarkEnd w:id="1469"/>
      <w:bookmarkEnd w:id="1470"/>
    </w:p>
    <w:p w:rsidR="009B20BD" w:rsidRPr="005B0796" w:rsidRDefault="009B20BD" w:rsidP="005068AA">
      <w:pPr>
        <w:spacing w:after="160"/>
      </w:pPr>
      <w:r w:rsidRPr="005B0796">
        <w:t>The Transition and Wellbeing Research Programme objectives were to:</w:t>
      </w:r>
    </w:p>
    <w:p w:rsidR="009B20BD" w:rsidRPr="005B0796" w:rsidRDefault="009B20BD" w:rsidP="005068AA">
      <w:pPr>
        <w:pStyle w:val="Bullet"/>
        <w:spacing w:after="130"/>
      </w:pPr>
      <w:r w:rsidRPr="005B0796">
        <w:t>determine the prevalence of mental disorders amongst ADF members who have transitioned from Regular AD</w:t>
      </w:r>
      <w:r w:rsidR="005068AA" w:rsidRPr="005B0796">
        <w:t>F service between 2010 and 2014</w:t>
      </w:r>
    </w:p>
    <w:p w:rsidR="009B20BD" w:rsidRPr="005B0796" w:rsidRDefault="009B20BD" w:rsidP="005068AA">
      <w:pPr>
        <w:pStyle w:val="Bullet"/>
        <w:spacing w:after="130"/>
      </w:pPr>
      <w:r w:rsidRPr="005B0796">
        <w:t>examine self-reported mental health status of Transition</w:t>
      </w:r>
      <w:r w:rsidR="005068AA" w:rsidRPr="005B0796">
        <w:t>ed ADF and the 2015 Regular ADF</w:t>
      </w:r>
    </w:p>
    <w:p w:rsidR="009B20BD" w:rsidRPr="005B0796" w:rsidRDefault="009B20BD" w:rsidP="005068AA">
      <w:pPr>
        <w:pStyle w:val="Bullet"/>
        <w:spacing w:after="130"/>
      </w:pPr>
      <w:r w:rsidRPr="005B0796">
        <w:t>examine the physical health status of Transitioned ADF and the 2015 Reg</w:t>
      </w:r>
      <w:r w:rsidR="005068AA" w:rsidRPr="005B0796">
        <w:t>ular ADF</w:t>
      </w:r>
    </w:p>
    <w:p w:rsidR="009B20BD" w:rsidRPr="005B0796" w:rsidRDefault="009B20BD" w:rsidP="005068AA">
      <w:pPr>
        <w:pStyle w:val="Bullet"/>
        <w:spacing w:after="130"/>
      </w:pPr>
      <w:r w:rsidRPr="005B0796">
        <w:t>assess pathways to care for Transitioned ADF and the 2015 Regular ADF, including those w</w:t>
      </w:r>
      <w:r w:rsidR="005068AA" w:rsidRPr="005B0796">
        <w:t>ith a diagnosed mental disorder</w:t>
      </w:r>
    </w:p>
    <w:p w:rsidR="009B20BD" w:rsidRPr="005B0796" w:rsidRDefault="009B20BD" w:rsidP="005068AA">
      <w:pPr>
        <w:pStyle w:val="Bullet"/>
        <w:spacing w:after="130"/>
      </w:pPr>
      <w:r w:rsidRPr="005B0796">
        <w:t>examine the factors that contribute to the wellbeing of Transition</w:t>
      </w:r>
      <w:r w:rsidR="005068AA" w:rsidRPr="005B0796">
        <w:t>ed ADF and the 2015 Regular ADF</w:t>
      </w:r>
    </w:p>
    <w:p w:rsidR="009B20BD" w:rsidRPr="005B0796" w:rsidRDefault="009B20BD" w:rsidP="005068AA">
      <w:pPr>
        <w:pStyle w:val="Bullet"/>
        <w:spacing w:after="130"/>
      </w:pPr>
      <w:r w:rsidRPr="005B0796">
        <w:t xml:space="preserve">conduct predictive modelling of the trajectory of mental health symptoms/disorder of Transitioned ADF and the 2015 Regular ADF, removing the </w:t>
      </w:r>
      <w:r w:rsidR="005068AA" w:rsidRPr="005B0796">
        <w:t>need to rely on estimated rates</w:t>
      </w:r>
    </w:p>
    <w:p w:rsidR="009B20BD" w:rsidRPr="005B0796" w:rsidRDefault="009B20BD" w:rsidP="005068AA">
      <w:pPr>
        <w:pStyle w:val="Bullet"/>
        <w:spacing w:after="130"/>
      </w:pPr>
      <w:r w:rsidRPr="005B0796">
        <w:t xml:space="preserve">investigate technology and its utility for health and mental health programmes, including implications for </w:t>
      </w:r>
      <w:r w:rsidR="005068AA" w:rsidRPr="005B0796">
        <w:t>future health service delivery</w:t>
      </w:r>
    </w:p>
    <w:p w:rsidR="009B20BD" w:rsidRPr="005B0796" w:rsidRDefault="009B20BD" w:rsidP="005068AA">
      <w:pPr>
        <w:pStyle w:val="Bullet"/>
        <w:spacing w:after="130"/>
      </w:pPr>
      <w:r w:rsidRPr="005B0796">
        <w:t>follow up on the mental, physical and neuro-cognitive health and wellbeing of ADF members who deployed to</w:t>
      </w:r>
      <w:r w:rsidR="005068AA" w:rsidRPr="005B0796">
        <w:t xml:space="preserve"> the MEAO between 2010 and 2012</w:t>
      </w:r>
    </w:p>
    <w:p w:rsidR="009B20BD" w:rsidRPr="005B0796" w:rsidRDefault="009B20BD" w:rsidP="005068AA">
      <w:pPr>
        <w:pStyle w:val="Bullet"/>
        <w:spacing w:after="130"/>
      </w:pPr>
      <w:r w:rsidRPr="005B0796">
        <w:t>investigate the social, physical, mental health and wellbeing of 2015 Ab</w:t>
      </w:r>
      <w:r w:rsidR="005B681B">
        <w:t> </w:t>
      </w:r>
      <w:r w:rsidRPr="005B0796">
        <w:t>initio Reservists (those who joined as Reservists and have o</w:t>
      </w:r>
      <w:r w:rsidR="005068AA" w:rsidRPr="005B0796">
        <w:t>nly served in the Reserves)</w:t>
      </w:r>
    </w:p>
    <w:p w:rsidR="009B20BD" w:rsidRPr="005B0796" w:rsidRDefault="009B20BD" w:rsidP="009B20BD">
      <w:pPr>
        <w:pStyle w:val="Bullet"/>
      </w:pPr>
      <w:r w:rsidRPr="005B0796">
        <w:t>investigate the impact of ADF service on the health and wellbeing of the families of Transitioned ADF and the 2015 Regular ADF.</w:t>
      </w:r>
    </w:p>
    <w:p w:rsidR="009B20BD" w:rsidRPr="005B0796" w:rsidRDefault="009B20BD" w:rsidP="005068AA">
      <w:pPr>
        <w:spacing w:after="160"/>
      </w:pPr>
      <w:r w:rsidRPr="005B0796">
        <w:t>These objectives will allow Defence and DVA to:</w:t>
      </w:r>
    </w:p>
    <w:p w:rsidR="009B20BD" w:rsidRPr="005B0796" w:rsidRDefault="009B20BD" w:rsidP="005068AA">
      <w:pPr>
        <w:pStyle w:val="Bullet"/>
        <w:spacing w:after="130"/>
      </w:pPr>
      <w:r w:rsidRPr="005B0796">
        <w:t>build on the 2010 MilHOP research to develop an understanding of how mental health changes and manifests during the readjustment phase post-separation</w:t>
      </w:r>
    </w:p>
    <w:p w:rsidR="009B20BD" w:rsidRPr="005B0796" w:rsidRDefault="009B20BD" w:rsidP="005068AA">
      <w:pPr>
        <w:pStyle w:val="Bullet"/>
        <w:spacing w:after="130"/>
      </w:pPr>
      <w:r w:rsidRPr="005B0796">
        <w:t>develop insights into how to improve communication between contemporary veterans, DVA and Defence</w:t>
      </w:r>
    </w:p>
    <w:p w:rsidR="009B20BD" w:rsidRPr="005B0796" w:rsidRDefault="009B20BD" w:rsidP="005068AA">
      <w:pPr>
        <w:pStyle w:val="Bullet"/>
        <w:spacing w:after="130"/>
      </w:pPr>
      <w:r w:rsidRPr="005B0796">
        <w:t>further develop the research outcomes and optimise the use of existing data sets within DVA and Defence in relation to improving the understanding of the mental health of serving and Ex-Serving members and the access to clini</w:t>
      </w:r>
      <w:r w:rsidR="005068AA" w:rsidRPr="005B0796">
        <w:t>cal services and their outcomes</w:t>
      </w:r>
    </w:p>
    <w:p w:rsidR="009B20BD" w:rsidRPr="005B0796" w:rsidRDefault="009B20BD" w:rsidP="005068AA">
      <w:pPr>
        <w:pStyle w:val="Bullet"/>
        <w:spacing w:after="130"/>
      </w:pPr>
      <w:r w:rsidRPr="005B0796">
        <w:t>develop the objective knowledge base of DVA and Defence staff, and other interested parties in the mental health of s</w:t>
      </w:r>
      <w:r w:rsidR="005068AA" w:rsidRPr="005B0796">
        <w:t>erving and transitioned members</w:t>
      </w:r>
    </w:p>
    <w:p w:rsidR="009B20BD" w:rsidRPr="005B0796" w:rsidRDefault="009B20BD" w:rsidP="009B20BD">
      <w:pPr>
        <w:pStyle w:val="Bullet"/>
      </w:pPr>
      <w:r w:rsidRPr="005B0796">
        <w:t>improve the mental health (and associated physical health) outcomes for serving and Ex-Serving members across all age cohorts allow a review of the optimal method of conducting scientifically valid and reliable research with the ADF and Ex-Serving members that is accepted to the participants, the Ex-Serving community the ADF and DVA.</w:t>
      </w:r>
    </w:p>
    <w:p w:rsidR="009B20BD" w:rsidRPr="005B0796" w:rsidRDefault="009B20BD" w:rsidP="00751C86">
      <w:pPr>
        <w:pStyle w:val="Heading2b"/>
      </w:pPr>
      <w:bookmarkStart w:id="1471" w:name="_Toc341700579"/>
      <w:bookmarkStart w:id="1472" w:name="_Toc482021443"/>
      <w:bookmarkStart w:id="1473" w:name="_Toc482024534"/>
      <w:bookmarkStart w:id="1474" w:name="_Toc484594356"/>
      <w:bookmarkStart w:id="1475" w:name="_Toc487011292"/>
      <w:bookmarkStart w:id="1476" w:name="_Toc493663187"/>
      <w:r w:rsidRPr="005B0796">
        <w:t>Sample</w:t>
      </w:r>
      <w:bookmarkEnd w:id="1471"/>
      <w:bookmarkEnd w:id="1472"/>
      <w:bookmarkEnd w:id="1473"/>
      <w:bookmarkEnd w:id="1474"/>
      <w:bookmarkEnd w:id="1475"/>
      <w:bookmarkEnd w:id="1476"/>
    </w:p>
    <w:p w:rsidR="009B20BD" w:rsidRPr="005B0796" w:rsidRDefault="009B20BD" w:rsidP="001923B9">
      <w:r w:rsidRPr="005B0796">
        <w:t>To achieve the aims of the broader research Programme, the following five overlapping samples were targeted for data collection.</w:t>
      </w:r>
    </w:p>
    <w:p w:rsidR="009B20BD" w:rsidRPr="005B0796" w:rsidRDefault="009B20BD" w:rsidP="00751C86">
      <w:pPr>
        <w:pStyle w:val="Heading3b"/>
        <w:rPr>
          <w:rFonts w:eastAsia="MS ??"/>
        </w:rPr>
      </w:pPr>
      <w:r w:rsidRPr="005B0796">
        <w:rPr>
          <w:rFonts w:eastAsia="MS ??"/>
        </w:rPr>
        <w:t>Sample 1: Transitioned ADF</w:t>
      </w:r>
    </w:p>
    <w:p w:rsidR="009B20BD" w:rsidRPr="005B0796" w:rsidRDefault="009B20BD" w:rsidP="001923B9">
      <w:r w:rsidRPr="005B0796">
        <w:t>This sample comprised all ADF members who transitioned from the Regular ADF between 2010 and 2014. This included those who transitioned into the Active and Inactive Reserves as well as those who had discharged completely from the Regular ADF. This sample was comprised of three groups of Transitioned ADF members: (1) MHPWS Transitioned ADF: ADF members who participated in the 2010 ADF Mental Health Prevalence and Wellbeing Study (MHPWS) as a Regular ADF member, but have since transitioned; (2) Combat Transitioned ADF: ADF members who participated in the MEAO Prospective Health Study between 2010 and 2012 and have since transitioned; and (3) ADF members who have transitioned from the Regular ADF since 2010, who were not part of the 2010 MHPWS or the MEAO Prospective Health Study. Results from these three groups were combined and weighted to represent the Transitioned ADF in 2015.</w:t>
      </w:r>
    </w:p>
    <w:p w:rsidR="009B20BD" w:rsidRPr="005B0796" w:rsidRDefault="009B20BD" w:rsidP="00751C86">
      <w:pPr>
        <w:pStyle w:val="Heading3b"/>
      </w:pPr>
      <w:r w:rsidRPr="005B0796">
        <w:t>Sample 2: 2015 Regular ADF</w:t>
      </w:r>
    </w:p>
    <w:p w:rsidR="009B20BD" w:rsidRPr="005B0796" w:rsidRDefault="009B20BD" w:rsidP="001923B9">
      <w:r w:rsidRPr="005B0796">
        <w:t>This sample is comprised of three groups of Regular ADF members in 2015 who were invited to participate in the study: (1) those who participated in the 2010 MHPWS and were a Regular ADF member in 2015; (2) those who participated in the MEAO Prospective Health Study between 2010 and 2012 and were a Regular ADF member in 2015; and (3) a stratified random sample of Regular ADF members from 2015 who were not part of the 2010 MHPWS or the MEAO Prospective Health Study. Results from these three groups were combined and weighted to represent the 2015 Regular ADF.</w:t>
      </w:r>
    </w:p>
    <w:p w:rsidR="009B20BD" w:rsidRPr="005B0796" w:rsidRDefault="009B20BD" w:rsidP="00751C86">
      <w:pPr>
        <w:pStyle w:val="Heading3b"/>
      </w:pPr>
      <w:r w:rsidRPr="005B0796">
        <w:t>Sample 3: Ab</w:t>
      </w:r>
      <w:r w:rsidR="005B681B">
        <w:t> </w:t>
      </w:r>
      <w:r w:rsidRPr="005B0796">
        <w:t>initio Reservists</w:t>
      </w:r>
    </w:p>
    <w:p w:rsidR="009B20BD" w:rsidRPr="005B0796" w:rsidRDefault="009B20BD" w:rsidP="001923B9">
      <w:r w:rsidRPr="005B0796">
        <w:t>All ADF members who joined the ADF Reserves and who continue to serve in a Reserve capacity, and who have never been a serving Regular ADF member.</w:t>
      </w:r>
    </w:p>
    <w:p w:rsidR="009B20BD" w:rsidRPr="005B0796" w:rsidRDefault="009B20BD" w:rsidP="00751C86">
      <w:pPr>
        <w:pStyle w:val="Heading3b"/>
      </w:pPr>
      <w:r w:rsidRPr="005B0796">
        <w:t>Sample 4: ADF families</w:t>
      </w:r>
    </w:p>
    <w:p w:rsidR="009B20BD" w:rsidRPr="005B0796" w:rsidRDefault="009B20BD" w:rsidP="001923B9">
      <w:r w:rsidRPr="005B0796">
        <w:t>A sample of ADF families, nominated by 2015 Regular ADF and Ex-Serving ADF members participating in the Programme.</w:t>
      </w:r>
    </w:p>
    <w:p w:rsidR="009B20BD" w:rsidRPr="005B0796" w:rsidRDefault="009B20BD" w:rsidP="001923B9">
      <w:r w:rsidRPr="005B0796">
        <w:t>Two MilHOP samples, which were incorporated into samples 1 and 2 above for the purposes of analysis, were also followed up as part of an ongoing program of longitudinal health surveillance. These samples were:</w:t>
      </w:r>
    </w:p>
    <w:p w:rsidR="009B20BD" w:rsidRPr="005B0796" w:rsidRDefault="009B20BD" w:rsidP="00751C86">
      <w:pPr>
        <w:pStyle w:val="Heading3b"/>
      </w:pPr>
      <w:r w:rsidRPr="005B0796">
        <w:t>Sample 5: Combat zone</w:t>
      </w:r>
    </w:p>
    <w:p w:rsidR="009B20BD" w:rsidRPr="005B0796" w:rsidRDefault="009B20BD" w:rsidP="001923B9">
      <w:r w:rsidRPr="005B0796">
        <w:t>All ADF members who participated in the MEAO Prospective Health Study, comprising members who were deployed to the MEAO after June 2010 and returned from deployment by June 2012.</w:t>
      </w:r>
    </w:p>
    <w:p w:rsidR="009B20BD" w:rsidRPr="005B0796" w:rsidRDefault="009B20BD" w:rsidP="00751C86">
      <w:pPr>
        <w:pStyle w:val="Heading3b"/>
      </w:pPr>
      <w:r w:rsidRPr="005B0796">
        <w:t>Sample 6: MHPWS</w:t>
      </w:r>
    </w:p>
    <w:p w:rsidR="009B20BD" w:rsidRPr="005B0796" w:rsidRDefault="009B20BD" w:rsidP="001923B9">
      <w:r w:rsidRPr="005B0796">
        <w:t>All individuals who participated in the 2010 MHPWS component of MilHOP (2010 ADF). This sample comprised two groups: (1) MHPWS Transitioned ADF: ADF members who participated in the 2010 MHPWS as a Regular ADF member but have since transitioned; and (2) MHPWS 2015 ADF: Regular ADF members who participated in the 2010 MHPWS and were in the 2015 Regular ADF.</w:t>
      </w:r>
    </w:p>
    <w:p w:rsidR="009B20BD" w:rsidRPr="005B0796" w:rsidRDefault="009B20BD" w:rsidP="001923B9">
      <w:r w:rsidRPr="005B0796">
        <w:t>DVA and Defence have commissioned several reports from the research Programme, and Table A.1 presents the samples each report will cover. All samples were drawn from the Military and Veteran Research Study Roll (Study Roll), which is described in section</w:t>
      </w:r>
      <w:r w:rsidR="00134AF3" w:rsidRPr="005B0796">
        <w:t> A</w:t>
      </w:r>
      <w:r w:rsidRPr="005B0796">
        <w:t xml:space="preserve">.11.2 of this </w:t>
      </w:r>
      <w:r w:rsidR="00411B45" w:rsidRPr="005B0796">
        <w:t>Annex</w:t>
      </w:r>
      <w:r w:rsidRPr="005B0796">
        <w:t>.</w:t>
      </w:r>
    </w:p>
    <w:p w:rsidR="009B20BD" w:rsidRPr="005B0796" w:rsidRDefault="009B20BD" w:rsidP="00751C86">
      <w:pPr>
        <w:pStyle w:val="Heading2b"/>
      </w:pPr>
      <w:bookmarkStart w:id="1477" w:name="_Toc482021444"/>
      <w:bookmarkStart w:id="1478" w:name="_Toc482024535"/>
      <w:bookmarkStart w:id="1479" w:name="_Toc484594357"/>
      <w:bookmarkStart w:id="1480" w:name="_Toc487011293"/>
      <w:bookmarkStart w:id="1481" w:name="_Toc493663188"/>
      <w:bookmarkStart w:id="1482" w:name="_Toc494449809"/>
      <w:r w:rsidRPr="005B0796">
        <w:t>Population comparison samples</w:t>
      </w:r>
      <w:bookmarkEnd w:id="1477"/>
      <w:bookmarkEnd w:id="1478"/>
      <w:bookmarkEnd w:id="1479"/>
      <w:bookmarkEnd w:id="1480"/>
      <w:bookmarkEnd w:id="1481"/>
      <w:bookmarkEnd w:id="1482"/>
    </w:p>
    <w:p w:rsidR="009B20BD" w:rsidRPr="005B0796" w:rsidRDefault="009B20BD" w:rsidP="00751C86">
      <w:pPr>
        <w:pStyle w:val="Heading3b"/>
        <w:rPr>
          <w:rFonts w:eastAsia="MS ??"/>
        </w:rPr>
      </w:pPr>
      <w:r w:rsidRPr="005B0796">
        <w:rPr>
          <w:rFonts w:eastAsia="MS ??"/>
        </w:rPr>
        <w:t xml:space="preserve">Sample 7: 2010 Regular ADF comparison </w:t>
      </w:r>
    </w:p>
    <w:p w:rsidR="009B20BD" w:rsidRPr="005B0796" w:rsidRDefault="009B20BD" w:rsidP="001923B9">
      <w:r w:rsidRPr="005B0796">
        <w:t xml:space="preserve">Results drawn from the 2010 MHPWS report were directly imputed into this report to provide an indication of the change in self-reported mental health between the 2010 Regular ADF and the 2015 Regular ADF. These results should be interpreted with caution due to the overlapping nature of these two populations. </w:t>
      </w:r>
    </w:p>
    <w:p w:rsidR="009B20BD" w:rsidRPr="005B0796" w:rsidRDefault="009B20BD" w:rsidP="00751C86">
      <w:pPr>
        <w:pStyle w:val="Heading3b"/>
        <w:rPr>
          <w:rFonts w:eastAsia="MS ??"/>
        </w:rPr>
      </w:pPr>
      <w:r w:rsidRPr="005B0796">
        <w:rPr>
          <w:rFonts w:eastAsia="MS ??"/>
        </w:rPr>
        <w:t>Sample 8: Comparison of Transitioned ADF with the Australian community (2014-2015)</w:t>
      </w:r>
    </w:p>
    <w:p w:rsidR="009B20BD" w:rsidRPr="005B0796" w:rsidRDefault="009B20BD" w:rsidP="001923B9">
      <w:r w:rsidRPr="005B0796">
        <w:t>To enable comparison of estimates in the Transitioned ADF with an Australian Community population, direct standardisation was applied to estimates within the 2014-2015 ABS National Health Survey (NHS) data. The NHS is the most recent in a series of Australia-wide ABS health surveys, assessing various aspects of the health of Australians, including long-term health conditions, health risk factors, and health service use. The NHS data were restricted to those aged 18–71 (consistent with the Transitioned ADF). The NHS data were standardised by sex, employment status (employed or not) and age category (18–27, 28–37, 38–47, 48–57 and 58+), and estimates were generated on the outcomes of interest. Standard errors for the NHS data were estimated using the replication weights provided in the NHS data file.</w:t>
      </w:r>
    </w:p>
    <w:p w:rsidR="009B20BD" w:rsidRPr="005B0796" w:rsidRDefault="009B20BD" w:rsidP="001923B9">
      <w:pPr>
        <w:pStyle w:val="TableName"/>
      </w:pPr>
      <w:bookmarkStart w:id="1483" w:name="_Toc486936014"/>
      <w:bookmarkStart w:id="1484" w:name="_Toc487014338"/>
      <w:bookmarkStart w:id="1485" w:name="_Toc492995641"/>
      <w:bookmarkStart w:id="1486" w:name="_Toc511900490"/>
      <w:r w:rsidRPr="005B0796">
        <w:t>Table A.1</w:t>
      </w:r>
      <w:r w:rsidRPr="005B0796">
        <w:tab/>
        <w:t>Commissioned reports</w:t>
      </w:r>
      <w:bookmarkEnd w:id="1483"/>
      <w:bookmarkEnd w:id="1484"/>
      <w:bookmarkEnd w:id="1485"/>
      <w:bookmarkEnd w:id="1486"/>
    </w:p>
    <w:tbl>
      <w:tblPr>
        <w:tblStyle w:val="TWRPTable"/>
        <w:tblW w:w="5000" w:type="pct"/>
        <w:tblLayout w:type="fixed"/>
        <w:tblLook w:val="01E0" w:firstRow="1" w:lastRow="1" w:firstColumn="1" w:lastColumn="1" w:noHBand="0" w:noVBand="0"/>
        <w:tblDescription w:val="Table A.1 Commissioned reports"/>
      </w:tblPr>
      <w:tblGrid>
        <w:gridCol w:w="1828"/>
        <w:gridCol w:w="1829"/>
        <w:gridCol w:w="1829"/>
        <w:gridCol w:w="1829"/>
      </w:tblGrid>
      <w:tr w:rsidR="009B20BD" w:rsidRPr="005B0796" w:rsidTr="00751C86">
        <w:trPr>
          <w:cnfStyle w:val="100000000000" w:firstRow="1" w:lastRow="0" w:firstColumn="0" w:lastColumn="0" w:oddVBand="0" w:evenVBand="0" w:oddHBand="0" w:evenHBand="0" w:firstRowFirstColumn="0" w:firstRowLastColumn="0" w:lastRowFirstColumn="0" w:lastRowLastColumn="0"/>
          <w:tblHeader/>
        </w:trPr>
        <w:tc>
          <w:tcPr>
            <w:tcW w:w="1828" w:type="dxa"/>
            <w:hideMark/>
          </w:tcPr>
          <w:p w:rsidR="009B20BD" w:rsidRPr="005B0796" w:rsidRDefault="009B20BD" w:rsidP="00751C86">
            <w:pPr>
              <w:pStyle w:val="TableText"/>
            </w:pPr>
            <w:r w:rsidRPr="005B0796">
              <w:t xml:space="preserve">Report </w:t>
            </w:r>
          </w:p>
        </w:tc>
        <w:tc>
          <w:tcPr>
            <w:tcW w:w="1829" w:type="dxa"/>
            <w:hideMark/>
          </w:tcPr>
          <w:p w:rsidR="009B20BD" w:rsidRPr="005B0796" w:rsidRDefault="009B20BD" w:rsidP="00751C86">
            <w:pPr>
              <w:pStyle w:val="TableText"/>
            </w:pPr>
            <w:r w:rsidRPr="005B0796">
              <w:t>Programme goal</w:t>
            </w:r>
          </w:p>
        </w:tc>
        <w:tc>
          <w:tcPr>
            <w:tcW w:w="1829" w:type="dxa"/>
            <w:hideMark/>
          </w:tcPr>
          <w:p w:rsidR="009B20BD" w:rsidRPr="005B0796" w:rsidRDefault="009B20BD" w:rsidP="00751C86">
            <w:pPr>
              <w:pStyle w:val="TableText"/>
            </w:pPr>
            <w:r w:rsidRPr="005B0796">
              <w:t>Samples</w:t>
            </w:r>
          </w:p>
        </w:tc>
        <w:tc>
          <w:tcPr>
            <w:tcW w:w="1829" w:type="dxa"/>
            <w:hideMark/>
          </w:tcPr>
          <w:p w:rsidR="009B20BD" w:rsidRPr="005B0796" w:rsidRDefault="009B20BD" w:rsidP="00751C86">
            <w:pPr>
              <w:pStyle w:val="TableText"/>
            </w:pPr>
            <w:r w:rsidRPr="005B0796">
              <w:t xml:space="preserve">Data collection </w:t>
            </w:r>
          </w:p>
        </w:tc>
      </w:tr>
      <w:tr w:rsidR="009B20BD" w:rsidRPr="005B0796" w:rsidTr="00751C86">
        <w:trPr>
          <w:cnfStyle w:val="000000100000" w:firstRow="0" w:lastRow="0" w:firstColumn="0" w:lastColumn="0" w:oddVBand="0" w:evenVBand="0" w:oddHBand="1" w:evenHBand="0" w:firstRowFirstColumn="0" w:firstRowLastColumn="0" w:lastRowFirstColumn="0" w:lastRowLastColumn="0"/>
        </w:trPr>
        <w:tc>
          <w:tcPr>
            <w:tcW w:w="1828" w:type="dxa"/>
            <w:hideMark/>
          </w:tcPr>
          <w:p w:rsidR="009B20BD" w:rsidRPr="005B0796" w:rsidRDefault="009B20BD" w:rsidP="004038AC">
            <w:pPr>
              <w:pStyle w:val="TableText"/>
              <w:rPr>
                <w:lang w:eastAsia="en-GB"/>
              </w:rPr>
            </w:pPr>
            <w:r w:rsidRPr="005B0796">
              <w:rPr>
                <w:i/>
                <w:lang w:eastAsia="en-GB"/>
              </w:rPr>
              <w:t>Mental Health Prevalence Report</w:t>
            </w:r>
            <w:r w:rsidRPr="005B0796">
              <w:rPr>
                <w:lang w:eastAsia="en-GB"/>
              </w:rPr>
              <w:t>: findings from the 2015 Mental Health and Wellbeing Transition Study</w:t>
            </w:r>
          </w:p>
          <w:p w:rsidR="009B20BD" w:rsidRPr="005B0796" w:rsidRDefault="009B20BD" w:rsidP="004038AC">
            <w:pPr>
              <w:pStyle w:val="TableText"/>
              <w:rPr>
                <w:lang w:eastAsia="en-AU"/>
              </w:rPr>
            </w:pPr>
          </w:p>
        </w:tc>
        <w:tc>
          <w:tcPr>
            <w:tcW w:w="1829" w:type="dxa"/>
            <w:hideMark/>
          </w:tcPr>
          <w:p w:rsidR="009B20BD" w:rsidRPr="005B0796" w:rsidRDefault="009B20BD" w:rsidP="004038AC">
            <w:pPr>
              <w:pStyle w:val="TableText"/>
            </w:pPr>
            <w:r w:rsidRPr="005B0796">
              <w:t xml:space="preserve">Establish baseline prevalence rates of mental disorders among ADF members who transitioned from full-time ADF service </w:t>
            </w:r>
          </w:p>
        </w:tc>
        <w:tc>
          <w:tcPr>
            <w:tcW w:w="1829" w:type="dxa"/>
            <w:hideMark/>
          </w:tcPr>
          <w:p w:rsidR="009B20BD" w:rsidRPr="005B0796" w:rsidRDefault="009B20BD" w:rsidP="004038AC">
            <w:pPr>
              <w:pStyle w:val="TableBullet"/>
            </w:pPr>
            <w:r w:rsidRPr="005B0796">
              <w:t xml:space="preserve">ADF members who transitioned from full-time ADF service between 2010 and 2014 </w:t>
            </w:r>
          </w:p>
          <w:p w:rsidR="009B20BD" w:rsidRPr="005B0796" w:rsidRDefault="009B20BD" w:rsidP="004038AC">
            <w:pPr>
              <w:pStyle w:val="TableBullet"/>
            </w:pPr>
            <w:r w:rsidRPr="005B0796">
              <w:t xml:space="preserve">2015 Regular ADF </w:t>
            </w:r>
          </w:p>
          <w:p w:rsidR="009B20BD" w:rsidRPr="005B0796" w:rsidRDefault="009B20BD" w:rsidP="004038AC">
            <w:pPr>
              <w:pStyle w:val="TableBullet"/>
            </w:pPr>
            <w:r w:rsidRPr="005B0796">
              <w:t xml:space="preserve">Comparison with 2010 ADF and community, where appropriate </w:t>
            </w:r>
          </w:p>
        </w:tc>
        <w:tc>
          <w:tcPr>
            <w:tcW w:w="1829" w:type="dxa"/>
            <w:hideMark/>
          </w:tcPr>
          <w:p w:rsidR="009B20BD" w:rsidRPr="005B0796" w:rsidRDefault="009B20BD" w:rsidP="004038AC">
            <w:pPr>
              <w:pStyle w:val="TableBullet"/>
            </w:pPr>
            <w:r w:rsidRPr="005B0796">
              <w:t xml:space="preserve">Self-report questionnaire </w:t>
            </w:r>
          </w:p>
          <w:p w:rsidR="009B20BD" w:rsidRPr="005B0796" w:rsidRDefault="009B20BD" w:rsidP="004038AC">
            <w:pPr>
              <w:pStyle w:val="TableBullet"/>
            </w:pPr>
            <w:r w:rsidRPr="005B0796">
              <w:t>CIDI (subgroup)</w:t>
            </w:r>
          </w:p>
        </w:tc>
      </w:tr>
      <w:tr w:rsidR="009B20BD" w:rsidRPr="005B0796" w:rsidTr="00751C86">
        <w:tc>
          <w:tcPr>
            <w:tcW w:w="1828" w:type="dxa"/>
          </w:tcPr>
          <w:p w:rsidR="009B20BD" w:rsidRPr="005B0796" w:rsidRDefault="009B20BD" w:rsidP="00462A0C">
            <w:pPr>
              <w:pStyle w:val="TableText"/>
              <w:rPr>
                <w:rFonts w:asciiTheme="minorHAnsi" w:hAnsiTheme="minorHAnsi" w:cstheme="minorHAnsi"/>
                <w:lang w:eastAsia="en-AU"/>
              </w:rPr>
            </w:pPr>
            <w:r w:rsidRPr="005B0796">
              <w:rPr>
                <w:i/>
                <w:lang w:eastAsia="en-GB"/>
              </w:rPr>
              <w:t>Pathways to Care Report</w:t>
            </w:r>
            <w:r w:rsidRPr="005B0796">
              <w:rPr>
                <w:lang w:eastAsia="en-GB"/>
              </w:rPr>
              <w:t>: findings from the 2015</w:t>
            </w:r>
            <w:r w:rsidR="00462A0C" w:rsidRPr="005B0796">
              <w:rPr>
                <w:b/>
                <w:bCs/>
                <w:lang w:eastAsia="en-GB"/>
              </w:rPr>
              <w:t xml:space="preserve"> </w:t>
            </w:r>
            <w:r w:rsidRPr="005B0796">
              <w:rPr>
                <w:lang w:eastAsia="en-GB"/>
              </w:rPr>
              <w:t>Mental Health and Wellbeing Transition Study</w:t>
            </w:r>
            <w:r w:rsidRPr="005B0796">
              <w:rPr>
                <w:rFonts w:asciiTheme="minorHAnsi" w:hAnsiTheme="minorHAnsi" w:cstheme="minorHAnsi"/>
                <w:lang w:eastAsia="en-AU"/>
              </w:rPr>
              <w:t xml:space="preserve"> </w:t>
            </w:r>
          </w:p>
        </w:tc>
        <w:tc>
          <w:tcPr>
            <w:tcW w:w="1829" w:type="dxa"/>
            <w:hideMark/>
          </w:tcPr>
          <w:p w:rsidR="009B20BD" w:rsidRPr="005B0796" w:rsidRDefault="009B20BD" w:rsidP="004038AC">
            <w:pPr>
              <w:pStyle w:val="TableText"/>
              <w:rPr>
                <w:lang w:eastAsia="en-AU"/>
              </w:rPr>
            </w:pPr>
            <w:r w:rsidRPr="005B0796">
              <w:rPr>
                <w:lang w:eastAsia="en-AU"/>
              </w:rPr>
              <w:t>Pathways to mental health care for serving and Transitioned ADF members, including those with a mental health disorder, including:</w:t>
            </w:r>
          </w:p>
          <w:p w:rsidR="009B20BD" w:rsidRPr="005B0796" w:rsidRDefault="009B20BD" w:rsidP="004038AC">
            <w:pPr>
              <w:pStyle w:val="TableBullet"/>
            </w:pPr>
            <w:r w:rsidRPr="005B0796">
              <w:t>how care is accessed</w:t>
            </w:r>
          </w:p>
          <w:p w:rsidR="009B20BD" w:rsidRPr="005B0796" w:rsidRDefault="009B20BD" w:rsidP="004038AC">
            <w:pPr>
              <w:pStyle w:val="TableBullet"/>
            </w:pPr>
            <w:r w:rsidRPr="005B0796">
              <w:t>use patterns</w:t>
            </w:r>
          </w:p>
          <w:p w:rsidR="009B20BD" w:rsidRPr="005B0796" w:rsidRDefault="009B20BD" w:rsidP="004038AC">
            <w:pPr>
              <w:pStyle w:val="TableBullet"/>
            </w:pPr>
            <w:r w:rsidRPr="005B0796">
              <w:t>stigmas and barriers</w:t>
            </w:r>
          </w:p>
        </w:tc>
        <w:tc>
          <w:tcPr>
            <w:tcW w:w="1829" w:type="dxa"/>
            <w:hideMark/>
          </w:tcPr>
          <w:p w:rsidR="009B20BD" w:rsidRPr="005B0796" w:rsidRDefault="009B20BD" w:rsidP="004038AC">
            <w:pPr>
              <w:pStyle w:val="TableBullet"/>
            </w:pPr>
            <w:r w:rsidRPr="005B0796">
              <w:t>ADF members who transitioned from full-time ADF service between 2010 and 2014</w:t>
            </w:r>
          </w:p>
          <w:p w:rsidR="009B20BD" w:rsidRPr="005B0796" w:rsidRDefault="009B20BD" w:rsidP="004038AC">
            <w:pPr>
              <w:pStyle w:val="TableBullet"/>
            </w:pPr>
            <w:r w:rsidRPr="005B0796">
              <w:t xml:space="preserve">2015 Regular ADF </w:t>
            </w:r>
          </w:p>
        </w:tc>
        <w:tc>
          <w:tcPr>
            <w:tcW w:w="1829" w:type="dxa"/>
          </w:tcPr>
          <w:p w:rsidR="009B20BD" w:rsidRPr="005B0796" w:rsidRDefault="009B20BD" w:rsidP="004038AC">
            <w:pPr>
              <w:pStyle w:val="TableBullet"/>
            </w:pPr>
            <w:r w:rsidRPr="005B0796">
              <w:t xml:space="preserve">Self-report survey </w:t>
            </w:r>
          </w:p>
          <w:p w:rsidR="009B20BD" w:rsidRPr="005B0796" w:rsidRDefault="009B20BD" w:rsidP="004038AC">
            <w:pPr>
              <w:pStyle w:val="TableText"/>
            </w:pPr>
          </w:p>
        </w:tc>
      </w:tr>
      <w:tr w:rsidR="009B20BD" w:rsidRPr="005B0796" w:rsidTr="00751C86">
        <w:trPr>
          <w:cnfStyle w:val="000000100000" w:firstRow="0" w:lastRow="0" w:firstColumn="0" w:lastColumn="0" w:oddVBand="0" w:evenVBand="0" w:oddHBand="1" w:evenHBand="0" w:firstRowFirstColumn="0" w:firstRowLastColumn="0" w:lastRowFirstColumn="0" w:lastRowLastColumn="0"/>
        </w:trPr>
        <w:tc>
          <w:tcPr>
            <w:tcW w:w="1828" w:type="dxa"/>
          </w:tcPr>
          <w:p w:rsidR="009B20BD" w:rsidRPr="005B0796" w:rsidRDefault="009B20BD" w:rsidP="004038AC">
            <w:pPr>
              <w:pStyle w:val="TableText"/>
              <w:rPr>
                <w:lang w:eastAsia="en-GB"/>
              </w:rPr>
            </w:pPr>
            <w:r w:rsidRPr="005B0796">
              <w:rPr>
                <w:i/>
                <w:lang w:eastAsia="en-GB"/>
              </w:rPr>
              <w:t>Physical Health Status Report</w:t>
            </w:r>
            <w:r w:rsidRPr="005B0796">
              <w:rPr>
                <w:lang w:eastAsia="en-GB"/>
              </w:rPr>
              <w:t>: findings from the 2015</w:t>
            </w:r>
            <w:r w:rsidR="00462A0C" w:rsidRPr="005B0796">
              <w:rPr>
                <w:b/>
                <w:bCs/>
                <w:lang w:eastAsia="en-GB"/>
              </w:rPr>
              <w:t xml:space="preserve"> </w:t>
            </w:r>
            <w:r w:rsidRPr="005B0796">
              <w:rPr>
                <w:lang w:eastAsia="en-GB"/>
              </w:rPr>
              <w:t>Mental Health and Wellbeing Transition Study</w:t>
            </w:r>
          </w:p>
          <w:p w:rsidR="009B20BD" w:rsidRPr="005B0796" w:rsidRDefault="009B20BD" w:rsidP="004038AC">
            <w:pPr>
              <w:pStyle w:val="TableText"/>
              <w:rPr>
                <w:lang w:eastAsia="en-AU"/>
              </w:rPr>
            </w:pPr>
          </w:p>
        </w:tc>
        <w:tc>
          <w:tcPr>
            <w:tcW w:w="1829" w:type="dxa"/>
            <w:hideMark/>
          </w:tcPr>
          <w:p w:rsidR="009B20BD" w:rsidRPr="005B0796" w:rsidRDefault="009B20BD" w:rsidP="004038AC">
            <w:pPr>
              <w:pStyle w:val="TableText"/>
            </w:pPr>
            <w:r w:rsidRPr="005B0796">
              <w:t xml:space="preserve">Physical health status of members of 2015 Regular ADF and Transitioned ADF, including: </w:t>
            </w:r>
          </w:p>
          <w:p w:rsidR="009B20BD" w:rsidRPr="005B0796" w:rsidRDefault="009B20BD" w:rsidP="004038AC">
            <w:pPr>
              <w:pStyle w:val="TableBullet"/>
            </w:pPr>
            <w:r w:rsidRPr="005B0796">
              <w:t>symptom reporting, including pain and sleep</w:t>
            </w:r>
          </w:p>
          <w:p w:rsidR="009B20BD" w:rsidRPr="005B0796" w:rsidRDefault="009B20BD" w:rsidP="004038AC">
            <w:pPr>
              <w:pStyle w:val="TableBullet"/>
            </w:pPr>
            <w:r w:rsidRPr="005B0796">
              <w:t>doctor diagnosed medical conditions</w:t>
            </w:r>
          </w:p>
          <w:p w:rsidR="009B20BD" w:rsidRPr="005B0796" w:rsidRDefault="009B20BD" w:rsidP="004038AC">
            <w:pPr>
              <w:pStyle w:val="TableBullet"/>
            </w:pPr>
            <w:r w:rsidRPr="005B0796">
              <w:t>physical injuries</w:t>
            </w:r>
          </w:p>
          <w:p w:rsidR="009B20BD" w:rsidRPr="005B0796" w:rsidRDefault="004038AC" w:rsidP="004038AC">
            <w:pPr>
              <w:pStyle w:val="TableBullet"/>
            </w:pPr>
            <w:r w:rsidRPr="005B0796">
              <w:t>satisfaction with health</w:t>
            </w:r>
          </w:p>
        </w:tc>
        <w:tc>
          <w:tcPr>
            <w:tcW w:w="1829" w:type="dxa"/>
            <w:hideMark/>
          </w:tcPr>
          <w:p w:rsidR="009B20BD" w:rsidRPr="005B0796" w:rsidRDefault="009B20BD" w:rsidP="004038AC">
            <w:pPr>
              <w:pStyle w:val="TableBullet"/>
            </w:pPr>
            <w:r w:rsidRPr="005B0796">
              <w:t xml:space="preserve">ADF members who transitioned from full-time ADF service between 2010 and 2014 </w:t>
            </w:r>
          </w:p>
          <w:p w:rsidR="009B20BD" w:rsidRPr="005B0796" w:rsidRDefault="009B20BD" w:rsidP="004038AC">
            <w:pPr>
              <w:pStyle w:val="TableBullet"/>
            </w:pPr>
            <w:r w:rsidRPr="005B0796">
              <w:t>2015 Regular ADF</w:t>
            </w:r>
          </w:p>
        </w:tc>
        <w:tc>
          <w:tcPr>
            <w:tcW w:w="1829" w:type="dxa"/>
          </w:tcPr>
          <w:p w:rsidR="009B20BD" w:rsidRPr="005B0796" w:rsidRDefault="009B20BD" w:rsidP="004038AC">
            <w:pPr>
              <w:pStyle w:val="TableBullet"/>
            </w:pPr>
            <w:r w:rsidRPr="005B0796">
              <w:t xml:space="preserve">Self-report survey </w:t>
            </w:r>
          </w:p>
          <w:p w:rsidR="009B20BD" w:rsidRPr="005B0796" w:rsidRDefault="009B20BD" w:rsidP="004038AC">
            <w:pPr>
              <w:pStyle w:val="TableText"/>
            </w:pPr>
          </w:p>
        </w:tc>
      </w:tr>
      <w:tr w:rsidR="009B20BD" w:rsidRPr="005B0796" w:rsidTr="00751C86">
        <w:tc>
          <w:tcPr>
            <w:tcW w:w="1828" w:type="dxa"/>
            <w:hideMark/>
          </w:tcPr>
          <w:p w:rsidR="009B20BD" w:rsidRPr="005B0796" w:rsidRDefault="009B20BD" w:rsidP="004038AC">
            <w:pPr>
              <w:pStyle w:val="TableText"/>
              <w:rPr>
                <w:lang w:eastAsia="en-GB"/>
              </w:rPr>
            </w:pPr>
            <w:r w:rsidRPr="005B0796">
              <w:rPr>
                <w:i/>
                <w:lang w:eastAsia="en-GB"/>
              </w:rPr>
              <w:t>Family Wellbeing Report</w:t>
            </w:r>
            <w:r w:rsidRPr="005B0796">
              <w:rPr>
                <w:lang w:eastAsia="en-GB"/>
              </w:rPr>
              <w:t>: findings from the 2015</w:t>
            </w:r>
            <w:r w:rsidR="00462A0C" w:rsidRPr="005B0796">
              <w:rPr>
                <w:b/>
                <w:bCs/>
                <w:lang w:eastAsia="en-GB"/>
              </w:rPr>
              <w:t xml:space="preserve"> </w:t>
            </w:r>
            <w:r w:rsidRPr="005B0796">
              <w:rPr>
                <w:lang w:eastAsia="en-GB"/>
              </w:rPr>
              <w:t>Family Wellbeing Study</w:t>
            </w:r>
          </w:p>
          <w:p w:rsidR="009B20BD" w:rsidRPr="005B0796" w:rsidRDefault="009B20BD" w:rsidP="004038AC">
            <w:pPr>
              <w:pStyle w:val="TableText"/>
              <w:rPr>
                <w:lang w:eastAsia="en-AU"/>
              </w:rPr>
            </w:pPr>
          </w:p>
        </w:tc>
        <w:tc>
          <w:tcPr>
            <w:tcW w:w="1829" w:type="dxa"/>
            <w:hideMark/>
          </w:tcPr>
          <w:p w:rsidR="009B20BD" w:rsidRPr="005B0796" w:rsidRDefault="009B20BD" w:rsidP="004038AC">
            <w:pPr>
              <w:pStyle w:val="TableText"/>
            </w:pPr>
            <w:r w:rsidRPr="005B0796">
              <w:t>Experiences and perspective of family members on:</w:t>
            </w:r>
          </w:p>
          <w:p w:rsidR="009B20BD" w:rsidRPr="005B0796" w:rsidRDefault="009B20BD" w:rsidP="004038AC">
            <w:pPr>
              <w:pStyle w:val="TableBullet"/>
            </w:pPr>
            <w:r w:rsidRPr="005B0796">
              <w:t>impact of military service on families</w:t>
            </w:r>
          </w:p>
          <w:p w:rsidR="009B20BD" w:rsidRPr="005B0796" w:rsidRDefault="009B20BD" w:rsidP="004038AC">
            <w:pPr>
              <w:pStyle w:val="TableBullet"/>
            </w:pPr>
            <w:r w:rsidRPr="005B0796">
              <w:t>pathways to available care</w:t>
            </w:r>
          </w:p>
        </w:tc>
        <w:tc>
          <w:tcPr>
            <w:tcW w:w="1829" w:type="dxa"/>
            <w:hideMark/>
          </w:tcPr>
          <w:p w:rsidR="009B20BD" w:rsidRPr="005B0796" w:rsidRDefault="009B20BD" w:rsidP="004038AC">
            <w:pPr>
              <w:pStyle w:val="TableBullet"/>
            </w:pPr>
            <w:r w:rsidRPr="005B0796">
              <w:t>Nominated family members of serving Regular ADF members and ADF members who transitioned from full-time service between 2010 and 2014</w:t>
            </w:r>
          </w:p>
        </w:tc>
        <w:tc>
          <w:tcPr>
            <w:tcW w:w="1829" w:type="dxa"/>
            <w:hideMark/>
          </w:tcPr>
          <w:p w:rsidR="009B20BD" w:rsidRPr="005B0796" w:rsidRDefault="009B20BD" w:rsidP="004038AC">
            <w:pPr>
              <w:pStyle w:val="TableBullet"/>
            </w:pPr>
            <w:r w:rsidRPr="005B0796">
              <w:t>Self-report survey (quantitative component)</w:t>
            </w:r>
          </w:p>
          <w:p w:rsidR="009B20BD" w:rsidRPr="005B0796" w:rsidRDefault="009B20BD" w:rsidP="004038AC">
            <w:pPr>
              <w:pStyle w:val="TableBullet"/>
            </w:pPr>
            <w:r w:rsidRPr="005B0796">
              <w:t xml:space="preserve">Semi-structured telephone interviews (qualitative component) </w:t>
            </w:r>
          </w:p>
        </w:tc>
      </w:tr>
      <w:tr w:rsidR="009B20BD" w:rsidRPr="005B0796" w:rsidTr="00751C86">
        <w:trPr>
          <w:cnfStyle w:val="000000100000" w:firstRow="0" w:lastRow="0" w:firstColumn="0" w:lastColumn="0" w:oddVBand="0" w:evenVBand="0" w:oddHBand="1" w:evenHBand="0" w:firstRowFirstColumn="0" w:firstRowLastColumn="0" w:lastRowFirstColumn="0" w:lastRowLastColumn="0"/>
        </w:trPr>
        <w:tc>
          <w:tcPr>
            <w:tcW w:w="1828" w:type="dxa"/>
          </w:tcPr>
          <w:p w:rsidR="009B20BD" w:rsidRPr="005B0796" w:rsidRDefault="009B20BD" w:rsidP="004038AC">
            <w:pPr>
              <w:pStyle w:val="TableText"/>
              <w:rPr>
                <w:lang w:eastAsia="en-GB"/>
              </w:rPr>
            </w:pPr>
            <w:r w:rsidRPr="005B0796">
              <w:rPr>
                <w:i/>
                <w:lang w:eastAsia="en-GB"/>
              </w:rPr>
              <w:t>Technology Use and Wellbeing Report</w:t>
            </w:r>
            <w:r w:rsidRPr="005B0796">
              <w:rPr>
                <w:lang w:eastAsia="en-GB"/>
              </w:rPr>
              <w:t>: findings from the 2015</w:t>
            </w:r>
            <w:r w:rsidR="00462A0C" w:rsidRPr="005B0796">
              <w:rPr>
                <w:b/>
                <w:bCs/>
                <w:lang w:eastAsia="en-GB"/>
              </w:rPr>
              <w:t xml:space="preserve"> </w:t>
            </w:r>
            <w:r w:rsidRPr="005B0796">
              <w:rPr>
                <w:lang w:eastAsia="en-GB"/>
              </w:rPr>
              <w:t>Mental Health and Wellbeing Transition Study</w:t>
            </w:r>
          </w:p>
          <w:p w:rsidR="009B20BD" w:rsidRPr="005B0796" w:rsidRDefault="009B20BD" w:rsidP="004038AC">
            <w:pPr>
              <w:pStyle w:val="TableText"/>
            </w:pPr>
          </w:p>
        </w:tc>
        <w:tc>
          <w:tcPr>
            <w:tcW w:w="1829" w:type="dxa"/>
          </w:tcPr>
          <w:p w:rsidR="009B20BD" w:rsidRPr="005B0796" w:rsidRDefault="009B20BD" w:rsidP="004038AC">
            <w:pPr>
              <w:pStyle w:val="TableText"/>
            </w:pPr>
            <w:r w:rsidRPr="005B0796">
              <w:t>Utility of technology for mental health and mental health programs, including implications for future health service delivery</w:t>
            </w:r>
          </w:p>
          <w:p w:rsidR="009B20BD" w:rsidRPr="005B0796" w:rsidRDefault="009B20BD" w:rsidP="004038AC">
            <w:pPr>
              <w:pStyle w:val="TableText"/>
            </w:pPr>
          </w:p>
        </w:tc>
        <w:tc>
          <w:tcPr>
            <w:tcW w:w="1829" w:type="dxa"/>
            <w:hideMark/>
          </w:tcPr>
          <w:p w:rsidR="009B20BD" w:rsidRPr="005B0796" w:rsidRDefault="009B20BD" w:rsidP="004038AC">
            <w:pPr>
              <w:pStyle w:val="TableBullet"/>
            </w:pPr>
            <w:r w:rsidRPr="005B0796">
              <w:t>ADF members who transitioned from full-time service between 2010 and 2014</w:t>
            </w:r>
          </w:p>
          <w:p w:rsidR="009B20BD" w:rsidRPr="005B0796" w:rsidRDefault="009B20BD" w:rsidP="004038AC">
            <w:pPr>
              <w:pStyle w:val="TableBullet"/>
            </w:pPr>
            <w:r w:rsidRPr="005B0796">
              <w:t>2015 Regular ADF</w:t>
            </w:r>
          </w:p>
        </w:tc>
        <w:tc>
          <w:tcPr>
            <w:tcW w:w="1829" w:type="dxa"/>
          </w:tcPr>
          <w:p w:rsidR="009B20BD" w:rsidRPr="005B0796" w:rsidRDefault="009B20BD" w:rsidP="004038AC">
            <w:pPr>
              <w:pStyle w:val="TableBullet"/>
            </w:pPr>
            <w:r w:rsidRPr="005B0796">
              <w:t xml:space="preserve">Self-report survey </w:t>
            </w:r>
          </w:p>
          <w:p w:rsidR="009B20BD" w:rsidRPr="005B0796" w:rsidRDefault="009B20BD" w:rsidP="004038AC">
            <w:pPr>
              <w:pStyle w:val="TableText"/>
              <w:rPr>
                <w:lang w:eastAsia="en-AU"/>
              </w:rPr>
            </w:pPr>
          </w:p>
        </w:tc>
      </w:tr>
      <w:tr w:rsidR="009B20BD" w:rsidRPr="005B0796" w:rsidTr="00751C86">
        <w:tc>
          <w:tcPr>
            <w:tcW w:w="1828" w:type="dxa"/>
          </w:tcPr>
          <w:p w:rsidR="009B20BD" w:rsidRPr="005B0796" w:rsidRDefault="009B20BD" w:rsidP="004038AC">
            <w:pPr>
              <w:pStyle w:val="TableText"/>
              <w:rPr>
                <w:lang w:eastAsia="en-GB"/>
              </w:rPr>
            </w:pPr>
            <w:r w:rsidRPr="005B0796">
              <w:rPr>
                <w:i/>
                <w:lang w:eastAsia="en-GB"/>
              </w:rPr>
              <w:t>Impact of Combat Report</w:t>
            </w:r>
            <w:r w:rsidRPr="005B0796">
              <w:rPr>
                <w:lang w:eastAsia="en-GB"/>
              </w:rPr>
              <w:t>: findings from the 2015 Impact of Combat Study</w:t>
            </w:r>
          </w:p>
          <w:p w:rsidR="009B20BD" w:rsidRPr="005B0796" w:rsidRDefault="009B20BD" w:rsidP="004038AC">
            <w:pPr>
              <w:pStyle w:val="TableText"/>
            </w:pPr>
          </w:p>
        </w:tc>
        <w:tc>
          <w:tcPr>
            <w:tcW w:w="1829" w:type="dxa"/>
            <w:hideMark/>
          </w:tcPr>
          <w:p w:rsidR="009B20BD" w:rsidRPr="005B0796" w:rsidRDefault="009B20BD" w:rsidP="004038AC">
            <w:pPr>
              <w:pStyle w:val="TableBullet"/>
            </w:pPr>
            <w:r w:rsidRPr="005B0796">
              <w:t>Longitudinal impact of deployment to MEAO on psychological, biological and social factors</w:t>
            </w:r>
          </w:p>
          <w:p w:rsidR="009B20BD" w:rsidRPr="005B0796" w:rsidRDefault="009B20BD" w:rsidP="004038AC">
            <w:pPr>
              <w:pStyle w:val="TableBullet"/>
            </w:pPr>
            <w:r w:rsidRPr="005B0796">
              <w:t>risk and protective factors</w:t>
            </w:r>
          </w:p>
          <w:p w:rsidR="009B20BD" w:rsidRPr="005B0796" w:rsidRDefault="009B20BD" w:rsidP="004038AC">
            <w:pPr>
              <w:pStyle w:val="TableBullet"/>
            </w:pPr>
            <w:r w:rsidRPr="005B0796">
              <w:t xml:space="preserve">traumatic brain injury </w:t>
            </w:r>
          </w:p>
        </w:tc>
        <w:tc>
          <w:tcPr>
            <w:tcW w:w="1829" w:type="dxa"/>
            <w:hideMark/>
          </w:tcPr>
          <w:p w:rsidR="009B20BD" w:rsidRPr="005B0796" w:rsidRDefault="009B20BD" w:rsidP="004038AC">
            <w:pPr>
              <w:pStyle w:val="TableBullet"/>
            </w:pPr>
            <w:r w:rsidRPr="005B0796">
              <w:t>Serving and Ex-Serving ADF members who deployed to the MEAO between June 2010 and June 2012 and participated in MilHOP (Combat Zone sample)</w:t>
            </w:r>
          </w:p>
        </w:tc>
        <w:tc>
          <w:tcPr>
            <w:tcW w:w="1829" w:type="dxa"/>
            <w:hideMark/>
          </w:tcPr>
          <w:p w:rsidR="009B20BD" w:rsidRPr="005B0796" w:rsidRDefault="009B20BD" w:rsidP="004038AC">
            <w:pPr>
              <w:pStyle w:val="TableBullet"/>
            </w:pPr>
            <w:r w:rsidRPr="005B0796">
              <w:t xml:space="preserve">Self-report survey </w:t>
            </w:r>
          </w:p>
          <w:p w:rsidR="009B20BD" w:rsidRPr="005B0796" w:rsidRDefault="009B20BD" w:rsidP="004038AC">
            <w:pPr>
              <w:pStyle w:val="TableBullet"/>
            </w:pPr>
            <w:r w:rsidRPr="005B0796">
              <w:t>CIDI (sub-group)</w:t>
            </w:r>
          </w:p>
          <w:p w:rsidR="009B20BD" w:rsidRPr="005B0796" w:rsidRDefault="009B20BD" w:rsidP="004038AC">
            <w:pPr>
              <w:pStyle w:val="TableBullet"/>
            </w:pPr>
            <w:r w:rsidRPr="005B0796">
              <w:t>Neurocognitive and/or biological tests (subgroups)</w:t>
            </w:r>
          </w:p>
          <w:p w:rsidR="009B20BD" w:rsidRPr="005B0796" w:rsidRDefault="009B20BD" w:rsidP="004038AC">
            <w:pPr>
              <w:pStyle w:val="TableBullet"/>
            </w:pPr>
            <w:r w:rsidRPr="005B0796">
              <w:t>MRI (subgroup)</w:t>
            </w:r>
          </w:p>
        </w:tc>
      </w:tr>
      <w:tr w:rsidR="009B20BD" w:rsidRPr="005B0796" w:rsidTr="00751C86">
        <w:trPr>
          <w:cnfStyle w:val="000000100000" w:firstRow="0" w:lastRow="0" w:firstColumn="0" w:lastColumn="0" w:oddVBand="0" w:evenVBand="0" w:oddHBand="1" w:evenHBand="0" w:firstRowFirstColumn="0" w:firstRowLastColumn="0" w:lastRowFirstColumn="0" w:lastRowLastColumn="0"/>
        </w:trPr>
        <w:tc>
          <w:tcPr>
            <w:tcW w:w="1828" w:type="dxa"/>
          </w:tcPr>
          <w:p w:rsidR="009B20BD" w:rsidRPr="005B0796" w:rsidRDefault="009B20BD" w:rsidP="004038AC">
            <w:pPr>
              <w:pStyle w:val="TableText"/>
              <w:rPr>
                <w:rFonts w:eastAsia="Times New Roman"/>
                <w:lang w:eastAsia="en-AU"/>
              </w:rPr>
            </w:pPr>
            <w:r w:rsidRPr="005B0796">
              <w:rPr>
                <w:i/>
              </w:rPr>
              <w:t>Mental Health Changes Over Time: a Longitudinal Perspective Report</w:t>
            </w:r>
            <w:r w:rsidRPr="005B0796">
              <w:t>: findings from the 2015 Mental Health and Wellbeing Transition Study</w:t>
            </w:r>
          </w:p>
        </w:tc>
        <w:tc>
          <w:tcPr>
            <w:tcW w:w="1829" w:type="dxa"/>
            <w:hideMark/>
          </w:tcPr>
          <w:p w:rsidR="009B20BD" w:rsidRPr="005B0796" w:rsidRDefault="009B20BD" w:rsidP="004038AC">
            <w:pPr>
              <w:pStyle w:val="TableText"/>
            </w:pPr>
            <w:r w:rsidRPr="005B0796">
              <w:t xml:space="preserve">Longitudinal disorder development: </w:t>
            </w:r>
          </w:p>
          <w:p w:rsidR="009B20BD" w:rsidRPr="005B0796" w:rsidRDefault="009B20BD" w:rsidP="00751C86">
            <w:pPr>
              <w:pStyle w:val="TableBullet"/>
            </w:pPr>
            <w:r w:rsidRPr="005B0796">
              <w:t>changes in symptom and disorder status over two time-points</w:t>
            </w:r>
          </w:p>
          <w:p w:rsidR="009B20BD" w:rsidRPr="005B0796" w:rsidRDefault="009B20BD" w:rsidP="00751C86">
            <w:pPr>
              <w:pStyle w:val="TableBullet"/>
            </w:pPr>
            <w:r w:rsidRPr="005B0796">
              <w:t>predictors/outcomes of these changes</w:t>
            </w:r>
          </w:p>
        </w:tc>
        <w:tc>
          <w:tcPr>
            <w:tcW w:w="1829" w:type="dxa"/>
            <w:hideMark/>
          </w:tcPr>
          <w:p w:rsidR="009B20BD" w:rsidRPr="005B0796" w:rsidRDefault="009B20BD" w:rsidP="00751C86">
            <w:pPr>
              <w:pStyle w:val="TableBullet"/>
            </w:pPr>
            <w:r w:rsidRPr="005B0796">
              <w:t xml:space="preserve">2015 Regular ADF </w:t>
            </w:r>
          </w:p>
          <w:p w:rsidR="009B20BD" w:rsidRPr="005B0796" w:rsidRDefault="009B20BD" w:rsidP="00751C86">
            <w:pPr>
              <w:pStyle w:val="TableBullet"/>
            </w:pPr>
            <w:r w:rsidRPr="005B0796">
              <w:t xml:space="preserve">Transitioned ADF members who previously participated in MilHOP (MHPWS CIDI sample) </w:t>
            </w:r>
          </w:p>
        </w:tc>
        <w:tc>
          <w:tcPr>
            <w:tcW w:w="1829" w:type="dxa"/>
            <w:hideMark/>
          </w:tcPr>
          <w:p w:rsidR="009B20BD" w:rsidRPr="005B0796" w:rsidRDefault="009B20BD" w:rsidP="00751C86">
            <w:pPr>
              <w:pStyle w:val="TableBullet"/>
            </w:pPr>
            <w:r w:rsidRPr="005B0796">
              <w:t xml:space="preserve">Self-report questionnaire </w:t>
            </w:r>
          </w:p>
          <w:p w:rsidR="009B20BD" w:rsidRPr="005B0796" w:rsidRDefault="009B20BD" w:rsidP="00751C86">
            <w:pPr>
              <w:pStyle w:val="TableBullet"/>
            </w:pPr>
            <w:r w:rsidRPr="005B0796">
              <w:t>CIDI (subgroup)</w:t>
            </w:r>
          </w:p>
        </w:tc>
      </w:tr>
      <w:tr w:rsidR="009B20BD" w:rsidRPr="005B0796" w:rsidTr="00751C86">
        <w:trPr>
          <w:cnfStyle w:val="010000000000" w:firstRow="0" w:lastRow="1" w:firstColumn="0" w:lastColumn="0" w:oddVBand="0" w:evenVBand="0" w:oddHBand="0" w:evenHBand="0" w:firstRowFirstColumn="0" w:firstRowLastColumn="0" w:lastRowFirstColumn="0" w:lastRowLastColumn="0"/>
        </w:trPr>
        <w:tc>
          <w:tcPr>
            <w:tcW w:w="1828" w:type="dxa"/>
            <w:hideMark/>
          </w:tcPr>
          <w:p w:rsidR="009B20BD" w:rsidRPr="005B0796" w:rsidRDefault="009B20BD" w:rsidP="004038AC">
            <w:pPr>
              <w:pStyle w:val="TableText"/>
              <w:rPr>
                <w:i/>
                <w:lang w:eastAsia="en-GB"/>
              </w:rPr>
            </w:pPr>
            <w:r w:rsidRPr="005B0796">
              <w:rPr>
                <w:i/>
                <w:lang w:eastAsia="en-GB"/>
              </w:rPr>
              <w:t>Transition and Wellbeing Research Programme Key Findings Report</w:t>
            </w:r>
          </w:p>
          <w:p w:rsidR="009B20BD" w:rsidRPr="005B0796" w:rsidRDefault="009B20BD" w:rsidP="004038AC">
            <w:pPr>
              <w:pStyle w:val="TableText"/>
              <w:rPr>
                <w:lang w:eastAsia="en-AU"/>
              </w:rPr>
            </w:pPr>
          </w:p>
        </w:tc>
        <w:tc>
          <w:tcPr>
            <w:tcW w:w="1829" w:type="dxa"/>
            <w:hideMark/>
          </w:tcPr>
          <w:p w:rsidR="009B20BD" w:rsidRPr="005B0796" w:rsidRDefault="009B20BD" w:rsidP="004038AC">
            <w:pPr>
              <w:pStyle w:val="TableText"/>
              <w:rPr>
                <w:lang w:eastAsia="en-AU"/>
              </w:rPr>
            </w:pPr>
            <w:r w:rsidRPr="005B0796">
              <w:rPr>
                <w:lang w:eastAsia="en-AU"/>
              </w:rPr>
              <w:t>Key findings across the Programme and implications for Defence and DVA</w:t>
            </w:r>
          </w:p>
        </w:tc>
        <w:tc>
          <w:tcPr>
            <w:tcW w:w="1829" w:type="dxa"/>
            <w:hideMark/>
          </w:tcPr>
          <w:p w:rsidR="009B20BD" w:rsidRPr="005B0796" w:rsidRDefault="009B20BD" w:rsidP="004038AC">
            <w:pPr>
              <w:pStyle w:val="TableText"/>
              <w:rPr>
                <w:lang w:eastAsia="en-AU"/>
              </w:rPr>
            </w:pPr>
            <w:r w:rsidRPr="005B0796">
              <w:rPr>
                <w:lang w:eastAsia="en-AU"/>
              </w:rPr>
              <w:t>All</w:t>
            </w:r>
          </w:p>
        </w:tc>
        <w:tc>
          <w:tcPr>
            <w:tcW w:w="1829" w:type="dxa"/>
            <w:hideMark/>
          </w:tcPr>
          <w:p w:rsidR="009B20BD" w:rsidRPr="005B0796" w:rsidRDefault="009B20BD" w:rsidP="004038AC">
            <w:pPr>
              <w:pStyle w:val="TableText"/>
              <w:rPr>
                <w:lang w:eastAsia="en-AU"/>
              </w:rPr>
            </w:pPr>
            <w:r w:rsidRPr="005B0796">
              <w:rPr>
                <w:lang w:eastAsia="en-AU"/>
              </w:rPr>
              <w:t>All</w:t>
            </w:r>
          </w:p>
        </w:tc>
      </w:tr>
    </w:tbl>
    <w:p w:rsidR="009B20BD" w:rsidRPr="005B0796" w:rsidRDefault="009B20BD" w:rsidP="001923B9">
      <w:pPr>
        <w:pStyle w:val="TableNotes"/>
      </w:pPr>
      <w:bookmarkStart w:id="1487" w:name="_Toc482021445"/>
      <w:bookmarkStart w:id="1488" w:name="_Toc482024536"/>
      <w:bookmarkEnd w:id="1487"/>
      <w:bookmarkEnd w:id="1488"/>
    </w:p>
    <w:p w:rsidR="009B20BD" w:rsidRPr="005B0796" w:rsidRDefault="009B20BD" w:rsidP="00751C86">
      <w:pPr>
        <w:pStyle w:val="Heading2b"/>
      </w:pPr>
      <w:bookmarkStart w:id="1489" w:name="_Toc482021447"/>
      <w:bookmarkStart w:id="1490" w:name="_Toc482024538"/>
      <w:bookmarkStart w:id="1491" w:name="_Toc484594358"/>
      <w:bookmarkStart w:id="1492" w:name="_Toc487011294"/>
      <w:bookmarkStart w:id="1493" w:name="_Toc493663189"/>
      <w:bookmarkStart w:id="1494" w:name="_Toc494449810"/>
      <w:r w:rsidRPr="005B0796">
        <w:t>Response rates</w:t>
      </w:r>
      <w:bookmarkEnd w:id="1489"/>
      <w:bookmarkEnd w:id="1490"/>
      <w:bookmarkEnd w:id="1491"/>
      <w:bookmarkEnd w:id="1492"/>
      <w:bookmarkEnd w:id="1493"/>
      <w:bookmarkEnd w:id="1494"/>
    </w:p>
    <w:p w:rsidR="00CB4287" w:rsidRPr="005B0796" w:rsidRDefault="009B20BD" w:rsidP="00751C86">
      <w:pPr>
        <w:pStyle w:val="Heading3b"/>
      </w:pPr>
      <w:bookmarkStart w:id="1495" w:name="_Toc487011295"/>
      <w:bookmarkStart w:id="1496" w:name="_Toc493663190"/>
      <w:r w:rsidRPr="005B0796">
        <w:t>Survey respond</w:t>
      </w:r>
      <w:r w:rsidR="00CB4287" w:rsidRPr="005B0796">
        <w:t>ers</w:t>
      </w:r>
    </w:p>
    <w:bookmarkEnd w:id="1495"/>
    <w:bookmarkEnd w:id="1496"/>
    <w:p w:rsidR="009B20BD" w:rsidRPr="005B0796" w:rsidRDefault="009B20BD" w:rsidP="001923B9">
      <w:r w:rsidRPr="005B0796">
        <w:t xml:space="preserve">Overall, there was a response rate of 29.1% for the entire survey </w:t>
      </w:r>
      <w:r w:rsidRPr="005B0796">
        <w:rPr>
          <w:rFonts w:cs="Calibri"/>
        </w:rPr>
        <w:t>across both the Transitioned ADF and Regular ADF</w:t>
      </w:r>
      <w:r w:rsidRPr="005B0796">
        <w:t xml:space="preserve"> (total responders/total invited). As at 15 December 2015, 18.0% (4326) of the 23,974 Transitioned ADF members invited to participate had completed a survey. In contrast, response rates in the invited 2015 Regular ADF (20,031) were much higher, with 42.3% of the 2015 Regular ADF who were invited to participate completing a survey. However, it is important to note that not all Regular ADF members were invited to participate in the survey, with invitations restricted to a stratified random sample of 5040 ADF members and Regular ADF members who previously participated in MilHOP. Similarly, 958 Transitioned ADF members were not invited to participate in the survey because they had opted out of the Study Roll, had opted out of being contacted further, or there was insufficient address information. </w:t>
      </w:r>
    </w:p>
    <w:p w:rsidR="009B20BD" w:rsidRPr="005B0796" w:rsidRDefault="009B20BD" w:rsidP="001923B9">
      <w:r w:rsidRPr="005B0796">
        <w:t>Table A.2 and Figure A.1 summarised the breakdown of Transitioned ADF and 2015 Regular ADF members with enough data to be included in the survey. Table A.3 describes the demographic profile of this group.</w:t>
      </w:r>
    </w:p>
    <w:p w:rsidR="009B20BD" w:rsidRPr="005B0796" w:rsidRDefault="009B20BD" w:rsidP="001923B9">
      <w:pPr>
        <w:pStyle w:val="TableName"/>
      </w:pPr>
      <w:bookmarkStart w:id="1497" w:name="_Toc486936015"/>
      <w:bookmarkStart w:id="1498" w:name="_Toc487014339"/>
      <w:bookmarkStart w:id="1499" w:name="_Toc492995642"/>
      <w:bookmarkStart w:id="1500" w:name="_Toc511900491"/>
      <w:r w:rsidRPr="005B0796">
        <w:t>Table A.2</w:t>
      </w:r>
      <w:r w:rsidRPr="005B0796">
        <w:tab/>
        <w:t>Survey response rates by Service, sex, rank and medical fitness for the Transitioned ADF and the 2015 Regular ADF</w:t>
      </w:r>
      <w:bookmarkEnd w:id="1497"/>
      <w:bookmarkEnd w:id="1498"/>
      <w:bookmarkEnd w:id="1499"/>
      <w:bookmarkEnd w:id="1500"/>
      <w:r w:rsidRPr="005B0796">
        <w:t xml:space="preserve"> </w:t>
      </w:r>
    </w:p>
    <w:tbl>
      <w:tblPr>
        <w:tblStyle w:val="TWRPTable"/>
        <w:tblW w:w="5000" w:type="pct"/>
        <w:tblLayout w:type="fixed"/>
        <w:tblLook w:val="04A0" w:firstRow="1" w:lastRow="0" w:firstColumn="1" w:lastColumn="0" w:noHBand="0" w:noVBand="1"/>
        <w:tblDescription w:val="Table A.2 Survey response rates by Service, sex, rank and medical fitness for the Transitioned ADF and the 2015 Regular ADF"/>
      </w:tblPr>
      <w:tblGrid>
        <w:gridCol w:w="828"/>
        <w:gridCol w:w="810"/>
        <w:gridCol w:w="720"/>
        <w:gridCol w:w="902"/>
        <w:gridCol w:w="811"/>
        <w:gridCol w:w="811"/>
        <w:gridCol w:w="716"/>
        <w:gridCol w:w="906"/>
        <w:gridCol w:w="811"/>
      </w:tblGrid>
      <w:tr w:rsidR="001923B9" w:rsidRPr="005B0796" w:rsidTr="00751C86">
        <w:trPr>
          <w:cnfStyle w:val="100000000000" w:firstRow="1" w:lastRow="0" w:firstColumn="0" w:lastColumn="0" w:oddVBand="0" w:evenVBand="0" w:oddHBand="0" w:evenHBand="0" w:firstRowFirstColumn="0" w:firstRowLastColumn="0" w:lastRowFirstColumn="0" w:lastRowLastColumn="0"/>
          <w:tblHeader/>
        </w:trPr>
        <w:tc>
          <w:tcPr>
            <w:tcW w:w="828" w:type="dxa"/>
            <w:vMerge w:val="restart"/>
          </w:tcPr>
          <w:p w:rsidR="001923B9" w:rsidRPr="005B0796" w:rsidRDefault="001923B9" w:rsidP="001923B9">
            <w:pPr>
              <w:pStyle w:val="TableText"/>
            </w:pPr>
          </w:p>
        </w:tc>
        <w:tc>
          <w:tcPr>
            <w:tcW w:w="3243" w:type="dxa"/>
            <w:gridSpan w:val="4"/>
            <w:hideMark/>
          </w:tcPr>
          <w:p w:rsidR="001923B9" w:rsidRPr="005B0796" w:rsidRDefault="001923B9" w:rsidP="001923B9">
            <w:pPr>
              <w:pStyle w:val="TableText"/>
              <w:jc w:val="center"/>
            </w:pPr>
            <w:r w:rsidRPr="005B0796">
              <w:t>Transitioned ADF</w:t>
            </w:r>
            <w:r w:rsidRPr="005B0796">
              <w:br/>
              <w:t>(n = 24,932)</w:t>
            </w:r>
          </w:p>
        </w:tc>
        <w:tc>
          <w:tcPr>
            <w:tcW w:w="3244" w:type="dxa"/>
            <w:gridSpan w:val="4"/>
            <w:hideMark/>
          </w:tcPr>
          <w:p w:rsidR="001923B9" w:rsidRPr="005B0796" w:rsidRDefault="001923B9" w:rsidP="001923B9">
            <w:pPr>
              <w:pStyle w:val="TableText"/>
              <w:jc w:val="center"/>
            </w:pPr>
            <w:r w:rsidRPr="005B0796">
              <w:t>2015 Regular ADF</w:t>
            </w:r>
            <w:r w:rsidRPr="005B0796">
              <w:br/>
              <w:t>(n = 52,500)</w:t>
            </w:r>
          </w:p>
        </w:tc>
      </w:tr>
      <w:tr w:rsidR="001923B9" w:rsidRPr="005B0796" w:rsidTr="00751C86">
        <w:trPr>
          <w:cnfStyle w:val="100000000000" w:firstRow="1" w:lastRow="0" w:firstColumn="0" w:lastColumn="0" w:oddVBand="0" w:evenVBand="0" w:oddHBand="0" w:evenHBand="0" w:firstRowFirstColumn="0" w:firstRowLastColumn="0" w:lastRowFirstColumn="0" w:lastRowLastColumn="0"/>
          <w:tblHeader/>
        </w:trPr>
        <w:tc>
          <w:tcPr>
            <w:tcW w:w="828" w:type="dxa"/>
            <w:vMerge/>
          </w:tcPr>
          <w:p w:rsidR="001923B9" w:rsidRPr="005B0796" w:rsidRDefault="001923B9" w:rsidP="001923B9">
            <w:pPr>
              <w:pStyle w:val="TableText"/>
              <w:rPr>
                <w:rFonts w:cs="Arial"/>
              </w:rPr>
            </w:pPr>
          </w:p>
        </w:tc>
        <w:tc>
          <w:tcPr>
            <w:tcW w:w="810" w:type="dxa"/>
            <w:hideMark/>
          </w:tcPr>
          <w:p w:rsidR="001923B9" w:rsidRPr="005B0796" w:rsidRDefault="001923B9" w:rsidP="001923B9">
            <w:pPr>
              <w:pStyle w:val="TableText"/>
              <w:jc w:val="right"/>
              <w:rPr>
                <w:rFonts w:cs="Arial"/>
              </w:rPr>
            </w:pPr>
            <w:r w:rsidRPr="005B0796">
              <w:rPr>
                <w:rFonts w:cs="Arial"/>
              </w:rPr>
              <w:t>Population</w:t>
            </w:r>
          </w:p>
        </w:tc>
        <w:tc>
          <w:tcPr>
            <w:tcW w:w="720" w:type="dxa"/>
            <w:hideMark/>
          </w:tcPr>
          <w:p w:rsidR="001923B9" w:rsidRPr="005B0796" w:rsidRDefault="001923B9" w:rsidP="001923B9">
            <w:pPr>
              <w:pStyle w:val="TableText"/>
              <w:jc w:val="right"/>
              <w:rPr>
                <w:rFonts w:cs="Arial"/>
              </w:rPr>
            </w:pPr>
            <w:r w:rsidRPr="005B0796">
              <w:rPr>
                <w:rFonts w:cs="Arial"/>
              </w:rPr>
              <w:t>Invited</w:t>
            </w:r>
          </w:p>
        </w:tc>
        <w:tc>
          <w:tcPr>
            <w:tcW w:w="902" w:type="dxa"/>
            <w:hideMark/>
          </w:tcPr>
          <w:p w:rsidR="001923B9" w:rsidRPr="005B0796" w:rsidRDefault="001923B9" w:rsidP="001923B9">
            <w:pPr>
              <w:pStyle w:val="TableText"/>
              <w:jc w:val="right"/>
              <w:rPr>
                <w:rFonts w:cs="Arial"/>
              </w:rPr>
            </w:pPr>
            <w:r w:rsidRPr="005B0796">
              <w:rPr>
                <w:rFonts w:cs="Arial"/>
              </w:rPr>
              <w:t>Responders</w:t>
            </w:r>
          </w:p>
        </w:tc>
        <w:tc>
          <w:tcPr>
            <w:tcW w:w="811" w:type="dxa"/>
            <w:hideMark/>
          </w:tcPr>
          <w:p w:rsidR="001923B9" w:rsidRPr="005B0796" w:rsidRDefault="001923B9" w:rsidP="001923B9">
            <w:pPr>
              <w:pStyle w:val="TableText"/>
              <w:jc w:val="right"/>
              <w:rPr>
                <w:rFonts w:cs="Arial"/>
              </w:rPr>
            </w:pPr>
            <w:r w:rsidRPr="005B0796">
              <w:rPr>
                <w:rFonts w:cs="Arial"/>
              </w:rPr>
              <w:t>Response rate %</w:t>
            </w:r>
          </w:p>
        </w:tc>
        <w:tc>
          <w:tcPr>
            <w:tcW w:w="811" w:type="dxa"/>
            <w:hideMark/>
          </w:tcPr>
          <w:p w:rsidR="001923B9" w:rsidRPr="005B0796" w:rsidRDefault="001923B9" w:rsidP="001923B9">
            <w:pPr>
              <w:pStyle w:val="TableText"/>
              <w:jc w:val="right"/>
              <w:rPr>
                <w:rFonts w:cs="Arial"/>
              </w:rPr>
            </w:pPr>
            <w:r w:rsidRPr="005B0796">
              <w:rPr>
                <w:rFonts w:cs="Arial"/>
              </w:rPr>
              <w:t>Population</w:t>
            </w:r>
          </w:p>
        </w:tc>
        <w:tc>
          <w:tcPr>
            <w:tcW w:w="716" w:type="dxa"/>
            <w:hideMark/>
          </w:tcPr>
          <w:p w:rsidR="001923B9" w:rsidRPr="005B0796" w:rsidRDefault="001923B9" w:rsidP="001923B9">
            <w:pPr>
              <w:pStyle w:val="TableText"/>
              <w:jc w:val="right"/>
              <w:rPr>
                <w:rFonts w:cs="Arial"/>
              </w:rPr>
            </w:pPr>
            <w:r w:rsidRPr="005B0796">
              <w:rPr>
                <w:rFonts w:cs="Arial"/>
              </w:rPr>
              <w:t>Invited</w:t>
            </w:r>
          </w:p>
        </w:tc>
        <w:tc>
          <w:tcPr>
            <w:tcW w:w="906" w:type="dxa"/>
            <w:hideMark/>
          </w:tcPr>
          <w:p w:rsidR="001923B9" w:rsidRPr="005B0796" w:rsidRDefault="001923B9" w:rsidP="001923B9">
            <w:pPr>
              <w:pStyle w:val="TableText"/>
              <w:jc w:val="right"/>
              <w:rPr>
                <w:rFonts w:cs="Arial"/>
              </w:rPr>
            </w:pPr>
            <w:r w:rsidRPr="005B0796">
              <w:rPr>
                <w:rFonts w:cs="Arial"/>
              </w:rPr>
              <w:t>Responders</w:t>
            </w:r>
          </w:p>
        </w:tc>
        <w:tc>
          <w:tcPr>
            <w:tcW w:w="811" w:type="dxa"/>
            <w:hideMark/>
          </w:tcPr>
          <w:p w:rsidR="001923B9" w:rsidRPr="005B0796" w:rsidRDefault="001923B9" w:rsidP="001923B9">
            <w:pPr>
              <w:pStyle w:val="TableText"/>
              <w:jc w:val="right"/>
              <w:rPr>
                <w:rFonts w:cs="Arial"/>
              </w:rPr>
            </w:pPr>
            <w:r w:rsidRPr="005B0796">
              <w:rPr>
                <w:rFonts w:cs="Arial"/>
              </w:rPr>
              <w:t>Response rate %</w:t>
            </w: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rPr>
                <w:b/>
              </w:rPr>
            </w:pPr>
            <w:r w:rsidRPr="005B0796">
              <w:rPr>
                <w:b/>
              </w:rPr>
              <w:t>Service</w:t>
            </w:r>
          </w:p>
        </w:tc>
        <w:tc>
          <w:tcPr>
            <w:tcW w:w="810" w:type="dxa"/>
          </w:tcPr>
          <w:p w:rsidR="009B20BD" w:rsidRPr="005B0796" w:rsidRDefault="009B20BD" w:rsidP="001923B9">
            <w:pPr>
              <w:pStyle w:val="TableText"/>
              <w:jc w:val="right"/>
            </w:pPr>
          </w:p>
        </w:tc>
        <w:tc>
          <w:tcPr>
            <w:tcW w:w="720" w:type="dxa"/>
          </w:tcPr>
          <w:p w:rsidR="009B20BD" w:rsidRPr="005B0796" w:rsidRDefault="009B20BD" w:rsidP="001923B9">
            <w:pPr>
              <w:pStyle w:val="TableText"/>
              <w:jc w:val="right"/>
              <w:rPr>
                <w:rFonts w:cs="Arial"/>
              </w:rPr>
            </w:pPr>
          </w:p>
        </w:tc>
        <w:tc>
          <w:tcPr>
            <w:tcW w:w="902"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716" w:type="dxa"/>
          </w:tcPr>
          <w:p w:rsidR="009B20BD" w:rsidRPr="005B0796" w:rsidRDefault="009B20BD" w:rsidP="001923B9">
            <w:pPr>
              <w:pStyle w:val="TableText"/>
              <w:jc w:val="right"/>
              <w:rPr>
                <w:rFonts w:cs="Arial"/>
              </w:rPr>
            </w:pPr>
          </w:p>
        </w:tc>
        <w:tc>
          <w:tcPr>
            <w:tcW w:w="906"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r>
      <w:tr w:rsidR="001923B9" w:rsidRPr="005B0796" w:rsidTr="00751C86">
        <w:tc>
          <w:tcPr>
            <w:tcW w:w="828" w:type="dxa"/>
            <w:hideMark/>
          </w:tcPr>
          <w:p w:rsidR="009B20BD" w:rsidRPr="005B0796" w:rsidRDefault="009B20BD" w:rsidP="001923B9">
            <w:pPr>
              <w:pStyle w:val="TableText"/>
              <w:ind w:left="144"/>
            </w:pPr>
            <w:r w:rsidRPr="005B0796">
              <w:t>Navy</w:t>
            </w:r>
          </w:p>
        </w:tc>
        <w:tc>
          <w:tcPr>
            <w:tcW w:w="810" w:type="dxa"/>
            <w:hideMark/>
          </w:tcPr>
          <w:p w:rsidR="009B20BD" w:rsidRPr="005B0796" w:rsidRDefault="009B20BD" w:rsidP="001923B9">
            <w:pPr>
              <w:pStyle w:val="TableText"/>
              <w:jc w:val="right"/>
            </w:pPr>
            <w:r w:rsidRPr="005B0796">
              <w:t>5671</w:t>
            </w:r>
          </w:p>
        </w:tc>
        <w:tc>
          <w:tcPr>
            <w:tcW w:w="720" w:type="dxa"/>
            <w:hideMark/>
          </w:tcPr>
          <w:p w:rsidR="009B20BD" w:rsidRPr="005B0796" w:rsidRDefault="009B20BD" w:rsidP="001923B9">
            <w:pPr>
              <w:pStyle w:val="TableText"/>
              <w:jc w:val="right"/>
              <w:rPr>
                <w:rFonts w:cs="Arial"/>
              </w:rPr>
            </w:pPr>
            <w:r w:rsidRPr="005B0796">
              <w:t>5495</w:t>
            </w:r>
          </w:p>
        </w:tc>
        <w:tc>
          <w:tcPr>
            <w:tcW w:w="902" w:type="dxa"/>
            <w:hideMark/>
          </w:tcPr>
          <w:p w:rsidR="009B20BD" w:rsidRPr="005B0796" w:rsidRDefault="009B20BD" w:rsidP="001923B9">
            <w:pPr>
              <w:pStyle w:val="TableText"/>
              <w:jc w:val="right"/>
            </w:pPr>
            <w:r w:rsidRPr="005B0796">
              <w:t>863</w:t>
            </w:r>
          </w:p>
        </w:tc>
        <w:tc>
          <w:tcPr>
            <w:tcW w:w="811" w:type="dxa"/>
            <w:hideMark/>
          </w:tcPr>
          <w:p w:rsidR="009B20BD" w:rsidRPr="005B0796" w:rsidRDefault="009B20BD" w:rsidP="001923B9">
            <w:pPr>
              <w:pStyle w:val="TableText"/>
              <w:jc w:val="right"/>
            </w:pPr>
            <w:r w:rsidRPr="005B0796">
              <w:t>15.7</w:t>
            </w:r>
          </w:p>
        </w:tc>
        <w:tc>
          <w:tcPr>
            <w:tcW w:w="811" w:type="dxa"/>
            <w:hideMark/>
          </w:tcPr>
          <w:p w:rsidR="009B20BD" w:rsidRPr="005B0796" w:rsidRDefault="009B20BD" w:rsidP="001923B9">
            <w:pPr>
              <w:pStyle w:val="TableText"/>
              <w:jc w:val="right"/>
            </w:pPr>
            <w:r w:rsidRPr="005B0796">
              <w:t>13,282</w:t>
            </w:r>
          </w:p>
        </w:tc>
        <w:tc>
          <w:tcPr>
            <w:tcW w:w="716" w:type="dxa"/>
            <w:hideMark/>
          </w:tcPr>
          <w:p w:rsidR="009B20BD" w:rsidRPr="005B0796" w:rsidRDefault="009B20BD" w:rsidP="001923B9">
            <w:pPr>
              <w:pStyle w:val="TableText"/>
              <w:jc w:val="right"/>
              <w:rPr>
                <w:rFonts w:cs="Arial"/>
              </w:rPr>
            </w:pPr>
            <w:r w:rsidRPr="005B0796">
              <w:t>5113</w:t>
            </w:r>
          </w:p>
        </w:tc>
        <w:tc>
          <w:tcPr>
            <w:tcW w:w="906" w:type="dxa"/>
            <w:hideMark/>
          </w:tcPr>
          <w:p w:rsidR="009B20BD" w:rsidRPr="005B0796" w:rsidRDefault="009B20BD" w:rsidP="001923B9">
            <w:pPr>
              <w:pStyle w:val="TableText"/>
              <w:jc w:val="right"/>
            </w:pPr>
            <w:r w:rsidRPr="005B0796">
              <w:t>2040</w:t>
            </w:r>
          </w:p>
        </w:tc>
        <w:tc>
          <w:tcPr>
            <w:tcW w:w="811" w:type="dxa"/>
            <w:hideMark/>
          </w:tcPr>
          <w:p w:rsidR="009B20BD" w:rsidRPr="005B0796" w:rsidRDefault="009B20BD" w:rsidP="001923B9">
            <w:pPr>
              <w:pStyle w:val="TableText"/>
              <w:jc w:val="right"/>
            </w:pPr>
            <w:r w:rsidRPr="005B0796">
              <w:t>39.9</w:t>
            </w: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ind w:left="144"/>
            </w:pPr>
            <w:r w:rsidRPr="005B0796">
              <w:t>Army</w:t>
            </w:r>
          </w:p>
        </w:tc>
        <w:tc>
          <w:tcPr>
            <w:tcW w:w="810" w:type="dxa"/>
            <w:hideMark/>
          </w:tcPr>
          <w:p w:rsidR="009B20BD" w:rsidRPr="005B0796" w:rsidRDefault="009B20BD" w:rsidP="001923B9">
            <w:pPr>
              <w:pStyle w:val="TableText"/>
              <w:jc w:val="right"/>
            </w:pPr>
            <w:r w:rsidRPr="005B0796">
              <w:t>15,038</w:t>
            </w:r>
          </w:p>
        </w:tc>
        <w:tc>
          <w:tcPr>
            <w:tcW w:w="720" w:type="dxa"/>
            <w:hideMark/>
          </w:tcPr>
          <w:p w:rsidR="009B20BD" w:rsidRPr="005B0796" w:rsidRDefault="009B20BD" w:rsidP="001923B9">
            <w:pPr>
              <w:pStyle w:val="TableText"/>
              <w:jc w:val="right"/>
              <w:rPr>
                <w:rFonts w:cs="Arial"/>
              </w:rPr>
            </w:pPr>
            <w:r w:rsidRPr="005B0796">
              <w:t>14,465</w:t>
            </w:r>
          </w:p>
        </w:tc>
        <w:tc>
          <w:tcPr>
            <w:tcW w:w="902" w:type="dxa"/>
            <w:hideMark/>
          </w:tcPr>
          <w:p w:rsidR="009B20BD" w:rsidRPr="005B0796" w:rsidRDefault="009B20BD" w:rsidP="001923B9">
            <w:pPr>
              <w:pStyle w:val="TableText"/>
              <w:jc w:val="right"/>
            </w:pPr>
            <w:r w:rsidRPr="005B0796">
              <w:t>2463</w:t>
            </w:r>
          </w:p>
        </w:tc>
        <w:tc>
          <w:tcPr>
            <w:tcW w:w="811" w:type="dxa"/>
            <w:hideMark/>
          </w:tcPr>
          <w:p w:rsidR="009B20BD" w:rsidRPr="005B0796" w:rsidRDefault="009B20BD" w:rsidP="001923B9">
            <w:pPr>
              <w:pStyle w:val="TableText"/>
              <w:jc w:val="right"/>
            </w:pPr>
            <w:r w:rsidRPr="005B0796">
              <w:t>17.0</w:t>
            </w:r>
          </w:p>
        </w:tc>
        <w:tc>
          <w:tcPr>
            <w:tcW w:w="811" w:type="dxa"/>
            <w:hideMark/>
          </w:tcPr>
          <w:p w:rsidR="009B20BD" w:rsidRPr="005B0796" w:rsidRDefault="009B20BD" w:rsidP="001923B9">
            <w:pPr>
              <w:pStyle w:val="TableText"/>
              <w:jc w:val="right"/>
            </w:pPr>
            <w:r w:rsidRPr="005B0796">
              <w:t>25,798</w:t>
            </w:r>
          </w:p>
        </w:tc>
        <w:tc>
          <w:tcPr>
            <w:tcW w:w="716" w:type="dxa"/>
            <w:hideMark/>
          </w:tcPr>
          <w:p w:rsidR="009B20BD" w:rsidRPr="005B0796" w:rsidRDefault="009B20BD" w:rsidP="001923B9">
            <w:pPr>
              <w:pStyle w:val="TableText"/>
              <w:jc w:val="right"/>
              <w:rPr>
                <w:rFonts w:cs="Arial"/>
              </w:rPr>
            </w:pPr>
            <w:r w:rsidRPr="005B0796">
              <w:t>8067</w:t>
            </w:r>
          </w:p>
        </w:tc>
        <w:tc>
          <w:tcPr>
            <w:tcW w:w="906" w:type="dxa"/>
            <w:hideMark/>
          </w:tcPr>
          <w:p w:rsidR="009B20BD" w:rsidRPr="005B0796" w:rsidRDefault="009B20BD" w:rsidP="001923B9">
            <w:pPr>
              <w:pStyle w:val="TableText"/>
              <w:jc w:val="right"/>
            </w:pPr>
            <w:r w:rsidRPr="005B0796">
              <w:t>3500</w:t>
            </w:r>
          </w:p>
        </w:tc>
        <w:tc>
          <w:tcPr>
            <w:tcW w:w="811" w:type="dxa"/>
            <w:hideMark/>
          </w:tcPr>
          <w:p w:rsidR="009B20BD" w:rsidRPr="005B0796" w:rsidRDefault="009B20BD" w:rsidP="001923B9">
            <w:pPr>
              <w:pStyle w:val="TableText"/>
              <w:jc w:val="right"/>
            </w:pPr>
            <w:r w:rsidRPr="005B0796">
              <w:t>43.4</w:t>
            </w:r>
          </w:p>
        </w:tc>
      </w:tr>
      <w:tr w:rsidR="001923B9" w:rsidRPr="005B0796" w:rsidTr="00751C86">
        <w:tc>
          <w:tcPr>
            <w:tcW w:w="828" w:type="dxa"/>
            <w:hideMark/>
          </w:tcPr>
          <w:p w:rsidR="009B20BD" w:rsidRPr="005B0796" w:rsidRDefault="009B20BD" w:rsidP="001923B9">
            <w:pPr>
              <w:pStyle w:val="TableText"/>
              <w:ind w:left="144"/>
              <w:rPr>
                <w:rFonts w:cs="Arial"/>
              </w:rPr>
            </w:pPr>
            <w:r w:rsidRPr="005B0796">
              <w:t>Air Force</w:t>
            </w:r>
          </w:p>
        </w:tc>
        <w:tc>
          <w:tcPr>
            <w:tcW w:w="810" w:type="dxa"/>
            <w:hideMark/>
          </w:tcPr>
          <w:p w:rsidR="009B20BD" w:rsidRPr="005B0796" w:rsidRDefault="009B20BD" w:rsidP="001923B9">
            <w:pPr>
              <w:pStyle w:val="TableText"/>
              <w:jc w:val="right"/>
            </w:pPr>
            <w:r w:rsidRPr="005B0796">
              <w:t>4223</w:t>
            </w:r>
          </w:p>
        </w:tc>
        <w:tc>
          <w:tcPr>
            <w:tcW w:w="720" w:type="dxa"/>
            <w:hideMark/>
          </w:tcPr>
          <w:p w:rsidR="009B20BD" w:rsidRPr="005B0796" w:rsidRDefault="009B20BD" w:rsidP="001923B9">
            <w:pPr>
              <w:pStyle w:val="TableText"/>
              <w:jc w:val="right"/>
              <w:rPr>
                <w:rFonts w:cs="Arial"/>
                <w:color w:val="000000" w:themeColor="text1"/>
              </w:rPr>
            </w:pPr>
            <w:r w:rsidRPr="005B0796">
              <w:t>4014</w:t>
            </w:r>
          </w:p>
        </w:tc>
        <w:tc>
          <w:tcPr>
            <w:tcW w:w="902" w:type="dxa"/>
            <w:hideMark/>
          </w:tcPr>
          <w:p w:rsidR="009B20BD" w:rsidRPr="005B0796" w:rsidRDefault="009B20BD" w:rsidP="001923B9">
            <w:pPr>
              <w:pStyle w:val="TableText"/>
              <w:jc w:val="right"/>
            </w:pPr>
            <w:r w:rsidRPr="005B0796">
              <w:t>1000</w:t>
            </w:r>
          </w:p>
        </w:tc>
        <w:tc>
          <w:tcPr>
            <w:tcW w:w="811" w:type="dxa"/>
            <w:hideMark/>
          </w:tcPr>
          <w:p w:rsidR="009B20BD" w:rsidRPr="005B0796" w:rsidRDefault="009B20BD" w:rsidP="001923B9">
            <w:pPr>
              <w:pStyle w:val="TableText"/>
              <w:jc w:val="right"/>
            </w:pPr>
            <w:r w:rsidRPr="005B0796">
              <w:t>24.9</w:t>
            </w:r>
          </w:p>
        </w:tc>
        <w:tc>
          <w:tcPr>
            <w:tcW w:w="811" w:type="dxa"/>
            <w:hideMark/>
          </w:tcPr>
          <w:p w:rsidR="009B20BD" w:rsidRPr="005B0796" w:rsidRDefault="009B20BD" w:rsidP="001923B9">
            <w:pPr>
              <w:pStyle w:val="TableText"/>
              <w:jc w:val="right"/>
            </w:pPr>
            <w:r w:rsidRPr="005B0796">
              <w:t>13,420</w:t>
            </w:r>
          </w:p>
        </w:tc>
        <w:tc>
          <w:tcPr>
            <w:tcW w:w="716" w:type="dxa"/>
            <w:hideMark/>
          </w:tcPr>
          <w:p w:rsidR="009B20BD" w:rsidRPr="005B0796" w:rsidRDefault="009B20BD" w:rsidP="001923B9">
            <w:pPr>
              <w:pStyle w:val="TableText"/>
              <w:jc w:val="right"/>
              <w:rPr>
                <w:rFonts w:cs="Arial"/>
                <w:color w:val="000000" w:themeColor="text1"/>
              </w:rPr>
            </w:pPr>
            <w:r w:rsidRPr="005B0796">
              <w:t>6851</w:t>
            </w:r>
          </w:p>
        </w:tc>
        <w:tc>
          <w:tcPr>
            <w:tcW w:w="906" w:type="dxa"/>
            <w:hideMark/>
          </w:tcPr>
          <w:p w:rsidR="009B20BD" w:rsidRPr="005B0796" w:rsidRDefault="009B20BD" w:rsidP="001923B9">
            <w:pPr>
              <w:pStyle w:val="TableText"/>
              <w:jc w:val="right"/>
              <w:rPr>
                <w:rFonts w:cs="Arial"/>
                <w:color w:val="000000" w:themeColor="text1"/>
              </w:rPr>
            </w:pPr>
            <w:r w:rsidRPr="005B0796">
              <w:rPr>
                <w:rFonts w:eastAsia="Times New Roman"/>
                <w:lang w:eastAsia="en-AU"/>
              </w:rPr>
              <w:t>2940</w:t>
            </w:r>
          </w:p>
        </w:tc>
        <w:tc>
          <w:tcPr>
            <w:tcW w:w="811" w:type="dxa"/>
            <w:hideMark/>
          </w:tcPr>
          <w:p w:rsidR="009B20BD" w:rsidRPr="005B0796" w:rsidRDefault="009B20BD" w:rsidP="001923B9">
            <w:pPr>
              <w:pStyle w:val="TableText"/>
              <w:jc w:val="right"/>
            </w:pPr>
            <w:r w:rsidRPr="005B0796">
              <w:t>42.9</w:t>
            </w: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rPr>
                <w:b/>
              </w:rPr>
            </w:pPr>
            <w:r w:rsidRPr="005B0796">
              <w:rPr>
                <w:b/>
              </w:rPr>
              <w:t>Sex</w:t>
            </w:r>
          </w:p>
        </w:tc>
        <w:tc>
          <w:tcPr>
            <w:tcW w:w="810" w:type="dxa"/>
          </w:tcPr>
          <w:p w:rsidR="009B20BD" w:rsidRPr="005B0796" w:rsidRDefault="009B20BD" w:rsidP="001923B9">
            <w:pPr>
              <w:pStyle w:val="TableText"/>
              <w:jc w:val="right"/>
            </w:pPr>
          </w:p>
        </w:tc>
        <w:tc>
          <w:tcPr>
            <w:tcW w:w="720" w:type="dxa"/>
          </w:tcPr>
          <w:p w:rsidR="009B20BD" w:rsidRPr="005B0796" w:rsidRDefault="009B20BD" w:rsidP="001923B9">
            <w:pPr>
              <w:pStyle w:val="TableText"/>
              <w:jc w:val="right"/>
            </w:pPr>
          </w:p>
        </w:tc>
        <w:tc>
          <w:tcPr>
            <w:tcW w:w="902"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716" w:type="dxa"/>
          </w:tcPr>
          <w:p w:rsidR="009B20BD" w:rsidRPr="005B0796" w:rsidRDefault="009B20BD" w:rsidP="001923B9">
            <w:pPr>
              <w:pStyle w:val="TableText"/>
              <w:jc w:val="right"/>
            </w:pPr>
          </w:p>
        </w:tc>
        <w:tc>
          <w:tcPr>
            <w:tcW w:w="906" w:type="dxa"/>
          </w:tcPr>
          <w:p w:rsidR="009B20BD" w:rsidRPr="005B0796" w:rsidRDefault="009B20BD" w:rsidP="001923B9">
            <w:pPr>
              <w:pStyle w:val="TableText"/>
              <w:jc w:val="right"/>
              <w:rPr>
                <w:rFonts w:eastAsia="Times New Roman"/>
                <w:lang w:eastAsia="en-AU"/>
              </w:rPr>
            </w:pPr>
          </w:p>
        </w:tc>
        <w:tc>
          <w:tcPr>
            <w:tcW w:w="811" w:type="dxa"/>
          </w:tcPr>
          <w:p w:rsidR="009B20BD" w:rsidRPr="005B0796" w:rsidRDefault="009B20BD" w:rsidP="001923B9">
            <w:pPr>
              <w:pStyle w:val="TableText"/>
              <w:jc w:val="right"/>
              <w:rPr>
                <w:rFonts w:eastAsia="MS ??"/>
              </w:rPr>
            </w:pPr>
          </w:p>
        </w:tc>
      </w:tr>
      <w:tr w:rsidR="001923B9" w:rsidRPr="005B0796" w:rsidTr="00751C86">
        <w:tc>
          <w:tcPr>
            <w:tcW w:w="828" w:type="dxa"/>
            <w:hideMark/>
          </w:tcPr>
          <w:p w:rsidR="009B20BD" w:rsidRPr="005B0796" w:rsidRDefault="009B20BD" w:rsidP="001923B9">
            <w:pPr>
              <w:pStyle w:val="TableText"/>
              <w:ind w:left="144"/>
            </w:pPr>
            <w:r w:rsidRPr="005B0796">
              <w:t>Male</w:t>
            </w:r>
          </w:p>
        </w:tc>
        <w:tc>
          <w:tcPr>
            <w:tcW w:w="810" w:type="dxa"/>
            <w:hideMark/>
          </w:tcPr>
          <w:p w:rsidR="009B20BD" w:rsidRPr="005B0796" w:rsidRDefault="009B20BD" w:rsidP="001923B9">
            <w:pPr>
              <w:pStyle w:val="TableText"/>
              <w:jc w:val="right"/>
            </w:pPr>
            <w:r w:rsidRPr="005B0796">
              <w:t>21,671</w:t>
            </w:r>
          </w:p>
        </w:tc>
        <w:tc>
          <w:tcPr>
            <w:tcW w:w="720" w:type="dxa"/>
            <w:hideMark/>
          </w:tcPr>
          <w:p w:rsidR="009B20BD" w:rsidRPr="005B0796" w:rsidRDefault="009B20BD" w:rsidP="001923B9">
            <w:pPr>
              <w:pStyle w:val="TableText"/>
              <w:jc w:val="right"/>
            </w:pPr>
            <w:r w:rsidRPr="005B0796">
              <w:t>20,713</w:t>
            </w:r>
          </w:p>
        </w:tc>
        <w:tc>
          <w:tcPr>
            <w:tcW w:w="902" w:type="dxa"/>
            <w:hideMark/>
          </w:tcPr>
          <w:p w:rsidR="009B20BD" w:rsidRPr="005B0796" w:rsidRDefault="009B20BD" w:rsidP="001923B9">
            <w:pPr>
              <w:pStyle w:val="TableText"/>
              <w:jc w:val="right"/>
            </w:pPr>
            <w:r w:rsidRPr="005B0796">
              <w:t>3646</w:t>
            </w:r>
          </w:p>
        </w:tc>
        <w:tc>
          <w:tcPr>
            <w:tcW w:w="811" w:type="dxa"/>
            <w:hideMark/>
          </w:tcPr>
          <w:p w:rsidR="009B20BD" w:rsidRPr="005B0796" w:rsidRDefault="009B20BD" w:rsidP="001923B9">
            <w:pPr>
              <w:pStyle w:val="TableText"/>
              <w:jc w:val="right"/>
            </w:pPr>
            <w:r w:rsidRPr="005B0796">
              <w:t>17.6</w:t>
            </w:r>
          </w:p>
        </w:tc>
        <w:tc>
          <w:tcPr>
            <w:tcW w:w="811" w:type="dxa"/>
            <w:hideMark/>
          </w:tcPr>
          <w:p w:rsidR="009B20BD" w:rsidRPr="005B0796" w:rsidRDefault="009B20BD" w:rsidP="001923B9">
            <w:pPr>
              <w:pStyle w:val="TableText"/>
              <w:jc w:val="right"/>
            </w:pPr>
            <w:r w:rsidRPr="005B0796">
              <w:t>47,645</w:t>
            </w:r>
          </w:p>
        </w:tc>
        <w:tc>
          <w:tcPr>
            <w:tcW w:w="716" w:type="dxa"/>
            <w:hideMark/>
          </w:tcPr>
          <w:p w:rsidR="009B20BD" w:rsidRPr="005B0796" w:rsidRDefault="009B20BD" w:rsidP="001923B9">
            <w:pPr>
              <w:pStyle w:val="TableText"/>
              <w:jc w:val="right"/>
            </w:pPr>
            <w:r w:rsidRPr="005B0796">
              <w:t>15,176</w:t>
            </w:r>
          </w:p>
        </w:tc>
        <w:tc>
          <w:tcPr>
            <w:tcW w:w="906" w:type="dxa"/>
            <w:hideMark/>
          </w:tcPr>
          <w:p w:rsidR="009B20BD" w:rsidRPr="005B0796" w:rsidRDefault="009B20BD" w:rsidP="001923B9">
            <w:pPr>
              <w:pStyle w:val="TableText"/>
              <w:jc w:val="right"/>
              <w:rPr>
                <w:rFonts w:eastAsia="Times New Roman"/>
                <w:lang w:eastAsia="en-AU"/>
              </w:rPr>
            </w:pPr>
            <w:r w:rsidRPr="005B0796">
              <w:rPr>
                <w:rFonts w:eastAsia="Times New Roman"/>
                <w:lang w:eastAsia="en-AU"/>
              </w:rPr>
              <w:t>6693</w:t>
            </w:r>
          </w:p>
        </w:tc>
        <w:tc>
          <w:tcPr>
            <w:tcW w:w="811" w:type="dxa"/>
            <w:hideMark/>
          </w:tcPr>
          <w:p w:rsidR="009B20BD" w:rsidRPr="005B0796" w:rsidRDefault="009B20BD" w:rsidP="001923B9">
            <w:pPr>
              <w:pStyle w:val="TableText"/>
              <w:jc w:val="right"/>
              <w:rPr>
                <w:rFonts w:eastAsia="MS ??"/>
              </w:rPr>
            </w:pPr>
            <w:r w:rsidRPr="005B0796">
              <w:t>44.1</w:t>
            </w: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ind w:left="144"/>
            </w:pPr>
            <w:r w:rsidRPr="005B0796">
              <w:t>Female</w:t>
            </w:r>
          </w:p>
        </w:tc>
        <w:tc>
          <w:tcPr>
            <w:tcW w:w="810" w:type="dxa"/>
            <w:hideMark/>
          </w:tcPr>
          <w:p w:rsidR="009B20BD" w:rsidRPr="005B0796" w:rsidRDefault="009B20BD" w:rsidP="001923B9">
            <w:pPr>
              <w:pStyle w:val="TableText"/>
              <w:jc w:val="right"/>
            </w:pPr>
            <w:r w:rsidRPr="005B0796">
              <w:t>3261</w:t>
            </w:r>
          </w:p>
        </w:tc>
        <w:tc>
          <w:tcPr>
            <w:tcW w:w="720" w:type="dxa"/>
            <w:hideMark/>
          </w:tcPr>
          <w:p w:rsidR="009B20BD" w:rsidRPr="005B0796" w:rsidRDefault="009B20BD" w:rsidP="001923B9">
            <w:pPr>
              <w:pStyle w:val="TableText"/>
              <w:jc w:val="right"/>
            </w:pPr>
            <w:r w:rsidRPr="005B0796">
              <w:t>3261</w:t>
            </w:r>
          </w:p>
        </w:tc>
        <w:tc>
          <w:tcPr>
            <w:tcW w:w="902" w:type="dxa"/>
            <w:hideMark/>
          </w:tcPr>
          <w:p w:rsidR="009B20BD" w:rsidRPr="005B0796" w:rsidRDefault="009B20BD" w:rsidP="001923B9">
            <w:pPr>
              <w:pStyle w:val="TableText"/>
              <w:jc w:val="right"/>
            </w:pPr>
            <w:r w:rsidRPr="005B0796">
              <w:t>380</w:t>
            </w:r>
          </w:p>
        </w:tc>
        <w:tc>
          <w:tcPr>
            <w:tcW w:w="811" w:type="dxa"/>
            <w:hideMark/>
          </w:tcPr>
          <w:p w:rsidR="009B20BD" w:rsidRPr="005B0796" w:rsidRDefault="009B20BD" w:rsidP="001923B9">
            <w:pPr>
              <w:pStyle w:val="TableText"/>
              <w:jc w:val="right"/>
            </w:pPr>
            <w:r w:rsidRPr="005B0796">
              <w:t>20.9</w:t>
            </w:r>
          </w:p>
        </w:tc>
        <w:tc>
          <w:tcPr>
            <w:tcW w:w="811" w:type="dxa"/>
            <w:hideMark/>
          </w:tcPr>
          <w:p w:rsidR="009B20BD" w:rsidRPr="005B0796" w:rsidRDefault="009B20BD" w:rsidP="001923B9">
            <w:pPr>
              <w:pStyle w:val="TableText"/>
              <w:jc w:val="right"/>
            </w:pPr>
            <w:r w:rsidRPr="005B0796">
              <w:t>4855</w:t>
            </w:r>
          </w:p>
        </w:tc>
        <w:tc>
          <w:tcPr>
            <w:tcW w:w="716" w:type="dxa"/>
            <w:hideMark/>
          </w:tcPr>
          <w:p w:rsidR="009B20BD" w:rsidRPr="005B0796" w:rsidRDefault="009B20BD" w:rsidP="001923B9">
            <w:pPr>
              <w:pStyle w:val="TableText"/>
              <w:jc w:val="right"/>
            </w:pPr>
            <w:r w:rsidRPr="005B0796">
              <w:t>4855</w:t>
            </w:r>
          </w:p>
        </w:tc>
        <w:tc>
          <w:tcPr>
            <w:tcW w:w="906" w:type="dxa"/>
            <w:hideMark/>
          </w:tcPr>
          <w:p w:rsidR="009B20BD" w:rsidRPr="005B0796" w:rsidRDefault="009B20BD" w:rsidP="001923B9">
            <w:pPr>
              <w:pStyle w:val="TableText"/>
              <w:jc w:val="right"/>
              <w:rPr>
                <w:rFonts w:eastAsia="Times New Roman"/>
                <w:lang w:eastAsia="en-AU"/>
              </w:rPr>
            </w:pPr>
            <w:r w:rsidRPr="005B0796">
              <w:rPr>
                <w:rFonts w:eastAsia="Times New Roman"/>
                <w:lang w:eastAsia="en-AU"/>
              </w:rPr>
              <w:t>1787</w:t>
            </w:r>
          </w:p>
        </w:tc>
        <w:tc>
          <w:tcPr>
            <w:tcW w:w="811" w:type="dxa"/>
            <w:hideMark/>
          </w:tcPr>
          <w:p w:rsidR="009B20BD" w:rsidRPr="005B0796" w:rsidRDefault="009B20BD" w:rsidP="001923B9">
            <w:pPr>
              <w:pStyle w:val="TableText"/>
              <w:jc w:val="right"/>
              <w:rPr>
                <w:rFonts w:eastAsia="MS ??"/>
              </w:rPr>
            </w:pPr>
            <w:r w:rsidRPr="005B0796">
              <w:t>36.8</w:t>
            </w:r>
          </w:p>
        </w:tc>
      </w:tr>
      <w:tr w:rsidR="001923B9" w:rsidRPr="005B0796" w:rsidTr="00751C86">
        <w:tc>
          <w:tcPr>
            <w:tcW w:w="828" w:type="dxa"/>
            <w:hideMark/>
          </w:tcPr>
          <w:p w:rsidR="009B20BD" w:rsidRPr="005B0796" w:rsidRDefault="009B20BD" w:rsidP="001923B9">
            <w:pPr>
              <w:pStyle w:val="TableText"/>
              <w:rPr>
                <w:b/>
              </w:rPr>
            </w:pPr>
            <w:r w:rsidRPr="005B0796">
              <w:rPr>
                <w:b/>
              </w:rPr>
              <w:t>Rank</w:t>
            </w:r>
          </w:p>
        </w:tc>
        <w:tc>
          <w:tcPr>
            <w:tcW w:w="810" w:type="dxa"/>
          </w:tcPr>
          <w:p w:rsidR="009B20BD" w:rsidRPr="005B0796" w:rsidRDefault="009B20BD" w:rsidP="001923B9">
            <w:pPr>
              <w:pStyle w:val="TableText"/>
              <w:jc w:val="right"/>
            </w:pPr>
          </w:p>
        </w:tc>
        <w:tc>
          <w:tcPr>
            <w:tcW w:w="720" w:type="dxa"/>
          </w:tcPr>
          <w:p w:rsidR="009B20BD" w:rsidRPr="005B0796" w:rsidRDefault="009B20BD" w:rsidP="001923B9">
            <w:pPr>
              <w:pStyle w:val="TableText"/>
              <w:jc w:val="right"/>
            </w:pPr>
          </w:p>
        </w:tc>
        <w:tc>
          <w:tcPr>
            <w:tcW w:w="902"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716" w:type="dxa"/>
          </w:tcPr>
          <w:p w:rsidR="009B20BD" w:rsidRPr="005B0796" w:rsidRDefault="009B20BD" w:rsidP="001923B9">
            <w:pPr>
              <w:pStyle w:val="TableText"/>
              <w:jc w:val="right"/>
            </w:pPr>
          </w:p>
        </w:tc>
        <w:tc>
          <w:tcPr>
            <w:tcW w:w="906" w:type="dxa"/>
          </w:tcPr>
          <w:p w:rsidR="009B20BD" w:rsidRPr="005B0796" w:rsidRDefault="009B20BD" w:rsidP="001923B9">
            <w:pPr>
              <w:pStyle w:val="TableText"/>
              <w:jc w:val="right"/>
              <w:rPr>
                <w:rFonts w:eastAsia="Times New Roman"/>
                <w:lang w:eastAsia="en-AU"/>
              </w:rPr>
            </w:pPr>
          </w:p>
        </w:tc>
        <w:tc>
          <w:tcPr>
            <w:tcW w:w="811" w:type="dxa"/>
          </w:tcPr>
          <w:p w:rsidR="009B20BD" w:rsidRPr="005B0796" w:rsidRDefault="009B20BD" w:rsidP="001923B9">
            <w:pPr>
              <w:pStyle w:val="TableText"/>
              <w:jc w:val="right"/>
              <w:rPr>
                <w:rFonts w:eastAsia="MS ??"/>
              </w:rPr>
            </w:pP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ind w:left="144"/>
            </w:pPr>
            <w:r w:rsidRPr="005B0796">
              <w:t>OFFR</w:t>
            </w:r>
          </w:p>
        </w:tc>
        <w:tc>
          <w:tcPr>
            <w:tcW w:w="810" w:type="dxa"/>
            <w:hideMark/>
          </w:tcPr>
          <w:p w:rsidR="009B20BD" w:rsidRPr="005B0796" w:rsidRDefault="009B20BD" w:rsidP="001923B9">
            <w:pPr>
              <w:pStyle w:val="TableText"/>
              <w:jc w:val="right"/>
            </w:pPr>
            <w:r w:rsidRPr="005B0796">
              <w:t>4063</w:t>
            </w:r>
          </w:p>
        </w:tc>
        <w:tc>
          <w:tcPr>
            <w:tcW w:w="720" w:type="dxa"/>
            <w:hideMark/>
          </w:tcPr>
          <w:p w:rsidR="009B20BD" w:rsidRPr="005B0796" w:rsidRDefault="009B20BD" w:rsidP="001923B9">
            <w:pPr>
              <w:pStyle w:val="TableText"/>
              <w:jc w:val="right"/>
            </w:pPr>
            <w:r w:rsidRPr="005B0796">
              <w:t>3939</w:t>
            </w:r>
          </w:p>
        </w:tc>
        <w:tc>
          <w:tcPr>
            <w:tcW w:w="902" w:type="dxa"/>
            <w:hideMark/>
          </w:tcPr>
          <w:p w:rsidR="009B20BD" w:rsidRPr="005B0796" w:rsidRDefault="009B20BD" w:rsidP="001923B9">
            <w:pPr>
              <w:pStyle w:val="TableText"/>
              <w:jc w:val="right"/>
            </w:pPr>
            <w:r w:rsidRPr="005B0796">
              <w:t>1259</w:t>
            </w:r>
          </w:p>
        </w:tc>
        <w:tc>
          <w:tcPr>
            <w:tcW w:w="811" w:type="dxa"/>
            <w:hideMark/>
          </w:tcPr>
          <w:p w:rsidR="009B20BD" w:rsidRPr="005B0796" w:rsidRDefault="009B20BD" w:rsidP="001923B9">
            <w:pPr>
              <w:pStyle w:val="TableText"/>
              <w:jc w:val="right"/>
            </w:pPr>
            <w:r w:rsidRPr="005B0796">
              <w:t>32.0</w:t>
            </w:r>
          </w:p>
        </w:tc>
        <w:tc>
          <w:tcPr>
            <w:tcW w:w="811" w:type="dxa"/>
            <w:hideMark/>
          </w:tcPr>
          <w:p w:rsidR="009B20BD" w:rsidRPr="005B0796" w:rsidRDefault="009B20BD" w:rsidP="001923B9">
            <w:pPr>
              <w:pStyle w:val="TableText"/>
              <w:jc w:val="right"/>
            </w:pPr>
            <w:r w:rsidRPr="005B0796">
              <w:t>13,444</w:t>
            </w:r>
          </w:p>
        </w:tc>
        <w:tc>
          <w:tcPr>
            <w:tcW w:w="716" w:type="dxa"/>
            <w:hideMark/>
          </w:tcPr>
          <w:p w:rsidR="009B20BD" w:rsidRPr="005B0796" w:rsidRDefault="009B20BD" w:rsidP="001923B9">
            <w:pPr>
              <w:pStyle w:val="TableText"/>
              <w:jc w:val="right"/>
            </w:pPr>
            <w:r w:rsidRPr="005B0796">
              <w:t>7847</w:t>
            </w:r>
          </w:p>
        </w:tc>
        <w:tc>
          <w:tcPr>
            <w:tcW w:w="906" w:type="dxa"/>
            <w:hideMark/>
          </w:tcPr>
          <w:p w:rsidR="009B20BD" w:rsidRPr="005B0796" w:rsidRDefault="009B20BD" w:rsidP="001923B9">
            <w:pPr>
              <w:pStyle w:val="TableText"/>
              <w:jc w:val="right"/>
              <w:rPr>
                <w:rFonts w:eastAsia="Times New Roman"/>
                <w:lang w:eastAsia="en-AU"/>
              </w:rPr>
            </w:pPr>
            <w:r w:rsidRPr="005B0796">
              <w:rPr>
                <w:rFonts w:eastAsia="Times New Roman"/>
                <w:lang w:eastAsia="en-AU"/>
              </w:rPr>
              <w:t>3538</w:t>
            </w:r>
          </w:p>
        </w:tc>
        <w:tc>
          <w:tcPr>
            <w:tcW w:w="811" w:type="dxa"/>
            <w:hideMark/>
          </w:tcPr>
          <w:p w:rsidR="009B20BD" w:rsidRPr="005B0796" w:rsidRDefault="009B20BD" w:rsidP="001923B9">
            <w:pPr>
              <w:pStyle w:val="TableText"/>
              <w:jc w:val="right"/>
              <w:rPr>
                <w:rFonts w:eastAsia="MS ??"/>
              </w:rPr>
            </w:pPr>
            <w:r w:rsidRPr="005B0796">
              <w:t>45.1</w:t>
            </w:r>
          </w:p>
        </w:tc>
      </w:tr>
      <w:tr w:rsidR="001923B9" w:rsidRPr="005B0796" w:rsidTr="00751C86">
        <w:tc>
          <w:tcPr>
            <w:tcW w:w="828" w:type="dxa"/>
            <w:hideMark/>
          </w:tcPr>
          <w:p w:rsidR="009B20BD" w:rsidRPr="005B0796" w:rsidRDefault="009B20BD" w:rsidP="001923B9">
            <w:pPr>
              <w:pStyle w:val="TableText"/>
              <w:ind w:left="144"/>
            </w:pPr>
            <w:r w:rsidRPr="005B0796">
              <w:t>NCO</w:t>
            </w:r>
          </w:p>
        </w:tc>
        <w:tc>
          <w:tcPr>
            <w:tcW w:w="810" w:type="dxa"/>
            <w:hideMark/>
          </w:tcPr>
          <w:p w:rsidR="009B20BD" w:rsidRPr="005B0796" w:rsidRDefault="009B20BD" w:rsidP="001923B9">
            <w:pPr>
              <w:pStyle w:val="TableText"/>
              <w:jc w:val="right"/>
            </w:pPr>
            <w:r w:rsidRPr="005B0796">
              <w:t>7866</w:t>
            </w:r>
          </w:p>
        </w:tc>
        <w:tc>
          <w:tcPr>
            <w:tcW w:w="720" w:type="dxa"/>
            <w:hideMark/>
          </w:tcPr>
          <w:p w:rsidR="009B20BD" w:rsidRPr="005B0796" w:rsidRDefault="009B20BD" w:rsidP="001923B9">
            <w:pPr>
              <w:pStyle w:val="TableText"/>
              <w:jc w:val="right"/>
            </w:pPr>
            <w:r w:rsidRPr="005B0796">
              <w:t>7393</w:t>
            </w:r>
          </w:p>
        </w:tc>
        <w:tc>
          <w:tcPr>
            <w:tcW w:w="902" w:type="dxa"/>
            <w:hideMark/>
          </w:tcPr>
          <w:p w:rsidR="009B20BD" w:rsidRPr="005B0796" w:rsidRDefault="009B20BD" w:rsidP="001923B9">
            <w:pPr>
              <w:pStyle w:val="TableText"/>
              <w:jc w:val="right"/>
            </w:pPr>
            <w:r w:rsidRPr="005B0796">
              <w:t>2097</w:t>
            </w:r>
          </w:p>
        </w:tc>
        <w:tc>
          <w:tcPr>
            <w:tcW w:w="811" w:type="dxa"/>
            <w:hideMark/>
          </w:tcPr>
          <w:p w:rsidR="009B20BD" w:rsidRPr="005B0796" w:rsidRDefault="009B20BD" w:rsidP="001923B9">
            <w:pPr>
              <w:pStyle w:val="TableText"/>
              <w:jc w:val="right"/>
            </w:pPr>
            <w:r w:rsidRPr="005B0796">
              <w:t>28.4</w:t>
            </w:r>
          </w:p>
        </w:tc>
        <w:tc>
          <w:tcPr>
            <w:tcW w:w="811" w:type="dxa"/>
            <w:hideMark/>
          </w:tcPr>
          <w:p w:rsidR="009B20BD" w:rsidRPr="005B0796" w:rsidRDefault="009B20BD" w:rsidP="001923B9">
            <w:pPr>
              <w:pStyle w:val="TableText"/>
              <w:jc w:val="right"/>
            </w:pPr>
            <w:r w:rsidRPr="005B0796">
              <w:t>17,491</w:t>
            </w:r>
          </w:p>
        </w:tc>
        <w:tc>
          <w:tcPr>
            <w:tcW w:w="716" w:type="dxa"/>
            <w:hideMark/>
          </w:tcPr>
          <w:p w:rsidR="009B20BD" w:rsidRPr="005B0796" w:rsidRDefault="009B20BD" w:rsidP="001923B9">
            <w:pPr>
              <w:pStyle w:val="TableText"/>
              <w:jc w:val="right"/>
            </w:pPr>
            <w:r w:rsidRPr="005B0796">
              <w:t>9117</w:t>
            </w:r>
          </w:p>
        </w:tc>
        <w:tc>
          <w:tcPr>
            <w:tcW w:w="906" w:type="dxa"/>
            <w:hideMark/>
          </w:tcPr>
          <w:p w:rsidR="009B20BD" w:rsidRPr="005B0796" w:rsidRDefault="009B20BD" w:rsidP="001923B9">
            <w:pPr>
              <w:pStyle w:val="TableText"/>
              <w:jc w:val="right"/>
              <w:rPr>
                <w:rFonts w:eastAsia="Times New Roman"/>
                <w:lang w:eastAsia="en-AU"/>
              </w:rPr>
            </w:pPr>
            <w:r w:rsidRPr="005B0796">
              <w:rPr>
                <w:rFonts w:eastAsia="Times New Roman"/>
                <w:lang w:eastAsia="en-AU"/>
              </w:rPr>
              <w:t>4336</w:t>
            </w:r>
          </w:p>
        </w:tc>
        <w:tc>
          <w:tcPr>
            <w:tcW w:w="811" w:type="dxa"/>
            <w:hideMark/>
          </w:tcPr>
          <w:p w:rsidR="009B20BD" w:rsidRPr="005B0796" w:rsidRDefault="009B20BD" w:rsidP="001923B9">
            <w:pPr>
              <w:pStyle w:val="TableText"/>
              <w:jc w:val="right"/>
              <w:rPr>
                <w:rFonts w:eastAsia="MS ??"/>
              </w:rPr>
            </w:pPr>
            <w:r w:rsidRPr="005B0796">
              <w:t>47.6</w:t>
            </w: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ind w:left="144"/>
            </w:pPr>
            <w:r w:rsidRPr="005B0796">
              <w:t xml:space="preserve">Other </w:t>
            </w:r>
            <w:r w:rsidR="00751C86" w:rsidRPr="005B0796">
              <w:t>Ranks</w:t>
            </w:r>
          </w:p>
        </w:tc>
        <w:tc>
          <w:tcPr>
            <w:tcW w:w="810" w:type="dxa"/>
            <w:hideMark/>
          </w:tcPr>
          <w:p w:rsidR="009B20BD" w:rsidRPr="005B0796" w:rsidRDefault="009B20BD" w:rsidP="001923B9">
            <w:pPr>
              <w:pStyle w:val="TableText"/>
              <w:jc w:val="right"/>
            </w:pPr>
            <w:r w:rsidRPr="005B0796">
              <w:t>13,003</w:t>
            </w:r>
          </w:p>
        </w:tc>
        <w:tc>
          <w:tcPr>
            <w:tcW w:w="720" w:type="dxa"/>
            <w:hideMark/>
          </w:tcPr>
          <w:p w:rsidR="009B20BD" w:rsidRPr="005B0796" w:rsidRDefault="009B20BD" w:rsidP="001923B9">
            <w:pPr>
              <w:pStyle w:val="TableText"/>
              <w:jc w:val="right"/>
            </w:pPr>
            <w:r w:rsidRPr="005B0796">
              <w:t>12,642</w:t>
            </w:r>
          </w:p>
        </w:tc>
        <w:tc>
          <w:tcPr>
            <w:tcW w:w="902" w:type="dxa"/>
            <w:hideMark/>
          </w:tcPr>
          <w:p w:rsidR="009B20BD" w:rsidRPr="005B0796" w:rsidRDefault="009B20BD" w:rsidP="001923B9">
            <w:pPr>
              <w:pStyle w:val="TableText"/>
              <w:jc w:val="right"/>
            </w:pPr>
            <w:r w:rsidRPr="005B0796">
              <w:t>970</w:t>
            </w:r>
          </w:p>
        </w:tc>
        <w:tc>
          <w:tcPr>
            <w:tcW w:w="811" w:type="dxa"/>
            <w:hideMark/>
          </w:tcPr>
          <w:p w:rsidR="009B20BD" w:rsidRPr="005B0796" w:rsidRDefault="009B20BD" w:rsidP="001923B9">
            <w:pPr>
              <w:pStyle w:val="TableText"/>
              <w:jc w:val="right"/>
            </w:pPr>
            <w:r w:rsidRPr="005B0796">
              <w:t>7.7</w:t>
            </w:r>
          </w:p>
        </w:tc>
        <w:tc>
          <w:tcPr>
            <w:tcW w:w="811" w:type="dxa"/>
            <w:hideMark/>
          </w:tcPr>
          <w:p w:rsidR="009B20BD" w:rsidRPr="005B0796" w:rsidRDefault="009B20BD" w:rsidP="001923B9">
            <w:pPr>
              <w:pStyle w:val="TableText"/>
              <w:jc w:val="right"/>
            </w:pPr>
            <w:r w:rsidRPr="005B0796">
              <w:t>21,565</w:t>
            </w:r>
          </w:p>
        </w:tc>
        <w:tc>
          <w:tcPr>
            <w:tcW w:w="716" w:type="dxa"/>
            <w:hideMark/>
          </w:tcPr>
          <w:p w:rsidR="009B20BD" w:rsidRPr="005B0796" w:rsidRDefault="009B20BD" w:rsidP="001923B9">
            <w:pPr>
              <w:pStyle w:val="TableText"/>
              <w:jc w:val="right"/>
            </w:pPr>
            <w:r w:rsidRPr="005B0796">
              <w:t>3067</w:t>
            </w:r>
          </w:p>
        </w:tc>
        <w:tc>
          <w:tcPr>
            <w:tcW w:w="906" w:type="dxa"/>
            <w:hideMark/>
          </w:tcPr>
          <w:p w:rsidR="009B20BD" w:rsidRPr="005B0796" w:rsidRDefault="009B20BD" w:rsidP="001923B9">
            <w:pPr>
              <w:pStyle w:val="TableText"/>
              <w:jc w:val="right"/>
              <w:rPr>
                <w:rFonts w:eastAsia="Times New Roman"/>
                <w:lang w:eastAsia="en-AU"/>
              </w:rPr>
            </w:pPr>
            <w:r w:rsidRPr="005B0796">
              <w:rPr>
                <w:rFonts w:eastAsia="Times New Roman"/>
                <w:lang w:eastAsia="en-AU"/>
              </w:rPr>
              <w:t>606</w:t>
            </w:r>
          </w:p>
        </w:tc>
        <w:tc>
          <w:tcPr>
            <w:tcW w:w="811" w:type="dxa"/>
            <w:hideMark/>
          </w:tcPr>
          <w:p w:rsidR="009B20BD" w:rsidRPr="005B0796" w:rsidRDefault="009B20BD" w:rsidP="001923B9">
            <w:pPr>
              <w:pStyle w:val="TableText"/>
              <w:jc w:val="right"/>
              <w:rPr>
                <w:rFonts w:eastAsia="MS ??"/>
              </w:rPr>
            </w:pPr>
            <w:r w:rsidRPr="005B0796">
              <w:t>19.7</w:t>
            </w:r>
          </w:p>
        </w:tc>
      </w:tr>
      <w:tr w:rsidR="001923B9" w:rsidRPr="005B0796" w:rsidTr="00751C86">
        <w:tc>
          <w:tcPr>
            <w:tcW w:w="828" w:type="dxa"/>
            <w:hideMark/>
          </w:tcPr>
          <w:p w:rsidR="009B20BD" w:rsidRPr="005B0796" w:rsidRDefault="009B20BD" w:rsidP="001923B9">
            <w:pPr>
              <w:pStyle w:val="TableText"/>
              <w:rPr>
                <w:b/>
              </w:rPr>
            </w:pPr>
            <w:r w:rsidRPr="005B0796">
              <w:rPr>
                <w:b/>
              </w:rPr>
              <w:t>Medical fitness</w:t>
            </w:r>
          </w:p>
        </w:tc>
        <w:tc>
          <w:tcPr>
            <w:tcW w:w="810" w:type="dxa"/>
          </w:tcPr>
          <w:p w:rsidR="009B20BD" w:rsidRPr="005B0796" w:rsidRDefault="009B20BD" w:rsidP="001923B9">
            <w:pPr>
              <w:pStyle w:val="TableText"/>
              <w:jc w:val="right"/>
            </w:pPr>
          </w:p>
        </w:tc>
        <w:tc>
          <w:tcPr>
            <w:tcW w:w="720" w:type="dxa"/>
          </w:tcPr>
          <w:p w:rsidR="009B20BD" w:rsidRPr="005B0796" w:rsidRDefault="009B20BD" w:rsidP="001923B9">
            <w:pPr>
              <w:pStyle w:val="TableText"/>
              <w:jc w:val="right"/>
            </w:pPr>
          </w:p>
        </w:tc>
        <w:tc>
          <w:tcPr>
            <w:tcW w:w="902"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811" w:type="dxa"/>
          </w:tcPr>
          <w:p w:rsidR="009B20BD" w:rsidRPr="005B0796" w:rsidRDefault="009B20BD" w:rsidP="001923B9">
            <w:pPr>
              <w:pStyle w:val="TableText"/>
              <w:jc w:val="right"/>
            </w:pPr>
          </w:p>
        </w:tc>
        <w:tc>
          <w:tcPr>
            <w:tcW w:w="716" w:type="dxa"/>
          </w:tcPr>
          <w:p w:rsidR="009B20BD" w:rsidRPr="005B0796" w:rsidRDefault="009B20BD" w:rsidP="001923B9">
            <w:pPr>
              <w:pStyle w:val="TableText"/>
              <w:jc w:val="right"/>
            </w:pPr>
          </w:p>
        </w:tc>
        <w:tc>
          <w:tcPr>
            <w:tcW w:w="906" w:type="dxa"/>
          </w:tcPr>
          <w:p w:rsidR="009B20BD" w:rsidRPr="005B0796" w:rsidRDefault="009B20BD" w:rsidP="001923B9">
            <w:pPr>
              <w:pStyle w:val="TableText"/>
              <w:jc w:val="right"/>
              <w:rPr>
                <w:rFonts w:eastAsia="Times New Roman"/>
                <w:lang w:eastAsia="en-AU"/>
              </w:rPr>
            </w:pPr>
          </w:p>
        </w:tc>
        <w:tc>
          <w:tcPr>
            <w:tcW w:w="811" w:type="dxa"/>
          </w:tcPr>
          <w:p w:rsidR="009B20BD" w:rsidRPr="005B0796" w:rsidRDefault="009B20BD" w:rsidP="001923B9">
            <w:pPr>
              <w:pStyle w:val="TableText"/>
              <w:jc w:val="right"/>
              <w:rPr>
                <w:rFonts w:eastAsia="MS ??"/>
              </w:rPr>
            </w:pP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ind w:left="144"/>
            </w:pPr>
            <w:r w:rsidRPr="005B0796">
              <w:t>Fit</w:t>
            </w:r>
          </w:p>
        </w:tc>
        <w:tc>
          <w:tcPr>
            <w:tcW w:w="810" w:type="dxa"/>
            <w:hideMark/>
          </w:tcPr>
          <w:p w:rsidR="009B20BD" w:rsidRPr="005B0796" w:rsidRDefault="009B20BD" w:rsidP="001923B9">
            <w:pPr>
              <w:pStyle w:val="TableText"/>
              <w:jc w:val="right"/>
            </w:pPr>
            <w:r w:rsidRPr="005B0796">
              <w:t>18,273</w:t>
            </w:r>
          </w:p>
        </w:tc>
        <w:tc>
          <w:tcPr>
            <w:tcW w:w="720" w:type="dxa"/>
            <w:hideMark/>
          </w:tcPr>
          <w:p w:rsidR="009B20BD" w:rsidRPr="005B0796" w:rsidRDefault="009B20BD" w:rsidP="001923B9">
            <w:pPr>
              <w:pStyle w:val="TableText"/>
              <w:jc w:val="right"/>
            </w:pPr>
            <w:r w:rsidRPr="005B0796">
              <w:t>17,525</w:t>
            </w:r>
          </w:p>
        </w:tc>
        <w:tc>
          <w:tcPr>
            <w:tcW w:w="902" w:type="dxa"/>
            <w:hideMark/>
          </w:tcPr>
          <w:p w:rsidR="009B20BD" w:rsidRPr="005B0796" w:rsidRDefault="009B20BD" w:rsidP="001923B9">
            <w:pPr>
              <w:pStyle w:val="TableText"/>
              <w:jc w:val="right"/>
            </w:pPr>
            <w:r w:rsidRPr="005B0796">
              <w:t>2981</w:t>
            </w:r>
          </w:p>
        </w:tc>
        <w:tc>
          <w:tcPr>
            <w:tcW w:w="811" w:type="dxa"/>
            <w:hideMark/>
          </w:tcPr>
          <w:p w:rsidR="009B20BD" w:rsidRPr="005B0796" w:rsidRDefault="009B20BD" w:rsidP="001923B9">
            <w:pPr>
              <w:pStyle w:val="TableText"/>
              <w:jc w:val="right"/>
            </w:pPr>
            <w:r w:rsidRPr="005B0796">
              <w:t>17.0</w:t>
            </w:r>
          </w:p>
        </w:tc>
        <w:tc>
          <w:tcPr>
            <w:tcW w:w="811" w:type="dxa"/>
            <w:hideMark/>
          </w:tcPr>
          <w:p w:rsidR="009B20BD" w:rsidRPr="005B0796" w:rsidRDefault="009B20BD" w:rsidP="001923B9">
            <w:pPr>
              <w:pStyle w:val="TableText"/>
              <w:jc w:val="right"/>
            </w:pPr>
            <w:r w:rsidRPr="005B0796">
              <w:t>46,022</w:t>
            </w:r>
          </w:p>
        </w:tc>
        <w:tc>
          <w:tcPr>
            <w:tcW w:w="716" w:type="dxa"/>
            <w:hideMark/>
          </w:tcPr>
          <w:p w:rsidR="009B20BD" w:rsidRPr="005B0796" w:rsidRDefault="009B20BD" w:rsidP="001923B9">
            <w:pPr>
              <w:pStyle w:val="TableText"/>
              <w:jc w:val="right"/>
            </w:pPr>
            <w:r w:rsidRPr="005B0796">
              <w:t>17,097</w:t>
            </w:r>
          </w:p>
        </w:tc>
        <w:tc>
          <w:tcPr>
            <w:tcW w:w="906" w:type="dxa"/>
            <w:hideMark/>
          </w:tcPr>
          <w:p w:rsidR="009B20BD" w:rsidRPr="005B0796" w:rsidRDefault="009B20BD" w:rsidP="001923B9">
            <w:pPr>
              <w:pStyle w:val="TableText"/>
              <w:jc w:val="right"/>
              <w:rPr>
                <w:rFonts w:eastAsia="Times New Roman"/>
                <w:lang w:eastAsia="en-AU"/>
              </w:rPr>
            </w:pPr>
            <w:r w:rsidRPr="005B0796">
              <w:rPr>
                <w:rFonts w:eastAsia="Times New Roman"/>
                <w:lang w:eastAsia="en-AU"/>
              </w:rPr>
              <w:t>7116</w:t>
            </w:r>
          </w:p>
        </w:tc>
        <w:tc>
          <w:tcPr>
            <w:tcW w:w="811" w:type="dxa"/>
            <w:hideMark/>
          </w:tcPr>
          <w:p w:rsidR="009B20BD" w:rsidRPr="005B0796" w:rsidRDefault="009B20BD" w:rsidP="001923B9">
            <w:pPr>
              <w:pStyle w:val="TableText"/>
              <w:jc w:val="right"/>
              <w:rPr>
                <w:rFonts w:eastAsia="MS ??"/>
              </w:rPr>
            </w:pPr>
            <w:r w:rsidRPr="005B0796">
              <w:t>41.6</w:t>
            </w:r>
          </w:p>
        </w:tc>
      </w:tr>
      <w:tr w:rsidR="001923B9" w:rsidRPr="005B0796" w:rsidTr="00751C86">
        <w:tc>
          <w:tcPr>
            <w:tcW w:w="828" w:type="dxa"/>
            <w:hideMark/>
          </w:tcPr>
          <w:p w:rsidR="009B20BD" w:rsidRPr="005B0796" w:rsidRDefault="009B20BD" w:rsidP="001923B9">
            <w:pPr>
              <w:pStyle w:val="TableText"/>
              <w:ind w:left="144"/>
            </w:pPr>
            <w:r w:rsidRPr="005B0796">
              <w:t>Unfit</w:t>
            </w:r>
          </w:p>
        </w:tc>
        <w:tc>
          <w:tcPr>
            <w:tcW w:w="810" w:type="dxa"/>
            <w:hideMark/>
          </w:tcPr>
          <w:p w:rsidR="009B20BD" w:rsidRPr="005B0796" w:rsidRDefault="009B20BD" w:rsidP="001923B9">
            <w:pPr>
              <w:pStyle w:val="TableText"/>
              <w:jc w:val="right"/>
            </w:pPr>
            <w:r w:rsidRPr="005B0796">
              <w:t>6659</w:t>
            </w:r>
          </w:p>
        </w:tc>
        <w:tc>
          <w:tcPr>
            <w:tcW w:w="720" w:type="dxa"/>
            <w:hideMark/>
          </w:tcPr>
          <w:p w:rsidR="009B20BD" w:rsidRPr="005B0796" w:rsidRDefault="009B20BD" w:rsidP="001923B9">
            <w:pPr>
              <w:pStyle w:val="TableText"/>
              <w:jc w:val="right"/>
            </w:pPr>
            <w:r w:rsidRPr="005B0796">
              <w:t>6449</w:t>
            </w:r>
          </w:p>
        </w:tc>
        <w:tc>
          <w:tcPr>
            <w:tcW w:w="902" w:type="dxa"/>
            <w:hideMark/>
          </w:tcPr>
          <w:p w:rsidR="009B20BD" w:rsidRPr="005B0796" w:rsidRDefault="009B20BD" w:rsidP="001923B9">
            <w:pPr>
              <w:pStyle w:val="TableText"/>
              <w:jc w:val="right"/>
            </w:pPr>
            <w:r w:rsidRPr="005B0796">
              <w:t>1345</w:t>
            </w:r>
          </w:p>
        </w:tc>
        <w:tc>
          <w:tcPr>
            <w:tcW w:w="811" w:type="dxa"/>
            <w:hideMark/>
          </w:tcPr>
          <w:p w:rsidR="009B20BD" w:rsidRPr="005B0796" w:rsidRDefault="009B20BD" w:rsidP="001923B9">
            <w:pPr>
              <w:pStyle w:val="TableText"/>
              <w:jc w:val="right"/>
            </w:pPr>
            <w:r w:rsidRPr="005B0796">
              <w:t>20.9</w:t>
            </w:r>
          </w:p>
        </w:tc>
        <w:tc>
          <w:tcPr>
            <w:tcW w:w="811" w:type="dxa"/>
            <w:hideMark/>
          </w:tcPr>
          <w:p w:rsidR="009B20BD" w:rsidRPr="005B0796" w:rsidRDefault="009B20BD" w:rsidP="001923B9">
            <w:pPr>
              <w:pStyle w:val="TableText"/>
              <w:jc w:val="right"/>
            </w:pPr>
            <w:r w:rsidRPr="005B0796">
              <w:t>6478</w:t>
            </w:r>
          </w:p>
        </w:tc>
        <w:tc>
          <w:tcPr>
            <w:tcW w:w="716" w:type="dxa"/>
            <w:hideMark/>
          </w:tcPr>
          <w:p w:rsidR="009B20BD" w:rsidRPr="005B0796" w:rsidRDefault="009B20BD" w:rsidP="001923B9">
            <w:pPr>
              <w:pStyle w:val="TableText"/>
              <w:jc w:val="right"/>
            </w:pPr>
            <w:r w:rsidRPr="005B0796">
              <w:t>2934</w:t>
            </w:r>
          </w:p>
        </w:tc>
        <w:tc>
          <w:tcPr>
            <w:tcW w:w="906" w:type="dxa"/>
            <w:hideMark/>
          </w:tcPr>
          <w:p w:rsidR="009B20BD" w:rsidRPr="005B0796" w:rsidRDefault="009B20BD" w:rsidP="001923B9">
            <w:pPr>
              <w:pStyle w:val="TableText"/>
              <w:jc w:val="right"/>
            </w:pPr>
            <w:r w:rsidRPr="005B0796">
              <w:t>1364</w:t>
            </w:r>
          </w:p>
        </w:tc>
        <w:tc>
          <w:tcPr>
            <w:tcW w:w="811" w:type="dxa"/>
            <w:hideMark/>
          </w:tcPr>
          <w:p w:rsidR="009B20BD" w:rsidRPr="005B0796" w:rsidRDefault="009B20BD" w:rsidP="001923B9">
            <w:pPr>
              <w:pStyle w:val="TableText"/>
              <w:jc w:val="right"/>
            </w:pPr>
            <w:r w:rsidRPr="005B0796">
              <w:t>46.5</w:t>
            </w:r>
          </w:p>
        </w:tc>
      </w:tr>
      <w:tr w:rsidR="001923B9" w:rsidRPr="005B0796" w:rsidTr="00751C86">
        <w:trPr>
          <w:cnfStyle w:val="000000100000" w:firstRow="0" w:lastRow="0" w:firstColumn="0" w:lastColumn="0" w:oddVBand="0" w:evenVBand="0" w:oddHBand="1" w:evenHBand="0" w:firstRowFirstColumn="0" w:firstRowLastColumn="0" w:lastRowFirstColumn="0" w:lastRowLastColumn="0"/>
        </w:trPr>
        <w:tc>
          <w:tcPr>
            <w:tcW w:w="828" w:type="dxa"/>
            <w:hideMark/>
          </w:tcPr>
          <w:p w:rsidR="009B20BD" w:rsidRPr="005B0796" w:rsidRDefault="009B20BD" w:rsidP="001923B9">
            <w:pPr>
              <w:pStyle w:val="TableText"/>
              <w:rPr>
                <w:b/>
              </w:rPr>
            </w:pPr>
            <w:r w:rsidRPr="005B0796">
              <w:rPr>
                <w:b/>
              </w:rPr>
              <w:t>Total</w:t>
            </w:r>
          </w:p>
        </w:tc>
        <w:tc>
          <w:tcPr>
            <w:tcW w:w="810" w:type="dxa"/>
            <w:hideMark/>
          </w:tcPr>
          <w:p w:rsidR="009B20BD" w:rsidRPr="005B0796" w:rsidRDefault="009B20BD" w:rsidP="001923B9">
            <w:pPr>
              <w:pStyle w:val="TableText"/>
              <w:jc w:val="right"/>
            </w:pPr>
            <w:r w:rsidRPr="005B0796">
              <w:t>24,932</w:t>
            </w:r>
          </w:p>
        </w:tc>
        <w:tc>
          <w:tcPr>
            <w:tcW w:w="720" w:type="dxa"/>
            <w:hideMark/>
          </w:tcPr>
          <w:p w:rsidR="009B20BD" w:rsidRPr="005B0796" w:rsidRDefault="009B20BD" w:rsidP="001923B9">
            <w:pPr>
              <w:pStyle w:val="TableText"/>
              <w:jc w:val="right"/>
            </w:pPr>
            <w:r w:rsidRPr="005B0796">
              <w:t>23,974</w:t>
            </w:r>
            <w:r w:rsidRPr="005B0796">
              <w:rPr>
                <w:vertAlign w:val="superscript"/>
              </w:rPr>
              <w:t>a</w:t>
            </w:r>
          </w:p>
        </w:tc>
        <w:tc>
          <w:tcPr>
            <w:tcW w:w="902" w:type="dxa"/>
            <w:hideMark/>
          </w:tcPr>
          <w:p w:rsidR="009B20BD" w:rsidRPr="005B0796" w:rsidRDefault="009B20BD" w:rsidP="001923B9">
            <w:pPr>
              <w:pStyle w:val="TableText"/>
              <w:jc w:val="right"/>
            </w:pPr>
            <w:r w:rsidRPr="005B0796">
              <w:t>4326</w:t>
            </w:r>
          </w:p>
        </w:tc>
        <w:tc>
          <w:tcPr>
            <w:tcW w:w="811" w:type="dxa"/>
            <w:hideMark/>
          </w:tcPr>
          <w:p w:rsidR="009B20BD" w:rsidRPr="005B0796" w:rsidRDefault="009B20BD" w:rsidP="001923B9">
            <w:pPr>
              <w:pStyle w:val="TableText"/>
              <w:jc w:val="right"/>
            </w:pPr>
            <w:r w:rsidRPr="005B0796">
              <w:t>18.0</w:t>
            </w:r>
          </w:p>
        </w:tc>
        <w:tc>
          <w:tcPr>
            <w:tcW w:w="811" w:type="dxa"/>
            <w:hideMark/>
          </w:tcPr>
          <w:p w:rsidR="009B20BD" w:rsidRPr="005B0796" w:rsidRDefault="009B20BD" w:rsidP="001923B9">
            <w:pPr>
              <w:pStyle w:val="TableText"/>
              <w:jc w:val="right"/>
            </w:pPr>
            <w:r w:rsidRPr="005B0796">
              <w:t>52,500</w:t>
            </w:r>
          </w:p>
        </w:tc>
        <w:tc>
          <w:tcPr>
            <w:tcW w:w="716" w:type="dxa"/>
            <w:hideMark/>
          </w:tcPr>
          <w:p w:rsidR="009B20BD" w:rsidRPr="005B0796" w:rsidRDefault="009B20BD" w:rsidP="001923B9">
            <w:pPr>
              <w:pStyle w:val="TableText"/>
              <w:jc w:val="right"/>
            </w:pPr>
            <w:r w:rsidRPr="005B0796">
              <w:t>20,031</w:t>
            </w:r>
          </w:p>
        </w:tc>
        <w:tc>
          <w:tcPr>
            <w:tcW w:w="906" w:type="dxa"/>
            <w:hideMark/>
          </w:tcPr>
          <w:p w:rsidR="009B20BD" w:rsidRPr="005B0796" w:rsidRDefault="009B20BD" w:rsidP="001923B9">
            <w:pPr>
              <w:pStyle w:val="TableText"/>
              <w:jc w:val="right"/>
            </w:pPr>
            <w:r w:rsidRPr="005B0796">
              <w:t>8480</w:t>
            </w:r>
          </w:p>
        </w:tc>
        <w:tc>
          <w:tcPr>
            <w:tcW w:w="811" w:type="dxa"/>
            <w:hideMark/>
          </w:tcPr>
          <w:p w:rsidR="009B20BD" w:rsidRPr="005B0796" w:rsidRDefault="009B20BD" w:rsidP="001923B9">
            <w:pPr>
              <w:pStyle w:val="TableText"/>
              <w:jc w:val="right"/>
            </w:pPr>
            <w:r w:rsidRPr="005B0796">
              <w:t>42.3</w:t>
            </w:r>
          </w:p>
        </w:tc>
      </w:tr>
    </w:tbl>
    <w:p w:rsidR="001923B9" w:rsidRPr="005B0796" w:rsidRDefault="001923B9" w:rsidP="001923B9">
      <w:pPr>
        <w:pStyle w:val="TableNotes"/>
        <w:keepNext/>
        <w:rPr>
          <w:rFonts w:asciiTheme="minorHAnsi" w:hAnsiTheme="minorHAnsi"/>
          <w:bCs/>
        </w:rPr>
      </w:pPr>
      <w:r w:rsidRPr="005B0796">
        <w:t>Note</w:t>
      </w:r>
      <w:r w:rsidR="008C2520" w:rsidRPr="005B0796">
        <w:t>s</w:t>
      </w:r>
      <w:r w:rsidRPr="005B0796">
        <w:t>:</w:t>
      </w:r>
      <w:r w:rsidR="008C2520" w:rsidRPr="005B0796">
        <w:br/>
      </w:r>
      <w:r w:rsidRPr="005B0796">
        <w:t>Unweighted data</w:t>
      </w:r>
    </w:p>
    <w:p w:rsidR="001923B9" w:rsidRPr="005B0796" w:rsidRDefault="001923B9" w:rsidP="001923B9">
      <w:pPr>
        <w:pStyle w:val="TableNotes"/>
      </w:pPr>
      <w:r w:rsidRPr="005B0796">
        <w:t xml:space="preserve">95% CI: 95% </w:t>
      </w:r>
      <w:r w:rsidR="00564689" w:rsidRPr="005B0796">
        <w:t>confidence interval</w:t>
      </w:r>
    </w:p>
    <w:p w:rsidR="009B20BD" w:rsidRPr="005B0796" w:rsidRDefault="009B20BD" w:rsidP="00751C86">
      <w:pPr>
        <w:keepNext/>
      </w:pPr>
      <w:r w:rsidRPr="005B0796">
        <w:t>The characteristics of survey respondents were as follows:</w:t>
      </w:r>
    </w:p>
    <w:p w:rsidR="009B20BD" w:rsidRPr="005B0796" w:rsidRDefault="009B20BD" w:rsidP="001923B9">
      <w:r w:rsidRPr="005B0796">
        <w:rPr>
          <w:b/>
          <w:bCs/>
        </w:rPr>
        <w:t>Sex</w:t>
      </w:r>
      <w:r w:rsidRPr="005B0796">
        <w:t xml:space="preserve"> – Consistent with the Transitioned ADF population, the sample was predominantly male with transitioned females being significantly more likely to respond than transitioned males. In the 2015 Regular ADF population, females were less likely to respond than males.</w:t>
      </w:r>
    </w:p>
    <w:p w:rsidR="009B20BD" w:rsidRPr="005B0796" w:rsidRDefault="009B20BD" w:rsidP="001923B9">
      <w:r w:rsidRPr="005B0796">
        <w:rPr>
          <w:b/>
          <w:bCs/>
        </w:rPr>
        <w:t>Age</w:t>
      </w:r>
      <w:r w:rsidRPr="005B0796">
        <w:t xml:space="preserve"> – Transitioned ADF survey responders (mean age 41.9 (SE 0.18)) were similar in age to the 2015 Regular ADF responders (mean age 41.1 (SE 0.1).</w:t>
      </w:r>
    </w:p>
    <w:p w:rsidR="009B20BD" w:rsidRPr="005B0796" w:rsidRDefault="009B20BD" w:rsidP="001923B9">
      <w:r w:rsidRPr="005B0796">
        <w:rPr>
          <w:b/>
          <w:bCs/>
        </w:rPr>
        <w:t>Rank</w:t>
      </w:r>
      <w:r w:rsidRPr="005B0796">
        <w:t xml:space="preserve"> – Survey responders from the Transitioned ADF comprised 29.1% Officers, 48.5% Non</w:t>
      </w:r>
      <w:r w:rsidRPr="005B0796">
        <w:noBreakHyphen/>
        <w:t>Commissioned Officers and 22.4% Other Ranks. In the 2015 Regular ADF, there was a similar distribution with 41.7% Officers, 51.1% Non-Commissioned Officers and 7.2% Other Ranks. The Transitioned ADF population had significantly lower response rates for Officers and Non</w:t>
      </w:r>
      <w:r w:rsidRPr="005B0796">
        <w:noBreakHyphen/>
        <w:t xml:space="preserve">Commissioned Officers, but significantly higher response rates in the Other Ranks compared to the 2015 Regular ADF. In both groups, the lower ranks were the poorest responders. </w:t>
      </w:r>
    </w:p>
    <w:p w:rsidR="009B20BD" w:rsidRPr="005B0796" w:rsidRDefault="009B20BD" w:rsidP="001923B9">
      <w:r w:rsidRPr="005B0796">
        <w:rPr>
          <w:b/>
        </w:rPr>
        <w:t>Service</w:t>
      </w:r>
      <w:r w:rsidRPr="005B0796">
        <w:t xml:space="preserve"> – In the Transitioned ADF survey group, 19.9% of survey responders were Navy, 56.9% were Army and 23.1% were Air Force. However, for the Regular 2015 ADF, 34.7% of survey responders were Navy, 41.3% were Army and 24.1% were Air Force. When response rates in the different Services were compared, Transitioned Air Force members were most likely to respond, whereas Transitioned Army and Transitioned Navy members were least likely to respond. In the 2015 Regular ADF, Army had the highest response rate at 41.3%.</w:t>
      </w:r>
    </w:p>
    <w:p w:rsidR="009B20BD" w:rsidRPr="005B0796" w:rsidRDefault="009B20BD" w:rsidP="001923B9">
      <w:r w:rsidRPr="005B0796">
        <w:rPr>
          <w:b/>
          <w:bCs/>
        </w:rPr>
        <w:t xml:space="preserve">Medical fitness </w:t>
      </w:r>
      <w:r w:rsidRPr="005B0796">
        <w:rPr>
          <w:bCs/>
        </w:rPr>
        <w:t>–</w:t>
      </w:r>
      <w:r w:rsidRPr="005B0796">
        <w:rPr>
          <w:b/>
          <w:bCs/>
        </w:rPr>
        <w:t xml:space="preserve"> </w:t>
      </w:r>
      <w:r w:rsidRPr="005B0796">
        <w:t xml:space="preserve">Transitioned ADF who were medically unfit on transition from the 2015 Regular ADF were slightly over-represented in the responder group (31.1%) compared to the 2015 Regular ADF population (16.1%). Transitioned ADF who were medically unfit had a response rate of 21.0% compared to 46.5% in the 2015 Regular ADF population. </w:t>
      </w:r>
    </w:p>
    <w:p w:rsidR="00060BAD" w:rsidRPr="005B0796" w:rsidRDefault="00060BAD" w:rsidP="00060BAD">
      <w:pPr>
        <w:sectPr w:rsidR="00060BAD" w:rsidRPr="005B0796" w:rsidSect="006C652D">
          <w:type w:val="oddPage"/>
          <w:pgSz w:w="9979" w:h="14170" w:code="243"/>
          <w:pgMar w:top="1440" w:right="1152" w:bottom="1440" w:left="1728" w:header="576" w:footer="576" w:gutter="0"/>
          <w:cols w:space="708"/>
          <w:docGrid w:linePitch="360"/>
        </w:sectPr>
      </w:pPr>
      <w:bookmarkStart w:id="1501" w:name="_Toc486936097"/>
      <w:bookmarkStart w:id="1502" w:name="_Toc487014421"/>
    </w:p>
    <w:p w:rsidR="009B20BD" w:rsidRPr="005B0796" w:rsidRDefault="009B20BD" w:rsidP="001923B9">
      <w:pPr>
        <w:pStyle w:val="FigureName"/>
        <w:rPr>
          <w:sz w:val="24"/>
        </w:rPr>
      </w:pPr>
      <w:bookmarkStart w:id="1503" w:name="_Toc511900596"/>
      <w:r w:rsidRPr="005B0796">
        <w:t>Figure A.1</w:t>
      </w:r>
      <w:r w:rsidRPr="005B0796">
        <w:tab/>
        <w:t>Survey response rates for Transitioned ADF and 2015 Regular ADF</w:t>
      </w:r>
      <w:bookmarkEnd w:id="1501"/>
      <w:bookmarkEnd w:id="1502"/>
      <w:bookmarkEnd w:id="1503"/>
    </w:p>
    <w:tbl>
      <w:tblPr>
        <w:tblStyle w:val="TableGrid"/>
        <w:tblW w:w="5000" w:type="pct"/>
        <w:tblLayout w:type="fixed"/>
        <w:tblCellMar>
          <w:left w:w="115" w:type="dxa"/>
          <w:right w:w="115" w:type="dxa"/>
        </w:tblCellMar>
        <w:tblLook w:val="04A0" w:firstRow="1" w:lastRow="0" w:firstColumn="1" w:lastColumn="0" w:noHBand="0" w:noVBand="1"/>
      </w:tblPr>
      <w:tblGrid>
        <w:gridCol w:w="2005"/>
        <w:gridCol w:w="1530"/>
        <w:gridCol w:w="1890"/>
        <w:gridCol w:w="1620"/>
        <w:gridCol w:w="1890"/>
        <w:gridCol w:w="2585"/>
      </w:tblGrid>
      <w:tr w:rsidR="00FE278F" w:rsidTr="00FE278F">
        <w:trPr>
          <w:cantSplit/>
        </w:trPr>
        <w:tc>
          <w:tcPr>
            <w:tcW w:w="11520" w:type="dxa"/>
            <w:gridSpan w:val="6"/>
            <w:tcBorders>
              <w:bottom w:val="nil"/>
            </w:tcBorders>
          </w:tcPr>
          <w:p w:rsidR="00FE278F" w:rsidRDefault="00FE278F" w:rsidP="009B20BD"/>
          <w:p w:rsidR="00FE278F" w:rsidRDefault="00DF223B" w:rsidP="00FE278F">
            <w:pPr>
              <w:jc w:val="right"/>
            </w:pPr>
            <w:r>
              <w:rPr>
                <w:noProof/>
                <w:lang w:eastAsia="en-AU"/>
              </w:rPr>
              <mc:AlternateContent>
                <mc:Choice Requires="wps">
                  <w:drawing>
                    <wp:anchor distT="0" distB="0" distL="114300" distR="114300" simplePos="0" relativeHeight="251663360" behindDoc="0" locked="0" layoutInCell="1" allowOverlap="1" wp14:anchorId="2F23A6BE" wp14:editId="05C08238">
                      <wp:simplePos x="0" y="0"/>
                      <wp:positionH relativeFrom="column">
                        <wp:posOffset>5584190</wp:posOffset>
                      </wp:positionH>
                      <wp:positionV relativeFrom="paragraph">
                        <wp:posOffset>1682750</wp:posOffset>
                      </wp:positionV>
                      <wp:extent cx="0" cy="1929384"/>
                      <wp:effectExtent l="0" t="0" r="19050" b="13970"/>
                      <wp:wrapNone/>
                      <wp:docPr id="360" name="Straight Connector 360"/>
                      <wp:cNvGraphicFramePr/>
                      <a:graphic xmlns:a="http://schemas.openxmlformats.org/drawingml/2006/main">
                        <a:graphicData uri="http://schemas.microsoft.com/office/word/2010/wordprocessingShape">
                          <wps:wsp>
                            <wps:cNvCnPr/>
                            <wps:spPr>
                              <a:xfrm>
                                <a:off x="0" y="0"/>
                                <a:ext cx="0" cy="1929384"/>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E8A7FA" id="Straight Connector 360"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7pt,132.5pt" to="439.7pt,2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" strokeweight="1.5pt"/>
                  </w:pict>
                </mc:Fallback>
              </mc:AlternateContent>
            </w:r>
            <w:r>
              <w:rPr>
                <w:noProof/>
                <w:lang w:eastAsia="en-AU"/>
              </w:rPr>
              <mc:AlternateContent>
                <mc:Choice Requires="wps">
                  <w:drawing>
                    <wp:anchor distT="0" distB="0" distL="114300" distR="114300" simplePos="0" relativeHeight="251661312" behindDoc="0" locked="0" layoutInCell="1" allowOverlap="1" wp14:anchorId="455064DA" wp14:editId="3839D61D">
                      <wp:simplePos x="0" y="0"/>
                      <wp:positionH relativeFrom="column">
                        <wp:posOffset>3371850</wp:posOffset>
                      </wp:positionH>
                      <wp:positionV relativeFrom="paragraph">
                        <wp:posOffset>1682750</wp:posOffset>
                      </wp:positionV>
                      <wp:extent cx="0" cy="1929384"/>
                      <wp:effectExtent l="0" t="0" r="19050" b="13970"/>
                      <wp:wrapNone/>
                      <wp:docPr id="359" name="Straight Connector 359"/>
                      <wp:cNvGraphicFramePr/>
                      <a:graphic xmlns:a="http://schemas.openxmlformats.org/drawingml/2006/main">
                        <a:graphicData uri="http://schemas.microsoft.com/office/word/2010/wordprocessingShape">
                          <wps:wsp>
                            <wps:cNvCnPr/>
                            <wps:spPr>
                              <a:xfrm>
                                <a:off x="0" y="0"/>
                                <a:ext cx="0" cy="1929384"/>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1AE379" id="Straight Connector 35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5pt,132.5pt" to="265.5pt,2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" strokeweight="1.5pt"/>
                  </w:pict>
                </mc:Fallback>
              </mc:AlternateContent>
            </w:r>
            <w:r w:rsidR="005926ED">
              <w:rPr>
                <w:noProof/>
                <w:lang w:eastAsia="en-AU"/>
              </w:rPr>
              <mc:AlternateContent>
                <mc:Choice Requires="wps">
                  <w:drawing>
                    <wp:anchor distT="0" distB="0" distL="114300" distR="114300" simplePos="0" relativeHeight="251659264" behindDoc="0" locked="0" layoutInCell="1" allowOverlap="1" wp14:anchorId="1DD7E4FD" wp14:editId="7E787833">
                      <wp:simplePos x="0" y="0"/>
                      <wp:positionH relativeFrom="column">
                        <wp:posOffset>1200150</wp:posOffset>
                      </wp:positionH>
                      <wp:positionV relativeFrom="paragraph">
                        <wp:posOffset>1682750</wp:posOffset>
                      </wp:positionV>
                      <wp:extent cx="0" cy="1929384"/>
                      <wp:effectExtent l="0" t="0" r="19050" b="13970"/>
                      <wp:wrapNone/>
                      <wp:docPr id="358" name="Straight Connector 358"/>
                      <wp:cNvGraphicFramePr/>
                      <a:graphic xmlns:a="http://schemas.openxmlformats.org/drawingml/2006/main">
                        <a:graphicData uri="http://schemas.microsoft.com/office/word/2010/wordprocessingShape">
                          <wps:wsp>
                            <wps:cNvCnPr/>
                            <wps:spPr>
                              <a:xfrm>
                                <a:off x="0" y="0"/>
                                <a:ext cx="0" cy="1929384"/>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543A19" id="Straight Connector 358"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5pt,132.5pt" to="94.5pt,2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" strokeweight="1.5pt"/>
                  </w:pict>
                </mc:Fallback>
              </mc:AlternateContent>
            </w:r>
            <w:r w:rsidR="00FE278F" w:rsidRPr="005B0796">
              <w:rPr>
                <w:noProof/>
                <w:lang w:eastAsia="en-AU"/>
              </w:rPr>
              <mc:AlternateContent>
                <mc:Choice Requires="wpg">
                  <w:drawing>
                    <wp:inline distT="0" distB="0" distL="0" distR="0" wp14:anchorId="6EA848DE" wp14:editId="49004EBB">
                      <wp:extent cx="6400800" cy="1695450"/>
                      <wp:effectExtent l="0" t="0" r="19050" b="19050"/>
                      <wp:docPr id="33" name="Group 33"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6400800" cy="1695450"/>
                                <a:chOff x="0" y="0"/>
                                <a:chExt cx="8684895" cy="1695450"/>
                              </a:xfrm>
                            </wpg:grpSpPr>
                            <wps:wsp>
                              <wps:cNvPr id="313"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rsidR="00A1139F" w:rsidRPr="00FE278F" w:rsidRDefault="00A1139F" w:rsidP="00FE278F">
                                    <w:pPr>
                                      <w:pStyle w:val="FigureTextwhite"/>
                                      <w:rPr>
                                        <w:sz w:val="15"/>
                                        <w:szCs w:val="15"/>
                                      </w:rPr>
                                    </w:pPr>
                                    <w:r w:rsidRPr="00FE278F">
                                      <w:rPr>
                                        <w:sz w:val="15"/>
                                        <w:szCs w:val="15"/>
                                      </w:rPr>
                                      <w:t xml:space="preserve">Total ADF cohort </w:t>
                                    </w:r>
                                    <w:r w:rsidRPr="00FE278F">
                                      <w:rPr>
                                        <w:sz w:val="15"/>
                                        <w:szCs w:val="15"/>
                                      </w:rPr>
                                      <w:br/>
                                      <w:t>n = 77,432</w:t>
                                    </w:r>
                                  </w:p>
                                </w:txbxContent>
                              </wps:txbx>
                              <wps:bodyPr rot="0" vert="horz" wrap="square" lIns="91440" tIns="45720" rIns="91440" bIns="45720" anchor="t" anchorCtr="0">
                                <a:noAutofit/>
                              </wps:bodyPr>
                            </wps:wsp>
                            <wps:wsp>
                              <wps:cNvPr id="109" name="Text Box 109"/>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rsidR="00A1139F" w:rsidRPr="00FE278F" w:rsidRDefault="00A1139F" w:rsidP="00FE278F">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31,119 (70.9%)</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rsidR="00A1139F" w:rsidRPr="00FE278F" w:rsidRDefault="00A1139F" w:rsidP="00FE278F">
                                    <w:pPr>
                                      <w:pStyle w:val="FigureText"/>
                                      <w:rPr>
                                        <w:b w:val="0"/>
                                        <w:sz w:val="15"/>
                                        <w:szCs w:val="15"/>
                                      </w:rPr>
                                    </w:pPr>
                                    <w:r w:rsidRPr="00FE278F">
                                      <w:rPr>
                                        <w:sz w:val="15"/>
                                        <w:szCs w:val="15"/>
                                      </w:rPr>
                                      <w:t>Invited</w:t>
                                    </w:r>
                                    <w:r w:rsidRPr="00FE278F">
                                      <w:rPr>
                                        <w:sz w:val="15"/>
                                        <w:szCs w:val="15"/>
                                      </w:rPr>
                                      <w:br/>
                                    </w:r>
                                    <w:r w:rsidRPr="00FE278F">
                                      <w:rPr>
                                        <w:b w:val="0"/>
                                        <w:sz w:val="15"/>
                                        <w:szCs w:val="15"/>
                                      </w:rPr>
                                      <w:t>n = 44,005 (56.8%)</w:t>
                                    </w:r>
                                  </w:p>
                                </w:txbxContent>
                              </wps:txbx>
                              <wps:bodyPr rot="0" vert="horz" wrap="square" lIns="91440" tIns="45720" rIns="91440" bIns="45720" anchor="t" anchorCtr="0">
                                <a:noAutofit/>
                              </wps:bodyPr>
                            </wps:wsp>
                            <wps:wsp>
                              <wps:cNvPr id="114"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rsidR="00A1139F" w:rsidRPr="00FE278F" w:rsidRDefault="00A1139F" w:rsidP="00FE278F">
                                    <w:pPr>
                                      <w:pStyle w:val="FigureText"/>
                                      <w:rPr>
                                        <w:b w:val="0"/>
                                        <w:sz w:val="15"/>
                                        <w:szCs w:val="15"/>
                                      </w:rPr>
                                    </w:pPr>
                                    <w:r w:rsidRPr="00FE278F">
                                      <w:rPr>
                                        <w:sz w:val="15"/>
                                        <w:szCs w:val="15"/>
                                      </w:rPr>
                                      <w:t>Responder</w:t>
                                    </w:r>
                                    <w:r w:rsidRPr="00FE278F">
                                      <w:rPr>
                                        <w:sz w:val="15"/>
                                        <w:szCs w:val="15"/>
                                      </w:rPr>
                                      <w:br/>
                                    </w:r>
                                    <w:r w:rsidRPr="00FE278F">
                                      <w:rPr>
                                        <w:b w:val="0"/>
                                        <w:sz w:val="15"/>
                                        <w:szCs w:val="15"/>
                                      </w:rPr>
                                      <w:t>n = 12,806 (29.1%)</w:t>
                                    </w:r>
                                  </w:p>
                                </w:txbxContent>
                              </wps:txbx>
                              <wps:bodyPr rot="0" vert="horz" wrap="square" lIns="91440" tIns="45720" rIns="91440" bIns="45720" anchor="t" anchorCtr="0">
                                <a:noAutofit/>
                              </wps:bodyPr>
                            </wps:wsp>
                            <wps:wsp>
                              <wps:cNvPr id="115"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rsidR="00A1139F" w:rsidRPr="00FE278F" w:rsidRDefault="00A1139F" w:rsidP="00FE278F">
                                    <w:pPr>
                                      <w:pStyle w:val="FigureTextwhite"/>
                                      <w:rPr>
                                        <w:b w:val="0"/>
                                        <w:sz w:val="15"/>
                                        <w:szCs w:val="15"/>
                                      </w:rPr>
                                    </w:pPr>
                                    <w:r w:rsidRPr="00FE278F">
                                      <w:rPr>
                                        <w:sz w:val="15"/>
                                        <w:szCs w:val="15"/>
                                      </w:rPr>
                                      <w:t>Transitioned ADF</w:t>
                                    </w:r>
                                    <w:r w:rsidRPr="00FE278F">
                                      <w:rPr>
                                        <w:sz w:val="15"/>
                                        <w:szCs w:val="15"/>
                                      </w:rPr>
                                      <w:br/>
                                    </w:r>
                                    <w:r w:rsidRPr="00FE278F">
                                      <w:rPr>
                                        <w:b w:val="0"/>
                                        <w:sz w:val="15"/>
                                        <w:szCs w:val="15"/>
                                      </w:rPr>
                                      <w:t>n = 24,932</w:t>
                                    </w:r>
                                  </w:p>
                                </w:txbxContent>
                              </wps:txbx>
                              <wps:bodyPr rot="0" vert="horz" wrap="square" lIns="91440" tIns="45720" rIns="91440" bIns="45720" anchor="t" anchorCtr="0">
                                <a:noAutofit/>
                              </wps:bodyPr>
                            </wps:wsp>
                            <wps:wsp>
                              <wps:cNvPr id="116" name="Text Box 116"/>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rsidR="00A1139F" w:rsidRPr="00FE278F" w:rsidRDefault="00A1139F" w:rsidP="00FE278F">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19,648 (82.0%)</w:t>
                                    </w:r>
                                  </w:p>
                                </w:txbxContent>
                              </wps:txbx>
                              <wps:bodyPr rot="0" vert="horz" wrap="square" lIns="91440" tIns="45720" rIns="91440" bIns="45720" anchor="t" anchorCtr="0">
                                <a:noAutofit/>
                              </wps:bodyPr>
                            </wps:wsp>
                            <wps:wsp>
                              <wps:cNvPr id="117"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rsidR="00A1139F" w:rsidRPr="00FE278F" w:rsidRDefault="00A1139F" w:rsidP="00FE278F">
                                    <w:pPr>
                                      <w:pStyle w:val="FigureText"/>
                                      <w:rPr>
                                        <w:b w:val="0"/>
                                        <w:sz w:val="15"/>
                                        <w:szCs w:val="15"/>
                                      </w:rPr>
                                    </w:pPr>
                                    <w:r w:rsidRPr="00FE278F">
                                      <w:rPr>
                                        <w:sz w:val="15"/>
                                        <w:szCs w:val="15"/>
                                      </w:rPr>
                                      <w:t>Invited</w:t>
                                    </w:r>
                                    <w:r w:rsidRPr="00FE278F">
                                      <w:rPr>
                                        <w:sz w:val="15"/>
                                        <w:szCs w:val="15"/>
                                      </w:rPr>
                                      <w:br/>
                                    </w:r>
                                    <w:r w:rsidRPr="00FE278F">
                                      <w:rPr>
                                        <w:b w:val="0"/>
                                        <w:sz w:val="15"/>
                                        <w:szCs w:val="15"/>
                                      </w:rPr>
                                      <w:t>n = 23,974 (96.2%)</w:t>
                                    </w:r>
                                  </w:p>
                                  <w:p w:rsidR="00A1139F" w:rsidRPr="00FE278F" w:rsidRDefault="00A1139F" w:rsidP="00FE278F">
                                    <w:pPr>
                                      <w:jc w:val="center"/>
                                      <w:rPr>
                                        <w:b/>
                                        <w:sz w:val="15"/>
                                        <w:szCs w:val="15"/>
                                      </w:rPr>
                                    </w:pPr>
                                  </w:p>
                                </w:txbxContent>
                              </wps:txbx>
                              <wps:bodyPr rot="0" vert="horz" wrap="square" lIns="91440" tIns="45720" rIns="91440" bIns="45720" anchor="t" anchorCtr="0">
                                <a:noAutofit/>
                              </wps:bodyPr>
                            </wps:wsp>
                            <wps:wsp>
                              <wps:cNvPr id="118"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rsidR="00A1139F" w:rsidRPr="00FE278F" w:rsidRDefault="00A1139F" w:rsidP="00FE278F">
                                    <w:pPr>
                                      <w:pStyle w:val="FigureText"/>
                                      <w:rPr>
                                        <w:b w:val="0"/>
                                        <w:sz w:val="15"/>
                                        <w:szCs w:val="15"/>
                                      </w:rPr>
                                    </w:pPr>
                                    <w:r w:rsidRPr="00FE278F">
                                      <w:rPr>
                                        <w:sz w:val="15"/>
                                        <w:szCs w:val="15"/>
                                      </w:rPr>
                                      <w:t>Responder</w:t>
                                    </w:r>
                                    <w:r w:rsidRPr="00FE278F">
                                      <w:rPr>
                                        <w:sz w:val="15"/>
                                        <w:szCs w:val="15"/>
                                      </w:rPr>
                                      <w:br/>
                                    </w:r>
                                    <w:r w:rsidRPr="00FE278F">
                                      <w:rPr>
                                        <w:b w:val="0"/>
                                        <w:sz w:val="15"/>
                                        <w:szCs w:val="15"/>
                                      </w:rPr>
                                      <w:t>n = 4326 (18.0%)</w:t>
                                    </w:r>
                                  </w:p>
                                </w:txbxContent>
                              </wps:txbx>
                              <wps:bodyPr rot="0" vert="horz" wrap="square" lIns="91440" tIns="45720" rIns="91440" bIns="45720" anchor="t" anchorCtr="0">
                                <a:noAutofit/>
                              </wps:bodyPr>
                            </wps:wsp>
                            <wps:wsp>
                              <wps:cNvPr id="119"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rsidR="00A1139F" w:rsidRPr="00FE278F" w:rsidRDefault="00A1139F" w:rsidP="00FE278F">
                                    <w:pPr>
                                      <w:pStyle w:val="FigureTextwhite"/>
                                      <w:rPr>
                                        <w:b w:val="0"/>
                                        <w:sz w:val="15"/>
                                        <w:szCs w:val="15"/>
                                      </w:rPr>
                                    </w:pPr>
                                    <w:r w:rsidRPr="00FE278F">
                                      <w:rPr>
                                        <w:sz w:val="15"/>
                                        <w:szCs w:val="15"/>
                                      </w:rPr>
                                      <w:t>2015 Regular ADF</w:t>
                                    </w:r>
                                    <w:r w:rsidRPr="00FE278F">
                                      <w:rPr>
                                        <w:sz w:val="15"/>
                                        <w:szCs w:val="15"/>
                                      </w:rPr>
                                      <w:br/>
                                    </w:r>
                                    <w:r w:rsidRPr="00FE278F">
                                      <w:rPr>
                                        <w:b w:val="0"/>
                                        <w:sz w:val="15"/>
                                        <w:szCs w:val="15"/>
                                      </w:rPr>
                                      <w:t>n = 52,500</w:t>
                                    </w:r>
                                  </w:p>
                                </w:txbxContent>
                              </wps:txbx>
                              <wps:bodyPr rot="0" vert="horz" wrap="square" lIns="91440" tIns="45720" rIns="91440" bIns="45720" anchor="t" anchorCtr="0">
                                <a:noAutofit/>
                              </wps:bodyPr>
                            </wps:wsp>
                            <wps:wsp>
                              <wps:cNvPr id="120" name="Text Box 120"/>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rsidR="00A1139F" w:rsidRPr="00FE278F" w:rsidRDefault="00A1139F" w:rsidP="00FE278F">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11,551 (57.7%)</w:t>
                                    </w:r>
                                  </w:p>
                                </w:txbxContent>
                              </wps:txbx>
                              <wps:bodyPr rot="0" vert="horz" wrap="square" lIns="91440" tIns="45720" rIns="91440" bIns="45720" anchor="t" anchorCtr="0">
                                <a:noAutofit/>
                              </wps:bodyPr>
                            </wps:wsp>
                            <wps:wsp>
                              <wps:cNvPr id="121"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rsidR="00A1139F" w:rsidRPr="00FE278F" w:rsidRDefault="00A1139F" w:rsidP="00FE278F">
                                    <w:pPr>
                                      <w:pStyle w:val="FigureText"/>
                                      <w:rPr>
                                        <w:b w:val="0"/>
                                        <w:sz w:val="15"/>
                                        <w:szCs w:val="15"/>
                                      </w:rPr>
                                    </w:pPr>
                                    <w:r w:rsidRPr="00FE278F">
                                      <w:rPr>
                                        <w:sz w:val="15"/>
                                        <w:szCs w:val="15"/>
                                      </w:rPr>
                                      <w:t>Invited</w:t>
                                    </w:r>
                                    <w:r w:rsidRPr="00FE278F">
                                      <w:rPr>
                                        <w:sz w:val="15"/>
                                        <w:szCs w:val="15"/>
                                      </w:rPr>
                                      <w:br/>
                                    </w:r>
                                    <w:r w:rsidRPr="00FE278F">
                                      <w:rPr>
                                        <w:b w:val="0"/>
                                        <w:sz w:val="15"/>
                                        <w:szCs w:val="15"/>
                                      </w:rPr>
                                      <w:t>n = 20,031 (38.2%)</w:t>
                                    </w:r>
                                  </w:p>
                                </w:txbxContent>
                              </wps:txbx>
                              <wps:bodyPr rot="0" vert="horz" wrap="square" lIns="91440" tIns="45720" rIns="91440" bIns="45720" anchor="t" anchorCtr="0">
                                <a:noAutofit/>
                              </wps:bodyPr>
                            </wps:wsp>
                            <wps:wsp>
                              <wps:cNvPr id="122" name="Text Box 2"/>
                              <wps:cNvSpPr txBox="1">
                                <a:spLocks noChangeArrowheads="1"/>
                              </wps:cNvSpPr>
                              <wps:spPr bwMode="auto">
                                <a:xfrm>
                                  <a:off x="5934075" y="1285875"/>
                                  <a:ext cx="1188719" cy="409575"/>
                                </a:xfrm>
                                <a:prstGeom prst="rect">
                                  <a:avLst/>
                                </a:prstGeom>
                                <a:solidFill>
                                  <a:srgbClr val="FFFFFF"/>
                                </a:solidFill>
                                <a:ln w="12700">
                                  <a:solidFill>
                                    <a:srgbClr val="000000"/>
                                  </a:solidFill>
                                  <a:miter lim="800000"/>
                                  <a:headEnd/>
                                  <a:tailEnd/>
                                </a:ln>
                              </wps:spPr>
                              <wps:txbx>
                                <w:txbxContent>
                                  <w:p w:rsidR="00A1139F" w:rsidRPr="00FE278F" w:rsidRDefault="00A1139F" w:rsidP="00FE278F">
                                    <w:pPr>
                                      <w:pStyle w:val="FigureText"/>
                                      <w:rPr>
                                        <w:b w:val="0"/>
                                        <w:sz w:val="15"/>
                                        <w:szCs w:val="15"/>
                                      </w:rPr>
                                    </w:pPr>
                                    <w:r w:rsidRPr="00FE278F">
                                      <w:rPr>
                                        <w:sz w:val="15"/>
                                        <w:szCs w:val="15"/>
                                      </w:rPr>
                                      <w:t>Responder</w:t>
                                    </w:r>
                                    <w:r w:rsidRPr="00FE278F">
                                      <w:rPr>
                                        <w:sz w:val="15"/>
                                        <w:szCs w:val="15"/>
                                      </w:rPr>
                                      <w:br/>
                                    </w:r>
                                    <w:r w:rsidRPr="00FE278F">
                                      <w:rPr>
                                        <w:b w:val="0"/>
                                        <w:sz w:val="15"/>
                                        <w:szCs w:val="15"/>
                                      </w:rPr>
                                      <w:t>n = 8480 (42.3%)</w:t>
                                    </w:r>
                                  </w:p>
                                </w:txbxContent>
                              </wps:txbx>
                              <wps:bodyPr rot="0" vert="horz" wrap="square" lIns="91440" tIns="45720" rIns="91440" bIns="45720" anchor="t" anchorCtr="0">
                                <a:noAutofit/>
                              </wps:bodyPr>
                            </wps:wsp>
                            <wps:wsp>
                              <wps:cNvPr id="123" name="Straight Connector 123"/>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4" name="Straight Connector 124"/>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125" name="Straight Connector 125"/>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126" name="Straight Connector 126"/>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127" name="Straight Arrow Connector 127"/>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52" name="Straight Arrow Connector 352"/>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354" name="Straight Arrow Connector 354"/>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356" name="Straight Connector 356"/>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EA848DE" id="Group 33" o:spid="_x0000_s1048" alt="Figure 2.1 Survey response rates for the Transitioned ADF and the 2015 Regular ADF" style="width:7in;height:133.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">
                      <v:shape id="_x0000_s1049"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K+8YA&#10;AADcAAAADwAAAGRycy9kb3ducmV2LnhtbESPQUvDQBSE7wX/w/IEb80mlmqJ3RYtiJ5aEoXS2yP7&#10;zEazb8Puto3/vlsQPA4z8w2zXI+2FyfyoXOsoMhyEMSN0x23Cj4/XqcLECEia+wdk4JfCrBe3UyW&#10;WGp35opOdWxFgnAoUYGJcSilDI0hiyFzA3Hyvpy3GJP0rdQezwlue3mf5w/SYsdpweBAG0PNT320&#10;Ct4O8rsyVXHcP853m3r74u1+7pW6ux2fn0BEGuN/+K/9rhXMihlcz6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OK+8YAAADcAAAADwAAAAAAAAAAAAAAAACYAgAAZHJz&#10;L2Rvd25yZXYueG1sUEsFBgAAAAAEAAQA9QAAAIsDAAAAAA==&#10;" fillcolor="#002561 [3204]" strokeweight="1pt">
                        <v:textbox>
                          <w:txbxContent>
                            <w:p w:rsidR="00A1139F" w:rsidRPr="00FE278F" w:rsidRDefault="00A1139F" w:rsidP="00FE278F">
                              <w:pPr>
                                <w:pStyle w:val="FigureTextwhite"/>
                                <w:rPr>
                                  <w:sz w:val="15"/>
                                  <w:szCs w:val="15"/>
                                </w:rPr>
                              </w:pPr>
                              <w:r w:rsidRPr="00FE278F">
                                <w:rPr>
                                  <w:sz w:val="15"/>
                                  <w:szCs w:val="15"/>
                                </w:rPr>
                                <w:t xml:space="preserve">Total ADF cohort </w:t>
                              </w:r>
                              <w:r w:rsidRPr="00FE278F">
                                <w:rPr>
                                  <w:sz w:val="15"/>
                                  <w:szCs w:val="15"/>
                                </w:rPr>
                                <w:br/>
                                <w:t>n = 77,432</w:t>
                              </w:r>
                            </w:p>
                          </w:txbxContent>
                        </v:textbox>
                      </v:shape>
                      <v:shape id="Text Box 109" o:spid="_x0000_s1050"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pjcMA&#10;AADcAAAADwAAAGRycy9kb3ducmV2LnhtbERPS2vCQBC+F/wPywi9SN1tD0VTNyEIihSKz0K9Ddkx&#10;CWZnQ3ar8d93BaG3+fieM8t624gLdb52rOF1rEAQF87UXGo47BcvExA+IBtsHJOGG3nI0sHTDBPj&#10;rrylyy6UIoawT1BDFUKbSOmLiiz6sWuJI3dyncUQYVdK0+E1httGvin1Li3WHBsqbGleUXHe/VoN&#10;ubfLjfL5Yll+f36N6ttqLY8/Wj8P+/wDRKA+/Isf7pWJ89UU7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pjcMAAADcAAAADwAAAAAAAAAAAAAAAACYAgAAZHJzL2Rv&#10;d25yZXYueG1sUEsFBgAAAAAEAAQA9QAAAIgDAAAAAA==&#10;" strokeweight="1pt">
                        <v:stroke dashstyle="dash"/>
                        <v:textbox>
                          <w:txbxContent>
                            <w:p w:rsidR="00A1139F" w:rsidRPr="00FE278F" w:rsidRDefault="00A1139F" w:rsidP="00FE278F">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31,119 (70.9%)</w:t>
                              </w:r>
                            </w:p>
                          </w:txbxContent>
                        </v:textbox>
                      </v:shape>
                      <v:shape id="_x0000_s1051"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0vcMA&#10;AADcAAAADwAAAGRycy9kb3ducmV2LnhtbERPS4vCMBC+L+x/CCN4WbapHkS6RhFXUS+CrrB4G5rp&#10;A5tJbWKt/94Igrf5+J4zmXWmEi01rrSsYBDFIIhTq0vOFRz/Vt9jEM4ja6wsk4I7OZhNPz8mmGh7&#10;4z21B5+LEMIuQQWF93UipUsLMugiWxMHLrONQR9gk0vd4C2Em0oO43gkDZYcGgqsaVFQej5cjYLd&#10;/Z8v62uctdt6fDqed8vf1ddSqX6vm/+A8NT5t/jl3ugwfzCE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B0vcMAAADcAAAADwAAAAAAAAAAAAAAAACYAgAAZHJzL2Rv&#10;d25yZXYueG1sUEsFBgAAAAAEAAQA9QAAAIgDAAAAAA==&#10;" strokeweight="1pt">
                        <v:textbox>
                          <w:txbxContent>
                            <w:p w:rsidR="00A1139F" w:rsidRPr="00FE278F" w:rsidRDefault="00A1139F" w:rsidP="00FE278F">
                              <w:pPr>
                                <w:pStyle w:val="FigureText"/>
                                <w:rPr>
                                  <w:b w:val="0"/>
                                  <w:sz w:val="15"/>
                                  <w:szCs w:val="15"/>
                                </w:rPr>
                              </w:pPr>
                              <w:r w:rsidRPr="00FE278F">
                                <w:rPr>
                                  <w:sz w:val="15"/>
                                  <w:szCs w:val="15"/>
                                </w:rPr>
                                <w:t>Invited</w:t>
                              </w:r>
                              <w:r w:rsidRPr="00FE278F">
                                <w:rPr>
                                  <w:sz w:val="15"/>
                                  <w:szCs w:val="15"/>
                                </w:rPr>
                                <w:br/>
                              </w:r>
                              <w:r w:rsidRPr="00FE278F">
                                <w:rPr>
                                  <w:b w:val="0"/>
                                  <w:sz w:val="15"/>
                                  <w:szCs w:val="15"/>
                                </w:rPr>
                                <w:t>n = 44,005 (56.8%)</w:t>
                              </w:r>
                            </w:p>
                          </w:txbxContent>
                        </v:textbox>
                      </v:shape>
                      <v:shape id="_x0000_s1052"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JUsUA&#10;AADcAAAADwAAAGRycy9kb3ducmV2LnhtbERPTWvCQBC9C/0PyxS8SN1Vikh0E0qrtL0ITYXibciO&#10;STA7m2bXGP99tyB4m8f7nHU22Eb01PnasYbZVIEgLpypudSw/94+LUH4gGywcUwaruQhSx9Ga0yM&#10;u/AX9XkoRQxhn6CGKoQ2kdIXFVn0U9cSR+7oOoshwq6UpsNLDLeNnCu1kBZrjg0VtvRaUXHKz1bD&#10;7vrDv+9ndew/2+Vhf9pt3raTjdbjx+FlBSLQEO7im/vDxPmzZ/h/Jl4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UlSxQAAANwAAAAPAAAAAAAAAAAAAAAAAJgCAABkcnMv&#10;ZG93bnJldi54bWxQSwUGAAAAAAQABAD1AAAAigMAAAAA&#10;" strokeweight="1pt">
                        <v:textbox>
                          <w:txbxContent>
                            <w:p w:rsidR="00A1139F" w:rsidRPr="00FE278F" w:rsidRDefault="00A1139F" w:rsidP="00FE278F">
                              <w:pPr>
                                <w:pStyle w:val="FigureText"/>
                                <w:rPr>
                                  <w:b w:val="0"/>
                                  <w:sz w:val="15"/>
                                  <w:szCs w:val="15"/>
                                </w:rPr>
                              </w:pPr>
                              <w:r w:rsidRPr="00FE278F">
                                <w:rPr>
                                  <w:sz w:val="15"/>
                                  <w:szCs w:val="15"/>
                                </w:rPr>
                                <w:t>Responder</w:t>
                              </w:r>
                              <w:r w:rsidRPr="00FE278F">
                                <w:rPr>
                                  <w:sz w:val="15"/>
                                  <w:szCs w:val="15"/>
                                </w:rPr>
                                <w:br/>
                              </w:r>
                              <w:r w:rsidRPr="00FE278F">
                                <w:rPr>
                                  <w:b w:val="0"/>
                                  <w:sz w:val="15"/>
                                  <w:szCs w:val="15"/>
                                </w:rPr>
                                <w:t>n = 12,806 (29.1%)</w:t>
                              </w:r>
                            </w:p>
                          </w:txbxContent>
                        </v:textbox>
                      </v:shape>
                      <v:shape id="_x0000_s1053"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pML4A&#10;AADcAAAADwAAAGRycy9kb3ducmV2LnhtbERPTYvCMBC9L/gfwgjeNHXBIl2jiODSq7p7H5ox7dpM&#10;ahJt/fdGEPY2j/c5q81gW3EnHxrHCuazDARx5XTDRsHPaT9dgggRWWPrmBQ8KMBmPfpYYaFdzwe6&#10;H6MRKYRDgQrqGLtCylDVZDHMXEecuLPzFmOC3kjtsU/htpWfWZZLiw2nhho72tVUXY43q6AMhzzs&#10;/3pz1V1zNmX+8L/fO6Um42H7BSLSEP/Fb3ep0/z5A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UKTC+AAAA3AAAAA8AAAAAAAAAAAAAAAAAmAIAAGRycy9kb3ducmV2&#10;LnhtbFBLBQYAAAAABAAEAPUAAACDAwAAAAA=&#10;" fillcolor="#720829 [3205]" strokeweight="1pt">
                        <v:textbox>
                          <w:txbxContent>
                            <w:p w:rsidR="00A1139F" w:rsidRPr="00FE278F" w:rsidRDefault="00A1139F" w:rsidP="00FE278F">
                              <w:pPr>
                                <w:pStyle w:val="FigureTextwhite"/>
                                <w:rPr>
                                  <w:b w:val="0"/>
                                  <w:sz w:val="15"/>
                                  <w:szCs w:val="15"/>
                                </w:rPr>
                              </w:pPr>
                              <w:r w:rsidRPr="00FE278F">
                                <w:rPr>
                                  <w:sz w:val="15"/>
                                  <w:szCs w:val="15"/>
                                </w:rPr>
                                <w:t>Transitioned ADF</w:t>
                              </w:r>
                              <w:r w:rsidRPr="00FE278F">
                                <w:rPr>
                                  <w:sz w:val="15"/>
                                  <w:szCs w:val="15"/>
                                </w:rPr>
                                <w:br/>
                              </w:r>
                              <w:r w:rsidRPr="00FE278F">
                                <w:rPr>
                                  <w:b w:val="0"/>
                                  <w:sz w:val="15"/>
                                  <w:szCs w:val="15"/>
                                </w:rPr>
                                <w:t>n = 24,932</w:t>
                              </w:r>
                            </w:p>
                          </w:txbxContent>
                        </v:textbox>
                      </v:shape>
                      <v:shape id="Text Box 116" o:spid="_x0000_s1054"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rIsIA&#10;AADcAAAADwAAAGRycy9kb3ducmV2LnhtbERPy6rCMBDdC/5DGOFuRFPvQi7VKEVQRBC9PkB3QzO2&#10;xWZSmqj1740guJvDec542phS3Kl2hWUFg34Egji1uuBMwWE/7/2BcB5ZY2mZFDzJwXTSbo0x1vbB&#10;/3Tf+UyEEHYxKsi9r2IpXZqTQde3FXHgLrY26AOsM6lrfIRwU8rfKBpKgwWHhhwrmuWUXnc3oyBx&#10;ZrGNXDJfZMfVuls8lxt5Pin102mSEQhPjf+KP+6lDvMHQ3g/Ey6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siwgAAANwAAAAPAAAAAAAAAAAAAAAAAJgCAABkcnMvZG93&#10;bnJldi54bWxQSwUGAAAAAAQABAD1AAAAhwMAAAAA&#10;" strokeweight="1pt">
                        <v:stroke dashstyle="dash"/>
                        <v:textbox>
                          <w:txbxContent>
                            <w:p w:rsidR="00A1139F" w:rsidRPr="00FE278F" w:rsidRDefault="00A1139F" w:rsidP="00FE278F">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19,648 (82.0%)</w:t>
                              </w:r>
                            </w:p>
                          </w:txbxContent>
                        </v:textbox>
                      </v:shape>
                      <v:shape id="_x0000_s1055"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XJcUA&#10;AADcAAAADwAAAGRycy9kb3ducmV2LnhtbERPTWvCQBC9C/0PyxS8SN3VQ5XoJpRWaXsRmgrF25Ad&#10;k2B2Ns2uMf77bkHwNo/3OetssI3oqfO1Yw2zqQJBXDhTc6lh/719WoLwAdlg45g0XMlDlj6M1pgY&#10;d+Ev6vNQihjCPkENVQhtIqUvKrLop64ljtzRdRZDhF0pTYeXGG4bOVfqWVqsOTZU2NJrRcUpP1sN&#10;u+sP/76f1bH/bJeH/Wm3edtONlqPH4eXFYhAQ7iLb+4PE+fPFvD/TLx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9clxQAAANwAAAAPAAAAAAAAAAAAAAAAAJgCAABkcnMv&#10;ZG93bnJldi54bWxQSwUGAAAAAAQABAD1AAAAigMAAAAA&#10;" strokeweight="1pt">
                        <v:textbox>
                          <w:txbxContent>
                            <w:p w:rsidR="00A1139F" w:rsidRPr="00FE278F" w:rsidRDefault="00A1139F" w:rsidP="00FE278F">
                              <w:pPr>
                                <w:pStyle w:val="FigureText"/>
                                <w:rPr>
                                  <w:b w:val="0"/>
                                  <w:sz w:val="15"/>
                                  <w:szCs w:val="15"/>
                                </w:rPr>
                              </w:pPr>
                              <w:r w:rsidRPr="00FE278F">
                                <w:rPr>
                                  <w:sz w:val="15"/>
                                  <w:szCs w:val="15"/>
                                </w:rPr>
                                <w:t>Invited</w:t>
                              </w:r>
                              <w:r w:rsidRPr="00FE278F">
                                <w:rPr>
                                  <w:sz w:val="15"/>
                                  <w:szCs w:val="15"/>
                                </w:rPr>
                                <w:br/>
                              </w:r>
                              <w:r w:rsidRPr="00FE278F">
                                <w:rPr>
                                  <w:b w:val="0"/>
                                  <w:sz w:val="15"/>
                                  <w:szCs w:val="15"/>
                                </w:rPr>
                                <w:t>n = 23,974 (96.2%)</w:t>
                              </w:r>
                            </w:p>
                            <w:p w:rsidR="00A1139F" w:rsidRPr="00FE278F" w:rsidRDefault="00A1139F" w:rsidP="00FE278F">
                              <w:pPr>
                                <w:jc w:val="center"/>
                                <w:rPr>
                                  <w:b/>
                                  <w:sz w:val="15"/>
                                  <w:szCs w:val="15"/>
                                </w:rPr>
                              </w:pPr>
                            </w:p>
                          </w:txbxContent>
                        </v:textbox>
                      </v:shape>
                      <v:shape id="_x0000_s1056"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DV8YA&#10;AADcAAAADwAAAGRycy9kb3ducmV2LnhtbESPQWvCQBCF74L/YRmhF6kbeyiSukqpStuLYBRKb0N2&#10;TILZ2ZhdY/z3zkHwNsN7894382XvatVRGyrPBqaTBBRx7m3FhYHDfvM6AxUissXaMxm4UYDlYjiY&#10;Y2r9lXfUZbFQEsIhRQNljE2qdchLchgmviEW7ehbh1HWttC2xauEu1q/Jcm7dlixNJTY0FdJ+Sm7&#10;OAPb2x+fvy/JsfttZv+H03a92ozXxryM+s8PUJH6+DQ/rn+s4E+FVp6RC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DV8YAAADcAAAADwAAAAAAAAAAAAAAAACYAgAAZHJz&#10;L2Rvd25yZXYueG1sUEsFBgAAAAAEAAQA9QAAAIsDAAAAAA==&#10;" strokeweight="1pt">
                        <v:textbox>
                          <w:txbxContent>
                            <w:p w:rsidR="00A1139F" w:rsidRPr="00FE278F" w:rsidRDefault="00A1139F" w:rsidP="00FE278F">
                              <w:pPr>
                                <w:pStyle w:val="FigureText"/>
                                <w:rPr>
                                  <w:b w:val="0"/>
                                  <w:sz w:val="15"/>
                                  <w:szCs w:val="15"/>
                                </w:rPr>
                              </w:pPr>
                              <w:r w:rsidRPr="00FE278F">
                                <w:rPr>
                                  <w:sz w:val="15"/>
                                  <w:szCs w:val="15"/>
                                </w:rPr>
                                <w:t>Responder</w:t>
                              </w:r>
                              <w:r w:rsidRPr="00FE278F">
                                <w:rPr>
                                  <w:sz w:val="15"/>
                                  <w:szCs w:val="15"/>
                                </w:rPr>
                                <w:br/>
                              </w:r>
                              <w:r w:rsidRPr="00FE278F">
                                <w:rPr>
                                  <w:b w:val="0"/>
                                  <w:sz w:val="15"/>
                                  <w:szCs w:val="15"/>
                                </w:rPr>
                                <w:t>n = 4326 (18.0%)</w:t>
                              </w:r>
                            </w:p>
                          </w:txbxContent>
                        </v:textbox>
                      </v:shape>
                      <v:shape id="_x0000_s1057"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7hsEA&#10;AADcAAAADwAAAGRycy9kb3ducmV2LnhtbERPTWsCMRC9C/0PYQq9aVYp2q5GsUKhHlf30N7GzTRZ&#10;3EyWJNXtvzdCobd5vM9ZbQbXiQuF2HpWMJ0UIIgbr1s2Curj+/gFREzIGjvPpOCXImzWD6MVltpf&#10;uaLLIRmRQziWqMCm1JdSxsaSwzjxPXHmvn1wmDIMRuqA1xzuOjkrirl02HJusNjTzlJzPvw4Bfv6&#10;/PVWbT8pmPp5CFidFtYslHp6HLZLEImG9C/+c3/oPH/6Cvdn8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gu4bBAAAA3AAAAA8AAAAAAAAAAAAAAAAAmAIAAGRycy9kb3du&#10;cmV2LnhtbFBLBQYAAAAABAAEAPUAAACGAwAAAAA=&#10;" fillcolor="#0194df [3206]" strokeweight="1pt">
                        <v:textbox>
                          <w:txbxContent>
                            <w:p w:rsidR="00A1139F" w:rsidRPr="00FE278F" w:rsidRDefault="00A1139F" w:rsidP="00FE278F">
                              <w:pPr>
                                <w:pStyle w:val="FigureTextwhite"/>
                                <w:rPr>
                                  <w:b w:val="0"/>
                                  <w:sz w:val="15"/>
                                  <w:szCs w:val="15"/>
                                </w:rPr>
                              </w:pPr>
                              <w:r w:rsidRPr="00FE278F">
                                <w:rPr>
                                  <w:sz w:val="15"/>
                                  <w:szCs w:val="15"/>
                                </w:rPr>
                                <w:t>2015 Regular ADF</w:t>
                              </w:r>
                              <w:r w:rsidRPr="00FE278F">
                                <w:rPr>
                                  <w:sz w:val="15"/>
                                  <w:szCs w:val="15"/>
                                </w:rPr>
                                <w:br/>
                              </w:r>
                              <w:r w:rsidRPr="00FE278F">
                                <w:rPr>
                                  <w:b w:val="0"/>
                                  <w:sz w:val="15"/>
                                  <w:szCs w:val="15"/>
                                </w:rPr>
                                <w:t>n = 52,500</w:t>
                              </w:r>
                            </w:p>
                          </w:txbxContent>
                        </v:textbox>
                      </v:shape>
                      <v:shape id="Text Box 120" o:spid="_x0000_s1058"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ccMUA&#10;AADcAAAADwAAAGRycy9kb3ducmV2LnhtbESPT2vCQBDF7wW/wzKCl1I3eiiSukoQFClI/Qt6G7LT&#10;JDQ7G7Jbjd/eOQjeZnhv3vvNdN65Wl2pDZVnA6NhAoo497biwsDxsPyYgAoR2WLtmQzcKcB81nub&#10;Ymr9jXd03cdCSQiHFA2UMTap1iEvyWEY+oZYtF/fOoyytoW2Ld4k3NV6nCSf2mHF0lBiQ4uS8r/9&#10;vzOQBbfaJiFbrorT9+a9uq9/9OVszKDfZV+gInXxZX5er63gjwVfnpEJ9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1xwxQAAANwAAAAPAAAAAAAAAAAAAAAAAJgCAABkcnMv&#10;ZG93bnJldi54bWxQSwUGAAAAAAQABAD1AAAAigMAAAAA&#10;" strokeweight="1pt">
                        <v:stroke dashstyle="dash"/>
                        <v:textbox>
                          <w:txbxContent>
                            <w:p w:rsidR="00A1139F" w:rsidRPr="00FE278F" w:rsidRDefault="00A1139F" w:rsidP="00FE278F">
                              <w:pPr>
                                <w:pStyle w:val="FigureText"/>
                                <w:rPr>
                                  <w:b w:val="0"/>
                                  <w:sz w:val="15"/>
                                  <w:szCs w:val="15"/>
                                </w:rPr>
                              </w:pPr>
                              <w:r w:rsidRPr="00FE278F">
                                <w:rPr>
                                  <w:sz w:val="15"/>
                                  <w:szCs w:val="15"/>
                                </w:rPr>
                                <w:t>Non-responder</w:t>
                              </w:r>
                              <w:r w:rsidRPr="00FE278F">
                                <w:rPr>
                                  <w:sz w:val="15"/>
                                  <w:szCs w:val="15"/>
                                </w:rPr>
                                <w:br/>
                              </w:r>
                              <w:r w:rsidRPr="00FE278F">
                                <w:rPr>
                                  <w:b w:val="0"/>
                                  <w:sz w:val="15"/>
                                  <w:szCs w:val="15"/>
                                </w:rPr>
                                <w:t>n = 11,551 (57.7%)</w:t>
                              </w:r>
                            </w:p>
                          </w:txbxContent>
                        </v:textbox>
                      </v:shape>
                      <v:shape id="_x0000_s1059"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gd8MA&#10;AADcAAAADwAAAGRycy9kb3ducmV2LnhtbERPS4vCMBC+L+x/CCN4WbapHkS6RhFXUS+CrrB4G5rp&#10;A5tJbWKt/94Igrf5+J4zmXWmEi01rrSsYBDFIIhTq0vOFRz/Vt9jEM4ja6wsk4I7OZhNPz8mmGh7&#10;4z21B5+LEMIuQQWF93UipUsLMugiWxMHLrONQR9gk0vd4C2Em0oO43gkDZYcGgqsaVFQej5cjYLd&#10;/Z8v62uctdt6fDqed8vf1ddSqX6vm/+A8NT5t/jl3ugwfziA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gd8MAAADcAAAADwAAAAAAAAAAAAAAAACYAgAAZHJzL2Rv&#10;d25yZXYueG1sUEsFBgAAAAAEAAQA9QAAAIgDAAAAAA==&#10;" strokeweight="1pt">
                        <v:textbox>
                          <w:txbxContent>
                            <w:p w:rsidR="00A1139F" w:rsidRPr="00FE278F" w:rsidRDefault="00A1139F" w:rsidP="00FE278F">
                              <w:pPr>
                                <w:pStyle w:val="FigureText"/>
                                <w:rPr>
                                  <w:b w:val="0"/>
                                  <w:sz w:val="15"/>
                                  <w:szCs w:val="15"/>
                                </w:rPr>
                              </w:pPr>
                              <w:r w:rsidRPr="00FE278F">
                                <w:rPr>
                                  <w:sz w:val="15"/>
                                  <w:szCs w:val="15"/>
                                </w:rPr>
                                <w:t>Invited</w:t>
                              </w:r>
                              <w:r w:rsidRPr="00FE278F">
                                <w:rPr>
                                  <w:sz w:val="15"/>
                                  <w:szCs w:val="15"/>
                                </w:rPr>
                                <w:br/>
                              </w:r>
                              <w:r w:rsidRPr="00FE278F">
                                <w:rPr>
                                  <w:b w:val="0"/>
                                  <w:sz w:val="15"/>
                                  <w:szCs w:val="15"/>
                                </w:rPr>
                                <w:t>n = 20,031 (38.2%)</w:t>
                              </w:r>
                            </w:p>
                          </w:txbxContent>
                        </v:textbox>
                      </v:shape>
                      <v:shape id="_x0000_s1060"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AMUA&#10;AADcAAAADwAAAGRycy9kb3ducmV2LnhtbERPS2vCQBC+C/0PyxR6EbMxB5E0q5RWsV6E2kDxNmTH&#10;JJidTbObh/++Wyj0Nh/fc7LtZBoxUOdqywqWUQyCuLC65lJB/rlfrEE4j6yxsUwK7uRgu3mYZZhq&#10;O/IHDWdfihDCLkUFlfdtKqUrKjLoItsSB+5qO4M+wK6UusMxhJtGJnG8kgZrDg0VtvRaUXE790bB&#10;6f7F34c+vg7Hdn3Jb6fd236+U+rpcXp5BuFp8v/iP/e7DvOTBH6fCR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4AxQAAANwAAAAPAAAAAAAAAAAAAAAAAJgCAABkcnMv&#10;ZG93bnJldi54bWxQSwUGAAAAAAQABAD1AAAAigMAAAAA&#10;" strokeweight="1pt">
                        <v:textbox>
                          <w:txbxContent>
                            <w:p w:rsidR="00A1139F" w:rsidRPr="00FE278F" w:rsidRDefault="00A1139F" w:rsidP="00FE278F">
                              <w:pPr>
                                <w:pStyle w:val="FigureText"/>
                                <w:rPr>
                                  <w:b w:val="0"/>
                                  <w:sz w:val="15"/>
                                  <w:szCs w:val="15"/>
                                </w:rPr>
                              </w:pPr>
                              <w:r w:rsidRPr="00FE278F">
                                <w:rPr>
                                  <w:sz w:val="15"/>
                                  <w:szCs w:val="15"/>
                                </w:rPr>
                                <w:t>Responder</w:t>
                              </w:r>
                              <w:r w:rsidRPr="00FE278F">
                                <w:rPr>
                                  <w:sz w:val="15"/>
                                  <w:szCs w:val="15"/>
                                </w:rPr>
                                <w:br/>
                              </w:r>
                              <w:r w:rsidRPr="00FE278F">
                                <w:rPr>
                                  <w:b w:val="0"/>
                                  <w:sz w:val="15"/>
                                  <w:szCs w:val="15"/>
                                </w:rPr>
                                <w:t>n = 8480 (42.3%)</w:t>
                              </w:r>
                            </w:p>
                          </w:txbxContent>
                        </v:textbox>
                      </v:shape>
                      <v:line id="Straight Connector 123" o:spid="_x0000_s1061"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4TPMAAAADcAAAADwAAAGRycy9kb3ducmV2LnhtbERPTWvCQBC9F/oflil4q5solBBdQ7FI&#10;ezUKehyy02xodjZkp5r+e1coeJvH+5x1NfleXWiMXWAD+TwDRdwE23Fr4HjYvRagoiBb7AOTgT+K&#10;UG2en9ZY2nDlPV1qaVUK4ViiAScylFrHxpHHOA8DceK+w+hREhxbbUe8pnDf60WWvWmPHacGhwNt&#10;HTU/9a834E9d3+Qkhw/hc7srarctPvfGzF6m9xUooUke4n/3l03zF0u4P5Mu0J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uEzzAAAAA3AAAAA8AAAAAAAAAAAAAAAAA&#10;oQIAAGRycy9kb3ducmV2LnhtbFBLBQYAAAAABAAEAPkAAACOAwAAAAA=&#10;" strokecolor="black [3040]" strokeweight="1.5pt"/>
                      <v:line id="Straight Connector 124" o:spid="_x0000_s1062"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C3cMAAADcAAAADwAAAGRycy9kb3ducmV2LnhtbERPTWsCMRC9F/wPYQRvNauIlNUoIih7&#10;KLRd9eBt2Iy7wWSybFJ321/fFAq9zeN9zno7OCse1AXjWcFsmoEgrrw2XCs4nw7PLyBCRNZoPZOC&#10;Lwqw3Yye1phr3/MHPcpYixTCIUcFTYxtLmWoGnIYpr4lTtzNdw5jgl0tdYd9CndWzrNsKR0aTg0N&#10;trRvqLqXn05BWVx7cza6iMu3+v37NVh9tBelJuNhtwIRaYj/4j93odP8+QJ+n0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Lwt3DAAAA3AAAAA8AAAAAAAAAAAAA&#10;AAAAoQIAAGRycy9kb3ducmV2LnhtbFBLBQYAAAAABAAEAPkAAACRAwAAAAA=&#10;" strokecolor="windowText" strokeweight="1.5pt">
                        <v:stroke joinstyle="miter"/>
                      </v:line>
                      <v:line id="Straight Connector 125" o:spid="_x0000_s1063"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nRsMAAADcAAAADwAAAGRycy9kb3ducmV2LnhtbERPTWsCMRC9F/wPYQRvNauglNUoIih7&#10;KLRd9eBt2Iy7wWSybFJ321/fFAq9zeN9zno7OCse1AXjWcFsmoEgrrw2XCs4nw7PLyBCRNZoPZOC&#10;Lwqw3Yye1phr3/MHPcpYixTCIUcFTYxtLmWoGnIYpr4lTtzNdw5jgl0tdYd9CndWzrNsKR0aTg0N&#10;trRvqLqXn05BWVx7cza6iMu3+v37NVh9tBelJuNhtwIRaYj/4j93odP8+QJ+n0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Z0bDAAAA3AAAAA8AAAAAAAAAAAAA&#10;AAAAoQIAAGRycy9kb3ducmV2LnhtbFBLBQYAAAAABAAEAPkAAACRAwAAAAA=&#10;" strokecolor="windowText" strokeweight="1.5pt">
                        <v:stroke joinstyle="miter"/>
                      </v:line>
                      <v:line id="Straight Connector 126" o:spid="_x0000_s1064"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MNsAAAADcAAAADwAAAGRycy9kb3ducmV2LnhtbERPTWvCQBC9F/wPywje6iYioY2uIorY&#10;W9tYPA/ZMQlmZ2N21PTfdwuF3ubxPme5Hlyr7tSHxrOBdJqAIi69bbgy8HXcP7+ACoJssfVMBr4p&#10;wHo1elpibv2DP+leSKViCIccDdQiXa51KGtyGKa+I47c2fcOJcK+0rbHRwx3rZ4lSaYdNhwbauxo&#10;W1N5KW7OwJCm2bUqKZ3T++H19CHHcyE7YybjYbMAJTTIv/jP/Wbj/FkGv8/E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qDDbAAAAA3AAAAA8AAAAAAAAAAAAAAAAA&#10;oQIAAGRycy9kb3ducmV2LnhtbFBLBQYAAAAABAAEAPkAAACOAwAAAAA=&#10;" strokecolor="windowText" strokeweight="1.5pt">
                        <v:stroke joinstyle="miter"/>
                      </v:line>
                      <v:shape id="Straight Arrow Connector 127" o:spid="_x0000_s1065"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5IMsMAAADcAAAADwAAAGRycy9kb3ducmV2LnhtbERP3WrCMBS+F3yHcITdaaqMqV1TkYEw&#10;GBva7QGOzbHpbE66JtNuT28Ewbvz8f2ebNXbRpyo87VjBdNJAoK4dLrmSsHX52a8AOEDssbGMSn4&#10;Iw+rfDjIMNXuzDs6FaESMYR9igpMCG0qpS8NWfQT1xJH7uA6iyHCrpK6w3MMt42cJcmTtFhzbDDY&#10;0ouh8lj8WgUbHX4e59X7hzl8N8Vy69+m//VeqYdRv34GEagPd/HN/arj/Nkcrs/EC2R+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eSDLDAAAA3AAAAA8AAAAAAAAAAAAA&#10;AAAAoQIAAGRycy9kb3ducmV2LnhtbFBLBQYAAAAABAAEAPkAAACRAwAAAAA=&#10;" strokecolor="black [3040]">
                        <v:stroke dashstyle="dash" endarrow="block"/>
                      </v:shape>
                      <v:shape id="Straight Arrow Connector 352" o:spid="_x0000_s1066"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NDcYAAADcAAAADwAAAGRycy9kb3ducmV2LnhtbESPQWvCQBSE7wX/w/IEb3VTraWmrlLF&#10;QgUvml56e2af2ZDs2zS7NfHfu0Khx2FmvmEWq97W4kKtLx0reBonIIhzp0suFHxlH4+vIHxA1lg7&#10;JgVX8rBaDh4WmGrX8YEux1CICGGfogITQpNK6XNDFv3YNcTRO7vWYoiyLaRusYtwW8tJkrxIiyXH&#10;BYMNbQzl1fHXKpiftj/76tsk53VVd3Ybst3zNVNqNOzf30AE6sN/+K/9qRVMZx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gTQ3GAAAA3AAAAA8AAAAAAAAA&#10;AAAAAAAAoQIAAGRycy9kb3ducmV2LnhtbFBLBQYAAAAABAAEAPkAAACUAwAAAAA=&#10;" strokecolor="windowText" strokeweight=".5pt">
                        <v:stroke dashstyle="dash" endarrow="block" joinstyle="miter"/>
                      </v:shape>
                      <v:shape id="Straight Arrow Connector 354" o:spid="_x0000_s1067"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w4sYAAADcAAAADwAAAGRycy9kb3ducmV2LnhtbESPQWvCQBSE7wX/w/KE3uqmaktNXUXF&#10;QgUvml56e2af2ZDs25jdmvjv3UKhx2FmvmHmy97W4kqtLx0reB4lIIhzp0suFHxlH09vIHxA1lg7&#10;JgU38rBcDB7mmGrX8YGux1CICGGfogITQpNK6XNDFv3INcTRO7vWYoiyLaRusYtwW8txkrxKiyXH&#10;BYMNbQzl1fHHKpidtpd99W2S87qqO7sN2W56y5R6HPardxCB+vAf/mt/agWTlyn8no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FcOLGAAAA3AAAAA8AAAAAAAAA&#10;AAAAAAAAoQIAAGRycy9kb3ducmV2LnhtbFBLBQYAAAAABAAEAPkAAACUAwAAAAA=&#10;" strokecolor="windowText" strokeweight=".5pt">
                        <v:stroke dashstyle="dash" endarrow="block" joinstyle="miter"/>
                      </v:shape>
                      <v:line id="Straight Connector 356" o:spid="_x0000_s1068"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tOMIAAADcAAAADwAAAGRycy9kb3ducmV2LnhtbESPQWvCQBSE74L/YXmF3nRjRQnRVYoi&#10;ejUW6vGRfc2GZt+G7Kum/94VCj0OM/MNs94OvlU36mMT2MBsmoEiroJtuDbwcTlMclBRkC22gcnA&#10;L0XYbsajNRY23PlMt1JqlSAcCzTgRLpC61g58hinoSNO3lfoPUqSfa1tj/cE961+y7Kl9thwWnDY&#10;0c5R9V3+eAP+s2mrGcllL3ytD3npdvnxbMzry/C+AiU0yH/4r32yBuaLJTzPpCO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utOMIAAADcAAAADwAAAAAAAAAAAAAA&#10;AAChAgAAZHJzL2Rvd25yZXYueG1sUEsFBgAAAAAEAAQA+QAAAJADAAAAAA==&#10;" strokecolor="black [3040]" strokeweight="1.5pt"/>
                      <v:line id="Straight Connector 357" o:spid="_x0000_s1069"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cIo8IAAADcAAAADwAAAGRycy9kb3ducmV2LnhtbESPQWvCQBSE7wX/w/IEb3VjpTakriKK&#10;tFdjoT0+sq/ZYPZtyL5q/PddQfA4zMw3zHI9+FadqY9NYAOzaQaKuAq24drA13H/nIOKgmyxDUwG&#10;rhRhvRo9LbGw4cIHOpdSqwThWKABJ9IVWsfKkcc4DR1x8n5D71GS7Gtte7wkuG/1S5YttMeG04LD&#10;jraOqlP55w3476atZiTHnfBPvc9Lt80/DsZMxsPmHZTQII/wvf1pDcxf3+B2Jh0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cIo8IAAADcAAAADwAAAAAAAAAAAAAA&#10;AAChAgAAZHJzL2Rvd25yZXYueG1sUEsFBgAAAAAEAAQA+QAAAJADAAAAAA==&#10;" strokecolor="black [3040]" strokeweight="1.5pt"/>
                      <w10:anchorlock/>
                    </v:group>
                  </w:pict>
                </mc:Fallback>
              </mc:AlternateContent>
            </w:r>
          </w:p>
          <w:p w:rsidR="00FE278F" w:rsidRDefault="00FE278F" w:rsidP="009B20BD"/>
        </w:tc>
      </w:tr>
      <w:tr w:rsidR="00FE278F" w:rsidRPr="00FE278F" w:rsidTr="00224F17">
        <w:trPr>
          <w:cantSplit/>
        </w:trPr>
        <w:tc>
          <w:tcPr>
            <w:tcW w:w="2005" w:type="dxa"/>
            <w:tcBorders>
              <w:top w:val="nil"/>
              <w:bottom w:val="nil"/>
              <w:right w:val="nil"/>
            </w:tcBorders>
            <w:tcMar>
              <w:left w:w="72"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12806 (100.</w:t>
            </w:r>
            <w:r w:rsidR="00224F17">
              <w:rPr>
                <w:rFonts w:ascii="Arial Narrow" w:hAnsi="Arial Narrow"/>
                <w:sz w:val="13"/>
                <w:szCs w:val="13"/>
              </w:rPr>
              <w:t>0</w:t>
            </w:r>
            <w:r w:rsidRPr="005926ED">
              <w:rPr>
                <w:rFonts w:ascii="Arial Narrow" w:hAnsi="Arial Narrow"/>
                <w:sz w:val="13"/>
                <w:szCs w:val="13"/>
              </w:rPr>
              <w:t>0%)</w:t>
            </w:r>
          </w:p>
        </w:tc>
        <w:tc>
          <w:tcPr>
            <w:tcW w:w="1530" w:type="dxa"/>
            <w:tcBorders>
              <w:top w:val="nil"/>
              <w:left w:val="nil"/>
              <w:bottom w:val="nil"/>
              <w:right w:val="nil"/>
            </w:tcBorders>
            <w:tcMar>
              <w:left w:w="202" w:type="dxa"/>
              <w:right w:w="187" w:type="dxa"/>
            </w:tcMar>
          </w:tcPr>
          <w:p w:rsidR="00FE278F" w:rsidRPr="005926ED" w:rsidRDefault="00FE278F" w:rsidP="00224F17">
            <w:pPr>
              <w:spacing w:before="10" w:after="0" w:line="240" w:lineRule="auto"/>
              <w:rPr>
                <w:rFonts w:ascii="Arial Narrow" w:hAnsi="Arial Narrow"/>
                <w:sz w:val="13"/>
                <w:szCs w:val="13"/>
              </w:rPr>
            </w:pPr>
          </w:p>
        </w:tc>
        <w:tc>
          <w:tcPr>
            <w:tcW w:w="1890" w:type="dxa"/>
            <w:tcBorders>
              <w:top w:val="nil"/>
              <w:left w:val="nil"/>
              <w:bottom w:val="nil"/>
              <w:right w:val="nil"/>
            </w:tcBorders>
            <w:tcMar>
              <w:left w:w="72"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 xml:space="preserve"> 4326 (100.0</w:t>
            </w:r>
            <w:r w:rsidR="00224F17">
              <w:rPr>
                <w:rFonts w:ascii="Arial Narrow" w:hAnsi="Arial Narrow"/>
                <w:sz w:val="13"/>
                <w:szCs w:val="13"/>
              </w:rPr>
              <w:t>0</w:t>
            </w:r>
            <w:r w:rsidRPr="005926ED">
              <w:rPr>
                <w:rFonts w:ascii="Arial Narrow" w:hAnsi="Arial Narrow"/>
                <w:sz w:val="13"/>
                <w:szCs w:val="13"/>
              </w:rPr>
              <w:t>%)</w:t>
            </w:r>
          </w:p>
        </w:tc>
        <w:tc>
          <w:tcPr>
            <w:tcW w:w="1620" w:type="dxa"/>
            <w:tcBorders>
              <w:top w:val="nil"/>
              <w:left w:val="nil"/>
              <w:bottom w:val="nil"/>
              <w:right w:val="nil"/>
            </w:tcBorders>
            <w:tcMar>
              <w:left w:w="202" w:type="dxa"/>
              <w:right w:w="216" w:type="dxa"/>
            </w:tcMar>
          </w:tcPr>
          <w:p w:rsidR="00FE278F" w:rsidRPr="005926ED" w:rsidRDefault="00FE278F" w:rsidP="00224F17">
            <w:pPr>
              <w:spacing w:before="10" w:after="0" w:line="240" w:lineRule="auto"/>
              <w:rPr>
                <w:rFonts w:ascii="Arial Narrow" w:hAnsi="Arial Narrow"/>
                <w:sz w:val="13"/>
                <w:szCs w:val="13"/>
              </w:rPr>
            </w:pPr>
          </w:p>
        </w:tc>
        <w:tc>
          <w:tcPr>
            <w:tcW w:w="1890" w:type="dxa"/>
            <w:tcBorders>
              <w:top w:val="nil"/>
              <w:left w:val="nil"/>
              <w:bottom w:val="nil"/>
              <w:right w:val="nil"/>
            </w:tcBorders>
            <w:tcMar>
              <w:left w:w="72"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 xml:space="preserve"> 8480 (100.00%)</w:t>
            </w:r>
          </w:p>
        </w:tc>
        <w:tc>
          <w:tcPr>
            <w:tcW w:w="2585" w:type="dxa"/>
            <w:tcBorders>
              <w:top w:val="nil"/>
              <w:left w:val="nil"/>
              <w:bottom w:val="nil"/>
            </w:tcBorders>
            <w:tcMar>
              <w:left w:w="202" w:type="dxa"/>
              <w:right w:w="216" w:type="dxa"/>
            </w:tcMar>
          </w:tcPr>
          <w:p w:rsidR="00FE278F" w:rsidRPr="005926ED" w:rsidRDefault="00FE278F" w:rsidP="00224F17">
            <w:pPr>
              <w:spacing w:before="10" w:after="0" w:line="240" w:lineRule="auto"/>
              <w:rPr>
                <w:rFonts w:ascii="Arial Narrow" w:hAnsi="Arial Narrow"/>
                <w:sz w:val="13"/>
                <w:szCs w:val="13"/>
              </w:rPr>
            </w:pP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Section 1:</w:t>
            </w:r>
            <w:r w:rsidRPr="005926ED">
              <w:rPr>
                <w:rFonts w:ascii="Arial Narrow" w:hAnsi="Arial Narrow"/>
                <w:sz w:val="13"/>
                <w:szCs w:val="13"/>
              </w:rPr>
              <w:t xml:space="preserve"> 10175 (79.45%)</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15: 10884 (84.99%)</w:t>
            </w:r>
          </w:p>
        </w:tc>
        <w:tc>
          <w:tcPr>
            <w:tcW w:w="1890" w:type="dxa"/>
            <w:tcBorders>
              <w:top w:val="nil"/>
              <w:left w:val="nil"/>
              <w:bottom w:val="nil"/>
              <w:right w:val="nil"/>
            </w:tcBorders>
            <w:tcMar>
              <w:left w:w="216" w:type="dxa"/>
              <w:right w:w="216" w:type="dxa"/>
            </w:tcMar>
          </w:tcPr>
          <w:p w:rsidR="00FE278F" w:rsidRPr="005926ED" w:rsidRDefault="00A46262" w:rsidP="00224F17">
            <w:pPr>
              <w:spacing w:before="10" w:after="0" w:line="240" w:lineRule="auto"/>
              <w:jc w:val="right"/>
              <w:rPr>
                <w:rFonts w:ascii="Arial Narrow" w:hAnsi="Arial Narrow"/>
                <w:sz w:val="13"/>
                <w:szCs w:val="13"/>
              </w:rPr>
            </w:pPr>
            <w:r>
              <w:rPr>
                <w:rFonts w:ascii="Arial Narrow" w:hAnsi="Arial Narrow"/>
                <w:b/>
                <w:noProof/>
                <w:sz w:val="13"/>
                <w:szCs w:val="13"/>
                <w:lang w:eastAsia="en-AU"/>
              </w:rPr>
              <mc:AlternateContent>
                <mc:Choice Requires="wpg">
                  <w:drawing>
                    <wp:anchor distT="0" distB="0" distL="114300" distR="114300" simplePos="0" relativeHeight="251706368" behindDoc="0" locked="1" layoutInCell="0" allowOverlap="1" wp14:anchorId="2BD92CEF" wp14:editId="459D8DDD">
                      <wp:simplePos x="0" y="0"/>
                      <wp:positionH relativeFrom="column">
                        <wp:posOffset>3272155</wp:posOffset>
                      </wp:positionH>
                      <wp:positionV relativeFrom="paragraph">
                        <wp:posOffset>36830</wp:posOffset>
                      </wp:positionV>
                      <wp:extent cx="182880" cy="1325880"/>
                      <wp:effectExtent l="0" t="0" r="26670" b="26670"/>
                      <wp:wrapNone/>
                      <wp:docPr id="407" name="Group 407"/>
                      <wp:cNvGraphicFramePr/>
                      <a:graphic xmlns:a="http://schemas.openxmlformats.org/drawingml/2006/main">
                        <a:graphicData uri="http://schemas.microsoft.com/office/word/2010/wordprocessingGroup">
                          <wpg:wgp>
                            <wpg:cNvGrpSpPr/>
                            <wpg:grpSpPr>
                              <a:xfrm>
                                <a:off x="0" y="0"/>
                                <a:ext cx="182880" cy="1325880"/>
                                <a:chOff x="0" y="0"/>
                                <a:chExt cx="182880" cy="1327868"/>
                              </a:xfrm>
                            </wpg:grpSpPr>
                            <wps:wsp>
                              <wps:cNvPr id="379" name="Straight Connector 379"/>
                              <wps:cNvCnPr/>
                              <wps:spPr>
                                <a:xfrm>
                                  <a:off x="0" y="1224501"/>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0" y="1327868"/>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a:off x="0" y="111318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a:off x="0" y="10177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0" y="9144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0" y="81103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a:off x="0" y="707666"/>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a:off x="0" y="620202"/>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0" y="516835"/>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0" y="40551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a:off x="0" y="3021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a:off x="0" y="206734"/>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a:off x="0" y="1033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8791A1F" id="Group 407" o:spid="_x0000_s1026" style="position:absolute;margin-left:257.65pt;margin-top:2.9pt;width:14.4pt;height:104.4pt;z-index:251706368;mso-height-relative:margin" coordsize="1828,1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" o:allowincell="f">
                      <v:line id="Straight Connector 379" o:spid="_x0000_s1027" style="position:absolute;visibility:visible;mso-wrap-style:square" from="0,12245" to="1828,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line id="Straight Connector 380" o:spid="_x0000_s1028" style="position:absolute;visibility:visible;mso-wrap-style:square" from="0,13278" to="1828,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A3sAAAADcAAAADwAAAGRycy9kb3ducmV2LnhtbERPTYvCMBC9C/sfwizsTdNVEKlGEUFd&#10;9mYVwdvQjG1tM+kmqXb/vTkIHh/ve7HqTSPu5HxlWcH3KAFBnFtdcaHgdNwOZyB8QNbYWCYF/+Rh&#10;tfwYLDDV9sEHumehEDGEfYoKyhDaVEqfl2TQj2xLHLmrdQZDhK6Q2uEjhptGjpNkKg1WHBtKbGlT&#10;Ul5nnVFw7jK+3Oqta7Db7ffX81/tJ79KfX326zmIQH14i1/uH61gMov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2gN7AAAAA3AAAAA8AAAAAAAAAAAAAAAAA&#10;oQIAAGRycy9kb3ducmV2LnhtbFBLBQYAAAAABAAEAPkAAACOAwAAAAA=&#10;" strokeweight="1.5pt"/>
                      <v:line id="Straight Connector 381" o:spid="_x0000_s1029" style="position:absolute;visibility:visible;mso-wrap-style:square" from="0,11131" to="182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lRcQAAADcAAAADwAAAGRycy9kb3ducmV2LnhtbESPQWvCQBSE74X+h+UVeqsbK4ikriKC&#10;WnozlYC3R/aZpMm+jbsbjf/eFYQeh5n5hpkvB9OKCzlfW1YwHiUgiAuray4VHH43HzMQPiBrbC2T&#10;ght5WC5eX+aYanvlPV2yUIoIYZ+igiqELpXSFxUZ9CPbEUfvZJ3BEKUrpXZ4jXDTys8kmUqDNceF&#10;CjtaV1Q0WW8U5H3Gx79m41rst7vdKT83fvKj1PvbsPoCEWgI/+Fn+1srmMz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FxAAAANwAAAAPAAAAAAAAAAAA&#10;AAAAAKECAABkcnMvZG93bnJldi54bWxQSwUGAAAAAAQABAD5AAAAkgMAAAAA&#10;" strokeweight="1.5pt"/>
                      <v:line id="Straight Connector 382" o:spid="_x0000_s1030" style="position:absolute;visibility:visible;mso-wrap-style:square" from="0,10177" to="182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v:line id="Straight Connector 383" o:spid="_x0000_s1031" style="position:absolute;visibility:visible;mso-wrap-style:square" from="0,9144" to="182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eqcQAAADcAAAADwAAAGRycy9kb3ducmV2LnhtbESPQWvCQBSE7wX/w/IEb3VjA0Wiq4ig&#10;Fm9NRfD2yD6TmOzbuLvR9N93C4Ueh5n5hlmuB9OKBzlfW1YwmyYgiAuray4VnL52r3MQPiBrbC2T&#10;gm/ysF6NXpaYafvkT3rkoRQRwj5DBVUIXSalLyoy6Ke2I47e1TqDIUpXSu3wGeGmlW9J8i4N1hwX&#10;KuxoW1HR5L1RcO5zvtyanWux3x8O1/O98el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B6pxAAAANwAAAAPAAAAAAAAAAAA&#10;AAAAAKECAABkcnMvZG93bnJldi54bWxQSwUGAAAAAAQABAD5AAAAkgMAAAAA&#10;" strokeweight="1.5pt"/>
                      <v:line id="Straight Connector 384" o:spid="_x0000_s1032" style="position:absolute;visibility:visible;mso-wrap-style:square" from="0,8110" to="1828,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line id="Straight Connector 385" o:spid="_x0000_s1033" style="position:absolute;visibility:visible;mso-wrap-style:square" from="0,7076" to="1828,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jRsQAAADcAAAADwAAAGRycy9kb3ducmV2LnhtbESPQWvCQBSE70L/w/IEb3Vjx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NGxAAAANwAAAAPAAAAAAAAAAAA&#10;AAAAAKECAABkcnMvZG93bnJldi54bWxQSwUGAAAAAAQABAD5AAAAkgMAAAAA&#10;" strokeweight="1.5pt"/>
                      <v:line id="Straight Connector 386" o:spid="_x0000_s1034" style="position:absolute;visibility:visible;mso-wrap-style:square" from="0,6202" to="182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9McQAAADcAAAADwAAAGRycy9kb3ducmV2LnhtbESPQWvCQBSE7wX/w/IKvdVNFURSVxFB&#10;Lb0ZS6C3R/aZpMm+jbsbTf+9Kwgeh5n5hlmsBtOKCzlfW1bwMU5AEBdW11wq+Dlu3+cgfEDW2Fom&#10;Bf/kYbUcvSww1fbKB7pkoRQRwj5FBVUIXSqlLyoy6Me2I47eyTqDIUpXSu3wGuGmlZMkmUmDNceF&#10;CjvaVFQ0WW8U5H3Gv3/N1rXY7/b7U35u/PRbqbfXYf0JItAQnuFH+0srmM5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70xxAAAANwAAAAPAAAAAAAAAAAA&#10;AAAAAKECAABkcnMvZG93bnJldi54bWxQSwUGAAAAAAQABAD5AAAAkgMAAAAA&#10;" strokeweight="1.5pt"/>
                      <v:line id="Straight Connector 387" o:spid="_x0000_s1035" style="position:absolute;visibility:visible;mso-wrap-style:square" from="0,5168" to="182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YqsQAAADcAAAADwAAAGRycy9kb3ducmV2LnhtbESPQWvCQBSE70L/w/IEb3VjBSupq0hB&#10;Ld4aRejtkX0mMdm36e5G03/fFQSPw8x8wyxWvWnElZyvLCuYjBMQxLnVFRcKjofN6xyED8gaG8uk&#10;4I88rJYvgwWm2t74m65ZKESEsE9RQRlCm0rp85IM+rFtiaN3ts5giNIVUju8Rbhp5FuSzKTBiuNC&#10;iS19lpTXWWcUnLqMfy71xjXYbXe78+m39tO9UqNhv/4AEagPz/Cj/aUVTO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iqxAAAANwAAAAPAAAAAAAAAAAA&#10;AAAAAKECAABkcnMvZG93bnJldi54bWxQSwUGAAAAAAQABAD5AAAAkgMAAAAA&#10;" strokeweight="1.5pt"/>
                      <v:line id="Straight Connector 388" o:spid="_x0000_s1036" style="position:absolute;visibility:visible;mso-wrap-style:square" from="0,4055" to="182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M2MAAAADcAAAADwAAAGRycy9kb3ducmV2LnhtbERPTYvCMBC9C/sfwizsTdNVEKlGEUFd&#10;9mYVwdvQjG1tM+kmqXb/vTkIHh/ve7HqTSPu5HxlWcH3KAFBnFtdcaHgdNwOZyB8QNbYWCYF/+Rh&#10;tfwYLDDV9sEHumehEDGEfYoKyhDaVEqfl2TQj2xLHLmrdQZDhK6Q2uEjhptGjpNkKg1WHBtKbGlT&#10;Ul5nnVFw7jK+3Oqta7Db7ffX81/tJ79KfX326zmIQH14i1/uH61gMot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jNjAAAAA3AAAAA8AAAAAAAAAAAAAAAAA&#10;oQIAAGRycy9kb3ducmV2LnhtbFBLBQYAAAAABAAEAPkAAACOAwAAAAA=&#10;" strokeweight="1.5pt"/>
                      <v:line id="Straight Connector 389" o:spid="_x0000_s1037" style="position:absolute;visibility:visible;mso-wrap-style:square" from="0,3021" to="18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pQ8QAAADcAAAADwAAAGRycy9kb3ducmV2LnhtbESPQWvCQBSE7wX/w/KE3urGCmJTVxHB&#10;WrwZRejtkX0mabJv4+5G4793hUKPw8x8w8yXvWnElZyvLCsYjxIQxLnVFRcKjofN2wyED8gaG8uk&#10;4E4elovByxxTbW+8p2sWChEh7FNUUIbQplL6vCSDfmRb4uidrTMYonSF1A5vEW4a+Z4kU2mw4rhQ&#10;YkvrkvI664yCU5fxz2+9cQ12X9vt+XSp/WSn1OuwX32CCNSH//Bf+1srmMw+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ClDxAAAANwAAAAPAAAAAAAAAAAA&#10;AAAAAKECAABkcnMvZG93bnJldi54bWxQSwUGAAAAAAQABAD5AAAAkgMAAAAA&#10;" strokeweight="1.5pt"/>
                      <v:line id="Straight Connector 390" o:spid="_x0000_s1038" style="position:absolute;visibility:visible;mso-wrap-style:square" from="0,2067" to="1828,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WA8IAAADcAAAADwAAAGRycy9kb3ducmV2LnhtbERPy2rCQBTdC/2H4Ra600kVik2dSCmo&#10;xV2jBLq7ZG4eTeZOOjPR+PedRcHl4bw328n04kLOt5YVPC8SEMSl1S3XCs6n3XwNwgdkjb1lUnAj&#10;D9vsYbbBVNsrf9ElD7WIIexTVNCEMKRS+rIhg35hB+LIVdYZDBG6WmqH1xhuerlMkhdpsOXY0OBA&#10;Hw2VXT4aBcWY8/dPt3M9jvvDoSp+O786KvX0OL2/gQg0hbv43/2pFaxe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8WA8IAAADcAAAADwAAAAAAAAAAAAAA&#10;AAChAgAAZHJzL2Rvd25yZXYueG1sUEsFBgAAAAAEAAQA+QAAAJADAAAAAA==&#10;" strokeweight="1.5pt"/>
                      <v:line id="Straight Connector 391" o:spid="_x0000_s1039" style="position:absolute;visibility:visible;mso-wrap-style:square" from="0,1033" to="182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Straight Connector 392" o:spid="_x0000_s1040"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78UAAADcAAAADwAAAGRycy9kb3ducmV2LnhtbESPT2vCQBTE7wW/w/IEb3WjQqnRVUTw&#10;D701LYK3R/aZxGTfxt2Nxm/fLRR6HGbmN8xy3ZtG3Mn5yrKCyTgBQZxbXXGh4Ptr9/oOwgdkjY1l&#10;UvAkD+vV4GWJqbYP/qR7FgoRIexTVFCG0KZS+rwkg35sW+LoXawzGKJ0hdQOHxFuGjlNkjdpsOK4&#10;UGJL25LyOuuMglOX8fla71yD3f5wuJxutZ99KDUa9psFiEB9+A//tY9awWw+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t78UAAADcAAAADwAAAAAAAAAA&#10;AAAAAAChAgAAZHJzL2Rvd25yZXYueG1sUEsFBgAAAAAEAAQA+QAAAJMDAAAAAA==&#10;" strokeweight="1.5pt"/>
                      <w10:anchorlock/>
                    </v:group>
                  </w:pict>
                </mc:Fallback>
              </mc:AlternateContent>
            </w:r>
            <w:r w:rsidR="00A31946" w:rsidRPr="00A31946">
              <w:rPr>
                <w:rFonts w:ascii="Arial Narrow" w:hAnsi="Arial Narrow"/>
                <w:b/>
                <w:sz w:val="13"/>
                <w:szCs w:val="13"/>
              </w:rPr>
              <w:t>Section 1:</w:t>
            </w:r>
            <w:r w:rsidR="00A31946">
              <w:rPr>
                <w:rFonts w:ascii="Arial Narrow" w:hAnsi="Arial Narrow"/>
                <w:sz w:val="13"/>
                <w:szCs w:val="13"/>
              </w:rPr>
              <w:t xml:space="preserve"> 3207 (74.13%)</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15:</w:t>
            </w:r>
            <w:r>
              <w:rPr>
                <w:rFonts w:ascii="Arial Narrow" w:hAnsi="Arial Narrow"/>
                <w:sz w:val="13"/>
                <w:szCs w:val="13"/>
              </w:rPr>
              <w:t xml:space="preserve"> 3546 (81.97%)</w:t>
            </w:r>
          </w:p>
        </w:tc>
        <w:tc>
          <w:tcPr>
            <w:tcW w:w="1890" w:type="dxa"/>
            <w:tcBorders>
              <w:top w:val="nil"/>
              <w:left w:val="nil"/>
              <w:bottom w:val="nil"/>
              <w:right w:val="nil"/>
            </w:tcBorders>
            <w:tcMar>
              <w:left w:w="216" w:type="dxa"/>
              <w:right w:w="216" w:type="dxa"/>
            </w:tcMar>
          </w:tcPr>
          <w:p w:rsidR="00FE278F" w:rsidRPr="005926ED" w:rsidRDefault="00A46262" w:rsidP="00224F17">
            <w:pPr>
              <w:spacing w:before="10" w:after="0" w:line="240" w:lineRule="auto"/>
              <w:jc w:val="right"/>
              <w:rPr>
                <w:rFonts w:ascii="Arial Narrow" w:hAnsi="Arial Narrow"/>
                <w:sz w:val="13"/>
                <w:szCs w:val="13"/>
              </w:rPr>
            </w:pPr>
            <w:r>
              <w:rPr>
                <w:rFonts w:ascii="Arial Narrow" w:hAnsi="Arial Narrow"/>
                <w:b/>
                <w:noProof/>
                <w:sz w:val="13"/>
                <w:szCs w:val="13"/>
                <w:lang w:eastAsia="en-AU"/>
              </w:rPr>
              <mc:AlternateContent>
                <mc:Choice Requires="wpg">
                  <w:drawing>
                    <wp:anchor distT="0" distB="0" distL="114300" distR="114300" simplePos="0" relativeHeight="251691008" behindDoc="0" locked="1" layoutInCell="0" allowOverlap="1" wp14:anchorId="4858243D" wp14:editId="7873008A">
                      <wp:simplePos x="0" y="0"/>
                      <wp:positionH relativeFrom="column">
                        <wp:posOffset>5503545</wp:posOffset>
                      </wp:positionH>
                      <wp:positionV relativeFrom="paragraph">
                        <wp:posOffset>41275</wp:posOffset>
                      </wp:positionV>
                      <wp:extent cx="182880" cy="1325880"/>
                      <wp:effectExtent l="0" t="0" r="26670" b="26670"/>
                      <wp:wrapNone/>
                      <wp:docPr id="408" name="Group 408"/>
                      <wp:cNvGraphicFramePr/>
                      <a:graphic xmlns:a="http://schemas.openxmlformats.org/drawingml/2006/main">
                        <a:graphicData uri="http://schemas.microsoft.com/office/word/2010/wordprocessingGroup">
                          <wpg:wgp>
                            <wpg:cNvGrpSpPr/>
                            <wpg:grpSpPr>
                              <a:xfrm>
                                <a:off x="0" y="0"/>
                                <a:ext cx="182880" cy="1325880"/>
                                <a:chOff x="0" y="0"/>
                                <a:chExt cx="182880" cy="1327868"/>
                              </a:xfrm>
                            </wpg:grpSpPr>
                            <wps:wsp>
                              <wps:cNvPr id="361" name="Straight Connector 361"/>
                              <wps:cNvCnPr/>
                              <wps:spPr>
                                <a:xfrm>
                                  <a:off x="0" y="1224501"/>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0" y="1327868"/>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0" y="111318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0" y="10177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a:off x="0" y="9144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0" y="81103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0" y="707666"/>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0" y="620202"/>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0" y="516835"/>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0" y="40551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0" y="3021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0" y="206734"/>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0" y="1033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3761BFF" id="Group 408" o:spid="_x0000_s1026" style="position:absolute;margin-left:433.35pt;margin-top:3.25pt;width:14.4pt;height:104.4pt;z-index:251691008;mso-height-relative:margin" coordsize="1828,1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" o:allowincell="f">
                      <v:line id="Straight Connector 361" o:spid="_x0000_s1027" style="position:absolute;visibility:visible;mso-wrap-style:square" from="0,12245" to="1828,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line id="Straight Connector 362" o:spid="_x0000_s1028" style="position:absolute;visibility:visible;mso-wrap-style:square" from="0,13278" to="1828,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dyMQAAADcAAAADwAAAGRycy9kb3ducmV2LnhtbESPQWvCQBSE74L/YXkFb7qpgkjqKiJY&#10;i7dGCXh7ZJ9JmuzbuLvR9N93C4Ueh5n5hllvB9OKBzlfW1bwOktAEBdW11wquJwP0xUIH5A1tpZJ&#10;wTd52G7GozWm2j75kx5ZKEWEsE9RQRVCl0rpi4oM+pntiKN3s85giNKVUjt8Rrhp5TxJltJgzXGh&#10;wo72FRVN1hsFeZ/x9as5uBb79+Pxlt8bvzgpNXkZdm8gAg3hP/zX/tAKFs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3IxAAAANwAAAAPAAAAAAAAAAAA&#10;AAAAAKECAABkcnMvZG93bnJldi54bWxQSwUGAAAAAAQABAD5AAAAkgMAAAAA&#10;" strokeweight="1.5pt"/>
                      <v:line id="Straight Connector 363" o:spid="_x0000_s1029" style="position:absolute;visibility:visible;mso-wrap-style:square" from="0,11131" to="182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line id="Straight Connector 364" o:spid="_x0000_s1030" style="position:absolute;visibility:visible;mso-wrap-style:square" from="0,10177" to="182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J8QAAADcAAAADwAAAGRycy9kb3ducmV2LnhtbESPQWvCQBSE7wX/w/KE3urGK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AnxAAAANwAAAAPAAAAAAAAAAAA&#10;AAAAAKECAABkcnMvZG93bnJldi54bWxQSwUGAAAAAAQABAD5AAAAkgMAAAAA&#10;" strokeweight="1.5pt"/>
                      <v:line id="Straight Connector 365" o:spid="_x0000_s1031" style="position:absolute;visibility:visible;mso-wrap-style:square" from="0,9144" to="182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3FvMQAAADcAAAADwAAAGRycy9kb3ducmV2LnhtbESPQWvCQBSE7wX/w/KE3urGi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cW8xAAAANwAAAAPAAAAAAAAAAAA&#10;AAAAAKECAABkcnMvZG93bnJldi54bWxQSwUGAAAAAAQABAD5AAAAkgMAAAAA&#10;" strokeweight="1.5pt"/>
                      <v:line id="Straight Connector 366" o:spid="_x0000_s1032" style="position:absolute;visibility:visible;mso-wrap-style:square" from="0,8110" to="1828,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by8QAAADcAAAADwAAAGRycy9kb3ducmV2LnhtbESPT2vCQBTE7wW/w/IEb3VThVCiq5SC&#10;f/DWVARvj+wzSZN9G3c3Gr+9Wyj0OMzMb5jlejCtuJHztWUFb9MEBHFhdc2lguP35vUdhA/IGlvL&#10;pOBBHtar0csSM23v/EW3PJQiQthnqKAKocuk9EVFBv3UdsTRu1hnMETpSqkd3iPctHKWJKk0WHNc&#10;qLCjz4qKJu+NglOf8/mn2bgW++1udzldGz8/KDUZDx8LEIGG8B/+a++1gnma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1vLxAAAANwAAAAPAAAAAAAAAAAA&#10;AAAAAKECAABkcnMvZG93bnJldi54bWxQSwUGAAAAAAQABAD5AAAAkgMAAAAA&#10;" strokeweight="1.5pt"/>
                      <v:line id="Straight Connector 368" o:spid="_x0000_s1033" style="position:absolute;visibility:visible;mso-wrap-style:square" from="0,7076" to="1828,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qIsAAAADcAAAADwAAAGRycy9kb3ducmV2LnhtbERPTYvCMBC9C/sfwizsTdNVEKlGEUFd&#10;9mYVwdvQjG1tM+kmqXb/vTkIHh/ve7HqTSPu5HxlWcH3KAFBnFtdcaHgdNwOZyB8QNbYWCYF/+Rh&#10;tfwYLDDV9sEHumehEDGEfYoKyhDaVEqfl2TQj2xLHLmrdQZDhK6Q2uEjhptGjpNkKg1WHBtKbGlT&#10;Ul5nnVFw7jK+3Oqta7Db7ffX81/tJ79KfX326zmIQH14i1/uH61gMo1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iLAAAAA3AAAAA8AAAAAAAAAAAAAAAAA&#10;oQIAAGRycy9kb3ducmV2LnhtbFBLBQYAAAAABAAEAPkAAACOAwAAAAA=&#10;" strokeweight="1.5pt"/>
                      <v:line id="Straight Connector 369" o:spid="_x0000_s1034" style="position:absolute;visibility:visible;mso-wrap-style:square" from="0,6202" to="182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PucQAAADcAAAADwAAAGRycy9kb3ducmV2LnhtbESPQWvCQBSE7wX/w/IEb3VjBanRVUSw&#10;Sm9Ni+DtkX0mMdm3cXej6b/vCkKPw8x8wyzXvWnEjZyvLCuYjBMQxLnVFRcKfr53r+8gfEDW2Fgm&#10;Bb/kYb0avCwx1fbOX3TLQiEihH2KCsoQ2lRKn5dk0I9tSxy9s3UGQ5SukNrhPcJNI9+SZCYNVhwX&#10;SmxpW1JeZ51RcOwyPl3qnWuw+9jvz8dr7aefSo2G/WYBIlAf/sPP9kErmM7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M+5xAAAANwAAAAPAAAAAAAAAAAA&#10;AAAAAKECAABkcnMvZG93bnJldi54bWxQSwUGAAAAAAQABAD5AAAAkgMAAAAA&#10;" strokeweight="1.5pt"/>
                      <v:line id="Straight Connector 371" o:spid="_x0000_s1035" style="position:absolute;visibility:visible;mso-wrap-style:square" from="0,5168" to="182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VYsUAAADcAAAADwAAAGRycy9kb3ducmV2LnhtbESPT2vCQBTE7wW/w/IEb3VjhVaiq4jg&#10;H3ozLYK3R/aZxGTfprsbjd/eLRR6HGbmN8xi1ZtG3Mj5yrKCyTgBQZxbXXGh4Ptr+zoD4QOyxsYy&#10;KXiQh9Vy8LLAVNs7H+mWhUJECPsUFZQhtKmUPi/JoB/bljh6F+sMhihdIbXDe4SbRr4lybs0WHFc&#10;KLGlTUl5nXVGwanL+Hytt67BbrffX04/tZ9+KjUa9us5iEB9+A//tQ9awfRj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VYsUAAADcAAAADwAAAAAAAAAA&#10;AAAAAAChAgAAZHJzL2Rvd25yZXYueG1sUEsFBgAAAAAEAAQA+QAAAJMDAAAAAA==&#10;" strokeweight="1.5pt"/>
                      <v:line id="Straight Connector 372" o:spid="_x0000_s1036" style="position:absolute;visibility:visible;mso-wrap-style:square" from="0,4055" to="182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UAAADcAAAADwAAAGRycy9kb3ducmV2LnhtbESPT2vCQBTE7wW/w/IEb3WjQivRVUTw&#10;D701LYK3R/aZxGTfxt2Nxm/fLRR6HGbmN8xy3ZtG3Mn5yrKCyTgBQZxbXXGh4Ptr9zoH4QOyxsYy&#10;KXiSh/Vq8LLEVNsHf9I9C4WIEPYpKihDaFMpfV6SQT+2LXH0LtYZDFG6QmqHjwg3jZwmyZs0WHFc&#10;KLGlbUl5nXVGwanL+Hytd67Bbn84XE632s8+lBoN+80CRKA+/If/2ketYPY+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cUAAADcAAAADwAAAAAAAAAA&#10;AAAAAAChAgAAZHJzL2Rvd25yZXYueG1sUEsFBgAAAAAEAAQA+QAAAJMDAAAAAA==&#10;" strokeweight="1.5pt"/>
                      <v:line id="Straight Connector 374" o:spid="_x0000_s1037" style="position:absolute;visibility:visible;mso-wrap-style:square" from="0,3021" to="18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2+sUAAADcAAAADwAAAGRycy9kb3ducmV2LnhtbESPT2vCQBTE7wW/w/IEb3VjL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j2+sUAAADcAAAADwAAAAAAAAAA&#10;AAAAAAChAgAAZHJzL2Rvd25yZXYueG1sUEsFBgAAAAAEAAQA+QAAAJMDAAAAAA==&#10;" strokeweight="1.5pt"/>
                      <v:line id="Straight Connector 375" o:spid="_x0000_s1038" style="position:absolute;visibility:visible;mso-wrap-style:square" from="0,2067" to="1828,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TYcUAAADcAAAADwAAAGRycy9kb3ducmV2LnhtbESPT2vCQBTE7wW/w/IEb3Vjp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RTYcUAAADcAAAADwAAAAAAAAAA&#10;AAAAAAChAgAAZHJzL2Rvd25yZXYueG1sUEsFBgAAAAAEAAQA+QAAAJMDAAAAAA==&#10;" strokeweight="1.5pt"/>
                      <v:line id="Straight Connector 377" o:spid="_x0000_s1039" style="position:absolute;visibility:visible;mso-wrap-style:square" from="0,1033" to="182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pojcQAAADcAAAADwAAAGRycy9kb3ducmV2LnhtbESPQWvCQBSE7wX/w/KE3urGClpSVxHB&#10;WrwZRejtkX0mabJv4+5G4793hUKPw8x8w8yXvWnElZyvLCsYjxIQxLnVFRcKjofN2wcIH5A1NpZJ&#10;wZ08LBeDlzmm2t54T9csFCJC2KeooAyhTaX0eUkG/ci2xNE7W2cwROkKqR3eItw08j1JptJgxXGh&#10;xJbWJeV11hkFpy7jn9964xrsvrbb8+lS+8lOqddhv/oEEagP/+G/9rdWMJn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miNxAAAANwAAAAPAAAAAAAAAAAA&#10;AAAAAKECAABkcnMvZG93bnJldi54bWxQSwUGAAAAAAQABAD5AAAAkgMAAAAA&#10;" strokeweight="1.5pt"/>
                      <v:line id="Straight Connector 378" o:spid="_x0000_s1040"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8/8IAAADcAAAADwAAAGRycy9kb3ducmV2LnhtbERPy2rCQBTdC/2H4Ra600kVakmdSCmo&#10;xV2jBLq7ZG4eTeZOOjPR+PedRcHl4bw328n04kLOt5YVPC8SEMSl1S3XCs6n3fwVhA/IGnvLpOBG&#10;HrbZw2yDqbZX/qJLHmoRQ9inqKAJYUil9GVDBv3CDsSRq6wzGCJ0tdQOrzHc9HKZJC/SYMuxocGB&#10;Phoqu3w0Coox5++fbud6HPeHQ1X8dn51VOrpcXp/AxFoCnfxv/tTK1it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X8/8IAAADcAAAADwAAAAAAAAAAAAAA&#10;AAChAgAAZHJzL2Rvd25yZXYueG1sUEsFBgAAAAAEAAQA+QAAAJADAAAAAA==&#10;" strokeweight="1.5pt"/>
                      <w10:anchorlock/>
                    </v:group>
                  </w:pict>
                </mc:Fallback>
              </mc:AlternateContent>
            </w:r>
            <w:r>
              <w:rPr>
                <w:rFonts w:ascii="Arial Narrow" w:hAnsi="Arial Narrow"/>
                <w:b/>
                <w:noProof/>
                <w:sz w:val="13"/>
                <w:szCs w:val="13"/>
                <w:lang w:eastAsia="en-AU"/>
              </w:rPr>
              <mc:AlternateContent>
                <mc:Choice Requires="wpg">
                  <w:drawing>
                    <wp:anchor distT="0" distB="0" distL="114300" distR="114300" simplePos="0" relativeHeight="251721728" behindDoc="0" locked="1" layoutInCell="0" allowOverlap="1" wp14:anchorId="6EE899CD" wp14:editId="6C614E6C">
                      <wp:simplePos x="0" y="0"/>
                      <wp:positionH relativeFrom="column">
                        <wp:posOffset>1114425</wp:posOffset>
                      </wp:positionH>
                      <wp:positionV relativeFrom="paragraph">
                        <wp:posOffset>36830</wp:posOffset>
                      </wp:positionV>
                      <wp:extent cx="182880" cy="1325880"/>
                      <wp:effectExtent l="0" t="0" r="26670" b="26670"/>
                      <wp:wrapNone/>
                      <wp:docPr id="409" name="Group 409"/>
                      <wp:cNvGraphicFramePr/>
                      <a:graphic xmlns:a="http://schemas.openxmlformats.org/drawingml/2006/main">
                        <a:graphicData uri="http://schemas.microsoft.com/office/word/2010/wordprocessingGroup">
                          <wpg:wgp>
                            <wpg:cNvGrpSpPr/>
                            <wpg:grpSpPr>
                              <a:xfrm>
                                <a:off x="0" y="0"/>
                                <a:ext cx="182880" cy="1325880"/>
                                <a:chOff x="0" y="0"/>
                                <a:chExt cx="182880" cy="1327868"/>
                              </a:xfrm>
                            </wpg:grpSpPr>
                            <wps:wsp>
                              <wps:cNvPr id="393" name="Straight Connector 393"/>
                              <wps:cNvCnPr/>
                              <wps:spPr>
                                <a:xfrm>
                                  <a:off x="0" y="1224501"/>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a:off x="0" y="1327868"/>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a:off x="0" y="111318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a:off x="0" y="10177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0" y="9144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a:off x="0" y="811033"/>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0" y="707666"/>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a:off x="0" y="620202"/>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a:off x="0" y="516835"/>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0" y="40551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0" y="3021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0" y="206734"/>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a:off x="0" y="103367"/>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669F89" id="Group 409" o:spid="_x0000_s1026" style="position:absolute;margin-left:87.75pt;margin-top:2.9pt;width:14.4pt;height:104.4pt;z-index:251721728;mso-height-relative:margin" coordsize="1828,1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" o:allowincell="f">
                      <v:line id="Straight Connector 393" o:spid="_x0000_s1027" style="position:absolute;visibility:visible;mso-wrap-style:square" from="0,12245" to="1828,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IdMQAAADcAAAADwAAAGRycy9kb3ducmV2LnhtbESPQWvCQBSE7wX/w/IEb3WjgVJTVymC&#10;WnprFKG3R/aZpMm+jbsbTf99VxB6HGbmG2a5HkwrruR8bVnBbJqAIC6srrlUcDxsn19B+ICssbVM&#10;Cn7Jw3o1elpipu2Nv+iah1JECPsMFVQhdJmUvqjIoJ/ajjh6Z+sMhihdKbXDW4SbVs6T5EUarDku&#10;VNjRpqKiyXuj4NTn/P3TbF2L/W6/P58ujU8/lZqMh/c3EIGG8B9+tD+0gnSR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Yh0xAAAANwAAAAPAAAAAAAAAAAA&#10;AAAAAKECAABkcnMvZG93bnJldi54bWxQSwUGAAAAAAQABAD5AAAAkgMAAAAA&#10;" strokeweight="1.5pt"/>
                      <v:line id="Straight Connector 394" o:spid="_x0000_s1028" style="position:absolute;visibility:visible;mso-wrap-style:square" from="0,13278" to="1828,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QAMUAAADcAAAADwAAAGRycy9kb3ducmV2LnhtbESPT2vCQBTE7wW/w/IEb3VjL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QAMUAAADcAAAADwAAAAAAAAAA&#10;AAAAAAChAgAAZHJzL2Rvd25yZXYueG1sUEsFBgAAAAAEAAQA+QAAAJMDAAAAAA==&#10;" strokeweight="1.5pt"/>
                      <v:line id="Straight Connector 395" o:spid="_x0000_s1029" style="position:absolute;visibility:visible;mso-wrap-style:square" from="0,11131" to="182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1m8UAAADcAAAADwAAAGRycy9kb3ducmV2LnhtbESPT2vCQBTE7wW/w/IEb3Vjp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1m8UAAADcAAAADwAAAAAAAAAA&#10;AAAAAAChAgAAZHJzL2Rvd25yZXYueG1sUEsFBgAAAAAEAAQA+QAAAJMDAAAAAA==&#10;" strokeweight="1.5pt"/>
                      <v:line id="Straight Connector 396" o:spid="_x0000_s1030" style="position:absolute;visibility:visible;mso-wrap-style:square" from="0,10177" to="182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r7MQAAADcAAAADwAAAGRycy9kb3ducmV2LnhtbESPQWvCQBSE7wX/w/IEb3VjBanRVUSw&#10;Sm9Ni+DtkX0mMdm3cXej6b/vCkKPw8x8wyzXvWnEjZyvLCuYjBMQxLnVFRcKfr53r+8gfEDW2Fgm&#10;Bb/kYb0avCwx1fbOX3TLQiEihH2KCsoQ2lRKn5dk0I9tSxy9s3UGQ5SukNrhPcJNI9+SZCYNVhwX&#10;SmxpW1JeZ51RcOwyPl3qnWuw+9jvz8dr7aefSo2G/WYBIlAf/sPP9kErmM5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ivsxAAAANwAAAAPAAAAAAAAAAAA&#10;AAAAAKECAABkcnMvZG93bnJldi54bWxQSwUGAAAAAAQABAD5AAAAkgMAAAAA&#10;" strokeweight="1.5pt"/>
                      <v:line id="Straight Connector 397" o:spid="_x0000_s1031" style="position:absolute;visibility:visible;mso-wrap-style:square" from="0,9144" to="182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Od8UAAADcAAAADwAAAGRycy9kb3ducmV2LnhtbESPT2vCQBTE7wW/w/IEb3VjhVajq0jB&#10;P/TWVARvj+wzicm+jbsbTb99t1DocZiZ3zDLdW8acSfnK8sKJuMEBHFudcWFguPX9nkGwgdkjY1l&#10;UvBNHtarwdMSU20f/En3LBQiQtinqKAMoU2l9HlJBv3YtsTRu1hnMETpCqkdPiLcNPIlSV6lwYrj&#10;QoktvZeU11lnFJy6jM/Xeusa7Hb7/eV0q/30Q6nRsN8sQATqw3/4r33QCqbz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Od8UAAADcAAAADwAAAAAAAAAA&#10;AAAAAAChAgAAZHJzL2Rvd25yZXYueG1sUEsFBgAAAAAEAAQA+QAAAJMDAAAAAA==&#10;" strokeweight="1.5pt"/>
                      <v:line id="Straight Connector 398" o:spid="_x0000_s1032" style="position:absolute;visibility:visible;mso-wrap-style:square" from="0,8110" to="1828,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aBcIAAADcAAAADwAAAGRycy9kb3ducmV2LnhtbERPy2rCQBTdC/2H4Ra600kVik2dSCmo&#10;xV2jBLq7ZG4eTeZOOjPR+PedRcHl4bw328n04kLOt5YVPC8SEMSl1S3XCs6n3XwNwgdkjb1lUnAj&#10;D9vsYbbBVNsrf9ElD7WIIexTVNCEMKRS+rIhg35hB+LIVdYZDBG6WmqH1xhuerlMkhdpsOXY0OBA&#10;Hw2VXT4aBcWY8/dPt3M9jvvDoSp+O786KvX0OL2/gQg0hbv43/2pFaxe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aBcIAAADcAAAADwAAAAAAAAAAAAAA&#10;AAChAgAAZHJzL2Rvd25yZXYueG1sUEsFBgAAAAAEAAQA+QAAAJADAAAAAA==&#10;" strokeweight="1.5pt"/>
                      <v:line id="Straight Connector 399" o:spid="_x0000_s1033" style="position:absolute;visibility:visible;mso-wrap-style:square" from="0,7076" to="1828,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sQAAADcAAAADwAAAGRycy9kb3ducmV2LnhtbESPQWvCQBSE70L/w/IEb3VjBampq0hB&#10;Ld4aRejtkX0mMdm36e5G03/fFQSPw8x8wyxWvWnElZyvLCuYjBMQxLnVFRcKjofN6zsIH5A1NpZJ&#10;wR95WC1fBgtMtb3xN12zUIgIYZ+igjKENpXS5yUZ9GPbEkfvbJ3BEKUrpHZ4i3DTyLckmUmDFceF&#10;Elv6LCmvs84oOHUZ/1zqjWuw2+5259Nv7ad7pUbDfv0BIlAfnuFH+0srmM7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exAAAANwAAAAPAAAAAAAAAAAA&#10;AAAAAKECAABkcnMvZG93bnJldi54bWxQSwUGAAAAAAQABAD5AAAAkgMAAAAA&#10;" strokeweight="1.5pt"/>
                      <v:line id="Straight Connector 400" o:spid="_x0000_s1034" style="position:absolute;visibility:visible;mso-wrap-style:square" from="0,6202" to="182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line id="Straight Connector 401" o:spid="_x0000_s1035" style="position:absolute;visibility:visible;mso-wrap-style:square" from="0,5168" to="182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Straight Connector 402" o:spid="_x0000_s1036" style="position:absolute;visibility:visible;mso-wrap-style:square" from="0,4055" to="182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1DcQAAADcAAAADwAAAGRycy9kb3ducmV2LnhtbESPQWvCQBSE7wX/w/KE3upGW4p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XUNxAAAANwAAAAPAAAAAAAAAAAA&#10;AAAAAKECAABkcnMvZG93bnJldi54bWxQSwUGAAAAAAQABAD5AAAAkgMAAAAA&#10;" strokeweight="1.5pt"/>
                      <v:line id="Straight Connector 403" o:spid="_x0000_s1037" style="position:absolute;visibility:visible;mso-wrap-style:square" from="0,3021" to="18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QlsQAAADcAAAADwAAAGRycy9kb3ducmV2LnhtbESPQWvCQBSE7wX/w/IEb3VjL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dCWxAAAANwAAAAPAAAAAAAAAAAA&#10;AAAAAKECAABkcnMvZG93bnJldi54bWxQSwUGAAAAAAQABAD5AAAAkgMAAAAA&#10;" strokeweight="1.5pt"/>
                      <v:line id="Straight Connector 404" o:spid="_x0000_s1038" style="position:absolute;visibility:visible;mso-wrap-style:square" from="0,2067" to="1828,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sQAAADcAAAADwAAAGRycy9kb3ducmV2LnhtbESPQWvCQBSE7wX/w/KE3urGK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EjixAAAANwAAAAPAAAAAAAAAAAA&#10;AAAAAKECAABkcnMvZG93bnJldi54bWxQSwUGAAAAAAQABAD5AAAAkgMAAAAA&#10;" strokeweight="1.5pt"/>
                      <v:line id="Straight Connector 405" o:spid="_x0000_s1039" style="position:absolute;visibility:visible;mso-wrap-style:square" from="0,1033" to="182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Straight Connector 406" o:spid="_x0000_s1040"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zDsQAAADcAAAADwAAAGRycy9kb3ducmV2LnhtbESPQWvCQBSE74L/YXkFb7ppK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nMOxAAAANwAAAAPAAAAAAAAAAAA&#10;AAAAAKECAABkcnMvZG93bnJldi54bWxQSwUGAAAAAAQABAD5AAAAkgMAAAAA&#10;" strokeweight="1.5pt"/>
                      <w10:anchorlock/>
                    </v:group>
                  </w:pict>
                </mc:Fallback>
              </mc:AlternateContent>
            </w:r>
            <w:r w:rsidR="00A31946" w:rsidRPr="00D15A1E">
              <w:rPr>
                <w:rFonts w:ascii="Arial Narrow" w:hAnsi="Arial Narrow"/>
                <w:b/>
                <w:sz w:val="13"/>
                <w:szCs w:val="13"/>
              </w:rPr>
              <w:t>Section 1:</w:t>
            </w:r>
            <w:r w:rsidR="00A31946">
              <w:rPr>
                <w:rFonts w:ascii="Arial Narrow" w:hAnsi="Arial Narrow"/>
                <w:sz w:val="13"/>
                <w:szCs w:val="13"/>
              </w:rPr>
              <w:t xml:space="preserve"> </w:t>
            </w:r>
            <w:r w:rsidR="006D73D6">
              <w:rPr>
                <w:rFonts w:ascii="Arial Narrow" w:hAnsi="Arial Narrow"/>
                <w:sz w:val="13"/>
                <w:szCs w:val="13"/>
              </w:rPr>
              <w:t>6968 (82.17</w:t>
            </w:r>
            <w:r w:rsidR="0082317F">
              <w:rPr>
                <w:rFonts w:ascii="Arial Narrow" w:hAnsi="Arial Narrow"/>
                <w:sz w:val="13"/>
                <w:szCs w:val="13"/>
              </w:rPr>
              <w:t>%)</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15:</w:t>
            </w:r>
            <w:r>
              <w:rPr>
                <w:rFonts w:ascii="Arial Narrow" w:hAnsi="Arial Narrow"/>
                <w:sz w:val="13"/>
                <w:szCs w:val="13"/>
              </w:rPr>
              <w:t xml:space="preserve"> 7338 (86.53%)</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2:</w:t>
            </w:r>
            <w:r w:rsidRPr="005926ED">
              <w:rPr>
                <w:rFonts w:ascii="Arial Narrow" w:hAnsi="Arial Narrow"/>
                <w:sz w:val="13"/>
                <w:szCs w:val="13"/>
              </w:rPr>
              <w:t xml:space="preserve"> 10954 (85.54%)</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16: 10902 (85.13%)</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2:</w:t>
            </w:r>
            <w:r>
              <w:rPr>
                <w:rFonts w:ascii="Arial Narrow" w:hAnsi="Arial Narrow"/>
                <w:sz w:val="13"/>
                <w:szCs w:val="13"/>
              </w:rPr>
              <w:t xml:space="preserve"> 3546 (81.97%)</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16:</w:t>
            </w:r>
            <w:r>
              <w:rPr>
                <w:rFonts w:ascii="Arial Narrow" w:hAnsi="Arial Narrow"/>
                <w:sz w:val="13"/>
                <w:szCs w:val="13"/>
              </w:rPr>
              <w:t xml:space="preserve"> 3549 (82.04%)</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2:</w:t>
            </w:r>
            <w:r>
              <w:rPr>
                <w:rFonts w:ascii="Arial Narrow" w:hAnsi="Arial Narrow"/>
                <w:sz w:val="13"/>
                <w:szCs w:val="13"/>
              </w:rPr>
              <w:t xml:space="preserve"> 7408 (87.38</w:t>
            </w:r>
            <w:r w:rsidR="0082317F">
              <w:rPr>
                <w:rFonts w:ascii="Arial Narrow" w:hAnsi="Arial Narrow"/>
                <w:sz w:val="13"/>
                <w:szCs w:val="13"/>
              </w:rPr>
              <w:t>%)</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16:</w:t>
            </w:r>
            <w:r>
              <w:rPr>
                <w:rFonts w:ascii="Arial Narrow" w:hAnsi="Arial Narrow"/>
                <w:sz w:val="13"/>
                <w:szCs w:val="13"/>
              </w:rPr>
              <w:t xml:space="preserve"> 7353 (86.71%)</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3:</w:t>
            </w:r>
            <w:r w:rsidRPr="005926ED">
              <w:rPr>
                <w:rFonts w:ascii="Arial Narrow" w:hAnsi="Arial Narrow"/>
                <w:sz w:val="13"/>
                <w:szCs w:val="13"/>
              </w:rPr>
              <w:t xml:space="preserve"> 12387 (96.73%)</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17: 10889 (85.03%)</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3:</w:t>
            </w:r>
            <w:r>
              <w:rPr>
                <w:rFonts w:ascii="Arial Narrow" w:hAnsi="Arial Narrow"/>
                <w:sz w:val="13"/>
                <w:szCs w:val="13"/>
              </w:rPr>
              <w:t xml:space="preserve"> 4155 (96.05%)</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17:</w:t>
            </w:r>
            <w:r>
              <w:rPr>
                <w:rFonts w:ascii="Arial Narrow" w:hAnsi="Arial Narrow"/>
                <w:sz w:val="13"/>
                <w:szCs w:val="13"/>
              </w:rPr>
              <w:t xml:space="preserve"> 3543 (81.90%)</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3:</w:t>
            </w:r>
            <w:r>
              <w:rPr>
                <w:rFonts w:ascii="Arial Narrow" w:hAnsi="Arial Narrow"/>
                <w:sz w:val="13"/>
                <w:szCs w:val="13"/>
              </w:rPr>
              <w:t xml:space="preserve"> </w:t>
            </w:r>
            <w:r w:rsidR="00D15A1E">
              <w:rPr>
                <w:rFonts w:ascii="Arial Narrow" w:hAnsi="Arial Narrow"/>
                <w:sz w:val="13"/>
                <w:szCs w:val="13"/>
              </w:rPr>
              <w:t>8232 (97.08%)</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17:</w:t>
            </w:r>
            <w:r>
              <w:rPr>
                <w:rFonts w:ascii="Arial Narrow" w:hAnsi="Arial Narrow"/>
                <w:sz w:val="13"/>
                <w:szCs w:val="13"/>
              </w:rPr>
              <w:t xml:space="preserve"> 7346 (86.63%)</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4:</w:t>
            </w:r>
            <w:r w:rsidRPr="005926ED">
              <w:rPr>
                <w:rFonts w:ascii="Arial Narrow" w:hAnsi="Arial Narrow"/>
                <w:sz w:val="13"/>
                <w:szCs w:val="13"/>
              </w:rPr>
              <w:t xml:space="preserve"> 12016 (93.83%)</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18: 10839 (84.64%)</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4:</w:t>
            </w:r>
            <w:r>
              <w:rPr>
                <w:rFonts w:ascii="Arial Narrow" w:hAnsi="Arial Narrow"/>
                <w:sz w:val="13"/>
                <w:szCs w:val="13"/>
              </w:rPr>
              <w:t xml:space="preserve"> 4004 (92.56%)</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18:</w:t>
            </w:r>
            <w:r>
              <w:rPr>
                <w:rFonts w:ascii="Arial Narrow" w:hAnsi="Arial Narrow"/>
                <w:sz w:val="13"/>
                <w:szCs w:val="13"/>
              </w:rPr>
              <w:t xml:space="preserve"> 3522 (81.41%)</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4:</w:t>
            </w:r>
            <w:r w:rsidR="00D15A1E">
              <w:rPr>
                <w:rFonts w:ascii="Arial Narrow" w:hAnsi="Arial Narrow"/>
                <w:sz w:val="13"/>
                <w:szCs w:val="13"/>
              </w:rPr>
              <w:t xml:space="preserve"> 8012 (94.48%)</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18:</w:t>
            </w:r>
            <w:r>
              <w:rPr>
                <w:rFonts w:ascii="Arial Narrow" w:hAnsi="Arial Narrow"/>
                <w:sz w:val="13"/>
                <w:szCs w:val="13"/>
              </w:rPr>
              <w:t xml:space="preserve"> 7317 (86.29%)</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5:</w:t>
            </w:r>
            <w:r w:rsidRPr="005926ED">
              <w:rPr>
                <w:rFonts w:ascii="Arial Narrow" w:hAnsi="Arial Narrow"/>
                <w:sz w:val="13"/>
                <w:szCs w:val="13"/>
              </w:rPr>
              <w:t xml:space="preserve"> 11804 (92.18%)</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19: 10828 (84.55%)</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5:</w:t>
            </w:r>
            <w:r>
              <w:rPr>
                <w:rFonts w:ascii="Arial Narrow" w:hAnsi="Arial Narrow"/>
                <w:sz w:val="13"/>
                <w:szCs w:val="13"/>
              </w:rPr>
              <w:t xml:space="preserve"> 3901 (90.18%)</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19:</w:t>
            </w:r>
            <w:r>
              <w:rPr>
                <w:rFonts w:ascii="Arial Narrow" w:hAnsi="Arial Narrow"/>
                <w:sz w:val="13"/>
                <w:szCs w:val="13"/>
              </w:rPr>
              <w:t xml:space="preserve"> 3514 (81.23%)</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5:</w:t>
            </w:r>
            <w:r w:rsidR="00D15A1E">
              <w:rPr>
                <w:rFonts w:ascii="Arial Narrow" w:hAnsi="Arial Narrow"/>
                <w:sz w:val="13"/>
                <w:szCs w:val="13"/>
              </w:rPr>
              <w:t xml:space="preserve"> 7903 (93.20%)</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19:</w:t>
            </w:r>
            <w:r>
              <w:rPr>
                <w:rFonts w:ascii="Arial Narrow" w:hAnsi="Arial Narrow"/>
                <w:sz w:val="13"/>
                <w:szCs w:val="13"/>
              </w:rPr>
              <w:t xml:space="preserve"> 7314 (86.25%)</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6:</w:t>
            </w:r>
            <w:r w:rsidRPr="005926ED">
              <w:rPr>
                <w:rFonts w:ascii="Arial Narrow" w:hAnsi="Arial Narrow"/>
                <w:sz w:val="13"/>
                <w:szCs w:val="13"/>
              </w:rPr>
              <w:t xml:space="preserve"> 11783 (92.01%)</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20: 10811 (84.42%)</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6:</w:t>
            </w:r>
            <w:r>
              <w:rPr>
                <w:rFonts w:ascii="Arial Narrow" w:hAnsi="Arial Narrow"/>
                <w:sz w:val="13"/>
                <w:szCs w:val="13"/>
              </w:rPr>
              <w:t xml:space="preserve"> 3899 (90.13%)</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20:</w:t>
            </w:r>
            <w:r>
              <w:rPr>
                <w:rFonts w:ascii="Arial Narrow" w:hAnsi="Arial Narrow"/>
                <w:sz w:val="13"/>
                <w:szCs w:val="13"/>
              </w:rPr>
              <w:t xml:space="preserve"> 3501 (80.93%)</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6:</w:t>
            </w:r>
            <w:r w:rsidR="00D15A1E">
              <w:rPr>
                <w:rFonts w:ascii="Arial Narrow" w:hAnsi="Arial Narrow"/>
                <w:sz w:val="13"/>
                <w:szCs w:val="13"/>
              </w:rPr>
              <w:t xml:space="preserve"> 7884 (92.97%)</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20:</w:t>
            </w:r>
            <w:r>
              <w:rPr>
                <w:rFonts w:ascii="Arial Narrow" w:hAnsi="Arial Narrow"/>
                <w:sz w:val="13"/>
                <w:szCs w:val="13"/>
              </w:rPr>
              <w:t xml:space="preserve"> 7310 (86.20%)</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7:</w:t>
            </w:r>
            <w:r w:rsidRPr="005926ED">
              <w:rPr>
                <w:rFonts w:ascii="Arial Narrow" w:hAnsi="Arial Narrow"/>
                <w:sz w:val="13"/>
                <w:szCs w:val="13"/>
              </w:rPr>
              <w:t xml:space="preserve"> 11681 (91.22%)</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21: 10743 (83.89%)</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7:</w:t>
            </w:r>
            <w:r>
              <w:rPr>
                <w:rFonts w:ascii="Arial Narrow" w:hAnsi="Arial Narrow"/>
                <w:sz w:val="13"/>
                <w:szCs w:val="13"/>
              </w:rPr>
              <w:t xml:space="preserve"> 3846 (88.90%)</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21:</w:t>
            </w:r>
            <w:r>
              <w:rPr>
                <w:rFonts w:ascii="Arial Narrow" w:hAnsi="Arial Narrow"/>
                <w:sz w:val="13"/>
                <w:szCs w:val="13"/>
              </w:rPr>
              <w:t xml:space="preserve"> 3478 (80.40%)</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7:</w:t>
            </w:r>
            <w:r w:rsidR="00D15A1E">
              <w:rPr>
                <w:rFonts w:ascii="Arial Narrow" w:hAnsi="Arial Narrow"/>
                <w:sz w:val="13"/>
                <w:szCs w:val="13"/>
              </w:rPr>
              <w:t xml:space="preserve"> 7835 (92.39%)</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21:</w:t>
            </w:r>
            <w:r>
              <w:rPr>
                <w:rFonts w:ascii="Arial Narrow" w:hAnsi="Arial Narrow"/>
                <w:sz w:val="13"/>
                <w:szCs w:val="13"/>
              </w:rPr>
              <w:t xml:space="preserve"> 7265 (85.67%)</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8:</w:t>
            </w:r>
            <w:r w:rsidRPr="005926ED">
              <w:rPr>
                <w:rFonts w:ascii="Arial Narrow" w:hAnsi="Arial Narrow"/>
                <w:sz w:val="13"/>
                <w:szCs w:val="13"/>
              </w:rPr>
              <w:t xml:space="preserve"> 11480 (89.65%)</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22: 10766 (84.07%)</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8:</w:t>
            </w:r>
            <w:r>
              <w:rPr>
                <w:rFonts w:ascii="Arial Narrow" w:hAnsi="Arial Narrow"/>
                <w:sz w:val="13"/>
                <w:szCs w:val="13"/>
              </w:rPr>
              <w:t xml:space="preserve"> 3779 (87.36%)</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22:</w:t>
            </w:r>
            <w:r>
              <w:rPr>
                <w:rFonts w:ascii="Arial Narrow" w:hAnsi="Arial Narrow"/>
                <w:sz w:val="13"/>
                <w:szCs w:val="13"/>
              </w:rPr>
              <w:t xml:space="preserve"> 3482 (80.49%)</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8:</w:t>
            </w:r>
            <w:r w:rsidR="00D15A1E">
              <w:rPr>
                <w:rFonts w:ascii="Arial Narrow" w:hAnsi="Arial Narrow"/>
                <w:sz w:val="13"/>
                <w:szCs w:val="13"/>
              </w:rPr>
              <w:t xml:space="preserve"> 7701 (90.81%)</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22:</w:t>
            </w:r>
            <w:r>
              <w:rPr>
                <w:rFonts w:ascii="Arial Narrow" w:hAnsi="Arial Narrow"/>
                <w:sz w:val="13"/>
                <w:szCs w:val="13"/>
              </w:rPr>
              <w:t xml:space="preserve"> 7284 (85.90%)</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9:</w:t>
            </w:r>
            <w:r w:rsidRPr="005926ED">
              <w:rPr>
                <w:rFonts w:ascii="Arial Narrow" w:hAnsi="Arial Narrow"/>
                <w:sz w:val="13"/>
                <w:szCs w:val="13"/>
              </w:rPr>
              <w:t xml:space="preserve"> 11361 (88.72%)</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23: 10739 (83.86%)</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9:</w:t>
            </w:r>
            <w:r>
              <w:rPr>
                <w:rFonts w:ascii="Arial Narrow" w:hAnsi="Arial Narrow"/>
                <w:sz w:val="13"/>
                <w:szCs w:val="13"/>
              </w:rPr>
              <w:t xml:space="preserve"> 3727 (86.15%)</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23:</w:t>
            </w:r>
            <w:r>
              <w:rPr>
                <w:rFonts w:ascii="Arial Narrow" w:hAnsi="Arial Narrow"/>
                <w:sz w:val="13"/>
                <w:szCs w:val="13"/>
              </w:rPr>
              <w:t xml:space="preserve"> 3473 (80.28%)</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9:</w:t>
            </w:r>
            <w:r w:rsidR="00D15A1E">
              <w:rPr>
                <w:rFonts w:ascii="Arial Narrow" w:hAnsi="Arial Narrow"/>
                <w:sz w:val="13"/>
                <w:szCs w:val="13"/>
              </w:rPr>
              <w:t xml:space="preserve"> 7634 (90.02%)</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23:</w:t>
            </w:r>
            <w:r>
              <w:rPr>
                <w:rFonts w:ascii="Arial Narrow" w:hAnsi="Arial Narrow"/>
                <w:sz w:val="13"/>
                <w:szCs w:val="13"/>
              </w:rPr>
              <w:t xml:space="preserve"> 7266 (85.68%)</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10:</w:t>
            </w:r>
            <w:r w:rsidRPr="005926ED">
              <w:rPr>
                <w:rFonts w:ascii="Arial Narrow" w:hAnsi="Arial Narrow"/>
                <w:sz w:val="13"/>
                <w:szCs w:val="13"/>
              </w:rPr>
              <w:t xml:space="preserve"> 11333 (88.50%)</w:t>
            </w:r>
          </w:p>
        </w:tc>
        <w:tc>
          <w:tcPr>
            <w:tcW w:w="1530" w:type="dxa"/>
            <w:tcBorders>
              <w:top w:val="nil"/>
              <w:left w:val="nil"/>
              <w:bottom w:val="nil"/>
              <w:right w:val="nil"/>
            </w:tcBorders>
            <w:tcMar>
              <w:left w:w="202" w:type="dxa"/>
              <w:right w:w="187" w:type="dxa"/>
            </w:tcMar>
          </w:tcPr>
          <w:p w:rsidR="00FE278F" w:rsidRPr="005926ED" w:rsidRDefault="00DD7654" w:rsidP="00224F17">
            <w:pPr>
              <w:spacing w:before="10" w:after="0" w:line="240" w:lineRule="auto"/>
              <w:rPr>
                <w:rFonts w:ascii="Arial Narrow" w:hAnsi="Arial Narrow"/>
                <w:sz w:val="13"/>
                <w:szCs w:val="13"/>
              </w:rPr>
            </w:pPr>
            <w:r w:rsidRPr="005926ED">
              <w:rPr>
                <w:rFonts w:ascii="Arial Narrow" w:hAnsi="Arial Narrow"/>
                <w:sz w:val="13"/>
                <w:szCs w:val="13"/>
              </w:rPr>
              <w:t>24: 10735 (83.83%)</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10:</w:t>
            </w:r>
            <w:r>
              <w:rPr>
                <w:rFonts w:ascii="Arial Narrow" w:hAnsi="Arial Narrow"/>
                <w:sz w:val="13"/>
                <w:szCs w:val="13"/>
              </w:rPr>
              <w:t xml:space="preserve"> 3719 (85.97%)</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24:</w:t>
            </w:r>
            <w:r>
              <w:rPr>
                <w:rFonts w:ascii="Arial Narrow" w:hAnsi="Arial Narrow"/>
                <w:sz w:val="13"/>
                <w:szCs w:val="13"/>
              </w:rPr>
              <w:t xml:space="preserve"> 3471 (80.24%)</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10:</w:t>
            </w:r>
            <w:r w:rsidR="00D15A1E">
              <w:rPr>
                <w:rFonts w:ascii="Arial Narrow" w:hAnsi="Arial Narrow"/>
                <w:sz w:val="13"/>
                <w:szCs w:val="13"/>
              </w:rPr>
              <w:t xml:space="preserve"> 7614 (89.79%)</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24:</w:t>
            </w:r>
            <w:r>
              <w:rPr>
                <w:rFonts w:ascii="Arial Narrow" w:hAnsi="Arial Narrow"/>
                <w:sz w:val="13"/>
                <w:szCs w:val="13"/>
              </w:rPr>
              <w:t xml:space="preserve"> 7264 (85.66%)</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11:</w:t>
            </w:r>
            <w:r w:rsidRPr="005926ED">
              <w:rPr>
                <w:rFonts w:ascii="Arial Narrow" w:hAnsi="Arial Narrow"/>
                <w:sz w:val="13"/>
                <w:szCs w:val="13"/>
              </w:rPr>
              <w:t xml:space="preserve"> 11342 (88.57%)</w:t>
            </w:r>
          </w:p>
        </w:tc>
        <w:tc>
          <w:tcPr>
            <w:tcW w:w="1530" w:type="dxa"/>
            <w:tcBorders>
              <w:top w:val="nil"/>
              <w:left w:val="nil"/>
              <w:bottom w:val="nil"/>
              <w:right w:val="nil"/>
            </w:tcBorders>
            <w:tcMar>
              <w:left w:w="202" w:type="dxa"/>
              <w:right w:w="187" w:type="dxa"/>
            </w:tcMar>
          </w:tcPr>
          <w:p w:rsidR="00FE278F" w:rsidRPr="005926ED" w:rsidRDefault="00FE278F" w:rsidP="00224F17">
            <w:pPr>
              <w:spacing w:before="10" w:after="0" w:line="240" w:lineRule="auto"/>
              <w:rPr>
                <w:rFonts w:ascii="Arial Narrow" w:hAnsi="Arial Narrow"/>
                <w:sz w:val="13"/>
                <w:szCs w:val="13"/>
              </w:rPr>
            </w:pPr>
            <w:r w:rsidRPr="005926ED">
              <w:rPr>
                <w:rFonts w:ascii="Arial Narrow" w:hAnsi="Arial Narrow"/>
                <w:sz w:val="13"/>
                <w:szCs w:val="13"/>
              </w:rPr>
              <w:t>25:</w:t>
            </w:r>
            <w:r w:rsidR="00DD7654" w:rsidRPr="005926ED">
              <w:rPr>
                <w:rFonts w:ascii="Arial Narrow" w:hAnsi="Arial Narrow"/>
                <w:sz w:val="13"/>
                <w:szCs w:val="13"/>
              </w:rPr>
              <w:t>10722 (83.73%)</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11:</w:t>
            </w:r>
            <w:r>
              <w:rPr>
                <w:rFonts w:ascii="Arial Narrow" w:hAnsi="Arial Narrow"/>
                <w:sz w:val="13"/>
                <w:szCs w:val="13"/>
              </w:rPr>
              <w:t xml:space="preserve"> 3724 (86.08%)</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25:</w:t>
            </w:r>
            <w:r>
              <w:rPr>
                <w:rFonts w:ascii="Arial Narrow" w:hAnsi="Arial Narrow"/>
                <w:sz w:val="13"/>
                <w:szCs w:val="13"/>
              </w:rPr>
              <w:t xml:space="preserve"> 3473 (80.28%)</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11:</w:t>
            </w:r>
            <w:r w:rsidR="00D15A1E">
              <w:rPr>
                <w:rFonts w:ascii="Arial Narrow" w:hAnsi="Arial Narrow"/>
                <w:sz w:val="13"/>
                <w:szCs w:val="13"/>
              </w:rPr>
              <w:t xml:space="preserve"> 7618 (89.83%)</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25:</w:t>
            </w:r>
            <w:r>
              <w:rPr>
                <w:rFonts w:ascii="Arial Narrow" w:hAnsi="Arial Narrow"/>
                <w:sz w:val="13"/>
                <w:szCs w:val="13"/>
              </w:rPr>
              <w:t xml:space="preserve"> 7249 (85.48%)</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12:</w:t>
            </w:r>
            <w:r w:rsidRPr="005926ED">
              <w:rPr>
                <w:rFonts w:ascii="Arial Narrow" w:hAnsi="Arial Narrow"/>
                <w:sz w:val="13"/>
                <w:szCs w:val="13"/>
              </w:rPr>
              <w:t xml:space="preserve"> 10979 (85.73%)</w:t>
            </w:r>
          </w:p>
        </w:tc>
        <w:tc>
          <w:tcPr>
            <w:tcW w:w="1530" w:type="dxa"/>
            <w:tcBorders>
              <w:top w:val="nil"/>
              <w:left w:val="nil"/>
              <w:bottom w:val="nil"/>
              <w:right w:val="nil"/>
            </w:tcBorders>
            <w:tcMar>
              <w:left w:w="202" w:type="dxa"/>
              <w:right w:w="187" w:type="dxa"/>
            </w:tcMar>
          </w:tcPr>
          <w:p w:rsidR="00FE278F" w:rsidRPr="005926ED" w:rsidRDefault="00FE278F" w:rsidP="00224F17">
            <w:pPr>
              <w:spacing w:before="10" w:after="0" w:line="240" w:lineRule="auto"/>
              <w:rPr>
                <w:rFonts w:ascii="Arial Narrow" w:hAnsi="Arial Narrow"/>
                <w:sz w:val="13"/>
                <w:szCs w:val="13"/>
              </w:rPr>
            </w:pPr>
            <w:r w:rsidRPr="005926ED">
              <w:rPr>
                <w:rFonts w:ascii="Arial Narrow" w:hAnsi="Arial Narrow"/>
                <w:sz w:val="13"/>
                <w:szCs w:val="13"/>
              </w:rPr>
              <w:t>26: 10495 (81.95%)</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12:</w:t>
            </w:r>
            <w:r>
              <w:rPr>
                <w:rFonts w:ascii="Arial Narrow" w:hAnsi="Arial Narrow"/>
                <w:sz w:val="13"/>
                <w:szCs w:val="13"/>
              </w:rPr>
              <w:t xml:space="preserve"> 3571 (82.55%)</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26:</w:t>
            </w:r>
            <w:r>
              <w:rPr>
                <w:rFonts w:ascii="Arial Narrow" w:hAnsi="Arial Narrow"/>
                <w:sz w:val="13"/>
                <w:szCs w:val="13"/>
              </w:rPr>
              <w:t xml:space="preserve"> 3387 (78.29%)</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12:</w:t>
            </w:r>
            <w:r w:rsidR="00D15A1E">
              <w:rPr>
                <w:rFonts w:ascii="Arial Narrow" w:hAnsi="Arial Narrow"/>
                <w:sz w:val="13"/>
                <w:szCs w:val="13"/>
              </w:rPr>
              <w:t xml:space="preserve"> 7408 (87.36%)</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26:</w:t>
            </w:r>
            <w:r>
              <w:rPr>
                <w:rFonts w:ascii="Arial Narrow" w:hAnsi="Arial Narrow"/>
                <w:sz w:val="13"/>
                <w:szCs w:val="13"/>
              </w:rPr>
              <w:t xml:space="preserve"> 7108 (83.82%)</w:t>
            </w:r>
          </w:p>
        </w:tc>
      </w:tr>
      <w:tr w:rsidR="00FE278F" w:rsidRPr="00FE278F" w:rsidTr="00224F17">
        <w:trPr>
          <w:cantSplit/>
        </w:trPr>
        <w:tc>
          <w:tcPr>
            <w:tcW w:w="2005" w:type="dxa"/>
            <w:tcBorders>
              <w:top w:val="nil"/>
              <w:bottom w:val="nil"/>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r w:rsidRPr="00A31946">
              <w:rPr>
                <w:rFonts w:ascii="Arial Narrow" w:hAnsi="Arial Narrow"/>
                <w:b/>
                <w:sz w:val="13"/>
                <w:szCs w:val="13"/>
              </w:rPr>
              <w:t>13:</w:t>
            </w:r>
            <w:r w:rsidRPr="005926ED">
              <w:rPr>
                <w:rFonts w:ascii="Arial Narrow" w:hAnsi="Arial Narrow"/>
                <w:sz w:val="13"/>
                <w:szCs w:val="13"/>
              </w:rPr>
              <w:t xml:space="preserve"> 10898 (85.10%)</w:t>
            </w:r>
          </w:p>
        </w:tc>
        <w:tc>
          <w:tcPr>
            <w:tcW w:w="1530" w:type="dxa"/>
            <w:tcBorders>
              <w:top w:val="nil"/>
              <w:left w:val="nil"/>
              <w:bottom w:val="nil"/>
              <w:right w:val="nil"/>
            </w:tcBorders>
            <w:tcMar>
              <w:left w:w="202" w:type="dxa"/>
              <w:right w:w="187" w:type="dxa"/>
            </w:tcMar>
          </w:tcPr>
          <w:p w:rsidR="00FE278F" w:rsidRPr="005926ED" w:rsidRDefault="00FE278F" w:rsidP="00224F17">
            <w:pPr>
              <w:spacing w:before="10" w:after="0" w:line="240" w:lineRule="auto"/>
              <w:rPr>
                <w:rFonts w:ascii="Arial Narrow" w:hAnsi="Arial Narrow"/>
                <w:sz w:val="13"/>
                <w:szCs w:val="13"/>
              </w:rPr>
            </w:pPr>
            <w:r w:rsidRPr="005926ED">
              <w:rPr>
                <w:rFonts w:ascii="Arial Narrow" w:hAnsi="Arial Narrow"/>
                <w:sz w:val="13"/>
                <w:szCs w:val="13"/>
              </w:rPr>
              <w:t>27: 10360 (80.90%)</w:t>
            </w:r>
          </w:p>
        </w:tc>
        <w:tc>
          <w:tcPr>
            <w:tcW w:w="1890" w:type="dxa"/>
            <w:tcBorders>
              <w:top w:val="nil"/>
              <w:left w:val="nil"/>
              <w:bottom w:val="nil"/>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13:</w:t>
            </w:r>
            <w:r>
              <w:rPr>
                <w:rFonts w:ascii="Arial Narrow" w:hAnsi="Arial Narrow"/>
                <w:sz w:val="13"/>
                <w:szCs w:val="13"/>
              </w:rPr>
              <w:t xml:space="preserve"> 3545 (81.95%)</w:t>
            </w:r>
          </w:p>
        </w:tc>
        <w:tc>
          <w:tcPr>
            <w:tcW w:w="1620" w:type="dxa"/>
            <w:tcBorders>
              <w:top w:val="nil"/>
              <w:left w:val="nil"/>
              <w:bottom w:val="nil"/>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27:</w:t>
            </w:r>
            <w:r>
              <w:rPr>
                <w:rFonts w:ascii="Arial Narrow" w:hAnsi="Arial Narrow"/>
                <w:sz w:val="13"/>
                <w:szCs w:val="13"/>
              </w:rPr>
              <w:t xml:space="preserve"> 3386 (78.27%)</w:t>
            </w:r>
          </w:p>
        </w:tc>
        <w:tc>
          <w:tcPr>
            <w:tcW w:w="1890" w:type="dxa"/>
            <w:tcBorders>
              <w:top w:val="nil"/>
              <w:left w:val="nil"/>
              <w:bottom w:val="nil"/>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13:</w:t>
            </w:r>
            <w:r w:rsidR="00D15A1E">
              <w:rPr>
                <w:rFonts w:ascii="Arial Narrow" w:hAnsi="Arial Narrow"/>
                <w:sz w:val="13"/>
                <w:szCs w:val="13"/>
              </w:rPr>
              <w:t xml:space="preserve"> 7353 (86.71%)</w:t>
            </w:r>
          </w:p>
        </w:tc>
        <w:tc>
          <w:tcPr>
            <w:tcW w:w="2585" w:type="dxa"/>
            <w:tcBorders>
              <w:top w:val="nil"/>
              <w:left w:val="nil"/>
              <w:bottom w:val="nil"/>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27:</w:t>
            </w:r>
            <w:r>
              <w:rPr>
                <w:rFonts w:ascii="Arial Narrow" w:hAnsi="Arial Narrow"/>
                <w:sz w:val="13"/>
                <w:szCs w:val="13"/>
              </w:rPr>
              <w:t xml:space="preserve"> 6974 (82.24%)</w:t>
            </w:r>
          </w:p>
        </w:tc>
      </w:tr>
      <w:tr w:rsidR="00FE278F" w:rsidRPr="00FE278F" w:rsidTr="00224F17">
        <w:trPr>
          <w:cantSplit/>
        </w:trPr>
        <w:tc>
          <w:tcPr>
            <w:tcW w:w="2005" w:type="dxa"/>
            <w:tcBorders>
              <w:top w:val="nil"/>
              <w:bottom w:val="single" w:sz="4" w:space="0" w:color="auto"/>
              <w:right w:val="nil"/>
            </w:tcBorders>
            <w:tcMar>
              <w:left w:w="216" w:type="dxa"/>
              <w:right w:w="216" w:type="dxa"/>
            </w:tcMar>
          </w:tcPr>
          <w:p w:rsidR="00FE278F" w:rsidRPr="005926ED" w:rsidRDefault="00FE278F" w:rsidP="00224F17">
            <w:pPr>
              <w:spacing w:before="10" w:after="0" w:line="240" w:lineRule="auto"/>
              <w:jc w:val="right"/>
              <w:rPr>
                <w:rFonts w:ascii="Arial Narrow" w:hAnsi="Arial Narrow"/>
                <w:sz w:val="13"/>
                <w:szCs w:val="13"/>
              </w:rPr>
            </w:pPr>
          </w:p>
        </w:tc>
        <w:tc>
          <w:tcPr>
            <w:tcW w:w="1530" w:type="dxa"/>
            <w:tcBorders>
              <w:top w:val="nil"/>
              <w:left w:val="nil"/>
              <w:bottom w:val="single" w:sz="4" w:space="0" w:color="auto"/>
              <w:right w:val="nil"/>
            </w:tcBorders>
            <w:tcMar>
              <w:left w:w="202" w:type="dxa"/>
              <w:right w:w="187" w:type="dxa"/>
            </w:tcMar>
          </w:tcPr>
          <w:p w:rsidR="00FE278F" w:rsidRPr="005926ED" w:rsidRDefault="00FE278F" w:rsidP="00224F17">
            <w:pPr>
              <w:spacing w:before="10" w:after="0" w:line="240" w:lineRule="auto"/>
              <w:rPr>
                <w:rFonts w:ascii="Arial Narrow" w:hAnsi="Arial Narrow"/>
                <w:sz w:val="13"/>
                <w:szCs w:val="13"/>
              </w:rPr>
            </w:pPr>
            <w:r w:rsidRPr="005926ED">
              <w:rPr>
                <w:rFonts w:ascii="Arial Narrow" w:hAnsi="Arial Narrow"/>
                <w:sz w:val="13"/>
                <w:szCs w:val="13"/>
              </w:rPr>
              <w:t>28: 10624 (82.96%)</w:t>
            </w:r>
          </w:p>
        </w:tc>
        <w:tc>
          <w:tcPr>
            <w:tcW w:w="1890" w:type="dxa"/>
            <w:tcBorders>
              <w:top w:val="nil"/>
              <w:left w:val="nil"/>
              <w:bottom w:val="single" w:sz="4" w:space="0" w:color="auto"/>
              <w:right w:val="nil"/>
            </w:tcBorders>
            <w:tcMar>
              <w:left w:w="216" w:type="dxa"/>
              <w:right w:w="216" w:type="dxa"/>
            </w:tcMar>
          </w:tcPr>
          <w:p w:rsidR="00FE278F" w:rsidRPr="005926ED" w:rsidRDefault="00A31946" w:rsidP="00224F17">
            <w:pPr>
              <w:spacing w:before="10" w:after="0" w:line="240" w:lineRule="auto"/>
              <w:jc w:val="right"/>
              <w:rPr>
                <w:rFonts w:ascii="Arial Narrow" w:hAnsi="Arial Narrow"/>
                <w:sz w:val="13"/>
                <w:szCs w:val="13"/>
              </w:rPr>
            </w:pPr>
            <w:r w:rsidRPr="00A31946">
              <w:rPr>
                <w:rFonts w:ascii="Arial Narrow" w:hAnsi="Arial Narrow"/>
                <w:b/>
                <w:sz w:val="13"/>
                <w:szCs w:val="13"/>
              </w:rPr>
              <w:t>14:</w:t>
            </w:r>
            <w:r>
              <w:rPr>
                <w:rFonts w:ascii="Arial Narrow" w:hAnsi="Arial Narrow"/>
                <w:sz w:val="13"/>
                <w:szCs w:val="13"/>
              </w:rPr>
              <w:t xml:space="preserve"> 3524 (81.46%)</w:t>
            </w:r>
          </w:p>
        </w:tc>
        <w:tc>
          <w:tcPr>
            <w:tcW w:w="1620" w:type="dxa"/>
            <w:tcBorders>
              <w:top w:val="nil"/>
              <w:left w:val="nil"/>
              <w:bottom w:val="single" w:sz="4" w:space="0" w:color="auto"/>
              <w:right w:val="nil"/>
            </w:tcBorders>
            <w:tcMar>
              <w:left w:w="202" w:type="dxa"/>
              <w:right w:w="216" w:type="dxa"/>
            </w:tcMar>
          </w:tcPr>
          <w:p w:rsidR="00FE278F" w:rsidRPr="005926ED" w:rsidRDefault="00A31946" w:rsidP="00224F17">
            <w:pPr>
              <w:spacing w:before="10" w:after="0" w:line="240" w:lineRule="auto"/>
              <w:rPr>
                <w:rFonts w:ascii="Arial Narrow" w:hAnsi="Arial Narrow"/>
                <w:sz w:val="13"/>
                <w:szCs w:val="13"/>
              </w:rPr>
            </w:pPr>
            <w:r w:rsidRPr="00A31946">
              <w:rPr>
                <w:rFonts w:ascii="Arial Narrow" w:hAnsi="Arial Narrow"/>
                <w:b/>
                <w:sz w:val="13"/>
                <w:szCs w:val="13"/>
              </w:rPr>
              <w:t>28:</w:t>
            </w:r>
            <w:r>
              <w:rPr>
                <w:rFonts w:ascii="Arial Narrow" w:hAnsi="Arial Narrow"/>
                <w:sz w:val="13"/>
                <w:szCs w:val="13"/>
              </w:rPr>
              <w:t xml:space="preserve"> 3457 (79.91%)</w:t>
            </w:r>
          </w:p>
        </w:tc>
        <w:tc>
          <w:tcPr>
            <w:tcW w:w="1890" w:type="dxa"/>
            <w:tcBorders>
              <w:top w:val="nil"/>
              <w:left w:val="nil"/>
              <w:bottom w:val="single" w:sz="4" w:space="0" w:color="auto"/>
              <w:right w:val="nil"/>
            </w:tcBorders>
            <w:tcMar>
              <w:left w:w="216" w:type="dxa"/>
              <w:right w:w="216" w:type="dxa"/>
            </w:tcMar>
          </w:tcPr>
          <w:p w:rsidR="00FE278F" w:rsidRPr="005926ED" w:rsidRDefault="006D73D6" w:rsidP="00224F17">
            <w:pPr>
              <w:spacing w:before="10" w:after="0" w:line="240" w:lineRule="auto"/>
              <w:jc w:val="right"/>
              <w:rPr>
                <w:rFonts w:ascii="Arial Narrow" w:hAnsi="Arial Narrow"/>
                <w:sz w:val="13"/>
                <w:szCs w:val="13"/>
              </w:rPr>
            </w:pPr>
            <w:r w:rsidRPr="00D15A1E">
              <w:rPr>
                <w:rFonts w:ascii="Arial Narrow" w:hAnsi="Arial Narrow"/>
                <w:b/>
                <w:sz w:val="13"/>
                <w:szCs w:val="13"/>
              </w:rPr>
              <w:t>14:</w:t>
            </w:r>
            <w:r w:rsidR="00D15A1E">
              <w:rPr>
                <w:rFonts w:ascii="Arial Narrow" w:hAnsi="Arial Narrow"/>
                <w:sz w:val="13"/>
                <w:szCs w:val="13"/>
              </w:rPr>
              <w:t xml:space="preserve"> 7332 (86.46%)</w:t>
            </w:r>
          </w:p>
        </w:tc>
        <w:tc>
          <w:tcPr>
            <w:tcW w:w="2585" w:type="dxa"/>
            <w:tcBorders>
              <w:top w:val="nil"/>
              <w:left w:val="nil"/>
              <w:bottom w:val="single" w:sz="4" w:space="0" w:color="auto"/>
            </w:tcBorders>
            <w:tcMar>
              <w:left w:w="202" w:type="dxa"/>
              <w:right w:w="216" w:type="dxa"/>
            </w:tcMar>
          </w:tcPr>
          <w:p w:rsidR="00FE278F" w:rsidRPr="005926ED" w:rsidRDefault="006D73D6" w:rsidP="00224F17">
            <w:pPr>
              <w:spacing w:before="10" w:after="0" w:line="240" w:lineRule="auto"/>
              <w:rPr>
                <w:rFonts w:ascii="Arial Narrow" w:hAnsi="Arial Narrow"/>
                <w:sz w:val="13"/>
                <w:szCs w:val="13"/>
              </w:rPr>
            </w:pPr>
            <w:r w:rsidRPr="00D15A1E">
              <w:rPr>
                <w:rFonts w:ascii="Arial Narrow" w:hAnsi="Arial Narrow"/>
                <w:b/>
                <w:sz w:val="13"/>
                <w:szCs w:val="13"/>
              </w:rPr>
              <w:t>28:</w:t>
            </w:r>
            <w:r>
              <w:rPr>
                <w:rFonts w:ascii="Arial Narrow" w:hAnsi="Arial Narrow"/>
                <w:sz w:val="13"/>
                <w:szCs w:val="13"/>
              </w:rPr>
              <w:t xml:space="preserve"> 7167 (84.52%)</w:t>
            </w:r>
          </w:p>
        </w:tc>
      </w:tr>
    </w:tbl>
    <w:p w:rsidR="00060BAD" w:rsidRPr="005B0796" w:rsidRDefault="00060BAD" w:rsidP="009B20BD"/>
    <w:p w:rsidR="00060BAD" w:rsidRPr="005B0796" w:rsidRDefault="00060BAD" w:rsidP="00060BAD">
      <w:pPr>
        <w:sectPr w:rsidR="00060BAD" w:rsidRPr="005B0796" w:rsidSect="004F17A6">
          <w:headerReference w:type="even" r:id="rId286"/>
          <w:footerReference w:type="even" r:id="rId287"/>
          <w:footerReference w:type="default" r:id="rId288"/>
          <w:pgSz w:w="14170" w:h="9979" w:orient="landscape" w:code="243"/>
          <w:pgMar w:top="1728" w:right="1440" w:bottom="1152" w:left="1440" w:header="576" w:footer="576" w:gutter="0"/>
          <w:cols w:space="708"/>
          <w:docGrid w:linePitch="360"/>
        </w:sectPr>
      </w:pPr>
      <w:bookmarkStart w:id="1504" w:name="_Toc479243369"/>
      <w:bookmarkStart w:id="1505" w:name="_Toc486936016"/>
      <w:bookmarkStart w:id="1506" w:name="_Toc487014340"/>
      <w:bookmarkStart w:id="1507" w:name="_Toc492995643"/>
    </w:p>
    <w:p w:rsidR="009B20BD" w:rsidRPr="005B0796" w:rsidRDefault="009B20BD" w:rsidP="001923B9">
      <w:pPr>
        <w:pStyle w:val="TableName"/>
      </w:pPr>
      <w:bookmarkStart w:id="1508" w:name="_Toc511900492"/>
      <w:r w:rsidRPr="005B0796">
        <w:t>Table A.3</w:t>
      </w:r>
      <w:r w:rsidRPr="005B0796">
        <w:tab/>
        <w:t>Unweighted demographic characteristics of responders by Transitioned ADF and 2015 Regular ADF</w:t>
      </w:r>
      <w:bookmarkEnd w:id="1504"/>
      <w:bookmarkEnd w:id="1505"/>
      <w:bookmarkEnd w:id="1506"/>
      <w:bookmarkEnd w:id="1507"/>
      <w:bookmarkEnd w:id="1508"/>
    </w:p>
    <w:tbl>
      <w:tblPr>
        <w:tblStyle w:val="TWRPTable"/>
        <w:tblW w:w="5000" w:type="pct"/>
        <w:tblLayout w:type="fixed"/>
        <w:tblLook w:val="04A0" w:firstRow="1" w:lastRow="0" w:firstColumn="1" w:lastColumn="0" w:noHBand="0" w:noVBand="1"/>
        <w:tblDescription w:val="Table A.3 Unweighted demographic characteristics of responders by Transitioned ADF and 2015 Regular ADF"/>
      </w:tblPr>
      <w:tblGrid>
        <w:gridCol w:w="1548"/>
        <w:gridCol w:w="961"/>
        <w:gridCol w:w="961"/>
        <w:gridCol w:w="961"/>
        <w:gridCol w:w="961"/>
        <w:gridCol w:w="961"/>
        <w:gridCol w:w="962"/>
      </w:tblGrid>
      <w:tr w:rsidR="004D2283" w:rsidRPr="005B0796" w:rsidTr="004D2283">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Pr>
          <w:p w:rsidR="004D2283" w:rsidRPr="005B0796" w:rsidRDefault="004D2283" w:rsidP="004D2283">
            <w:pPr>
              <w:pStyle w:val="TableText"/>
            </w:pPr>
          </w:p>
        </w:tc>
        <w:tc>
          <w:tcPr>
            <w:tcW w:w="2883" w:type="dxa"/>
            <w:gridSpan w:val="3"/>
            <w:hideMark/>
          </w:tcPr>
          <w:p w:rsidR="004D2283" w:rsidRPr="005B0796" w:rsidRDefault="004D2283" w:rsidP="004D2283">
            <w:pPr>
              <w:pStyle w:val="TableText"/>
              <w:jc w:val="center"/>
            </w:pPr>
            <w:r w:rsidRPr="005B0796">
              <w:t>Transitioned ADF</w:t>
            </w:r>
            <w:r w:rsidRPr="005B0796">
              <w:br/>
              <w:t xml:space="preserve">(n = </w:t>
            </w:r>
            <w:r w:rsidRPr="005B0796">
              <w:rPr>
                <w:color w:val="000000" w:themeColor="text1"/>
              </w:rPr>
              <w:t>4326)</w:t>
            </w:r>
          </w:p>
        </w:tc>
        <w:tc>
          <w:tcPr>
            <w:tcW w:w="2884" w:type="dxa"/>
            <w:gridSpan w:val="3"/>
            <w:hideMark/>
          </w:tcPr>
          <w:p w:rsidR="004D2283" w:rsidRPr="005B0796" w:rsidRDefault="004D2283" w:rsidP="004D2283">
            <w:pPr>
              <w:pStyle w:val="TableText"/>
              <w:jc w:val="center"/>
            </w:pPr>
            <w:r w:rsidRPr="005B0796">
              <w:t>2015 Regular ADF</w:t>
            </w:r>
            <w:r w:rsidRPr="005B0796">
              <w:br/>
              <w:t>(n = 8480)</w:t>
            </w:r>
          </w:p>
        </w:tc>
      </w:tr>
      <w:tr w:rsidR="004D2283" w:rsidRPr="005B0796" w:rsidTr="004D2283">
        <w:trPr>
          <w:cnfStyle w:val="100000000000" w:firstRow="1" w:lastRow="0" w:firstColumn="0" w:lastColumn="0" w:oddVBand="0" w:evenVBand="0" w:oddHBand="0" w:evenHBand="0" w:firstRowFirstColumn="0" w:firstRowLastColumn="0" w:lastRowFirstColumn="0" w:lastRowLastColumn="0"/>
          <w:tblHeader/>
        </w:trPr>
        <w:tc>
          <w:tcPr>
            <w:tcW w:w="1548" w:type="dxa"/>
            <w:vMerge/>
          </w:tcPr>
          <w:p w:rsidR="004D2283" w:rsidRPr="005B0796" w:rsidRDefault="004D2283" w:rsidP="004D2283">
            <w:pPr>
              <w:pStyle w:val="TableText"/>
              <w:rPr>
                <w:rFonts w:cs="Arial"/>
              </w:rPr>
            </w:pPr>
          </w:p>
        </w:tc>
        <w:tc>
          <w:tcPr>
            <w:tcW w:w="961" w:type="dxa"/>
            <w:hideMark/>
          </w:tcPr>
          <w:p w:rsidR="004D2283" w:rsidRPr="005B0796" w:rsidRDefault="004D2283" w:rsidP="004D2283">
            <w:pPr>
              <w:pStyle w:val="TableText"/>
              <w:jc w:val="right"/>
              <w:rPr>
                <w:rFonts w:cs="Arial"/>
              </w:rPr>
            </w:pPr>
            <w:r w:rsidRPr="005B0796">
              <w:rPr>
                <w:rFonts w:cs="Arial"/>
              </w:rPr>
              <w:t>n</w:t>
            </w:r>
          </w:p>
        </w:tc>
        <w:tc>
          <w:tcPr>
            <w:tcW w:w="961" w:type="dxa"/>
            <w:hideMark/>
          </w:tcPr>
          <w:p w:rsidR="004D2283" w:rsidRPr="005B0796" w:rsidRDefault="004D2283" w:rsidP="004D2283">
            <w:pPr>
              <w:pStyle w:val="TableText"/>
              <w:jc w:val="right"/>
              <w:rPr>
                <w:rFonts w:cs="Arial"/>
              </w:rPr>
            </w:pPr>
            <w:r w:rsidRPr="005B0796">
              <w:rPr>
                <w:rFonts w:cs="Arial"/>
              </w:rPr>
              <w:t>%</w:t>
            </w:r>
          </w:p>
        </w:tc>
        <w:tc>
          <w:tcPr>
            <w:tcW w:w="961" w:type="dxa"/>
            <w:hideMark/>
          </w:tcPr>
          <w:p w:rsidR="004D2283" w:rsidRPr="005B0796" w:rsidRDefault="004D2283" w:rsidP="004D2283">
            <w:pPr>
              <w:pStyle w:val="TableText"/>
              <w:jc w:val="right"/>
              <w:rPr>
                <w:rFonts w:cs="Arial"/>
              </w:rPr>
            </w:pPr>
            <w:r w:rsidRPr="005B0796">
              <w:rPr>
                <w:rFonts w:cs="Arial"/>
              </w:rPr>
              <w:t>95% CI</w:t>
            </w:r>
          </w:p>
        </w:tc>
        <w:tc>
          <w:tcPr>
            <w:tcW w:w="961" w:type="dxa"/>
            <w:hideMark/>
          </w:tcPr>
          <w:p w:rsidR="004D2283" w:rsidRPr="005B0796" w:rsidRDefault="004D2283" w:rsidP="004D2283">
            <w:pPr>
              <w:pStyle w:val="TableText"/>
              <w:jc w:val="right"/>
              <w:rPr>
                <w:rFonts w:cs="Arial"/>
              </w:rPr>
            </w:pPr>
            <w:r w:rsidRPr="005B0796">
              <w:rPr>
                <w:rFonts w:cs="Arial"/>
              </w:rPr>
              <w:t>n</w:t>
            </w:r>
          </w:p>
        </w:tc>
        <w:tc>
          <w:tcPr>
            <w:tcW w:w="961" w:type="dxa"/>
            <w:hideMark/>
          </w:tcPr>
          <w:p w:rsidR="004D2283" w:rsidRPr="005B0796" w:rsidRDefault="004D2283" w:rsidP="004D2283">
            <w:pPr>
              <w:pStyle w:val="TableText"/>
              <w:jc w:val="right"/>
              <w:rPr>
                <w:rFonts w:cs="Arial"/>
              </w:rPr>
            </w:pPr>
            <w:r w:rsidRPr="005B0796">
              <w:rPr>
                <w:rFonts w:cs="Arial"/>
              </w:rPr>
              <w:t>%</w:t>
            </w:r>
          </w:p>
        </w:tc>
        <w:tc>
          <w:tcPr>
            <w:tcW w:w="962" w:type="dxa"/>
            <w:hideMark/>
          </w:tcPr>
          <w:p w:rsidR="004D2283" w:rsidRPr="005B0796" w:rsidRDefault="004D2283" w:rsidP="004D2283">
            <w:pPr>
              <w:pStyle w:val="TableText"/>
              <w:jc w:val="right"/>
              <w:rPr>
                <w:rFonts w:cs="Arial"/>
              </w:rPr>
            </w:pPr>
            <w:r w:rsidRPr="005B0796">
              <w:rPr>
                <w:rFonts w:cs="Arial"/>
              </w:rPr>
              <w:t>95% CI</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rPr>
                <w:rFonts w:cs="Arial"/>
                <w:b/>
              </w:rPr>
            </w:pPr>
            <w:r w:rsidRPr="005B0796">
              <w:rPr>
                <w:b/>
              </w:rPr>
              <w:t>Age (M, SE)</w:t>
            </w:r>
          </w:p>
        </w:tc>
        <w:tc>
          <w:tcPr>
            <w:tcW w:w="961" w:type="dxa"/>
            <w:hideMark/>
          </w:tcPr>
          <w:p w:rsidR="009B20BD" w:rsidRPr="005B0796" w:rsidRDefault="009B20BD" w:rsidP="004D2283">
            <w:pPr>
              <w:pStyle w:val="TableText"/>
              <w:jc w:val="right"/>
            </w:pPr>
            <w:r w:rsidRPr="005B0796">
              <w:t>41.9</w:t>
            </w:r>
          </w:p>
        </w:tc>
        <w:tc>
          <w:tcPr>
            <w:tcW w:w="961" w:type="dxa"/>
            <w:hideMark/>
          </w:tcPr>
          <w:p w:rsidR="009B20BD" w:rsidRPr="005B0796" w:rsidRDefault="009B20BD" w:rsidP="004D2283">
            <w:pPr>
              <w:pStyle w:val="TableText"/>
              <w:jc w:val="right"/>
            </w:pPr>
            <w:r w:rsidRPr="005B0796">
              <w:t>0.2</w:t>
            </w:r>
          </w:p>
        </w:tc>
        <w:tc>
          <w:tcPr>
            <w:tcW w:w="961" w:type="dxa"/>
          </w:tcPr>
          <w:p w:rsidR="009B20BD" w:rsidRPr="005B0796" w:rsidRDefault="009B20BD" w:rsidP="004D2283">
            <w:pPr>
              <w:pStyle w:val="TableText"/>
              <w:jc w:val="right"/>
            </w:pPr>
          </w:p>
        </w:tc>
        <w:tc>
          <w:tcPr>
            <w:tcW w:w="961" w:type="dxa"/>
            <w:hideMark/>
          </w:tcPr>
          <w:p w:rsidR="009B20BD" w:rsidRPr="005B0796" w:rsidRDefault="009B20BD" w:rsidP="004D2283">
            <w:pPr>
              <w:pStyle w:val="TableText"/>
              <w:jc w:val="right"/>
            </w:pPr>
            <w:r w:rsidRPr="005B0796">
              <w:t>41.1</w:t>
            </w:r>
          </w:p>
        </w:tc>
        <w:tc>
          <w:tcPr>
            <w:tcW w:w="961" w:type="dxa"/>
            <w:hideMark/>
          </w:tcPr>
          <w:p w:rsidR="009B20BD" w:rsidRPr="005B0796" w:rsidRDefault="009B20BD" w:rsidP="004D2283">
            <w:pPr>
              <w:pStyle w:val="TableText"/>
              <w:jc w:val="right"/>
            </w:pPr>
            <w:r w:rsidRPr="005B0796">
              <w:t>0.1</w:t>
            </w:r>
          </w:p>
        </w:tc>
        <w:tc>
          <w:tcPr>
            <w:tcW w:w="962" w:type="dxa"/>
          </w:tcPr>
          <w:p w:rsidR="009B20BD" w:rsidRPr="005B0796" w:rsidRDefault="009B20BD" w:rsidP="004D2283">
            <w:pPr>
              <w:pStyle w:val="TableText"/>
              <w:jc w:val="right"/>
            </w:pPr>
          </w:p>
        </w:tc>
      </w:tr>
      <w:tr w:rsidR="009B20BD" w:rsidRPr="005B0796" w:rsidTr="004D2283">
        <w:tc>
          <w:tcPr>
            <w:tcW w:w="1548" w:type="dxa"/>
            <w:hideMark/>
          </w:tcPr>
          <w:p w:rsidR="009B20BD" w:rsidRPr="005B0796" w:rsidRDefault="009B20BD" w:rsidP="004D2283">
            <w:pPr>
              <w:pStyle w:val="TableText"/>
              <w:rPr>
                <w:b/>
              </w:rPr>
            </w:pPr>
            <w:r w:rsidRPr="005B0796">
              <w:rPr>
                <w:b/>
              </w:rPr>
              <w:t>Age group</w:t>
            </w:r>
          </w:p>
        </w:tc>
        <w:tc>
          <w:tcPr>
            <w:tcW w:w="961" w:type="dxa"/>
          </w:tcPr>
          <w:p w:rsidR="009B20BD" w:rsidRPr="005B0796" w:rsidRDefault="009B20BD" w:rsidP="004D2283">
            <w:pPr>
              <w:pStyle w:val="TableText"/>
              <w:jc w:val="right"/>
              <w:rPr>
                <w:rFonts w:cs="Arial"/>
              </w:rPr>
            </w:pPr>
          </w:p>
        </w:tc>
        <w:tc>
          <w:tcPr>
            <w:tcW w:w="961" w:type="dxa"/>
          </w:tcPr>
          <w:p w:rsidR="009B20BD" w:rsidRPr="005B0796" w:rsidRDefault="009B20BD" w:rsidP="004D2283">
            <w:pPr>
              <w:pStyle w:val="TableText"/>
              <w:jc w:val="right"/>
              <w:rPr>
                <w:rFonts w:cs="Arial"/>
              </w:rPr>
            </w:pPr>
          </w:p>
        </w:tc>
        <w:tc>
          <w:tcPr>
            <w:tcW w:w="961" w:type="dxa"/>
          </w:tcPr>
          <w:p w:rsidR="009B20BD" w:rsidRPr="005B0796" w:rsidRDefault="009B20BD" w:rsidP="004D2283">
            <w:pPr>
              <w:pStyle w:val="TableText"/>
              <w:jc w:val="right"/>
              <w:rPr>
                <w:rFonts w:cs="Arial"/>
              </w:rPr>
            </w:pPr>
          </w:p>
        </w:tc>
        <w:tc>
          <w:tcPr>
            <w:tcW w:w="961" w:type="dxa"/>
          </w:tcPr>
          <w:p w:rsidR="009B20BD" w:rsidRPr="005B0796" w:rsidRDefault="009B20BD" w:rsidP="004D2283">
            <w:pPr>
              <w:pStyle w:val="TableText"/>
              <w:jc w:val="right"/>
              <w:rPr>
                <w:rFonts w:cs="Arial"/>
              </w:rPr>
            </w:pPr>
          </w:p>
        </w:tc>
        <w:tc>
          <w:tcPr>
            <w:tcW w:w="961" w:type="dxa"/>
          </w:tcPr>
          <w:p w:rsidR="009B20BD" w:rsidRPr="005B0796" w:rsidRDefault="009B20BD" w:rsidP="004D2283">
            <w:pPr>
              <w:pStyle w:val="TableText"/>
              <w:jc w:val="right"/>
              <w:rPr>
                <w:rFonts w:cs="Arial"/>
              </w:rPr>
            </w:pPr>
          </w:p>
        </w:tc>
        <w:tc>
          <w:tcPr>
            <w:tcW w:w="962" w:type="dxa"/>
          </w:tcPr>
          <w:p w:rsidR="009B20BD" w:rsidRPr="005B0796" w:rsidRDefault="009B20BD" w:rsidP="004D2283">
            <w:pPr>
              <w:pStyle w:val="TableText"/>
              <w:jc w:val="right"/>
              <w:rPr>
                <w:rFonts w:cs="Arial"/>
              </w:rPr>
            </w:pP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18-27</w:t>
            </w:r>
          </w:p>
        </w:tc>
        <w:tc>
          <w:tcPr>
            <w:tcW w:w="961" w:type="dxa"/>
            <w:hideMark/>
          </w:tcPr>
          <w:p w:rsidR="009B20BD" w:rsidRPr="005B0796" w:rsidRDefault="009B20BD" w:rsidP="004D2283">
            <w:pPr>
              <w:pStyle w:val="TableText"/>
              <w:jc w:val="right"/>
            </w:pPr>
            <w:r w:rsidRPr="005B0796">
              <w:t>471</w:t>
            </w:r>
          </w:p>
        </w:tc>
        <w:tc>
          <w:tcPr>
            <w:tcW w:w="961" w:type="dxa"/>
            <w:hideMark/>
          </w:tcPr>
          <w:p w:rsidR="009B20BD" w:rsidRPr="005B0796" w:rsidRDefault="009B20BD" w:rsidP="004D2283">
            <w:pPr>
              <w:pStyle w:val="TableText"/>
              <w:jc w:val="right"/>
            </w:pPr>
            <w:r w:rsidRPr="005B0796">
              <w:t>10.9</w:t>
            </w:r>
          </w:p>
        </w:tc>
        <w:tc>
          <w:tcPr>
            <w:tcW w:w="961" w:type="dxa"/>
            <w:hideMark/>
          </w:tcPr>
          <w:p w:rsidR="009B20BD" w:rsidRPr="005B0796" w:rsidRDefault="009B20BD" w:rsidP="004D2283">
            <w:pPr>
              <w:pStyle w:val="TableText"/>
              <w:jc w:val="right"/>
            </w:pPr>
            <w:r w:rsidRPr="005B0796">
              <w:t xml:space="preserve"> (10.0 - 11.9) </w:t>
            </w:r>
          </w:p>
        </w:tc>
        <w:tc>
          <w:tcPr>
            <w:tcW w:w="961" w:type="dxa"/>
            <w:hideMark/>
          </w:tcPr>
          <w:p w:rsidR="009B20BD" w:rsidRPr="005B0796" w:rsidRDefault="009B20BD" w:rsidP="004D2283">
            <w:pPr>
              <w:pStyle w:val="TableText"/>
              <w:jc w:val="right"/>
            </w:pPr>
            <w:r w:rsidRPr="005B0796">
              <w:t>602</w:t>
            </w:r>
          </w:p>
        </w:tc>
        <w:tc>
          <w:tcPr>
            <w:tcW w:w="961" w:type="dxa"/>
            <w:hideMark/>
          </w:tcPr>
          <w:p w:rsidR="009B20BD" w:rsidRPr="005B0796" w:rsidRDefault="009B20BD" w:rsidP="004D2283">
            <w:pPr>
              <w:pStyle w:val="TableText"/>
              <w:jc w:val="right"/>
            </w:pPr>
            <w:r w:rsidRPr="005B0796">
              <w:t>7.1</w:t>
            </w:r>
          </w:p>
        </w:tc>
        <w:tc>
          <w:tcPr>
            <w:tcW w:w="962" w:type="dxa"/>
            <w:hideMark/>
          </w:tcPr>
          <w:p w:rsidR="009B20BD" w:rsidRPr="005B0796" w:rsidRDefault="009B20BD" w:rsidP="004D2283">
            <w:pPr>
              <w:pStyle w:val="TableText"/>
              <w:jc w:val="right"/>
            </w:pPr>
            <w:r w:rsidRPr="005B0796">
              <w:t xml:space="preserve"> (6.6 - 7.7) </w:t>
            </w:r>
          </w:p>
        </w:tc>
      </w:tr>
      <w:tr w:rsidR="009B20BD" w:rsidRPr="005B0796" w:rsidTr="004D2283">
        <w:tc>
          <w:tcPr>
            <w:tcW w:w="1548" w:type="dxa"/>
            <w:hideMark/>
          </w:tcPr>
          <w:p w:rsidR="009B20BD" w:rsidRPr="005B0796" w:rsidRDefault="009B20BD" w:rsidP="004D2283">
            <w:pPr>
              <w:pStyle w:val="TableText"/>
              <w:ind w:left="144"/>
            </w:pPr>
            <w:r w:rsidRPr="005B0796">
              <w:t>28-37</w:t>
            </w:r>
          </w:p>
        </w:tc>
        <w:tc>
          <w:tcPr>
            <w:tcW w:w="961" w:type="dxa"/>
            <w:hideMark/>
          </w:tcPr>
          <w:p w:rsidR="009B20BD" w:rsidRPr="005B0796" w:rsidRDefault="009B20BD" w:rsidP="004D2283">
            <w:pPr>
              <w:pStyle w:val="TableText"/>
              <w:jc w:val="right"/>
            </w:pPr>
            <w:r w:rsidRPr="005B0796">
              <w:t>1262</w:t>
            </w:r>
          </w:p>
        </w:tc>
        <w:tc>
          <w:tcPr>
            <w:tcW w:w="961" w:type="dxa"/>
            <w:hideMark/>
          </w:tcPr>
          <w:p w:rsidR="009B20BD" w:rsidRPr="005B0796" w:rsidRDefault="009B20BD" w:rsidP="004D2283">
            <w:pPr>
              <w:pStyle w:val="TableText"/>
              <w:jc w:val="right"/>
            </w:pPr>
            <w:r w:rsidRPr="005B0796">
              <w:t>29.2</w:t>
            </w:r>
          </w:p>
        </w:tc>
        <w:tc>
          <w:tcPr>
            <w:tcW w:w="961" w:type="dxa"/>
            <w:hideMark/>
          </w:tcPr>
          <w:p w:rsidR="009B20BD" w:rsidRPr="005B0796" w:rsidRDefault="009B20BD" w:rsidP="004D2283">
            <w:pPr>
              <w:pStyle w:val="TableText"/>
              <w:jc w:val="right"/>
            </w:pPr>
            <w:r w:rsidRPr="005B0796">
              <w:t xml:space="preserve"> (27.8 - 30.5) </w:t>
            </w:r>
          </w:p>
        </w:tc>
        <w:tc>
          <w:tcPr>
            <w:tcW w:w="961" w:type="dxa"/>
            <w:hideMark/>
          </w:tcPr>
          <w:p w:rsidR="009B20BD" w:rsidRPr="005B0796" w:rsidRDefault="009B20BD" w:rsidP="004D2283">
            <w:pPr>
              <w:pStyle w:val="TableText"/>
              <w:jc w:val="right"/>
            </w:pPr>
            <w:r w:rsidRPr="005B0796">
              <w:t>2484</w:t>
            </w:r>
          </w:p>
        </w:tc>
        <w:tc>
          <w:tcPr>
            <w:tcW w:w="961" w:type="dxa"/>
            <w:hideMark/>
          </w:tcPr>
          <w:p w:rsidR="009B20BD" w:rsidRPr="005B0796" w:rsidRDefault="009B20BD" w:rsidP="004D2283">
            <w:pPr>
              <w:pStyle w:val="TableText"/>
              <w:jc w:val="right"/>
            </w:pPr>
            <w:r w:rsidRPr="005B0796">
              <w:t>29.3</w:t>
            </w:r>
          </w:p>
        </w:tc>
        <w:tc>
          <w:tcPr>
            <w:tcW w:w="962" w:type="dxa"/>
            <w:hideMark/>
          </w:tcPr>
          <w:p w:rsidR="009B20BD" w:rsidRPr="005B0796" w:rsidRDefault="009B20BD" w:rsidP="004D2283">
            <w:pPr>
              <w:pStyle w:val="TableText"/>
              <w:jc w:val="right"/>
            </w:pPr>
            <w:r w:rsidRPr="005B0796">
              <w:t xml:space="preserve"> (28.3 - 30.3)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38-47</w:t>
            </w:r>
          </w:p>
        </w:tc>
        <w:tc>
          <w:tcPr>
            <w:tcW w:w="961" w:type="dxa"/>
            <w:hideMark/>
          </w:tcPr>
          <w:p w:rsidR="009B20BD" w:rsidRPr="005B0796" w:rsidRDefault="009B20BD" w:rsidP="004D2283">
            <w:pPr>
              <w:pStyle w:val="TableText"/>
              <w:jc w:val="right"/>
            </w:pPr>
            <w:r w:rsidRPr="005B0796">
              <w:t>1119</w:t>
            </w:r>
          </w:p>
        </w:tc>
        <w:tc>
          <w:tcPr>
            <w:tcW w:w="961" w:type="dxa"/>
            <w:hideMark/>
          </w:tcPr>
          <w:p w:rsidR="009B20BD" w:rsidRPr="005B0796" w:rsidRDefault="009B20BD" w:rsidP="004D2283">
            <w:pPr>
              <w:pStyle w:val="TableText"/>
              <w:jc w:val="right"/>
            </w:pPr>
            <w:r w:rsidRPr="005B0796">
              <w:t>25.9</w:t>
            </w:r>
          </w:p>
        </w:tc>
        <w:tc>
          <w:tcPr>
            <w:tcW w:w="961" w:type="dxa"/>
            <w:hideMark/>
          </w:tcPr>
          <w:p w:rsidR="009B20BD" w:rsidRPr="005B0796" w:rsidRDefault="009B20BD" w:rsidP="004D2283">
            <w:pPr>
              <w:pStyle w:val="TableText"/>
              <w:jc w:val="right"/>
            </w:pPr>
            <w:r w:rsidRPr="005B0796">
              <w:t xml:space="preserve"> (24.6 - 27.2) </w:t>
            </w:r>
          </w:p>
        </w:tc>
        <w:tc>
          <w:tcPr>
            <w:tcW w:w="961" w:type="dxa"/>
            <w:hideMark/>
          </w:tcPr>
          <w:p w:rsidR="009B20BD" w:rsidRPr="005B0796" w:rsidRDefault="009B20BD" w:rsidP="004D2283">
            <w:pPr>
              <w:pStyle w:val="TableText"/>
              <w:jc w:val="right"/>
            </w:pPr>
            <w:r w:rsidRPr="005B0796">
              <w:t>2976</w:t>
            </w:r>
          </w:p>
        </w:tc>
        <w:tc>
          <w:tcPr>
            <w:tcW w:w="961" w:type="dxa"/>
            <w:hideMark/>
          </w:tcPr>
          <w:p w:rsidR="009B20BD" w:rsidRPr="005B0796" w:rsidRDefault="009B20BD" w:rsidP="004D2283">
            <w:pPr>
              <w:pStyle w:val="TableText"/>
              <w:jc w:val="right"/>
            </w:pPr>
            <w:r w:rsidRPr="005B0796">
              <w:t>35.1</w:t>
            </w:r>
          </w:p>
        </w:tc>
        <w:tc>
          <w:tcPr>
            <w:tcW w:w="962" w:type="dxa"/>
            <w:hideMark/>
          </w:tcPr>
          <w:p w:rsidR="009B20BD" w:rsidRPr="005B0796" w:rsidRDefault="009B20BD" w:rsidP="004D2283">
            <w:pPr>
              <w:pStyle w:val="TableText"/>
              <w:jc w:val="right"/>
            </w:pPr>
            <w:r w:rsidRPr="005B0796">
              <w:t xml:space="preserve"> (34.1 - 36.1) </w:t>
            </w:r>
          </w:p>
        </w:tc>
      </w:tr>
      <w:tr w:rsidR="009B20BD" w:rsidRPr="005B0796" w:rsidTr="004D2283">
        <w:tc>
          <w:tcPr>
            <w:tcW w:w="1548" w:type="dxa"/>
            <w:hideMark/>
          </w:tcPr>
          <w:p w:rsidR="009B20BD" w:rsidRPr="005B0796" w:rsidRDefault="009B20BD" w:rsidP="004D2283">
            <w:pPr>
              <w:pStyle w:val="TableText"/>
              <w:ind w:left="144"/>
            </w:pPr>
            <w:r w:rsidRPr="005B0796">
              <w:t>48-57</w:t>
            </w:r>
          </w:p>
        </w:tc>
        <w:tc>
          <w:tcPr>
            <w:tcW w:w="961" w:type="dxa"/>
            <w:hideMark/>
          </w:tcPr>
          <w:p w:rsidR="009B20BD" w:rsidRPr="005B0796" w:rsidRDefault="009B20BD" w:rsidP="004D2283">
            <w:pPr>
              <w:pStyle w:val="TableText"/>
              <w:jc w:val="right"/>
            </w:pPr>
            <w:r w:rsidRPr="005B0796">
              <w:t>871</w:t>
            </w:r>
          </w:p>
        </w:tc>
        <w:tc>
          <w:tcPr>
            <w:tcW w:w="961" w:type="dxa"/>
            <w:hideMark/>
          </w:tcPr>
          <w:p w:rsidR="009B20BD" w:rsidRPr="005B0796" w:rsidRDefault="009B20BD" w:rsidP="004D2283">
            <w:pPr>
              <w:pStyle w:val="TableText"/>
              <w:jc w:val="right"/>
            </w:pPr>
            <w:r w:rsidRPr="005B0796">
              <w:t>20.1</w:t>
            </w:r>
          </w:p>
        </w:tc>
        <w:tc>
          <w:tcPr>
            <w:tcW w:w="961" w:type="dxa"/>
            <w:hideMark/>
          </w:tcPr>
          <w:p w:rsidR="009B20BD" w:rsidRPr="005B0796" w:rsidRDefault="009B20BD" w:rsidP="004D2283">
            <w:pPr>
              <w:pStyle w:val="TableText"/>
              <w:jc w:val="right"/>
            </w:pPr>
            <w:r w:rsidRPr="005B0796">
              <w:t xml:space="preserve"> (19.0 - 21.4) </w:t>
            </w:r>
          </w:p>
        </w:tc>
        <w:tc>
          <w:tcPr>
            <w:tcW w:w="961" w:type="dxa"/>
            <w:hideMark/>
          </w:tcPr>
          <w:p w:rsidR="009B20BD" w:rsidRPr="005B0796" w:rsidRDefault="009B20BD" w:rsidP="004D2283">
            <w:pPr>
              <w:pStyle w:val="TableText"/>
              <w:jc w:val="right"/>
            </w:pPr>
            <w:r w:rsidRPr="005B0796">
              <w:t>2069</w:t>
            </w:r>
          </w:p>
        </w:tc>
        <w:tc>
          <w:tcPr>
            <w:tcW w:w="961" w:type="dxa"/>
            <w:hideMark/>
          </w:tcPr>
          <w:p w:rsidR="009B20BD" w:rsidRPr="005B0796" w:rsidRDefault="009B20BD" w:rsidP="004D2283">
            <w:pPr>
              <w:pStyle w:val="TableText"/>
              <w:jc w:val="right"/>
            </w:pPr>
            <w:r w:rsidRPr="005B0796">
              <w:t>24.4</w:t>
            </w:r>
          </w:p>
        </w:tc>
        <w:tc>
          <w:tcPr>
            <w:tcW w:w="962" w:type="dxa"/>
            <w:hideMark/>
          </w:tcPr>
          <w:p w:rsidR="009B20BD" w:rsidRPr="005B0796" w:rsidRDefault="009B20BD" w:rsidP="004D2283">
            <w:pPr>
              <w:pStyle w:val="TableText"/>
              <w:jc w:val="right"/>
            </w:pPr>
            <w:r w:rsidRPr="005B0796">
              <w:t xml:space="preserve"> (23.5 - 25.3)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58+</w:t>
            </w:r>
          </w:p>
        </w:tc>
        <w:tc>
          <w:tcPr>
            <w:tcW w:w="961" w:type="dxa"/>
            <w:hideMark/>
          </w:tcPr>
          <w:p w:rsidR="009B20BD" w:rsidRPr="005B0796" w:rsidRDefault="009B20BD" w:rsidP="004D2283">
            <w:pPr>
              <w:pStyle w:val="TableText"/>
              <w:jc w:val="right"/>
            </w:pPr>
            <w:r w:rsidRPr="005B0796">
              <w:t>548</w:t>
            </w:r>
          </w:p>
        </w:tc>
        <w:tc>
          <w:tcPr>
            <w:tcW w:w="961" w:type="dxa"/>
            <w:hideMark/>
          </w:tcPr>
          <w:p w:rsidR="009B20BD" w:rsidRPr="005B0796" w:rsidRDefault="009B20BD" w:rsidP="004D2283">
            <w:pPr>
              <w:pStyle w:val="TableText"/>
              <w:jc w:val="right"/>
            </w:pPr>
            <w:r w:rsidRPr="005B0796">
              <w:t>12.7</w:t>
            </w:r>
          </w:p>
        </w:tc>
        <w:tc>
          <w:tcPr>
            <w:tcW w:w="961" w:type="dxa"/>
            <w:hideMark/>
          </w:tcPr>
          <w:p w:rsidR="009B20BD" w:rsidRPr="005B0796" w:rsidRDefault="009B20BD" w:rsidP="004D2283">
            <w:pPr>
              <w:pStyle w:val="TableText"/>
              <w:jc w:val="right"/>
            </w:pPr>
            <w:r w:rsidRPr="005B0796">
              <w:t xml:space="preserve"> (11.7 - 13.7) </w:t>
            </w:r>
          </w:p>
        </w:tc>
        <w:tc>
          <w:tcPr>
            <w:tcW w:w="961" w:type="dxa"/>
            <w:hideMark/>
          </w:tcPr>
          <w:p w:rsidR="009B20BD" w:rsidRPr="005B0796" w:rsidRDefault="009B20BD" w:rsidP="004D2283">
            <w:pPr>
              <w:pStyle w:val="TableText"/>
              <w:jc w:val="right"/>
            </w:pPr>
            <w:r w:rsidRPr="005B0796">
              <w:t>201</w:t>
            </w:r>
          </w:p>
        </w:tc>
        <w:tc>
          <w:tcPr>
            <w:tcW w:w="961" w:type="dxa"/>
            <w:hideMark/>
          </w:tcPr>
          <w:p w:rsidR="009B20BD" w:rsidRPr="005B0796" w:rsidRDefault="009B20BD" w:rsidP="004D2283">
            <w:pPr>
              <w:pStyle w:val="TableText"/>
              <w:jc w:val="right"/>
            </w:pPr>
            <w:r w:rsidRPr="005B0796">
              <w:t>2.4</w:t>
            </w:r>
          </w:p>
        </w:tc>
        <w:tc>
          <w:tcPr>
            <w:tcW w:w="962" w:type="dxa"/>
            <w:hideMark/>
          </w:tcPr>
          <w:p w:rsidR="009B20BD" w:rsidRPr="005B0796" w:rsidRDefault="009B20BD" w:rsidP="004D2283">
            <w:pPr>
              <w:pStyle w:val="TableText"/>
              <w:jc w:val="right"/>
            </w:pPr>
            <w:r w:rsidRPr="005B0796">
              <w:t xml:space="preserve"> (2.1 - 2.7) </w:t>
            </w:r>
          </w:p>
        </w:tc>
      </w:tr>
      <w:tr w:rsidR="009B20BD" w:rsidRPr="005B0796" w:rsidTr="004D2283">
        <w:tc>
          <w:tcPr>
            <w:tcW w:w="1548" w:type="dxa"/>
            <w:hideMark/>
          </w:tcPr>
          <w:p w:rsidR="009B20BD" w:rsidRPr="005B0796" w:rsidRDefault="009B20BD" w:rsidP="004D2283">
            <w:pPr>
              <w:pStyle w:val="TableText"/>
              <w:rPr>
                <w:b/>
              </w:rPr>
            </w:pPr>
            <w:r w:rsidRPr="005B0796">
              <w:rPr>
                <w:b/>
              </w:rPr>
              <w:t>Sex</w:t>
            </w: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2" w:type="dxa"/>
          </w:tcPr>
          <w:p w:rsidR="009B20BD" w:rsidRPr="005B0796" w:rsidRDefault="009B20BD" w:rsidP="004D2283">
            <w:pPr>
              <w:pStyle w:val="TableText"/>
              <w:jc w:val="right"/>
            </w:pP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Male</w:t>
            </w:r>
          </w:p>
        </w:tc>
        <w:tc>
          <w:tcPr>
            <w:tcW w:w="961" w:type="dxa"/>
            <w:hideMark/>
          </w:tcPr>
          <w:p w:rsidR="009B20BD" w:rsidRPr="005B0796" w:rsidRDefault="009B20BD" w:rsidP="004D2283">
            <w:pPr>
              <w:pStyle w:val="TableText"/>
              <w:jc w:val="right"/>
            </w:pPr>
            <w:r w:rsidRPr="005B0796">
              <w:t>3646</w:t>
            </w:r>
          </w:p>
        </w:tc>
        <w:tc>
          <w:tcPr>
            <w:tcW w:w="961" w:type="dxa"/>
            <w:hideMark/>
          </w:tcPr>
          <w:p w:rsidR="009B20BD" w:rsidRPr="005B0796" w:rsidRDefault="009B20BD" w:rsidP="004D2283">
            <w:pPr>
              <w:pStyle w:val="TableText"/>
              <w:jc w:val="right"/>
            </w:pPr>
            <w:r w:rsidRPr="005B0796">
              <w:t>84.3</w:t>
            </w:r>
          </w:p>
        </w:tc>
        <w:tc>
          <w:tcPr>
            <w:tcW w:w="961" w:type="dxa"/>
            <w:hideMark/>
          </w:tcPr>
          <w:p w:rsidR="009B20BD" w:rsidRPr="005B0796" w:rsidRDefault="009B20BD" w:rsidP="004D2283">
            <w:pPr>
              <w:pStyle w:val="TableText"/>
              <w:jc w:val="right"/>
            </w:pPr>
            <w:r w:rsidRPr="005B0796">
              <w:t xml:space="preserve"> (83.2 - 85.3) </w:t>
            </w:r>
          </w:p>
        </w:tc>
        <w:tc>
          <w:tcPr>
            <w:tcW w:w="961" w:type="dxa"/>
            <w:hideMark/>
          </w:tcPr>
          <w:p w:rsidR="009B20BD" w:rsidRPr="005B0796" w:rsidRDefault="009B20BD" w:rsidP="004D2283">
            <w:pPr>
              <w:pStyle w:val="TableText"/>
              <w:jc w:val="right"/>
            </w:pPr>
            <w:r w:rsidRPr="005B0796">
              <w:t>6693</w:t>
            </w:r>
          </w:p>
        </w:tc>
        <w:tc>
          <w:tcPr>
            <w:tcW w:w="961" w:type="dxa"/>
            <w:hideMark/>
          </w:tcPr>
          <w:p w:rsidR="009B20BD" w:rsidRPr="005B0796" w:rsidRDefault="009B20BD" w:rsidP="004D2283">
            <w:pPr>
              <w:pStyle w:val="TableText"/>
              <w:jc w:val="right"/>
            </w:pPr>
            <w:r w:rsidRPr="005B0796">
              <w:t>78.9</w:t>
            </w:r>
          </w:p>
        </w:tc>
        <w:tc>
          <w:tcPr>
            <w:tcW w:w="962" w:type="dxa"/>
            <w:hideMark/>
          </w:tcPr>
          <w:p w:rsidR="009B20BD" w:rsidRPr="005B0796" w:rsidRDefault="009B20BD" w:rsidP="004D2283">
            <w:pPr>
              <w:pStyle w:val="TableText"/>
              <w:jc w:val="right"/>
            </w:pPr>
            <w:r w:rsidRPr="005B0796">
              <w:t xml:space="preserve"> (78.0 - 79.8) </w:t>
            </w:r>
          </w:p>
        </w:tc>
      </w:tr>
      <w:tr w:rsidR="009B20BD" w:rsidRPr="005B0796" w:rsidTr="004D2283">
        <w:tc>
          <w:tcPr>
            <w:tcW w:w="1548" w:type="dxa"/>
            <w:hideMark/>
          </w:tcPr>
          <w:p w:rsidR="009B20BD" w:rsidRPr="005B0796" w:rsidRDefault="009B20BD" w:rsidP="004D2283">
            <w:pPr>
              <w:pStyle w:val="TableText"/>
              <w:ind w:left="144"/>
            </w:pPr>
            <w:r w:rsidRPr="005B0796">
              <w:t>Female</w:t>
            </w:r>
          </w:p>
        </w:tc>
        <w:tc>
          <w:tcPr>
            <w:tcW w:w="961" w:type="dxa"/>
            <w:hideMark/>
          </w:tcPr>
          <w:p w:rsidR="009B20BD" w:rsidRPr="005B0796" w:rsidRDefault="009B20BD" w:rsidP="004D2283">
            <w:pPr>
              <w:pStyle w:val="TableText"/>
              <w:jc w:val="right"/>
            </w:pPr>
            <w:r w:rsidRPr="005B0796">
              <w:t>680</w:t>
            </w:r>
          </w:p>
        </w:tc>
        <w:tc>
          <w:tcPr>
            <w:tcW w:w="961" w:type="dxa"/>
            <w:hideMark/>
          </w:tcPr>
          <w:p w:rsidR="009B20BD" w:rsidRPr="005B0796" w:rsidRDefault="009B20BD" w:rsidP="004D2283">
            <w:pPr>
              <w:pStyle w:val="TableText"/>
              <w:jc w:val="right"/>
            </w:pPr>
            <w:r w:rsidRPr="005B0796">
              <w:t>15.7</w:t>
            </w:r>
          </w:p>
        </w:tc>
        <w:tc>
          <w:tcPr>
            <w:tcW w:w="961" w:type="dxa"/>
            <w:hideMark/>
          </w:tcPr>
          <w:p w:rsidR="009B20BD" w:rsidRPr="005B0796" w:rsidRDefault="009B20BD" w:rsidP="004D2283">
            <w:pPr>
              <w:pStyle w:val="TableText"/>
              <w:jc w:val="right"/>
            </w:pPr>
            <w:r w:rsidRPr="005B0796">
              <w:t xml:space="preserve"> (14.7 - 16.8) </w:t>
            </w:r>
          </w:p>
        </w:tc>
        <w:tc>
          <w:tcPr>
            <w:tcW w:w="961" w:type="dxa"/>
            <w:hideMark/>
          </w:tcPr>
          <w:p w:rsidR="009B20BD" w:rsidRPr="005B0796" w:rsidRDefault="009B20BD" w:rsidP="004D2283">
            <w:pPr>
              <w:pStyle w:val="TableText"/>
              <w:jc w:val="right"/>
            </w:pPr>
            <w:r w:rsidRPr="005B0796">
              <w:t>1787</w:t>
            </w:r>
          </w:p>
        </w:tc>
        <w:tc>
          <w:tcPr>
            <w:tcW w:w="961" w:type="dxa"/>
            <w:hideMark/>
          </w:tcPr>
          <w:p w:rsidR="009B20BD" w:rsidRPr="005B0796" w:rsidRDefault="009B20BD" w:rsidP="004D2283">
            <w:pPr>
              <w:pStyle w:val="TableText"/>
              <w:jc w:val="right"/>
            </w:pPr>
            <w:r w:rsidRPr="005B0796">
              <w:t>21.1</w:t>
            </w:r>
          </w:p>
        </w:tc>
        <w:tc>
          <w:tcPr>
            <w:tcW w:w="962" w:type="dxa"/>
            <w:hideMark/>
          </w:tcPr>
          <w:p w:rsidR="009B20BD" w:rsidRPr="005B0796" w:rsidRDefault="009B20BD" w:rsidP="004D2283">
            <w:pPr>
              <w:pStyle w:val="TableText"/>
              <w:jc w:val="right"/>
            </w:pPr>
            <w:r w:rsidRPr="005B0796">
              <w:t xml:space="preserve"> (20.2 - 22.0)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rPr>
                <w:b/>
              </w:rPr>
            </w:pPr>
            <w:r w:rsidRPr="005B0796">
              <w:rPr>
                <w:b/>
              </w:rPr>
              <w:t>Rank</w:t>
            </w:r>
          </w:p>
        </w:tc>
        <w:tc>
          <w:tcPr>
            <w:tcW w:w="961" w:type="dxa"/>
          </w:tcPr>
          <w:p w:rsidR="009B20BD" w:rsidRPr="005B0796" w:rsidRDefault="009B20BD" w:rsidP="004D2283">
            <w:pPr>
              <w:pStyle w:val="TableText"/>
              <w:jc w:val="right"/>
              <w:rPr>
                <w:rFonts w:cs="Arial"/>
              </w:rPr>
            </w:pPr>
          </w:p>
        </w:tc>
        <w:tc>
          <w:tcPr>
            <w:tcW w:w="961" w:type="dxa"/>
          </w:tcPr>
          <w:p w:rsidR="009B20BD" w:rsidRPr="005B0796" w:rsidRDefault="009B20BD" w:rsidP="004D2283">
            <w:pPr>
              <w:pStyle w:val="TableText"/>
              <w:jc w:val="right"/>
              <w:rPr>
                <w:rFonts w:cs="Arial"/>
                <w:color w:val="000000" w:themeColor="text1"/>
              </w:rPr>
            </w:pPr>
          </w:p>
        </w:tc>
        <w:tc>
          <w:tcPr>
            <w:tcW w:w="961" w:type="dxa"/>
          </w:tcPr>
          <w:p w:rsidR="009B20BD" w:rsidRPr="005B0796" w:rsidRDefault="009B20BD" w:rsidP="004D2283">
            <w:pPr>
              <w:pStyle w:val="TableText"/>
              <w:jc w:val="right"/>
              <w:rPr>
                <w:rFonts w:cs="Arial"/>
              </w:rPr>
            </w:pPr>
          </w:p>
        </w:tc>
        <w:tc>
          <w:tcPr>
            <w:tcW w:w="961" w:type="dxa"/>
          </w:tcPr>
          <w:p w:rsidR="009B20BD" w:rsidRPr="005B0796" w:rsidRDefault="009B20BD" w:rsidP="004D2283">
            <w:pPr>
              <w:pStyle w:val="TableText"/>
              <w:jc w:val="right"/>
              <w:rPr>
                <w:rFonts w:cs="Arial"/>
                <w:color w:val="000000" w:themeColor="text1"/>
              </w:rPr>
            </w:pPr>
          </w:p>
        </w:tc>
        <w:tc>
          <w:tcPr>
            <w:tcW w:w="961" w:type="dxa"/>
          </w:tcPr>
          <w:p w:rsidR="009B20BD" w:rsidRPr="005B0796" w:rsidRDefault="009B20BD" w:rsidP="004D2283">
            <w:pPr>
              <w:pStyle w:val="TableText"/>
              <w:jc w:val="right"/>
              <w:rPr>
                <w:rFonts w:cs="Arial"/>
                <w:color w:val="000000" w:themeColor="text1"/>
              </w:rPr>
            </w:pPr>
          </w:p>
        </w:tc>
        <w:tc>
          <w:tcPr>
            <w:tcW w:w="962" w:type="dxa"/>
          </w:tcPr>
          <w:p w:rsidR="009B20BD" w:rsidRPr="005B0796" w:rsidRDefault="009B20BD" w:rsidP="004D2283">
            <w:pPr>
              <w:pStyle w:val="TableText"/>
              <w:jc w:val="right"/>
              <w:rPr>
                <w:rFonts w:cs="Arial"/>
                <w:color w:val="000000" w:themeColor="text1"/>
              </w:rPr>
            </w:pPr>
          </w:p>
        </w:tc>
      </w:tr>
      <w:tr w:rsidR="009B20BD" w:rsidRPr="005B0796" w:rsidTr="004D2283">
        <w:tc>
          <w:tcPr>
            <w:tcW w:w="1548" w:type="dxa"/>
            <w:hideMark/>
          </w:tcPr>
          <w:p w:rsidR="009B20BD" w:rsidRPr="005B0796" w:rsidRDefault="009B20BD" w:rsidP="004D2283">
            <w:pPr>
              <w:pStyle w:val="TableText"/>
              <w:ind w:left="144"/>
            </w:pPr>
            <w:r w:rsidRPr="005B0796">
              <w:t>OFFR</w:t>
            </w:r>
          </w:p>
        </w:tc>
        <w:tc>
          <w:tcPr>
            <w:tcW w:w="961" w:type="dxa"/>
            <w:hideMark/>
          </w:tcPr>
          <w:p w:rsidR="009B20BD" w:rsidRPr="005B0796" w:rsidRDefault="009B20BD" w:rsidP="004D2283">
            <w:pPr>
              <w:pStyle w:val="TableText"/>
              <w:jc w:val="right"/>
            </w:pPr>
            <w:r w:rsidRPr="005B0796">
              <w:t>1259</w:t>
            </w:r>
          </w:p>
        </w:tc>
        <w:tc>
          <w:tcPr>
            <w:tcW w:w="961" w:type="dxa"/>
            <w:hideMark/>
          </w:tcPr>
          <w:p w:rsidR="009B20BD" w:rsidRPr="005B0796" w:rsidRDefault="009B20BD" w:rsidP="004D2283">
            <w:pPr>
              <w:pStyle w:val="TableText"/>
              <w:jc w:val="right"/>
            </w:pPr>
            <w:r w:rsidRPr="005B0796">
              <w:t>29.1</w:t>
            </w:r>
          </w:p>
        </w:tc>
        <w:tc>
          <w:tcPr>
            <w:tcW w:w="961" w:type="dxa"/>
            <w:hideMark/>
          </w:tcPr>
          <w:p w:rsidR="009B20BD" w:rsidRPr="005B0796" w:rsidRDefault="009B20BD" w:rsidP="004D2283">
            <w:pPr>
              <w:pStyle w:val="TableText"/>
              <w:jc w:val="right"/>
            </w:pPr>
            <w:r w:rsidRPr="005B0796">
              <w:t xml:space="preserve"> (27.8 - 30.5) </w:t>
            </w:r>
          </w:p>
        </w:tc>
        <w:tc>
          <w:tcPr>
            <w:tcW w:w="961" w:type="dxa"/>
            <w:hideMark/>
          </w:tcPr>
          <w:p w:rsidR="009B20BD" w:rsidRPr="005B0796" w:rsidRDefault="009B20BD" w:rsidP="004D2283">
            <w:pPr>
              <w:pStyle w:val="TableText"/>
              <w:jc w:val="right"/>
            </w:pPr>
            <w:r w:rsidRPr="005B0796">
              <w:t>3538</w:t>
            </w:r>
          </w:p>
        </w:tc>
        <w:tc>
          <w:tcPr>
            <w:tcW w:w="961" w:type="dxa"/>
            <w:hideMark/>
          </w:tcPr>
          <w:p w:rsidR="009B20BD" w:rsidRPr="005B0796" w:rsidRDefault="009B20BD" w:rsidP="004D2283">
            <w:pPr>
              <w:pStyle w:val="TableText"/>
              <w:jc w:val="right"/>
            </w:pPr>
            <w:r w:rsidRPr="005B0796">
              <w:t>41.7</w:t>
            </w:r>
          </w:p>
        </w:tc>
        <w:tc>
          <w:tcPr>
            <w:tcW w:w="962" w:type="dxa"/>
            <w:hideMark/>
          </w:tcPr>
          <w:p w:rsidR="009B20BD" w:rsidRPr="005B0796" w:rsidRDefault="009B20BD" w:rsidP="004D2283">
            <w:pPr>
              <w:pStyle w:val="TableText"/>
              <w:jc w:val="right"/>
            </w:pPr>
            <w:r w:rsidRPr="005B0796">
              <w:t xml:space="preserve"> (40.7 - 42.8)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NCO</w:t>
            </w:r>
          </w:p>
        </w:tc>
        <w:tc>
          <w:tcPr>
            <w:tcW w:w="961" w:type="dxa"/>
            <w:hideMark/>
          </w:tcPr>
          <w:p w:rsidR="009B20BD" w:rsidRPr="005B0796" w:rsidRDefault="009B20BD" w:rsidP="004D2283">
            <w:pPr>
              <w:pStyle w:val="TableText"/>
              <w:jc w:val="right"/>
            </w:pPr>
            <w:r w:rsidRPr="005B0796">
              <w:t>2097</w:t>
            </w:r>
          </w:p>
        </w:tc>
        <w:tc>
          <w:tcPr>
            <w:tcW w:w="961" w:type="dxa"/>
            <w:hideMark/>
          </w:tcPr>
          <w:p w:rsidR="009B20BD" w:rsidRPr="005B0796" w:rsidRDefault="009B20BD" w:rsidP="004D2283">
            <w:pPr>
              <w:pStyle w:val="TableText"/>
              <w:jc w:val="right"/>
            </w:pPr>
            <w:r w:rsidRPr="005B0796">
              <w:t>48.5</w:t>
            </w:r>
          </w:p>
        </w:tc>
        <w:tc>
          <w:tcPr>
            <w:tcW w:w="961" w:type="dxa"/>
            <w:hideMark/>
          </w:tcPr>
          <w:p w:rsidR="009B20BD" w:rsidRPr="005B0796" w:rsidRDefault="009B20BD" w:rsidP="004D2283">
            <w:pPr>
              <w:pStyle w:val="TableText"/>
              <w:jc w:val="right"/>
            </w:pPr>
            <w:r w:rsidRPr="005B0796">
              <w:t xml:space="preserve"> (47.0 - 50.0) </w:t>
            </w:r>
          </w:p>
        </w:tc>
        <w:tc>
          <w:tcPr>
            <w:tcW w:w="961" w:type="dxa"/>
            <w:hideMark/>
          </w:tcPr>
          <w:p w:rsidR="009B20BD" w:rsidRPr="005B0796" w:rsidRDefault="009B20BD" w:rsidP="004D2283">
            <w:pPr>
              <w:pStyle w:val="TableText"/>
              <w:jc w:val="right"/>
            </w:pPr>
            <w:r w:rsidRPr="005B0796">
              <w:t>4336</w:t>
            </w:r>
          </w:p>
        </w:tc>
        <w:tc>
          <w:tcPr>
            <w:tcW w:w="961" w:type="dxa"/>
            <w:hideMark/>
          </w:tcPr>
          <w:p w:rsidR="009B20BD" w:rsidRPr="005B0796" w:rsidRDefault="009B20BD" w:rsidP="004D2283">
            <w:pPr>
              <w:pStyle w:val="TableText"/>
              <w:jc w:val="right"/>
            </w:pPr>
            <w:r w:rsidRPr="005B0796">
              <w:t>51.1</w:t>
            </w:r>
          </w:p>
        </w:tc>
        <w:tc>
          <w:tcPr>
            <w:tcW w:w="962" w:type="dxa"/>
            <w:hideMark/>
          </w:tcPr>
          <w:p w:rsidR="009B20BD" w:rsidRPr="005B0796" w:rsidRDefault="009B20BD" w:rsidP="004D2283">
            <w:pPr>
              <w:pStyle w:val="TableText"/>
              <w:jc w:val="right"/>
            </w:pPr>
            <w:r w:rsidRPr="005B0796">
              <w:t xml:space="preserve"> (50.1 - 52.2) </w:t>
            </w:r>
          </w:p>
        </w:tc>
      </w:tr>
      <w:tr w:rsidR="009B20BD" w:rsidRPr="005B0796" w:rsidTr="004D2283">
        <w:tc>
          <w:tcPr>
            <w:tcW w:w="1548" w:type="dxa"/>
            <w:hideMark/>
          </w:tcPr>
          <w:p w:rsidR="009B20BD" w:rsidRPr="005B0796" w:rsidRDefault="009B20BD" w:rsidP="004D2283">
            <w:pPr>
              <w:pStyle w:val="TableText"/>
              <w:ind w:left="144"/>
            </w:pPr>
            <w:r w:rsidRPr="005B0796">
              <w:t xml:space="preserve">Other </w:t>
            </w:r>
            <w:r w:rsidR="00751C86" w:rsidRPr="005B0796">
              <w:t>Ranks</w:t>
            </w:r>
          </w:p>
        </w:tc>
        <w:tc>
          <w:tcPr>
            <w:tcW w:w="961" w:type="dxa"/>
            <w:hideMark/>
          </w:tcPr>
          <w:p w:rsidR="009B20BD" w:rsidRPr="005B0796" w:rsidRDefault="009B20BD" w:rsidP="004D2283">
            <w:pPr>
              <w:pStyle w:val="TableText"/>
              <w:jc w:val="right"/>
            </w:pPr>
            <w:r w:rsidRPr="005B0796">
              <w:t>970</w:t>
            </w:r>
          </w:p>
        </w:tc>
        <w:tc>
          <w:tcPr>
            <w:tcW w:w="961" w:type="dxa"/>
            <w:hideMark/>
          </w:tcPr>
          <w:p w:rsidR="009B20BD" w:rsidRPr="005B0796" w:rsidRDefault="009B20BD" w:rsidP="004D2283">
            <w:pPr>
              <w:pStyle w:val="TableText"/>
              <w:jc w:val="right"/>
            </w:pPr>
            <w:r w:rsidRPr="005B0796">
              <w:t>22.4</w:t>
            </w:r>
          </w:p>
        </w:tc>
        <w:tc>
          <w:tcPr>
            <w:tcW w:w="961" w:type="dxa"/>
            <w:hideMark/>
          </w:tcPr>
          <w:p w:rsidR="009B20BD" w:rsidRPr="005B0796" w:rsidRDefault="009B20BD" w:rsidP="004D2283">
            <w:pPr>
              <w:pStyle w:val="TableText"/>
              <w:jc w:val="right"/>
            </w:pPr>
            <w:r w:rsidRPr="005B0796">
              <w:t xml:space="preserve"> (21.2 - 23.7) </w:t>
            </w:r>
          </w:p>
        </w:tc>
        <w:tc>
          <w:tcPr>
            <w:tcW w:w="961" w:type="dxa"/>
            <w:hideMark/>
          </w:tcPr>
          <w:p w:rsidR="009B20BD" w:rsidRPr="005B0796" w:rsidRDefault="009B20BD" w:rsidP="004D2283">
            <w:pPr>
              <w:pStyle w:val="TableText"/>
              <w:jc w:val="right"/>
            </w:pPr>
            <w:r w:rsidRPr="005B0796">
              <w:t>606</w:t>
            </w:r>
          </w:p>
        </w:tc>
        <w:tc>
          <w:tcPr>
            <w:tcW w:w="961" w:type="dxa"/>
            <w:hideMark/>
          </w:tcPr>
          <w:p w:rsidR="009B20BD" w:rsidRPr="005B0796" w:rsidRDefault="009B20BD" w:rsidP="004D2283">
            <w:pPr>
              <w:pStyle w:val="TableText"/>
              <w:jc w:val="right"/>
            </w:pPr>
            <w:r w:rsidRPr="005B0796">
              <w:t>7.2</w:t>
            </w:r>
          </w:p>
        </w:tc>
        <w:tc>
          <w:tcPr>
            <w:tcW w:w="962" w:type="dxa"/>
            <w:hideMark/>
          </w:tcPr>
          <w:p w:rsidR="009B20BD" w:rsidRPr="005B0796" w:rsidRDefault="009B20BD" w:rsidP="004D2283">
            <w:pPr>
              <w:pStyle w:val="TableText"/>
              <w:jc w:val="right"/>
            </w:pPr>
            <w:r w:rsidRPr="005B0796">
              <w:t xml:space="preserve"> (6.6 - 7.7)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pPr>
            <w:r w:rsidRPr="005B0796">
              <w:rPr>
                <w:b/>
              </w:rPr>
              <w:t>Service</w:t>
            </w: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2" w:type="dxa"/>
          </w:tcPr>
          <w:p w:rsidR="009B20BD" w:rsidRPr="005B0796" w:rsidRDefault="009B20BD" w:rsidP="004D2283">
            <w:pPr>
              <w:pStyle w:val="TableText"/>
              <w:jc w:val="right"/>
            </w:pPr>
          </w:p>
        </w:tc>
      </w:tr>
      <w:tr w:rsidR="009B20BD" w:rsidRPr="005B0796" w:rsidTr="004D2283">
        <w:tc>
          <w:tcPr>
            <w:tcW w:w="1548" w:type="dxa"/>
            <w:hideMark/>
          </w:tcPr>
          <w:p w:rsidR="009B20BD" w:rsidRPr="005B0796" w:rsidRDefault="009B20BD" w:rsidP="004D2283">
            <w:pPr>
              <w:pStyle w:val="TableText"/>
              <w:ind w:left="144"/>
            </w:pPr>
            <w:r w:rsidRPr="005B0796">
              <w:t>Navy</w:t>
            </w:r>
          </w:p>
        </w:tc>
        <w:tc>
          <w:tcPr>
            <w:tcW w:w="961" w:type="dxa"/>
            <w:hideMark/>
          </w:tcPr>
          <w:p w:rsidR="009B20BD" w:rsidRPr="005B0796" w:rsidRDefault="009B20BD" w:rsidP="004D2283">
            <w:pPr>
              <w:pStyle w:val="TableText"/>
              <w:jc w:val="right"/>
            </w:pPr>
            <w:r w:rsidRPr="005B0796">
              <w:t>863</w:t>
            </w:r>
          </w:p>
        </w:tc>
        <w:tc>
          <w:tcPr>
            <w:tcW w:w="961" w:type="dxa"/>
            <w:hideMark/>
          </w:tcPr>
          <w:p w:rsidR="009B20BD" w:rsidRPr="005B0796" w:rsidRDefault="009B20BD" w:rsidP="004D2283">
            <w:pPr>
              <w:pStyle w:val="TableText"/>
              <w:jc w:val="right"/>
            </w:pPr>
            <w:r w:rsidRPr="005B0796">
              <w:t>20.0</w:t>
            </w:r>
          </w:p>
        </w:tc>
        <w:tc>
          <w:tcPr>
            <w:tcW w:w="961" w:type="dxa"/>
            <w:hideMark/>
          </w:tcPr>
          <w:p w:rsidR="009B20BD" w:rsidRPr="005B0796" w:rsidRDefault="009B20BD" w:rsidP="004D2283">
            <w:pPr>
              <w:pStyle w:val="TableText"/>
              <w:jc w:val="right"/>
            </w:pPr>
            <w:r w:rsidRPr="005B0796">
              <w:t xml:space="preserve"> (18.8 - 21.2) </w:t>
            </w:r>
          </w:p>
        </w:tc>
        <w:tc>
          <w:tcPr>
            <w:tcW w:w="961" w:type="dxa"/>
            <w:hideMark/>
          </w:tcPr>
          <w:p w:rsidR="009B20BD" w:rsidRPr="005B0796" w:rsidRDefault="009B20BD" w:rsidP="004D2283">
            <w:pPr>
              <w:pStyle w:val="TableText"/>
              <w:jc w:val="right"/>
            </w:pPr>
            <w:r w:rsidRPr="005B0796">
              <w:t>2940</w:t>
            </w:r>
          </w:p>
        </w:tc>
        <w:tc>
          <w:tcPr>
            <w:tcW w:w="961" w:type="dxa"/>
            <w:hideMark/>
          </w:tcPr>
          <w:p w:rsidR="009B20BD" w:rsidRPr="005B0796" w:rsidRDefault="009B20BD" w:rsidP="004D2283">
            <w:pPr>
              <w:pStyle w:val="TableText"/>
              <w:jc w:val="right"/>
            </w:pPr>
            <w:r w:rsidRPr="005B0796">
              <w:t>34.7</w:t>
            </w:r>
          </w:p>
        </w:tc>
        <w:tc>
          <w:tcPr>
            <w:tcW w:w="962" w:type="dxa"/>
            <w:hideMark/>
          </w:tcPr>
          <w:p w:rsidR="009B20BD" w:rsidRPr="005B0796" w:rsidRDefault="009B20BD" w:rsidP="004D2283">
            <w:pPr>
              <w:pStyle w:val="TableText"/>
              <w:jc w:val="right"/>
            </w:pPr>
            <w:r w:rsidRPr="005B0796">
              <w:t xml:space="preserve"> (33.7 - 35.7)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Army</w:t>
            </w:r>
          </w:p>
        </w:tc>
        <w:tc>
          <w:tcPr>
            <w:tcW w:w="961" w:type="dxa"/>
            <w:hideMark/>
          </w:tcPr>
          <w:p w:rsidR="009B20BD" w:rsidRPr="005B0796" w:rsidRDefault="009B20BD" w:rsidP="004D2283">
            <w:pPr>
              <w:pStyle w:val="TableText"/>
              <w:jc w:val="right"/>
            </w:pPr>
            <w:r w:rsidRPr="005B0796">
              <w:t>2463</w:t>
            </w:r>
          </w:p>
        </w:tc>
        <w:tc>
          <w:tcPr>
            <w:tcW w:w="961" w:type="dxa"/>
            <w:hideMark/>
          </w:tcPr>
          <w:p w:rsidR="009B20BD" w:rsidRPr="005B0796" w:rsidRDefault="009B20BD" w:rsidP="004D2283">
            <w:pPr>
              <w:pStyle w:val="TableText"/>
              <w:jc w:val="right"/>
            </w:pPr>
            <w:r w:rsidRPr="005B0796">
              <w:t>56.9</w:t>
            </w:r>
          </w:p>
        </w:tc>
        <w:tc>
          <w:tcPr>
            <w:tcW w:w="961" w:type="dxa"/>
            <w:hideMark/>
          </w:tcPr>
          <w:p w:rsidR="009B20BD" w:rsidRPr="005B0796" w:rsidRDefault="009B20BD" w:rsidP="004D2283">
            <w:pPr>
              <w:pStyle w:val="TableText"/>
              <w:jc w:val="right"/>
            </w:pPr>
            <w:r w:rsidRPr="005B0796">
              <w:t xml:space="preserve"> (55.5 - 58.4) </w:t>
            </w:r>
          </w:p>
        </w:tc>
        <w:tc>
          <w:tcPr>
            <w:tcW w:w="961" w:type="dxa"/>
            <w:hideMark/>
          </w:tcPr>
          <w:p w:rsidR="009B20BD" w:rsidRPr="005B0796" w:rsidRDefault="009B20BD" w:rsidP="004D2283">
            <w:pPr>
              <w:pStyle w:val="TableText"/>
              <w:jc w:val="right"/>
            </w:pPr>
            <w:r w:rsidRPr="005B0796">
              <w:t>3500</w:t>
            </w:r>
          </w:p>
        </w:tc>
        <w:tc>
          <w:tcPr>
            <w:tcW w:w="961" w:type="dxa"/>
            <w:hideMark/>
          </w:tcPr>
          <w:p w:rsidR="009B20BD" w:rsidRPr="005B0796" w:rsidRDefault="009B20BD" w:rsidP="004D2283">
            <w:pPr>
              <w:pStyle w:val="TableText"/>
              <w:jc w:val="right"/>
            </w:pPr>
            <w:r w:rsidRPr="005B0796">
              <w:t>41.3</w:t>
            </w:r>
          </w:p>
        </w:tc>
        <w:tc>
          <w:tcPr>
            <w:tcW w:w="962" w:type="dxa"/>
            <w:hideMark/>
          </w:tcPr>
          <w:p w:rsidR="009B20BD" w:rsidRPr="005B0796" w:rsidRDefault="009B20BD" w:rsidP="004D2283">
            <w:pPr>
              <w:pStyle w:val="TableText"/>
              <w:jc w:val="right"/>
            </w:pPr>
            <w:r w:rsidRPr="005B0796">
              <w:t xml:space="preserve"> (40.2 - 42.3) </w:t>
            </w:r>
          </w:p>
        </w:tc>
      </w:tr>
      <w:tr w:rsidR="009B20BD" w:rsidRPr="005B0796" w:rsidTr="004D2283">
        <w:tc>
          <w:tcPr>
            <w:tcW w:w="1548" w:type="dxa"/>
            <w:hideMark/>
          </w:tcPr>
          <w:p w:rsidR="009B20BD" w:rsidRPr="005B0796" w:rsidRDefault="009B20BD" w:rsidP="004D2283">
            <w:pPr>
              <w:pStyle w:val="TableText"/>
              <w:ind w:left="144"/>
            </w:pPr>
            <w:r w:rsidRPr="005B0796">
              <w:t>Air Force</w:t>
            </w:r>
          </w:p>
        </w:tc>
        <w:tc>
          <w:tcPr>
            <w:tcW w:w="961" w:type="dxa"/>
            <w:hideMark/>
          </w:tcPr>
          <w:p w:rsidR="009B20BD" w:rsidRPr="005B0796" w:rsidRDefault="009B20BD" w:rsidP="004D2283">
            <w:pPr>
              <w:pStyle w:val="TableText"/>
              <w:jc w:val="right"/>
            </w:pPr>
            <w:r w:rsidRPr="005B0796">
              <w:t>1000</w:t>
            </w:r>
          </w:p>
        </w:tc>
        <w:tc>
          <w:tcPr>
            <w:tcW w:w="961" w:type="dxa"/>
            <w:hideMark/>
          </w:tcPr>
          <w:p w:rsidR="009B20BD" w:rsidRPr="005B0796" w:rsidRDefault="009B20BD" w:rsidP="004D2283">
            <w:pPr>
              <w:pStyle w:val="TableText"/>
              <w:jc w:val="right"/>
            </w:pPr>
            <w:r w:rsidRPr="005B0796">
              <w:t>23.1</w:t>
            </w:r>
          </w:p>
        </w:tc>
        <w:tc>
          <w:tcPr>
            <w:tcW w:w="961" w:type="dxa"/>
            <w:hideMark/>
          </w:tcPr>
          <w:p w:rsidR="009B20BD" w:rsidRPr="005B0796" w:rsidRDefault="009B20BD" w:rsidP="004D2283">
            <w:pPr>
              <w:pStyle w:val="TableText"/>
              <w:jc w:val="right"/>
            </w:pPr>
            <w:r w:rsidRPr="005B0796">
              <w:t xml:space="preserve"> (21.9 - 24.4) </w:t>
            </w:r>
          </w:p>
        </w:tc>
        <w:tc>
          <w:tcPr>
            <w:tcW w:w="961" w:type="dxa"/>
            <w:hideMark/>
          </w:tcPr>
          <w:p w:rsidR="009B20BD" w:rsidRPr="005B0796" w:rsidRDefault="009B20BD" w:rsidP="004D2283">
            <w:pPr>
              <w:pStyle w:val="TableText"/>
              <w:jc w:val="right"/>
            </w:pPr>
            <w:r w:rsidRPr="005B0796">
              <w:t>2040</w:t>
            </w:r>
          </w:p>
        </w:tc>
        <w:tc>
          <w:tcPr>
            <w:tcW w:w="961" w:type="dxa"/>
            <w:hideMark/>
          </w:tcPr>
          <w:p w:rsidR="009B20BD" w:rsidRPr="005B0796" w:rsidRDefault="009B20BD" w:rsidP="004D2283">
            <w:pPr>
              <w:pStyle w:val="TableText"/>
              <w:jc w:val="right"/>
            </w:pPr>
            <w:r w:rsidRPr="005B0796">
              <w:t>24.1</w:t>
            </w:r>
          </w:p>
        </w:tc>
        <w:tc>
          <w:tcPr>
            <w:tcW w:w="962" w:type="dxa"/>
            <w:hideMark/>
          </w:tcPr>
          <w:p w:rsidR="009B20BD" w:rsidRPr="005B0796" w:rsidRDefault="009B20BD" w:rsidP="004D2283">
            <w:pPr>
              <w:pStyle w:val="TableText"/>
              <w:jc w:val="right"/>
            </w:pPr>
            <w:r w:rsidRPr="005B0796">
              <w:t xml:space="preserve"> (23.2 - 25.0)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pPr>
            <w:r w:rsidRPr="005B0796">
              <w:rPr>
                <w:b/>
              </w:rPr>
              <w:t xml:space="preserve">Medical </w:t>
            </w:r>
            <w:r w:rsidR="004D2283" w:rsidRPr="005B0796">
              <w:rPr>
                <w:b/>
              </w:rPr>
              <w:t>fitness</w:t>
            </w: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1" w:type="dxa"/>
          </w:tcPr>
          <w:p w:rsidR="009B20BD" w:rsidRPr="005B0796" w:rsidRDefault="009B20BD" w:rsidP="004D2283">
            <w:pPr>
              <w:pStyle w:val="TableText"/>
              <w:jc w:val="right"/>
            </w:pPr>
          </w:p>
        </w:tc>
        <w:tc>
          <w:tcPr>
            <w:tcW w:w="962" w:type="dxa"/>
          </w:tcPr>
          <w:p w:rsidR="009B20BD" w:rsidRPr="005B0796" w:rsidRDefault="009B20BD" w:rsidP="004D2283">
            <w:pPr>
              <w:pStyle w:val="TableText"/>
              <w:jc w:val="right"/>
            </w:pPr>
          </w:p>
        </w:tc>
      </w:tr>
      <w:tr w:rsidR="009B20BD" w:rsidRPr="005B0796" w:rsidTr="004D2283">
        <w:tc>
          <w:tcPr>
            <w:tcW w:w="1548" w:type="dxa"/>
            <w:hideMark/>
          </w:tcPr>
          <w:p w:rsidR="009B20BD" w:rsidRPr="005B0796" w:rsidRDefault="009B20BD" w:rsidP="004D2283">
            <w:pPr>
              <w:pStyle w:val="TableText"/>
              <w:ind w:left="144"/>
            </w:pPr>
            <w:r w:rsidRPr="005B0796">
              <w:t>Fit</w:t>
            </w:r>
          </w:p>
        </w:tc>
        <w:tc>
          <w:tcPr>
            <w:tcW w:w="961" w:type="dxa"/>
            <w:hideMark/>
          </w:tcPr>
          <w:p w:rsidR="009B20BD" w:rsidRPr="005B0796" w:rsidRDefault="009B20BD" w:rsidP="004D2283">
            <w:pPr>
              <w:pStyle w:val="TableText"/>
              <w:jc w:val="right"/>
            </w:pPr>
            <w:r w:rsidRPr="005B0796">
              <w:t>2981</w:t>
            </w:r>
          </w:p>
        </w:tc>
        <w:tc>
          <w:tcPr>
            <w:tcW w:w="961" w:type="dxa"/>
            <w:hideMark/>
          </w:tcPr>
          <w:p w:rsidR="009B20BD" w:rsidRPr="005B0796" w:rsidRDefault="009B20BD" w:rsidP="004D2283">
            <w:pPr>
              <w:pStyle w:val="TableText"/>
              <w:jc w:val="right"/>
            </w:pPr>
            <w:r w:rsidRPr="005B0796">
              <w:t>68.9</w:t>
            </w:r>
          </w:p>
        </w:tc>
        <w:tc>
          <w:tcPr>
            <w:tcW w:w="961" w:type="dxa"/>
            <w:hideMark/>
          </w:tcPr>
          <w:p w:rsidR="009B20BD" w:rsidRPr="005B0796" w:rsidRDefault="009B20BD" w:rsidP="004D2283">
            <w:pPr>
              <w:pStyle w:val="TableText"/>
              <w:jc w:val="right"/>
            </w:pPr>
            <w:r w:rsidRPr="005B0796">
              <w:t xml:space="preserve"> (67.5 - 70.3) </w:t>
            </w:r>
          </w:p>
        </w:tc>
        <w:tc>
          <w:tcPr>
            <w:tcW w:w="961" w:type="dxa"/>
            <w:hideMark/>
          </w:tcPr>
          <w:p w:rsidR="009B20BD" w:rsidRPr="005B0796" w:rsidRDefault="009B20BD" w:rsidP="004D2283">
            <w:pPr>
              <w:pStyle w:val="TableText"/>
              <w:jc w:val="right"/>
            </w:pPr>
            <w:r w:rsidRPr="005B0796">
              <w:t>7116</w:t>
            </w:r>
          </w:p>
        </w:tc>
        <w:tc>
          <w:tcPr>
            <w:tcW w:w="961" w:type="dxa"/>
            <w:hideMark/>
          </w:tcPr>
          <w:p w:rsidR="009B20BD" w:rsidRPr="005B0796" w:rsidRDefault="009B20BD" w:rsidP="004D2283">
            <w:pPr>
              <w:pStyle w:val="TableText"/>
              <w:jc w:val="right"/>
            </w:pPr>
            <w:r w:rsidRPr="005B0796">
              <w:t>83.9</w:t>
            </w:r>
          </w:p>
        </w:tc>
        <w:tc>
          <w:tcPr>
            <w:tcW w:w="962" w:type="dxa"/>
            <w:hideMark/>
          </w:tcPr>
          <w:p w:rsidR="009B20BD" w:rsidRPr="005B0796" w:rsidRDefault="009B20BD" w:rsidP="004D2283">
            <w:pPr>
              <w:pStyle w:val="TableText"/>
              <w:jc w:val="right"/>
            </w:pPr>
            <w:r w:rsidRPr="005B0796">
              <w:t xml:space="preserve"> (83.1 - 84.7) </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Unfit</w:t>
            </w:r>
          </w:p>
        </w:tc>
        <w:tc>
          <w:tcPr>
            <w:tcW w:w="961" w:type="dxa"/>
            <w:hideMark/>
          </w:tcPr>
          <w:p w:rsidR="009B20BD" w:rsidRPr="005B0796" w:rsidRDefault="009B20BD" w:rsidP="004D2283">
            <w:pPr>
              <w:pStyle w:val="TableText"/>
              <w:jc w:val="right"/>
            </w:pPr>
            <w:r w:rsidRPr="005B0796">
              <w:t>1345</w:t>
            </w:r>
          </w:p>
        </w:tc>
        <w:tc>
          <w:tcPr>
            <w:tcW w:w="961" w:type="dxa"/>
            <w:hideMark/>
          </w:tcPr>
          <w:p w:rsidR="009B20BD" w:rsidRPr="005B0796" w:rsidRDefault="009B20BD" w:rsidP="004D2283">
            <w:pPr>
              <w:pStyle w:val="TableText"/>
              <w:jc w:val="right"/>
            </w:pPr>
            <w:r w:rsidRPr="005B0796">
              <w:t>31.1</w:t>
            </w:r>
          </w:p>
        </w:tc>
        <w:tc>
          <w:tcPr>
            <w:tcW w:w="961" w:type="dxa"/>
            <w:hideMark/>
          </w:tcPr>
          <w:p w:rsidR="009B20BD" w:rsidRPr="005B0796" w:rsidRDefault="009B20BD" w:rsidP="004D2283">
            <w:pPr>
              <w:pStyle w:val="TableText"/>
              <w:jc w:val="right"/>
            </w:pPr>
            <w:r w:rsidRPr="005B0796">
              <w:t xml:space="preserve"> (29.7 - 32.5) </w:t>
            </w:r>
          </w:p>
        </w:tc>
        <w:tc>
          <w:tcPr>
            <w:tcW w:w="961" w:type="dxa"/>
            <w:hideMark/>
          </w:tcPr>
          <w:p w:rsidR="009B20BD" w:rsidRPr="005B0796" w:rsidRDefault="009B20BD" w:rsidP="004D2283">
            <w:pPr>
              <w:pStyle w:val="TableText"/>
              <w:jc w:val="right"/>
            </w:pPr>
            <w:r w:rsidRPr="005B0796">
              <w:t>1364</w:t>
            </w:r>
          </w:p>
        </w:tc>
        <w:tc>
          <w:tcPr>
            <w:tcW w:w="961" w:type="dxa"/>
            <w:hideMark/>
          </w:tcPr>
          <w:p w:rsidR="009B20BD" w:rsidRPr="005B0796" w:rsidRDefault="009B20BD" w:rsidP="004D2283">
            <w:pPr>
              <w:pStyle w:val="TableText"/>
              <w:jc w:val="right"/>
            </w:pPr>
            <w:r w:rsidRPr="005B0796">
              <w:t>16.1</w:t>
            </w:r>
          </w:p>
        </w:tc>
        <w:tc>
          <w:tcPr>
            <w:tcW w:w="962" w:type="dxa"/>
            <w:hideMark/>
          </w:tcPr>
          <w:p w:rsidR="009B20BD" w:rsidRPr="005B0796" w:rsidRDefault="009B20BD" w:rsidP="004D2283">
            <w:pPr>
              <w:pStyle w:val="TableText"/>
              <w:jc w:val="right"/>
            </w:pPr>
            <w:r w:rsidRPr="005B0796">
              <w:t xml:space="preserve"> (15.3 - 16.9) </w:t>
            </w:r>
          </w:p>
        </w:tc>
      </w:tr>
    </w:tbl>
    <w:p w:rsidR="001923B9" w:rsidRPr="005B0796" w:rsidRDefault="001923B9" w:rsidP="001923B9">
      <w:pPr>
        <w:pStyle w:val="TableNotes"/>
      </w:pPr>
      <w:r w:rsidRPr="005B0796">
        <w:t>Denominator: Those who were invited and responded to the survey</w:t>
      </w:r>
    </w:p>
    <w:p w:rsidR="001923B9" w:rsidRPr="005B0796" w:rsidRDefault="001923B9" w:rsidP="001923B9">
      <w:pPr>
        <w:pStyle w:val="TableNotes"/>
        <w:rPr>
          <w:bCs/>
        </w:rPr>
      </w:pPr>
      <w:r w:rsidRPr="005B0796">
        <w:t>Note</w:t>
      </w:r>
      <w:r w:rsidR="008C2520" w:rsidRPr="005B0796">
        <w:t>s</w:t>
      </w:r>
      <w:r w:rsidRPr="005B0796">
        <w:t>:</w:t>
      </w:r>
      <w:r w:rsidR="008C2520" w:rsidRPr="005B0796">
        <w:br/>
      </w:r>
      <w:r w:rsidRPr="005B0796">
        <w:t>Unweighted data</w:t>
      </w:r>
    </w:p>
    <w:p w:rsidR="001923B9" w:rsidRPr="005B0796" w:rsidRDefault="001923B9" w:rsidP="001923B9">
      <w:pPr>
        <w:pStyle w:val="TableNotes"/>
        <w:rPr>
          <w:bCs/>
        </w:rPr>
      </w:pPr>
      <w:r w:rsidRPr="005B0796">
        <w:rPr>
          <w:bCs/>
        </w:rPr>
        <w:t xml:space="preserve">95%CI: 95% </w:t>
      </w:r>
      <w:r w:rsidR="00564689" w:rsidRPr="005B0796">
        <w:rPr>
          <w:bCs/>
        </w:rPr>
        <w:t>confidence interval</w:t>
      </w:r>
    </w:p>
    <w:p w:rsidR="009B20BD" w:rsidRPr="005B0796" w:rsidRDefault="009B20BD" w:rsidP="00751C86">
      <w:pPr>
        <w:pStyle w:val="Heading3b"/>
      </w:pPr>
      <w:bookmarkStart w:id="1509" w:name="_Toc487011296"/>
      <w:bookmarkStart w:id="1510" w:name="_Toc493663191"/>
      <w:r w:rsidRPr="005B0796">
        <w:t>CIDI responders</w:t>
      </w:r>
      <w:bookmarkEnd w:id="1509"/>
      <w:bookmarkEnd w:id="1510"/>
    </w:p>
    <w:p w:rsidR="009B20BD" w:rsidRPr="005B0796" w:rsidRDefault="009B20BD" w:rsidP="004D2283">
      <w:pPr>
        <w:rPr>
          <w:rFonts w:asciiTheme="minorHAnsi" w:hAnsiTheme="minorHAnsi" w:cstheme="minorHAnsi"/>
          <w:szCs w:val="22"/>
        </w:rPr>
      </w:pPr>
      <w:r w:rsidRPr="005B0796">
        <w:t xml:space="preserve">In phase 2 of the research, a sub-sample of 1384 individuals from the stratified Transitioned ADF group, 1088 individuals from the MHPWS group, and 183 from the Combat Zone group were selected to participate in a one-hour telephone interview using the World Mental Health </w:t>
      </w:r>
      <w:r w:rsidRPr="005B0796">
        <w:rPr>
          <w:rFonts w:asciiTheme="minorHAnsi" w:hAnsiTheme="minorHAnsi" w:cstheme="minorHAnsi"/>
        </w:rPr>
        <w:t>Survey Initiative Version of the World Health Organization Composite International Diagnostic Interview – version 3.0 (CIDI)</w:t>
      </w:r>
      <w:r w:rsidR="004D2283" w:rsidRPr="005B0796">
        <w:rPr>
          <w:rFonts w:asciiTheme="minorHAnsi" w:hAnsiTheme="minorHAnsi" w:cstheme="minorHAnsi"/>
        </w:rPr>
        <w:t xml:space="preserve"> </w:t>
      </w:r>
      <w:r w:rsidRPr="005B0796">
        <w:rPr>
          <w:rFonts w:asciiTheme="minorHAnsi" w:hAnsiTheme="minorHAnsi" w:cstheme="minorHAnsi"/>
          <w:szCs w:val="22"/>
        </w:rPr>
        <w:fldChar w:fldCharType="begin"/>
      </w:r>
      <w:r w:rsidRPr="005B0796">
        <w:rPr>
          <w:rFonts w:asciiTheme="minorHAnsi" w:hAnsiTheme="minorHAnsi" w:cstheme="minorHAnsi"/>
          <w:szCs w:val="22"/>
        </w:rPr>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rPr>
          <w:rFonts w:asciiTheme="minorHAnsi" w:hAnsiTheme="minorHAnsi" w:cstheme="minorHAnsi"/>
          <w:szCs w:val="22"/>
        </w:rPr>
        <w:fldChar w:fldCharType="separate"/>
      </w:r>
      <w:r w:rsidRPr="005B0796">
        <w:rPr>
          <w:rFonts w:asciiTheme="minorHAnsi" w:hAnsiTheme="minorHAnsi" w:cstheme="minorHAnsi"/>
          <w:szCs w:val="22"/>
        </w:rPr>
        <w:t>(Kessler &amp; Ustun, 2004)</w:t>
      </w:r>
      <w:r w:rsidRPr="005B0796">
        <w:rPr>
          <w:rFonts w:asciiTheme="minorHAnsi" w:hAnsiTheme="minorHAnsi" w:cstheme="minorHAnsi"/>
          <w:szCs w:val="22"/>
        </w:rPr>
        <w:fldChar w:fldCharType="end"/>
      </w:r>
      <w:r w:rsidRPr="005B0796">
        <w:rPr>
          <w:rFonts w:asciiTheme="minorHAnsi" w:hAnsiTheme="minorHAnsi" w:cstheme="minorHAnsi"/>
          <w:szCs w:val="22"/>
        </w:rPr>
        <w:t>. Data from all three groups was used to estimate prevalence of mental disorder in the Transitioned ADF.</w:t>
      </w:r>
    </w:p>
    <w:p w:rsidR="009B20BD" w:rsidRPr="005B0796" w:rsidRDefault="009B20BD" w:rsidP="004D2283">
      <w:pPr>
        <w:pStyle w:val="Heading4"/>
        <w:rPr>
          <w:rFonts w:eastAsia="MS ??"/>
        </w:rPr>
      </w:pPr>
      <w:r w:rsidRPr="005B0796">
        <w:rPr>
          <w:rFonts w:eastAsia="MS ??"/>
        </w:rPr>
        <w:t>Stratified Transitioned ADF</w:t>
      </w:r>
    </w:p>
    <w:p w:rsidR="009B20BD" w:rsidRPr="005B0796" w:rsidRDefault="009B20BD" w:rsidP="004D2283">
      <w:r w:rsidRPr="005B0796">
        <w:t xml:space="preserve">A total of 1384 participants were stratified and sought for participation (selected) in the CIDI 3.0. Of those selected, 53.8% (745) </w:t>
      </w:r>
      <w:r w:rsidRPr="005B0796">
        <w:rPr>
          <w:color w:val="000000" w:themeColor="text1"/>
        </w:rPr>
        <w:t>completed</w:t>
      </w:r>
      <w:r w:rsidRPr="005B0796">
        <w:t xml:space="preserve"> the interview. Table A.4 describes the response rates for the stratified Transitioned ADF undertaking the CIDI interview and Table A.5 describes the demographic profile of this group.</w:t>
      </w:r>
    </w:p>
    <w:p w:rsidR="009B20BD" w:rsidRPr="005B0796" w:rsidRDefault="009B20BD" w:rsidP="004D2283">
      <w:pPr>
        <w:pStyle w:val="TableName"/>
      </w:pPr>
      <w:bookmarkStart w:id="1511" w:name="_Toc479243373"/>
      <w:bookmarkStart w:id="1512" w:name="_Toc486936017"/>
      <w:bookmarkStart w:id="1513" w:name="_Toc487014341"/>
      <w:bookmarkStart w:id="1514" w:name="_Toc492995644"/>
      <w:bookmarkStart w:id="1515" w:name="_Toc511900493"/>
      <w:r w:rsidRPr="005B0796">
        <w:t>Table A.4</w:t>
      </w:r>
      <w:r w:rsidRPr="005B0796">
        <w:tab/>
        <w:t>CIDI response rates for stratified Transitioned ADF by Service, sex, rank and MEC status</w:t>
      </w:r>
      <w:bookmarkEnd w:id="1511"/>
      <w:bookmarkEnd w:id="1512"/>
      <w:bookmarkEnd w:id="1513"/>
      <w:bookmarkEnd w:id="1514"/>
      <w:bookmarkEnd w:id="1515"/>
    </w:p>
    <w:tbl>
      <w:tblPr>
        <w:tblStyle w:val="TWRPTable"/>
        <w:tblW w:w="5000" w:type="pct"/>
        <w:tblLayout w:type="fixed"/>
        <w:tblLook w:val="04A0" w:firstRow="1" w:lastRow="0" w:firstColumn="1" w:lastColumn="0" w:noHBand="0" w:noVBand="1"/>
        <w:tblDescription w:val="Table A.4 CIDI response rates for stratified Transitioned ADF by Service, sex, rank and MEC status"/>
      </w:tblPr>
      <w:tblGrid>
        <w:gridCol w:w="1548"/>
        <w:gridCol w:w="1440"/>
        <w:gridCol w:w="1440"/>
        <w:gridCol w:w="1440"/>
        <w:gridCol w:w="1440"/>
        <w:gridCol w:w="7"/>
      </w:tblGrid>
      <w:tr w:rsidR="004D2283" w:rsidRPr="005B0796" w:rsidTr="004D2283">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Pr>
          <w:p w:rsidR="004D2283" w:rsidRPr="005B0796" w:rsidRDefault="004D2283" w:rsidP="004D2283">
            <w:pPr>
              <w:pStyle w:val="TableText"/>
            </w:pPr>
          </w:p>
        </w:tc>
        <w:tc>
          <w:tcPr>
            <w:tcW w:w="5767" w:type="dxa"/>
            <w:gridSpan w:val="5"/>
            <w:hideMark/>
          </w:tcPr>
          <w:p w:rsidR="004D2283" w:rsidRPr="005B0796" w:rsidRDefault="004D2283" w:rsidP="004D2283">
            <w:pPr>
              <w:pStyle w:val="TableText"/>
              <w:jc w:val="center"/>
            </w:pPr>
            <w:r w:rsidRPr="005B0796">
              <w:t xml:space="preserve">Stratified Transitioned ADF CIDI </w:t>
            </w:r>
            <w:r w:rsidRPr="005B0796">
              <w:br/>
              <w:t>(n = 1384 (selected); n = 745 (responded))</w:t>
            </w:r>
          </w:p>
        </w:tc>
      </w:tr>
      <w:tr w:rsidR="004D2283" w:rsidRPr="005B0796" w:rsidTr="004D2283">
        <w:trPr>
          <w:gridAfter w:val="1"/>
          <w:cnfStyle w:val="100000000000" w:firstRow="1" w:lastRow="0" w:firstColumn="0" w:lastColumn="0" w:oddVBand="0" w:evenVBand="0" w:oddHBand="0" w:evenHBand="0" w:firstRowFirstColumn="0" w:firstRowLastColumn="0" w:lastRowFirstColumn="0" w:lastRowLastColumn="0"/>
          <w:wAfter w:w="7" w:type="dxa"/>
          <w:tblHeader/>
        </w:trPr>
        <w:tc>
          <w:tcPr>
            <w:tcW w:w="1548" w:type="dxa"/>
            <w:vMerge/>
          </w:tcPr>
          <w:p w:rsidR="004D2283" w:rsidRPr="005B0796" w:rsidRDefault="004D2283" w:rsidP="004D2283">
            <w:pPr>
              <w:pStyle w:val="TableText"/>
              <w:rPr>
                <w:rFonts w:cs="Arial"/>
              </w:rPr>
            </w:pPr>
          </w:p>
        </w:tc>
        <w:tc>
          <w:tcPr>
            <w:tcW w:w="1440" w:type="dxa"/>
            <w:hideMark/>
          </w:tcPr>
          <w:p w:rsidR="004D2283" w:rsidRPr="005B0796" w:rsidRDefault="004D2283" w:rsidP="004D2283">
            <w:pPr>
              <w:pStyle w:val="TableText"/>
              <w:jc w:val="right"/>
              <w:rPr>
                <w:rFonts w:cs="Arial"/>
              </w:rPr>
            </w:pPr>
            <w:r w:rsidRPr="005B0796">
              <w:rPr>
                <w:rFonts w:cs="Arial"/>
              </w:rPr>
              <w:t>Population</w:t>
            </w:r>
          </w:p>
        </w:tc>
        <w:tc>
          <w:tcPr>
            <w:tcW w:w="1440" w:type="dxa"/>
            <w:hideMark/>
          </w:tcPr>
          <w:p w:rsidR="004D2283" w:rsidRPr="005B0796" w:rsidRDefault="004D2283" w:rsidP="004D2283">
            <w:pPr>
              <w:pStyle w:val="TableText"/>
              <w:jc w:val="right"/>
              <w:rPr>
                <w:rFonts w:cs="Arial"/>
              </w:rPr>
            </w:pPr>
            <w:r w:rsidRPr="005B0796">
              <w:rPr>
                <w:rFonts w:cs="Arial"/>
              </w:rPr>
              <w:t>Selected</w:t>
            </w:r>
          </w:p>
        </w:tc>
        <w:tc>
          <w:tcPr>
            <w:tcW w:w="1440" w:type="dxa"/>
            <w:hideMark/>
          </w:tcPr>
          <w:p w:rsidR="004D2283" w:rsidRPr="005B0796" w:rsidRDefault="004D2283" w:rsidP="004D2283">
            <w:pPr>
              <w:pStyle w:val="TableText"/>
              <w:jc w:val="right"/>
              <w:rPr>
                <w:rFonts w:cs="Arial"/>
              </w:rPr>
            </w:pPr>
            <w:r w:rsidRPr="005B0796">
              <w:rPr>
                <w:rFonts w:cs="Arial"/>
              </w:rPr>
              <w:t>Responders</w:t>
            </w:r>
          </w:p>
        </w:tc>
        <w:tc>
          <w:tcPr>
            <w:tcW w:w="1440" w:type="dxa"/>
            <w:hideMark/>
          </w:tcPr>
          <w:p w:rsidR="004D2283" w:rsidRPr="005B0796" w:rsidRDefault="004D2283" w:rsidP="004D2283">
            <w:pPr>
              <w:pStyle w:val="TableText"/>
              <w:jc w:val="right"/>
              <w:rPr>
                <w:rFonts w:cs="Arial"/>
              </w:rPr>
            </w:pPr>
            <w:r w:rsidRPr="005B0796">
              <w:rPr>
                <w:rFonts w:cs="Arial"/>
              </w:rPr>
              <w:t>Response rate (%)</w:t>
            </w: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rPr>
                <w:b/>
              </w:rPr>
            </w:pPr>
            <w:r w:rsidRPr="005B0796">
              <w:rPr>
                <w:b/>
              </w:rPr>
              <w:t>Service</w:t>
            </w:r>
          </w:p>
        </w:tc>
        <w:tc>
          <w:tcPr>
            <w:tcW w:w="1440" w:type="dxa"/>
          </w:tcPr>
          <w:p w:rsidR="009B20BD" w:rsidRPr="005B0796" w:rsidRDefault="009B20BD" w:rsidP="004D2283">
            <w:pPr>
              <w:pStyle w:val="TableText"/>
              <w:jc w:val="right"/>
            </w:pPr>
          </w:p>
        </w:tc>
        <w:tc>
          <w:tcPr>
            <w:tcW w:w="1440" w:type="dxa"/>
          </w:tcPr>
          <w:p w:rsidR="009B20BD" w:rsidRPr="005B0796" w:rsidRDefault="009B20BD" w:rsidP="004D2283">
            <w:pPr>
              <w:pStyle w:val="TableText"/>
              <w:jc w:val="right"/>
              <w:rPr>
                <w:rFonts w:cs="Arial"/>
              </w:rPr>
            </w:pPr>
          </w:p>
        </w:tc>
        <w:tc>
          <w:tcPr>
            <w:tcW w:w="1440" w:type="dxa"/>
          </w:tcPr>
          <w:p w:rsidR="009B20BD" w:rsidRPr="005B0796" w:rsidRDefault="009B20BD" w:rsidP="004D2283">
            <w:pPr>
              <w:pStyle w:val="TableText"/>
              <w:jc w:val="right"/>
              <w:rPr>
                <w:rFonts w:cs="Arial"/>
              </w:rPr>
            </w:pPr>
          </w:p>
        </w:tc>
        <w:tc>
          <w:tcPr>
            <w:tcW w:w="1440" w:type="dxa"/>
          </w:tcPr>
          <w:p w:rsidR="009B20BD" w:rsidRPr="005B0796" w:rsidRDefault="009B20BD" w:rsidP="004D2283">
            <w:pPr>
              <w:pStyle w:val="TableText"/>
              <w:jc w:val="right"/>
              <w:rPr>
                <w:rFonts w:cs="Arial"/>
              </w:rPr>
            </w:pPr>
          </w:p>
        </w:tc>
      </w:tr>
      <w:tr w:rsidR="009B20BD" w:rsidRPr="005B0796" w:rsidTr="004D2283">
        <w:trPr>
          <w:gridAfter w:val="1"/>
          <w:wAfter w:w="7" w:type="dxa"/>
        </w:trPr>
        <w:tc>
          <w:tcPr>
            <w:tcW w:w="1548" w:type="dxa"/>
            <w:hideMark/>
          </w:tcPr>
          <w:p w:rsidR="009B20BD" w:rsidRPr="005B0796" w:rsidRDefault="009B20BD" w:rsidP="004D2283">
            <w:pPr>
              <w:pStyle w:val="TableText"/>
              <w:ind w:left="144"/>
            </w:pPr>
            <w:r w:rsidRPr="005B0796">
              <w:t>Navy</w:t>
            </w:r>
          </w:p>
        </w:tc>
        <w:tc>
          <w:tcPr>
            <w:tcW w:w="1440" w:type="dxa"/>
            <w:hideMark/>
          </w:tcPr>
          <w:p w:rsidR="009B20BD" w:rsidRPr="005B0796" w:rsidRDefault="009B20BD" w:rsidP="004D2283">
            <w:pPr>
              <w:pStyle w:val="TableText"/>
              <w:jc w:val="right"/>
            </w:pPr>
            <w:r w:rsidRPr="005B0796">
              <w:t>5671</w:t>
            </w:r>
          </w:p>
        </w:tc>
        <w:tc>
          <w:tcPr>
            <w:tcW w:w="1440" w:type="dxa"/>
            <w:hideMark/>
          </w:tcPr>
          <w:p w:rsidR="009B20BD" w:rsidRPr="005B0796" w:rsidRDefault="009B20BD" w:rsidP="004D2283">
            <w:pPr>
              <w:pStyle w:val="TableText"/>
              <w:jc w:val="right"/>
              <w:rPr>
                <w:rFonts w:cs="Arial"/>
              </w:rPr>
            </w:pPr>
            <w:r w:rsidRPr="005B0796">
              <w:rPr>
                <w:rFonts w:cs="Arial"/>
              </w:rPr>
              <w:t>285</w:t>
            </w:r>
          </w:p>
        </w:tc>
        <w:tc>
          <w:tcPr>
            <w:tcW w:w="1440" w:type="dxa"/>
            <w:hideMark/>
          </w:tcPr>
          <w:p w:rsidR="009B20BD" w:rsidRPr="005B0796" w:rsidRDefault="009B20BD" w:rsidP="004D2283">
            <w:pPr>
              <w:pStyle w:val="TableText"/>
              <w:jc w:val="right"/>
              <w:rPr>
                <w:rFonts w:cs="Arial"/>
              </w:rPr>
            </w:pPr>
            <w:r w:rsidRPr="005B0796">
              <w:rPr>
                <w:rFonts w:cs="Arial"/>
              </w:rPr>
              <w:t>150</w:t>
            </w:r>
          </w:p>
        </w:tc>
        <w:tc>
          <w:tcPr>
            <w:tcW w:w="1440" w:type="dxa"/>
            <w:hideMark/>
          </w:tcPr>
          <w:p w:rsidR="009B20BD" w:rsidRPr="005B0796" w:rsidRDefault="009B20BD" w:rsidP="004D2283">
            <w:pPr>
              <w:pStyle w:val="TableText"/>
              <w:jc w:val="right"/>
              <w:rPr>
                <w:rFonts w:cs="Arial"/>
              </w:rPr>
            </w:pPr>
            <w:r w:rsidRPr="005B0796">
              <w:rPr>
                <w:rFonts w:cs="Arial"/>
              </w:rPr>
              <w:t>52.6</w:t>
            </w: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ind w:left="144"/>
            </w:pPr>
            <w:r w:rsidRPr="005B0796">
              <w:t>Army</w:t>
            </w:r>
          </w:p>
        </w:tc>
        <w:tc>
          <w:tcPr>
            <w:tcW w:w="1440" w:type="dxa"/>
            <w:hideMark/>
          </w:tcPr>
          <w:p w:rsidR="009B20BD" w:rsidRPr="005B0796" w:rsidRDefault="009B20BD" w:rsidP="004D2283">
            <w:pPr>
              <w:pStyle w:val="TableText"/>
              <w:jc w:val="right"/>
            </w:pPr>
            <w:r w:rsidRPr="005B0796">
              <w:t>15,038</w:t>
            </w:r>
          </w:p>
        </w:tc>
        <w:tc>
          <w:tcPr>
            <w:tcW w:w="1440" w:type="dxa"/>
            <w:hideMark/>
          </w:tcPr>
          <w:p w:rsidR="009B20BD" w:rsidRPr="005B0796" w:rsidRDefault="009B20BD" w:rsidP="004D2283">
            <w:pPr>
              <w:pStyle w:val="TableText"/>
              <w:jc w:val="right"/>
              <w:rPr>
                <w:rFonts w:cs="Arial"/>
              </w:rPr>
            </w:pPr>
            <w:r w:rsidRPr="005B0796">
              <w:rPr>
                <w:rFonts w:cs="Arial"/>
              </w:rPr>
              <w:t>795</w:t>
            </w:r>
          </w:p>
        </w:tc>
        <w:tc>
          <w:tcPr>
            <w:tcW w:w="1440" w:type="dxa"/>
            <w:hideMark/>
          </w:tcPr>
          <w:p w:rsidR="009B20BD" w:rsidRPr="005B0796" w:rsidRDefault="009B20BD" w:rsidP="004D2283">
            <w:pPr>
              <w:pStyle w:val="TableText"/>
              <w:jc w:val="right"/>
              <w:rPr>
                <w:rFonts w:cs="Arial"/>
              </w:rPr>
            </w:pPr>
            <w:r w:rsidRPr="005B0796">
              <w:rPr>
                <w:rFonts w:cs="Arial"/>
              </w:rPr>
              <w:t>424</w:t>
            </w:r>
          </w:p>
        </w:tc>
        <w:tc>
          <w:tcPr>
            <w:tcW w:w="1440" w:type="dxa"/>
            <w:hideMark/>
          </w:tcPr>
          <w:p w:rsidR="009B20BD" w:rsidRPr="005B0796" w:rsidRDefault="009B20BD" w:rsidP="004D2283">
            <w:pPr>
              <w:pStyle w:val="TableText"/>
              <w:jc w:val="right"/>
              <w:rPr>
                <w:rFonts w:cs="Arial"/>
              </w:rPr>
            </w:pPr>
            <w:r w:rsidRPr="005B0796">
              <w:rPr>
                <w:rFonts w:cs="Arial"/>
              </w:rPr>
              <w:t>53.3</w:t>
            </w:r>
          </w:p>
        </w:tc>
      </w:tr>
      <w:tr w:rsidR="009B20BD" w:rsidRPr="005B0796" w:rsidTr="004D2283">
        <w:trPr>
          <w:gridAfter w:val="1"/>
          <w:wAfter w:w="7" w:type="dxa"/>
        </w:trPr>
        <w:tc>
          <w:tcPr>
            <w:tcW w:w="1548" w:type="dxa"/>
            <w:hideMark/>
          </w:tcPr>
          <w:p w:rsidR="009B20BD" w:rsidRPr="005B0796" w:rsidRDefault="009B20BD" w:rsidP="004D2283">
            <w:pPr>
              <w:pStyle w:val="TableText"/>
              <w:ind w:left="144"/>
              <w:rPr>
                <w:rFonts w:cs="Arial"/>
              </w:rPr>
            </w:pPr>
            <w:r w:rsidRPr="005B0796">
              <w:t>Air Force</w:t>
            </w:r>
          </w:p>
        </w:tc>
        <w:tc>
          <w:tcPr>
            <w:tcW w:w="1440" w:type="dxa"/>
            <w:hideMark/>
          </w:tcPr>
          <w:p w:rsidR="009B20BD" w:rsidRPr="005B0796" w:rsidRDefault="009B20BD" w:rsidP="004D2283">
            <w:pPr>
              <w:pStyle w:val="TableText"/>
              <w:jc w:val="right"/>
            </w:pPr>
            <w:r w:rsidRPr="005B0796">
              <w:t>4223</w:t>
            </w:r>
          </w:p>
        </w:tc>
        <w:tc>
          <w:tcPr>
            <w:tcW w:w="1440" w:type="dxa"/>
            <w:hideMark/>
          </w:tcPr>
          <w:p w:rsidR="009B20BD" w:rsidRPr="005B0796" w:rsidRDefault="009B20BD" w:rsidP="004D2283">
            <w:pPr>
              <w:pStyle w:val="TableText"/>
              <w:jc w:val="right"/>
              <w:rPr>
                <w:rFonts w:cs="Arial"/>
              </w:rPr>
            </w:pPr>
            <w:r w:rsidRPr="005B0796">
              <w:rPr>
                <w:rFonts w:cs="Arial"/>
              </w:rPr>
              <w:t>304</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171</w:t>
            </w:r>
          </w:p>
        </w:tc>
        <w:tc>
          <w:tcPr>
            <w:tcW w:w="1440" w:type="dxa"/>
            <w:hideMark/>
          </w:tcPr>
          <w:p w:rsidR="009B20BD" w:rsidRPr="005B0796" w:rsidRDefault="009B20BD" w:rsidP="004D2283">
            <w:pPr>
              <w:pStyle w:val="TableText"/>
              <w:jc w:val="right"/>
              <w:rPr>
                <w:rFonts w:cs="Arial"/>
              </w:rPr>
            </w:pPr>
            <w:r w:rsidRPr="005B0796">
              <w:rPr>
                <w:rFonts w:cs="Arial"/>
              </w:rPr>
              <w:t>56.3</w:t>
            </w: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rPr>
                <w:b/>
              </w:rPr>
            </w:pPr>
            <w:r w:rsidRPr="005B0796">
              <w:rPr>
                <w:b/>
              </w:rPr>
              <w:t>Sex</w:t>
            </w:r>
          </w:p>
        </w:tc>
        <w:tc>
          <w:tcPr>
            <w:tcW w:w="1440" w:type="dxa"/>
          </w:tcPr>
          <w:p w:rsidR="009B20BD" w:rsidRPr="005B0796" w:rsidRDefault="009B20BD" w:rsidP="004D2283">
            <w:pPr>
              <w:pStyle w:val="TableText"/>
              <w:jc w:val="right"/>
            </w:pPr>
          </w:p>
        </w:tc>
        <w:tc>
          <w:tcPr>
            <w:tcW w:w="1440" w:type="dxa"/>
          </w:tcPr>
          <w:p w:rsidR="009B20BD" w:rsidRPr="005B0796" w:rsidRDefault="009B20BD" w:rsidP="004D2283">
            <w:pPr>
              <w:pStyle w:val="TableText"/>
              <w:jc w:val="right"/>
              <w:rPr>
                <w:rFonts w:cs="Arial"/>
              </w:rPr>
            </w:pPr>
          </w:p>
        </w:tc>
        <w:tc>
          <w:tcPr>
            <w:tcW w:w="1440" w:type="dxa"/>
          </w:tcPr>
          <w:p w:rsidR="009B20BD" w:rsidRPr="005B0796" w:rsidRDefault="009B20BD" w:rsidP="004D2283">
            <w:pPr>
              <w:pStyle w:val="TableText"/>
              <w:jc w:val="right"/>
              <w:rPr>
                <w:rFonts w:cs="Arial"/>
                <w:color w:val="000000" w:themeColor="text1"/>
              </w:rPr>
            </w:pPr>
          </w:p>
        </w:tc>
        <w:tc>
          <w:tcPr>
            <w:tcW w:w="1440" w:type="dxa"/>
          </w:tcPr>
          <w:p w:rsidR="009B20BD" w:rsidRPr="005B0796" w:rsidRDefault="009B20BD" w:rsidP="004D2283">
            <w:pPr>
              <w:pStyle w:val="TableText"/>
              <w:jc w:val="right"/>
              <w:rPr>
                <w:rFonts w:cs="Arial"/>
              </w:rPr>
            </w:pPr>
          </w:p>
        </w:tc>
      </w:tr>
      <w:tr w:rsidR="009B20BD" w:rsidRPr="005B0796" w:rsidTr="004D2283">
        <w:trPr>
          <w:gridAfter w:val="1"/>
          <w:wAfter w:w="7" w:type="dxa"/>
        </w:trPr>
        <w:tc>
          <w:tcPr>
            <w:tcW w:w="1548" w:type="dxa"/>
            <w:hideMark/>
          </w:tcPr>
          <w:p w:rsidR="009B20BD" w:rsidRPr="005B0796" w:rsidRDefault="009B20BD" w:rsidP="004D2283">
            <w:pPr>
              <w:pStyle w:val="TableText"/>
              <w:ind w:left="144"/>
            </w:pPr>
            <w:r w:rsidRPr="005B0796">
              <w:t>Male</w:t>
            </w:r>
          </w:p>
        </w:tc>
        <w:tc>
          <w:tcPr>
            <w:tcW w:w="1440" w:type="dxa"/>
            <w:hideMark/>
          </w:tcPr>
          <w:p w:rsidR="009B20BD" w:rsidRPr="005B0796" w:rsidRDefault="009B20BD" w:rsidP="004D2283">
            <w:pPr>
              <w:pStyle w:val="TableText"/>
              <w:jc w:val="right"/>
            </w:pPr>
            <w:r w:rsidRPr="005B0796">
              <w:t>21,671</w:t>
            </w:r>
          </w:p>
        </w:tc>
        <w:tc>
          <w:tcPr>
            <w:tcW w:w="1440" w:type="dxa"/>
            <w:hideMark/>
          </w:tcPr>
          <w:p w:rsidR="009B20BD" w:rsidRPr="005B0796" w:rsidRDefault="009B20BD" w:rsidP="004D2283">
            <w:pPr>
              <w:pStyle w:val="TableText"/>
              <w:jc w:val="right"/>
              <w:rPr>
                <w:rFonts w:cs="Arial"/>
              </w:rPr>
            </w:pPr>
            <w:r w:rsidRPr="005B0796">
              <w:rPr>
                <w:rFonts w:cs="Arial"/>
              </w:rPr>
              <w:t>1140</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631</w:t>
            </w:r>
          </w:p>
        </w:tc>
        <w:tc>
          <w:tcPr>
            <w:tcW w:w="1440" w:type="dxa"/>
            <w:hideMark/>
          </w:tcPr>
          <w:p w:rsidR="009B20BD" w:rsidRPr="005B0796" w:rsidRDefault="009B20BD" w:rsidP="004D2283">
            <w:pPr>
              <w:pStyle w:val="TableText"/>
              <w:jc w:val="right"/>
              <w:rPr>
                <w:rFonts w:cs="Arial"/>
              </w:rPr>
            </w:pPr>
            <w:r w:rsidRPr="005B0796">
              <w:rPr>
                <w:rFonts w:cs="Arial"/>
              </w:rPr>
              <w:t>55.4</w:t>
            </w: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ind w:left="144"/>
            </w:pPr>
            <w:r w:rsidRPr="005B0796">
              <w:t>Female</w:t>
            </w:r>
          </w:p>
        </w:tc>
        <w:tc>
          <w:tcPr>
            <w:tcW w:w="1440" w:type="dxa"/>
            <w:hideMark/>
          </w:tcPr>
          <w:p w:rsidR="009B20BD" w:rsidRPr="005B0796" w:rsidRDefault="009B20BD" w:rsidP="004D2283">
            <w:pPr>
              <w:pStyle w:val="TableText"/>
              <w:jc w:val="right"/>
            </w:pPr>
            <w:r w:rsidRPr="005B0796">
              <w:t>3261</w:t>
            </w:r>
          </w:p>
        </w:tc>
        <w:tc>
          <w:tcPr>
            <w:tcW w:w="1440" w:type="dxa"/>
            <w:hideMark/>
          </w:tcPr>
          <w:p w:rsidR="009B20BD" w:rsidRPr="005B0796" w:rsidRDefault="009B20BD" w:rsidP="004D2283">
            <w:pPr>
              <w:pStyle w:val="TableText"/>
              <w:jc w:val="right"/>
              <w:rPr>
                <w:rFonts w:cs="Arial"/>
              </w:rPr>
            </w:pPr>
            <w:r w:rsidRPr="005B0796">
              <w:rPr>
                <w:rFonts w:cs="Arial"/>
              </w:rPr>
              <w:t>235</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109</w:t>
            </w:r>
          </w:p>
        </w:tc>
        <w:tc>
          <w:tcPr>
            <w:tcW w:w="1440" w:type="dxa"/>
            <w:hideMark/>
          </w:tcPr>
          <w:p w:rsidR="009B20BD" w:rsidRPr="005B0796" w:rsidRDefault="009B20BD" w:rsidP="004D2283">
            <w:pPr>
              <w:pStyle w:val="TableText"/>
              <w:jc w:val="right"/>
              <w:rPr>
                <w:rFonts w:cs="Arial"/>
              </w:rPr>
            </w:pPr>
            <w:r w:rsidRPr="005B0796">
              <w:rPr>
                <w:rFonts w:cs="Arial"/>
              </w:rPr>
              <w:t>45.0</w:t>
            </w:r>
          </w:p>
        </w:tc>
      </w:tr>
      <w:tr w:rsidR="009B20BD" w:rsidRPr="005B0796" w:rsidTr="004D2283">
        <w:trPr>
          <w:gridAfter w:val="1"/>
          <w:wAfter w:w="7" w:type="dxa"/>
        </w:trPr>
        <w:tc>
          <w:tcPr>
            <w:tcW w:w="1548" w:type="dxa"/>
            <w:hideMark/>
          </w:tcPr>
          <w:p w:rsidR="009B20BD" w:rsidRPr="005B0796" w:rsidRDefault="009B20BD" w:rsidP="004D2283">
            <w:pPr>
              <w:pStyle w:val="TableText"/>
              <w:rPr>
                <w:b/>
              </w:rPr>
            </w:pPr>
            <w:r w:rsidRPr="005B0796">
              <w:rPr>
                <w:b/>
              </w:rPr>
              <w:t>Rank</w:t>
            </w:r>
          </w:p>
        </w:tc>
        <w:tc>
          <w:tcPr>
            <w:tcW w:w="1440" w:type="dxa"/>
          </w:tcPr>
          <w:p w:rsidR="009B20BD" w:rsidRPr="005B0796" w:rsidRDefault="009B20BD" w:rsidP="004D2283">
            <w:pPr>
              <w:pStyle w:val="TableText"/>
              <w:jc w:val="right"/>
            </w:pPr>
          </w:p>
        </w:tc>
        <w:tc>
          <w:tcPr>
            <w:tcW w:w="1440" w:type="dxa"/>
          </w:tcPr>
          <w:p w:rsidR="009B20BD" w:rsidRPr="005B0796" w:rsidRDefault="009B20BD" w:rsidP="004D2283">
            <w:pPr>
              <w:pStyle w:val="TableText"/>
              <w:jc w:val="right"/>
              <w:rPr>
                <w:rFonts w:cs="Arial"/>
              </w:rPr>
            </w:pPr>
          </w:p>
        </w:tc>
        <w:tc>
          <w:tcPr>
            <w:tcW w:w="1440" w:type="dxa"/>
          </w:tcPr>
          <w:p w:rsidR="009B20BD" w:rsidRPr="005B0796" w:rsidRDefault="009B20BD" w:rsidP="004D2283">
            <w:pPr>
              <w:pStyle w:val="TableText"/>
              <w:jc w:val="right"/>
              <w:rPr>
                <w:rFonts w:cs="Arial"/>
                <w:color w:val="000000" w:themeColor="text1"/>
              </w:rPr>
            </w:pPr>
          </w:p>
        </w:tc>
        <w:tc>
          <w:tcPr>
            <w:tcW w:w="1440" w:type="dxa"/>
          </w:tcPr>
          <w:p w:rsidR="009B20BD" w:rsidRPr="005B0796" w:rsidRDefault="009B20BD" w:rsidP="004D2283">
            <w:pPr>
              <w:pStyle w:val="TableText"/>
              <w:jc w:val="right"/>
              <w:rPr>
                <w:rFonts w:cs="Arial"/>
              </w:rPr>
            </w:pP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ind w:left="144"/>
            </w:pPr>
            <w:r w:rsidRPr="005B0796">
              <w:t>OFFR</w:t>
            </w:r>
          </w:p>
        </w:tc>
        <w:tc>
          <w:tcPr>
            <w:tcW w:w="1440" w:type="dxa"/>
            <w:hideMark/>
          </w:tcPr>
          <w:p w:rsidR="009B20BD" w:rsidRPr="005B0796" w:rsidRDefault="009B20BD" w:rsidP="004D2283">
            <w:pPr>
              <w:pStyle w:val="TableText"/>
              <w:jc w:val="right"/>
            </w:pPr>
            <w:r w:rsidRPr="005B0796">
              <w:t>4063</w:t>
            </w:r>
          </w:p>
        </w:tc>
        <w:tc>
          <w:tcPr>
            <w:tcW w:w="1440" w:type="dxa"/>
            <w:hideMark/>
          </w:tcPr>
          <w:p w:rsidR="009B20BD" w:rsidRPr="005B0796" w:rsidRDefault="009B20BD" w:rsidP="004D2283">
            <w:pPr>
              <w:pStyle w:val="TableText"/>
              <w:jc w:val="right"/>
              <w:rPr>
                <w:rFonts w:cs="Arial"/>
              </w:rPr>
            </w:pPr>
            <w:r w:rsidRPr="005B0796">
              <w:rPr>
                <w:rFonts w:cs="Arial"/>
              </w:rPr>
              <w:t>423</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252</w:t>
            </w:r>
          </w:p>
        </w:tc>
        <w:tc>
          <w:tcPr>
            <w:tcW w:w="1440" w:type="dxa"/>
            <w:hideMark/>
          </w:tcPr>
          <w:p w:rsidR="009B20BD" w:rsidRPr="005B0796" w:rsidRDefault="009B20BD" w:rsidP="004D2283">
            <w:pPr>
              <w:pStyle w:val="TableText"/>
              <w:jc w:val="right"/>
              <w:rPr>
                <w:rFonts w:cs="Arial"/>
              </w:rPr>
            </w:pPr>
            <w:r w:rsidRPr="005B0796">
              <w:rPr>
                <w:rFonts w:cs="Arial"/>
              </w:rPr>
              <w:t>59.6</w:t>
            </w:r>
          </w:p>
        </w:tc>
      </w:tr>
      <w:tr w:rsidR="009B20BD" w:rsidRPr="005B0796" w:rsidTr="004D2283">
        <w:trPr>
          <w:gridAfter w:val="1"/>
          <w:wAfter w:w="7" w:type="dxa"/>
        </w:trPr>
        <w:tc>
          <w:tcPr>
            <w:tcW w:w="1548" w:type="dxa"/>
            <w:hideMark/>
          </w:tcPr>
          <w:p w:rsidR="009B20BD" w:rsidRPr="005B0796" w:rsidRDefault="009B20BD" w:rsidP="004D2283">
            <w:pPr>
              <w:pStyle w:val="TableText"/>
              <w:ind w:left="144"/>
            </w:pPr>
            <w:r w:rsidRPr="005B0796">
              <w:t>NCO</w:t>
            </w:r>
          </w:p>
        </w:tc>
        <w:tc>
          <w:tcPr>
            <w:tcW w:w="1440" w:type="dxa"/>
            <w:hideMark/>
          </w:tcPr>
          <w:p w:rsidR="009B20BD" w:rsidRPr="005B0796" w:rsidRDefault="009B20BD" w:rsidP="004D2283">
            <w:pPr>
              <w:pStyle w:val="TableText"/>
              <w:jc w:val="right"/>
            </w:pPr>
            <w:r w:rsidRPr="005B0796">
              <w:t>7866</w:t>
            </w:r>
          </w:p>
        </w:tc>
        <w:tc>
          <w:tcPr>
            <w:tcW w:w="1440" w:type="dxa"/>
            <w:hideMark/>
          </w:tcPr>
          <w:p w:rsidR="009B20BD" w:rsidRPr="005B0796" w:rsidRDefault="009B20BD" w:rsidP="004D2283">
            <w:pPr>
              <w:pStyle w:val="TableText"/>
              <w:jc w:val="right"/>
              <w:rPr>
                <w:rFonts w:cs="Arial"/>
              </w:rPr>
            </w:pPr>
            <w:r w:rsidRPr="005B0796">
              <w:rPr>
                <w:rFonts w:cs="Arial"/>
              </w:rPr>
              <w:t>694</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389</w:t>
            </w:r>
          </w:p>
        </w:tc>
        <w:tc>
          <w:tcPr>
            <w:tcW w:w="1440" w:type="dxa"/>
            <w:hideMark/>
          </w:tcPr>
          <w:p w:rsidR="009B20BD" w:rsidRPr="005B0796" w:rsidRDefault="009B20BD" w:rsidP="004D2283">
            <w:pPr>
              <w:pStyle w:val="TableText"/>
              <w:jc w:val="right"/>
              <w:rPr>
                <w:rFonts w:cs="Arial"/>
              </w:rPr>
            </w:pPr>
            <w:r w:rsidRPr="005B0796">
              <w:rPr>
                <w:rFonts w:cs="Arial"/>
              </w:rPr>
              <w:t>56.1</w:t>
            </w: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ind w:left="144"/>
            </w:pPr>
            <w:r w:rsidRPr="005B0796">
              <w:t xml:space="preserve">Other </w:t>
            </w:r>
            <w:r w:rsidR="00751C86" w:rsidRPr="005B0796">
              <w:t>Ranks</w:t>
            </w:r>
          </w:p>
        </w:tc>
        <w:tc>
          <w:tcPr>
            <w:tcW w:w="1440" w:type="dxa"/>
            <w:hideMark/>
          </w:tcPr>
          <w:p w:rsidR="009B20BD" w:rsidRPr="005B0796" w:rsidRDefault="009B20BD" w:rsidP="004D2283">
            <w:pPr>
              <w:pStyle w:val="TableText"/>
              <w:jc w:val="right"/>
            </w:pPr>
            <w:r w:rsidRPr="005B0796">
              <w:t>13,003</w:t>
            </w:r>
          </w:p>
        </w:tc>
        <w:tc>
          <w:tcPr>
            <w:tcW w:w="1440" w:type="dxa"/>
            <w:hideMark/>
          </w:tcPr>
          <w:p w:rsidR="009B20BD" w:rsidRPr="005B0796" w:rsidRDefault="009B20BD" w:rsidP="004D2283">
            <w:pPr>
              <w:pStyle w:val="TableText"/>
              <w:jc w:val="right"/>
              <w:rPr>
                <w:rFonts w:cs="Arial"/>
              </w:rPr>
            </w:pPr>
            <w:r w:rsidRPr="005B0796">
              <w:rPr>
                <w:rFonts w:cs="Arial"/>
              </w:rPr>
              <w:t>267</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104</w:t>
            </w:r>
          </w:p>
        </w:tc>
        <w:tc>
          <w:tcPr>
            <w:tcW w:w="1440" w:type="dxa"/>
            <w:hideMark/>
          </w:tcPr>
          <w:p w:rsidR="009B20BD" w:rsidRPr="005B0796" w:rsidRDefault="009B20BD" w:rsidP="004D2283">
            <w:pPr>
              <w:pStyle w:val="TableText"/>
              <w:jc w:val="right"/>
              <w:rPr>
                <w:rFonts w:cs="Arial"/>
              </w:rPr>
            </w:pPr>
            <w:r w:rsidRPr="005B0796">
              <w:rPr>
                <w:rFonts w:cs="Arial"/>
              </w:rPr>
              <w:t>39.0</w:t>
            </w:r>
          </w:p>
        </w:tc>
      </w:tr>
      <w:tr w:rsidR="009B20BD" w:rsidRPr="005B0796" w:rsidTr="004D2283">
        <w:trPr>
          <w:gridAfter w:val="1"/>
          <w:wAfter w:w="7" w:type="dxa"/>
        </w:trPr>
        <w:tc>
          <w:tcPr>
            <w:tcW w:w="1548" w:type="dxa"/>
            <w:hideMark/>
          </w:tcPr>
          <w:p w:rsidR="009B20BD" w:rsidRPr="005B0796" w:rsidRDefault="009B20BD" w:rsidP="004D2283">
            <w:pPr>
              <w:pStyle w:val="TableText"/>
              <w:rPr>
                <w:b/>
              </w:rPr>
            </w:pPr>
            <w:r w:rsidRPr="005B0796">
              <w:rPr>
                <w:b/>
              </w:rPr>
              <w:t>Medical fitness</w:t>
            </w:r>
          </w:p>
        </w:tc>
        <w:tc>
          <w:tcPr>
            <w:tcW w:w="1440" w:type="dxa"/>
          </w:tcPr>
          <w:p w:rsidR="009B20BD" w:rsidRPr="005B0796" w:rsidRDefault="009B20BD" w:rsidP="004D2283">
            <w:pPr>
              <w:pStyle w:val="TableText"/>
              <w:jc w:val="right"/>
            </w:pPr>
          </w:p>
        </w:tc>
        <w:tc>
          <w:tcPr>
            <w:tcW w:w="1440" w:type="dxa"/>
          </w:tcPr>
          <w:p w:rsidR="009B20BD" w:rsidRPr="005B0796" w:rsidRDefault="009B20BD" w:rsidP="004D2283">
            <w:pPr>
              <w:pStyle w:val="TableText"/>
              <w:jc w:val="right"/>
              <w:rPr>
                <w:rFonts w:cs="Arial"/>
              </w:rPr>
            </w:pPr>
          </w:p>
        </w:tc>
        <w:tc>
          <w:tcPr>
            <w:tcW w:w="1440" w:type="dxa"/>
          </w:tcPr>
          <w:p w:rsidR="009B20BD" w:rsidRPr="005B0796" w:rsidRDefault="009B20BD" w:rsidP="004D2283">
            <w:pPr>
              <w:pStyle w:val="TableText"/>
              <w:jc w:val="right"/>
              <w:rPr>
                <w:rFonts w:cs="Arial"/>
                <w:color w:val="000000" w:themeColor="text1"/>
              </w:rPr>
            </w:pPr>
          </w:p>
        </w:tc>
        <w:tc>
          <w:tcPr>
            <w:tcW w:w="1440" w:type="dxa"/>
          </w:tcPr>
          <w:p w:rsidR="009B20BD" w:rsidRPr="005B0796" w:rsidRDefault="009B20BD" w:rsidP="004D2283">
            <w:pPr>
              <w:pStyle w:val="TableText"/>
              <w:jc w:val="right"/>
              <w:rPr>
                <w:rFonts w:cs="Arial"/>
              </w:rPr>
            </w:pP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ind w:left="144"/>
            </w:pPr>
            <w:r w:rsidRPr="005B0796">
              <w:t>Fit</w:t>
            </w:r>
          </w:p>
        </w:tc>
        <w:tc>
          <w:tcPr>
            <w:tcW w:w="1440" w:type="dxa"/>
            <w:hideMark/>
          </w:tcPr>
          <w:p w:rsidR="009B20BD" w:rsidRPr="005B0796" w:rsidRDefault="009B20BD" w:rsidP="004D2283">
            <w:pPr>
              <w:pStyle w:val="TableText"/>
              <w:jc w:val="right"/>
            </w:pPr>
            <w:r w:rsidRPr="005B0796">
              <w:t>18,273</w:t>
            </w:r>
          </w:p>
        </w:tc>
        <w:tc>
          <w:tcPr>
            <w:tcW w:w="1440" w:type="dxa"/>
            <w:hideMark/>
          </w:tcPr>
          <w:p w:rsidR="009B20BD" w:rsidRPr="005B0796" w:rsidRDefault="009B20BD" w:rsidP="004D2283">
            <w:pPr>
              <w:pStyle w:val="TableText"/>
              <w:jc w:val="right"/>
              <w:rPr>
                <w:rFonts w:cs="Arial"/>
              </w:rPr>
            </w:pPr>
            <w:r w:rsidRPr="005B0796">
              <w:rPr>
                <w:rFonts w:cs="Arial"/>
              </w:rPr>
              <w:t>932</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521</w:t>
            </w:r>
          </w:p>
        </w:tc>
        <w:tc>
          <w:tcPr>
            <w:tcW w:w="1440" w:type="dxa"/>
            <w:hideMark/>
          </w:tcPr>
          <w:p w:rsidR="009B20BD" w:rsidRPr="005B0796" w:rsidRDefault="009B20BD" w:rsidP="004D2283">
            <w:pPr>
              <w:pStyle w:val="TableText"/>
              <w:jc w:val="right"/>
              <w:rPr>
                <w:rFonts w:cs="Arial"/>
              </w:rPr>
            </w:pPr>
            <w:r w:rsidRPr="005B0796">
              <w:rPr>
                <w:rFonts w:cs="Arial"/>
              </w:rPr>
              <w:t>55.9</w:t>
            </w:r>
          </w:p>
        </w:tc>
      </w:tr>
      <w:tr w:rsidR="009B20BD" w:rsidRPr="005B0796" w:rsidTr="004D2283">
        <w:trPr>
          <w:gridAfter w:val="1"/>
          <w:wAfter w:w="7" w:type="dxa"/>
        </w:trPr>
        <w:tc>
          <w:tcPr>
            <w:tcW w:w="1548" w:type="dxa"/>
            <w:hideMark/>
          </w:tcPr>
          <w:p w:rsidR="009B20BD" w:rsidRPr="005B0796" w:rsidRDefault="009B20BD" w:rsidP="004D2283">
            <w:pPr>
              <w:pStyle w:val="TableText"/>
              <w:ind w:left="144"/>
            </w:pPr>
            <w:r w:rsidRPr="005B0796">
              <w:t>Unfit</w:t>
            </w:r>
          </w:p>
        </w:tc>
        <w:tc>
          <w:tcPr>
            <w:tcW w:w="1440" w:type="dxa"/>
            <w:hideMark/>
          </w:tcPr>
          <w:p w:rsidR="009B20BD" w:rsidRPr="005B0796" w:rsidRDefault="009B20BD" w:rsidP="004D2283">
            <w:pPr>
              <w:pStyle w:val="TableText"/>
              <w:jc w:val="right"/>
            </w:pPr>
            <w:r w:rsidRPr="005B0796">
              <w:t>6659</w:t>
            </w:r>
          </w:p>
        </w:tc>
        <w:tc>
          <w:tcPr>
            <w:tcW w:w="1440" w:type="dxa"/>
            <w:hideMark/>
          </w:tcPr>
          <w:p w:rsidR="009B20BD" w:rsidRPr="005B0796" w:rsidRDefault="009B20BD" w:rsidP="004D2283">
            <w:pPr>
              <w:pStyle w:val="TableText"/>
              <w:jc w:val="right"/>
              <w:rPr>
                <w:rFonts w:cs="Arial"/>
              </w:rPr>
            </w:pPr>
            <w:r w:rsidRPr="005B0796">
              <w:rPr>
                <w:rFonts w:cs="Arial"/>
              </w:rPr>
              <w:t>443</w:t>
            </w:r>
          </w:p>
        </w:tc>
        <w:tc>
          <w:tcPr>
            <w:tcW w:w="1440"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219</w:t>
            </w:r>
          </w:p>
        </w:tc>
        <w:tc>
          <w:tcPr>
            <w:tcW w:w="1440" w:type="dxa"/>
            <w:hideMark/>
          </w:tcPr>
          <w:p w:rsidR="009B20BD" w:rsidRPr="005B0796" w:rsidRDefault="009B20BD" w:rsidP="004D2283">
            <w:pPr>
              <w:pStyle w:val="TableText"/>
              <w:jc w:val="right"/>
              <w:rPr>
                <w:rFonts w:cs="Arial"/>
              </w:rPr>
            </w:pPr>
            <w:r w:rsidRPr="005B0796">
              <w:rPr>
                <w:rFonts w:cs="Arial"/>
              </w:rPr>
              <w:t>49.4</w:t>
            </w:r>
          </w:p>
        </w:tc>
      </w:tr>
      <w:tr w:rsidR="009B20BD" w:rsidRPr="005B0796" w:rsidTr="004D2283">
        <w:trPr>
          <w:gridAfter w:val="1"/>
          <w:cnfStyle w:val="000000100000" w:firstRow="0" w:lastRow="0" w:firstColumn="0" w:lastColumn="0" w:oddVBand="0" w:evenVBand="0" w:oddHBand="1" w:evenHBand="0" w:firstRowFirstColumn="0" w:firstRowLastColumn="0" w:lastRowFirstColumn="0" w:lastRowLastColumn="0"/>
          <w:wAfter w:w="7" w:type="dxa"/>
        </w:trPr>
        <w:tc>
          <w:tcPr>
            <w:tcW w:w="1548" w:type="dxa"/>
            <w:hideMark/>
          </w:tcPr>
          <w:p w:rsidR="009B20BD" w:rsidRPr="005B0796" w:rsidRDefault="009B20BD" w:rsidP="004D2283">
            <w:pPr>
              <w:pStyle w:val="TableText"/>
              <w:rPr>
                <w:b/>
              </w:rPr>
            </w:pPr>
            <w:r w:rsidRPr="005B0796">
              <w:rPr>
                <w:b/>
              </w:rPr>
              <w:t>Total</w:t>
            </w:r>
          </w:p>
        </w:tc>
        <w:tc>
          <w:tcPr>
            <w:tcW w:w="1440" w:type="dxa"/>
            <w:hideMark/>
          </w:tcPr>
          <w:p w:rsidR="009B20BD" w:rsidRPr="005B0796" w:rsidRDefault="009B20BD" w:rsidP="004D2283">
            <w:pPr>
              <w:pStyle w:val="TableText"/>
              <w:jc w:val="right"/>
            </w:pPr>
            <w:r w:rsidRPr="005B0796">
              <w:t>24,932</w:t>
            </w:r>
          </w:p>
        </w:tc>
        <w:tc>
          <w:tcPr>
            <w:tcW w:w="1440" w:type="dxa"/>
            <w:hideMark/>
          </w:tcPr>
          <w:p w:rsidR="009B20BD" w:rsidRPr="005B0796" w:rsidRDefault="009B20BD" w:rsidP="004D2283">
            <w:pPr>
              <w:pStyle w:val="TableText"/>
              <w:jc w:val="right"/>
            </w:pPr>
            <w:r w:rsidRPr="005B0796">
              <w:t>1384</w:t>
            </w:r>
          </w:p>
        </w:tc>
        <w:tc>
          <w:tcPr>
            <w:tcW w:w="1440" w:type="dxa"/>
            <w:hideMark/>
          </w:tcPr>
          <w:p w:rsidR="009B20BD" w:rsidRPr="005B0796" w:rsidRDefault="009B20BD" w:rsidP="004D2283">
            <w:pPr>
              <w:pStyle w:val="TableText"/>
              <w:jc w:val="right"/>
            </w:pPr>
            <w:r w:rsidRPr="005B0796">
              <w:t>745</w:t>
            </w:r>
          </w:p>
        </w:tc>
        <w:tc>
          <w:tcPr>
            <w:tcW w:w="1440" w:type="dxa"/>
            <w:hideMark/>
          </w:tcPr>
          <w:p w:rsidR="009B20BD" w:rsidRPr="005B0796" w:rsidRDefault="009B20BD" w:rsidP="004D2283">
            <w:pPr>
              <w:pStyle w:val="TableText"/>
              <w:jc w:val="right"/>
            </w:pPr>
            <w:r w:rsidRPr="005B0796">
              <w:t>53.8</w:t>
            </w:r>
          </w:p>
        </w:tc>
      </w:tr>
    </w:tbl>
    <w:p w:rsidR="004D2283" w:rsidRPr="005B0796" w:rsidRDefault="004D2283" w:rsidP="004D2283">
      <w:pPr>
        <w:pStyle w:val="TableNotes"/>
      </w:pPr>
      <w:r w:rsidRPr="005B0796">
        <w:t>Denominator: Transitioned ADF Invited to participate in the CIDI interview</w:t>
      </w:r>
    </w:p>
    <w:p w:rsidR="004D2283" w:rsidRPr="005B0796" w:rsidRDefault="004D2283" w:rsidP="004D2283">
      <w:pPr>
        <w:pStyle w:val="TableNotes"/>
        <w:rPr>
          <w:bCs/>
        </w:rPr>
      </w:pPr>
      <w:r w:rsidRPr="005B0796">
        <w:t>Note</w:t>
      </w:r>
      <w:r w:rsidR="008C2520" w:rsidRPr="005B0796">
        <w:t>s</w:t>
      </w:r>
      <w:r w:rsidRPr="005B0796">
        <w:t>:</w:t>
      </w:r>
      <w:r w:rsidR="008C2520" w:rsidRPr="005B0796">
        <w:br/>
      </w:r>
      <w:r w:rsidRPr="005B0796">
        <w:t>Unweighted data</w:t>
      </w:r>
    </w:p>
    <w:p w:rsidR="004D2283" w:rsidRPr="005B0796" w:rsidRDefault="004D2283" w:rsidP="004D2283">
      <w:pPr>
        <w:pStyle w:val="TableNotes"/>
        <w:rPr>
          <w:bCs/>
        </w:rPr>
      </w:pPr>
      <w:r w:rsidRPr="005B0796">
        <w:rPr>
          <w:bCs/>
        </w:rPr>
        <w:t xml:space="preserve">95%CI: 95% </w:t>
      </w:r>
      <w:r w:rsidR="00564689" w:rsidRPr="005B0796">
        <w:rPr>
          <w:bCs/>
        </w:rPr>
        <w:t>confidence interval</w:t>
      </w:r>
    </w:p>
    <w:p w:rsidR="009B20BD" w:rsidRPr="005B0796" w:rsidRDefault="009B20BD" w:rsidP="004D2283">
      <w:r w:rsidRPr="005B0796">
        <w:t>The characteristics of Transitioned CIDI respondents were as follows:</w:t>
      </w:r>
    </w:p>
    <w:p w:rsidR="009B20BD" w:rsidRPr="005B0796" w:rsidRDefault="009B20BD" w:rsidP="004D2283">
      <w:r w:rsidRPr="005B0796">
        <w:rPr>
          <w:b/>
          <w:bCs/>
        </w:rPr>
        <w:t>Sex</w:t>
      </w:r>
      <w:r w:rsidRPr="005B0796">
        <w:t xml:space="preserve"> – Consistent with the Transitioned ADF population, the CIDI sample was predominantly male; however, Transitioned females were less likely to complete a CIDI interview than transitioned males.</w:t>
      </w:r>
    </w:p>
    <w:p w:rsidR="009B20BD" w:rsidRPr="005B0796" w:rsidRDefault="009B20BD" w:rsidP="009B20BD">
      <w:pPr>
        <w:spacing w:before="100" w:beforeAutospacing="1" w:after="100" w:afterAutospacing="1"/>
      </w:pPr>
      <w:r w:rsidRPr="005B0796">
        <w:rPr>
          <w:b/>
        </w:rPr>
        <w:t>Age</w:t>
      </w:r>
      <w:r w:rsidRPr="005B0796">
        <w:t>- Transitioned CIDI respondents responders were significantly older 45.6 (SE=0.4) than non-responders 40.4 (SE 0.5).</w:t>
      </w:r>
    </w:p>
    <w:p w:rsidR="009B20BD" w:rsidRPr="005B0796" w:rsidRDefault="009B20BD" w:rsidP="009B20BD">
      <w:pPr>
        <w:spacing w:before="100" w:beforeAutospacing="1" w:after="100" w:afterAutospacing="1"/>
      </w:pPr>
      <w:r w:rsidRPr="005B0796">
        <w:rPr>
          <w:b/>
          <w:bCs/>
        </w:rPr>
        <w:t>Rank</w:t>
      </w:r>
      <w:r w:rsidRPr="005B0796">
        <w:t xml:space="preserve"> – CIDI responders comprised 33.8% Officers, 52.2% Non-Commissioned Officers and 14.0% Other Ranks. ADF members in the Other Ranks had a significantly lower response rate (39.0%) compared to above 50% for those invited in Non-Commissioned Officers and Officers who were more likely to respond. </w:t>
      </w:r>
    </w:p>
    <w:p w:rsidR="009B20BD" w:rsidRPr="005B0796" w:rsidRDefault="009B20BD" w:rsidP="009B20BD">
      <w:pPr>
        <w:spacing w:before="100" w:beforeAutospacing="1" w:after="100" w:afterAutospacing="1"/>
      </w:pPr>
      <w:r w:rsidRPr="005B0796">
        <w:rPr>
          <w:b/>
          <w:bCs/>
        </w:rPr>
        <w:t>Service</w:t>
      </w:r>
      <w:r w:rsidRPr="005B0796">
        <w:t xml:space="preserve">- 20.1% of CIDI responders were Navy, 56.9% were Army and 23.0% were Air Force. There was no significant difference between CIDI responders and non-responders in relation to Service. </w:t>
      </w:r>
    </w:p>
    <w:p w:rsidR="009B20BD" w:rsidRPr="005B0796" w:rsidRDefault="009B20BD" w:rsidP="004D2283">
      <w:r w:rsidRPr="005B0796">
        <w:rPr>
          <w:b/>
          <w:bCs/>
        </w:rPr>
        <w:t xml:space="preserve">Medical fitness </w:t>
      </w:r>
      <w:r w:rsidRPr="005B0796">
        <w:t>– Transitioned ADF who were medically unfit on transition from Regular ADF comprised 29.4% of CIDI responders.</w:t>
      </w:r>
    </w:p>
    <w:p w:rsidR="009B20BD" w:rsidRPr="005B0796" w:rsidRDefault="009B20BD" w:rsidP="004D2283">
      <w:pPr>
        <w:pStyle w:val="TableName"/>
        <w:rPr>
          <w:lang w:eastAsia="en-AU"/>
        </w:rPr>
      </w:pPr>
      <w:bookmarkStart w:id="1516" w:name="_Toc479243374"/>
      <w:bookmarkStart w:id="1517" w:name="_Toc486936018"/>
      <w:bookmarkStart w:id="1518" w:name="_Toc487014342"/>
      <w:bookmarkStart w:id="1519" w:name="_Toc492995645"/>
      <w:bookmarkStart w:id="1520" w:name="_Toc511900494"/>
      <w:r w:rsidRPr="005B0796">
        <w:t>Table A.5</w:t>
      </w:r>
      <w:r w:rsidRPr="005B0796">
        <w:tab/>
        <w:t>Demographic characteristics of stratified Transitioned ADF CIDI responders</w:t>
      </w:r>
      <w:bookmarkEnd w:id="1516"/>
      <w:bookmarkEnd w:id="1517"/>
      <w:bookmarkEnd w:id="1518"/>
      <w:bookmarkEnd w:id="1519"/>
      <w:bookmarkEnd w:id="1520"/>
    </w:p>
    <w:tbl>
      <w:tblPr>
        <w:tblStyle w:val="TWRPTable"/>
        <w:tblW w:w="5000" w:type="pct"/>
        <w:tblLayout w:type="fixed"/>
        <w:tblLook w:val="04A0" w:firstRow="1" w:lastRow="0" w:firstColumn="1" w:lastColumn="0" w:noHBand="0" w:noVBand="1"/>
        <w:tblDescription w:val="Table A.5 Demographic characteristics of stratified Transitioned ADF CIDI responders"/>
      </w:tblPr>
      <w:tblGrid>
        <w:gridCol w:w="1548"/>
        <w:gridCol w:w="1922"/>
        <w:gridCol w:w="1922"/>
        <w:gridCol w:w="1923"/>
      </w:tblGrid>
      <w:tr w:rsidR="004D2283" w:rsidRPr="005B0796" w:rsidTr="004D2283">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Pr>
          <w:p w:rsidR="004D2283" w:rsidRPr="005B0796" w:rsidRDefault="004D2283" w:rsidP="004D2283">
            <w:pPr>
              <w:pStyle w:val="TableText"/>
            </w:pPr>
          </w:p>
        </w:tc>
        <w:tc>
          <w:tcPr>
            <w:tcW w:w="5767" w:type="dxa"/>
            <w:gridSpan w:val="3"/>
            <w:hideMark/>
          </w:tcPr>
          <w:p w:rsidR="004D2283" w:rsidRPr="005B0796" w:rsidRDefault="004D2283" w:rsidP="004D2283">
            <w:pPr>
              <w:pStyle w:val="TableText"/>
              <w:jc w:val="center"/>
            </w:pPr>
            <w:r w:rsidRPr="005B0796">
              <w:t>Stratified Transitioned ADF CIDI responders</w:t>
            </w:r>
            <w:r w:rsidRPr="005B0796">
              <w:br/>
              <w:t>(n = 745)</w:t>
            </w:r>
          </w:p>
        </w:tc>
      </w:tr>
      <w:tr w:rsidR="004D2283" w:rsidRPr="005B0796" w:rsidTr="004D2283">
        <w:trPr>
          <w:cnfStyle w:val="100000000000" w:firstRow="1" w:lastRow="0" w:firstColumn="0" w:lastColumn="0" w:oddVBand="0" w:evenVBand="0" w:oddHBand="0" w:evenHBand="0" w:firstRowFirstColumn="0" w:firstRowLastColumn="0" w:lastRowFirstColumn="0" w:lastRowLastColumn="0"/>
          <w:tblHeader/>
        </w:trPr>
        <w:tc>
          <w:tcPr>
            <w:tcW w:w="1548" w:type="dxa"/>
            <w:vMerge/>
          </w:tcPr>
          <w:p w:rsidR="004D2283" w:rsidRPr="005B0796" w:rsidRDefault="004D2283" w:rsidP="004D2283">
            <w:pPr>
              <w:pStyle w:val="TableText"/>
              <w:rPr>
                <w:rFonts w:cs="Arial"/>
              </w:rPr>
            </w:pPr>
          </w:p>
        </w:tc>
        <w:tc>
          <w:tcPr>
            <w:tcW w:w="1922" w:type="dxa"/>
            <w:hideMark/>
          </w:tcPr>
          <w:p w:rsidR="004D2283" w:rsidRPr="005B0796" w:rsidRDefault="004D2283" w:rsidP="004D2283">
            <w:pPr>
              <w:pStyle w:val="TableText"/>
              <w:jc w:val="right"/>
              <w:rPr>
                <w:rFonts w:cs="Arial"/>
              </w:rPr>
            </w:pPr>
            <w:r w:rsidRPr="005B0796">
              <w:rPr>
                <w:rFonts w:cs="Arial"/>
              </w:rPr>
              <w:t>n</w:t>
            </w:r>
          </w:p>
        </w:tc>
        <w:tc>
          <w:tcPr>
            <w:tcW w:w="1922" w:type="dxa"/>
            <w:hideMark/>
          </w:tcPr>
          <w:p w:rsidR="004D2283" w:rsidRPr="005B0796" w:rsidRDefault="004D2283" w:rsidP="004D2283">
            <w:pPr>
              <w:pStyle w:val="TableText"/>
              <w:jc w:val="right"/>
              <w:rPr>
                <w:rFonts w:cs="Arial"/>
              </w:rPr>
            </w:pPr>
            <w:r w:rsidRPr="005B0796">
              <w:rPr>
                <w:rFonts w:cs="Arial"/>
              </w:rPr>
              <w:t>%</w:t>
            </w:r>
          </w:p>
        </w:tc>
        <w:tc>
          <w:tcPr>
            <w:tcW w:w="1923" w:type="dxa"/>
            <w:hideMark/>
          </w:tcPr>
          <w:p w:rsidR="004D2283" w:rsidRPr="005B0796" w:rsidRDefault="004D2283" w:rsidP="004D2283">
            <w:pPr>
              <w:pStyle w:val="TableText"/>
              <w:jc w:val="right"/>
              <w:rPr>
                <w:rFonts w:cs="Arial"/>
              </w:rPr>
            </w:pPr>
            <w:r w:rsidRPr="005B0796">
              <w:rPr>
                <w:rFonts w:cs="Arial"/>
              </w:rPr>
              <w:t>95% CI</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rPr>
                <w:rFonts w:cs="Arial"/>
                <w:b/>
              </w:rPr>
            </w:pPr>
            <w:r w:rsidRPr="005B0796">
              <w:rPr>
                <w:b/>
              </w:rPr>
              <w:t>Age (M, SE)</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45.6</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0.4</w:t>
            </w:r>
          </w:p>
        </w:tc>
        <w:tc>
          <w:tcPr>
            <w:tcW w:w="1923" w:type="dxa"/>
          </w:tcPr>
          <w:p w:rsidR="009B20BD" w:rsidRPr="005B0796" w:rsidRDefault="009B20BD" w:rsidP="004D2283">
            <w:pPr>
              <w:pStyle w:val="TableText"/>
              <w:jc w:val="right"/>
              <w:rPr>
                <w:rFonts w:cs="Arial"/>
              </w:rPr>
            </w:pPr>
          </w:p>
        </w:tc>
      </w:tr>
      <w:tr w:rsidR="009B20BD" w:rsidRPr="005B0796" w:rsidTr="004D2283">
        <w:tc>
          <w:tcPr>
            <w:tcW w:w="1548" w:type="dxa"/>
            <w:hideMark/>
          </w:tcPr>
          <w:p w:rsidR="009B20BD" w:rsidRPr="005B0796" w:rsidRDefault="009B20BD" w:rsidP="004D2283">
            <w:pPr>
              <w:pStyle w:val="TableText"/>
              <w:rPr>
                <w:b/>
              </w:rPr>
            </w:pPr>
            <w:r w:rsidRPr="005B0796">
              <w:rPr>
                <w:b/>
              </w:rPr>
              <w:t>Age group</w:t>
            </w:r>
          </w:p>
        </w:tc>
        <w:tc>
          <w:tcPr>
            <w:tcW w:w="1922" w:type="dxa"/>
          </w:tcPr>
          <w:p w:rsidR="009B20BD" w:rsidRPr="005B0796" w:rsidRDefault="009B20BD" w:rsidP="004D2283">
            <w:pPr>
              <w:pStyle w:val="TableText"/>
              <w:jc w:val="right"/>
              <w:rPr>
                <w:rFonts w:cs="Arial"/>
              </w:rPr>
            </w:pPr>
          </w:p>
        </w:tc>
        <w:tc>
          <w:tcPr>
            <w:tcW w:w="1922" w:type="dxa"/>
          </w:tcPr>
          <w:p w:rsidR="009B20BD" w:rsidRPr="005B0796" w:rsidRDefault="009B20BD" w:rsidP="004D2283">
            <w:pPr>
              <w:pStyle w:val="TableText"/>
              <w:jc w:val="right"/>
              <w:rPr>
                <w:rFonts w:cs="Arial"/>
              </w:rPr>
            </w:pPr>
          </w:p>
        </w:tc>
        <w:tc>
          <w:tcPr>
            <w:tcW w:w="1923" w:type="dxa"/>
          </w:tcPr>
          <w:p w:rsidR="009B20BD" w:rsidRPr="005B0796" w:rsidRDefault="009B20BD" w:rsidP="004D2283">
            <w:pPr>
              <w:pStyle w:val="TableText"/>
              <w:jc w:val="right"/>
              <w:rPr>
                <w:rFonts w:cs="Arial"/>
              </w:rPr>
            </w:pP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18–27</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50</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6.7</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(5.1, 8.7)</w:t>
            </w:r>
          </w:p>
        </w:tc>
      </w:tr>
      <w:tr w:rsidR="009B20BD" w:rsidRPr="005B0796" w:rsidTr="004D2283">
        <w:tc>
          <w:tcPr>
            <w:tcW w:w="1548" w:type="dxa"/>
            <w:hideMark/>
          </w:tcPr>
          <w:p w:rsidR="009B20BD" w:rsidRPr="005B0796" w:rsidRDefault="009B20BD" w:rsidP="004D2283">
            <w:pPr>
              <w:pStyle w:val="TableText"/>
              <w:ind w:left="144"/>
            </w:pPr>
            <w:r w:rsidRPr="005B0796">
              <w:t>28–37</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171</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23.0</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(20.1, 26.1)</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38–47</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177</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23.0</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(20.8, 26.9)</w:t>
            </w:r>
          </w:p>
        </w:tc>
      </w:tr>
      <w:tr w:rsidR="009B20BD" w:rsidRPr="005B0796" w:rsidTr="004D2283">
        <w:tc>
          <w:tcPr>
            <w:tcW w:w="1548" w:type="dxa"/>
            <w:hideMark/>
          </w:tcPr>
          <w:p w:rsidR="009B20BD" w:rsidRPr="005B0796" w:rsidRDefault="009B20BD" w:rsidP="004D2283">
            <w:pPr>
              <w:pStyle w:val="TableText"/>
              <w:ind w:left="144"/>
            </w:pPr>
            <w:r w:rsidRPr="005B0796">
              <w:t>48–57</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179</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24.0</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(21.1, 27.2)</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58+</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163</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21.9</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(19.1, 25.0)</w:t>
            </w:r>
          </w:p>
        </w:tc>
      </w:tr>
      <w:tr w:rsidR="009B20BD" w:rsidRPr="005B0796" w:rsidTr="004D2283">
        <w:tc>
          <w:tcPr>
            <w:tcW w:w="1548" w:type="dxa"/>
            <w:hideMark/>
          </w:tcPr>
          <w:p w:rsidR="009B20BD" w:rsidRPr="005B0796" w:rsidRDefault="009B20BD" w:rsidP="004D2283">
            <w:pPr>
              <w:pStyle w:val="TableText"/>
              <w:rPr>
                <w:b/>
              </w:rPr>
            </w:pPr>
            <w:r w:rsidRPr="005B0796">
              <w:rPr>
                <w:b/>
              </w:rPr>
              <w:t>Sex</w:t>
            </w:r>
          </w:p>
        </w:tc>
        <w:tc>
          <w:tcPr>
            <w:tcW w:w="1922" w:type="dxa"/>
          </w:tcPr>
          <w:p w:rsidR="009B20BD" w:rsidRPr="005B0796" w:rsidRDefault="009B20BD" w:rsidP="004D2283">
            <w:pPr>
              <w:pStyle w:val="TableText"/>
              <w:jc w:val="right"/>
              <w:rPr>
                <w:rFonts w:cs="Arial"/>
                <w:color w:val="000000" w:themeColor="text1"/>
              </w:rPr>
            </w:pPr>
          </w:p>
        </w:tc>
        <w:tc>
          <w:tcPr>
            <w:tcW w:w="1922" w:type="dxa"/>
          </w:tcPr>
          <w:p w:rsidR="009B20BD" w:rsidRPr="005B0796" w:rsidRDefault="009B20BD" w:rsidP="004D2283">
            <w:pPr>
              <w:pStyle w:val="TableText"/>
              <w:jc w:val="right"/>
              <w:rPr>
                <w:rFonts w:cs="Arial"/>
                <w:color w:val="000000" w:themeColor="text1"/>
              </w:rPr>
            </w:pPr>
          </w:p>
        </w:tc>
        <w:tc>
          <w:tcPr>
            <w:tcW w:w="1923" w:type="dxa"/>
          </w:tcPr>
          <w:p w:rsidR="009B20BD" w:rsidRPr="005B0796" w:rsidRDefault="009B20BD" w:rsidP="004D2283">
            <w:pPr>
              <w:pStyle w:val="TableText"/>
              <w:jc w:val="right"/>
              <w:rPr>
                <w:rFonts w:cs="Arial"/>
                <w:color w:val="000000" w:themeColor="text1"/>
              </w:rPr>
            </w:pP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Male</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631</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84.7</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(81.9, 87.1)</w:t>
            </w:r>
          </w:p>
        </w:tc>
      </w:tr>
      <w:tr w:rsidR="009B20BD" w:rsidRPr="005B0796" w:rsidTr="004D2283">
        <w:tc>
          <w:tcPr>
            <w:tcW w:w="1548" w:type="dxa"/>
            <w:hideMark/>
          </w:tcPr>
          <w:p w:rsidR="009B20BD" w:rsidRPr="005B0796" w:rsidRDefault="009B20BD" w:rsidP="004D2283">
            <w:pPr>
              <w:pStyle w:val="TableText"/>
              <w:ind w:left="144"/>
            </w:pPr>
            <w:r w:rsidRPr="005B0796">
              <w:t>Female</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109</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14.6</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(12.3, 17.4)</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rPr>
                <w:b/>
              </w:rPr>
            </w:pPr>
            <w:r w:rsidRPr="005B0796">
              <w:rPr>
                <w:b/>
              </w:rPr>
              <w:t>Rank</w:t>
            </w:r>
          </w:p>
        </w:tc>
        <w:tc>
          <w:tcPr>
            <w:tcW w:w="1922" w:type="dxa"/>
          </w:tcPr>
          <w:p w:rsidR="009B20BD" w:rsidRPr="005B0796" w:rsidRDefault="009B20BD" w:rsidP="004D2283">
            <w:pPr>
              <w:pStyle w:val="TableText"/>
              <w:jc w:val="right"/>
              <w:rPr>
                <w:rFonts w:cs="Arial"/>
                <w:color w:val="000000" w:themeColor="text1"/>
              </w:rPr>
            </w:pPr>
          </w:p>
        </w:tc>
        <w:tc>
          <w:tcPr>
            <w:tcW w:w="1922" w:type="dxa"/>
          </w:tcPr>
          <w:p w:rsidR="009B20BD" w:rsidRPr="005B0796" w:rsidRDefault="009B20BD" w:rsidP="004D2283">
            <w:pPr>
              <w:pStyle w:val="TableText"/>
              <w:jc w:val="right"/>
              <w:rPr>
                <w:rFonts w:cs="Arial"/>
                <w:color w:val="000000" w:themeColor="text1"/>
              </w:rPr>
            </w:pPr>
          </w:p>
        </w:tc>
        <w:tc>
          <w:tcPr>
            <w:tcW w:w="1923" w:type="dxa"/>
          </w:tcPr>
          <w:p w:rsidR="009B20BD" w:rsidRPr="005B0796" w:rsidRDefault="009B20BD" w:rsidP="004D2283">
            <w:pPr>
              <w:pStyle w:val="TableText"/>
              <w:jc w:val="right"/>
              <w:rPr>
                <w:rFonts w:cs="Arial"/>
                <w:color w:val="000000" w:themeColor="text1"/>
              </w:rPr>
            </w:pPr>
          </w:p>
        </w:tc>
      </w:tr>
      <w:tr w:rsidR="009B20BD" w:rsidRPr="005B0796" w:rsidTr="004D2283">
        <w:tc>
          <w:tcPr>
            <w:tcW w:w="1548" w:type="dxa"/>
            <w:hideMark/>
          </w:tcPr>
          <w:p w:rsidR="009B20BD" w:rsidRPr="005B0796" w:rsidRDefault="009B20BD" w:rsidP="004D2283">
            <w:pPr>
              <w:pStyle w:val="TableText"/>
              <w:ind w:left="144"/>
            </w:pPr>
            <w:r w:rsidRPr="005B0796">
              <w:t>OFFR</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252</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33.8</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(30.5, 37.3)</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NCO</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389</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52.2</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(48.6, 55.8)</w:t>
            </w:r>
          </w:p>
        </w:tc>
      </w:tr>
      <w:tr w:rsidR="009B20BD" w:rsidRPr="005B0796" w:rsidTr="004D2283">
        <w:tc>
          <w:tcPr>
            <w:tcW w:w="1548" w:type="dxa"/>
            <w:hideMark/>
          </w:tcPr>
          <w:p w:rsidR="009B20BD" w:rsidRPr="005B0796" w:rsidRDefault="009B20BD" w:rsidP="004D2283">
            <w:pPr>
              <w:pStyle w:val="TableText"/>
              <w:ind w:left="144"/>
            </w:pPr>
            <w:r w:rsidRPr="005B0796">
              <w:t xml:space="preserve">Other </w:t>
            </w:r>
            <w:r w:rsidR="00751C86" w:rsidRPr="005B0796">
              <w:t>Ranks</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104</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14.0</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(11.7, 16.6)</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pPr>
            <w:r w:rsidRPr="005B0796">
              <w:rPr>
                <w:b/>
              </w:rPr>
              <w:t>Service</w:t>
            </w:r>
          </w:p>
        </w:tc>
        <w:tc>
          <w:tcPr>
            <w:tcW w:w="1922" w:type="dxa"/>
          </w:tcPr>
          <w:p w:rsidR="009B20BD" w:rsidRPr="005B0796" w:rsidRDefault="009B20BD" w:rsidP="004D2283">
            <w:pPr>
              <w:pStyle w:val="TableText"/>
              <w:jc w:val="right"/>
              <w:rPr>
                <w:rFonts w:cs="Arial"/>
                <w:color w:val="000000" w:themeColor="text1"/>
              </w:rPr>
            </w:pPr>
          </w:p>
        </w:tc>
        <w:tc>
          <w:tcPr>
            <w:tcW w:w="1922" w:type="dxa"/>
          </w:tcPr>
          <w:p w:rsidR="009B20BD" w:rsidRPr="005B0796" w:rsidRDefault="009B20BD" w:rsidP="004D2283">
            <w:pPr>
              <w:pStyle w:val="TableText"/>
              <w:jc w:val="right"/>
              <w:rPr>
                <w:rFonts w:cs="Arial"/>
                <w:color w:val="000000" w:themeColor="text1"/>
              </w:rPr>
            </w:pPr>
          </w:p>
        </w:tc>
        <w:tc>
          <w:tcPr>
            <w:tcW w:w="1923" w:type="dxa"/>
          </w:tcPr>
          <w:p w:rsidR="009B20BD" w:rsidRPr="005B0796" w:rsidRDefault="009B20BD" w:rsidP="004D2283">
            <w:pPr>
              <w:pStyle w:val="TableText"/>
              <w:jc w:val="right"/>
              <w:rPr>
                <w:rFonts w:cs="Arial"/>
                <w:color w:val="000000" w:themeColor="text1"/>
              </w:rPr>
            </w:pPr>
          </w:p>
        </w:tc>
      </w:tr>
      <w:tr w:rsidR="009B20BD" w:rsidRPr="005B0796" w:rsidTr="004D2283">
        <w:tc>
          <w:tcPr>
            <w:tcW w:w="1548" w:type="dxa"/>
            <w:hideMark/>
          </w:tcPr>
          <w:p w:rsidR="009B20BD" w:rsidRPr="005B0796" w:rsidRDefault="009B20BD" w:rsidP="004D2283">
            <w:pPr>
              <w:pStyle w:val="TableText"/>
              <w:ind w:left="144"/>
            </w:pPr>
            <w:r w:rsidRPr="005B0796">
              <w:t>Navy</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150</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20.1</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(17.4, 23.2)</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Army</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424</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56.9</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(53.3, 60.4)</w:t>
            </w:r>
          </w:p>
        </w:tc>
      </w:tr>
      <w:tr w:rsidR="009B20BD" w:rsidRPr="005B0796" w:rsidTr="004D2283">
        <w:tc>
          <w:tcPr>
            <w:tcW w:w="1548" w:type="dxa"/>
            <w:hideMark/>
          </w:tcPr>
          <w:p w:rsidR="009B20BD" w:rsidRPr="005B0796" w:rsidRDefault="009B20BD" w:rsidP="004D2283">
            <w:pPr>
              <w:pStyle w:val="TableText"/>
              <w:ind w:left="144"/>
            </w:pPr>
            <w:r w:rsidRPr="005B0796">
              <w:t>Air Force</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171</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23.0</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(20.1, 26.1)</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pPr>
            <w:r w:rsidRPr="005B0796">
              <w:rPr>
                <w:b/>
              </w:rPr>
              <w:t>Medical fitness</w:t>
            </w:r>
          </w:p>
        </w:tc>
        <w:tc>
          <w:tcPr>
            <w:tcW w:w="1922" w:type="dxa"/>
          </w:tcPr>
          <w:p w:rsidR="009B20BD" w:rsidRPr="005B0796" w:rsidRDefault="009B20BD" w:rsidP="004D2283">
            <w:pPr>
              <w:pStyle w:val="TableText"/>
              <w:jc w:val="right"/>
              <w:rPr>
                <w:rFonts w:cs="Arial"/>
                <w:color w:val="000000" w:themeColor="text1"/>
              </w:rPr>
            </w:pPr>
          </w:p>
        </w:tc>
        <w:tc>
          <w:tcPr>
            <w:tcW w:w="1922" w:type="dxa"/>
          </w:tcPr>
          <w:p w:rsidR="009B20BD" w:rsidRPr="005B0796" w:rsidRDefault="009B20BD" w:rsidP="004D2283">
            <w:pPr>
              <w:pStyle w:val="TableText"/>
              <w:jc w:val="right"/>
              <w:rPr>
                <w:rFonts w:cs="Arial"/>
                <w:color w:val="000000" w:themeColor="text1"/>
              </w:rPr>
            </w:pPr>
          </w:p>
        </w:tc>
        <w:tc>
          <w:tcPr>
            <w:tcW w:w="1923" w:type="dxa"/>
          </w:tcPr>
          <w:p w:rsidR="009B20BD" w:rsidRPr="005B0796" w:rsidRDefault="009B20BD" w:rsidP="004D2283">
            <w:pPr>
              <w:pStyle w:val="TableText"/>
              <w:jc w:val="right"/>
              <w:rPr>
                <w:rFonts w:cs="Arial"/>
                <w:color w:val="000000" w:themeColor="text1"/>
              </w:rPr>
            </w:pPr>
          </w:p>
        </w:tc>
      </w:tr>
      <w:tr w:rsidR="009B20BD" w:rsidRPr="005B0796" w:rsidTr="004D2283">
        <w:tc>
          <w:tcPr>
            <w:tcW w:w="1548" w:type="dxa"/>
            <w:hideMark/>
          </w:tcPr>
          <w:p w:rsidR="009B20BD" w:rsidRPr="005B0796" w:rsidRDefault="009B20BD" w:rsidP="004D2283">
            <w:pPr>
              <w:pStyle w:val="TableText"/>
              <w:ind w:left="144"/>
            </w:pPr>
            <w:r w:rsidRPr="005B0796">
              <w:t>Fit</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521</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69.9</w:t>
            </w:r>
          </w:p>
        </w:tc>
        <w:tc>
          <w:tcPr>
            <w:tcW w:w="1923"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(66.5, 73.1)</w:t>
            </w:r>
          </w:p>
        </w:tc>
      </w:tr>
      <w:tr w:rsidR="009B20BD" w:rsidRPr="005B0796" w:rsidTr="004D2283">
        <w:trPr>
          <w:cnfStyle w:val="000000100000" w:firstRow="0" w:lastRow="0" w:firstColumn="0" w:lastColumn="0" w:oddVBand="0" w:evenVBand="0" w:oddHBand="1" w:evenHBand="0" w:firstRowFirstColumn="0" w:firstRowLastColumn="0" w:lastRowFirstColumn="0" w:lastRowLastColumn="0"/>
        </w:trPr>
        <w:tc>
          <w:tcPr>
            <w:tcW w:w="1548" w:type="dxa"/>
            <w:hideMark/>
          </w:tcPr>
          <w:p w:rsidR="009B20BD" w:rsidRPr="005B0796" w:rsidRDefault="009B20BD" w:rsidP="004D2283">
            <w:pPr>
              <w:pStyle w:val="TableText"/>
              <w:ind w:left="144"/>
            </w:pPr>
            <w:r w:rsidRPr="005B0796">
              <w:t>Unfit</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219</w:t>
            </w:r>
          </w:p>
        </w:tc>
        <w:tc>
          <w:tcPr>
            <w:tcW w:w="1922" w:type="dxa"/>
            <w:hideMark/>
          </w:tcPr>
          <w:p w:rsidR="009B20BD" w:rsidRPr="005B0796" w:rsidRDefault="009B20BD" w:rsidP="004D2283">
            <w:pPr>
              <w:pStyle w:val="TableText"/>
              <w:jc w:val="right"/>
              <w:rPr>
                <w:rFonts w:cs="Arial"/>
                <w:color w:val="000000" w:themeColor="text1"/>
              </w:rPr>
            </w:pPr>
            <w:r w:rsidRPr="005B0796">
              <w:rPr>
                <w:rFonts w:cs="Arial"/>
                <w:color w:val="000000" w:themeColor="text1"/>
              </w:rPr>
              <w:t>29.4</w:t>
            </w:r>
          </w:p>
        </w:tc>
        <w:tc>
          <w:tcPr>
            <w:tcW w:w="1923" w:type="dxa"/>
            <w:hideMark/>
          </w:tcPr>
          <w:p w:rsidR="009B20BD" w:rsidRPr="005B0796" w:rsidRDefault="009B20BD" w:rsidP="004D2283">
            <w:pPr>
              <w:pStyle w:val="TableText"/>
              <w:jc w:val="right"/>
            </w:pPr>
            <w:r w:rsidRPr="005B0796">
              <w:t>(26.2, 32.8)</w:t>
            </w:r>
          </w:p>
        </w:tc>
      </w:tr>
    </w:tbl>
    <w:p w:rsidR="004D2283" w:rsidRPr="005B0796" w:rsidRDefault="004D2283" w:rsidP="004D2283">
      <w:pPr>
        <w:pStyle w:val="TableNotes"/>
      </w:pPr>
      <w:r w:rsidRPr="005B0796">
        <w:t>Denominator: Transitioned ADF Invited to participate in the CIDI interview</w:t>
      </w:r>
    </w:p>
    <w:p w:rsidR="004D2283" w:rsidRPr="005B0796" w:rsidRDefault="004D2283" w:rsidP="004D2283">
      <w:pPr>
        <w:pStyle w:val="TableNotes"/>
      </w:pPr>
      <w:r w:rsidRPr="005B0796">
        <w:t>Note</w:t>
      </w:r>
      <w:r w:rsidR="009C4349" w:rsidRPr="005B0796">
        <w:t>s</w:t>
      </w:r>
      <w:r w:rsidRPr="005B0796">
        <w:t>:</w:t>
      </w:r>
      <w:r w:rsidR="009C4349" w:rsidRPr="005B0796">
        <w:br/>
      </w:r>
      <w:r w:rsidRPr="005B0796">
        <w:t>Unweighted data</w:t>
      </w:r>
    </w:p>
    <w:p w:rsidR="004D2283" w:rsidRPr="005B0796" w:rsidRDefault="004D2283" w:rsidP="004D2283">
      <w:pPr>
        <w:pStyle w:val="TableNotes"/>
      </w:pPr>
      <w:r w:rsidRPr="005B0796">
        <w:t xml:space="preserve">95% CI: 95% </w:t>
      </w:r>
      <w:r w:rsidR="00564689" w:rsidRPr="005B0796">
        <w:t>confidence interval</w:t>
      </w:r>
    </w:p>
    <w:p w:rsidR="009B20BD" w:rsidRPr="005B0796" w:rsidRDefault="009B20BD" w:rsidP="004D2283">
      <w:pPr>
        <w:pStyle w:val="Heading4"/>
      </w:pPr>
      <w:r w:rsidRPr="005B0796">
        <w:t>Mental Health Prevalence and Wellbeing Study</w:t>
      </w:r>
      <w:r w:rsidRPr="005B0796">
        <w:rPr>
          <w:rFonts w:asciiTheme="minorHAnsi" w:eastAsia="MS ??" w:hAnsiTheme="minorHAnsi" w:cs="Arial"/>
          <w:color w:val="000000" w:themeColor="text1"/>
          <w:szCs w:val="22"/>
        </w:rPr>
        <w:t xml:space="preserve"> </w:t>
      </w:r>
      <w:r w:rsidRPr="005B0796">
        <w:t>group</w:t>
      </w:r>
    </w:p>
    <w:p w:rsidR="009B20BD" w:rsidRPr="005B0796" w:rsidRDefault="009B20BD" w:rsidP="004D2283">
      <w:r w:rsidRPr="005B0796">
        <w:t xml:space="preserve">A total of 1088 participants from this group were invited to participate in the CIDI 3.0. Of those invited, 76.8% (835) </w:t>
      </w:r>
      <w:r w:rsidRPr="005B0796">
        <w:rPr>
          <w:color w:val="000000" w:themeColor="text1"/>
        </w:rPr>
        <w:t>completed</w:t>
      </w:r>
      <w:r w:rsidRPr="005B0796">
        <w:t xml:space="preserve"> the interview. Table A.6 describes the response rates for this group.</w:t>
      </w:r>
    </w:p>
    <w:p w:rsidR="009B20BD" w:rsidRPr="005B0796" w:rsidRDefault="009B20BD" w:rsidP="004D2283">
      <w:pPr>
        <w:pStyle w:val="TableName"/>
      </w:pPr>
      <w:bookmarkStart w:id="1521" w:name="_Toc486936019"/>
      <w:bookmarkStart w:id="1522" w:name="_Toc487014343"/>
      <w:bookmarkStart w:id="1523" w:name="_Toc492995646"/>
      <w:bookmarkStart w:id="1524" w:name="_Toc511900495"/>
      <w:r w:rsidRPr="005B0796">
        <w:t>Table A.6</w:t>
      </w:r>
      <w:r w:rsidRPr="005B0796">
        <w:tab/>
        <w:t>CIDI response rates for the MHPWS group, by Service, sex, rank and Medical Employment Classification status</w:t>
      </w:r>
      <w:bookmarkEnd w:id="1521"/>
      <w:bookmarkEnd w:id="1522"/>
      <w:bookmarkEnd w:id="1523"/>
      <w:bookmarkEnd w:id="1524"/>
    </w:p>
    <w:tbl>
      <w:tblPr>
        <w:tblStyle w:val="TWRPTable"/>
        <w:tblW w:w="5000" w:type="pct"/>
        <w:tblLayout w:type="fixed"/>
        <w:tblLook w:val="04A0" w:firstRow="1" w:lastRow="0" w:firstColumn="1" w:lastColumn="0" w:noHBand="0" w:noVBand="1"/>
        <w:tblDescription w:val="Table A.6 CIDI response rates for the MHPWS group, by Service, sex, rank and Medical Employment Classification status"/>
      </w:tblPr>
      <w:tblGrid>
        <w:gridCol w:w="1548"/>
        <w:gridCol w:w="1922"/>
        <w:gridCol w:w="1922"/>
        <w:gridCol w:w="1923"/>
      </w:tblGrid>
      <w:tr w:rsidR="004D2283" w:rsidRPr="005B0796" w:rsidTr="007448A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rsidR="004D2283" w:rsidRPr="005B0796" w:rsidRDefault="004D2283" w:rsidP="004D2283">
            <w:pPr>
              <w:pStyle w:val="TableText"/>
            </w:pPr>
          </w:p>
        </w:tc>
        <w:tc>
          <w:tcPr>
            <w:tcW w:w="5767" w:type="dxa"/>
            <w:gridSpan w:val="3"/>
            <w:hideMark/>
          </w:tcPr>
          <w:p w:rsidR="004D2283" w:rsidRPr="005B0796" w:rsidRDefault="004D2283" w:rsidP="004D2283">
            <w:pPr>
              <w:pStyle w:val="TableText"/>
              <w:jc w:val="center"/>
            </w:pPr>
            <w:r w:rsidRPr="005B0796">
              <w:t>MHPWS CIDI</w:t>
            </w:r>
            <w:r w:rsidRPr="005B0796">
              <w:br/>
              <w:t>(n = 1088 (invited); n = 835 (responded))</w:t>
            </w:r>
          </w:p>
        </w:tc>
      </w:tr>
      <w:tr w:rsidR="004D2283" w:rsidRPr="005B0796" w:rsidTr="007448A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rsidR="004D2283" w:rsidRPr="005B0796" w:rsidRDefault="004D2283" w:rsidP="004D2283">
            <w:pPr>
              <w:pStyle w:val="TableText"/>
            </w:pPr>
          </w:p>
        </w:tc>
        <w:tc>
          <w:tcPr>
            <w:tcW w:w="1922" w:type="dxa"/>
            <w:hideMark/>
          </w:tcPr>
          <w:p w:rsidR="004D2283" w:rsidRPr="005B0796" w:rsidRDefault="004D2283" w:rsidP="004D2283">
            <w:pPr>
              <w:pStyle w:val="TableText"/>
              <w:jc w:val="right"/>
            </w:pPr>
            <w:r w:rsidRPr="005B0796">
              <w:t>Invited</w:t>
            </w:r>
          </w:p>
        </w:tc>
        <w:tc>
          <w:tcPr>
            <w:tcW w:w="1922" w:type="dxa"/>
            <w:hideMark/>
          </w:tcPr>
          <w:p w:rsidR="004D2283" w:rsidRPr="005B0796" w:rsidRDefault="004D2283" w:rsidP="004D2283">
            <w:pPr>
              <w:pStyle w:val="TableText"/>
              <w:jc w:val="right"/>
            </w:pPr>
            <w:r w:rsidRPr="005B0796">
              <w:t>Responders</w:t>
            </w:r>
          </w:p>
        </w:tc>
        <w:tc>
          <w:tcPr>
            <w:tcW w:w="1923" w:type="dxa"/>
            <w:hideMark/>
          </w:tcPr>
          <w:p w:rsidR="004D2283" w:rsidRPr="005B0796" w:rsidRDefault="004D2283" w:rsidP="004D2283">
            <w:pPr>
              <w:pStyle w:val="TableText"/>
              <w:jc w:val="right"/>
            </w:pPr>
            <w:r w:rsidRPr="005B0796">
              <w:t>Response rate (%)</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Service</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pPr>
          </w:p>
        </w:tc>
        <w:tc>
          <w:tcPr>
            <w:tcW w:w="1923" w:type="dxa"/>
          </w:tcPr>
          <w:p w:rsidR="009B20BD" w:rsidRPr="005B0796" w:rsidRDefault="009B20BD" w:rsidP="004D2283">
            <w:pPr>
              <w:pStyle w:val="TableText"/>
              <w:jc w:val="right"/>
            </w:pPr>
          </w:p>
        </w:tc>
      </w:tr>
      <w:tr w:rsidR="009B20BD" w:rsidRPr="005B0796" w:rsidTr="007448A6">
        <w:trPr>
          <w:cantSplit/>
        </w:trPr>
        <w:tc>
          <w:tcPr>
            <w:tcW w:w="1548" w:type="dxa"/>
            <w:hideMark/>
          </w:tcPr>
          <w:p w:rsidR="009B20BD" w:rsidRPr="005B0796" w:rsidRDefault="009B20BD" w:rsidP="004D2283">
            <w:pPr>
              <w:pStyle w:val="TableText"/>
              <w:ind w:left="144"/>
            </w:pPr>
            <w:r w:rsidRPr="005B0796">
              <w:t>Navy</w:t>
            </w:r>
          </w:p>
        </w:tc>
        <w:tc>
          <w:tcPr>
            <w:tcW w:w="1922" w:type="dxa"/>
            <w:hideMark/>
          </w:tcPr>
          <w:p w:rsidR="009B20BD" w:rsidRPr="005B0796" w:rsidRDefault="009B20BD" w:rsidP="004D2283">
            <w:pPr>
              <w:pStyle w:val="TableText"/>
              <w:jc w:val="right"/>
            </w:pPr>
            <w:r w:rsidRPr="005B0796">
              <w:t>237</w:t>
            </w:r>
          </w:p>
        </w:tc>
        <w:tc>
          <w:tcPr>
            <w:tcW w:w="1922" w:type="dxa"/>
            <w:hideMark/>
          </w:tcPr>
          <w:p w:rsidR="009B20BD" w:rsidRPr="005B0796" w:rsidRDefault="009B20BD" w:rsidP="004D2283">
            <w:pPr>
              <w:pStyle w:val="TableText"/>
              <w:jc w:val="right"/>
            </w:pPr>
            <w:r w:rsidRPr="005B0796">
              <w:t>175</w:t>
            </w:r>
          </w:p>
        </w:tc>
        <w:tc>
          <w:tcPr>
            <w:tcW w:w="1923" w:type="dxa"/>
            <w:hideMark/>
          </w:tcPr>
          <w:p w:rsidR="009B20BD" w:rsidRPr="005B0796" w:rsidRDefault="009B20BD" w:rsidP="004D2283">
            <w:pPr>
              <w:pStyle w:val="TableText"/>
              <w:jc w:val="right"/>
            </w:pPr>
            <w:r w:rsidRPr="005B0796">
              <w:t>73.8</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Army</w:t>
            </w:r>
          </w:p>
        </w:tc>
        <w:tc>
          <w:tcPr>
            <w:tcW w:w="1922" w:type="dxa"/>
            <w:hideMark/>
          </w:tcPr>
          <w:p w:rsidR="009B20BD" w:rsidRPr="005B0796" w:rsidRDefault="009B20BD" w:rsidP="004D2283">
            <w:pPr>
              <w:pStyle w:val="TableText"/>
              <w:jc w:val="right"/>
            </w:pPr>
            <w:r w:rsidRPr="005B0796">
              <w:t>462</w:t>
            </w:r>
          </w:p>
        </w:tc>
        <w:tc>
          <w:tcPr>
            <w:tcW w:w="1922" w:type="dxa"/>
            <w:hideMark/>
          </w:tcPr>
          <w:p w:rsidR="009B20BD" w:rsidRPr="005B0796" w:rsidRDefault="009B20BD" w:rsidP="004D2283">
            <w:pPr>
              <w:pStyle w:val="TableText"/>
              <w:jc w:val="right"/>
            </w:pPr>
            <w:r w:rsidRPr="005B0796">
              <w:t>349</w:t>
            </w:r>
          </w:p>
        </w:tc>
        <w:tc>
          <w:tcPr>
            <w:tcW w:w="1923" w:type="dxa"/>
            <w:hideMark/>
          </w:tcPr>
          <w:p w:rsidR="009B20BD" w:rsidRPr="005B0796" w:rsidRDefault="009B20BD" w:rsidP="004D2283">
            <w:pPr>
              <w:pStyle w:val="TableText"/>
              <w:jc w:val="right"/>
            </w:pPr>
            <w:r w:rsidRPr="005B0796">
              <w:t>75.5</w:t>
            </w:r>
          </w:p>
        </w:tc>
      </w:tr>
      <w:tr w:rsidR="009B20BD" w:rsidRPr="005B0796" w:rsidTr="007448A6">
        <w:trPr>
          <w:cantSplit/>
        </w:trPr>
        <w:tc>
          <w:tcPr>
            <w:tcW w:w="1548" w:type="dxa"/>
            <w:hideMark/>
          </w:tcPr>
          <w:p w:rsidR="009B20BD" w:rsidRPr="005B0796" w:rsidRDefault="009B20BD" w:rsidP="004D2283">
            <w:pPr>
              <w:pStyle w:val="TableText"/>
              <w:ind w:left="144"/>
            </w:pPr>
            <w:r w:rsidRPr="005B0796">
              <w:t>Air Force</w:t>
            </w:r>
          </w:p>
        </w:tc>
        <w:tc>
          <w:tcPr>
            <w:tcW w:w="1922" w:type="dxa"/>
            <w:hideMark/>
          </w:tcPr>
          <w:p w:rsidR="009B20BD" w:rsidRPr="005B0796" w:rsidRDefault="009B20BD" w:rsidP="004D2283">
            <w:pPr>
              <w:pStyle w:val="TableText"/>
              <w:jc w:val="right"/>
            </w:pPr>
            <w:r w:rsidRPr="005B0796">
              <w:t>389</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311</w:t>
            </w:r>
          </w:p>
        </w:tc>
        <w:tc>
          <w:tcPr>
            <w:tcW w:w="1923" w:type="dxa"/>
            <w:hideMark/>
          </w:tcPr>
          <w:p w:rsidR="009B20BD" w:rsidRPr="005B0796" w:rsidRDefault="009B20BD" w:rsidP="004D2283">
            <w:pPr>
              <w:pStyle w:val="TableText"/>
              <w:jc w:val="right"/>
            </w:pPr>
            <w:r w:rsidRPr="005B0796">
              <w:t>80.0</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Sex</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rPr>
                <w:color w:val="000000" w:themeColor="text1"/>
              </w:rPr>
            </w:pPr>
          </w:p>
        </w:tc>
        <w:tc>
          <w:tcPr>
            <w:tcW w:w="1923" w:type="dxa"/>
          </w:tcPr>
          <w:p w:rsidR="009B20BD" w:rsidRPr="005B0796" w:rsidRDefault="009B20BD" w:rsidP="004D2283">
            <w:pPr>
              <w:pStyle w:val="TableText"/>
              <w:jc w:val="right"/>
            </w:pPr>
          </w:p>
        </w:tc>
      </w:tr>
      <w:tr w:rsidR="009B20BD" w:rsidRPr="005B0796" w:rsidTr="007448A6">
        <w:trPr>
          <w:cantSplit/>
        </w:trPr>
        <w:tc>
          <w:tcPr>
            <w:tcW w:w="1548" w:type="dxa"/>
            <w:hideMark/>
          </w:tcPr>
          <w:p w:rsidR="009B20BD" w:rsidRPr="005B0796" w:rsidRDefault="009B20BD" w:rsidP="004D2283">
            <w:pPr>
              <w:pStyle w:val="TableText"/>
              <w:ind w:left="144"/>
            </w:pPr>
            <w:r w:rsidRPr="005B0796">
              <w:t>Male</w:t>
            </w:r>
          </w:p>
        </w:tc>
        <w:tc>
          <w:tcPr>
            <w:tcW w:w="1922" w:type="dxa"/>
            <w:hideMark/>
          </w:tcPr>
          <w:p w:rsidR="009B20BD" w:rsidRPr="005B0796" w:rsidRDefault="009B20BD" w:rsidP="004D2283">
            <w:pPr>
              <w:pStyle w:val="TableText"/>
              <w:jc w:val="right"/>
            </w:pPr>
            <w:r w:rsidRPr="005B0796">
              <w:t>903</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698</w:t>
            </w:r>
          </w:p>
        </w:tc>
        <w:tc>
          <w:tcPr>
            <w:tcW w:w="1923" w:type="dxa"/>
            <w:hideMark/>
          </w:tcPr>
          <w:p w:rsidR="009B20BD" w:rsidRPr="005B0796" w:rsidRDefault="009B20BD" w:rsidP="004D2283">
            <w:pPr>
              <w:pStyle w:val="TableText"/>
              <w:jc w:val="right"/>
            </w:pPr>
            <w:r w:rsidRPr="005B0796">
              <w:t>77.3</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Female</w:t>
            </w:r>
          </w:p>
        </w:tc>
        <w:tc>
          <w:tcPr>
            <w:tcW w:w="1922" w:type="dxa"/>
            <w:hideMark/>
          </w:tcPr>
          <w:p w:rsidR="009B20BD" w:rsidRPr="005B0796" w:rsidRDefault="009B20BD" w:rsidP="004D2283">
            <w:pPr>
              <w:pStyle w:val="TableText"/>
              <w:jc w:val="right"/>
            </w:pPr>
            <w:r w:rsidRPr="005B0796">
              <w:t>182</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135</w:t>
            </w:r>
          </w:p>
        </w:tc>
        <w:tc>
          <w:tcPr>
            <w:tcW w:w="1923" w:type="dxa"/>
            <w:hideMark/>
          </w:tcPr>
          <w:p w:rsidR="009B20BD" w:rsidRPr="005B0796" w:rsidRDefault="009B20BD" w:rsidP="004D2283">
            <w:pPr>
              <w:pStyle w:val="TableText"/>
              <w:jc w:val="right"/>
            </w:pPr>
            <w:r w:rsidRPr="005B0796">
              <w:t>74.2</w:t>
            </w:r>
          </w:p>
        </w:tc>
      </w:tr>
      <w:tr w:rsidR="009B20BD" w:rsidRPr="005B0796" w:rsidTr="007448A6">
        <w:trPr>
          <w:cantSplit/>
        </w:trPr>
        <w:tc>
          <w:tcPr>
            <w:tcW w:w="1548" w:type="dxa"/>
            <w:hideMark/>
          </w:tcPr>
          <w:p w:rsidR="009B20BD" w:rsidRPr="005B0796" w:rsidRDefault="009B20BD" w:rsidP="004D2283">
            <w:pPr>
              <w:pStyle w:val="TableText"/>
              <w:ind w:left="144"/>
            </w:pPr>
            <w:r w:rsidRPr="005B0796">
              <w:t>Missing</w:t>
            </w:r>
          </w:p>
        </w:tc>
        <w:tc>
          <w:tcPr>
            <w:tcW w:w="1922" w:type="dxa"/>
            <w:hideMark/>
          </w:tcPr>
          <w:p w:rsidR="009B20BD" w:rsidRPr="005B0796" w:rsidRDefault="009B20BD" w:rsidP="004D2283">
            <w:pPr>
              <w:pStyle w:val="TableText"/>
              <w:jc w:val="right"/>
            </w:pPr>
            <w:r w:rsidRPr="005B0796">
              <w:t>3</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2</w:t>
            </w:r>
          </w:p>
        </w:tc>
        <w:tc>
          <w:tcPr>
            <w:tcW w:w="1923" w:type="dxa"/>
            <w:hideMark/>
          </w:tcPr>
          <w:p w:rsidR="009B20BD" w:rsidRPr="005B0796" w:rsidRDefault="009B20BD" w:rsidP="004D2283">
            <w:pPr>
              <w:pStyle w:val="TableText"/>
              <w:jc w:val="right"/>
            </w:pPr>
            <w:r w:rsidRPr="005B0796">
              <w:t>66.7</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Rank</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rPr>
                <w:color w:val="000000" w:themeColor="text1"/>
              </w:rPr>
            </w:pPr>
          </w:p>
        </w:tc>
        <w:tc>
          <w:tcPr>
            <w:tcW w:w="1923" w:type="dxa"/>
          </w:tcPr>
          <w:p w:rsidR="009B20BD" w:rsidRPr="005B0796" w:rsidRDefault="009B20BD" w:rsidP="004D2283">
            <w:pPr>
              <w:pStyle w:val="TableText"/>
              <w:jc w:val="right"/>
            </w:pPr>
          </w:p>
        </w:tc>
      </w:tr>
      <w:tr w:rsidR="009B20BD" w:rsidRPr="005B0796" w:rsidTr="007448A6">
        <w:trPr>
          <w:cantSplit/>
        </w:trPr>
        <w:tc>
          <w:tcPr>
            <w:tcW w:w="1548" w:type="dxa"/>
            <w:hideMark/>
          </w:tcPr>
          <w:p w:rsidR="009B20BD" w:rsidRPr="005B0796" w:rsidRDefault="009B20BD" w:rsidP="004D2283">
            <w:pPr>
              <w:pStyle w:val="TableText"/>
              <w:ind w:left="144"/>
            </w:pPr>
            <w:r w:rsidRPr="005B0796">
              <w:t>OFFR</w:t>
            </w:r>
          </w:p>
        </w:tc>
        <w:tc>
          <w:tcPr>
            <w:tcW w:w="1922" w:type="dxa"/>
            <w:hideMark/>
          </w:tcPr>
          <w:p w:rsidR="009B20BD" w:rsidRPr="005B0796" w:rsidRDefault="009B20BD" w:rsidP="004D2283">
            <w:pPr>
              <w:pStyle w:val="TableText"/>
              <w:jc w:val="right"/>
            </w:pPr>
            <w:r w:rsidRPr="005B0796">
              <w:t>451</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375</w:t>
            </w:r>
          </w:p>
        </w:tc>
        <w:tc>
          <w:tcPr>
            <w:tcW w:w="1923" w:type="dxa"/>
            <w:hideMark/>
          </w:tcPr>
          <w:p w:rsidR="009B20BD" w:rsidRPr="005B0796" w:rsidRDefault="009B20BD" w:rsidP="004D2283">
            <w:pPr>
              <w:pStyle w:val="TableText"/>
              <w:jc w:val="right"/>
            </w:pPr>
            <w:r w:rsidRPr="005B0796">
              <w:t>83.2</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NCO</w:t>
            </w:r>
          </w:p>
        </w:tc>
        <w:tc>
          <w:tcPr>
            <w:tcW w:w="1922" w:type="dxa"/>
            <w:hideMark/>
          </w:tcPr>
          <w:p w:rsidR="009B20BD" w:rsidRPr="005B0796" w:rsidRDefault="009B20BD" w:rsidP="004D2283">
            <w:pPr>
              <w:pStyle w:val="TableText"/>
              <w:jc w:val="right"/>
            </w:pPr>
            <w:r w:rsidRPr="005B0796">
              <w:t>576</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425</w:t>
            </w:r>
          </w:p>
        </w:tc>
        <w:tc>
          <w:tcPr>
            <w:tcW w:w="1923" w:type="dxa"/>
            <w:hideMark/>
          </w:tcPr>
          <w:p w:rsidR="009B20BD" w:rsidRPr="005B0796" w:rsidRDefault="009B20BD" w:rsidP="004D2283">
            <w:pPr>
              <w:pStyle w:val="TableText"/>
              <w:jc w:val="right"/>
            </w:pPr>
            <w:r w:rsidRPr="005B0796">
              <w:t>73.8</w:t>
            </w:r>
          </w:p>
        </w:tc>
      </w:tr>
      <w:tr w:rsidR="009B20BD" w:rsidRPr="005B0796" w:rsidTr="007448A6">
        <w:trPr>
          <w:cantSplit/>
        </w:trPr>
        <w:tc>
          <w:tcPr>
            <w:tcW w:w="1548" w:type="dxa"/>
            <w:hideMark/>
          </w:tcPr>
          <w:p w:rsidR="009B20BD" w:rsidRPr="005B0796" w:rsidRDefault="009B20BD" w:rsidP="004D2283">
            <w:pPr>
              <w:pStyle w:val="TableText"/>
              <w:ind w:left="144"/>
            </w:pPr>
            <w:r w:rsidRPr="005B0796">
              <w:t xml:space="preserve">Other </w:t>
            </w:r>
            <w:r w:rsidR="00751C86" w:rsidRPr="005B0796">
              <w:t>Ranks</w:t>
            </w:r>
          </w:p>
        </w:tc>
        <w:tc>
          <w:tcPr>
            <w:tcW w:w="1922" w:type="dxa"/>
            <w:hideMark/>
          </w:tcPr>
          <w:p w:rsidR="009B20BD" w:rsidRPr="005B0796" w:rsidRDefault="009B20BD" w:rsidP="004D2283">
            <w:pPr>
              <w:pStyle w:val="TableText"/>
              <w:jc w:val="right"/>
            </w:pPr>
            <w:r w:rsidRPr="005B0796">
              <w:t>61</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35</w:t>
            </w:r>
          </w:p>
        </w:tc>
        <w:tc>
          <w:tcPr>
            <w:tcW w:w="1923" w:type="dxa"/>
            <w:hideMark/>
          </w:tcPr>
          <w:p w:rsidR="009B20BD" w:rsidRPr="005B0796" w:rsidRDefault="009B20BD" w:rsidP="004D2283">
            <w:pPr>
              <w:pStyle w:val="TableText"/>
              <w:jc w:val="right"/>
            </w:pPr>
            <w:r w:rsidRPr="005B0796">
              <w:t>57.4</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Medical fitness</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rPr>
                <w:color w:val="000000" w:themeColor="text1"/>
              </w:rPr>
            </w:pPr>
          </w:p>
        </w:tc>
        <w:tc>
          <w:tcPr>
            <w:tcW w:w="1923" w:type="dxa"/>
          </w:tcPr>
          <w:p w:rsidR="009B20BD" w:rsidRPr="005B0796" w:rsidRDefault="009B20BD" w:rsidP="004D2283">
            <w:pPr>
              <w:pStyle w:val="TableText"/>
              <w:jc w:val="right"/>
            </w:pPr>
          </w:p>
        </w:tc>
      </w:tr>
      <w:tr w:rsidR="009B20BD" w:rsidRPr="005B0796" w:rsidTr="007448A6">
        <w:trPr>
          <w:cantSplit/>
        </w:trPr>
        <w:tc>
          <w:tcPr>
            <w:tcW w:w="1548" w:type="dxa"/>
            <w:hideMark/>
          </w:tcPr>
          <w:p w:rsidR="009B20BD" w:rsidRPr="005B0796" w:rsidRDefault="009B20BD" w:rsidP="004D2283">
            <w:pPr>
              <w:pStyle w:val="TableText"/>
              <w:ind w:left="144"/>
            </w:pPr>
            <w:r w:rsidRPr="005B0796">
              <w:t>Fit</w:t>
            </w:r>
          </w:p>
        </w:tc>
        <w:tc>
          <w:tcPr>
            <w:tcW w:w="1922" w:type="dxa"/>
            <w:hideMark/>
          </w:tcPr>
          <w:p w:rsidR="009B20BD" w:rsidRPr="005B0796" w:rsidRDefault="009B20BD" w:rsidP="004D2283">
            <w:pPr>
              <w:pStyle w:val="TableText"/>
              <w:jc w:val="right"/>
            </w:pPr>
            <w:r w:rsidRPr="005B0796">
              <w:t>758</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590</w:t>
            </w:r>
          </w:p>
        </w:tc>
        <w:tc>
          <w:tcPr>
            <w:tcW w:w="1923" w:type="dxa"/>
            <w:hideMark/>
          </w:tcPr>
          <w:p w:rsidR="009B20BD" w:rsidRPr="005B0796" w:rsidRDefault="009B20BD" w:rsidP="004D2283">
            <w:pPr>
              <w:pStyle w:val="TableText"/>
              <w:jc w:val="right"/>
            </w:pPr>
            <w:r w:rsidRPr="005B0796">
              <w:t>77.8</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Unfit</w:t>
            </w:r>
          </w:p>
        </w:tc>
        <w:tc>
          <w:tcPr>
            <w:tcW w:w="1922" w:type="dxa"/>
            <w:hideMark/>
          </w:tcPr>
          <w:p w:rsidR="009B20BD" w:rsidRPr="005B0796" w:rsidRDefault="009B20BD" w:rsidP="004D2283">
            <w:pPr>
              <w:pStyle w:val="TableText"/>
              <w:jc w:val="right"/>
            </w:pPr>
            <w:r w:rsidRPr="005B0796">
              <w:t>327</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243</w:t>
            </w:r>
          </w:p>
        </w:tc>
        <w:tc>
          <w:tcPr>
            <w:tcW w:w="1923" w:type="dxa"/>
            <w:hideMark/>
          </w:tcPr>
          <w:p w:rsidR="009B20BD" w:rsidRPr="005B0796" w:rsidRDefault="009B20BD" w:rsidP="004D2283">
            <w:pPr>
              <w:pStyle w:val="TableText"/>
              <w:jc w:val="right"/>
            </w:pPr>
            <w:r w:rsidRPr="005B0796">
              <w:t>74.3</w:t>
            </w:r>
          </w:p>
        </w:tc>
      </w:tr>
      <w:tr w:rsidR="009B20BD" w:rsidRPr="005B0796" w:rsidTr="007448A6">
        <w:trPr>
          <w:cantSplit/>
        </w:trPr>
        <w:tc>
          <w:tcPr>
            <w:tcW w:w="1548" w:type="dxa"/>
            <w:hideMark/>
          </w:tcPr>
          <w:p w:rsidR="009B20BD" w:rsidRPr="005B0796" w:rsidRDefault="009B20BD" w:rsidP="004D2283">
            <w:pPr>
              <w:pStyle w:val="TableText"/>
              <w:ind w:left="144"/>
            </w:pPr>
            <w:r w:rsidRPr="005B0796">
              <w:t>Missing</w:t>
            </w:r>
          </w:p>
        </w:tc>
        <w:tc>
          <w:tcPr>
            <w:tcW w:w="1922" w:type="dxa"/>
            <w:hideMark/>
          </w:tcPr>
          <w:p w:rsidR="009B20BD" w:rsidRPr="005B0796" w:rsidRDefault="009B20BD" w:rsidP="004D2283">
            <w:pPr>
              <w:pStyle w:val="TableText"/>
              <w:jc w:val="right"/>
            </w:pPr>
            <w:r w:rsidRPr="005B0796">
              <w:t>3</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2</w:t>
            </w:r>
          </w:p>
        </w:tc>
        <w:tc>
          <w:tcPr>
            <w:tcW w:w="1923" w:type="dxa"/>
            <w:hideMark/>
          </w:tcPr>
          <w:p w:rsidR="009B20BD" w:rsidRPr="005B0796" w:rsidRDefault="009B20BD" w:rsidP="004D2283">
            <w:pPr>
              <w:pStyle w:val="TableText"/>
              <w:jc w:val="right"/>
            </w:pPr>
            <w:r w:rsidRPr="005B0796">
              <w:t>66.7</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Total</w:t>
            </w:r>
          </w:p>
        </w:tc>
        <w:tc>
          <w:tcPr>
            <w:tcW w:w="1922" w:type="dxa"/>
            <w:hideMark/>
          </w:tcPr>
          <w:p w:rsidR="009B20BD" w:rsidRPr="005B0796" w:rsidRDefault="009B20BD" w:rsidP="004D2283">
            <w:pPr>
              <w:pStyle w:val="TableText"/>
              <w:jc w:val="right"/>
            </w:pPr>
            <w:r w:rsidRPr="005B0796">
              <w:t>1088</w:t>
            </w:r>
          </w:p>
        </w:tc>
        <w:tc>
          <w:tcPr>
            <w:tcW w:w="1922" w:type="dxa"/>
            <w:hideMark/>
          </w:tcPr>
          <w:p w:rsidR="009B20BD" w:rsidRPr="005B0796" w:rsidRDefault="009B20BD" w:rsidP="004D2283">
            <w:pPr>
              <w:pStyle w:val="TableText"/>
              <w:jc w:val="right"/>
            </w:pPr>
            <w:r w:rsidRPr="005B0796">
              <w:t>835</w:t>
            </w:r>
          </w:p>
        </w:tc>
        <w:tc>
          <w:tcPr>
            <w:tcW w:w="1923" w:type="dxa"/>
            <w:hideMark/>
          </w:tcPr>
          <w:p w:rsidR="009B20BD" w:rsidRPr="005B0796" w:rsidRDefault="009B20BD" w:rsidP="004D2283">
            <w:pPr>
              <w:pStyle w:val="TableText"/>
              <w:jc w:val="right"/>
            </w:pPr>
            <w:r w:rsidRPr="005B0796">
              <w:t>76.8</w:t>
            </w:r>
          </w:p>
        </w:tc>
      </w:tr>
    </w:tbl>
    <w:p w:rsidR="004D2283" w:rsidRPr="005B0796" w:rsidRDefault="004D2283" w:rsidP="004D2283">
      <w:pPr>
        <w:pStyle w:val="TableNotes"/>
      </w:pPr>
      <w:r w:rsidRPr="005B0796">
        <w:t>Denominator: MHPWS sample invited to participate in the CIDI interview</w:t>
      </w:r>
    </w:p>
    <w:p w:rsidR="004D2283" w:rsidRPr="005B0796" w:rsidRDefault="004D2283" w:rsidP="004D2283">
      <w:pPr>
        <w:pStyle w:val="TableNotes"/>
        <w:rPr>
          <w:bCs/>
        </w:rPr>
      </w:pPr>
      <w:r w:rsidRPr="005B0796">
        <w:t>Note</w:t>
      </w:r>
      <w:r w:rsidR="009C4349" w:rsidRPr="005B0796">
        <w:t>s</w:t>
      </w:r>
      <w:r w:rsidRPr="005B0796">
        <w:t>:</w:t>
      </w:r>
      <w:r w:rsidR="009C4349" w:rsidRPr="005B0796">
        <w:br/>
      </w:r>
      <w:r w:rsidRPr="005B0796">
        <w:t>Unweighted data</w:t>
      </w:r>
    </w:p>
    <w:p w:rsidR="004D2283" w:rsidRPr="005B0796" w:rsidRDefault="004D2283" w:rsidP="004D2283">
      <w:pPr>
        <w:pStyle w:val="TableNotes"/>
        <w:rPr>
          <w:bCs/>
        </w:rPr>
      </w:pPr>
      <w:r w:rsidRPr="005B0796">
        <w:rPr>
          <w:bCs/>
        </w:rPr>
        <w:t xml:space="preserve">95% CI: 95% </w:t>
      </w:r>
      <w:r w:rsidR="00564689" w:rsidRPr="005B0796">
        <w:rPr>
          <w:bCs/>
        </w:rPr>
        <w:t>confidence interval</w:t>
      </w:r>
    </w:p>
    <w:p w:rsidR="009B20BD" w:rsidRPr="005B0796" w:rsidRDefault="009B20BD" w:rsidP="004F17A6">
      <w:pPr>
        <w:spacing w:after="160"/>
      </w:pPr>
      <w:r w:rsidRPr="005B0796">
        <w:t>The characteristics of the MHPWS group CIDI respondents are as follows:</w:t>
      </w:r>
    </w:p>
    <w:p w:rsidR="009B20BD" w:rsidRPr="005B0796" w:rsidRDefault="009B20BD" w:rsidP="004F17A6">
      <w:pPr>
        <w:pStyle w:val="Bullet"/>
        <w:spacing w:after="160"/>
      </w:pPr>
      <w:r w:rsidRPr="005B0796">
        <w:rPr>
          <w:b/>
        </w:rPr>
        <w:t xml:space="preserve">Sex </w:t>
      </w:r>
      <w:r w:rsidRPr="005B0796">
        <w:t>– The MHPWS sample consisted of both 2015 Regular and Transitioned ADF members. Consistent with the ADF population, the CIDI sample was predominantly male, with females being less likely to respond than males.</w:t>
      </w:r>
    </w:p>
    <w:p w:rsidR="009B20BD" w:rsidRPr="005B0796" w:rsidRDefault="009B20BD" w:rsidP="004F17A6">
      <w:pPr>
        <w:pStyle w:val="Bullet"/>
        <w:spacing w:after="160"/>
      </w:pPr>
      <w:r w:rsidRPr="005B0796">
        <w:rPr>
          <w:b/>
        </w:rPr>
        <w:t>Rank-</w:t>
      </w:r>
      <w:r w:rsidRPr="005B0796">
        <w:t xml:space="preserve">CIDI responders in this group were comprised of 44.9% Officers, 50.9% Non-Commissioned Officers and 4.2% Other Ranks. Other Ranks were less likely to respond than the other two ranking categories. </w:t>
      </w:r>
    </w:p>
    <w:p w:rsidR="009B20BD" w:rsidRPr="005B0796" w:rsidRDefault="009B20BD" w:rsidP="004F17A6">
      <w:pPr>
        <w:pStyle w:val="Bullet"/>
        <w:spacing w:after="160"/>
        <w:rPr>
          <w:b/>
        </w:rPr>
      </w:pPr>
      <w:r w:rsidRPr="005B0796">
        <w:rPr>
          <w:b/>
        </w:rPr>
        <w:t>Service-</w:t>
      </w:r>
      <w:r w:rsidRPr="005B0796">
        <w:t xml:space="preserve"> 21.0% of survey responders were Navy, 41.8% were Army and 37.2% were Air Force. There was no difference between CIDI responders and non-responders in relation to service.</w:t>
      </w:r>
    </w:p>
    <w:p w:rsidR="009B20BD" w:rsidRPr="005B0796" w:rsidRDefault="009B20BD" w:rsidP="004D2283">
      <w:pPr>
        <w:pStyle w:val="Bullet"/>
        <w:rPr>
          <w:b/>
        </w:rPr>
      </w:pPr>
      <w:r w:rsidRPr="005B0796">
        <w:rPr>
          <w:b/>
        </w:rPr>
        <w:t>Medical fitness</w:t>
      </w:r>
      <w:r w:rsidRPr="005B0796">
        <w:t xml:space="preserve"> -ADF members who were medically unfit were similarly represented in the CIDI responder group (29.1%) compared to those selected (30.1%). ADF members who were medically fit were also similarly represented in the CIDI responder group (70.7%) compared to 69.7% in the invited population. Therefore, the responder sample was representative in terms of medical fitness of the selected group.</w:t>
      </w:r>
    </w:p>
    <w:p w:rsidR="009B20BD" w:rsidRPr="005B0796" w:rsidRDefault="009B20BD" w:rsidP="004D2283">
      <w:pPr>
        <w:pStyle w:val="Heading4"/>
        <w:rPr>
          <w:rFonts w:eastAsia="MS ??"/>
        </w:rPr>
      </w:pPr>
      <w:r w:rsidRPr="005B0796">
        <w:rPr>
          <w:rFonts w:eastAsia="MS ??"/>
        </w:rPr>
        <w:t>Combat Zone group</w:t>
      </w:r>
    </w:p>
    <w:p w:rsidR="009B20BD" w:rsidRPr="005B0796" w:rsidRDefault="009B20BD" w:rsidP="00BD510A">
      <w:r w:rsidRPr="005B0796">
        <w:t xml:space="preserve">A total of 183 participants from this group were invited to participate in the CIDI 3.0. Of those invited, 76.5% (140) </w:t>
      </w:r>
      <w:r w:rsidRPr="005B0796">
        <w:rPr>
          <w:color w:val="000000" w:themeColor="text1"/>
        </w:rPr>
        <w:t>completed</w:t>
      </w:r>
      <w:r w:rsidRPr="005B0796">
        <w:t xml:space="preserve"> the interview. Table A.7 describes the response rates for this group.</w:t>
      </w:r>
    </w:p>
    <w:p w:rsidR="009B20BD" w:rsidRPr="005B0796" w:rsidRDefault="009B20BD" w:rsidP="004D2283">
      <w:pPr>
        <w:pStyle w:val="TableName"/>
        <w:rPr>
          <w:szCs w:val="22"/>
        </w:rPr>
      </w:pPr>
      <w:bookmarkStart w:id="1525" w:name="_Toc486936020"/>
      <w:bookmarkStart w:id="1526" w:name="_Toc487014344"/>
      <w:bookmarkStart w:id="1527" w:name="_Toc492995647"/>
      <w:bookmarkStart w:id="1528" w:name="_Toc511900496"/>
      <w:r w:rsidRPr="005B0796">
        <w:t>Table A.7</w:t>
      </w:r>
      <w:r w:rsidRPr="005B0796">
        <w:tab/>
        <w:t>CIDI response rates for the Combat Zone group, by Service, sex, rank and Medical Employment Classification status</w:t>
      </w:r>
      <w:bookmarkEnd w:id="1525"/>
      <w:bookmarkEnd w:id="1526"/>
      <w:bookmarkEnd w:id="1527"/>
      <w:bookmarkEnd w:id="1528"/>
    </w:p>
    <w:tbl>
      <w:tblPr>
        <w:tblStyle w:val="TWRPTable"/>
        <w:tblW w:w="5000" w:type="pct"/>
        <w:tblLayout w:type="fixed"/>
        <w:tblLook w:val="04A0" w:firstRow="1" w:lastRow="0" w:firstColumn="1" w:lastColumn="0" w:noHBand="0" w:noVBand="1"/>
        <w:tblDescription w:val="Table A.7 CIDI response rates for the Combat Zone group, by Service, sex, rank and Medical Employment Classification status"/>
      </w:tblPr>
      <w:tblGrid>
        <w:gridCol w:w="1548"/>
        <w:gridCol w:w="1922"/>
        <w:gridCol w:w="1922"/>
        <w:gridCol w:w="1923"/>
      </w:tblGrid>
      <w:tr w:rsidR="004D2283" w:rsidRPr="005B0796" w:rsidTr="007448A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rsidR="004D2283" w:rsidRPr="005B0796" w:rsidRDefault="004D2283" w:rsidP="004D2283">
            <w:pPr>
              <w:pStyle w:val="TableText"/>
            </w:pPr>
          </w:p>
        </w:tc>
        <w:tc>
          <w:tcPr>
            <w:tcW w:w="5767" w:type="dxa"/>
            <w:gridSpan w:val="3"/>
            <w:hideMark/>
          </w:tcPr>
          <w:p w:rsidR="004D2283" w:rsidRPr="005B0796" w:rsidRDefault="004D2283" w:rsidP="004D2283">
            <w:pPr>
              <w:pStyle w:val="TableText"/>
              <w:jc w:val="center"/>
            </w:pPr>
            <w:r w:rsidRPr="005B0796">
              <w:t>Combat Zone group CIDI</w:t>
            </w:r>
            <w:r w:rsidRPr="005B0796">
              <w:br/>
              <w:t>(n = 183 (invited); n = 140 (responded))</w:t>
            </w:r>
          </w:p>
        </w:tc>
      </w:tr>
      <w:tr w:rsidR="004D2283" w:rsidRPr="005B0796" w:rsidTr="007448A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rsidR="004D2283" w:rsidRPr="005B0796" w:rsidRDefault="004D2283" w:rsidP="004D2283">
            <w:pPr>
              <w:pStyle w:val="TableText"/>
            </w:pPr>
          </w:p>
        </w:tc>
        <w:tc>
          <w:tcPr>
            <w:tcW w:w="1922" w:type="dxa"/>
            <w:hideMark/>
          </w:tcPr>
          <w:p w:rsidR="004D2283" w:rsidRPr="005B0796" w:rsidRDefault="004D2283" w:rsidP="004D2283">
            <w:pPr>
              <w:pStyle w:val="TableText"/>
              <w:jc w:val="right"/>
            </w:pPr>
            <w:r w:rsidRPr="005B0796">
              <w:t>Invited</w:t>
            </w:r>
          </w:p>
        </w:tc>
        <w:tc>
          <w:tcPr>
            <w:tcW w:w="1922" w:type="dxa"/>
            <w:hideMark/>
          </w:tcPr>
          <w:p w:rsidR="004D2283" w:rsidRPr="005B0796" w:rsidRDefault="004D2283" w:rsidP="004D2283">
            <w:pPr>
              <w:pStyle w:val="TableText"/>
              <w:jc w:val="right"/>
            </w:pPr>
            <w:r w:rsidRPr="005B0796">
              <w:t>Responders</w:t>
            </w:r>
          </w:p>
        </w:tc>
        <w:tc>
          <w:tcPr>
            <w:tcW w:w="1923" w:type="dxa"/>
            <w:hideMark/>
          </w:tcPr>
          <w:p w:rsidR="004D2283" w:rsidRPr="005B0796" w:rsidRDefault="004D2283" w:rsidP="004D2283">
            <w:pPr>
              <w:pStyle w:val="TableText"/>
              <w:jc w:val="right"/>
            </w:pPr>
            <w:r w:rsidRPr="005B0796">
              <w:t>Response rate (%)</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Service</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pPr>
          </w:p>
        </w:tc>
        <w:tc>
          <w:tcPr>
            <w:tcW w:w="1923" w:type="dxa"/>
          </w:tcPr>
          <w:p w:rsidR="009B20BD" w:rsidRPr="005B0796" w:rsidRDefault="009B20BD" w:rsidP="004D2283">
            <w:pPr>
              <w:pStyle w:val="TableText"/>
              <w:jc w:val="right"/>
            </w:pPr>
          </w:p>
        </w:tc>
      </w:tr>
      <w:tr w:rsidR="009B20BD" w:rsidRPr="005B0796" w:rsidTr="007448A6">
        <w:trPr>
          <w:cantSplit/>
        </w:trPr>
        <w:tc>
          <w:tcPr>
            <w:tcW w:w="1548" w:type="dxa"/>
            <w:hideMark/>
          </w:tcPr>
          <w:p w:rsidR="009B20BD" w:rsidRPr="005B0796" w:rsidRDefault="009B20BD" w:rsidP="004D2283">
            <w:pPr>
              <w:pStyle w:val="TableText"/>
              <w:ind w:left="144"/>
            </w:pPr>
            <w:r w:rsidRPr="005B0796">
              <w:t>Navy</w:t>
            </w:r>
          </w:p>
        </w:tc>
        <w:tc>
          <w:tcPr>
            <w:tcW w:w="1922" w:type="dxa"/>
            <w:hideMark/>
          </w:tcPr>
          <w:p w:rsidR="009B20BD" w:rsidRPr="005B0796" w:rsidRDefault="009B20BD" w:rsidP="004D2283">
            <w:pPr>
              <w:pStyle w:val="TableText"/>
              <w:jc w:val="right"/>
            </w:pPr>
            <w:r w:rsidRPr="005B0796">
              <w:t>10</w:t>
            </w:r>
          </w:p>
        </w:tc>
        <w:tc>
          <w:tcPr>
            <w:tcW w:w="1922" w:type="dxa"/>
            <w:hideMark/>
          </w:tcPr>
          <w:p w:rsidR="009B20BD" w:rsidRPr="005B0796" w:rsidRDefault="009B20BD" w:rsidP="004D2283">
            <w:pPr>
              <w:pStyle w:val="TableText"/>
              <w:jc w:val="right"/>
            </w:pPr>
            <w:r w:rsidRPr="005B0796">
              <w:t>10</w:t>
            </w:r>
          </w:p>
        </w:tc>
        <w:tc>
          <w:tcPr>
            <w:tcW w:w="1923" w:type="dxa"/>
            <w:hideMark/>
          </w:tcPr>
          <w:p w:rsidR="009B20BD" w:rsidRPr="005B0796" w:rsidRDefault="009B20BD" w:rsidP="004D2283">
            <w:pPr>
              <w:pStyle w:val="TableText"/>
              <w:jc w:val="right"/>
            </w:pPr>
            <w:r w:rsidRPr="005B0796">
              <w:t>100</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Army</w:t>
            </w:r>
          </w:p>
        </w:tc>
        <w:tc>
          <w:tcPr>
            <w:tcW w:w="1922" w:type="dxa"/>
            <w:hideMark/>
          </w:tcPr>
          <w:p w:rsidR="009B20BD" w:rsidRPr="005B0796" w:rsidRDefault="009B20BD" w:rsidP="004D2283">
            <w:pPr>
              <w:pStyle w:val="TableText"/>
              <w:jc w:val="right"/>
            </w:pPr>
            <w:r w:rsidRPr="005B0796">
              <w:t>143</w:t>
            </w:r>
          </w:p>
        </w:tc>
        <w:tc>
          <w:tcPr>
            <w:tcW w:w="1922" w:type="dxa"/>
            <w:hideMark/>
          </w:tcPr>
          <w:p w:rsidR="009B20BD" w:rsidRPr="005B0796" w:rsidRDefault="009B20BD" w:rsidP="004D2283">
            <w:pPr>
              <w:pStyle w:val="TableText"/>
              <w:jc w:val="right"/>
            </w:pPr>
            <w:r w:rsidRPr="005B0796">
              <w:t>111</w:t>
            </w:r>
          </w:p>
        </w:tc>
        <w:tc>
          <w:tcPr>
            <w:tcW w:w="1923" w:type="dxa"/>
            <w:hideMark/>
          </w:tcPr>
          <w:p w:rsidR="009B20BD" w:rsidRPr="005B0796" w:rsidRDefault="009B20BD" w:rsidP="004D2283">
            <w:pPr>
              <w:pStyle w:val="TableText"/>
              <w:jc w:val="right"/>
            </w:pPr>
            <w:r w:rsidRPr="005B0796">
              <w:t>77.6</w:t>
            </w:r>
          </w:p>
        </w:tc>
      </w:tr>
      <w:tr w:rsidR="009B20BD" w:rsidRPr="005B0796" w:rsidTr="007448A6">
        <w:trPr>
          <w:cantSplit/>
        </w:trPr>
        <w:tc>
          <w:tcPr>
            <w:tcW w:w="1548" w:type="dxa"/>
            <w:hideMark/>
          </w:tcPr>
          <w:p w:rsidR="009B20BD" w:rsidRPr="005B0796" w:rsidRDefault="009B20BD" w:rsidP="004D2283">
            <w:pPr>
              <w:pStyle w:val="TableText"/>
              <w:ind w:left="144"/>
            </w:pPr>
            <w:r w:rsidRPr="005B0796">
              <w:t>Air Force</w:t>
            </w:r>
          </w:p>
        </w:tc>
        <w:tc>
          <w:tcPr>
            <w:tcW w:w="1922" w:type="dxa"/>
            <w:hideMark/>
          </w:tcPr>
          <w:p w:rsidR="009B20BD" w:rsidRPr="005B0796" w:rsidRDefault="009B20BD" w:rsidP="004D2283">
            <w:pPr>
              <w:pStyle w:val="TableText"/>
              <w:jc w:val="right"/>
            </w:pPr>
            <w:r w:rsidRPr="005B0796">
              <w:t>0</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0</w:t>
            </w:r>
          </w:p>
        </w:tc>
        <w:tc>
          <w:tcPr>
            <w:tcW w:w="1923" w:type="dxa"/>
            <w:hideMark/>
          </w:tcPr>
          <w:p w:rsidR="009B20BD" w:rsidRPr="005B0796" w:rsidRDefault="009B20BD" w:rsidP="004D2283">
            <w:pPr>
              <w:pStyle w:val="TableText"/>
              <w:jc w:val="right"/>
            </w:pPr>
            <w:r w:rsidRPr="005B0796">
              <w:t>0.0</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Missing</w:t>
            </w:r>
          </w:p>
        </w:tc>
        <w:tc>
          <w:tcPr>
            <w:tcW w:w="1922" w:type="dxa"/>
            <w:hideMark/>
          </w:tcPr>
          <w:p w:rsidR="009B20BD" w:rsidRPr="005B0796" w:rsidRDefault="009B20BD" w:rsidP="004D2283">
            <w:pPr>
              <w:pStyle w:val="TableText"/>
              <w:jc w:val="right"/>
            </w:pPr>
            <w:r w:rsidRPr="005B0796">
              <w:t>30</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19</w:t>
            </w:r>
          </w:p>
        </w:tc>
        <w:tc>
          <w:tcPr>
            <w:tcW w:w="1923" w:type="dxa"/>
            <w:hideMark/>
          </w:tcPr>
          <w:p w:rsidR="009B20BD" w:rsidRPr="005B0796" w:rsidRDefault="009B20BD" w:rsidP="004D2283">
            <w:pPr>
              <w:pStyle w:val="TableText"/>
              <w:jc w:val="right"/>
            </w:pPr>
            <w:r w:rsidRPr="005B0796">
              <w:t>63.3</w:t>
            </w:r>
          </w:p>
        </w:tc>
      </w:tr>
      <w:tr w:rsidR="009B20BD" w:rsidRPr="005B0796" w:rsidTr="007448A6">
        <w:trPr>
          <w:cantSplit/>
        </w:trPr>
        <w:tc>
          <w:tcPr>
            <w:tcW w:w="1548" w:type="dxa"/>
            <w:hideMark/>
          </w:tcPr>
          <w:p w:rsidR="009B20BD" w:rsidRPr="005B0796" w:rsidRDefault="009B20BD" w:rsidP="004D2283">
            <w:pPr>
              <w:pStyle w:val="TableText"/>
              <w:rPr>
                <w:b/>
              </w:rPr>
            </w:pPr>
            <w:r w:rsidRPr="005B0796">
              <w:rPr>
                <w:b/>
              </w:rPr>
              <w:t>Sex</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rPr>
                <w:color w:val="000000" w:themeColor="text1"/>
              </w:rPr>
            </w:pPr>
          </w:p>
        </w:tc>
        <w:tc>
          <w:tcPr>
            <w:tcW w:w="1923" w:type="dxa"/>
          </w:tcPr>
          <w:p w:rsidR="009B20BD" w:rsidRPr="005B0796" w:rsidRDefault="009B20BD" w:rsidP="004D2283">
            <w:pPr>
              <w:pStyle w:val="TableText"/>
              <w:jc w:val="right"/>
            </w:pP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Male</w:t>
            </w:r>
          </w:p>
        </w:tc>
        <w:tc>
          <w:tcPr>
            <w:tcW w:w="1922" w:type="dxa"/>
            <w:hideMark/>
          </w:tcPr>
          <w:p w:rsidR="009B20BD" w:rsidRPr="005B0796" w:rsidRDefault="009B20BD" w:rsidP="004D2283">
            <w:pPr>
              <w:pStyle w:val="TableText"/>
              <w:jc w:val="right"/>
            </w:pPr>
            <w:r w:rsidRPr="005B0796">
              <w:t>148</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118</w:t>
            </w:r>
          </w:p>
        </w:tc>
        <w:tc>
          <w:tcPr>
            <w:tcW w:w="1923" w:type="dxa"/>
            <w:hideMark/>
          </w:tcPr>
          <w:p w:rsidR="009B20BD" w:rsidRPr="005B0796" w:rsidRDefault="009B20BD" w:rsidP="004D2283">
            <w:pPr>
              <w:pStyle w:val="TableText"/>
              <w:jc w:val="right"/>
            </w:pPr>
            <w:r w:rsidRPr="005B0796">
              <w:t>79.7</w:t>
            </w:r>
          </w:p>
        </w:tc>
      </w:tr>
      <w:tr w:rsidR="009B20BD" w:rsidRPr="005B0796" w:rsidTr="007448A6">
        <w:trPr>
          <w:cantSplit/>
        </w:trPr>
        <w:tc>
          <w:tcPr>
            <w:tcW w:w="1548" w:type="dxa"/>
            <w:hideMark/>
          </w:tcPr>
          <w:p w:rsidR="009B20BD" w:rsidRPr="005B0796" w:rsidRDefault="009B20BD" w:rsidP="004D2283">
            <w:pPr>
              <w:pStyle w:val="TableText"/>
              <w:ind w:left="144"/>
            </w:pPr>
            <w:r w:rsidRPr="005B0796">
              <w:t>Female</w:t>
            </w:r>
          </w:p>
        </w:tc>
        <w:tc>
          <w:tcPr>
            <w:tcW w:w="1922" w:type="dxa"/>
            <w:hideMark/>
          </w:tcPr>
          <w:p w:rsidR="009B20BD" w:rsidRPr="005B0796" w:rsidRDefault="009B20BD" w:rsidP="004D2283">
            <w:pPr>
              <w:pStyle w:val="TableText"/>
              <w:jc w:val="right"/>
            </w:pPr>
            <w:r w:rsidRPr="005B0796">
              <w:t>2</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2</w:t>
            </w:r>
          </w:p>
        </w:tc>
        <w:tc>
          <w:tcPr>
            <w:tcW w:w="1923" w:type="dxa"/>
            <w:hideMark/>
          </w:tcPr>
          <w:p w:rsidR="009B20BD" w:rsidRPr="005B0796" w:rsidRDefault="009B20BD" w:rsidP="004D2283">
            <w:pPr>
              <w:pStyle w:val="TableText"/>
              <w:jc w:val="right"/>
            </w:pPr>
            <w:r w:rsidRPr="005B0796">
              <w:t>100.0</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Missing</w:t>
            </w:r>
          </w:p>
        </w:tc>
        <w:tc>
          <w:tcPr>
            <w:tcW w:w="1922" w:type="dxa"/>
            <w:hideMark/>
          </w:tcPr>
          <w:p w:rsidR="009B20BD" w:rsidRPr="005B0796" w:rsidRDefault="009B20BD" w:rsidP="004D2283">
            <w:pPr>
              <w:pStyle w:val="TableText"/>
              <w:jc w:val="right"/>
            </w:pPr>
            <w:r w:rsidRPr="005B0796">
              <w:t>33</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20</w:t>
            </w:r>
          </w:p>
        </w:tc>
        <w:tc>
          <w:tcPr>
            <w:tcW w:w="1923" w:type="dxa"/>
            <w:hideMark/>
          </w:tcPr>
          <w:p w:rsidR="009B20BD" w:rsidRPr="005B0796" w:rsidRDefault="009B20BD" w:rsidP="004D2283">
            <w:pPr>
              <w:pStyle w:val="TableText"/>
              <w:jc w:val="right"/>
            </w:pPr>
            <w:r w:rsidRPr="005B0796">
              <w:t>60.6</w:t>
            </w:r>
          </w:p>
        </w:tc>
      </w:tr>
      <w:tr w:rsidR="009B20BD" w:rsidRPr="005B0796" w:rsidTr="007448A6">
        <w:trPr>
          <w:cantSplit/>
        </w:trPr>
        <w:tc>
          <w:tcPr>
            <w:tcW w:w="1548" w:type="dxa"/>
            <w:hideMark/>
          </w:tcPr>
          <w:p w:rsidR="009B20BD" w:rsidRPr="005B0796" w:rsidRDefault="009B20BD" w:rsidP="004D2283">
            <w:pPr>
              <w:pStyle w:val="TableText"/>
              <w:rPr>
                <w:b/>
              </w:rPr>
            </w:pPr>
            <w:r w:rsidRPr="005B0796">
              <w:rPr>
                <w:b/>
              </w:rPr>
              <w:t>Rank</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rPr>
                <w:color w:val="000000" w:themeColor="text1"/>
              </w:rPr>
            </w:pPr>
          </w:p>
        </w:tc>
        <w:tc>
          <w:tcPr>
            <w:tcW w:w="1923" w:type="dxa"/>
          </w:tcPr>
          <w:p w:rsidR="009B20BD" w:rsidRPr="005B0796" w:rsidRDefault="009B20BD" w:rsidP="004D2283">
            <w:pPr>
              <w:pStyle w:val="TableText"/>
              <w:jc w:val="right"/>
            </w:pP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OFFR</w:t>
            </w:r>
          </w:p>
        </w:tc>
        <w:tc>
          <w:tcPr>
            <w:tcW w:w="1922" w:type="dxa"/>
            <w:hideMark/>
          </w:tcPr>
          <w:p w:rsidR="009B20BD" w:rsidRPr="005B0796" w:rsidRDefault="009B20BD" w:rsidP="004D2283">
            <w:pPr>
              <w:pStyle w:val="TableText"/>
              <w:jc w:val="right"/>
            </w:pPr>
            <w:r w:rsidRPr="005B0796">
              <w:t>20</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16</w:t>
            </w:r>
          </w:p>
        </w:tc>
        <w:tc>
          <w:tcPr>
            <w:tcW w:w="1923" w:type="dxa"/>
            <w:hideMark/>
          </w:tcPr>
          <w:p w:rsidR="009B20BD" w:rsidRPr="005B0796" w:rsidRDefault="009B20BD" w:rsidP="004D2283">
            <w:pPr>
              <w:pStyle w:val="TableText"/>
              <w:jc w:val="right"/>
            </w:pPr>
            <w:r w:rsidRPr="005B0796">
              <w:t>80.0</w:t>
            </w:r>
          </w:p>
        </w:tc>
      </w:tr>
      <w:tr w:rsidR="009B20BD" w:rsidRPr="005B0796" w:rsidTr="007448A6">
        <w:trPr>
          <w:cantSplit/>
        </w:trPr>
        <w:tc>
          <w:tcPr>
            <w:tcW w:w="1548" w:type="dxa"/>
            <w:hideMark/>
          </w:tcPr>
          <w:p w:rsidR="009B20BD" w:rsidRPr="005B0796" w:rsidRDefault="009B20BD" w:rsidP="004D2283">
            <w:pPr>
              <w:pStyle w:val="TableText"/>
              <w:ind w:left="144"/>
            </w:pPr>
            <w:r w:rsidRPr="005B0796">
              <w:t>NCO</w:t>
            </w:r>
          </w:p>
        </w:tc>
        <w:tc>
          <w:tcPr>
            <w:tcW w:w="1922" w:type="dxa"/>
            <w:hideMark/>
          </w:tcPr>
          <w:p w:rsidR="009B20BD" w:rsidRPr="005B0796" w:rsidRDefault="009B20BD" w:rsidP="004D2283">
            <w:pPr>
              <w:pStyle w:val="TableText"/>
              <w:jc w:val="right"/>
            </w:pPr>
            <w:r w:rsidRPr="005B0796">
              <w:t>101</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77</w:t>
            </w:r>
          </w:p>
        </w:tc>
        <w:tc>
          <w:tcPr>
            <w:tcW w:w="1923" w:type="dxa"/>
            <w:hideMark/>
          </w:tcPr>
          <w:p w:rsidR="009B20BD" w:rsidRPr="005B0796" w:rsidRDefault="009B20BD" w:rsidP="004D2283">
            <w:pPr>
              <w:pStyle w:val="TableText"/>
              <w:jc w:val="right"/>
            </w:pPr>
            <w:r w:rsidRPr="005B0796">
              <w:t>76.2</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 xml:space="preserve">Other </w:t>
            </w:r>
            <w:r w:rsidR="00751C86" w:rsidRPr="005B0796">
              <w:t>Ranks</w:t>
            </w:r>
          </w:p>
        </w:tc>
        <w:tc>
          <w:tcPr>
            <w:tcW w:w="1922" w:type="dxa"/>
            <w:hideMark/>
          </w:tcPr>
          <w:p w:rsidR="009B20BD" w:rsidRPr="005B0796" w:rsidRDefault="009B20BD" w:rsidP="004D2283">
            <w:pPr>
              <w:pStyle w:val="TableText"/>
              <w:jc w:val="right"/>
            </w:pPr>
            <w:r w:rsidRPr="005B0796">
              <w:t>47</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39</w:t>
            </w:r>
          </w:p>
        </w:tc>
        <w:tc>
          <w:tcPr>
            <w:tcW w:w="1923" w:type="dxa"/>
            <w:hideMark/>
          </w:tcPr>
          <w:p w:rsidR="009B20BD" w:rsidRPr="005B0796" w:rsidRDefault="009B20BD" w:rsidP="004D2283">
            <w:pPr>
              <w:pStyle w:val="TableText"/>
              <w:jc w:val="right"/>
            </w:pPr>
            <w:r w:rsidRPr="005B0796">
              <w:t>83.0</w:t>
            </w:r>
          </w:p>
        </w:tc>
      </w:tr>
      <w:tr w:rsidR="009B20BD" w:rsidRPr="005B0796" w:rsidTr="007448A6">
        <w:trPr>
          <w:cantSplit/>
        </w:trPr>
        <w:tc>
          <w:tcPr>
            <w:tcW w:w="1548" w:type="dxa"/>
            <w:hideMark/>
          </w:tcPr>
          <w:p w:rsidR="009B20BD" w:rsidRPr="005B0796" w:rsidRDefault="009B20BD" w:rsidP="004D2283">
            <w:pPr>
              <w:pStyle w:val="TableText"/>
              <w:ind w:left="144"/>
            </w:pPr>
            <w:r w:rsidRPr="005B0796">
              <w:t>Missing</w:t>
            </w:r>
          </w:p>
        </w:tc>
        <w:tc>
          <w:tcPr>
            <w:tcW w:w="1922" w:type="dxa"/>
            <w:hideMark/>
          </w:tcPr>
          <w:p w:rsidR="009B20BD" w:rsidRPr="005B0796" w:rsidRDefault="009B20BD" w:rsidP="004D2283">
            <w:pPr>
              <w:pStyle w:val="TableText"/>
              <w:jc w:val="right"/>
            </w:pPr>
            <w:r w:rsidRPr="005B0796">
              <w:t>15</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8</w:t>
            </w:r>
          </w:p>
        </w:tc>
        <w:tc>
          <w:tcPr>
            <w:tcW w:w="1923" w:type="dxa"/>
            <w:hideMark/>
          </w:tcPr>
          <w:p w:rsidR="009B20BD" w:rsidRPr="005B0796" w:rsidRDefault="009B20BD" w:rsidP="004D2283">
            <w:pPr>
              <w:pStyle w:val="TableText"/>
              <w:jc w:val="right"/>
            </w:pPr>
            <w:r w:rsidRPr="005B0796">
              <w:t>53.3</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Medical fitness</w:t>
            </w:r>
          </w:p>
        </w:tc>
        <w:tc>
          <w:tcPr>
            <w:tcW w:w="1922" w:type="dxa"/>
          </w:tcPr>
          <w:p w:rsidR="009B20BD" w:rsidRPr="005B0796" w:rsidRDefault="009B20BD" w:rsidP="004D2283">
            <w:pPr>
              <w:pStyle w:val="TableText"/>
              <w:jc w:val="right"/>
            </w:pPr>
          </w:p>
        </w:tc>
        <w:tc>
          <w:tcPr>
            <w:tcW w:w="1922" w:type="dxa"/>
          </w:tcPr>
          <w:p w:rsidR="009B20BD" w:rsidRPr="005B0796" w:rsidRDefault="009B20BD" w:rsidP="004D2283">
            <w:pPr>
              <w:pStyle w:val="TableText"/>
              <w:jc w:val="right"/>
              <w:rPr>
                <w:color w:val="000000" w:themeColor="text1"/>
              </w:rPr>
            </w:pPr>
          </w:p>
        </w:tc>
        <w:tc>
          <w:tcPr>
            <w:tcW w:w="1923" w:type="dxa"/>
          </w:tcPr>
          <w:p w:rsidR="009B20BD" w:rsidRPr="005B0796" w:rsidRDefault="009B20BD" w:rsidP="004D2283">
            <w:pPr>
              <w:pStyle w:val="TableText"/>
              <w:jc w:val="right"/>
            </w:pPr>
          </w:p>
        </w:tc>
      </w:tr>
      <w:tr w:rsidR="009B20BD" w:rsidRPr="005B0796" w:rsidTr="007448A6">
        <w:trPr>
          <w:cantSplit/>
        </w:trPr>
        <w:tc>
          <w:tcPr>
            <w:tcW w:w="1548" w:type="dxa"/>
            <w:hideMark/>
          </w:tcPr>
          <w:p w:rsidR="009B20BD" w:rsidRPr="005B0796" w:rsidRDefault="009B20BD" w:rsidP="004D2283">
            <w:pPr>
              <w:pStyle w:val="TableText"/>
              <w:ind w:left="144"/>
            </w:pPr>
            <w:r w:rsidRPr="005B0796">
              <w:t>Fit</w:t>
            </w:r>
          </w:p>
        </w:tc>
        <w:tc>
          <w:tcPr>
            <w:tcW w:w="1922" w:type="dxa"/>
            <w:hideMark/>
          </w:tcPr>
          <w:p w:rsidR="009B20BD" w:rsidRPr="005B0796" w:rsidRDefault="009B20BD" w:rsidP="004D2283">
            <w:pPr>
              <w:pStyle w:val="TableText"/>
              <w:jc w:val="right"/>
            </w:pPr>
            <w:r w:rsidRPr="005B0796">
              <w:t>130</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103</w:t>
            </w:r>
          </w:p>
        </w:tc>
        <w:tc>
          <w:tcPr>
            <w:tcW w:w="1923" w:type="dxa"/>
            <w:hideMark/>
          </w:tcPr>
          <w:p w:rsidR="009B20BD" w:rsidRPr="005B0796" w:rsidRDefault="009B20BD" w:rsidP="004D2283">
            <w:pPr>
              <w:pStyle w:val="TableText"/>
              <w:jc w:val="right"/>
            </w:pPr>
            <w:r w:rsidRPr="005B0796">
              <w:t>79.2</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ind w:left="144"/>
            </w:pPr>
            <w:r w:rsidRPr="005B0796">
              <w:t>Unfit</w:t>
            </w:r>
          </w:p>
        </w:tc>
        <w:tc>
          <w:tcPr>
            <w:tcW w:w="1922" w:type="dxa"/>
            <w:hideMark/>
          </w:tcPr>
          <w:p w:rsidR="009B20BD" w:rsidRPr="005B0796" w:rsidRDefault="009B20BD" w:rsidP="004D2283">
            <w:pPr>
              <w:pStyle w:val="TableText"/>
              <w:jc w:val="right"/>
            </w:pPr>
            <w:r w:rsidRPr="005B0796">
              <w:t>21</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17</w:t>
            </w:r>
          </w:p>
        </w:tc>
        <w:tc>
          <w:tcPr>
            <w:tcW w:w="1923" w:type="dxa"/>
            <w:hideMark/>
          </w:tcPr>
          <w:p w:rsidR="009B20BD" w:rsidRPr="005B0796" w:rsidRDefault="009B20BD" w:rsidP="004D2283">
            <w:pPr>
              <w:pStyle w:val="TableText"/>
              <w:jc w:val="right"/>
            </w:pPr>
            <w:r w:rsidRPr="005B0796">
              <w:t>81.0</w:t>
            </w:r>
          </w:p>
        </w:tc>
      </w:tr>
      <w:tr w:rsidR="009B20BD" w:rsidRPr="005B0796" w:rsidTr="007448A6">
        <w:trPr>
          <w:cantSplit/>
        </w:trPr>
        <w:tc>
          <w:tcPr>
            <w:tcW w:w="1548" w:type="dxa"/>
            <w:hideMark/>
          </w:tcPr>
          <w:p w:rsidR="009B20BD" w:rsidRPr="005B0796" w:rsidRDefault="009B20BD" w:rsidP="004D2283">
            <w:pPr>
              <w:pStyle w:val="TableText"/>
              <w:ind w:left="144"/>
            </w:pPr>
            <w:r w:rsidRPr="005B0796">
              <w:t>Missing</w:t>
            </w:r>
          </w:p>
        </w:tc>
        <w:tc>
          <w:tcPr>
            <w:tcW w:w="1922" w:type="dxa"/>
            <w:hideMark/>
          </w:tcPr>
          <w:p w:rsidR="009B20BD" w:rsidRPr="005B0796" w:rsidRDefault="009B20BD" w:rsidP="004D2283">
            <w:pPr>
              <w:pStyle w:val="TableText"/>
              <w:jc w:val="right"/>
            </w:pPr>
            <w:r w:rsidRPr="005B0796">
              <w:t>32</w:t>
            </w:r>
          </w:p>
        </w:tc>
        <w:tc>
          <w:tcPr>
            <w:tcW w:w="1922" w:type="dxa"/>
            <w:hideMark/>
          </w:tcPr>
          <w:p w:rsidR="009B20BD" w:rsidRPr="005B0796" w:rsidRDefault="009B20BD" w:rsidP="004D2283">
            <w:pPr>
              <w:pStyle w:val="TableText"/>
              <w:jc w:val="right"/>
              <w:rPr>
                <w:color w:val="000000" w:themeColor="text1"/>
              </w:rPr>
            </w:pPr>
            <w:r w:rsidRPr="005B0796">
              <w:rPr>
                <w:color w:val="000000" w:themeColor="text1"/>
              </w:rPr>
              <w:t>20</w:t>
            </w:r>
          </w:p>
        </w:tc>
        <w:tc>
          <w:tcPr>
            <w:tcW w:w="1923" w:type="dxa"/>
            <w:hideMark/>
          </w:tcPr>
          <w:p w:rsidR="009B20BD" w:rsidRPr="005B0796" w:rsidRDefault="009B20BD" w:rsidP="004D2283">
            <w:pPr>
              <w:pStyle w:val="TableText"/>
              <w:jc w:val="right"/>
            </w:pPr>
            <w:r w:rsidRPr="005B0796">
              <w:t>62.5</w:t>
            </w:r>
          </w:p>
        </w:tc>
      </w:tr>
      <w:tr w:rsidR="009B20BD" w:rsidRPr="005B0796" w:rsidTr="007448A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rsidR="009B20BD" w:rsidRPr="005B0796" w:rsidRDefault="009B20BD" w:rsidP="004D2283">
            <w:pPr>
              <w:pStyle w:val="TableText"/>
              <w:rPr>
                <w:b/>
              </w:rPr>
            </w:pPr>
            <w:r w:rsidRPr="005B0796">
              <w:rPr>
                <w:b/>
              </w:rPr>
              <w:t>Total</w:t>
            </w:r>
          </w:p>
        </w:tc>
        <w:tc>
          <w:tcPr>
            <w:tcW w:w="1922" w:type="dxa"/>
            <w:hideMark/>
          </w:tcPr>
          <w:p w:rsidR="009B20BD" w:rsidRPr="005B0796" w:rsidRDefault="009B20BD" w:rsidP="004D2283">
            <w:pPr>
              <w:pStyle w:val="TableText"/>
              <w:jc w:val="right"/>
            </w:pPr>
            <w:r w:rsidRPr="005B0796">
              <w:t>183</w:t>
            </w:r>
          </w:p>
        </w:tc>
        <w:tc>
          <w:tcPr>
            <w:tcW w:w="1922" w:type="dxa"/>
            <w:hideMark/>
          </w:tcPr>
          <w:p w:rsidR="009B20BD" w:rsidRPr="005B0796" w:rsidRDefault="009B20BD" w:rsidP="004D2283">
            <w:pPr>
              <w:pStyle w:val="TableText"/>
              <w:jc w:val="right"/>
            </w:pPr>
            <w:r w:rsidRPr="005B0796">
              <w:t>140</w:t>
            </w:r>
          </w:p>
        </w:tc>
        <w:tc>
          <w:tcPr>
            <w:tcW w:w="1923" w:type="dxa"/>
            <w:hideMark/>
          </w:tcPr>
          <w:p w:rsidR="009B20BD" w:rsidRPr="005B0796" w:rsidRDefault="009B20BD" w:rsidP="004D2283">
            <w:pPr>
              <w:pStyle w:val="TableText"/>
              <w:jc w:val="right"/>
            </w:pPr>
            <w:r w:rsidRPr="005B0796">
              <w:t>76.5</w:t>
            </w:r>
          </w:p>
        </w:tc>
      </w:tr>
    </w:tbl>
    <w:p w:rsidR="004D2283" w:rsidRPr="005B0796" w:rsidRDefault="004D2283" w:rsidP="004D2283">
      <w:pPr>
        <w:pStyle w:val="TableNotes"/>
      </w:pPr>
      <w:r w:rsidRPr="005B0796">
        <w:t>Denominator: Combat zone sample invited to participate in the CIDI interview</w:t>
      </w:r>
    </w:p>
    <w:p w:rsidR="004D2283" w:rsidRPr="005B0796" w:rsidRDefault="004D2283" w:rsidP="004D2283">
      <w:pPr>
        <w:pStyle w:val="TableNotes"/>
        <w:rPr>
          <w:bCs/>
        </w:rPr>
      </w:pPr>
      <w:r w:rsidRPr="005B0796">
        <w:t>Note</w:t>
      </w:r>
      <w:r w:rsidR="009C4349" w:rsidRPr="005B0796">
        <w:t>s</w:t>
      </w:r>
      <w:r w:rsidRPr="005B0796">
        <w:t>:</w:t>
      </w:r>
      <w:r w:rsidR="009C4349" w:rsidRPr="005B0796">
        <w:br/>
      </w:r>
      <w:r w:rsidRPr="005B0796">
        <w:t>Unweighted data</w:t>
      </w:r>
    </w:p>
    <w:p w:rsidR="004D2283" w:rsidRPr="005B0796" w:rsidRDefault="004D2283" w:rsidP="004D2283">
      <w:pPr>
        <w:pStyle w:val="TableNotes"/>
        <w:rPr>
          <w:bCs/>
        </w:rPr>
      </w:pPr>
      <w:r w:rsidRPr="005B0796">
        <w:rPr>
          <w:bCs/>
        </w:rPr>
        <w:t xml:space="preserve">95% CI: 95% </w:t>
      </w:r>
      <w:r w:rsidR="00564689" w:rsidRPr="005B0796">
        <w:rPr>
          <w:bCs/>
        </w:rPr>
        <w:t>confidence interval</w:t>
      </w:r>
    </w:p>
    <w:p w:rsidR="009B20BD" w:rsidRPr="005B0796" w:rsidRDefault="009B20BD" w:rsidP="007448A6">
      <w:r w:rsidRPr="005B0796">
        <w:t>The characteristics of the Combat Zone group CIDI respondents were as follows:</w:t>
      </w:r>
    </w:p>
    <w:p w:rsidR="009B20BD" w:rsidRPr="005B0796" w:rsidRDefault="009B20BD" w:rsidP="007448A6">
      <w:pPr>
        <w:pStyle w:val="Bullet"/>
      </w:pPr>
      <w:r w:rsidRPr="005B0796">
        <w:rPr>
          <w:b/>
        </w:rPr>
        <w:t xml:space="preserve">Sex </w:t>
      </w:r>
      <w:r w:rsidRPr="005B0796">
        <w:t>– The Combat Zone CIDI sample consisted of both 2015 Regular ADF and Transitioned ADF members participated. Consistent with the ADF population, the CIDI sample was almost entirely male. Of the two females selected, both responded.</w:t>
      </w:r>
    </w:p>
    <w:p w:rsidR="009B20BD" w:rsidRPr="005B0796" w:rsidRDefault="009B20BD" w:rsidP="007448A6">
      <w:pPr>
        <w:pStyle w:val="Bullet"/>
      </w:pPr>
      <w:r w:rsidRPr="005B0796">
        <w:rPr>
          <w:b/>
        </w:rPr>
        <w:t xml:space="preserve">Rank - </w:t>
      </w:r>
      <w:r w:rsidRPr="005B0796">
        <w:t>CIDI responders in this group were comprised of 11.4% Officers, 55.0% Non-Commissioned Officers and 27.9% Other Ranks. Other Ranks were less likely to respond than the other two ranking categories.</w:t>
      </w:r>
    </w:p>
    <w:p w:rsidR="009B20BD" w:rsidRPr="005B0796" w:rsidRDefault="009B20BD" w:rsidP="007448A6">
      <w:pPr>
        <w:pStyle w:val="Bullet"/>
      </w:pPr>
      <w:r w:rsidRPr="005B0796">
        <w:rPr>
          <w:b/>
        </w:rPr>
        <w:t xml:space="preserve">Service- </w:t>
      </w:r>
      <w:r w:rsidRPr="005B0796">
        <w:t>7.1% of survey responders were Navy, 79.3% were Army and 0% were Air Force. There was no difference between CIDI responders and non-responders in relation to Service.</w:t>
      </w:r>
    </w:p>
    <w:p w:rsidR="009B20BD" w:rsidRPr="005B0796" w:rsidRDefault="009B20BD" w:rsidP="007448A6">
      <w:pPr>
        <w:pStyle w:val="Bullet"/>
      </w:pPr>
      <w:r w:rsidRPr="005B0796">
        <w:rPr>
          <w:b/>
        </w:rPr>
        <w:t>Medical fitness -</w:t>
      </w:r>
      <w:r w:rsidRPr="005B0796">
        <w:t>ADF members who were medically unfit were similarly represented in the CIDI responder group (12.14%) compared to those selected (11.5%). ADF members who were medically fit were also similarly represented in the CIDI responder group (73.6%) compared to 71.0% in the invited population. Therefore, the responder sample was representative in terms of medical fitness of the selected group.</w:t>
      </w:r>
    </w:p>
    <w:p w:rsidR="009B20BD" w:rsidRPr="005B0796" w:rsidRDefault="009B20BD" w:rsidP="00751C86">
      <w:pPr>
        <w:pStyle w:val="Heading2b"/>
      </w:pPr>
      <w:bookmarkStart w:id="1529" w:name="_Toc482021448"/>
      <w:bookmarkStart w:id="1530" w:name="_Toc482024539"/>
      <w:bookmarkStart w:id="1531" w:name="_Toc484594359"/>
      <w:bookmarkStart w:id="1532" w:name="_Toc487011297"/>
      <w:bookmarkStart w:id="1533" w:name="_Toc493663192"/>
      <w:bookmarkStart w:id="1534" w:name="_Toc494449811"/>
      <w:r w:rsidRPr="005B0796">
        <w:t>Study overview</w:t>
      </w:r>
      <w:bookmarkEnd w:id="1529"/>
      <w:bookmarkEnd w:id="1530"/>
      <w:bookmarkEnd w:id="1531"/>
      <w:bookmarkEnd w:id="1532"/>
      <w:bookmarkEnd w:id="1533"/>
      <w:bookmarkEnd w:id="1534"/>
    </w:p>
    <w:p w:rsidR="009B20BD" w:rsidRPr="005B0796" w:rsidRDefault="009B20BD" w:rsidP="007448A6">
      <w:r w:rsidRPr="005B0796">
        <w:t xml:space="preserve">Prevalence estimates were obtained using a two-phase design. This is a well-accepted approach to epidemiological research </w: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 </w:instrTex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EN.CITE.DATA </w:instrText>
      </w:r>
      <w:r w:rsidRPr="005B0796">
        <w:fldChar w:fldCharType="end"/>
      </w:r>
      <w:r w:rsidRPr="005B0796">
        <w:fldChar w:fldCharType="separate"/>
      </w:r>
      <w:r w:rsidRPr="005B0796">
        <w:t>(Salim &amp; Welsh, 2009)</w:t>
      </w:r>
      <w:r w:rsidRPr="005B0796">
        <w:fldChar w:fldCharType="end"/>
      </w:r>
      <w:r w:rsidRPr="005B0796">
        <w:t xml:space="preserve">, and was utilised in the 2010 Mental Health Prevalence Wellbeing Study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In the first phase, participants completed a screening questionnaire. This provided the research team with a clear picture of psychological symptoms from a dimensional</w:t>
      </w:r>
      <w:r w:rsidRPr="005B0796">
        <w:rPr>
          <w:b/>
        </w:rPr>
        <w:t xml:space="preserve"> </w:t>
      </w:r>
      <w:r w:rsidRPr="005B0796">
        <w:t xml:space="preserve">perspective. </w:t>
      </w:r>
    </w:p>
    <w:p w:rsidR="009B20BD" w:rsidRPr="005B0796" w:rsidRDefault="009B20BD" w:rsidP="007448A6">
      <w:pPr>
        <w:rPr>
          <w:rFonts w:asciiTheme="minorHAnsi" w:hAnsiTheme="minorHAnsi"/>
        </w:rPr>
      </w:pPr>
      <w:r w:rsidRPr="005B0796">
        <w:rPr>
          <w:lang w:eastAsia="en-AU"/>
        </w:rPr>
        <w:t xml:space="preserve">Based on certain key results from the survey and specific demographic factors, a subset of participants was also selected to participate in a 1-hour </w:t>
      </w:r>
      <w:r w:rsidRPr="005B0796">
        <w:t>diagnostic mental health</w:t>
      </w:r>
      <w:r w:rsidRPr="005B0796">
        <w:rPr>
          <w:lang w:eastAsia="en-AU"/>
        </w:rPr>
        <w:t xml:space="preserve"> telephone interview.</w:t>
      </w:r>
      <w:r w:rsidRPr="005B0796">
        <w:t xml:space="preserve"> Additional biological, neurocognitive testing and Magnetic Resonance Imaging (MRI) was undertaken by participants in the Combat Zone sample. A detailed description of this additional testing is not provided here but will be provided in a later report.</w:t>
      </w:r>
    </w:p>
    <w:p w:rsidR="009B20BD" w:rsidRPr="005B0796" w:rsidRDefault="009B20BD" w:rsidP="007448A6">
      <w:r w:rsidRPr="005B0796">
        <w:t>Interview data for the Transitioned ADF was weighted to ensure the representativeness of the prevalence estimates for key subgroups within the total Transitioned ADF population. Self-report survey data were also weighted to be representative of both the Transitioned ADF and the 2015 Regular ADF.</w:t>
      </w:r>
    </w:p>
    <w:p w:rsidR="009B20BD" w:rsidRPr="005B0796" w:rsidRDefault="009B20BD" w:rsidP="00751C86">
      <w:pPr>
        <w:pStyle w:val="Heading2b"/>
      </w:pPr>
      <w:bookmarkStart w:id="1535" w:name="_Toc341700582"/>
      <w:bookmarkStart w:id="1536" w:name="_Toc482021449"/>
      <w:bookmarkStart w:id="1537" w:name="_Toc482024540"/>
      <w:bookmarkStart w:id="1538" w:name="_Toc484594360"/>
      <w:bookmarkStart w:id="1539" w:name="_Toc487011298"/>
      <w:bookmarkStart w:id="1540" w:name="_Toc493663193"/>
      <w:bookmarkStart w:id="1541" w:name="_Toc494449812"/>
      <w:r w:rsidRPr="005B0796">
        <w:t>Measures</w:t>
      </w:r>
      <w:bookmarkEnd w:id="1535"/>
      <w:bookmarkEnd w:id="1536"/>
      <w:bookmarkEnd w:id="1537"/>
      <w:bookmarkEnd w:id="1538"/>
      <w:bookmarkEnd w:id="1539"/>
      <w:bookmarkEnd w:id="1540"/>
      <w:bookmarkEnd w:id="1541"/>
    </w:p>
    <w:p w:rsidR="009B20BD" w:rsidRPr="005B0796" w:rsidRDefault="009B20BD" w:rsidP="00751C86">
      <w:pPr>
        <w:pStyle w:val="Heading3b"/>
      </w:pPr>
      <w:bookmarkStart w:id="1542" w:name="_Toc487011299"/>
      <w:bookmarkStart w:id="1543" w:name="_Toc493663194"/>
      <w:r w:rsidRPr="005B0796">
        <w:t>Phase 1: Self-report survey</w:t>
      </w:r>
      <w:bookmarkEnd w:id="1542"/>
      <w:bookmarkEnd w:id="1543"/>
    </w:p>
    <w:p w:rsidR="009B20BD" w:rsidRPr="005B0796" w:rsidRDefault="009B20BD" w:rsidP="007448A6">
      <w:pPr>
        <w:rPr>
          <w:rFonts w:cs="Arial"/>
          <w:szCs w:val="22"/>
        </w:rPr>
      </w:pPr>
      <w:r w:rsidRPr="005B0796">
        <w:t>In phase 1 of the Mental Health and Wellbeing Transition Study, Transitioned ADF and 2015 Regular ADF members were screened for mental health problems, psychological distress, physical health problems, wellbeing factors, pathways to care and occupational exposures using a 60-minute self-report questionnaire which was completed either online or in hard copy. This survey</w:t>
      </w:r>
      <w:r w:rsidRPr="005B0796">
        <w:rPr>
          <w:rFonts w:cs="Arial"/>
          <w:szCs w:val="22"/>
        </w:rPr>
        <w:t xml:space="preserve"> was developed at the beginning of the study period in close consultation DVA and Defence. Survey anonymity was preserved via the allocation of a unique study ID number to each participant. Participants who previously completed a survey as part of the 2010 Mental Health Prevalence Wellbeing Study were allocated their same MilHOP study ID number.</w:t>
      </w:r>
    </w:p>
    <w:p w:rsidR="009B20BD" w:rsidRPr="005B0796" w:rsidRDefault="009B20BD" w:rsidP="007448A6">
      <w:r w:rsidRPr="005B0796">
        <w:t>Participants were able to complete the survey in one of two ways:</w:t>
      </w:r>
    </w:p>
    <w:p w:rsidR="009B20BD" w:rsidRPr="005B0796" w:rsidRDefault="009B20BD" w:rsidP="007448A6">
      <w:pPr>
        <w:pStyle w:val="Bullet"/>
      </w:pPr>
      <w:r w:rsidRPr="005B0796">
        <w:t xml:space="preserve">Online: participants were sent an email which included a secure link to an online invitation package containing the web-based survey. Participants could only access the survey by entering their unique study ID number and password which was provided to them in the invitation email; or </w:t>
      </w:r>
    </w:p>
    <w:p w:rsidR="009B20BD" w:rsidRPr="005B0796" w:rsidRDefault="009B20BD" w:rsidP="007448A6">
      <w:pPr>
        <w:pStyle w:val="Bullet"/>
      </w:pPr>
      <w:r w:rsidRPr="005B0796">
        <w:t>In hardcopy: participants could opt to complete a hard copy version of the questionnaire, which was then mailed to their current postal address.</w:t>
      </w:r>
    </w:p>
    <w:p w:rsidR="009B20BD" w:rsidRPr="005B0796" w:rsidRDefault="009B20BD" w:rsidP="007448A6">
      <w:r w:rsidRPr="005B0796">
        <w:t>Each participating sample received a slightly different questionnaire relevant to their current ADF status: Transitioned ADF member, 2015 Regular ADF member, Ab</w:t>
      </w:r>
      <w:r w:rsidR="005B681B">
        <w:t> </w:t>
      </w:r>
      <w:r w:rsidRPr="005B0796">
        <w:t>Initio Reservist, in regard to demographics, Service and deployment history, however, the core-validated measures of psychological and physical health remained the same and replicated where possible the measures previously administered as part of the MHPWS in 2010. This component of the design is critical to the longitudinal comparisons across time and highlights the importance of a consistent approach to the oversight of research design of military and veteran populations over time.</w:t>
      </w:r>
    </w:p>
    <w:p w:rsidR="009B20BD" w:rsidRPr="005B0796" w:rsidRDefault="009B20BD" w:rsidP="007448A6">
      <w:r w:rsidRPr="005B0796">
        <w:t xml:space="preserve">Prior to roll out, the online and hardcopy versions of the self-report survey were piloted on a select group of 2015 Regular ADF and Ex-Serving ADF members. Individuals in the pilot group were asked to provide detailed feedback pertinent to the content and adequacy of the survey and the usability of the system/form. Their comments and feedback were then subsequently incorporated into the final version of the survey. This ensured that there were no mistakes in the survey or glitches in the system prior to the study rolling out. </w:t>
      </w:r>
    </w:p>
    <w:p w:rsidR="009B20BD" w:rsidRPr="005B0796" w:rsidRDefault="009B20BD" w:rsidP="007448A6">
      <w:r w:rsidRPr="005B0796">
        <w:t>Please note, details of the survey provided to participants belonging to the Combat Zone sample are not provided here, but will be provided in a later report.</w:t>
      </w:r>
    </w:p>
    <w:p w:rsidR="009B20BD" w:rsidRPr="005B0796" w:rsidRDefault="009B20BD" w:rsidP="007448A6">
      <w:pPr>
        <w:pStyle w:val="Heading4"/>
        <w:rPr>
          <w:rFonts w:eastAsia="MS ??"/>
        </w:rPr>
      </w:pPr>
      <w:r w:rsidRPr="005B0796">
        <w:rPr>
          <w:rFonts w:eastAsia="MS ??"/>
        </w:rPr>
        <w:t>Part 1: Demographics and Service details</w:t>
      </w:r>
    </w:p>
    <w:p w:rsidR="009B20BD" w:rsidRPr="005B0796" w:rsidRDefault="009B20BD" w:rsidP="007448A6">
      <w:r w:rsidRPr="005B0796">
        <w:t>Part 1 of the survey was completed by all samples and comprised the following major sections:</w:t>
      </w:r>
    </w:p>
    <w:p w:rsidR="009B20BD" w:rsidRPr="005B0796" w:rsidRDefault="009B20BD" w:rsidP="007448A6">
      <w:pPr>
        <w:pStyle w:val="Heading5"/>
        <w:rPr>
          <w:lang w:val="en-AU"/>
        </w:rPr>
      </w:pPr>
      <w:r w:rsidRPr="005B0796">
        <w:rPr>
          <w:lang w:val="en-AU"/>
        </w:rPr>
        <w:t>Demographic information</w:t>
      </w:r>
    </w:p>
    <w:p w:rsidR="009B20BD" w:rsidRPr="005B0796" w:rsidRDefault="009B20BD" w:rsidP="007448A6">
      <w:r w:rsidRPr="005B0796">
        <w:t xml:space="preserve">Participants were asked to provide demographic information for gender, date of birth and highest educational qualification attained. These items were taken directly from the 2010 MHPWS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w:t>
      </w:r>
    </w:p>
    <w:p w:rsidR="009B20BD" w:rsidRPr="005B0796" w:rsidRDefault="009B20BD" w:rsidP="007448A6">
      <w:pPr>
        <w:pStyle w:val="Heading5"/>
        <w:rPr>
          <w:lang w:val="en-AU"/>
        </w:rPr>
      </w:pPr>
      <w:r w:rsidRPr="005B0796">
        <w:rPr>
          <w:lang w:val="en-AU"/>
        </w:rPr>
        <w:t>Household and family structure</w:t>
      </w:r>
    </w:p>
    <w:p w:rsidR="009B20BD" w:rsidRPr="005B0796" w:rsidRDefault="009B20BD" w:rsidP="007448A6">
      <w:r w:rsidRPr="005B0796">
        <w:t xml:space="preserve">Participants were asked questions about their relationship status, household structure and children. Items in this section were derived from several sources including the Timor-Leste Family Study </w:t>
      </w:r>
      <w:r w:rsidRPr="005B0796">
        <w:fldChar w:fldCharType="begin"/>
      </w:r>
      <w:r w:rsidRPr="005B0796">
        <w:instrText xml:space="preserve"> ADDIN EN.CITE &lt;EndNote&gt;&lt;Cite&gt;&lt;Author&gt;McGuire&lt;/Author&gt;&lt;Year&gt;2012&lt;/Year&gt;&lt;RecNum&gt;512&lt;/RecNum&gt;&lt;DisplayText&gt;(McGuire et al., 2012)&lt;/DisplayText&gt;&lt;record&gt;&lt;rec-number&gt;512&lt;/rec-number&gt;&lt;foreign-keys&gt;&lt;key app="EN" db-id="arwdrezp9sdawxevtfyxtfw10exvr5exxfed" timestamp="1478815639"&gt;512&lt;/key&gt;&lt;/foreign-keys&gt;&lt;ref-type name="Report"&gt;27&lt;/ref-type&gt;&lt;contributors&gt;&lt;authors&gt;&lt;author&gt;McGuire, Annabel&lt;/author&gt;&lt;author&gt;Runge, Catherine&lt;/author&gt;&lt;author&gt;Cosgrove, Luke&lt;/author&gt;&lt;author&gt;Bredhauer, Katrina&lt;/author&gt;&lt;author&gt;Anderson, Renee&lt;/author&gt;&lt;author&gt;Waller, Michael&lt;/author&gt;&lt;author&gt;Kanesarajah, Jeeva&lt;/author&gt;&lt;author&gt;Dobson, Annette&lt;/author&gt;&lt;author&gt;Nasveld, Peter&lt;/author&gt;&lt;/authors&gt;&lt;/contributors&gt;&lt;titles&gt;&lt;title&gt;Timor-Leste family study 2012: technical report &lt;/title&gt;&lt;/titles&gt;&lt;pages&gt;291&lt;/pages&gt;&lt;dates&gt;&lt;year&gt;2012&lt;/year&gt;&lt;/dates&gt;&lt;publisher&gt;University of Queensland, Centre for Military and Veterans&amp;apos; Health &lt;/publisher&gt;&lt;urls&gt;&lt;/urls&gt;&lt;/record&gt;&lt;/Cite&gt;&lt;/EndNote&gt;</w:instrText>
      </w:r>
      <w:r w:rsidRPr="005B0796">
        <w:fldChar w:fldCharType="separate"/>
      </w:r>
      <w:r w:rsidRPr="005B0796">
        <w:t>(McGuire et al., 2012)</w:t>
      </w:r>
      <w:r w:rsidRPr="005B0796">
        <w:fldChar w:fldCharType="end"/>
      </w:r>
      <w:r w:rsidRPr="005B0796">
        <w:t xml:space="preserve">, </w:t>
      </w:r>
      <w:hyperlink r:id="rId289" w:history="1">
        <w:r w:rsidRPr="005B0796">
          <w:t>the Household, Income and Labour Dynamics in Australia (HILDA) Survey</w:t>
        </w:r>
      </w:hyperlink>
      <w:r w:rsidRPr="005B0796">
        <w:t xml:space="preserve"> </w:t>
      </w:r>
      <w:r w:rsidRPr="005B0796">
        <w:fldChar w:fldCharType="begin"/>
      </w:r>
      <w:r w:rsidRPr="005B0796">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5B0796">
        <w:fldChar w:fldCharType="separate"/>
      </w:r>
      <w:r w:rsidRPr="005B0796">
        <w:t>(Watson &amp; Wooden, 2002)</w:t>
      </w:r>
      <w:r w:rsidRPr="005B0796">
        <w:fldChar w:fldCharType="end"/>
      </w:r>
      <w:r w:rsidRPr="005B0796">
        <w:t xml:space="preserve"> and the 2014 Vietnam Veterans Family Study conducted by DVA </w:t>
      </w:r>
      <w:r w:rsidRPr="005B0796">
        <w:fldChar w:fldCharType="begin"/>
      </w:r>
      <w:r w:rsidRPr="005B0796">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5B0796">
        <w:fldChar w:fldCharType="separate"/>
      </w:r>
      <w:r w:rsidRPr="005B0796">
        <w:t>(Forrest et al., 2014)</w:t>
      </w:r>
      <w:r w:rsidRPr="005B0796">
        <w:fldChar w:fldCharType="end"/>
      </w:r>
      <w:r w:rsidRPr="005B0796">
        <w:t>.</w:t>
      </w:r>
    </w:p>
    <w:p w:rsidR="009B20BD" w:rsidRPr="005B0796" w:rsidRDefault="009B20BD" w:rsidP="007448A6">
      <w:pPr>
        <w:pStyle w:val="Heading5"/>
        <w:rPr>
          <w:lang w:val="en-AU"/>
        </w:rPr>
      </w:pPr>
      <w:r w:rsidRPr="005B0796">
        <w:rPr>
          <w:lang w:val="en-AU"/>
        </w:rPr>
        <w:t>Financial status</w:t>
      </w:r>
    </w:p>
    <w:p w:rsidR="009B20BD" w:rsidRPr="005B0796" w:rsidRDefault="009B20BD" w:rsidP="007448A6">
      <w:r w:rsidRPr="005B0796">
        <w:t>Items assessing participants</w:t>
      </w:r>
      <w:r w:rsidR="00462A0C" w:rsidRPr="005B0796">
        <w:t>’</w:t>
      </w:r>
      <w:r w:rsidRPr="005B0796">
        <w:t xml:space="preserve"> current financial status, including financial hardship, were taken from the </w:t>
      </w:r>
      <w:hyperlink r:id="rId290" w:history="1">
        <w:r w:rsidRPr="005B0796">
          <w:t>HILDA</w:t>
        </w:r>
      </w:hyperlink>
      <w:r w:rsidRPr="005B0796">
        <w:t xml:space="preserve"> Survey </w:t>
      </w:r>
      <w:r w:rsidRPr="005B0796">
        <w:fldChar w:fldCharType="begin"/>
      </w:r>
      <w:r w:rsidRPr="005B0796">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5B0796">
        <w:fldChar w:fldCharType="separate"/>
      </w:r>
      <w:r w:rsidRPr="005B0796">
        <w:t>(Watson &amp; Wooden, 2002)</w:t>
      </w:r>
      <w:r w:rsidRPr="005B0796">
        <w:fldChar w:fldCharType="end"/>
      </w:r>
      <w:r w:rsidRPr="005B0796">
        <w:t xml:space="preserve"> and the Health and Wellbeing Survey of Serving and Ex-Serving Personnel of the UK Armed Forces: Phase 2 </w:t>
      </w:r>
      <w:r w:rsidRPr="005B0796">
        <w:fldChar w:fldCharType="begin"/>
      </w:r>
      <w:r w:rsidRPr="005B0796">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5B0796">
        <w:fldChar w:fldCharType="separate"/>
      </w:r>
      <w:r w:rsidRPr="005B0796">
        <w:t>(Fear et al., 2010)</w:t>
      </w:r>
      <w:r w:rsidRPr="005B0796">
        <w:fldChar w:fldCharType="end"/>
      </w:r>
      <w:r w:rsidRPr="005B0796">
        <w:t xml:space="preserve">. </w:t>
      </w:r>
    </w:p>
    <w:p w:rsidR="009B20BD" w:rsidRPr="005B0796" w:rsidRDefault="009B20BD" w:rsidP="007448A6">
      <w:pPr>
        <w:pStyle w:val="Heading5"/>
        <w:rPr>
          <w:lang w:val="en-AU"/>
        </w:rPr>
      </w:pPr>
      <w:r w:rsidRPr="005B0796">
        <w:rPr>
          <w:lang w:val="en-AU"/>
        </w:rPr>
        <w:t>Homelessness</w:t>
      </w:r>
    </w:p>
    <w:p w:rsidR="009B20BD" w:rsidRPr="005B0796" w:rsidRDefault="009B20BD" w:rsidP="007448A6">
      <w:pPr>
        <w:rPr>
          <w:rFonts w:asciiTheme="minorHAnsi" w:hAnsiTheme="minorHAnsi"/>
          <w:lang w:eastAsia="en-AU"/>
        </w:rPr>
      </w:pPr>
      <w:r w:rsidRPr="005B0796">
        <w:rPr>
          <w:lang w:eastAsia="en-AU"/>
        </w:rPr>
        <w:t>This section of the survey was comprised of eight questions from the 2010 ABS General Social Survey (GSS)</w:t>
      </w:r>
      <w:r w:rsidRPr="005B0796">
        <w:rPr>
          <w:lang w:eastAsia="en-AU"/>
        </w:rPr>
        <w:fldChar w:fldCharType="begin"/>
      </w:r>
      <w:r w:rsidRPr="005B0796">
        <w:rPr>
          <w:lang w:eastAsia="en-AU"/>
        </w:rPr>
        <w:instrText xml:space="preserve"> ADDIN EN.CITE &lt;EndNote&gt;&lt;Cite&gt;&lt;Author&gt;Australian Bureau of Statistics&lt;/Author&gt;&lt;Year&gt;2011&lt;/Year&gt;&lt;RecNum&gt;464&lt;/RecNum&gt;&lt;DisplayText&gt;(Australian Bureau of Statistics, 2011)&lt;/DisplayText&gt;&lt;record&gt;&lt;rec-number&gt;464&lt;/rec-number&gt;&lt;foreign-keys&gt;&lt;key app="EN" db-id="arwdrezp9sdawxevtfyxtfw10exvr5exxfed" timestamp="1478500722"&gt;464&lt;/key&gt;&lt;/foreign-keys&gt;&lt;ref-type name="Book"&gt;6&lt;/ref-type&gt;&lt;contributors&gt;&lt;authors&gt;&lt;author&gt;Australian Bureau of Statistics,&lt;/author&gt;&lt;/authors&gt;&lt;/contributors&gt;&lt;titles&gt;&lt;title&gt;General Social Survey-Summary Results&lt;/title&gt;&lt;/titles&gt;&lt;dates&gt;&lt;year&gt;2011&lt;/year&gt;&lt;/dates&gt;&lt;publisher&gt;Cat. 4159.0. Australian Bureau of Statistics&lt;/publisher&gt;&lt;urls&gt;&lt;/urls&gt;&lt;/record&gt;&lt;/Cite&gt;&lt;/EndNote&gt;</w:instrText>
      </w:r>
      <w:r w:rsidRPr="005B0796">
        <w:rPr>
          <w:lang w:eastAsia="en-AU"/>
        </w:rPr>
        <w:fldChar w:fldCharType="separate"/>
      </w:r>
      <w:r w:rsidRPr="005B0796">
        <w:rPr>
          <w:lang w:eastAsia="en-AU"/>
        </w:rPr>
        <w:t>(Australian Bureau of Statistics, 2011)</w:t>
      </w:r>
      <w:r w:rsidRPr="005B0796">
        <w:rPr>
          <w:lang w:eastAsia="en-AU"/>
        </w:rPr>
        <w:fldChar w:fldCharType="end"/>
      </w:r>
      <w:r w:rsidRPr="005B0796">
        <w:rPr>
          <w:lang w:eastAsia="en-AU"/>
        </w:rPr>
        <w:t xml:space="preserve"> that addressed lifetime and recent episodes of homelessness. Items looked at:</w:t>
      </w:r>
    </w:p>
    <w:p w:rsidR="009B20BD" w:rsidRPr="005B0796" w:rsidRDefault="009B20BD" w:rsidP="007448A6">
      <w:pPr>
        <w:pStyle w:val="Bullet"/>
        <w:spacing w:after="60"/>
        <w:rPr>
          <w:lang w:eastAsia="en-AU"/>
        </w:rPr>
      </w:pPr>
      <w:r w:rsidRPr="005B0796">
        <w:rPr>
          <w:lang w:eastAsia="en-AU"/>
        </w:rPr>
        <w:t>participants</w:t>
      </w:r>
      <w:r w:rsidR="00462A0C" w:rsidRPr="005B0796">
        <w:rPr>
          <w:lang w:eastAsia="en-AU"/>
        </w:rPr>
        <w:t>’</w:t>
      </w:r>
      <w:r w:rsidRPr="005B0796">
        <w:rPr>
          <w:lang w:eastAsia="en-AU"/>
        </w:rPr>
        <w:t xml:space="preserve"> experiences of homelessness</w:t>
      </w:r>
    </w:p>
    <w:p w:rsidR="009B20BD" w:rsidRPr="005B0796" w:rsidRDefault="009B20BD" w:rsidP="007448A6">
      <w:pPr>
        <w:pStyle w:val="Bullet"/>
        <w:spacing w:after="60"/>
        <w:rPr>
          <w:lang w:eastAsia="en-AU"/>
        </w:rPr>
      </w:pPr>
      <w:r w:rsidRPr="005B0796">
        <w:rPr>
          <w:lang w:eastAsia="en-AU"/>
        </w:rPr>
        <w:t>reasons for homelessness</w:t>
      </w:r>
    </w:p>
    <w:p w:rsidR="009B20BD" w:rsidRPr="005B0796" w:rsidRDefault="009B20BD" w:rsidP="007448A6">
      <w:pPr>
        <w:pStyle w:val="Bullet"/>
        <w:spacing w:after="60"/>
        <w:rPr>
          <w:lang w:eastAsia="en-AU"/>
        </w:rPr>
      </w:pPr>
      <w:r w:rsidRPr="005B0796">
        <w:rPr>
          <w:lang w:eastAsia="en-AU"/>
        </w:rPr>
        <w:t>frequency of homelessness</w:t>
      </w:r>
    </w:p>
    <w:p w:rsidR="009B20BD" w:rsidRPr="005B0796" w:rsidRDefault="009B20BD" w:rsidP="007448A6">
      <w:pPr>
        <w:pStyle w:val="Bullet"/>
        <w:spacing w:after="60"/>
        <w:rPr>
          <w:lang w:eastAsia="en-AU"/>
        </w:rPr>
      </w:pPr>
      <w:r w:rsidRPr="005B0796">
        <w:rPr>
          <w:lang w:eastAsia="en-AU"/>
        </w:rPr>
        <w:t xml:space="preserve">details about their most recent experience of homelessness (reason for homelessness, time frame, recency) </w:t>
      </w:r>
    </w:p>
    <w:p w:rsidR="009B20BD" w:rsidRPr="005B0796" w:rsidRDefault="009B20BD" w:rsidP="007448A6">
      <w:pPr>
        <w:pStyle w:val="Bullet"/>
        <w:spacing w:after="60"/>
        <w:rPr>
          <w:lang w:eastAsia="en-AU"/>
        </w:rPr>
      </w:pPr>
      <w:r w:rsidRPr="005B0796">
        <w:rPr>
          <w:lang w:eastAsia="en-AU"/>
        </w:rPr>
        <w:t>assistance sought during period(s) of homelessness/helpfulness of these services</w:t>
      </w:r>
    </w:p>
    <w:p w:rsidR="009B20BD" w:rsidRPr="005B0796" w:rsidRDefault="009B20BD" w:rsidP="007448A6">
      <w:pPr>
        <w:pStyle w:val="Bullet"/>
        <w:rPr>
          <w:lang w:eastAsia="en-AU"/>
        </w:rPr>
      </w:pPr>
      <w:r w:rsidRPr="005B0796">
        <w:rPr>
          <w:lang w:eastAsia="en-AU"/>
        </w:rPr>
        <w:t>barriers to seeking support</w:t>
      </w:r>
    </w:p>
    <w:p w:rsidR="009B20BD" w:rsidRPr="005B0796" w:rsidRDefault="009B20BD" w:rsidP="007448A6">
      <w:pPr>
        <w:pStyle w:val="Heading5"/>
        <w:rPr>
          <w:lang w:val="en-AU"/>
        </w:rPr>
      </w:pPr>
      <w:r w:rsidRPr="005B0796">
        <w:rPr>
          <w:lang w:val="en-AU"/>
        </w:rPr>
        <w:t>ADF service details</w:t>
      </w:r>
    </w:p>
    <w:p w:rsidR="009B20BD" w:rsidRPr="005B0796" w:rsidRDefault="009B20BD" w:rsidP="007448A6">
      <w:r w:rsidRPr="005B0796">
        <w:rPr>
          <w:color w:val="000000" w:themeColor="text1"/>
        </w:rPr>
        <w:t xml:space="preserve">Participants were asked a series </w:t>
      </w:r>
      <w:r w:rsidRPr="005B0796">
        <w:t xml:space="preserve">of questions specific to their employment with the ADF including the number of years served, current service status, hours worked per week, rank and Service. Depending on their rank and Service, participants were also asked a series of questions pertaining to their specialty and specific role within the ADF. Items in this section were taken from the Australian Bureau of Statistics </w:t>
      </w:r>
      <w:r w:rsidRPr="005B0796">
        <w:fldChar w:fldCharType="begin"/>
      </w:r>
      <w:r w:rsidRPr="005B0796">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5B0796">
        <w:fldChar w:fldCharType="separate"/>
      </w:r>
      <w:r w:rsidRPr="005B0796">
        <w:t>(Australian Bureau of Statistics, 2008)</w:t>
      </w:r>
      <w:r w:rsidRPr="005B0796">
        <w:fldChar w:fldCharType="end"/>
      </w:r>
      <w:r w:rsidRPr="005B0796">
        <w:t xml:space="preserve"> and the 2011 Australian Defence Force Exit Survey </w:t>
      </w:r>
      <w:r w:rsidRPr="005B0796">
        <w:fldChar w:fldCharType="begin"/>
      </w:r>
      <w:r w:rsidRPr="005B0796">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5B0796">
        <w:fldChar w:fldCharType="separate"/>
      </w:r>
      <w:r w:rsidRPr="005B0796">
        <w:t>(Shirt, 2012)</w:t>
      </w:r>
      <w:r w:rsidRPr="005B0796">
        <w:fldChar w:fldCharType="end"/>
      </w:r>
      <w:r w:rsidRPr="005B0796">
        <w:t>.</w:t>
      </w:r>
    </w:p>
    <w:p w:rsidR="009B20BD" w:rsidRPr="005B0796" w:rsidRDefault="009B20BD" w:rsidP="007448A6">
      <w:pPr>
        <w:pStyle w:val="Heading5"/>
        <w:rPr>
          <w:lang w:val="en-AU"/>
        </w:rPr>
      </w:pPr>
      <w:r w:rsidRPr="005B0796">
        <w:rPr>
          <w:lang w:val="en-AU"/>
        </w:rPr>
        <w:t>Feelings about the ADF</w:t>
      </w:r>
    </w:p>
    <w:p w:rsidR="009B20BD" w:rsidRPr="005B0796" w:rsidRDefault="009B20BD" w:rsidP="007448A6">
      <w:r w:rsidRPr="005B0796">
        <w:t>This section of the survey aimed to assess participants</w:t>
      </w:r>
      <w:r w:rsidR="00462A0C" w:rsidRPr="005B0796">
        <w:t>’</w:t>
      </w:r>
      <w:r w:rsidRPr="005B0796">
        <w:t xml:space="preserve"> level of organisational commitment. Four items were taken from Allen and Meyer</w:t>
      </w:r>
      <w:r w:rsidR="00462A0C" w:rsidRPr="005B0796">
        <w:t>’</w:t>
      </w:r>
      <w:r w:rsidRPr="005B0796">
        <w:t xml:space="preserve">s Affective Commitment Scale </w:t>
      </w:r>
      <w:r w:rsidRPr="005B0796">
        <w:fldChar w:fldCharType="begin"/>
      </w:r>
      <w:r w:rsidRPr="005B0796">
        <w:instrText xml:space="preserve"> ADDIN EN.CITE &lt;EndNote&gt;&lt;Cite&gt;&lt;Author&gt;Allen&lt;/Author&gt;&lt;Year&gt;1990&lt;/Year&gt;&lt;RecNum&gt;648&lt;/RecNum&gt;&lt;DisplayText&gt;(Allen, 1990)&lt;/DisplayText&gt;&lt;record&gt;&lt;rec-number&gt;648&lt;/rec-number&gt;&lt;foreign-keys&gt;&lt;key app="EN" db-id="arwdrezp9sdawxevtfyxtfw10exvr5exxfed" timestamp="1488860878"&gt;648&lt;/key&gt;&lt;/foreign-keys&gt;&lt;ref-type name="Journal Article"&gt;17&lt;/ref-type&gt;&lt;contributors&gt;&lt;authors&gt;&lt;author&gt;Allen, N. J., &amp;amp; Meyer, J. P. &lt;/author&gt;&lt;/authors&gt;&lt;/contributors&gt;&lt;titles&gt;&lt;title&gt;The measurement and antecedents of affective, continuance, and normative commitment to the organization.  &lt;/title&gt;&lt;secondary-title&gt;Journal of  Occupational Psychology&lt;/secondary-title&gt;&lt;/titles&gt;&lt;periodical&gt;&lt;full-title&gt;Journal of  Occupational Psychology&lt;/full-title&gt;&lt;/periodical&gt;&lt;pages&gt;1-18&lt;/pages&gt;&lt;volume&gt;63&lt;/volume&gt;&lt;dates&gt;&lt;year&gt;1990&lt;/year&gt;&lt;/dates&gt;&lt;urls&gt;&lt;/urls&gt;&lt;/record&gt;&lt;/Cite&gt;&lt;/EndNote&gt;</w:instrText>
      </w:r>
      <w:r w:rsidRPr="005B0796">
        <w:fldChar w:fldCharType="separate"/>
      </w:r>
      <w:r w:rsidRPr="005B0796">
        <w:t>(Allen, 1990)</w:t>
      </w:r>
      <w:r w:rsidRPr="005B0796">
        <w:fldChar w:fldCharType="end"/>
      </w:r>
      <w:r w:rsidRPr="005B0796">
        <w:t xml:space="preserve"> and the other four items were developed by researchers for the study. </w:t>
      </w:r>
    </w:p>
    <w:p w:rsidR="009B20BD" w:rsidRPr="005B0796" w:rsidRDefault="009B20BD" w:rsidP="007448A6">
      <w:pPr>
        <w:rPr>
          <w:lang w:eastAsia="en-AU"/>
        </w:rPr>
      </w:pPr>
      <w:r w:rsidRPr="005B0796">
        <w:rPr>
          <w:lang w:eastAsia="en-AU"/>
        </w:rPr>
        <w:t>Transitioned ADF members were also asked additional questions in part 1 pertaining to the following:</w:t>
      </w:r>
    </w:p>
    <w:p w:rsidR="009B20BD" w:rsidRPr="005B0796" w:rsidRDefault="009B20BD" w:rsidP="007448A6">
      <w:pPr>
        <w:pStyle w:val="Heading5"/>
        <w:rPr>
          <w:lang w:val="en-AU"/>
        </w:rPr>
      </w:pPr>
      <w:r w:rsidRPr="005B0796">
        <w:rPr>
          <w:lang w:val="en-AU"/>
        </w:rPr>
        <w:t>Employment status</w:t>
      </w:r>
    </w:p>
    <w:p w:rsidR="009B20BD" w:rsidRPr="005B0796" w:rsidRDefault="009B20BD" w:rsidP="007448A6">
      <w:r w:rsidRPr="005B0796">
        <w:t xml:space="preserve">In this section of the survey participants were asked about their current employment activities. Examples of options included </w:t>
      </w:r>
      <w:r w:rsidR="00462A0C" w:rsidRPr="005B0796">
        <w:t>‘</w:t>
      </w:r>
      <w:r w:rsidRPr="005B0796">
        <w:t>full time work greater than or equal to 30</w:t>
      </w:r>
      <w:r w:rsidR="00462A0C" w:rsidRPr="005B0796">
        <w:t> </w:t>
      </w:r>
      <w:r w:rsidRPr="005B0796">
        <w:t>hours paid employment per week</w:t>
      </w:r>
      <w:r w:rsidR="00462A0C" w:rsidRPr="005B0796">
        <w:t>’</w:t>
      </w:r>
      <w:r w:rsidRPr="005B0796">
        <w:t xml:space="preserve">, </w:t>
      </w:r>
      <w:r w:rsidR="00462A0C" w:rsidRPr="005B0796">
        <w:t>‘</w:t>
      </w:r>
      <w:r w:rsidRPr="005B0796">
        <w:t>home duties</w:t>
      </w:r>
      <w:r w:rsidR="00462A0C" w:rsidRPr="005B0796">
        <w:t>’</w:t>
      </w:r>
      <w:r w:rsidRPr="005B0796">
        <w:t xml:space="preserve"> and </w:t>
      </w:r>
      <w:r w:rsidR="00462A0C" w:rsidRPr="005B0796">
        <w:t>‘</w:t>
      </w:r>
      <w:r w:rsidRPr="005B0796">
        <w:t>unemployed/looking for work</w:t>
      </w:r>
      <w:r w:rsidR="00462A0C" w:rsidRPr="005B0796">
        <w:t>’</w:t>
      </w:r>
      <w:r w:rsidRPr="005B0796">
        <w:t xml:space="preserve">. Unemployed members were also required to provide a reason for their unemployed status. Items in this section were taken from the Young and Well Cooperative Research Centre standard suite of measures </w:t>
      </w:r>
      <w:r w:rsidRPr="005B0796">
        <w:fldChar w:fldCharType="begin"/>
      </w:r>
      <w:r w:rsidRPr="005B0796">
        <w:instrText xml:space="preserve"> ADDIN EN.CITE &lt;EndNote&gt;&lt;Cite&gt;&lt;Author&gt;Young and Well Cooperative Research Centre&lt;/Author&gt;&lt;Year&gt;2013&lt;/Year&gt;&lt;RecNum&gt;516&lt;/RecNum&gt;&lt;DisplayText&gt;(Young and Well Cooperative Research Centre, 2013)&lt;/DisplayText&gt;&lt;record&gt;&lt;rec-number&gt;516&lt;/rec-number&gt;&lt;foreign-keys&gt;&lt;key app="EN" db-id="arwdrezp9sdawxevtfyxtfw10exvr5exxfed" timestamp="1478818523"&gt;516&lt;/key&gt;&lt;/foreign-keys&gt;&lt;ref-type name="Web Page"&gt;12&lt;/ref-type&gt;&lt;contributors&gt;&lt;authors&gt;&lt;author&gt;Young and Well Cooperative Research Centre,&lt;/author&gt;&lt;/authors&gt;&lt;/contributors&gt;&lt;titles&gt;&lt;title&gt;Young and Well CRC Standard Measures&lt;/title&gt;&lt;/titles&gt;&lt;dates&gt;&lt;year&gt;2013&lt;/year&gt;&lt;/dates&gt;&lt;pub-location&gt;Sydney&lt;/pub-location&gt;&lt;publisher&gt;Young and Well CRC&lt;/publisher&gt;&lt;urls&gt;&lt;related-urls&gt;&lt;url&gt;http://www.youngandwellcrc.org.au/&lt;/url&gt;&lt;/related-urls&gt;&lt;/urls&gt;&lt;/record&gt;&lt;/Cite&gt;&lt;/EndNote&gt;</w:instrText>
      </w:r>
      <w:r w:rsidRPr="005B0796">
        <w:fldChar w:fldCharType="separate"/>
      </w:r>
      <w:r w:rsidRPr="005B0796">
        <w:t>(Young and Well Cooperative Research Centre, 2013)</w:t>
      </w:r>
      <w:r w:rsidRPr="005B0796">
        <w:fldChar w:fldCharType="end"/>
      </w:r>
      <w:r w:rsidRPr="005B0796">
        <w:t xml:space="preserve"> and the Health and Wellbeing Survey of Serving and Ex-Serving Personnel of the UK Armed Forces: Phase 2 </w:t>
      </w:r>
      <w:r w:rsidRPr="005B0796">
        <w:fldChar w:fldCharType="begin"/>
      </w:r>
      <w:r w:rsidRPr="005B0796">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5B0796">
        <w:fldChar w:fldCharType="separate"/>
      </w:r>
      <w:r w:rsidRPr="005B0796">
        <w:t>(Fear et al., 2010)</w:t>
      </w:r>
      <w:r w:rsidRPr="005B0796">
        <w:fldChar w:fldCharType="end"/>
      </w:r>
      <w:r w:rsidRPr="005B0796">
        <w:t>.</w:t>
      </w:r>
    </w:p>
    <w:p w:rsidR="009B20BD" w:rsidRPr="005B0796" w:rsidRDefault="009B20BD" w:rsidP="007448A6">
      <w:r w:rsidRPr="005B0796">
        <w:t xml:space="preserve">Participants were also required to provide details about their current civilian employment including the number of hours worked per week, the industry of employment and their main source of income. Items in this section were derived from Health and Wellbeing Survey of Serving and Ex-Serving Personnel of the UK Armed Forces: Phase 2 </w:t>
      </w:r>
      <w:r w:rsidRPr="005B0796">
        <w:fldChar w:fldCharType="begin"/>
      </w:r>
      <w:r w:rsidRPr="005B0796">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5B0796">
        <w:fldChar w:fldCharType="separate"/>
      </w:r>
      <w:r w:rsidRPr="005B0796">
        <w:t>(Fear et al., 2010)</w:t>
      </w:r>
      <w:r w:rsidRPr="005B0796">
        <w:fldChar w:fldCharType="end"/>
      </w:r>
      <w:r w:rsidRPr="005B0796">
        <w:t xml:space="preserve">, the Australian Defence Force Exit Survey </w:t>
      </w:r>
      <w:r w:rsidRPr="005B0796">
        <w:fldChar w:fldCharType="begin"/>
      </w:r>
      <w:r w:rsidRPr="005B0796">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5B0796">
        <w:fldChar w:fldCharType="separate"/>
      </w:r>
      <w:r w:rsidRPr="005B0796">
        <w:t>(Shirt, 2012)</w:t>
      </w:r>
      <w:r w:rsidRPr="005B0796">
        <w:fldChar w:fldCharType="end"/>
      </w:r>
      <w:r w:rsidRPr="005B0796">
        <w:t xml:space="preserve"> and </w:t>
      </w:r>
      <w:hyperlink r:id="rId291" w:history="1">
        <w:r w:rsidRPr="005B0796">
          <w:t>the Household, Income and Labour Dynamics</w:t>
        </w:r>
        <w:r w:rsidRPr="005B0796">
          <w:rPr>
            <w:rFonts w:eastAsia="MS Gothic"/>
          </w:rPr>
          <w:t xml:space="preserve"> </w:t>
        </w:r>
        <w:r w:rsidRPr="005B0796">
          <w:t>in Australia (HILDA) Survey</w:t>
        </w:r>
      </w:hyperlink>
      <w:r w:rsidRPr="005B0796">
        <w:t xml:space="preserve"> </w:t>
      </w:r>
      <w:r w:rsidRPr="005B0796">
        <w:fldChar w:fldCharType="begin"/>
      </w:r>
      <w:r w:rsidRPr="005B0796">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5B0796">
        <w:fldChar w:fldCharType="separate"/>
      </w:r>
      <w:r w:rsidRPr="005B0796">
        <w:t>(Watson &amp; Wooden, 2002)</w:t>
      </w:r>
      <w:r w:rsidRPr="005B0796">
        <w:fldChar w:fldCharType="end"/>
      </w:r>
      <w:r w:rsidRPr="005B0796">
        <w:t>. Participants were also asked to indicate whether they had experienced a period of unemployment greater than 3 months since transitioning, and when this period began. This item was taken from the Australian Gulf War Veterans</w:t>
      </w:r>
      <w:r w:rsidR="00462A0C" w:rsidRPr="005B0796">
        <w:t>’</w:t>
      </w:r>
      <w:r w:rsidRPr="005B0796">
        <w:t xml:space="preserve"> Health Study 2011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pPr>
        <w:pStyle w:val="Heading5"/>
        <w:rPr>
          <w:lang w:val="en-AU"/>
        </w:rPr>
      </w:pPr>
      <w:r w:rsidRPr="005B0796">
        <w:rPr>
          <w:lang w:val="en-AU"/>
        </w:rPr>
        <w:t>Reservist status</w:t>
      </w:r>
    </w:p>
    <w:p w:rsidR="009B20BD" w:rsidRPr="005B0796" w:rsidRDefault="009B20BD" w:rsidP="007448A6">
      <w:r w:rsidRPr="005B0796">
        <w:t xml:space="preserve">In this section of the survey participants were asked about their Reservist status and where relevant, to provide details pertaining to their Reservist employment including their full-time/part-time status, the number of hours worked, and weeks away for Reservist work. Items in this section were taken from the Soldier Wellbeing Survey </w:t>
      </w:r>
      <w:r w:rsidRPr="005B0796">
        <w:fldChar w:fldCharType="begin"/>
      </w:r>
      <w:r w:rsidRPr="005B0796">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5B0796">
        <w:fldChar w:fldCharType="separate"/>
      </w:r>
      <w:r w:rsidRPr="005B0796">
        <w:t>(Riviere, 2011; Thomas et al., 2010)</w:t>
      </w:r>
      <w:r w:rsidRPr="005B0796">
        <w:fldChar w:fldCharType="end"/>
      </w:r>
      <w:r w:rsidRPr="005B0796">
        <w:t>.</w:t>
      </w:r>
    </w:p>
    <w:p w:rsidR="009B20BD" w:rsidRPr="005B0796" w:rsidRDefault="009B20BD" w:rsidP="007448A6">
      <w:pPr>
        <w:pStyle w:val="Heading5"/>
        <w:rPr>
          <w:lang w:val="en-AU"/>
        </w:rPr>
      </w:pPr>
      <w:r w:rsidRPr="005B0796">
        <w:rPr>
          <w:lang w:val="en-AU"/>
        </w:rPr>
        <w:t>Year of transition</w:t>
      </w:r>
    </w:p>
    <w:p w:rsidR="009B20BD" w:rsidRPr="005B0796" w:rsidRDefault="009B20BD" w:rsidP="007448A6">
      <w:r w:rsidRPr="005B0796">
        <w:t xml:space="preserve">Participants were asked to indicate what year they transitioned into Active Reserves/Inactive Reserves/out of the ADF. These questions were taken from the Health and Wellbeing Survey of Serving and Ex-Serving Personnel of the UK Armed Forces: Phase 2 </w:t>
      </w:r>
      <w:r w:rsidRPr="005B0796">
        <w:fldChar w:fldCharType="begin"/>
      </w:r>
      <w:r w:rsidRPr="005B0796">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5B0796">
        <w:fldChar w:fldCharType="separate"/>
      </w:r>
      <w:r w:rsidRPr="005B0796">
        <w:t>(Fear et al., 2010)</w:t>
      </w:r>
      <w:r w:rsidRPr="005B0796">
        <w:fldChar w:fldCharType="end"/>
      </w:r>
      <w:r w:rsidRPr="005B0796">
        <w:t xml:space="preserve"> and the Australian Gulf War Veterans</w:t>
      </w:r>
      <w:r w:rsidR="00462A0C" w:rsidRPr="005B0796">
        <w:t>’</w:t>
      </w:r>
      <w:r w:rsidRPr="005B0796">
        <w:t xml:space="preserve"> Health Study 2011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pPr>
        <w:pStyle w:val="Heading5"/>
        <w:rPr>
          <w:lang w:val="en-AU"/>
        </w:rPr>
      </w:pPr>
      <w:r w:rsidRPr="005B0796">
        <w:rPr>
          <w:lang w:val="en-AU"/>
        </w:rPr>
        <w:t>Change in relationship status</w:t>
      </w:r>
    </w:p>
    <w:p w:rsidR="009B20BD" w:rsidRPr="005B0796" w:rsidRDefault="009B20BD" w:rsidP="007448A6">
      <w:r w:rsidRPr="005B0796">
        <w:t>Participants were asked to indicate whether their relationship status had changed since transitioning from full-time Regular ADF service. If divorced, separated or widowed since transition, participants were asked to provide a date. This item in the survey was taken from the Australian Gulf War Veterans</w:t>
      </w:r>
      <w:r w:rsidR="00462A0C" w:rsidRPr="005B0796">
        <w:t>’</w:t>
      </w:r>
      <w:r w:rsidRPr="005B0796">
        <w:t xml:space="preserve"> Health Study 2011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pPr>
        <w:pStyle w:val="Heading5"/>
        <w:rPr>
          <w:lang w:val="en-AU"/>
        </w:rPr>
      </w:pPr>
      <w:r w:rsidRPr="005B0796">
        <w:rPr>
          <w:lang w:val="en-AU"/>
        </w:rPr>
        <w:t>ADF separation details</w:t>
      </w:r>
    </w:p>
    <w:p w:rsidR="009B20BD" w:rsidRPr="005B0796" w:rsidRDefault="009B20BD" w:rsidP="007448A6">
      <w:r w:rsidRPr="005B0796">
        <w:t xml:space="preserve">This section of the survey was comprised of 2 parts. Firstly, participants were asked about their discharge/resignation category. Examples of options included </w:t>
      </w:r>
      <w:r w:rsidR="00462A0C" w:rsidRPr="005B0796">
        <w:t>‘</w:t>
      </w:r>
      <w:r w:rsidRPr="005B0796">
        <w:t>medical discharge</w:t>
      </w:r>
      <w:r w:rsidR="00462A0C" w:rsidRPr="005B0796">
        <w:t>’</w:t>
      </w:r>
      <w:r w:rsidRPr="005B0796">
        <w:t xml:space="preserve">, </w:t>
      </w:r>
      <w:r w:rsidR="00462A0C" w:rsidRPr="005B0796">
        <w:t>‘</w:t>
      </w:r>
      <w:r w:rsidRPr="005B0796">
        <w:t>compassionate grounds</w:t>
      </w:r>
      <w:r w:rsidR="00462A0C" w:rsidRPr="005B0796">
        <w:t>’</w:t>
      </w:r>
      <w:r w:rsidRPr="005B0796">
        <w:t xml:space="preserve"> and </w:t>
      </w:r>
      <w:r w:rsidR="00462A0C" w:rsidRPr="005B0796">
        <w:t>‘</w:t>
      </w:r>
      <w:r w:rsidRPr="005B0796">
        <w:t>end of fixed period engagement</w:t>
      </w:r>
      <w:r w:rsidR="00462A0C" w:rsidRPr="005B0796">
        <w:t>’</w:t>
      </w:r>
      <w:r w:rsidRPr="005B0796">
        <w:t xml:space="preserve">. In part 2, participants were provided with a comprehensive list of reasons for leaving the ADF and asked to mark all that played a role in their decision to leave. Participants were also asked to indicate the main reason of those selected. Items in this section were based on the current exit survey utilised by the ADF </w:t>
      </w:r>
      <w:r w:rsidRPr="005B0796">
        <w:fldChar w:fldCharType="begin"/>
      </w:r>
      <w:r w:rsidRPr="005B0796">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5B0796">
        <w:fldChar w:fldCharType="separate"/>
      </w:r>
      <w:r w:rsidRPr="005B0796">
        <w:t>(Shirt, 2012)</w:t>
      </w:r>
      <w:r w:rsidRPr="005B0796">
        <w:fldChar w:fldCharType="end"/>
      </w:r>
      <w:r w:rsidRPr="005B0796">
        <w:t>.</w:t>
      </w:r>
    </w:p>
    <w:p w:rsidR="009B20BD" w:rsidRPr="005B0796" w:rsidRDefault="009B20BD" w:rsidP="007448A6">
      <w:r w:rsidRPr="005B0796">
        <w:t>ADF Reservists were also asked additional questions pertaining to the following:</w:t>
      </w:r>
    </w:p>
    <w:p w:rsidR="009B20BD" w:rsidRPr="005B0796" w:rsidRDefault="009B20BD" w:rsidP="007448A6">
      <w:pPr>
        <w:pStyle w:val="Heading5"/>
        <w:rPr>
          <w:lang w:val="en-AU"/>
        </w:rPr>
      </w:pPr>
      <w:r w:rsidRPr="005B0796">
        <w:rPr>
          <w:lang w:val="en-AU"/>
        </w:rPr>
        <w:t>Reservist details</w:t>
      </w:r>
    </w:p>
    <w:p w:rsidR="009B20BD" w:rsidRPr="005B0796" w:rsidRDefault="009B20BD" w:rsidP="007448A6">
      <w:r w:rsidRPr="005B0796">
        <w:t xml:space="preserve">Participants were asked to provide details in relation to the following: length of time served as a Reservist, Reservist status, periods of continuous full-time service, hours worked per week in the past month, weeks away in the past 5 years, and satisfaction with participation in the Reserves. Items in this section were derived from the Soldier Wellbeing Survey </w:t>
      </w:r>
      <w:r w:rsidRPr="005B0796">
        <w:fldChar w:fldCharType="begin"/>
      </w:r>
      <w:r w:rsidRPr="005B0796">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5B0796">
        <w:fldChar w:fldCharType="separate"/>
      </w:r>
      <w:r w:rsidRPr="005B0796">
        <w:t>(Riviere, 2011; Thomas et al., 2010)</w:t>
      </w:r>
      <w:r w:rsidRPr="005B0796">
        <w:fldChar w:fldCharType="end"/>
      </w:r>
      <w:r w:rsidRPr="005B0796">
        <w:t xml:space="preserve">, the Health and Wellbeing Survey of Serving and Ex-Serving Personnel of the UK Armed Forces: Phase 2 </w:t>
      </w:r>
      <w:r w:rsidRPr="005B0796">
        <w:fldChar w:fldCharType="begin"/>
      </w:r>
      <w:r w:rsidRPr="005B0796">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5B0796">
        <w:fldChar w:fldCharType="separate"/>
      </w:r>
      <w:r w:rsidRPr="005B0796">
        <w:t>(Fear et al., 2010)</w:t>
      </w:r>
      <w:r w:rsidRPr="005B0796">
        <w:fldChar w:fldCharType="end"/>
      </w:r>
      <w:r w:rsidRPr="005B0796">
        <w:t xml:space="preserve"> and the RAND Guard/Reserve Survey of Officer and Enlisted Personnel </w:t>
      </w:r>
      <w:r w:rsidRPr="005B0796">
        <w:fldChar w:fldCharType="begin"/>
      </w:r>
      <w:r w:rsidRPr="005B0796">
        <w:instrText xml:space="preserve"> ADDIN EN.CITE &lt;EndNote&gt;&lt;Cite&gt;&lt;Author&gt;Kirby&lt;/Author&gt;&lt;Year&gt;1998&lt;/Year&gt;&lt;RecNum&gt;517&lt;/RecNum&gt;&lt;DisplayText&gt;(Kirby, 1998)&lt;/DisplayText&gt;&lt;record&gt;&lt;rec-number&gt;517&lt;/rec-number&gt;&lt;foreign-keys&gt;&lt;key app="EN" db-id="arwdrezp9sdawxevtfyxtfw10exvr5exxfed" timestamp="1478821933"&gt;517&lt;/key&gt;&lt;/foreign-keys&gt;&lt;ref-type name="Report"&gt;27&lt;/ref-type&gt;&lt;contributors&gt;&lt;authors&gt;&lt;author&gt;Kirby, S. N., and Naftel, S.&lt;/author&gt;&lt;/authors&gt;&lt;/contributors&gt;&lt;titles&gt;&lt;title&gt;The Effect of Mobilization on Retention of Enlisted Reservists After Operation Desert Shield/Storm&lt;/title&gt;&lt;/titles&gt;&lt;dates&gt;&lt;year&gt;1998&lt;/year&gt;&lt;/dates&gt;&lt;pub-location&gt;Santa Monica, CA&lt;/pub-location&gt;&lt;publisher&gt;RAND Corporation&lt;/publisher&gt;&lt;urls&gt;&lt;/urls&gt;&lt;/record&gt;&lt;/Cite&gt;&lt;/EndNote&gt;</w:instrText>
      </w:r>
      <w:r w:rsidRPr="005B0796">
        <w:fldChar w:fldCharType="separate"/>
      </w:r>
      <w:r w:rsidRPr="005B0796">
        <w:t>(Kirby, 1998)</w:t>
      </w:r>
      <w:r w:rsidRPr="005B0796">
        <w:fldChar w:fldCharType="end"/>
      </w:r>
      <w:r w:rsidRPr="005B0796">
        <w:t>. Other items were developed specifically by researchers for use in the study.</w:t>
      </w:r>
    </w:p>
    <w:p w:rsidR="009B20BD" w:rsidRPr="005B0796" w:rsidRDefault="009B20BD" w:rsidP="007448A6">
      <w:pPr>
        <w:pStyle w:val="Heading5"/>
        <w:rPr>
          <w:lang w:val="en-AU"/>
        </w:rPr>
      </w:pPr>
      <w:r w:rsidRPr="005B0796">
        <w:rPr>
          <w:lang w:val="en-AU"/>
        </w:rPr>
        <w:t>Civilian employment</w:t>
      </w:r>
    </w:p>
    <w:p w:rsidR="009B20BD" w:rsidRPr="005B0796" w:rsidRDefault="009B20BD" w:rsidP="007448A6">
      <w:r w:rsidRPr="005B0796">
        <w:t xml:space="preserve">Participants were asked a series of questions about the following in relation to their civilian role (if relevant): employer knowledge of Reservist role, employer attendance at Reservist events, employer support of military affiliation, impact of Reservist duties on civilian role, and a comparison of duties and responsibilities across Reservist and civilian roles. Items in this section were derived from the Soldier Wellbeing Survey </w:t>
      </w:r>
      <w:r w:rsidRPr="005B0796">
        <w:fldChar w:fldCharType="begin"/>
      </w:r>
      <w:r w:rsidRPr="005B0796">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5B0796">
        <w:fldChar w:fldCharType="separate"/>
      </w:r>
      <w:r w:rsidRPr="005B0796">
        <w:t>(Riviere, 2011; Thomas et al., 2010)</w:t>
      </w:r>
      <w:r w:rsidRPr="005B0796">
        <w:fldChar w:fldCharType="end"/>
      </w:r>
      <w:r w:rsidRPr="005B0796">
        <w:t xml:space="preserve">, The Middle East Area of Operations (MEAO) Health Study: Prospective Study </w:t>
      </w:r>
      <w:r w:rsidRPr="005B0796">
        <w:fldChar w:fldCharType="begin"/>
      </w:r>
      <w:r w:rsidRPr="005B0796">
        <w:instrText xml:space="preserve"> ADDIN EN.CITE &lt;EndNote&gt;&lt;Cite&gt;&lt;Author&gt;Davy&lt;/Author&gt;&lt;Year&gt;2012&lt;/Year&gt;&lt;RecNum&gt;713&lt;/RecNum&gt;&lt;DisplayText&gt;(Davy, 2012)&lt;/DisplayText&gt;&lt;record&gt;&lt;rec-number&gt;713&lt;/rec-number&gt;&lt;foreign-keys&gt;&lt;key app="EN" db-id="arwdrezp9sdawxevtfyxtfw10exvr5exxfed" timestamp="1488860882"&gt;713&lt;/key&gt;&lt;/foreign-keys&gt;&lt;ref-type name="Report"&gt;27&lt;/ref-type&gt;&lt;contributors&gt;&lt;authors&gt;&lt;author&gt;Davy, C., Dobson, A., Lawrence-Wood, E., Lorimer, M., Moores, K., Lawrence, A., Horsley, K., Crockett, A., McFarlane, A.&lt;/author&gt;&lt;/authors&gt;&lt;/contributors&gt;&lt;titles&gt;&lt;title&gt;The Middle East Area of Operations (MEAO) Health Study: Prospective Study Report&lt;/title&gt;&lt;/titles&gt;&lt;dates&gt;&lt;year&gt;2012&lt;/year&gt;&lt;/dates&gt;&lt;pub-location&gt;Adelaide, Australia&lt;/pub-location&gt;&lt;publisher&gt;University of Adelaide, Centre for Military and Veterans Health&lt;/publisher&gt;&lt;urls&gt;&lt;/urls&gt;&lt;/record&gt;&lt;/Cite&gt;&lt;/EndNote&gt;</w:instrText>
      </w:r>
      <w:r w:rsidRPr="005B0796">
        <w:fldChar w:fldCharType="separate"/>
      </w:r>
      <w:r w:rsidRPr="005B0796">
        <w:t>(Davy, 2012)</w:t>
      </w:r>
      <w:r w:rsidRPr="005B0796">
        <w:fldChar w:fldCharType="end"/>
      </w:r>
      <w:r w:rsidRPr="005B0796">
        <w:t xml:space="preserve"> and the ADF Exit Survey </w:t>
      </w:r>
      <w:r w:rsidRPr="005B0796">
        <w:fldChar w:fldCharType="begin"/>
      </w:r>
      <w:r w:rsidRPr="005B0796">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5B0796">
        <w:fldChar w:fldCharType="separate"/>
      </w:r>
      <w:r w:rsidRPr="005B0796">
        <w:t>(Shirt, 2012)</w:t>
      </w:r>
      <w:r w:rsidRPr="005B0796">
        <w:fldChar w:fldCharType="end"/>
      </w:r>
      <w:r w:rsidRPr="005B0796">
        <w:t>. Information surrounding current employment activities and details of civilian employment was also collected as described in the previous section about Transitioned members.</w:t>
      </w:r>
    </w:p>
    <w:p w:rsidR="009B20BD" w:rsidRPr="005B0796" w:rsidRDefault="009B20BD" w:rsidP="007448A6">
      <w:pPr>
        <w:pStyle w:val="Heading5"/>
        <w:rPr>
          <w:lang w:val="en-AU"/>
        </w:rPr>
      </w:pPr>
      <w:r w:rsidRPr="005B0796">
        <w:rPr>
          <w:lang w:val="en-AU"/>
        </w:rPr>
        <w:t>Contribution to the ADF</w:t>
      </w:r>
    </w:p>
    <w:p w:rsidR="009B20BD" w:rsidRPr="005B0796" w:rsidRDefault="009B20BD" w:rsidP="007448A6">
      <w:r w:rsidRPr="005B0796">
        <w:t>Participants</w:t>
      </w:r>
      <w:r w:rsidR="00462A0C" w:rsidRPr="005B0796">
        <w:t>’</w:t>
      </w:r>
      <w:r w:rsidRPr="005B0796">
        <w:t xml:space="preserve"> perception of their contribution to the ADF was measured via single item – </w:t>
      </w:r>
      <w:r w:rsidR="00462A0C" w:rsidRPr="005B0796">
        <w:t>‘</w:t>
      </w:r>
      <w:r w:rsidRPr="005B0796">
        <w:t>how important do you think your contribution is towards the ADF?</w:t>
      </w:r>
      <w:r w:rsidR="00462A0C" w:rsidRPr="005B0796">
        <w:t>’</w:t>
      </w:r>
      <w:r w:rsidRPr="005B0796">
        <w:t xml:space="preserve"> Anchors ranged from </w:t>
      </w:r>
      <w:r w:rsidR="00462A0C" w:rsidRPr="005B0796">
        <w:t>‘</w:t>
      </w:r>
      <w:r w:rsidRPr="005B0796">
        <w:t>not at all important</w:t>
      </w:r>
      <w:r w:rsidR="00462A0C" w:rsidRPr="005B0796">
        <w:t>’</w:t>
      </w:r>
      <w:r w:rsidRPr="005B0796">
        <w:t xml:space="preserve"> to </w:t>
      </w:r>
      <w:r w:rsidR="00462A0C" w:rsidRPr="005B0796">
        <w:t>‘</w:t>
      </w:r>
      <w:r w:rsidRPr="005B0796">
        <w:t>very important</w:t>
      </w:r>
      <w:r w:rsidR="00462A0C" w:rsidRPr="005B0796">
        <w:t>’</w:t>
      </w:r>
      <w:r w:rsidRPr="005B0796">
        <w:t xml:space="preserve">. This item was taken from the RAND Guard/Reserve Survey of Officer and Enlisted Personnel </w:t>
      </w:r>
      <w:r w:rsidRPr="005B0796">
        <w:fldChar w:fldCharType="begin"/>
      </w:r>
      <w:r w:rsidRPr="005B0796">
        <w:instrText xml:space="preserve"> ADDIN EN.CITE &lt;EndNote&gt;&lt;Cite&gt;&lt;Author&gt;Kirby&lt;/Author&gt;&lt;Year&gt;1998&lt;/Year&gt;&lt;RecNum&gt;517&lt;/RecNum&gt;&lt;DisplayText&gt;(Kirby, 1998)&lt;/DisplayText&gt;&lt;record&gt;&lt;rec-number&gt;517&lt;/rec-number&gt;&lt;foreign-keys&gt;&lt;key app="EN" db-id="arwdrezp9sdawxevtfyxtfw10exvr5exxfed" timestamp="1478821933"&gt;517&lt;/key&gt;&lt;/foreign-keys&gt;&lt;ref-type name="Report"&gt;27&lt;/ref-type&gt;&lt;contributors&gt;&lt;authors&gt;&lt;author&gt;Kirby, S. N., and Naftel, S.&lt;/author&gt;&lt;/authors&gt;&lt;/contributors&gt;&lt;titles&gt;&lt;title&gt;The Effect of Mobilization on Retention of Enlisted Reservists After Operation Desert Shield/Storm&lt;/title&gt;&lt;/titles&gt;&lt;dates&gt;&lt;year&gt;1998&lt;/year&gt;&lt;/dates&gt;&lt;pub-location&gt;Santa Monica, CA&lt;/pub-location&gt;&lt;publisher&gt;RAND Corporation&lt;/publisher&gt;&lt;urls&gt;&lt;/urls&gt;&lt;/record&gt;&lt;/Cite&gt;&lt;/EndNote&gt;</w:instrText>
      </w:r>
      <w:r w:rsidRPr="005B0796">
        <w:fldChar w:fldCharType="separate"/>
      </w:r>
      <w:r w:rsidRPr="005B0796">
        <w:t>(Kirby, 1998)</w:t>
      </w:r>
      <w:r w:rsidRPr="005B0796">
        <w:fldChar w:fldCharType="end"/>
      </w:r>
      <w:r w:rsidRPr="005B0796">
        <w:t>.</w:t>
      </w:r>
    </w:p>
    <w:p w:rsidR="009B20BD" w:rsidRPr="005B0796" w:rsidRDefault="009B20BD" w:rsidP="007448A6">
      <w:pPr>
        <w:pStyle w:val="Heading5"/>
        <w:rPr>
          <w:lang w:val="en-AU"/>
        </w:rPr>
      </w:pPr>
      <w:r w:rsidRPr="005B0796">
        <w:rPr>
          <w:lang w:val="en-AU"/>
        </w:rPr>
        <w:t>How the ADF deals with Reservists</w:t>
      </w:r>
    </w:p>
    <w:p w:rsidR="009B20BD" w:rsidRPr="005B0796" w:rsidRDefault="009B20BD" w:rsidP="007448A6">
      <w:r w:rsidRPr="005B0796">
        <w:t>Participants</w:t>
      </w:r>
      <w:r w:rsidR="00462A0C" w:rsidRPr="005B0796">
        <w:t>’</w:t>
      </w:r>
      <w:r w:rsidRPr="005B0796">
        <w:t xml:space="preserve"> perceptions of how well the ADF deals with, understands and accepts Reservists were assessed via 3 items measured on a 5-point scale ranging from </w:t>
      </w:r>
      <w:r w:rsidR="00462A0C" w:rsidRPr="005B0796">
        <w:t>‘</w:t>
      </w:r>
      <w:r w:rsidRPr="005B0796">
        <w:t>very poor</w:t>
      </w:r>
      <w:r w:rsidR="00462A0C" w:rsidRPr="005B0796">
        <w:t>’</w:t>
      </w:r>
      <w:r w:rsidRPr="005B0796">
        <w:t xml:space="preserve"> to </w:t>
      </w:r>
      <w:r w:rsidR="00462A0C" w:rsidRPr="005B0796">
        <w:t>‘</w:t>
      </w:r>
      <w:r w:rsidRPr="005B0796">
        <w:t>very good</w:t>
      </w:r>
      <w:r w:rsidR="00462A0C" w:rsidRPr="005B0796">
        <w:t>’</w:t>
      </w:r>
      <w:r w:rsidRPr="005B0796">
        <w:t xml:space="preserve">. </w:t>
      </w:r>
    </w:p>
    <w:p w:rsidR="009B20BD" w:rsidRPr="005B0796" w:rsidRDefault="009B20BD" w:rsidP="007448A6">
      <w:pPr>
        <w:pStyle w:val="Heading5"/>
        <w:rPr>
          <w:lang w:val="en-AU"/>
        </w:rPr>
      </w:pPr>
      <w:r w:rsidRPr="005B0796">
        <w:rPr>
          <w:lang w:val="en-AU"/>
        </w:rPr>
        <w:t>Getting Help (Reservist specific)</w:t>
      </w:r>
    </w:p>
    <w:p w:rsidR="009B20BD" w:rsidRPr="005B0796" w:rsidRDefault="009B20BD" w:rsidP="007448A6">
      <w:r w:rsidRPr="005B0796">
        <w:t xml:space="preserve">This section of the survey was developed by researchers and looked at the following: mental health problems resulting from Reservist experience, help sought for these problems, help sought and received from ADF services/non-Defence organisations, benefits sought and received from DVA. </w:t>
      </w:r>
    </w:p>
    <w:p w:rsidR="009B20BD" w:rsidRPr="005B0796" w:rsidRDefault="009B20BD" w:rsidP="007448A6">
      <w:pPr>
        <w:pStyle w:val="Heading4"/>
        <w:rPr>
          <w:rFonts w:eastAsia="MS ??"/>
        </w:rPr>
      </w:pPr>
      <w:r w:rsidRPr="005B0796">
        <w:rPr>
          <w:rFonts w:eastAsia="MS ??"/>
        </w:rPr>
        <w:t>Part 2: Health and Wellbeing Survey</w:t>
      </w:r>
    </w:p>
    <w:p w:rsidR="009B20BD" w:rsidRPr="005B0796" w:rsidRDefault="009B20BD" w:rsidP="007448A6">
      <w:r w:rsidRPr="005B0796">
        <w:t>Part 2 of the survey was completed by all samples specific to the Mental Health and Wellbeing Transition Study and included factors described in the following sections.</w:t>
      </w:r>
    </w:p>
    <w:p w:rsidR="009B20BD" w:rsidRPr="005B0796" w:rsidRDefault="009B20BD" w:rsidP="007448A6">
      <w:pPr>
        <w:pStyle w:val="Heading5"/>
        <w:rPr>
          <w:lang w:val="en-AU"/>
        </w:rPr>
      </w:pPr>
      <w:r w:rsidRPr="005B0796">
        <w:rPr>
          <w:lang w:val="en-AU"/>
        </w:rPr>
        <w:t>Deployments</w:t>
      </w:r>
    </w:p>
    <w:p w:rsidR="009B20BD" w:rsidRPr="005B0796" w:rsidRDefault="009B20BD" w:rsidP="007448A6">
      <w:r w:rsidRPr="005B0796">
        <w:t xml:space="preserve">In this section of the survey, participants were asked to provide detailed information about their deployment history with the ADF. Deployments were grouped into the following categories: warlike/active Service, non-warlike (peacekeeping) Service, humanitarian/disaster relief, Defence aid and border protection. For each applicable deployment listed, participants were asked to indicate which country they were deployed to, the name of the operation, the dates they were deployed, the number of times they were deployed, the total number of months deployed, and whether they were deployed in a combat capacity. Items in this section were adapted from the 2010 Mental Health Prevalence Wellbeing Study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w:t>
      </w:r>
    </w:p>
    <w:p w:rsidR="009B20BD" w:rsidRPr="005B0796" w:rsidRDefault="009B20BD" w:rsidP="007448A6">
      <w:pPr>
        <w:pStyle w:val="Heading5"/>
        <w:rPr>
          <w:lang w:val="en-AU"/>
        </w:rPr>
      </w:pPr>
      <w:r w:rsidRPr="005B0796">
        <w:rPr>
          <w:lang w:val="en-AU"/>
        </w:rPr>
        <w:t>Deployment exposure</w:t>
      </w:r>
    </w:p>
    <w:p w:rsidR="009B20BD" w:rsidRPr="005B0796" w:rsidRDefault="009B20BD" w:rsidP="007448A6">
      <w:r w:rsidRPr="005B0796">
        <w:t xml:space="preserve">Participants were presented with a list of deployment exposures and asked to indicate how many times they had experienced each one during their military career. Response categories ranged from </w:t>
      </w:r>
      <w:r w:rsidR="00462A0C" w:rsidRPr="005B0796">
        <w:t>‘</w:t>
      </w:r>
      <w:r w:rsidRPr="005B0796">
        <w:t>never</w:t>
      </w:r>
      <w:r w:rsidR="00462A0C" w:rsidRPr="005B0796">
        <w:t>’</w:t>
      </w:r>
      <w:r w:rsidRPr="005B0796">
        <w:t xml:space="preserve"> to </w:t>
      </w:r>
      <w:r w:rsidR="00462A0C" w:rsidRPr="005B0796">
        <w:t>‘</w:t>
      </w:r>
      <w:r w:rsidRPr="005B0796">
        <w:t>10+ times</w:t>
      </w:r>
      <w:r w:rsidR="00462A0C" w:rsidRPr="005B0796">
        <w:t>’</w:t>
      </w:r>
      <w:r w:rsidRPr="005B0796">
        <w:t xml:space="preserve">. Examples of events included exposure to </w:t>
      </w:r>
      <w:r w:rsidR="00462A0C" w:rsidRPr="005B0796">
        <w:t>‘</w:t>
      </w:r>
      <w:r w:rsidRPr="005B0796">
        <w:t>hazardous materials</w:t>
      </w:r>
      <w:r w:rsidR="00462A0C" w:rsidRPr="005B0796">
        <w:t>’</w:t>
      </w:r>
      <w:r w:rsidRPr="005B0796">
        <w:t xml:space="preserve">, </w:t>
      </w:r>
      <w:r w:rsidR="00462A0C" w:rsidRPr="005B0796">
        <w:t>‘</w:t>
      </w:r>
      <w:r w:rsidRPr="005B0796">
        <w:t>discharge of weapon in direct combat</w:t>
      </w:r>
      <w:r w:rsidR="00462A0C" w:rsidRPr="005B0796">
        <w:t>’</w:t>
      </w:r>
      <w:r w:rsidRPr="005B0796">
        <w:t xml:space="preserve">, and </w:t>
      </w:r>
      <w:r w:rsidR="00462A0C" w:rsidRPr="005B0796">
        <w:t>‘</w:t>
      </w:r>
      <w:r w:rsidRPr="005B0796">
        <w:t>handled or saw dead bodies</w:t>
      </w:r>
      <w:r w:rsidR="00462A0C" w:rsidRPr="005B0796">
        <w:t>’</w:t>
      </w:r>
      <w:r w:rsidRPr="005B0796">
        <w:t xml:space="preserve">. Items in this section were drawn from the MEAO Census Study </w:t>
      </w:r>
      <w:r w:rsidRPr="005B0796">
        <w:fldChar w:fldCharType="begin"/>
      </w:r>
      <w:r w:rsidRPr="005B0796">
        <w:instrText xml:space="preserve"> ADDIN EN.CITE &lt;EndNote&gt;&lt;Cite&gt;&lt;Author&gt;Dobson&lt;/Author&gt;&lt;Year&gt;2012&lt;/Year&gt;&lt;RecNum&gt;440&lt;/RecNum&gt;&lt;DisplayText&gt;(Dobson et al., 2012)&lt;/DisplayText&gt;&lt;record&gt;&lt;rec-number&gt;440&lt;/rec-number&gt;&lt;foreign-keys&gt;&lt;key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Health.&lt;/publisher&gt;&lt;urls&gt;&lt;/urls&gt;&lt;/record&gt;&lt;/Cite&gt;&lt;/EndNote&gt;</w:instrText>
      </w:r>
      <w:r w:rsidRPr="005B0796">
        <w:fldChar w:fldCharType="separate"/>
      </w:r>
      <w:r w:rsidRPr="005B0796">
        <w:t>(Dobson et al., 2012)</w:t>
      </w:r>
      <w:r w:rsidRPr="005B0796">
        <w:fldChar w:fldCharType="end"/>
      </w:r>
      <w:r w:rsidRPr="005B0796">
        <w:t xml:space="preserve">. </w:t>
      </w:r>
    </w:p>
    <w:p w:rsidR="009B20BD" w:rsidRPr="005B0796" w:rsidRDefault="009B20BD" w:rsidP="007448A6">
      <w:pPr>
        <w:pStyle w:val="Heading5"/>
        <w:rPr>
          <w:lang w:val="en-AU"/>
        </w:rPr>
      </w:pPr>
      <w:r w:rsidRPr="005B0796">
        <w:rPr>
          <w:lang w:val="en-AU"/>
        </w:rPr>
        <w:t>Quality of life</w:t>
      </w:r>
    </w:p>
    <w:p w:rsidR="009B20BD" w:rsidRPr="005B0796" w:rsidRDefault="009B20BD" w:rsidP="007448A6">
      <w:pPr>
        <w:rPr>
          <w:rFonts w:asciiTheme="minorHAnsi" w:hAnsiTheme="minorHAnsi"/>
        </w:rPr>
      </w:pPr>
      <w:r w:rsidRPr="005B0796">
        <w:t xml:space="preserve">This section of the survey was comprised of 3 items that assessed general health, satisfaction with health, and quality of life. General health was measured via the first item of the Short Form 36 Health Survey (SF36) </w:t>
      </w:r>
      <w:r w:rsidRPr="005B0796">
        <w:fldChar w:fldCharType="begin"/>
      </w:r>
      <w:r w:rsidRPr="005B0796">
        <w:instrText xml:space="preserve"> ADDIN EN.CITE &lt;EndNote&gt;&lt;Cite&gt;&lt;Author&gt;Ware&lt;/Author&gt;&lt;Year&gt;1992&lt;/Year&gt;&lt;RecNum&gt;519&lt;/RecNum&gt;&lt;DisplayText&gt;(Ware, 1992)&lt;/DisplayText&gt;&lt;record&gt;&lt;rec-number&gt;519&lt;/rec-number&gt;&lt;foreign-keys&gt;&lt;key app="EN" db-id="arwdrezp9sdawxevtfyxtfw10exvr5exxfed" timestamp="1478829093"&gt;519&lt;/key&gt;&lt;/foreign-keys&gt;&lt;ref-type name="Journal Article"&gt;17&lt;/ref-type&gt;&lt;contributors&gt;&lt;authors&gt;&lt;author&gt;Ware, J.E., Sherbourne, C.D.&lt;/author&gt;&lt;/authors&gt;&lt;/contributors&gt;&lt;titles&gt;&lt;title&gt;The MOS 36-item short-form health survey (SF-36). I. Conceptual framework and item selection.&lt;/title&gt;&lt;secondary-title&gt;Med Care&lt;/secondary-title&gt;&lt;/titles&gt;&lt;periodical&gt;&lt;full-title&gt;Med Care&lt;/full-title&gt;&lt;/periodical&gt;&lt;pages&gt;473-83&lt;/pages&gt;&lt;number&gt;Jun 30(6)&lt;/number&gt;&lt;dates&gt;&lt;year&gt;1992&lt;/year&gt;&lt;/dates&gt;&lt;urls&gt;&lt;/urls&gt;&lt;/record&gt;&lt;/Cite&gt;&lt;/EndNote&gt;</w:instrText>
      </w:r>
      <w:r w:rsidRPr="005B0796">
        <w:fldChar w:fldCharType="separate"/>
      </w:r>
      <w:r w:rsidRPr="005B0796">
        <w:t>(Ware, 1992)</w:t>
      </w:r>
      <w:r w:rsidRPr="005B0796">
        <w:fldChar w:fldCharType="end"/>
      </w:r>
      <w:r w:rsidRPr="005B0796">
        <w:t xml:space="preserve"> referred to as the Form 1 (SF1). The SF 1 is a single item that is increasingly being utilised in population studies as an indicator of overall health status. Items assessing general health and satisfaction with health were taken from the 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pPr>
        <w:pStyle w:val="Heading5"/>
        <w:rPr>
          <w:lang w:val="en-AU"/>
        </w:rPr>
      </w:pPr>
      <w:r w:rsidRPr="005B0796">
        <w:rPr>
          <w:lang w:val="en-AU"/>
        </w:rPr>
        <w:t>Depression</w:t>
      </w:r>
    </w:p>
    <w:p w:rsidR="009B20BD" w:rsidRPr="005B0796" w:rsidRDefault="009B20BD" w:rsidP="007448A6">
      <w:pPr>
        <w:rPr>
          <w:rFonts w:cs="Arial"/>
        </w:rPr>
      </w:pPr>
      <w:r w:rsidRPr="005B0796">
        <w:t>Self-reported depression was examined using the Patient Health Questionnaire - 9 (PHQ9)</w:t>
      </w:r>
      <w:r w:rsidRPr="005B0796">
        <w:fldChar w:fldCharType="begin"/>
      </w:r>
      <w:r w:rsidRPr="005B0796">
        <w:instrText xml:space="preserve"> ADDIN EN.CITE &lt;EndNote&gt;&lt;Cite&gt;&lt;Author&gt;Kroenke&lt;/Author&gt;&lt;Year&gt;2001&lt;/Year&gt;&lt;RecNum&gt;418&lt;/RecNum&gt;&lt;DisplayText&gt;(Kroenke et al., 2001)&lt;/DisplayText&gt;&lt;record&gt;&lt;rec-number&gt;418&lt;/rec-number&gt;&lt;foreign-keys&gt;&lt;key app="EN" db-id="arwdrezp9sdawxevtfyxtfw10exvr5exxfed" timestamp="1478232442"&gt;418&lt;/key&gt;&lt;/foreign-keys&gt;&lt;ref-type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Med&lt;/secondary-title&gt;&lt;alt-title&gt;Journal of general internal medicine&lt;/alt-title&gt;&lt;/titles&gt;&lt;periodical&gt;&lt;full-title&gt;J Gen Intern Med&lt;/full-title&gt;&lt;/periodical&gt;&lt;pages&gt;606-13&lt;/pages&gt;&lt;volume&gt;16&lt;/volume&gt;&lt;number&gt;9&lt;/number&gt;&lt;edition&gt;2001/09/15&lt;/edition&gt;&lt;keywords&gt;&lt;keyword&gt;Adult&lt;/keyword&gt;&lt;keyword&gt;Depression/*diagnosis&lt;/keyword&gt;&lt;keyword&gt;Female&lt;/keyword&gt;&lt;keyword&gt;Humans&lt;/keyword&gt;&lt;keyword&gt;Male&lt;/keyword&gt;&lt;keyword&gt;Middle Aged&lt;/keyword&gt;&lt;keyword&gt;Psychological Tests&lt;/keyword&gt;&lt;keyword&gt;*Questionnaires&lt;/keyword&gt;&lt;keyword&gt;Reproducibility of Results&lt;/keyword&gt;&lt;keyword&gt;*Severity of Illness Index&lt;/keyword&gt;&lt;/keywords&gt;&lt;dates&gt;&lt;year&gt;2001&lt;/year&gt;&lt;pub-dates&gt;&lt;date&gt;Sep&lt;/date&gt;&lt;/pub-dates&gt;&lt;/dates&gt;&lt;isbn&gt;0884-8734 (Print)&amp;#xD;0884-8734 (Linking)&lt;/isbn&gt;&lt;accession-num&gt;11556941&lt;/accession-num&gt;&lt;work-type&gt;Research Support, Non-U.S. Gov&amp;apos;t&amp;#xD;Validation Studies&lt;/work-type&gt;&lt;urls&gt;&lt;related-urls&gt;&lt;url&gt;http://www.ncbi.nlm.nih.gov/pubmed/11556941&lt;/url&gt;&lt;/related-urls&gt;&lt;/urls&gt;&lt;custom2&gt;1495268&lt;/custom2&gt;&lt;language&gt;eng&lt;/language&gt;&lt;/record&gt;&lt;/Cite&gt;&lt;/EndNote&gt;</w:instrText>
      </w:r>
      <w:r w:rsidRPr="005B0796">
        <w:fldChar w:fldCharType="separate"/>
      </w:r>
      <w:r w:rsidRPr="005B0796">
        <w:t>(Kroenke et al., 2001)</w:t>
      </w:r>
      <w:r w:rsidRPr="005B0796">
        <w:fldChar w:fldCharType="end"/>
      </w:r>
      <w:r w:rsidRPr="005B0796">
        <w:rPr>
          <w:rFonts w:cs="Arial"/>
        </w:rPr>
        <w:t xml:space="preserve">. </w:t>
      </w:r>
      <w:r w:rsidRPr="005B0796">
        <w:t>The 9 items of the PHQ9 are scored from 0-3 and summed to give a total score between 0 and 27. The PHQ9 provides various levels of diagnostic severity</w:t>
      </w:r>
      <w:r w:rsidRPr="005B0796">
        <w:rPr>
          <w:rFonts w:cs="Arial"/>
        </w:rPr>
        <w:t xml:space="preserve"> with higher scores indicating higher levels of depression symptoms. </w:t>
      </w:r>
    </w:p>
    <w:p w:rsidR="009B20BD" w:rsidRPr="005B0796" w:rsidRDefault="009B20BD" w:rsidP="007448A6">
      <w:pPr>
        <w:pStyle w:val="Heading5"/>
        <w:rPr>
          <w:lang w:val="en-AU"/>
        </w:rPr>
      </w:pPr>
      <w:r w:rsidRPr="005B0796">
        <w:rPr>
          <w:lang w:val="en-AU"/>
        </w:rPr>
        <w:t>Generalised anxiety disorder</w:t>
      </w:r>
    </w:p>
    <w:p w:rsidR="009B20BD" w:rsidRPr="005B0796" w:rsidRDefault="009B20BD" w:rsidP="007448A6">
      <w:pPr>
        <w:rPr>
          <w:lang w:eastAsia="en-AU"/>
        </w:rPr>
      </w:pPr>
      <w:r w:rsidRPr="005B0796">
        <w:rPr>
          <w:lang w:eastAsia="en-AU"/>
        </w:rPr>
        <w:t>Generalised anxiety disorder was measured via the</w:t>
      </w:r>
      <w:r w:rsidRPr="005B0796">
        <w:rPr>
          <w:b/>
          <w:lang w:eastAsia="en-AU"/>
        </w:rPr>
        <w:t xml:space="preserve"> </w:t>
      </w:r>
      <w:r w:rsidRPr="005B0796">
        <w:rPr>
          <w:lang w:eastAsia="en-AU"/>
        </w:rPr>
        <w:t xml:space="preserve">Generalised Anxiety Disorder 7 (GAD-7) </w:t>
      </w:r>
      <w:r w:rsidRPr="005B0796">
        <w:rPr>
          <w:lang w:eastAsia="en-AU"/>
        </w:rPr>
        <w:fldChar w:fldCharType="begin"/>
      </w:r>
      <w:r w:rsidRPr="005B0796">
        <w:rPr>
          <w:lang w:eastAsia="en-AU"/>
        </w:rPr>
        <w:instrText xml:space="preserve"> ADDIN EN.CITE &lt;EndNote&gt;&lt;Cite&gt;&lt;Author&gt;Spitzer&lt;/Author&gt;&lt;Year&gt;2006&lt;/Year&gt;&lt;RecNum&gt;450&lt;/RecNum&gt;&lt;DisplayText&gt;(Spitzer, 2006)&lt;/DisplayText&gt;&lt;record&gt;&lt;rec-number&gt;450&lt;/rec-number&gt;&lt;foreign-keys&gt;&lt;key app="EN" db-id="arwdrezp9sdawxevtfyxtfw10exvr5exxfed" timestamp="1478238710"&gt;450&lt;/key&gt;&lt;/foreign-keys&gt;&lt;ref-type name="Journal Article"&gt;17&lt;/ref-type&gt;&lt;contributors&gt;&lt;authors&gt;&lt;author&gt;Spitzer, Rl, Kroenke K. Williams J. W. Löwe B.&lt;/author&gt;&lt;/authors&gt;&lt;/contributors&gt;&lt;titles&gt;&lt;title&gt;A brief measure for assessing generalized anxiety disorder: The GAD-7&lt;/title&gt;&lt;secondary-title&gt;Archives of Internal Medicine&lt;/secondary-title&gt;&lt;/titles&gt;&lt;periodical&gt;&lt;full-title&gt;Archives of Internal Medicine&lt;/full-title&gt;&lt;abbr-1&gt;Archives of internal medicine&lt;/abbr-1&gt;&lt;/periodical&gt;&lt;pages&gt;1092-1097&lt;/pages&gt;&lt;volume&gt;166&lt;/volume&gt;&lt;number&gt;10&lt;/number&gt;&lt;dates&gt;&lt;year&gt;2006&lt;/year&gt;&lt;/dates&gt;&lt;isbn&gt;0003-9926&lt;/isbn&gt;&lt;urls&gt;&lt;related-urls&gt;&lt;url&gt;http://dx.doi.org/10.1001/archinte.166.10.1092&lt;/url&gt;&lt;url&gt;http://archinte.jamanetwork.com/data/Journals/INTEMED/5536/ioi60000.pdf&lt;/url&gt;&lt;/related-urls&gt;&lt;/urls&gt;&lt;electronic-resource-num&gt;10.1001/archinte.166.10.1092&lt;/electronic-resource-num&gt;&lt;/record&gt;&lt;/Cite&gt;&lt;/EndNote&gt;</w:instrText>
      </w:r>
      <w:r w:rsidRPr="005B0796">
        <w:rPr>
          <w:lang w:eastAsia="en-AU"/>
        </w:rPr>
        <w:fldChar w:fldCharType="separate"/>
      </w:r>
      <w:r w:rsidRPr="005B0796">
        <w:rPr>
          <w:lang w:eastAsia="en-AU"/>
        </w:rPr>
        <w:t>(Spitzer, 2006)</w:t>
      </w:r>
      <w:r w:rsidRPr="005B0796">
        <w:rPr>
          <w:lang w:eastAsia="en-AU"/>
        </w:rPr>
        <w:fldChar w:fldCharType="end"/>
      </w:r>
      <w:r w:rsidRPr="005B0796">
        <w:rPr>
          <w:lang w:eastAsia="en-AU"/>
        </w:rPr>
        <w:t>. Each of the 7 items is scored from 1 to 3, providing a total generali</w:t>
      </w:r>
      <w:r w:rsidR="00520FC8" w:rsidRPr="005B0796">
        <w:rPr>
          <w:lang w:eastAsia="en-AU"/>
        </w:rPr>
        <w:t>s</w:t>
      </w:r>
      <w:r w:rsidRPr="005B0796">
        <w:rPr>
          <w:lang w:eastAsia="en-AU"/>
        </w:rPr>
        <w:t>ed anxiety score ranging between 0 and 21. Participants were asked to rate each item in the GAD-7 in relation to last 2 weeks only.</w:t>
      </w:r>
    </w:p>
    <w:p w:rsidR="009B20BD" w:rsidRPr="005B0796" w:rsidRDefault="009B20BD" w:rsidP="007448A6">
      <w:pPr>
        <w:pStyle w:val="Heading5"/>
        <w:rPr>
          <w:lang w:val="en-AU"/>
        </w:rPr>
      </w:pPr>
      <w:r w:rsidRPr="005B0796">
        <w:rPr>
          <w:lang w:val="en-AU"/>
        </w:rPr>
        <w:t xml:space="preserve">Sleep problems </w:t>
      </w:r>
    </w:p>
    <w:p w:rsidR="009B20BD" w:rsidRPr="005B0796" w:rsidRDefault="009B20BD" w:rsidP="007448A6">
      <w:pPr>
        <w:rPr>
          <w:lang w:eastAsia="en-AU"/>
        </w:rPr>
      </w:pPr>
      <w:r w:rsidRPr="005B0796">
        <w:rPr>
          <w:lang w:eastAsia="en-AU"/>
        </w:rPr>
        <w:t xml:space="preserve">Self-perceived insomnia was examined via the Insomnia Severity Index </w:t>
      </w:r>
      <w:r w:rsidRPr="005B0796">
        <w:t xml:space="preserve">(ISI) </w:t>
      </w:r>
      <w:r w:rsidRPr="005B0796">
        <w:rPr>
          <w:lang w:eastAsia="en-AU"/>
        </w:rPr>
        <w:fldChar w:fldCharType="begin"/>
      </w:r>
      <w:r w:rsidRPr="005B0796">
        <w:rPr>
          <w:lang w:eastAsia="en-AU"/>
        </w:rPr>
        <w:instrText xml:space="preserve"> ADDIN EN.CITE &lt;EndNote&gt;&lt;Cite&gt;&lt;Author&gt;Bastien&lt;/Author&gt;&lt;Year&gt;2001&lt;/Year&gt;&lt;RecNum&gt;401&lt;/RecNum&gt;&lt;DisplayText&gt;(Bastien et al., 2001)&lt;/DisplayText&gt;&lt;record&gt;&lt;rec-number&gt;401&lt;/rec-number&gt;&lt;foreign-keys&gt;&lt;key app="EN" db-id="arwdrezp9sdawxevtfyxtfw10exvr5exxfed" timestamp="1478232441"&gt;401&lt;/key&gt;&lt;/foreign-keys&gt;&lt;ref-type name="Journal Article"&gt;17&lt;/ref-type&gt;&lt;contributors&gt;&lt;authors&gt;&lt;author&gt;Bastien, C. H.&lt;/author&gt;&lt;author&gt;Vallieres, A.&lt;/author&gt;&lt;author&gt;Morin, C. M.&lt;/author&gt;&lt;/authors&gt;&lt;/contributors&gt;&lt;auth-address&gt;Morin, CM&amp;#xD;Univ Laval, Ecole Psychol, Ste Foy, PQ G1K 7P4, Canada&amp;#xD;Univ Laval, Ecole Psychol, Ste Foy, PQ G1K 7P4, Canada&amp;#xD;Univ Laval, Ecole Psychol, Ste Foy, PQ G1K 7P4, Canada&amp;#xD;Univ Laval, Ctr Etud Troubles Sommeil, Ste Foy, PQ G1K 7P4, Canada&lt;/auth-address&gt;&lt;titles&gt;&lt;title&gt;Validation of the Insomnia Severity Index as an outcome measure for insomnia research&lt;/title&gt;&lt;secondary-title&gt;Sleep Medicine&lt;/secondary-title&gt;&lt;alt-title&gt;Sleep Med&lt;/alt-title&gt;&lt;/titles&gt;&lt;periodical&gt;&lt;full-title&gt;Sleep Medicine&lt;/full-title&gt;&lt;abbr-1&gt;Sleep Med&lt;/abbr-1&gt;&lt;/periodical&gt;&lt;alt-periodical&gt;&lt;full-title&gt;Sleep Medicine&lt;/full-title&gt;&lt;abbr-1&gt;Sleep Med&lt;/abbr-1&gt;&lt;/alt-periodical&gt;&lt;pages&gt;297-307&lt;/pages&gt;&lt;volume&gt;2&lt;/volume&gt;&lt;number&gt;4&lt;/number&gt;&lt;keywords&gt;&lt;keyword&gt;insomnia&lt;/keyword&gt;&lt;keyword&gt;sleep&lt;/keyword&gt;&lt;keyword&gt;assessment&lt;/keyword&gt;&lt;keyword&gt;measure&lt;/keyword&gt;&lt;keyword&gt;severity&lt;/keyword&gt;&lt;keyword&gt;evaluation&lt;/keyword&gt;&lt;/keywords&gt;&lt;dates&gt;&lt;year&gt;2001&lt;/year&gt;&lt;pub-dates&gt;&lt;date&gt;Jul&lt;/date&gt;&lt;/pub-dates&gt;&lt;/dates&gt;&lt;isbn&gt;1389-9457&lt;/isbn&gt;&lt;accession-num&gt;ISI:000208301100003&lt;/accession-num&gt;&lt;urls&gt;&lt;related-urls&gt;&lt;url&gt;&amp;lt;Go to ISI&amp;gt;://000208301100003&lt;/url&gt;&lt;url&gt;http://ac.els-cdn.com/S1389945700000654/1-s2.0-S1389945700000654-main.pdf?_tid=7c47d5b0-2e3a-11e7-a11f-00000aab0f26&amp;amp;acdnat=1493621618_aa78883cc5cfea269ade62698b3b42e7&lt;/url&gt;&lt;/related-urls&gt;&lt;/urls&gt;&lt;electronic-resource-num&gt;Pii S1389-9457(00)00065-4&amp;#xD;Doi 10.1016/S1389-9457(00)00065-4&lt;/electronic-resource-num&gt;&lt;language&gt;English&lt;/language&gt;&lt;/record&gt;&lt;/Cite&gt;&lt;/EndNote&gt;</w:instrText>
      </w:r>
      <w:r w:rsidRPr="005B0796">
        <w:rPr>
          <w:lang w:eastAsia="en-AU"/>
        </w:rPr>
        <w:fldChar w:fldCharType="separate"/>
      </w:r>
      <w:r w:rsidRPr="005B0796">
        <w:rPr>
          <w:lang w:eastAsia="en-AU"/>
        </w:rPr>
        <w:t>(Bastien et al., 2001)</w:t>
      </w:r>
      <w:r w:rsidRPr="005B0796">
        <w:rPr>
          <w:lang w:eastAsia="en-AU"/>
        </w:rPr>
        <w:fldChar w:fldCharType="end"/>
      </w:r>
      <w:r w:rsidRPr="005B0796">
        <w:rPr>
          <w:lang w:eastAsia="en-AU"/>
        </w:rPr>
        <w:t xml:space="preserve">. The ISI comprises seven items assessing the severity of sleep-onset and sleep maintenance difficulties, satisfaction with current sleep pattern, interference with daily functioning, noticeability of impairment attributed to the sleep problem, and degree of distress or concern caused by the sleep problem. </w:t>
      </w:r>
    </w:p>
    <w:p w:rsidR="009B20BD" w:rsidRPr="005B0796" w:rsidRDefault="009B20BD" w:rsidP="007448A6">
      <w:r w:rsidRPr="005B0796">
        <w:rPr>
          <w:lang w:eastAsia="en-AU"/>
        </w:rPr>
        <w:t>Each item is rated on a 0–4 scale and the total score ranges from 0 to 28. A higher score suggests more severe insomnia.</w:t>
      </w:r>
    </w:p>
    <w:p w:rsidR="009B20BD" w:rsidRPr="005B0796" w:rsidRDefault="009B20BD" w:rsidP="007448A6">
      <w:pPr>
        <w:pStyle w:val="Heading5"/>
        <w:rPr>
          <w:lang w:val="en-AU"/>
        </w:rPr>
      </w:pPr>
      <w:r w:rsidRPr="005B0796">
        <w:rPr>
          <w:lang w:val="en-AU"/>
        </w:rPr>
        <w:t xml:space="preserve">General psychological distress </w:t>
      </w:r>
    </w:p>
    <w:p w:rsidR="009B20BD" w:rsidRPr="005B0796" w:rsidRDefault="009B20BD" w:rsidP="007448A6">
      <w:r w:rsidRPr="005B0796">
        <w:t xml:space="preserve">The Kessler Psychological Distress Scale (K10) </w:t>
      </w:r>
      <w:r w:rsidRPr="005B0796">
        <w:fldChar w:fldCharType="begin"/>
      </w:r>
      <w:r w:rsidRPr="005B0796">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5B0796">
        <w:fldChar w:fldCharType="separate"/>
      </w:r>
      <w:r w:rsidRPr="005B0796">
        <w:t>(Kessler et al., 2002)</w:t>
      </w:r>
      <w:r w:rsidRPr="005B0796">
        <w:fldChar w:fldCharType="end"/>
      </w:r>
      <w:r w:rsidRPr="005B0796">
        <w:t xml:space="preserve"> is a short 10-item screening questionnaire that yields a global measure of psychological distress based on symptoms of anxiety and depression experienced in the most recent 4 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ABS Australian National Mental Health and Wellbeing Survey </w: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 </w:instrTex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EN.CITE.DATA </w:instrText>
      </w:r>
      <w:r w:rsidRPr="005B0796">
        <w:fldChar w:fldCharType="end"/>
      </w:r>
      <w:r w:rsidRPr="005B0796">
        <w:fldChar w:fldCharType="separate"/>
      </w:r>
      <w:r w:rsidRPr="005B0796">
        <w:t>(Slade et al., 2009)</w:t>
      </w:r>
      <w:r w:rsidRPr="005B0796">
        <w:fldChar w:fldCharType="end"/>
      </w:r>
      <w:r w:rsidRPr="005B0796">
        <w:t xml:space="preserve"> and were used to identify levels of psychological distress in the 2010 ADF Mental Health Prevalence and Wellbeing Study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w:t>
      </w:r>
    </w:p>
    <w:p w:rsidR="009B20BD" w:rsidRPr="005B0796" w:rsidRDefault="009B20BD" w:rsidP="007448A6">
      <w:pPr>
        <w:pStyle w:val="Heading5"/>
        <w:rPr>
          <w:lang w:val="en-AU"/>
        </w:rPr>
      </w:pPr>
      <w:r w:rsidRPr="005B0796">
        <w:rPr>
          <w:lang w:val="en-AU"/>
        </w:rPr>
        <w:t xml:space="preserve">Anger </w:t>
      </w:r>
    </w:p>
    <w:p w:rsidR="009B20BD" w:rsidRPr="005B0796" w:rsidRDefault="009B20BD" w:rsidP="007448A6">
      <w:pPr>
        <w:rPr>
          <w:rFonts w:cs="Arial"/>
        </w:rPr>
      </w:pPr>
      <w:r w:rsidRPr="005B0796">
        <w:t xml:space="preserve">The Dimensions of Anger Reactions Scale (DAR- 5) </w: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 </w:instrText>
      </w:r>
      <w:r w:rsidRPr="005B0796">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5B0796">
        <w:instrText xml:space="preserve"> ADDIN EN.CITE.DATA </w:instrText>
      </w:r>
      <w:r w:rsidRPr="005B0796">
        <w:fldChar w:fldCharType="end"/>
      </w:r>
      <w:r w:rsidRPr="005B0796">
        <w:fldChar w:fldCharType="separate"/>
      </w:r>
      <w:r w:rsidRPr="005B0796">
        <w:t>(Forbes et al., 2004)</w:t>
      </w:r>
      <w:r w:rsidRPr="005B0796">
        <w:fldChar w:fldCharType="end"/>
      </w:r>
      <w:r w:rsidRPr="005B0796">
        <w:t xml:space="preserve"> is a concise measure of anger. It consists of five items that address anger frequency, intensity, duration, aggression, and interference with social functioning. Items are scored on a 5-point Likert scale generating a severity score ranging from 5 to 25 with higher scores indicative of worse symptomatology. </w:t>
      </w:r>
      <w:r w:rsidRPr="005B0796">
        <w:rPr>
          <w:rFonts w:cs="Arial"/>
        </w:rPr>
        <w:t xml:space="preserve">This scale has been used previously to assess Australian Vietnam veterans, as well as US Afghanistan and Iraq veterans, and shows strong unidimensionality, and high levels of internal consistency and criterion validity. </w:t>
      </w:r>
    </w:p>
    <w:p w:rsidR="009B20BD" w:rsidRPr="005B0796" w:rsidRDefault="009B20BD" w:rsidP="007448A6">
      <w:pPr>
        <w:pStyle w:val="Heading5"/>
        <w:rPr>
          <w:lang w:val="en-AU"/>
        </w:rPr>
      </w:pPr>
      <w:r w:rsidRPr="005B0796">
        <w:rPr>
          <w:lang w:val="en-AU"/>
        </w:rPr>
        <w:t>Physical violence</w:t>
      </w:r>
    </w:p>
    <w:p w:rsidR="009B20BD" w:rsidRPr="005B0796" w:rsidRDefault="009B20BD" w:rsidP="007448A6">
      <w:r w:rsidRPr="005B0796">
        <w:t>Items addressing participants</w:t>
      </w:r>
      <w:r w:rsidR="00462A0C" w:rsidRPr="005B0796">
        <w:t>’</w:t>
      </w:r>
      <w:r w:rsidRPr="005B0796">
        <w:t xml:space="preserve"> personal experiences with physical violence or threatened violence were taken from the 2010 Mental Health Prevalence Wellbeing Study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w:t>
      </w:r>
    </w:p>
    <w:p w:rsidR="009B20BD" w:rsidRPr="005B0796" w:rsidRDefault="009B20BD" w:rsidP="007448A6">
      <w:pPr>
        <w:pStyle w:val="Heading5"/>
        <w:rPr>
          <w:lang w:val="en-AU"/>
        </w:rPr>
      </w:pPr>
      <w:r w:rsidRPr="005B0796">
        <w:rPr>
          <w:lang w:val="en-AU"/>
        </w:rPr>
        <w:t>Suicidal ideation and behavio</w:t>
      </w:r>
      <w:r w:rsidR="004F17A6" w:rsidRPr="005B0796">
        <w:rPr>
          <w:lang w:val="en-AU"/>
        </w:rPr>
        <w:t>u</w:t>
      </w:r>
      <w:r w:rsidRPr="005B0796">
        <w:rPr>
          <w:lang w:val="en-AU"/>
        </w:rPr>
        <w:t>r</w:t>
      </w:r>
    </w:p>
    <w:p w:rsidR="009B20BD" w:rsidRPr="005B0796" w:rsidRDefault="009B20BD" w:rsidP="007448A6">
      <w:r w:rsidRPr="005B0796">
        <w:t xml:space="preserve">12-month suicidal ideation and behaviour was assessed via four items that looked specifically at suicidal thoughts, plans and attempts. Three of the items in this section were adapted from the National Survey of Mental Health and Wellbeing </w:t>
      </w:r>
      <w:r w:rsidRPr="005B0796">
        <w:fldChar w:fldCharType="begin"/>
      </w:r>
      <w:r w:rsidRPr="005B0796">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5B0796">
        <w:fldChar w:fldCharType="separate"/>
      </w:r>
      <w:r w:rsidRPr="005B0796">
        <w:t>(Australian Bureau of Statistics, 2008)</w:t>
      </w:r>
      <w:r w:rsidRPr="005B0796">
        <w:fldChar w:fldCharType="end"/>
      </w:r>
      <w:r w:rsidRPr="005B0796">
        <w:t xml:space="preserve"> and the final item was devised by researchers for use in the current study.</w:t>
      </w:r>
    </w:p>
    <w:p w:rsidR="009B20BD" w:rsidRPr="005B0796" w:rsidRDefault="009B20BD" w:rsidP="007448A6">
      <w:pPr>
        <w:pStyle w:val="Heading5"/>
        <w:rPr>
          <w:lang w:val="en-AU"/>
        </w:rPr>
      </w:pPr>
      <w:r w:rsidRPr="005B0796">
        <w:rPr>
          <w:lang w:val="en-AU"/>
        </w:rPr>
        <w:t>Perceptions of mental health</w:t>
      </w:r>
    </w:p>
    <w:p w:rsidR="009B20BD" w:rsidRPr="005B0796" w:rsidRDefault="009B20BD" w:rsidP="007448A6">
      <w:r w:rsidRPr="005B0796">
        <w:t>Items addressing participants</w:t>
      </w:r>
      <w:r w:rsidR="00462A0C" w:rsidRPr="005B0796">
        <w:t>’</w:t>
      </w:r>
      <w:r w:rsidRPr="005B0796">
        <w:t xml:space="preserve"> perceptions of their current and future physical and mental health were developed by researchers for use in the study. </w:t>
      </w:r>
    </w:p>
    <w:p w:rsidR="009B20BD" w:rsidRPr="005B0796" w:rsidRDefault="009B20BD" w:rsidP="007448A6">
      <w:pPr>
        <w:pStyle w:val="Heading5"/>
        <w:rPr>
          <w:lang w:val="en-AU"/>
        </w:rPr>
      </w:pPr>
      <w:r w:rsidRPr="005B0796">
        <w:rPr>
          <w:lang w:val="en-AU"/>
        </w:rPr>
        <w:t>Lifetime exposure to traumatic events</w:t>
      </w:r>
    </w:p>
    <w:p w:rsidR="009B20BD" w:rsidRPr="005B0796" w:rsidRDefault="009B20BD" w:rsidP="007448A6">
      <w:r w:rsidRPr="005B0796">
        <w:t xml:space="preserve">Lifetime exposure to trauma was examined as part of the posttraumatic stress disorder module of the CIDI 3.0 </w:t>
      </w:r>
      <w:r w:rsidRPr="005B0796">
        <w:fldChar w:fldCharType="begin"/>
      </w:r>
      <w:r w:rsidRPr="005B0796">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fldChar w:fldCharType="separate"/>
      </w:r>
      <w:r w:rsidRPr="005B0796">
        <w:t>(Haro et al., 2006)</w:t>
      </w:r>
      <w:r w:rsidRPr="005B0796">
        <w:fldChar w:fldCharType="end"/>
      </w:r>
      <w:r w:rsidRPr="005B0796">
        <w:t xml:space="preserve">.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For each applicable event, participants were required to provide further information regarding the following: their age the first and last time the event took place, the number of times each event took place, and the number of times each event was related to their ADF service. Participants were then required to indicate which of the events they indicated </w:t>
      </w:r>
      <w:r w:rsidR="00462A0C" w:rsidRPr="005B0796">
        <w:t>‘</w:t>
      </w:r>
      <w:r w:rsidRPr="005B0796">
        <w:t>yes</w:t>
      </w:r>
      <w:r w:rsidR="00462A0C" w:rsidRPr="005B0796">
        <w:t>’</w:t>
      </w:r>
      <w:r w:rsidRPr="005B0796">
        <w:t xml:space="preserve"> to was their worst event.</w:t>
      </w:r>
    </w:p>
    <w:p w:rsidR="009B20BD" w:rsidRPr="005B0796" w:rsidRDefault="009B20BD" w:rsidP="007448A6">
      <w:pPr>
        <w:pStyle w:val="Heading5"/>
        <w:rPr>
          <w:lang w:val="en-AU"/>
        </w:rPr>
      </w:pPr>
      <w:r w:rsidRPr="005B0796">
        <w:rPr>
          <w:lang w:val="en-AU"/>
        </w:rPr>
        <w:t>Posttraumatic Stress Disorder</w:t>
      </w:r>
    </w:p>
    <w:p w:rsidR="009B20BD" w:rsidRPr="005B0796" w:rsidRDefault="009B20BD" w:rsidP="007448A6">
      <w:r w:rsidRPr="005B0796">
        <w:t xml:space="preserve">The Post Traumatic Stress Disorder Checklist- civilian version (PCL-C) </w:t>
      </w:r>
      <w:r w:rsidRPr="005B0796">
        <w:fldChar w:fldCharType="begin"/>
      </w:r>
      <w:r w:rsidRPr="005B0796">
        <w:instrText xml:space="preserve"> ADDIN EN.CITE &lt;EndNote&gt;&lt;Cite&gt;&lt;Author&gt;Weathers&lt;/Author&gt;&lt;Year&gt;1993&lt;/Year&gt;&lt;RecNum&gt;452&lt;/RecNum&gt;&lt;DisplayText&gt;(Weathers, 1993)&lt;/DisplayText&gt;&lt;record&gt;&lt;rec-number&gt;452&lt;/rec-number&gt;&lt;foreign-keys&gt;&lt;key app="EN" db-id="arwdrezp9sdawxevtfyxtfw10exvr5exxfed" timestamp="1478238811"&gt;452&lt;/key&gt;&lt;/foreign-keys&gt;&lt;ref-type name="Conference Paper"&gt;47&lt;/ref-type&gt;&lt;contributors&gt;&lt;authors&gt;&lt;author&gt;Weathers, F. W., Litz, B. T., Herman, D. S., Huska, J. A., &amp;amp; Keane, T. M&lt;/author&gt;&lt;/authors&gt;&lt;/contributors&gt;&lt;titles&gt;&lt;title&gt;The PTSD Checklist (PCL): Reliability, validity, and diagnostic utility.&lt;/title&gt;&lt;secondary-title&gt;Paper presented at the 9th Annual Conference of the ISTSS&lt;/secondary-title&gt;&lt;/titles&gt;&lt;dates&gt;&lt;year&gt;1993&lt;/year&gt;&lt;/dates&gt;&lt;pub-location&gt;San Antonio, TX.&lt;/pub-location&gt;&lt;urls&gt;&lt;/urls&gt;&lt;/record&gt;&lt;/Cite&gt;&lt;/EndNote&gt;</w:instrText>
      </w:r>
      <w:r w:rsidRPr="005B0796">
        <w:fldChar w:fldCharType="separate"/>
      </w:r>
      <w:r w:rsidRPr="005B0796">
        <w:t>(Weathers, 1993)</w:t>
      </w:r>
      <w:r w:rsidRPr="005B0796">
        <w:fldChar w:fldCharType="end"/>
      </w:r>
      <w:r w:rsidRPr="005B0796">
        <w:t xml:space="preserve"> is a 17 item self-report measure designed to assess the symptomatic criteria of PTSD according to the Diagnostic and Statistical Manual of Mental Disorders, fourth edition (DSM-IV). The 17 questions of the PCL-C are scored from 1 to 5 and are summed to give a total symptom severity score of between 17 and 85. An additional 4 items from the newly released PCL-5 were also included, giving researchers flexibility to also measure PTSD symptoms according to the most recent definitional criteria. </w:t>
      </w:r>
    </w:p>
    <w:p w:rsidR="009B20BD" w:rsidRPr="005B0796" w:rsidRDefault="009B20BD" w:rsidP="007448A6">
      <w:pPr>
        <w:pStyle w:val="Heading5"/>
        <w:rPr>
          <w:lang w:val="en-AU"/>
        </w:rPr>
      </w:pPr>
      <w:r w:rsidRPr="005B0796">
        <w:rPr>
          <w:lang w:val="en-AU"/>
        </w:rPr>
        <w:t>Recent life events</w:t>
      </w:r>
    </w:p>
    <w:p w:rsidR="009B20BD" w:rsidRPr="005B0796" w:rsidRDefault="009B20BD" w:rsidP="007448A6">
      <w:r w:rsidRPr="005B0796">
        <w:t xml:space="preserve">Participants completed a modified, 15-item version of the List of Threatening Experiences </w:t>
      </w:r>
      <w:r w:rsidRPr="005B0796">
        <w:fldChar w:fldCharType="begin"/>
      </w:r>
      <w:r w:rsidRPr="005B0796">
        <w:instrText xml:space="preserve"> ADDIN EN.CITE &lt;EndNote&gt;&lt;Cite&gt;&lt;Author&gt;Brugha&lt;/Author&gt;&lt;Year&gt;1985&lt;/Year&gt;&lt;RecNum&gt;678&lt;/RecNum&gt;&lt;DisplayText&gt;(Brugha et al., 1985)&lt;/DisplayText&gt;&lt;record&gt;&lt;rec-number&gt;678&lt;/rec-number&gt;&lt;foreign-keys&gt;&lt;key app="EN" db-id="arwdrezp9sdawxevtfyxtfw10exvr5exxfed" timestamp="1488860880"&gt;678&lt;/key&gt;&lt;/foreign-keys&gt;&lt;ref-type name="Journal Article"&gt;17&lt;/ref-type&gt;&lt;contributors&gt;&lt;authors&gt;&lt;author&gt;Brugha, T.&lt;/author&gt;&lt;author&gt;Bebbington, P.&lt;/author&gt;&lt;author&gt;Tennant, C.&lt;/author&gt;&lt;author&gt;Hurry, J.&lt;/author&gt;&lt;/authors&gt;&lt;/contributors&gt;&lt;titles&gt;&lt;title&gt;The List of Threatening Experiences: a subset of 12 life event categories with considerable long-term contextual threat&lt;/title&gt;&lt;secondary-title&gt;Psychol Med&lt;/secondary-title&gt;&lt;/titles&gt;&lt;periodical&gt;&lt;full-title&gt;Psychol Med&lt;/full-title&gt;&lt;/periodical&gt;&lt;pages&gt;189-94&lt;/pages&gt;&lt;volume&gt;15&lt;/volume&gt;&lt;number&gt;1&lt;/number&gt;&lt;keywords&gt;&lt;keyword&gt;Adaptation, Psychological&lt;/keyword&gt;&lt;keyword&gt;Humans&lt;/keyword&gt;&lt;keyword&gt;Life Change Events&lt;/keyword&gt;&lt;keyword&gt;Mood Disorders/diagnosis/ psychology&lt;/keyword&gt;&lt;keyword&gt;Psychiatric Status Rating Scales&lt;/keyword&gt;&lt;keyword&gt;Psychometrics&lt;/keyword&gt;&lt;/keywords&gt;&lt;dates&gt;&lt;year&gt;1985&lt;/year&gt;&lt;pub-dates&gt;&lt;date&gt;Feb&lt;/date&gt;&lt;/pub-dates&gt;&lt;/dates&gt;&lt;isbn&gt;0033-2917 (Print)&lt;/isbn&gt;&lt;accession-num&gt;3991833&lt;/accession-num&gt;&lt;urls&gt;&lt;/urls&gt;&lt;/record&gt;&lt;/Cite&gt;&lt;/EndNote&gt;</w:instrText>
      </w:r>
      <w:r w:rsidRPr="005B0796">
        <w:fldChar w:fldCharType="separate"/>
      </w:r>
      <w:r w:rsidRPr="005B0796">
        <w:t>(Brugha et al., 1985)</w:t>
      </w:r>
      <w:r w:rsidRPr="005B0796">
        <w:fldChar w:fldCharType="end"/>
      </w:r>
      <w:r w:rsidRPr="005B0796">
        <w:t xml:space="preserve">. This brief questionnaire is frequently used to assess recent stressful life events. Participants were asked to indicate </w:t>
      </w:r>
      <w:r w:rsidR="00462A0C" w:rsidRPr="005B0796">
        <w:t>‘</w:t>
      </w:r>
      <w:r w:rsidRPr="005B0796">
        <w:t>yes</w:t>
      </w:r>
      <w:r w:rsidR="00462A0C" w:rsidRPr="005B0796">
        <w:t>’</w:t>
      </w:r>
      <w:r w:rsidRPr="005B0796">
        <w:t xml:space="preserve"> if the event had occurred in the last 12 months, and whether or not it was still having an effect on their life. Examples of events include </w:t>
      </w:r>
      <w:r w:rsidR="00462A0C" w:rsidRPr="005B0796">
        <w:t>‘</w:t>
      </w:r>
      <w:r w:rsidRPr="005B0796">
        <w:t>your parent, child or spouse died</w:t>
      </w:r>
      <w:r w:rsidR="00462A0C" w:rsidRPr="005B0796">
        <w:t>’</w:t>
      </w:r>
      <w:r w:rsidRPr="005B0796">
        <w:t xml:space="preserve">, </w:t>
      </w:r>
      <w:r w:rsidR="00462A0C" w:rsidRPr="005B0796">
        <w:t>‘</w:t>
      </w:r>
      <w:r w:rsidRPr="005B0796">
        <w:t>you had a major financial crisis</w:t>
      </w:r>
      <w:r w:rsidR="00462A0C" w:rsidRPr="005B0796">
        <w:t>’</w:t>
      </w:r>
      <w:r w:rsidRPr="005B0796">
        <w:t xml:space="preserve"> and </w:t>
      </w:r>
      <w:r w:rsidR="00462A0C" w:rsidRPr="005B0796">
        <w:t>‘</w:t>
      </w:r>
      <w:r w:rsidRPr="005B0796">
        <w:t>you broke off a steady relationship</w:t>
      </w:r>
      <w:r w:rsidR="00462A0C" w:rsidRPr="005B0796">
        <w:t>’</w:t>
      </w:r>
      <w:r w:rsidRPr="005B0796">
        <w:t xml:space="preserve">. </w:t>
      </w:r>
    </w:p>
    <w:p w:rsidR="009B20BD" w:rsidRPr="005B0796" w:rsidRDefault="009B20BD" w:rsidP="007448A6">
      <w:pPr>
        <w:pStyle w:val="Heading5"/>
        <w:rPr>
          <w:lang w:val="en-AU"/>
        </w:rPr>
      </w:pPr>
      <w:r w:rsidRPr="005B0796">
        <w:rPr>
          <w:lang w:val="en-AU"/>
        </w:rPr>
        <w:t>Alcohol use</w:t>
      </w:r>
    </w:p>
    <w:p w:rsidR="009B20BD" w:rsidRPr="005B0796" w:rsidRDefault="009B20BD" w:rsidP="007448A6">
      <w:r w:rsidRPr="005B0796">
        <w:t xml:space="preserve">Alcohol consumption and problem drinking was examined using the Alcohol Use Disorders Identification Test (AUDIT) </w:t>
      </w:r>
      <w:r w:rsidRPr="005B0796">
        <w:fldChar w:fldCharType="begin"/>
      </w:r>
      <w:r w:rsidRPr="005B0796">
        <w:instrText xml:space="preserve"> ADDIN EN.CITE &lt;EndNote&gt;&lt;Cite&gt;&lt;Author&gt;Saunders&lt;/Author&gt;&lt;Year&gt;1993&lt;/Year&gt;&lt;RecNum&gt;444&lt;/RecNum&gt;&lt;DisplayText&gt;(Saunders et al., 1993)&lt;/DisplayText&gt;&lt;record&gt;&lt;rec-number&gt;444&lt;/rec-number&gt;&lt;foreign-keys&gt;&lt;key app="EN" db-id="arwdrezp9sdawxevtfyxtfw10exvr5exxfed" timestamp="1478237290"&gt;444&lt;/key&gt;&lt;/foreign-keys&gt;&lt;ref-type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(Linking)&lt;/isbn&gt;&lt;accession-num&gt;8329970&lt;/accession-num&gt;&lt;urls&gt;&lt;related-urls&gt;&lt;url&gt;http://www.ncbi.nlm.nih.gov/pubmed/8329970&lt;/url&gt;&lt;/related-urls&gt;&lt;/urls&gt;&lt;/record&gt;&lt;/Cite&gt;&lt;/EndNote&gt;</w:instrText>
      </w:r>
      <w:r w:rsidRPr="005B0796">
        <w:fldChar w:fldCharType="separate"/>
      </w:r>
      <w:r w:rsidRPr="005B0796">
        <w:t>(Saunders et al., 1993)</w:t>
      </w:r>
      <w:r w:rsidRPr="005B0796">
        <w:fldChar w:fldCharType="end"/>
      </w:r>
      <w:r w:rsidRPr="005B0796">
        <w:t xml:space="preserve">,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w:t>
      </w:r>
      <w:r w:rsidRPr="005B0796">
        <w:fldChar w:fldCharType="begin"/>
      </w:r>
      <w:r w:rsidRPr="005B0796">
        <w:instrText xml:space="preserve"> ADDIN EN.CITE &lt;EndNote&gt;&lt;Cite&gt;&lt;Author&gt;Babor&lt;/Author&gt;&lt;Year&gt;2001&lt;/Year&gt;&lt;RecNum&gt;505&lt;/RecNum&gt;&lt;DisplayText&gt;(Babor et al., 2001)&lt;/DisplayText&gt;&lt;record&gt;&lt;rec-number&gt;505&lt;/rec-number&gt;&lt;foreign-keys&gt;&lt;key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5B0796">
        <w:fldChar w:fldCharType="separate"/>
      </w:r>
      <w:r w:rsidRPr="005B0796">
        <w:t>(Babor et al., 2001)</w:t>
      </w:r>
      <w:r w:rsidRPr="005B0796">
        <w:fldChar w:fldCharType="end"/>
      </w:r>
      <w:r w:rsidRPr="005B0796">
        <w:t xml:space="preserve">. Currently the recommended World Health Organization (WHO) risk categories are utilised with ADF populations and are also therefore the scoring categories utilised in this study. This process identifies four bands of risk: Band 1 (scores of 0-7) represents those who would benefit from alcohol education; Band 2 (8-15) represents those that are likely to require simple advice; Band 3 (scores of 16-19) are those where counselling and continued monitoring is recommended; Band 4 (Scores of 20-40) requires diagnostic evaluation and treatment, including counselling and monitoring </w:t>
      </w:r>
      <w:r w:rsidRPr="005B0796">
        <w:fldChar w:fldCharType="begin"/>
      </w:r>
      <w:r w:rsidRPr="005B0796">
        <w:instrText xml:space="preserve"> ADDIN EN.CITE &lt;EndNote&gt;&lt;Cite&gt;&lt;Author&gt;Babor&lt;/Author&gt;&lt;Year&gt;1989&lt;/Year&gt;&lt;RecNum&gt;607&lt;/RecNum&gt;&lt;DisplayText&gt;(Babor et al., 1989; Babor et al., 2001)&lt;/DisplayText&gt;&lt;record&gt;&lt;rec-number&gt;607&lt;/rec-number&gt;&lt;foreign-keys&gt;&lt;key app="EN" db-id="arwdrezp9sdawxevtfyxtfw10exvr5exxfed" timestamp="1479359602"&gt;607&lt;/key&gt;&lt;/foreign-keys&gt;&lt;ref-type name="Book"&gt;6&lt;/ref-type&gt;&lt;contributors&gt;&lt;authors&gt;&lt;author&gt;Babor, E.&lt;/author&gt;&lt;author&gt;Fuente, J.&lt;/author&gt;&lt;author&gt;Saunders, J.&lt;/author&gt;&lt;author&gt;Grant, M.  &lt;/author&gt;&lt;/authors&gt;&lt;/contributors&gt;&lt;titles&gt;&lt;title&gt;The Alcohol Use Disorder Identification Test : Guidelines for use in primary health care&lt;/title&gt;&lt;/titles&gt;&lt;dates&gt;&lt;year&gt;1989&lt;/year&gt;&lt;/dates&gt;&lt;pub-location&gt;Geneva&lt;/pub-location&gt;&lt;publisher&gt;World Health Organisation, Division of Mental Health &lt;/publisher&gt;&lt;urls&gt;&lt;/urls&gt;&lt;/record&gt;&lt;/Cite&gt;&lt;Cite&gt;&lt;Author&gt;Babor&lt;/Author&gt;&lt;Year&gt;2001&lt;/Year&gt;&lt;RecNum&gt;505&lt;/RecNum&gt;&lt;record&gt;&lt;rec-number&gt;505&lt;/rec-number&gt;&lt;foreign-keys&gt;&lt;key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5B0796">
        <w:fldChar w:fldCharType="separate"/>
      </w:r>
      <w:r w:rsidRPr="005B0796">
        <w:t>(Babor et al., 1989; Babor et al., 2001)</w:t>
      </w:r>
      <w:r w:rsidRPr="005B0796">
        <w:fldChar w:fldCharType="end"/>
      </w:r>
      <w:r w:rsidRPr="005B0796">
        <w:t>.</w:t>
      </w:r>
    </w:p>
    <w:p w:rsidR="009B20BD" w:rsidRPr="005B0796" w:rsidRDefault="009B20BD" w:rsidP="007448A6">
      <w:r w:rsidRPr="005B0796">
        <w:t xml:space="preserve">Two additional supplementary items of the AUDIT were also included in the questionnaire as well as additional items on consumption to ensure comparability with the Australian National Health Survey 2011-2012 </w:t>
      </w:r>
      <w:r w:rsidRPr="005B0796">
        <w:fldChar w:fldCharType="begin"/>
      </w:r>
      <w:r w:rsidRPr="005B0796">
        <w:instrText xml:space="preserve"> ADDIN EN.CITE &lt;EndNote&gt;&lt;Cite&gt;&lt;Author&gt;Australian Bureau of Statistics&lt;/Author&gt;&lt;Year&gt;2012&lt;/Year&gt;&lt;RecNum&gt;506&lt;/RecNum&gt;&lt;DisplayText&gt;(Australian Bureau of Statistics, 2012)&lt;/DisplayText&gt;&lt;record&gt;&lt;rec-number&gt;506&lt;/rec-number&gt;&lt;foreign-keys&gt;&lt;key app="EN" db-id="arwdrezp9sdawxevtfyxtfw10exvr5exxfed" timestamp="1478574739"&gt;506&lt;/key&gt;&lt;/foreign-keys&gt;&lt;ref-type name="Book"&gt;6&lt;/ref-type&gt;&lt;contributors&gt;&lt;authors&gt;&lt;author&gt;Australian Bureau of Statistics,&lt;/author&gt;&lt;/authors&gt;&lt;/contributors&gt;&lt;titles&gt;&lt;title&gt;Australian Health Survey: First Results, 2011-12&lt;/title&gt;&lt;/titles&gt;&lt;dates&gt;&lt;year&gt;2012&lt;/year&gt;&lt;/dates&gt;&lt;pub-location&gt;Cat no 4364.0.55.001. Canberra&lt;/pub-location&gt;&lt;publisher&gt;Australian Bureau of Statistics&lt;/publisher&gt;&lt;urls&gt;&lt;/urls&gt;&lt;/record&gt;&lt;/Cite&gt;&lt;/EndNote&gt;</w:instrText>
      </w:r>
      <w:r w:rsidRPr="005B0796">
        <w:fldChar w:fldCharType="separate"/>
      </w:r>
      <w:r w:rsidRPr="005B0796">
        <w:t>(Australian Bureau of Statistics, 2012)</w:t>
      </w:r>
      <w:r w:rsidRPr="005B0796">
        <w:fldChar w:fldCharType="end"/>
      </w:r>
      <w:r w:rsidRPr="005B0796">
        <w:t>.</w:t>
      </w:r>
    </w:p>
    <w:p w:rsidR="009B20BD" w:rsidRPr="005B0796" w:rsidRDefault="009B20BD" w:rsidP="007448A6">
      <w:pPr>
        <w:pStyle w:val="Heading5"/>
        <w:rPr>
          <w:lang w:val="en-AU"/>
        </w:rPr>
      </w:pPr>
      <w:r w:rsidRPr="005B0796">
        <w:rPr>
          <w:lang w:val="en-AU"/>
        </w:rPr>
        <w:t>Tobacco use</w:t>
      </w:r>
    </w:p>
    <w:p w:rsidR="009B20BD" w:rsidRPr="005B0796" w:rsidRDefault="009B20BD" w:rsidP="004F17A6">
      <w:pPr>
        <w:keepLines/>
      </w:pPr>
      <w:r w:rsidRPr="005B0796">
        <w:t xml:space="preserve">Items assessing tobacco usage were taken from the 2013 National Drug Strategy Survey </w:t>
      </w:r>
      <w:r w:rsidRPr="005B0796">
        <w:fldChar w:fldCharType="begin"/>
      </w:r>
      <w:r w:rsidRPr="005B0796">
        <w:instrText xml:space="preserve"> ADDIN EN.CITE &lt;EndNote&gt;&lt;Cite&gt;&lt;Author&gt;Australian Institute of Health and Welfare&lt;/Author&gt;&lt;Year&gt;2011&lt;/Year&gt;&lt;RecNum&gt;438&lt;/RecNum&gt;&lt;DisplayText&gt;(Australian Institute of Health and Welfare, 2011)&lt;/DisplayText&gt;&lt;record&gt;&lt;rec-number&gt;438&lt;/rec-number&gt;&lt;foreign-keys&gt;&lt;key app="EN" db-id="arwdrezp9sdawxevtfyxtfw10exvr5exxfed" timestamp="1478233743"&gt;438&lt;/key&gt;&lt;/foreign-keys&gt;&lt;ref-type name="Book"&gt;6&lt;/ref-type&gt;&lt;contributors&gt;&lt;authors&gt;&lt;author&gt;Australian Institute of Health and Welfare,&lt;/author&gt;&lt;/authors&gt;&lt;/contributors&gt;&lt;titles&gt;&lt;title&gt;2010 National Drug Strategy Household Survey report.&lt;/title&gt;&lt;/titles&gt;&lt;dates&gt;&lt;year&gt;2011&lt;/year&gt;&lt;/dates&gt;&lt;pub-location&gt; Canberra&lt;/pub-location&gt;&lt;urls&gt;&lt;/urls&gt;&lt;/record&gt;&lt;/Cite&gt;&lt;/EndNote&gt;</w:instrText>
      </w:r>
      <w:r w:rsidRPr="005B0796">
        <w:fldChar w:fldCharType="separate"/>
      </w:r>
      <w:r w:rsidRPr="005B0796">
        <w:t>(Australian Institute of Health and Welfare, 2011)</w:t>
      </w:r>
      <w:r w:rsidRPr="005B0796">
        <w:fldChar w:fldCharType="end"/>
      </w:r>
      <w:r w:rsidRPr="005B0796">
        <w:t xml:space="preserve"> and the 2010 Mental Health Prevalence Wellbeing Study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Participants were asked a series of questions about their past and present tobacco usage including frequency of use, the ages they started and stopped smoking daily, and the types of tobacco products they had smoked in the last year.</w:t>
      </w:r>
    </w:p>
    <w:p w:rsidR="009B20BD" w:rsidRPr="005B0796" w:rsidRDefault="009B20BD" w:rsidP="007448A6">
      <w:pPr>
        <w:pStyle w:val="Heading5"/>
        <w:rPr>
          <w:lang w:val="en-AU"/>
        </w:rPr>
      </w:pPr>
      <w:r w:rsidRPr="005B0796">
        <w:rPr>
          <w:lang w:val="en-AU"/>
        </w:rPr>
        <w:t>Drug use</w:t>
      </w:r>
    </w:p>
    <w:p w:rsidR="009B20BD" w:rsidRPr="005B0796" w:rsidRDefault="009B20BD" w:rsidP="007448A6">
      <w:r w:rsidRPr="005B0796">
        <w:t xml:space="preserve">12-month and lifetime Drug use in Transitioned ADF only was measured using modified Items from the 2013 National Drug Strategy Survey </w:t>
      </w:r>
      <w:r w:rsidRPr="005B0796">
        <w:fldChar w:fldCharType="begin"/>
      </w:r>
      <w:r w:rsidRPr="005B0796">
        <w:instrText xml:space="preserve"> ADDIN EN.CITE &lt;EndNote&gt;&lt;Cite&gt;&lt;Author&gt;Australian Institute of Health and Welfare&lt;/Author&gt;&lt;Year&gt;2011&lt;/Year&gt;&lt;RecNum&gt;438&lt;/RecNum&gt;&lt;DisplayText&gt;(Australian Institute of Health and Welfare, 2011)&lt;/DisplayText&gt;&lt;record&gt;&lt;rec-number&gt;438&lt;/rec-number&gt;&lt;foreign-keys&gt;&lt;key app="EN" db-id="arwdrezp9sdawxevtfyxtfw10exvr5exxfed" timestamp="1478233743"&gt;438&lt;/key&gt;&lt;/foreign-keys&gt;&lt;ref-type name="Book"&gt;6&lt;/ref-type&gt;&lt;contributors&gt;&lt;authors&gt;&lt;author&gt;Australian Institute of Health and Welfare,&lt;/author&gt;&lt;/authors&gt;&lt;/contributors&gt;&lt;titles&gt;&lt;title&gt;2010 National Drug Strategy Household Survey report.&lt;/title&gt;&lt;/titles&gt;&lt;dates&gt;&lt;year&gt;2011&lt;/year&gt;&lt;/dates&gt;&lt;pub-location&gt; Canberra&lt;/pub-location&gt;&lt;urls&gt;&lt;/urls&gt;&lt;/record&gt;&lt;/Cite&gt;&lt;/EndNote&gt;</w:instrText>
      </w:r>
      <w:r w:rsidRPr="005B0796">
        <w:fldChar w:fldCharType="separate"/>
      </w:r>
      <w:r w:rsidRPr="005B0796">
        <w:t>(Australian Institute of Health and Welfare, 2011)</w:t>
      </w:r>
      <w:r w:rsidRPr="005B0796">
        <w:fldChar w:fldCharType="end"/>
      </w:r>
      <w:r w:rsidRPr="005B0796">
        <w:t xml:space="preserve">. Transitioned ADF were asked a series of questions about two categories of drugs; (1) illicit drugs (including meth/amphetamines, marijuana, heroin, methadone or buprenorphine, cocaine, hallucinogens, ecstasy, ketamine, GHB, inhalants, opiates, opioids) and (2) prescription drugs (including painkillers/analgesics, tranquilisers/sleeping pills) for non-medical purposes (where the term non-medical purposes was defined as either alone or with other drugs in order to induce or enhance a drug experience). Participants were asked if they had ever used these drugs in their lifetime or the last 12 months, and the age that they first used them. </w:t>
      </w:r>
    </w:p>
    <w:p w:rsidR="009B20BD" w:rsidRPr="005B0796" w:rsidRDefault="009B20BD" w:rsidP="007448A6">
      <w:pPr>
        <w:pStyle w:val="Heading5"/>
        <w:rPr>
          <w:lang w:val="en-AU"/>
        </w:rPr>
      </w:pPr>
      <w:r w:rsidRPr="005B0796">
        <w:rPr>
          <w:lang w:val="en-AU"/>
        </w:rPr>
        <w:t>Functioning</w:t>
      </w:r>
    </w:p>
    <w:p w:rsidR="009B20BD" w:rsidRPr="005B0796" w:rsidRDefault="009B20BD" w:rsidP="007448A6">
      <w:r w:rsidRPr="005B0796">
        <w:t xml:space="preserve">Functional impairment was assessed via the Sheehan Disability Scale </w:t>
      </w:r>
      <w:r w:rsidRPr="005B0796">
        <w:fldChar w:fldCharType="begin"/>
      </w:r>
      <w:r w:rsidRPr="005B0796">
        <w:instrText xml:space="preserve"> ADDIN EN.CITE &lt;EndNote&gt;&lt;Cite&gt;&lt;Author&gt;Sheehan&lt;/Author&gt;&lt;Year&gt;1983&lt;/Year&gt;&lt;RecNum&gt;454&lt;/RecNum&gt;&lt;DisplayText&gt;(Sheehan, 1983)&lt;/DisplayText&gt;&lt;record&gt;&lt;rec-number&gt;454&lt;/rec-number&gt;&lt;foreign-keys&gt;&lt;key app="EN" db-id="arwdrezp9sdawxevtfyxtfw10exvr5exxfed" timestamp="1478239165"&gt;454&lt;/key&gt;&lt;/foreign-keys&gt;&lt;ref-type name="Book"&gt;6&lt;/ref-type&gt;&lt;contributors&gt;&lt;authors&gt;&lt;author&gt;Sheehan, D.V.&lt;/author&gt;&lt;/authors&gt;&lt;/contributors&gt;&lt;titles&gt;&lt;title&gt;The Anxiety Disease&lt;/title&gt;&lt;/titles&gt;&lt;dates&gt;&lt;year&gt;1983&lt;/year&gt;&lt;/dates&gt;&lt;pub-location&gt;New York&lt;/pub-location&gt;&lt;publisher&gt;Charles Scribner and Sons.&lt;/publisher&gt;&lt;urls&gt;&lt;/urls&gt;&lt;/record&gt;&lt;/Cite&gt;&lt;/EndNote&gt;</w:instrText>
      </w:r>
      <w:r w:rsidRPr="005B0796">
        <w:fldChar w:fldCharType="separate"/>
      </w:r>
      <w:r w:rsidRPr="005B0796">
        <w:t>(Sheehan, 1983)</w:t>
      </w:r>
      <w:r w:rsidRPr="005B0796">
        <w:fldChar w:fldCharType="end"/>
      </w:r>
      <w:r w:rsidRPr="005B0796">
        <w:t xml:space="preserve">, a 5-item self-report measure of disability due to mental health symptoms in three inter-related domains; work/school, social life and family life. The 3 items assessing impairment in the 3 domains are scored from 0 to 10 and can yield a total global functional impairment score of between 0 and 30. </w:t>
      </w:r>
    </w:p>
    <w:p w:rsidR="009B20BD" w:rsidRPr="005B0796" w:rsidRDefault="009B20BD" w:rsidP="007448A6">
      <w:pPr>
        <w:pStyle w:val="Heading5"/>
        <w:rPr>
          <w:rFonts w:cs="Arial"/>
          <w:lang w:val="en-AU"/>
        </w:rPr>
      </w:pPr>
      <w:r w:rsidRPr="005B0796">
        <w:rPr>
          <w:lang w:val="en-AU"/>
        </w:rPr>
        <w:t>Getting help</w:t>
      </w:r>
    </w:p>
    <w:p w:rsidR="009B20BD" w:rsidRPr="005B0796" w:rsidRDefault="009B20BD" w:rsidP="007448A6">
      <w:r w:rsidRPr="005B0796">
        <w:t xml:space="preserve">This section of the survey was developed by key study investigators with specific knowledge and experience within the field. Other items were taken from the </w:t>
      </w:r>
      <w:r w:rsidRPr="005B0796">
        <w:fldChar w:fldCharType="begin"/>
      </w:r>
      <w:r w:rsidRPr="005B0796">
        <w:instrText xml:space="preserve"> ADDIN EN.CITE &lt;EndNote&gt;&lt;Cite AuthorYear="1"&gt;&lt;Author&gt;Australian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5B0796">
        <w:fldChar w:fldCharType="separate"/>
      </w:r>
      <w:r w:rsidRPr="005B0796">
        <w:t>Australian Bureau of Statistics (2008)</w:t>
      </w:r>
      <w:r w:rsidRPr="005B0796">
        <w:fldChar w:fldCharType="end"/>
      </w:r>
      <w:r w:rsidRPr="005B0796">
        <w:t xml:space="preserve">, the CIDI 3.O </w:t>
      </w:r>
      <w:r w:rsidRPr="005B0796">
        <w:fldChar w:fldCharType="begin"/>
      </w:r>
      <w:r w:rsidRPr="005B0796">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fldChar w:fldCharType="separate"/>
      </w:r>
      <w:r w:rsidRPr="005B0796">
        <w:t>(Haro et al., 2006)</w:t>
      </w:r>
      <w:r w:rsidRPr="005B0796">
        <w:fldChar w:fldCharType="end"/>
      </w:r>
      <w:r w:rsidRPr="005B0796">
        <w:t xml:space="preserve"> and the 2010 Mental Health Wellbeing Prevalence Study </w:t>
      </w:r>
      <w:r w:rsidRPr="005B0796">
        <w:fldChar w:fldCharType="begin"/>
      </w:r>
      <w:r w:rsidRPr="005B0796">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fldChar w:fldCharType="separate"/>
      </w:r>
      <w:r w:rsidRPr="005B0796">
        <w:t>(McFarlane et al., 2011)</w:t>
      </w:r>
      <w:r w:rsidRPr="005B0796">
        <w:fldChar w:fldCharType="end"/>
      </w:r>
      <w:r w:rsidRPr="005B0796">
        <w:t xml:space="preserve"> and modified by investigators to suit the current research.</w:t>
      </w:r>
    </w:p>
    <w:p w:rsidR="009B20BD" w:rsidRPr="005B0796" w:rsidRDefault="009B20BD" w:rsidP="007448A6">
      <w:pPr>
        <w:pStyle w:val="Bullet"/>
        <w:spacing w:after="120"/>
        <w:rPr>
          <w:b/>
          <w:lang w:eastAsia="en-AU"/>
        </w:rPr>
      </w:pPr>
      <w:r w:rsidRPr="005B0796">
        <w:rPr>
          <w:b/>
          <w:lang w:eastAsia="en-AU"/>
        </w:rPr>
        <w:t>Means of informing/assessing and maintaining mental health:</w:t>
      </w:r>
    </w:p>
    <w:p w:rsidR="009B20BD" w:rsidRPr="005B0796" w:rsidRDefault="009B20BD" w:rsidP="007448A6">
      <w:pPr>
        <w:ind w:left="360"/>
        <w:rPr>
          <w:lang w:eastAsia="en-AU"/>
        </w:rPr>
      </w:pPr>
      <w:r w:rsidRPr="005B0796">
        <w:rPr>
          <w:lang w:eastAsia="en-AU"/>
        </w:rPr>
        <w:t xml:space="preserve">The first series of questions looked at specific help-seeking strategies utilised by participants to inform/assess and maintain their mental health in the last 12 months, and whether or not they found these strategies to be helpful. The 32 items looking at ways in which people informed/assessed their mental health were developed specifically for the study by researchers. The 4 items looking at the ways in which people maintained their mental health were taken from the CIDI 3.0 </w:t>
      </w:r>
      <w:r w:rsidRPr="005B0796">
        <w:rPr>
          <w:lang w:eastAsia="en-AU"/>
        </w:rPr>
        <w:fldChar w:fldCharType="begin"/>
      </w:r>
      <w:r w:rsidRPr="005B0796">
        <w:rPr>
          <w:lang w:eastAsia="en-AU"/>
        </w:rPr>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rPr>
          <w:lang w:eastAsia="en-AU"/>
        </w:rPr>
        <w:fldChar w:fldCharType="separate"/>
      </w:r>
      <w:r w:rsidRPr="005B0796">
        <w:rPr>
          <w:lang w:eastAsia="en-AU"/>
        </w:rPr>
        <w:t>(Haro et al., 2006)</w:t>
      </w:r>
      <w:r w:rsidRPr="005B0796">
        <w:rPr>
          <w:lang w:eastAsia="en-AU"/>
        </w:rPr>
        <w:fldChar w:fldCharType="end"/>
      </w:r>
      <w:r w:rsidRPr="005B0796">
        <w:rPr>
          <w:lang w:eastAsia="en-AU"/>
        </w:rPr>
        <w:t>.</w:t>
      </w:r>
    </w:p>
    <w:p w:rsidR="009B20BD" w:rsidRPr="005B0796" w:rsidRDefault="009B20BD" w:rsidP="007448A6">
      <w:pPr>
        <w:ind w:left="360"/>
        <w:rPr>
          <w:lang w:eastAsia="en-AU"/>
        </w:rPr>
      </w:pPr>
      <w:r w:rsidRPr="005B0796">
        <w:rPr>
          <w:lang w:eastAsia="en-AU"/>
        </w:rPr>
        <w:t>A single item asked participants to indicate their preferred means of receiving information about their mental health. Options included via telephone, the internet, or in person (face to face). This item was developed by researchers for use in the study.</w:t>
      </w:r>
    </w:p>
    <w:p w:rsidR="009B20BD" w:rsidRPr="005B0796" w:rsidRDefault="009B20BD" w:rsidP="007448A6">
      <w:pPr>
        <w:pStyle w:val="Bullet"/>
        <w:spacing w:after="120"/>
        <w:rPr>
          <w:b/>
          <w:lang w:eastAsia="en-AU"/>
        </w:rPr>
      </w:pPr>
      <w:r w:rsidRPr="005B0796">
        <w:rPr>
          <w:b/>
          <w:lang w:eastAsia="en-AU"/>
        </w:rPr>
        <w:t>Barriers and stigmas to care</w:t>
      </w:r>
    </w:p>
    <w:p w:rsidR="009B20BD" w:rsidRPr="005B0796" w:rsidRDefault="009B20BD" w:rsidP="007448A6">
      <w:pPr>
        <w:ind w:left="360"/>
        <w:rPr>
          <w:lang w:eastAsia="en-AU"/>
        </w:rPr>
      </w:pPr>
      <w:r w:rsidRPr="005B0796">
        <w:rPr>
          <w:lang w:eastAsia="en-AU"/>
        </w:rPr>
        <w:t xml:space="preserve">Participants were asked to rate the degree to which a list of </w:t>
      </w:r>
      <w:r w:rsidR="00462A0C" w:rsidRPr="005B0796">
        <w:rPr>
          <w:lang w:eastAsia="en-AU"/>
        </w:rPr>
        <w:t>‘</w:t>
      </w:r>
      <w:r w:rsidRPr="005B0796">
        <w:rPr>
          <w:lang w:eastAsia="en-AU"/>
        </w:rPr>
        <w:t>concerns</w:t>
      </w:r>
      <w:r w:rsidR="00462A0C" w:rsidRPr="005B0796">
        <w:rPr>
          <w:lang w:eastAsia="en-AU"/>
        </w:rPr>
        <w:t>’</w:t>
      </w:r>
      <w:r w:rsidRPr="005B0796">
        <w:rPr>
          <w:lang w:eastAsia="en-AU"/>
        </w:rPr>
        <w:t xml:space="preserve"> might affect their decision to seek help on a 5-point scale. Anchors ranged from </w:t>
      </w:r>
      <w:r w:rsidR="00462A0C" w:rsidRPr="005B0796">
        <w:rPr>
          <w:lang w:eastAsia="en-AU"/>
        </w:rPr>
        <w:t>‘</w:t>
      </w:r>
      <w:r w:rsidRPr="005B0796">
        <w:rPr>
          <w:lang w:eastAsia="en-AU"/>
        </w:rPr>
        <w:t>strongly disagree</w:t>
      </w:r>
      <w:r w:rsidR="00462A0C" w:rsidRPr="005B0796">
        <w:rPr>
          <w:lang w:eastAsia="en-AU"/>
        </w:rPr>
        <w:t>’</w:t>
      </w:r>
      <w:r w:rsidRPr="005B0796">
        <w:rPr>
          <w:lang w:eastAsia="en-AU"/>
        </w:rPr>
        <w:t xml:space="preserve"> to </w:t>
      </w:r>
      <w:r w:rsidR="00462A0C" w:rsidRPr="005B0796">
        <w:rPr>
          <w:lang w:eastAsia="en-AU"/>
        </w:rPr>
        <w:t>‘</w:t>
      </w:r>
      <w:r w:rsidRPr="005B0796">
        <w:rPr>
          <w:lang w:eastAsia="en-AU"/>
        </w:rPr>
        <w:t>strongly agree</w:t>
      </w:r>
      <w:r w:rsidR="00462A0C" w:rsidRPr="005B0796">
        <w:rPr>
          <w:lang w:eastAsia="en-AU"/>
        </w:rPr>
        <w:t>’</w:t>
      </w:r>
      <w:r w:rsidRPr="005B0796">
        <w:rPr>
          <w:lang w:eastAsia="en-AU"/>
        </w:rPr>
        <w:t xml:space="preserve">. Items in this section were taken from the 2010 Mental Health Prevalence Wellbeing Study </w:t>
      </w:r>
      <w:r w:rsidRPr="005B0796">
        <w:rPr>
          <w:lang w:eastAsia="en-AU"/>
        </w:rPr>
        <w:fldChar w:fldCharType="begin"/>
      </w:r>
      <w:r w:rsidRPr="005B0796">
        <w:rPr>
          <w:lang w:eastAsia="en-AU"/>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lang w:eastAsia="en-AU"/>
        </w:rPr>
        <w:fldChar w:fldCharType="separate"/>
      </w:r>
      <w:r w:rsidRPr="005B0796">
        <w:rPr>
          <w:lang w:eastAsia="en-AU"/>
        </w:rPr>
        <w:t>(McFarlane et al., 2011)</w:t>
      </w:r>
      <w:r w:rsidRPr="005B0796">
        <w:rPr>
          <w:lang w:eastAsia="en-AU"/>
        </w:rPr>
        <w:fldChar w:fldCharType="end"/>
      </w:r>
      <w:r w:rsidRPr="005B0796">
        <w:rPr>
          <w:lang w:eastAsia="en-AU"/>
        </w:rPr>
        <w:t xml:space="preserve">, the Canadian Air Forces Recruit Mental Health Service Use Questionnaire </w:t>
      </w:r>
      <w:r w:rsidRPr="005B0796">
        <w:rPr>
          <w:lang w:eastAsia="en-AU"/>
        </w:rPr>
        <w:fldChar w:fldCharType="begin"/>
      </w:r>
      <w:r w:rsidRPr="005B0796">
        <w:rPr>
          <w:lang w:eastAsia="en-AU"/>
        </w:rPr>
        <w:instrText xml:space="preserve"> ADDIN EN.CITE &lt;EndNote&gt;&lt;Cite&gt;&lt;Author&gt;Fikretoglu&lt;/Author&gt;&lt;Year&gt;2014&lt;/Year&gt;&lt;RecNum&gt;510&lt;/RecNum&gt;&lt;DisplayText&gt;(Fikretoglu et al., 2014)&lt;/DisplayText&gt;&lt;record&gt;&lt;rec-number&gt;510&lt;/rec-number&gt;&lt;foreign-keys&gt;&lt;key app="EN" db-id="arwdrezp9sdawxevtfyxtfw10exvr5exxfed" timestamp="1478577326"&gt;510&lt;/key&gt;&lt;/foreign-keys&gt;&lt;ref-type name="Journal Article"&gt;17&lt;/ref-type&gt;&lt;contributors&gt;&lt;authors&gt;&lt;author&gt;Fikretoglu, D.&lt;/author&gt;&lt;author&gt;Blais, A-R.&lt;/author&gt;&lt;author&gt;Lam, Q.&lt;/author&gt;&lt;/authors&gt;&lt;/contributors&gt;&lt;titles&gt;&lt;title&gt;Development and validation of a new Theory of Planned Behavior Questionnaire for mental health service use.&lt;/title&gt;&lt;secondary-title&gt;Manuscript under revision&lt;/secondary-title&gt;&lt;/titles&gt;&lt;periodical&gt;&lt;full-title&gt;Manuscript under revision&lt;/full-title&gt;&lt;/periodical&gt;&lt;dates&gt;&lt;year&gt;2014&lt;/year&gt;&lt;/dates&gt;&lt;urls&gt;&lt;/urls&gt;&lt;/record&gt;&lt;/Cite&gt;&lt;/EndNote&gt;</w:instrText>
      </w:r>
      <w:r w:rsidRPr="005B0796">
        <w:rPr>
          <w:lang w:eastAsia="en-AU"/>
        </w:rPr>
        <w:fldChar w:fldCharType="separate"/>
      </w:r>
      <w:r w:rsidRPr="005B0796">
        <w:rPr>
          <w:lang w:eastAsia="en-AU"/>
        </w:rPr>
        <w:t>(Fikretoglu et al., 2014)</w:t>
      </w:r>
      <w:r w:rsidRPr="005B0796">
        <w:rPr>
          <w:lang w:eastAsia="en-AU"/>
        </w:rPr>
        <w:fldChar w:fldCharType="end"/>
      </w:r>
      <w:r w:rsidRPr="005B0796">
        <w:rPr>
          <w:lang w:eastAsia="en-AU"/>
        </w:rPr>
        <w:t xml:space="preserve">, and the Solider Wellbeing Survey </w:t>
      </w:r>
      <w:r w:rsidRPr="005B0796">
        <w:rPr>
          <w:lang w:eastAsia="en-AU"/>
        </w:rPr>
        <w:fldChar w:fldCharType="begin"/>
      </w:r>
      <w:r w:rsidRPr="005B0796">
        <w:rPr>
          <w:lang w:eastAsia="en-AU"/>
        </w:rPr>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5B0796">
        <w:rPr>
          <w:lang w:eastAsia="en-AU"/>
        </w:rPr>
        <w:fldChar w:fldCharType="separate"/>
      </w:r>
      <w:r w:rsidRPr="005B0796">
        <w:rPr>
          <w:lang w:eastAsia="en-AU"/>
        </w:rPr>
        <w:t>(Riviere, 2011; Thomas et al., 2010)</w:t>
      </w:r>
      <w:r w:rsidRPr="005B0796">
        <w:rPr>
          <w:lang w:eastAsia="en-AU"/>
        </w:rPr>
        <w:fldChar w:fldCharType="end"/>
      </w:r>
      <w:r w:rsidRPr="005B0796">
        <w:rPr>
          <w:lang w:eastAsia="en-AU"/>
        </w:rPr>
        <w:t xml:space="preserve"> with several additions by investigators. Examples of items include </w:t>
      </w:r>
      <w:r w:rsidR="00462A0C" w:rsidRPr="005B0796">
        <w:rPr>
          <w:lang w:eastAsia="en-AU"/>
        </w:rPr>
        <w:t>‘</w:t>
      </w:r>
      <w:r w:rsidRPr="005B0796">
        <w:rPr>
          <w:lang w:eastAsia="en-AU"/>
        </w:rPr>
        <w:t>I wouldn</w:t>
      </w:r>
      <w:r w:rsidR="00462A0C" w:rsidRPr="005B0796">
        <w:rPr>
          <w:lang w:eastAsia="en-AU"/>
        </w:rPr>
        <w:t>’</w:t>
      </w:r>
      <w:r w:rsidRPr="005B0796">
        <w:rPr>
          <w:lang w:eastAsia="en-AU"/>
        </w:rPr>
        <w:t>t know where to get help</w:t>
      </w:r>
      <w:r w:rsidR="00462A0C" w:rsidRPr="005B0796">
        <w:rPr>
          <w:lang w:eastAsia="en-AU"/>
        </w:rPr>
        <w:t>’</w:t>
      </w:r>
      <w:r w:rsidRPr="005B0796">
        <w:rPr>
          <w:lang w:eastAsia="en-AU"/>
        </w:rPr>
        <w:t xml:space="preserve">, </w:t>
      </w:r>
      <w:r w:rsidR="00462A0C" w:rsidRPr="005B0796">
        <w:rPr>
          <w:lang w:eastAsia="en-AU"/>
        </w:rPr>
        <w:t>‘</w:t>
      </w:r>
      <w:r w:rsidRPr="005B0796">
        <w:rPr>
          <w:lang w:eastAsia="en-AU"/>
        </w:rPr>
        <w:t>it</w:t>
      </w:r>
      <w:r w:rsidR="00462A0C" w:rsidRPr="005B0796">
        <w:rPr>
          <w:lang w:eastAsia="en-AU"/>
        </w:rPr>
        <w:t>’</w:t>
      </w:r>
      <w:r w:rsidRPr="005B0796">
        <w:rPr>
          <w:lang w:eastAsia="en-AU"/>
        </w:rPr>
        <w:t>s too expensive</w:t>
      </w:r>
      <w:r w:rsidR="00462A0C" w:rsidRPr="005B0796">
        <w:rPr>
          <w:lang w:eastAsia="en-AU"/>
        </w:rPr>
        <w:t>’</w:t>
      </w:r>
      <w:r w:rsidRPr="005B0796">
        <w:rPr>
          <w:lang w:eastAsia="en-AU"/>
        </w:rPr>
        <w:t xml:space="preserve"> and </w:t>
      </w:r>
      <w:r w:rsidR="00462A0C" w:rsidRPr="005B0796">
        <w:rPr>
          <w:lang w:eastAsia="en-AU"/>
        </w:rPr>
        <w:t>‘</w:t>
      </w:r>
      <w:r w:rsidRPr="005B0796">
        <w:rPr>
          <w:lang w:eastAsia="en-AU"/>
        </w:rPr>
        <w:t>I don</w:t>
      </w:r>
      <w:r w:rsidR="00462A0C" w:rsidRPr="005B0796">
        <w:rPr>
          <w:lang w:eastAsia="en-AU"/>
        </w:rPr>
        <w:t>’</w:t>
      </w:r>
      <w:r w:rsidRPr="005B0796">
        <w:rPr>
          <w:lang w:eastAsia="en-AU"/>
        </w:rPr>
        <w:t>t trust mental health professionals</w:t>
      </w:r>
      <w:r w:rsidR="00462A0C" w:rsidRPr="005B0796">
        <w:rPr>
          <w:lang w:eastAsia="en-AU"/>
        </w:rPr>
        <w:t>’</w:t>
      </w:r>
      <w:r w:rsidRPr="005B0796">
        <w:rPr>
          <w:lang w:eastAsia="en-AU"/>
        </w:rPr>
        <w:t xml:space="preserve">. </w:t>
      </w:r>
    </w:p>
    <w:p w:rsidR="009B20BD" w:rsidRPr="005B0796" w:rsidRDefault="009B20BD" w:rsidP="007448A6">
      <w:pPr>
        <w:ind w:left="360"/>
      </w:pPr>
      <w:r w:rsidRPr="005B0796">
        <w:t xml:space="preserve">This section of the survey also included a question that tapped into unmet needs for help. This question targeted individuals who expressed concerns about their mental health but never sought help. Participants were presented with a list of 7 barriers and asked to indicate how much they disagreed with each one on a 5-point scale ranging from </w:t>
      </w:r>
      <w:r w:rsidR="00462A0C" w:rsidRPr="005B0796">
        <w:t>‘</w:t>
      </w:r>
      <w:r w:rsidRPr="005B0796">
        <w:t>strongly disagree</w:t>
      </w:r>
      <w:r w:rsidR="00462A0C" w:rsidRPr="005B0796">
        <w:t>’</w:t>
      </w:r>
      <w:r w:rsidRPr="005B0796">
        <w:t xml:space="preserve"> to </w:t>
      </w:r>
      <w:r w:rsidR="00462A0C" w:rsidRPr="005B0796">
        <w:t>‘</w:t>
      </w:r>
      <w:r w:rsidRPr="005B0796">
        <w:t>strongly agree</w:t>
      </w:r>
      <w:r w:rsidR="00462A0C" w:rsidRPr="005B0796">
        <w:t>’</w:t>
      </w:r>
      <w:r w:rsidRPr="005B0796">
        <w:t xml:space="preserve">. Examples of statements include </w:t>
      </w:r>
      <w:r w:rsidR="00462A0C" w:rsidRPr="005B0796">
        <w:t>‘</w:t>
      </w:r>
      <w:r w:rsidRPr="005B0796">
        <w:t>I can still function effectively</w:t>
      </w:r>
      <w:r w:rsidR="00462A0C" w:rsidRPr="005B0796">
        <w:t>’</w:t>
      </w:r>
      <w:r w:rsidRPr="005B0796">
        <w:t xml:space="preserve"> and </w:t>
      </w:r>
      <w:r w:rsidR="00462A0C" w:rsidRPr="005B0796">
        <w:t>‘</w:t>
      </w:r>
      <w:r w:rsidRPr="005B0796">
        <w:t>I didn</w:t>
      </w:r>
      <w:r w:rsidR="00462A0C" w:rsidRPr="005B0796">
        <w:t>’</w:t>
      </w:r>
      <w:r w:rsidRPr="005B0796">
        <w:t>t know where to get help</w:t>
      </w:r>
      <w:r w:rsidR="00462A0C" w:rsidRPr="005B0796">
        <w:t>’</w:t>
      </w:r>
      <w:r w:rsidRPr="005B0796">
        <w:t xml:space="preserve">. </w:t>
      </w:r>
    </w:p>
    <w:p w:rsidR="009B20BD" w:rsidRPr="005B0796" w:rsidRDefault="009B20BD" w:rsidP="007448A6">
      <w:pPr>
        <w:ind w:left="360"/>
      </w:pPr>
      <w:r w:rsidRPr="005B0796">
        <w:t xml:space="preserve">Items addressing barriers to care in both of sets of questions listed above fell into the following categories: </w:t>
      </w:r>
    </w:p>
    <w:p w:rsidR="009B20BD" w:rsidRPr="005B0796" w:rsidRDefault="009B20BD" w:rsidP="007448A6">
      <w:pPr>
        <w:pStyle w:val="Dash"/>
        <w:spacing w:after="0"/>
        <w:rPr>
          <w:lang w:eastAsia="en-AU"/>
        </w:rPr>
      </w:pPr>
      <w:r w:rsidRPr="005B0796">
        <w:rPr>
          <w:lang w:eastAsia="en-AU"/>
        </w:rPr>
        <w:t>perceived control</w:t>
      </w:r>
    </w:p>
    <w:p w:rsidR="009B20BD" w:rsidRPr="005B0796" w:rsidRDefault="009B20BD" w:rsidP="007448A6">
      <w:pPr>
        <w:pStyle w:val="Dash"/>
        <w:spacing w:after="0"/>
        <w:rPr>
          <w:lang w:eastAsia="en-AU"/>
        </w:rPr>
      </w:pPr>
      <w:r w:rsidRPr="005B0796">
        <w:rPr>
          <w:lang w:eastAsia="en-AU"/>
        </w:rPr>
        <w:t>self-stigma</w:t>
      </w:r>
    </w:p>
    <w:p w:rsidR="009B20BD" w:rsidRPr="005B0796" w:rsidRDefault="009B20BD" w:rsidP="007448A6">
      <w:pPr>
        <w:pStyle w:val="Dash"/>
        <w:spacing w:after="0"/>
        <w:rPr>
          <w:lang w:eastAsia="en-AU"/>
        </w:rPr>
      </w:pPr>
      <w:r w:rsidRPr="005B0796">
        <w:rPr>
          <w:lang w:eastAsia="en-AU"/>
        </w:rPr>
        <w:t>public stigma</w:t>
      </w:r>
    </w:p>
    <w:p w:rsidR="009B20BD" w:rsidRPr="005B0796" w:rsidRDefault="009B20BD" w:rsidP="007448A6">
      <w:pPr>
        <w:pStyle w:val="Dash"/>
        <w:spacing w:after="0"/>
        <w:rPr>
          <w:lang w:eastAsia="en-AU"/>
        </w:rPr>
      </w:pPr>
      <w:r w:rsidRPr="005B0796">
        <w:rPr>
          <w:lang w:eastAsia="en-AU"/>
        </w:rPr>
        <w:t>perceived stigma</w:t>
      </w:r>
    </w:p>
    <w:p w:rsidR="009B20BD" w:rsidRPr="005B0796" w:rsidRDefault="009B20BD" w:rsidP="007448A6">
      <w:pPr>
        <w:pStyle w:val="Dash"/>
        <w:spacing w:after="0"/>
        <w:rPr>
          <w:lang w:eastAsia="en-AU"/>
        </w:rPr>
      </w:pPr>
      <w:r w:rsidRPr="005B0796">
        <w:rPr>
          <w:lang w:eastAsia="en-AU"/>
        </w:rPr>
        <w:t>mental health literacy</w:t>
      </w:r>
    </w:p>
    <w:p w:rsidR="009B20BD" w:rsidRPr="005B0796" w:rsidRDefault="009B20BD" w:rsidP="007448A6">
      <w:pPr>
        <w:pStyle w:val="Dash"/>
        <w:spacing w:after="0"/>
        <w:rPr>
          <w:lang w:eastAsia="en-AU"/>
        </w:rPr>
      </w:pPr>
      <w:r w:rsidRPr="005B0796">
        <w:rPr>
          <w:lang w:eastAsia="en-AU"/>
        </w:rPr>
        <w:t>physical barrier to care</w:t>
      </w:r>
    </w:p>
    <w:p w:rsidR="009B20BD" w:rsidRPr="005B0796" w:rsidRDefault="009B20BD" w:rsidP="007448A6">
      <w:pPr>
        <w:pStyle w:val="Dash"/>
        <w:rPr>
          <w:lang w:eastAsia="en-AU"/>
        </w:rPr>
      </w:pPr>
      <w:r w:rsidRPr="005B0796">
        <w:rPr>
          <w:lang w:eastAsia="en-AU"/>
        </w:rPr>
        <w:t>career barriers</w:t>
      </w:r>
    </w:p>
    <w:p w:rsidR="009B20BD" w:rsidRPr="005B0796" w:rsidRDefault="009B20BD" w:rsidP="007448A6">
      <w:pPr>
        <w:pStyle w:val="Bullet"/>
        <w:spacing w:after="120"/>
        <w:rPr>
          <w:b/>
          <w:lang w:eastAsia="en-AU"/>
        </w:rPr>
      </w:pPr>
      <w:r w:rsidRPr="005B0796">
        <w:rPr>
          <w:b/>
          <w:lang w:eastAsia="en-AU"/>
        </w:rPr>
        <w:t>Concerns about mental health</w:t>
      </w:r>
    </w:p>
    <w:p w:rsidR="009B20BD" w:rsidRPr="005B0796" w:rsidRDefault="009B20BD" w:rsidP="007448A6">
      <w:pPr>
        <w:ind w:left="360"/>
        <w:rPr>
          <w:lang w:eastAsia="en-AU"/>
        </w:rPr>
      </w:pPr>
      <w:r w:rsidRPr="005B0796">
        <w:rPr>
          <w:lang w:eastAsia="en-AU"/>
        </w:rPr>
        <w:t>Items addressing participants</w:t>
      </w:r>
      <w:r w:rsidR="00462A0C" w:rsidRPr="005B0796">
        <w:rPr>
          <w:lang w:eastAsia="en-AU"/>
        </w:rPr>
        <w:t>’</w:t>
      </w:r>
      <w:r w:rsidRPr="005B0796">
        <w:rPr>
          <w:lang w:eastAsia="en-AU"/>
        </w:rPr>
        <w:t xml:space="preserve"> concerns about their mental health were developed specifically for the study by investigators.</w:t>
      </w:r>
    </w:p>
    <w:p w:rsidR="009B20BD" w:rsidRPr="005B0796" w:rsidRDefault="009B20BD" w:rsidP="007448A6">
      <w:pPr>
        <w:pStyle w:val="Bullet"/>
        <w:spacing w:after="120"/>
        <w:rPr>
          <w:b/>
          <w:lang w:eastAsia="en-AU"/>
        </w:rPr>
      </w:pPr>
      <w:r w:rsidRPr="005B0796">
        <w:rPr>
          <w:b/>
          <w:lang w:eastAsia="en-AU"/>
        </w:rPr>
        <w:t xml:space="preserve">Assistance with mental health </w:t>
      </w:r>
    </w:p>
    <w:p w:rsidR="009B20BD" w:rsidRPr="005B0796" w:rsidRDefault="009B20BD" w:rsidP="007448A6">
      <w:pPr>
        <w:ind w:left="360"/>
        <w:rPr>
          <w:lang w:eastAsia="en-AU"/>
        </w:rPr>
      </w:pPr>
      <w:r w:rsidRPr="005B0796">
        <w:rPr>
          <w:lang w:eastAsia="en-AU"/>
        </w:rPr>
        <w:t xml:space="preserve">Items addressing assistance sought for mental health were taken from the 2010 Mental Health Prevalence Wellbeing Study </w:t>
      </w:r>
      <w:r w:rsidRPr="005B0796">
        <w:rPr>
          <w:lang w:eastAsia="en-AU"/>
        </w:rPr>
        <w:fldChar w:fldCharType="begin"/>
      </w:r>
      <w:r w:rsidRPr="005B0796">
        <w:rPr>
          <w:lang w:eastAsia="en-AU"/>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lang w:eastAsia="en-AU"/>
        </w:rPr>
        <w:fldChar w:fldCharType="separate"/>
      </w:r>
      <w:r w:rsidRPr="005B0796">
        <w:rPr>
          <w:lang w:eastAsia="en-AU"/>
        </w:rPr>
        <w:t>(McFarlane et al., 2011)</w:t>
      </w:r>
      <w:r w:rsidRPr="005B0796">
        <w:rPr>
          <w:lang w:eastAsia="en-AU"/>
        </w:rPr>
        <w:fldChar w:fldCharType="end"/>
      </w:r>
      <w:r w:rsidRPr="005B0796">
        <w:rPr>
          <w:lang w:eastAsia="en-AU"/>
        </w:rPr>
        <w:t>.</w:t>
      </w:r>
    </w:p>
    <w:p w:rsidR="009B20BD" w:rsidRPr="005B0796" w:rsidRDefault="009B20BD" w:rsidP="00134AF3">
      <w:pPr>
        <w:pStyle w:val="Bullet"/>
        <w:keepNext/>
        <w:spacing w:after="120"/>
        <w:rPr>
          <w:b/>
          <w:lang w:eastAsia="en-AU"/>
        </w:rPr>
      </w:pPr>
      <w:r w:rsidRPr="005B0796">
        <w:rPr>
          <w:b/>
          <w:lang w:eastAsia="en-AU"/>
        </w:rPr>
        <w:t>Help received/pathways into care</w:t>
      </w:r>
    </w:p>
    <w:p w:rsidR="009B20BD" w:rsidRPr="005B0796" w:rsidRDefault="009B20BD" w:rsidP="007448A6">
      <w:pPr>
        <w:ind w:left="360"/>
        <w:rPr>
          <w:lang w:eastAsia="en-AU"/>
        </w:rPr>
      </w:pPr>
      <w:r w:rsidRPr="005B0796">
        <w:rPr>
          <w:lang w:eastAsia="en-AU"/>
        </w:rPr>
        <w:t>Participants were asked whether they had ever sought or received helped from the following list doctors or professionals for their own mental health in the past 12 months or outside of the past 12 months:</w:t>
      </w:r>
    </w:p>
    <w:p w:rsidR="009B20BD" w:rsidRPr="005B0796" w:rsidRDefault="009B20BD" w:rsidP="007448A6">
      <w:pPr>
        <w:pStyle w:val="Dash"/>
        <w:spacing w:after="0"/>
        <w:rPr>
          <w:lang w:eastAsia="en-AU"/>
        </w:rPr>
      </w:pPr>
      <w:r w:rsidRPr="005B0796">
        <w:rPr>
          <w:lang w:eastAsia="en-AU"/>
        </w:rPr>
        <w:t>general practitioner/medical officer</w:t>
      </w:r>
    </w:p>
    <w:p w:rsidR="009B20BD" w:rsidRPr="005B0796" w:rsidRDefault="009B20BD" w:rsidP="007448A6">
      <w:pPr>
        <w:pStyle w:val="Dash"/>
        <w:spacing w:after="0"/>
        <w:rPr>
          <w:lang w:eastAsia="en-AU"/>
        </w:rPr>
      </w:pPr>
      <w:r w:rsidRPr="005B0796">
        <w:rPr>
          <w:lang w:eastAsia="en-AU"/>
        </w:rPr>
        <w:t>psychologist</w:t>
      </w:r>
    </w:p>
    <w:p w:rsidR="009B20BD" w:rsidRPr="005B0796" w:rsidRDefault="009B20BD" w:rsidP="007448A6">
      <w:pPr>
        <w:pStyle w:val="Dash"/>
        <w:spacing w:after="0"/>
        <w:rPr>
          <w:lang w:eastAsia="en-AU"/>
        </w:rPr>
      </w:pPr>
      <w:r w:rsidRPr="005B0796">
        <w:rPr>
          <w:lang w:eastAsia="en-AU"/>
        </w:rPr>
        <w:t>psychiatrist</w:t>
      </w:r>
    </w:p>
    <w:p w:rsidR="009B20BD" w:rsidRPr="005B0796" w:rsidRDefault="009B20BD" w:rsidP="007448A6">
      <w:pPr>
        <w:pStyle w:val="Dash"/>
        <w:rPr>
          <w:lang w:eastAsia="en-AU"/>
        </w:rPr>
      </w:pPr>
      <w:r w:rsidRPr="005B0796">
        <w:rPr>
          <w:lang w:eastAsia="en-AU"/>
        </w:rPr>
        <w:t>other mental health professional</w:t>
      </w:r>
    </w:p>
    <w:p w:rsidR="009B20BD" w:rsidRPr="005B0796" w:rsidRDefault="009B20BD" w:rsidP="007448A6">
      <w:pPr>
        <w:ind w:left="360"/>
        <w:rPr>
          <w:lang w:eastAsia="en-AU"/>
        </w:rPr>
      </w:pPr>
      <w:r w:rsidRPr="005B0796">
        <w:rPr>
          <w:lang w:eastAsia="en-AU"/>
        </w:rPr>
        <w:t xml:space="preserve">For each of the professionals listed above, participants were asked to indicate what services they received, whether they were satisfied with the services, and what compensation (if any) was received. These items were taken from the CIDI </w:t>
      </w:r>
      <w:r w:rsidRPr="005B0796">
        <w:rPr>
          <w:lang w:eastAsia="en-AU"/>
        </w:rPr>
        <w:fldChar w:fldCharType="begin"/>
      </w:r>
      <w:r w:rsidRPr="005B0796">
        <w:rPr>
          <w:lang w:eastAsia="en-AU"/>
        </w:rPr>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rPr>
          <w:lang w:eastAsia="en-AU"/>
        </w:rPr>
        <w:fldChar w:fldCharType="separate"/>
      </w:r>
      <w:r w:rsidRPr="005B0796">
        <w:rPr>
          <w:lang w:eastAsia="en-AU"/>
        </w:rPr>
        <w:t>(Haro et al., 2006)</w:t>
      </w:r>
      <w:r w:rsidRPr="005B0796">
        <w:rPr>
          <w:lang w:eastAsia="en-AU"/>
        </w:rPr>
        <w:fldChar w:fldCharType="end"/>
      </w:r>
      <w:r w:rsidRPr="005B0796">
        <w:rPr>
          <w:lang w:eastAsia="en-AU"/>
        </w:rPr>
        <w:t xml:space="preserve"> and adapted for use in the current study. </w:t>
      </w:r>
    </w:p>
    <w:p w:rsidR="009B20BD" w:rsidRPr="005B0796" w:rsidRDefault="009B20BD" w:rsidP="007448A6">
      <w:pPr>
        <w:ind w:left="360"/>
        <w:rPr>
          <w:lang w:eastAsia="en-AU"/>
        </w:rPr>
      </w:pPr>
      <w:r w:rsidRPr="005B0796">
        <w:rPr>
          <w:lang w:eastAsia="en-AU"/>
        </w:rPr>
        <w:t>Participants were also asked whether they had ever utilised the following services in the past 12 months or outside of the past 12 months:</w:t>
      </w:r>
    </w:p>
    <w:p w:rsidR="009B20BD" w:rsidRPr="005B0796" w:rsidRDefault="009B20BD" w:rsidP="007448A6">
      <w:pPr>
        <w:pStyle w:val="Dash"/>
        <w:spacing w:after="0"/>
        <w:rPr>
          <w:lang w:eastAsia="en-AU"/>
        </w:rPr>
      </w:pPr>
      <w:r w:rsidRPr="005B0796">
        <w:rPr>
          <w:lang w:eastAsia="en-AU"/>
        </w:rPr>
        <w:t>inpatient treatment, hospital admission</w:t>
      </w:r>
    </w:p>
    <w:p w:rsidR="009B20BD" w:rsidRPr="005B0796" w:rsidRDefault="009B20BD" w:rsidP="007448A6">
      <w:pPr>
        <w:pStyle w:val="Dash"/>
        <w:spacing w:after="0"/>
        <w:rPr>
          <w:lang w:eastAsia="en-AU"/>
        </w:rPr>
      </w:pPr>
      <w:r w:rsidRPr="005B0796">
        <w:rPr>
          <w:lang w:eastAsia="en-AU"/>
        </w:rPr>
        <w:t>hospital-based PTSD program</w:t>
      </w:r>
    </w:p>
    <w:p w:rsidR="009B20BD" w:rsidRPr="005B0796" w:rsidRDefault="009B20BD" w:rsidP="007448A6">
      <w:pPr>
        <w:pStyle w:val="Dash"/>
        <w:rPr>
          <w:lang w:eastAsia="en-AU"/>
        </w:rPr>
      </w:pPr>
      <w:r w:rsidRPr="005B0796">
        <w:rPr>
          <w:lang w:eastAsia="en-AU"/>
        </w:rPr>
        <w:t>residential alcohol and other drug program</w:t>
      </w:r>
    </w:p>
    <w:p w:rsidR="009B20BD" w:rsidRPr="005B0796" w:rsidRDefault="009B20BD" w:rsidP="007448A6">
      <w:pPr>
        <w:ind w:left="360"/>
        <w:rPr>
          <w:lang w:eastAsia="en-AU"/>
        </w:rPr>
      </w:pPr>
      <w:r w:rsidRPr="005B0796">
        <w:rPr>
          <w:lang w:eastAsia="en-AU"/>
        </w:rPr>
        <w:t xml:space="preserve">For each of the treatments/programs listed above, participants were asked to indicate whether they were satisfied with the service, and how the service was paid for. These items were taken from the CIDI </w:t>
      </w:r>
      <w:r w:rsidRPr="005B0796">
        <w:rPr>
          <w:lang w:eastAsia="en-AU"/>
        </w:rPr>
        <w:fldChar w:fldCharType="begin"/>
      </w:r>
      <w:r w:rsidRPr="005B0796">
        <w:rPr>
          <w:lang w:eastAsia="en-AU"/>
        </w:rPr>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rPr>
          <w:lang w:eastAsia="en-AU"/>
        </w:rPr>
        <w:fldChar w:fldCharType="separate"/>
      </w:r>
      <w:r w:rsidRPr="005B0796">
        <w:rPr>
          <w:lang w:eastAsia="en-AU"/>
        </w:rPr>
        <w:t>(Haro et al., 2006)</w:t>
      </w:r>
      <w:r w:rsidRPr="005B0796">
        <w:rPr>
          <w:lang w:eastAsia="en-AU"/>
        </w:rPr>
        <w:fldChar w:fldCharType="end"/>
      </w:r>
      <w:r w:rsidRPr="005B0796">
        <w:rPr>
          <w:lang w:eastAsia="en-AU"/>
        </w:rPr>
        <w:t xml:space="preserve"> and adapted for use in the current study. </w:t>
      </w:r>
    </w:p>
    <w:p w:rsidR="009B20BD" w:rsidRPr="005B0796" w:rsidRDefault="009B20BD" w:rsidP="007448A6">
      <w:pPr>
        <w:pStyle w:val="Bullet"/>
        <w:spacing w:after="120"/>
        <w:rPr>
          <w:b/>
          <w:lang w:eastAsia="en-AU"/>
        </w:rPr>
      </w:pPr>
      <w:r w:rsidRPr="005B0796">
        <w:rPr>
          <w:b/>
          <w:lang w:eastAsia="en-AU"/>
        </w:rPr>
        <w:t>Satisfaction with mental health services received:</w:t>
      </w:r>
    </w:p>
    <w:p w:rsidR="009B20BD" w:rsidRPr="005B0796" w:rsidRDefault="009B20BD" w:rsidP="007448A6">
      <w:pPr>
        <w:ind w:left="360"/>
        <w:rPr>
          <w:lang w:eastAsia="en-AU"/>
        </w:rPr>
      </w:pPr>
      <w:r w:rsidRPr="005B0796">
        <w:rPr>
          <w:lang w:eastAsia="en-AU"/>
        </w:rPr>
        <w:t xml:space="preserve">Participants were asked to rate their satisfaction/dissatisfaction with a series of factors associated with receiving mental health care/services. Items included accessibility, cost, location, effectiveness, health professional competence, health professional friendliness, convenience, confidentiality and Medicare cap. Participants were required to provide answers in relation to their experiences in the past 12 months only. </w:t>
      </w:r>
    </w:p>
    <w:p w:rsidR="009B20BD" w:rsidRPr="005B0796" w:rsidRDefault="009B20BD" w:rsidP="007448A6">
      <w:pPr>
        <w:pStyle w:val="Bullet"/>
        <w:spacing w:after="120"/>
        <w:rPr>
          <w:b/>
          <w:lang w:eastAsia="en-AU"/>
        </w:rPr>
      </w:pPr>
      <w:r w:rsidRPr="005B0796">
        <w:rPr>
          <w:b/>
          <w:lang w:eastAsia="en-AU"/>
        </w:rPr>
        <w:t>Doctor diagnosed mental health conditions</w:t>
      </w:r>
    </w:p>
    <w:p w:rsidR="009B20BD" w:rsidRPr="005B0796" w:rsidRDefault="009B20BD" w:rsidP="007448A6">
      <w:pPr>
        <w:ind w:left="360"/>
        <w:rPr>
          <w:lang w:eastAsia="en-AU"/>
        </w:rPr>
      </w:pPr>
      <w:r w:rsidRPr="005B0796">
        <w:rPr>
          <w:lang w:eastAsia="en-AU"/>
        </w:rPr>
        <w:t xml:space="preserve">This section of the survey asked participants about mental health problems or conditions that they had ever been diagnosed with or treated for by a medical doctor over their lifetime. If a participant said yes to any of the items listed, they were also asked to specify the year they were first diagnosed, whether they had been treated by a doctor for the condition in the past year, and finally whether they had taken medication for the condition in the past month. Items in this section were derived from the 2011 Australian Gulf War Veterans Health Study follow-up </w:t>
      </w:r>
      <w:r w:rsidRPr="005B0796">
        <w:rPr>
          <w:lang w:eastAsia="en-AU"/>
        </w:rPr>
        <w:fldChar w:fldCharType="begin"/>
      </w:r>
      <w:r w:rsidRPr="005B0796">
        <w:rPr>
          <w:lang w:eastAsia="en-AU"/>
        </w:rPr>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rPr>
          <w:lang w:eastAsia="en-AU"/>
        </w:rPr>
        <w:fldChar w:fldCharType="separate"/>
      </w:r>
      <w:r w:rsidRPr="005B0796">
        <w:rPr>
          <w:lang w:eastAsia="en-AU"/>
        </w:rPr>
        <w:t>(Sim et al., 2015)</w:t>
      </w:r>
      <w:r w:rsidRPr="005B0796">
        <w:rPr>
          <w:lang w:eastAsia="en-AU"/>
        </w:rPr>
        <w:fldChar w:fldCharType="end"/>
      </w:r>
      <w:r w:rsidRPr="005B0796">
        <w:rPr>
          <w:lang w:eastAsia="en-AU"/>
        </w:rPr>
        <w:t>.</w:t>
      </w:r>
    </w:p>
    <w:p w:rsidR="009B20BD" w:rsidRPr="005B0796" w:rsidRDefault="009B20BD" w:rsidP="007448A6">
      <w:pPr>
        <w:pStyle w:val="Bullet"/>
        <w:spacing w:after="120"/>
        <w:rPr>
          <w:b/>
          <w:lang w:eastAsia="en-AU"/>
        </w:rPr>
      </w:pPr>
      <w:r w:rsidRPr="005B0796">
        <w:rPr>
          <w:b/>
          <w:lang w:eastAsia="en-AU"/>
        </w:rPr>
        <w:t>Undiagnosed mental health conditions</w:t>
      </w:r>
    </w:p>
    <w:p w:rsidR="009B20BD" w:rsidRPr="005B0796" w:rsidRDefault="009B20BD" w:rsidP="007448A6">
      <w:pPr>
        <w:ind w:left="360"/>
        <w:rPr>
          <w:lang w:eastAsia="en-AU"/>
        </w:rPr>
      </w:pPr>
      <w:r w:rsidRPr="005B0796">
        <w:rPr>
          <w:lang w:eastAsia="en-AU"/>
        </w:rPr>
        <w:t>Participants were presented with a list of mental disorders and asked to indicate whether they currently had (or ever had) each disorder without having been diagnosed or treated for it. Conditions included alcohol abuse or dependence, drug abuse or dependency, stress or anxiety, depression, PTSD. This question was developed by researchers at CTSS to tap into undiagnosed mental conditions.</w:t>
      </w:r>
    </w:p>
    <w:p w:rsidR="009B20BD" w:rsidRPr="005B0796" w:rsidRDefault="009B20BD" w:rsidP="007448A6">
      <w:pPr>
        <w:pStyle w:val="Bullet"/>
        <w:spacing w:after="120"/>
        <w:rPr>
          <w:rFonts w:asciiTheme="minorHAnsi" w:hAnsiTheme="minorHAnsi"/>
          <w:b/>
        </w:rPr>
      </w:pPr>
      <w:r w:rsidRPr="005B0796">
        <w:rPr>
          <w:b/>
        </w:rPr>
        <w:t xml:space="preserve">Help seeking latency </w:t>
      </w:r>
    </w:p>
    <w:p w:rsidR="009B20BD" w:rsidRPr="005B0796" w:rsidRDefault="009B20BD" w:rsidP="007448A6">
      <w:pPr>
        <w:ind w:left="360"/>
        <w:rPr>
          <w:lang w:eastAsia="en-AU"/>
        </w:rPr>
      </w:pPr>
      <w:r w:rsidRPr="005B0796">
        <w:rPr>
          <w:lang w:eastAsia="en-AU"/>
        </w:rPr>
        <w:t xml:space="preserve">In order to assess help seeking latency, participants were asked to indicate when they first sought help for their own mental health. Options included </w:t>
      </w:r>
      <w:r w:rsidR="00462A0C" w:rsidRPr="005B0796">
        <w:rPr>
          <w:lang w:eastAsia="en-AU"/>
        </w:rPr>
        <w:t>‘</w:t>
      </w:r>
      <w:r w:rsidRPr="005B0796">
        <w:rPr>
          <w:lang w:eastAsia="en-AU"/>
        </w:rPr>
        <w:t>within 3</w:t>
      </w:r>
      <w:r w:rsidR="00462A0C" w:rsidRPr="005B0796">
        <w:rPr>
          <w:lang w:eastAsia="en-AU"/>
        </w:rPr>
        <w:t> </w:t>
      </w:r>
      <w:r w:rsidRPr="005B0796">
        <w:rPr>
          <w:lang w:eastAsia="en-AU"/>
        </w:rPr>
        <w:t>months of becoming concerned</w:t>
      </w:r>
      <w:r w:rsidR="00462A0C" w:rsidRPr="005B0796">
        <w:rPr>
          <w:lang w:eastAsia="en-AU"/>
        </w:rPr>
        <w:t>’</w:t>
      </w:r>
      <w:r w:rsidRPr="005B0796">
        <w:rPr>
          <w:lang w:eastAsia="en-AU"/>
        </w:rPr>
        <w:t xml:space="preserve"> or </w:t>
      </w:r>
      <w:r w:rsidR="00462A0C" w:rsidRPr="005B0796">
        <w:rPr>
          <w:lang w:eastAsia="en-AU"/>
        </w:rPr>
        <w:t>‘</w:t>
      </w:r>
      <w:r w:rsidRPr="005B0796">
        <w:rPr>
          <w:lang w:eastAsia="en-AU"/>
        </w:rPr>
        <w:t>within 1 year of becoming concerned</w:t>
      </w:r>
      <w:r w:rsidR="00462A0C" w:rsidRPr="005B0796">
        <w:rPr>
          <w:lang w:eastAsia="en-AU"/>
        </w:rPr>
        <w:t>’</w:t>
      </w:r>
      <w:r w:rsidRPr="005B0796">
        <w:rPr>
          <w:lang w:eastAsia="en-AU"/>
        </w:rPr>
        <w:t xml:space="preserve">. Alternatively, participants were able to specify the number of years since becoming concerned. This item was developed by researchers for use in the study. </w:t>
      </w:r>
    </w:p>
    <w:p w:rsidR="009B20BD" w:rsidRPr="005B0796" w:rsidRDefault="009B20BD" w:rsidP="007448A6">
      <w:pPr>
        <w:pStyle w:val="Bullet"/>
        <w:spacing w:after="120"/>
        <w:rPr>
          <w:b/>
          <w:lang w:eastAsia="en-AU"/>
        </w:rPr>
      </w:pPr>
      <w:r w:rsidRPr="005B0796">
        <w:rPr>
          <w:b/>
          <w:lang w:eastAsia="en-AU"/>
        </w:rPr>
        <w:t>Recommendation to seek help/assistance with seeking help</w:t>
      </w:r>
    </w:p>
    <w:p w:rsidR="009B20BD" w:rsidRPr="005B0796" w:rsidRDefault="009B20BD" w:rsidP="007448A6">
      <w:pPr>
        <w:ind w:left="360"/>
        <w:rPr>
          <w:lang w:eastAsia="en-AU"/>
        </w:rPr>
      </w:pPr>
      <w:r w:rsidRPr="005B0796">
        <w:rPr>
          <w:lang w:eastAsia="en-AU"/>
        </w:rPr>
        <w:t xml:space="preserve">This section of the survey was comprised of </w:t>
      </w:r>
      <w:r w:rsidR="00462A0C" w:rsidRPr="005B0796">
        <w:rPr>
          <w:lang w:eastAsia="en-AU"/>
        </w:rPr>
        <w:t>two</w:t>
      </w:r>
      <w:r w:rsidRPr="005B0796">
        <w:rPr>
          <w:lang w:eastAsia="en-AU"/>
        </w:rPr>
        <w:t xml:space="preserve"> questions. The first item asked participants whether someone else suggested that they seek help for their mental health condition. The second item asked participants whether someone else practically assisted them in seeking care. Options included their GP, Medical Officer, partner, other family member, friend/colleague, or their supervisor/manager/Commander. These questions were developed by researchers for specific use in the study. </w:t>
      </w:r>
    </w:p>
    <w:p w:rsidR="009B20BD" w:rsidRPr="005B0796" w:rsidRDefault="009B20BD" w:rsidP="007448A6">
      <w:pPr>
        <w:pStyle w:val="Bullet"/>
        <w:spacing w:after="120"/>
        <w:rPr>
          <w:b/>
        </w:rPr>
      </w:pPr>
      <w:r w:rsidRPr="005B0796">
        <w:rPr>
          <w:b/>
        </w:rPr>
        <w:t>Reasons for seeking care</w:t>
      </w:r>
    </w:p>
    <w:p w:rsidR="009B20BD" w:rsidRPr="005B0796" w:rsidRDefault="009B20BD" w:rsidP="007448A6">
      <w:pPr>
        <w:ind w:left="360"/>
        <w:rPr>
          <w:lang w:eastAsia="en-AU"/>
        </w:rPr>
      </w:pPr>
      <w:r w:rsidRPr="005B0796">
        <w:rPr>
          <w:lang w:eastAsia="en-AU"/>
        </w:rPr>
        <w:t xml:space="preserve">Participants were asked to indicate what primary and secondary reason lead them to seeking care. Examples included </w:t>
      </w:r>
      <w:r w:rsidR="00462A0C" w:rsidRPr="005B0796">
        <w:rPr>
          <w:lang w:eastAsia="en-AU"/>
        </w:rPr>
        <w:t>‘</w:t>
      </w:r>
      <w:r w:rsidRPr="005B0796">
        <w:rPr>
          <w:lang w:eastAsia="en-AU"/>
        </w:rPr>
        <w:t>anger</w:t>
      </w:r>
      <w:r w:rsidR="00462A0C" w:rsidRPr="005B0796">
        <w:rPr>
          <w:lang w:eastAsia="en-AU"/>
        </w:rPr>
        <w:t>’</w:t>
      </w:r>
      <w:r w:rsidRPr="005B0796">
        <w:rPr>
          <w:lang w:eastAsia="en-AU"/>
        </w:rPr>
        <w:t xml:space="preserve">, </w:t>
      </w:r>
      <w:r w:rsidR="00462A0C" w:rsidRPr="005B0796">
        <w:rPr>
          <w:lang w:eastAsia="en-AU"/>
        </w:rPr>
        <w:t>‘</w:t>
      </w:r>
      <w:r w:rsidRPr="005B0796">
        <w:rPr>
          <w:lang w:eastAsia="en-AU"/>
        </w:rPr>
        <w:t>depression</w:t>
      </w:r>
      <w:r w:rsidR="00462A0C" w:rsidRPr="005B0796">
        <w:rPr>
          <w:lang w:eastAsia="en-AU"/>
        </w:rPr>
        <w:t>’</w:t>
      </w:r>
      <w:r w:rsidRPr="005B0796">
        <w:rPr>
          <w:lang w:eastAsia="en-AU"/>
        </w:rPr>
        <w:t xml:space="preserve"> and </w:t>
      </w:r>
      <w:r w:rsidR="00462A0C" w:rsidRPr="005B0796">
        <w:rPr>
          <w:lang w:eastAsia="en-AU"/>
        </w:rPr>
        <w:t>‘</w:t>
      </w:r>
      <w:r w:rsidRPr="005B0796">
        <w:rPr>
          <w:lang w:eastAsia="en-AU"/>
        </w:rPr>
        <w:t>gambling</w:t>
      </w:r>
      <w:r w:rsidR="00462A0C" w:rsidRPr="005B0796">
        <w:rPr>
          <w:lang w:eastAsia="en-AU"/>
        </w:rPr>
        <w:t>’</w:t>
      </w:r>
      <w:r w:rsidRPr="005B0796">
        <w:rPr>
          <w:lang w:eastAsia="en-AU"/>
        </w:rPr>
        <w:t xml:space="preserve">. These </w:t>
      </w:r>
      <w:r w:rsidR="00462A0C" w:rsidRPr="005B0796">
        <w:rPr>
          <w:lang w:eastAsia="en-AU"/>
        </w:rPr>
        <w:t>two</w:t>
      </w:r>
      <w:r w:rsidRPr="005B0796">
        <w:rPr>
          <w:lang w:eastAsia="en-AU"/>
        </w:rPr>
        <w:t xml:space="preserve"> questions were developed by researchers for specific use in the study.</w:t>
      </w:r>
    </w:p>
    <w:p w:rsidR="009B20BD" w:rsidRPr="005B0796" w:rsidRDefault="009B20BD" w:rsidP="007448A6">
      <w:pPr>
        <w:pStyle w:val="Heading5"/>
        <w:rPr>
          <w:lang w:val="en-AU"/>
        </w:rPr>
      </w:pPr>
      <w:r w:rsidRPr="005B0796">
        <w:rPr>
          <w:lang w:val="en-AU"/>
        </w:rPr>
        <w:t xml:space="preserve">Health </w:t>
      </w:r>
      <w:r w:rsidR="007448A6" w:rsidRPr="005B0796">
        <w:rPr>
          <w:lang w:val="en-AU"/>
        </w:rPr>
        <w:t>professionals</w:t>
      </w:r>
    </w:p>
    <w:p w:rsidR="009B20BD" w:rsidRPr="005B0796" w:rsidRDefault="009B20BD" w:rsidP="007448A6">
      <w:r w:rsidRPr="005B0796">
        <w:t xml:space="preserve">In this section of the survey, participants were presented with an exhaustive list of health professionals and asked to indicate which of them they had consulted for their own health in the past 12 months. Participants were also asked to indicate how many times they had consulted a general practitioner and/or specialist doctor in the last 2 weeks. All items in this section were taken from the 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pPr>
        <w:pStyle w:val="Heading5"/>
        <w:rPr>
          <w:lang w:val="en-AU"/>
        </w:rPr>
      </w:pPr>
      <w:r w:rsidRPr="005B0796">
        <w:rPr>
          <w:lang w:val="en-AU"/>
        </w:rPr>
        <w:t>Family and children</w:t>
      </w:r>
    </w:p>
    <w:p w:rsidR="009B20BD" w:rsidRPr="005B0796" w:rsidRDefault="009B20BD" w:rsidP="007448A6">
      <w:pPr>
        <w:rPr>
          <w:rFonts w:asciiTheme="minorHAnsi" w:hAnsiTheme="minorHAnsi"/>
        </w:rPr>
      </w:pPr>
      <w:r w:rsidRPr="005B0796">
        <w:t>This section of the survey was comprised of several scales looking at participants</w:t>
      </w:r>
      <w:r w:rsidR="00462A0C" w:rsidRPr="005B0796">
        <w:t>’</w:t>
      </w:r>
      <w:r w:rsidRPr="005B0796">
        <w:t xml:space="preserve"> relationships with their family and children:</w:t>
      </w:r>
    </w:p>
    <w:p w:rsidR="009B20BD" w:rsidRPr="005B0796" w:rsidRDefault="009B20BD" w:rsidP="009432D6">
      <w:pPr>
        <w:pStyle w:val="Bullet"/>
        <w:spacing w:after="180"/>
      </w:pPr>
      <w:r w:rsidRPr="005B0796">
        <w:t xml:space="preserve">Family support and strain was assessed via items of relevance from an adapted version of the Schuster Social Support Scale </w:t>
      </w:r>
      <w:r w:rsidRPr="005B0796">
        <w:fldChar w:fldCharType="begin"/>
      </w:r>
      <w:r w:rsidRPr="005B0796">
        <w:instrText xml:space="preserve"> ADDIN EN.CITE &lt;EndNote&gt;&lt;Cite&gt;&lt;Author&gt;Schuster&lt;/Author&gt;&lt;Year&gt;1990&lt;/Year&gt;&lt;RecNum&gt;430&lt;/RecNum&gt;&lt;DisplayText&gt;(Schuster et al., 1990)&lt;/DisplayText&gt;&lt;record&gt;&lt;rec-number&gt;430&lt;/rec-number&gt;&lt;foreign-keys&gt;&lt;key app="EN" db-id="arwdrezp9sdawxevtfyxtfw10exvr5exxfed" timestamp="1478232442"&gt;430&lt;/key&gt;&lt;/foreign-keys&gt;&lt;ref-type name="Journal Article"&gt;17&lt;/ref-type&gt;&lt;contributors&gt;&lt;authors&gt;&lt;author&gt;Schuster, T. L.&lt;/author&gt;&lt;author&gt;Kessler, R. C.&lt;/author&gt;&lt;author&gt;Aseltine, R. H., Jr.&lt;/author&gt;&lt;/authors&gt;&lt;/contributors&gt;&lt;auth-address&gt;University of Southern California, Los Angeles 90089-0191.&lt;/auth-address&gt;&lt;titles&gt;&lt;title&gt;Supportive interactions, negative interactions, and depressed mood&lt;/title&gt;&lt;secondary-title&gt;Am J Community Psychol&lt;/secondary-title&gt;&lt;alt-title&gt;American journal of community psychology&lt;/alt-title&gt;&lt;/titles&gt;&lt;periodical&gt;&lt;full-title&gt;Am J Community Psychol&lt;/full-title&gt;&lt;abbr-1&gt;American journal of community psychology&lt;/abbr-1&gt;&lt;/periodical&gt;&lt;alt-periodical&gt;&lt;full-title&gt;Am J Community Psychol&lt;/full-title&gt;&lt;abbr-1&gt;American journal of community psychology&lt;/abbr-1&gt;&lt;/alt-periodical&gt;&lt;pages&gt;423-38&lt;/pages&gt;&lt;volume&gt;18&lt;/volume&gt;&lt;number&gt;3&lt;/number&gt;&lt;edition&gt;1990/06/01&lt;/edition&gt;&lt;keywords&gt;&lt;keyword&gt;*Adaptation, Psychological&lt;/keyword&gt;&lt;keyword&gt;Adult&lt;/keyword&gt;&lt;keyword&gt;Depression/*psychology&lt;/keyword&gt;&lt;keyword&gt;Female&lt;/keyword&gt;&lt;keyword&gt;Humans&lt;/keyword&gt;&lt;keyword&gt;*Life Change Events&lt;/keyword&gt;&lt;keyword&gt;Male&lt;/keyword&gt;&lt;keyword&gt;Marriage&lt;/keyword&gt;&lt;keyword&gt;Personality Tests&lt;/keyword&gt;&lt;keyword&gt;*Social Support&lt;/keyword&gt;&lt;/keywords&gt;&lt;dates&gt;&lt;year&gt;1990&lt;/year&gt;&lt;pub-dates&gt;&lt;date&gt;Jun&lt;/date&gt;&lt;/pub-dates&gt;&lt;/dates&gt;&lt;isbn&gt;0091-0562 (Print)&amp;#xD;0091-0562 (Linking)&lt;/isbn&gt;&lt;accession-num&gt;2264558&lt;/accession-num&gt;&lt;work-type&gt;Research Support, U.S. Gov&amp;apos;t, P.H.S.&lt;/work-type&gt;&lt;urls&gt;&lt;related-urls&gt;&lt;url&gt;http://www.ncbi.nlm.nih.gov/pubmed/2264558&lt;/url&gt;&lt;/related-urls&gt;&lt;/urls&gt;&lt;language&gt;eng&lt;/language&gt;&lt;/record&gt;&lt;/Cite&gt;&lt;/EndNote&gt;</w:instrText>
      </w:r>
      <w:r w:rsidRPr="005B0796">
        <w:fldChar w:fldCharType="separate"/>
      </w:r>
      <w:r w:rsidRPr="005B0796">
        <w:t>(Schuster et al., 1990)</w:t>
      </w:r>
      <w:r w:rsidRPr="005B0796">
        <w:fldChar w:fldCharType="end"/>
      </w:r>
      <w:r w:rsidRPr="005B0796">
        <w:t xml:space="preserve">. Affective support was indicated by responses to questions about how often family made them feel cared for and how often family expressed interest in how they were doing. Negative interactions were indicated by responses to questions about how often family made too many demands on them, how often they criticised them and how often they created tensions or arguments with them. All items were answered on 4-point Likert-type scale ranging from </w:t>
      </w:r>
      <w:r w:rsidR="00462A0C" w:rsidRPr="005B0796">
        <w:t>‘</w:t>
      </w:r>
      <w:r w:rsidRPr="005B0796">
        <w:t>often</w:t>
      </w:r>
      <w:r w:rsidR="00462A0C" w:rsidRPr="005B0796">
        <w:t>’</w:t>
      </w:r>
      <w:r w:rsidRPr="005B0796">
        <w:t xml:space="preserve"> to </w:t>
      </w:r>
      <w:r w:rsidR="00462A0C" w:rsidRPr="005B0796">
        <w:t>‘</w:t>
      </w:r>
      <w:r w:rsidRPr="005B0796">
        <w:t>never</w:t>
      </w:r>
      <w:r w:rsidR="00462A0C" w:rsidRPr="005B0796">
        <w:t>’</w:t>
      </w:r>
      <w:r w:rsidRPr="005B0796">
        <w:t>.</w:t>
      </w:r>
    </w:p>
    <w:p w:rsidR="009B20BD" w:rsidRPr="005B0796" w:rsidRDefault="009B20BD" w:rsidP="009432D6">
      <w:pPr>
        <w:pStyle w:val="Bullet"/>
        <w:spacing w:after="180"/>
      </w:pPr>
      <w:r w:rsidRPr="005B0796">
        <w:t>Items assessing participants</w:t>
      </w:r>
      <w:r w:rsidR="00462A0C" w:rsidRPr="005B0796">
        <w:t>’</w:t>
      </w:r>
      <w:r w:rsidRPr="005B0796">
        <w:t xml:space="preserve"> relationship with their current partner, arguments with their current partner and abuse experienced by partner were taken from the Timor-Lest Family Study </w:t>
      </w:r>
      <w:r w:rsidRPr="005B0796">
        <w:fldChar w:fldCharType="begin"/>
      </w:r>
      <w:r w:rsidRPr="005B0796">
        <w:instrText xml:space="preserve"> ADDIN EN.CITE &lt;EndNote&gt;&lt;Cite&gt;&lt;Author&gt;McGuire&lt;/Author&gt;&lt;Year&gt;2012&lt;/Year&gt;&lt;RecNum&gt;512&lt;/RecNum&gt;&lt;DisplayText&gt;(McGuire et al., 2012)&lt;/DisplayText&gt;&lt;record&gt;&lt;rec-number&gt;512&lt;/rec-number&gt;&lt;foreign-keys&gt;&lt;key app="EN" db-id="arwdrezp9sdawxevtfyxtfw10exvr5exxfed" timestamp="1478815639"&gt;512&lt;/key&gt;&lt;/foreign-keys&gt;&lt;ref-type name="Report"&gt;27&lt;/ref-type&gt;&lt;contributors&gt;&lt;authors&gt;&lt;author&gt;McGuire, Annabel&lt;/author&gt;&lt;author&gt;Runge, Catherine&lt;/author&gt;&lt;author&gt;Cosgrove, Luke&lt;/author&gt;&lt;author&gt;Bredhauer, Katrina&lt;/author&gt;&lt;author&gt;Anderson, Renee&lt;/author&gt;&lt;author&gt;Waller, Michael&lt;/author&gt;&lt;author&gt;Kanesarajah, Jeeva&lt;/author&gt;&lt;author&gt;Dobson, Annette&lt;/author&gt;&lt;author&gt;Nasveld, Peter&lt;/author&gt;&lt;/authors&gt;&lt;/contributors&gt;&lt;titles&gt;&lt;title&gt;Timor-Leste family study 2012: technical report &lt;/title&gt;&lt;/titles&gt;&lt;pages&gt;291&lt;/pages&gt;&lt;dates&gt;&lt;year&gt;2012&lt;/year&gt;&lt;/dates&gt;&lt;publisher&gt;University of Queensland, Centre for Military and Veterans&amp;apos; Health &lt;/publisher&gt;&lt;urls&gt;&lt;/urls&gt;&lt;/record&gt;&lt;/Cite&gt;&lt;/EndNote&gt;</w:instrText>
      </w:r>
      <w:r w:rsidRPr="005B0796">
        <w:fldChar w:fldCharType="separate"/>
      </w:r>
      <w:r w:rsidRPr="005B0796">
        <w:t>(McGuire et al., 2012)</w:t>
      </w:r>
      <w:r w:rsidRPr="005B0796">
        <w:fldChar w:fldCharType="end"/>
      </w:r>
      <w:r w:rsidRPr="005B0796">
        <w:t>.</w:t>
      </w:r>
    </w:p>
    <w:p w:rsidR="009B20BD" w:rsidRPr="005B0796" w:rsidRDefault="009B20BD" w:rsidP="009432D6">
      <w:pPr>
        <w:pStyle w:val="Bullet"/>
        <w:spacing w:after="180"/>
      </w:pPr>
      <w:r w:rsidRPr="005B0796">
        <w:t xml:space="preserve">A single item looking at how often participants had contact with family members not living with them was taken from the 2014 Vietnam Veterans Family Study </w:t>
      </w:r>
      <w:r w:rsidRPr="005B0796">
        <w:fldChar w:fldCharType="begin"/>
      </w:r>
      <w:r w:rsidRPr="005B0796">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5B0796">
        <w:fldChar w:fldCharType="separate"/>
      </w:r>
      <w:r w:rsidRPr="005B0796">
        <w:t>(Forrest et al., 2014)</w:t>
      </w:r>
      <w:r w:rsidRPr="005B0796">
        <w:fldChar w:fldCharType="end"/>
      </w:r>
      <w:r w:rsidRPr="005B0796">
        <w:t>.</w:t>
      </w:r>
    </w:p>
    <w:p w:rsidR="009B20BD" w:rsidRPr="005B0796" w:rsidRDefault="009B20BD" w:rsidP="009432D6">
      <w:pPr>
        <w:pStyle w:val="Bullet"/>
        <w:spacing w:after="180"/>
      </w:pPr>
      <w:r w:rsidRPr="005B0796">
        <w:t>Items assessing the impact of military service on participants</w:t>
      </w:r>
      <w:r w:rsidR="00462A0C" w:rsidRPr="005B0796">
        <w:t>’</w:t>
      </w:r>
      <w:r w:rsidRPr="005B0796">
        <w:t xml:space="preserve"> relationships, employment, physical health, mental health and financial situation were also taken from the 2014 Vietnam Veterans Family Study </w:t>
      </w:r>
      <w:r w:rsidRPr="005B0796">
        <w:fldChar w:fldCharType="begin"/>
      </w:r>
      <w:r w:rsidRPr="005B0796">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5B0796">
        <w:fldChar w:fldCharType="separate"/>
      </w:r>
      <w:r w:rsidRPr="005B0796">
        <w:t>(Forrest et al., 2014)</w:t>
      </w:r>
      <w:r w:rsidRPr="005B0796">
        <w:fldChar w:fldCharType="end"/>
      </w:r>
      <w:r w:rsidRPr="005B0796">
        <w:t>.</w:t>
      </w:r>
    </w:p>
    <w:p w:rsidR="009B20BD" w:rsidRPr="005B0796" w:rsidRDefault="009B20BD" w:rsidP="009432D6">
      <w:pPr>
        <w:pStyle w:val="Bullet"/>
        <w:spacing w:after="180"/>
        <w:rPr>
          <w:lang w:eastAsia="ja-JP"/>
        </w:rPr>
      </w:pPr>
      <w:r w:rsidRPr="005B0796">
        <w:rPr>
          <w:rFonts w:cs="Arial"/>
        </w:rPr>
        <w:t>2 items assessing relationship satisfaction were taken from the</w:t>
      </w:r>
      <w:hyperlink r:id="rId292" w:history="1">
        <w:r w:rsidRPr="005B0796">
          <w:t xml:space="preserve"> Household, Income and Labour Dynamics</w:t>
        </w:r>
        <w:r w:rsidRPr="005B0796">
          <w:rPr>
            <w:rFonts w:eastAsia="MS Gothic"/>
          </w:rPr>
          <w:t xml:space="preserve"> </w:t>
        </w:r>
        <w:r w:rsidRPr="005B0796">
          <w:t>in Australia (HILDA) Survey</w:t>
        </w:r>
      </w:hyperlink>
      <w:r w:rsidRPr="005B0796">
        <w:t xml:space="preserve"> </w:t>
      </w:r>
      <w:r w:rsidRPr="005B0796">
        <w:rPr>
          <w:lang w:eastAsia="ja-JP"/>
        </w:rPr>
        <w:fldChar w:fldCharType="begin"/>
      </w:r>
      <w:r w:rsidRPr="005B0796">
        <w:rPr>
          <w:lang w:eastAsia="ja-JP"/>
        </w:rPr>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5B0796">
        <w:rPr>
          <w:lang w:eastAsia="ja-JP"/>
        </w:rPr>
        <w:fldChar w:fldCharType="separate"/>
      </w:r>
      <w:r w:rsidRPr="005B0796">
        <w:rPr>
          <w:lang w:eastAsia="ja-JP"/>
        </w:rPr>
        <w:t>(Watson &amp; Wooden, 2002)</w:t>
      </w:r>
      <w:r w:rsidRPr="005B0796">
        <w:rPr>
          <w:lang w:eastAsia="ja-JP"/>
        </w:rPr>
        <w:fldChar w:fldCharType="end"/>
      </w:r>
      <w:r w:rsidRPr="005B0796">
        <w:rPr>
          <w:lang w:eastAsia="ja-JP"/>
        </w:rPr>
        <w:t xml:space="preserve">. Participants were required to rate their relationship with their partner and their children on an 11-point Likert-type scale ranging from </w:t>
      </w:r>
      <w:r w:rsidR="00462A0C" w:rsidRPr="005B0796">
        <w:rPr>
          <w:lang w:eastAsia="ja-JP"/>
        </w:rPr>
        <w:t>‘</w:t>
      </w:r>
      <w:r w:rsidRPr="005B0796">
        <w:rPr>
          <w:lang w:eastAsia="ja-JP"/>
        </w:rPr>
        <w:t>completely dissatisfied</w:t>
      </w:r>
      <w:r w:rsidR="00462A0C" w:rsidRPr="005B0796">
        <w:rPr>
          <w:lang w:eastAsia="ja-JP"/>
        </w:rPr>
        <w:t>’</w:t>
      </w:r>
      <w:r w:rsidRPr="005B0796">
        <w:rPr>
          <w:lang w:eastAsia="ja-JP"/>
        </w:rPr>
        <w:t xml:space="preserve"> to </w:t>
      </w:r>
      <w:r w:rsidR="00462A0C" w:rsidRPr="005B0796">
        <w:rPr>
          <w:lang w:eastAsia="ja-JP"/>
        </w:rPr>
        <w:t>‘</w:t>
      </w:r>
      <w:r w:rsidRPr="005B0796">
        <w:rPr>
          <w:lang w:eastAsia="ja-JP"/>
        </w:rPr>
        <w:t>completely satisfied</w:t>
      </w:r>
      <w:r w:rsidR="00462A0C" w:rsidRPr="005B0796">
        <w:rPr>
          <w:lang w:eastAsia="ja-JP"/>
        </w:rPr>
        <w:t>’</w:t>
      </w:r>
      <w:r w:rsidRPr="005B0796">
        <w:rPr>
          <w:lang w:eastAsia="ja-JP"/>
        </w:rPr>
        <w:t>.</w:t>
      </w:r>
    </w:p>
    <w:p w:rsidR="009B20BD" w:rsidRPr="005B0796" w:rsidRDefault="009B20BD" w:rsidP="009432D6">
      <w:pPr>
        <w:pStyle w:val="Bullet"/>
        <w:spacing w:after="180"/>
      </w:pPr>
      <w:r w:rsidRPr="005B0796">
        <w:t xml:space="preserve">Items measuring conflict during childhood, parental mental health and parental substance abuse were taken from The Longitudinal Study of Australian Children </w:t>
      </w:r>
      <w:r w:rsidRPr="005B0796">
        <w:fldChar w:fldCharType="begin"/>
      </w:r>
      <w:r w:rsidRPr="005B0796">
        <w:instrText xml:space="preserve"> ADDIN EN.CITE &lt;EndNote&gt;&lt;Cite&gt;&lt;Author&gt;Gray&lt;/Author&gt;&lt;Year&gt;2005&lt;/Year&gt;&lt;RecNum&gt;524&lt;/RecNum&gt;&lt;DisplayText&gt;(Gray, 2005)&lt;/DisplayText&gt;&lt;record&gt;&lt;rec-number&gt;524&lt;/rec-number&gt;&lt;foreign-keys&gt;&lt;key app="EN" db-id="arwdrezp9sdawxevtfyxtfw10exvr5exxfed" timestamp="1478837704"&gt;524&lt;/key&gt;&lt;/foreign-keys&gt;&lt;ref-type name="Journal Article"&gt;17&lt;/ref-type&gt;&lt;contributors&gt;&lt;authors&gt;&lt;author&gt;Gray, M., &amp;amp; Sanson, A. &lt;/author&gt;&lt;/authors&gt;&lt;/contributors&gt;&lt;titles&gt;&lt;title&gt;Growing up in Australia: The Longitudinal Study of Australian Children&lt;/title&gt;&lt;secondary-title&gt;Family Matters&lt;/secondary-title&gt;&lt;/titles&gt;&lt;periodical&gt;&lt;full-title&gt;Family Matters&lt;/full-title&gt;&lt;/periodical&gt;&lt;pages&gt;4-9&lt;/pages&gt;&lt;volume&gt;72&lt;/volume&gt;&lt;dates&gt;&lt;year&gt;2005&lt;/year&gt;&lt;/dates&gt;&lt;urls&gt;&lt;/urls&gt;&lt;/record&gt;&lt;/Cite&gt;&lt;/EndNote&gt;</w:instrText>
      </w:r>
      <w:r w:rsidRPr="005B0796">
        <w:fldChar w:fldCharType="separate"/>
      </w:r>
      <w:r w:rsidRPr="005B0796">
        <w:t>(Gray, 2005)</w:t>
      </w:r>
      <w:r w:rsidRPr="005B0796">
        <w:fldChar w:fldCharType="end"/>
      </w:r>
      <w:r w:rsidRPr="005B0796">
        <w:t xml:space="preserve">. </w:t>
      </w:r>
    </w:p>
    <w:p w:rsidR="009B20BD" w:rsidRPr="005B0796" w:rsidRDefault="009B20BD" w:rsidP="009432D6">
      <w:pPr>
        <w:pStyle w:val="Bullet"/>
        <w:spacing w:after="180"/>
        <w:rPr>
          <w:lang w:eastAsia="ja-JP"/>
        </w:rPr>
      </w:pPr>
      <w:r w:rsidRPr="005B0796">
        <w:t xml:space="preserve">Global parental self-efficacy was assessed via a single item taken from the Longitudinal Study of Australian Children </w:t>
      </w:r>
      <w:r w:rsidRPr="005B0796">
        <w:fldChar w:fldCharType="begin"/>
      </w:r>
      <w:r w:rsidRPr="005B0796">
        <w:instrText xml:space="preserve"> ADDIN EN.CITE &lt;EndNote&gt;&lt;Cite&gt;&lt;Author&gt;Gray&lt;/Author&gt;&lt;Year&gt;2005&lt;/Year&gt;&lt;RecNum&gt;524&lt;/RecNum&gt;&lt;DisplayText&gt;(Gray, 2005)&lt;/DisplayText&gt;&lt;record&gt;&lt;rec-number&gt;524&lt;/rec-number&gt;&lt;foreign-keys&gt;&lt;key app="EN" db-id="arwdrezp9sdawxevtfyxtfw10exvr5exxfed" timestamp="1478837704"&gt;524&lt;/key&gt;&lt;/foreign-keys&gt;&lt;ref-type name="Journal Article"&gt;17&lt;/ref-type&gt;&lt;contributors&gt;&lt;authors&gt;&lt;author&gt;Gray, M., &amp;amp; Sanson, A. &lt;/author&gt;&lt;/authors&gt;&lt;/contributors&gt;&lt;titles&gt;&lt;title&gt;Growing up in Australia: The Longitudinal Study of Australian Children&lt;/title&gt;&lt;secondary-title&gt;Family Matters&lt;/secondary-title&gt;&lt;/titles&gt;&lt;periodical&gt;&lt;full-title&gt;Family Matters&lt;/full-title&gt;&lt;/periodical&gt;&lt;pages&gt;4-9&lt;/pages&gt;&lt;volume&gt;72&lt;/volume&gt;&lt;dates&gt;&lt;year&gt;2005&lt;/year&gt;&lt;/dates&gt;&lt;urls&gt;&lt;/urls&gt;&lt;/record&gt;&lt;/Cite&gt;&lt;/EndNote&gt;</w:instrText>
      </w:r>
      <w:r w:rsidRPr="005B0796">
        <w:fldChar w:fldCharType="separate"/>
      </w:r>
      <w:r w:rsidRPr="005B0796">
        <w:t>(Gray, 2005)</w:t>
      </w:r>
      <w:r w:rsidRPr="005B0796">
        <w:fldChar w:fldCharType="end"/>
      </w:r>
      <w:r w:rsidRPr="005B0796">
        <w:t xml:space="preserve">. </w:t>
      </w:r>
      <w:r w:rsidRPr="005B0796">
        <w:rPr>
          <w:lang w:eastAsia="ja-JP"/>
        </w:rPr>
        <w:t xml:space="preserve">Participants were required to rate their competency as a parent on a 5-point Likert-type scale ranging from </w:t>
      </w:r>
      <w:r w:rsidR="00462A0C" w:rsidRPr="005B0796">
        <w:rPr>
          <w:lang w:eastAsia="ja-JP"/>
        </w:rPr>
        <w:t>‘</w:t>
      </w:r>
      <w:r w:rsidRPr="005B0796">
        <w:rPr>
          <w:lang w:eastAsia="ja-JP"/>
        </w:rPr>
        <w:t>not very good at being a parent</w:t>
      </w:r>
      <w:r w:rsidR="00462A0C" w:rsidRPr="005B0796">
        <w:rPr>
          <w:lang w:eastAsia="ja-JP"/>
        </w:rPr>
        <w:t>’</w:t>
      </w:r>
      <w:r w:rsidRPr="005B0796">
        <w:rPr>
          <w:lang w:eastAsia="ja-JP"/>
        </w:rPr>
        <w:t xml:space="preserve"> to </w:t>
      </w:r>
      <w:r w:rsidR="00462A0C" w:rsidRPr="005B0796">
        <w:rPr>
          <w:lang w:eastAsia="ja-JP"/>
        </w:rPr>
        <w:t>‘</w:t>
      </w:r>
      <w:r w:rsidRPr="005B0796">
        <w:rPr>
          <w:lang w:eastAsia="ja-JP"/>
        </w:rPr>
        <w:t>a very good parent</w:t>
      </w:r>
      <w:r w:rsidR="00462A0C" w:rsidRPr="005B0796">
        <w:rPr>
          <w:lang w:eastAsia="ja-JP"/>
        </w:rPr>
        <w:t>’</w:t>
      </w:r>
      <w:r w:rsidRPr="005B0796">
        <w:rPr>
          <w:lang w:eastAsia="ja-JP"/>
        </w:rPr>
        <w:t>.</w:t>
      </w:r>
    </w:p>
    <w:p w:rsidR="009B20BD" w:rsidRPr="005B0796" w:rsidRDefault="009B20BD" w:rsidP="009432D6">
      <w:pPr>
        <w:pStyle w:val="Bullet"/>
        <w:spacing w:after="180"/>
      </w:pPr>
      <w:r w:rsidRPr="005B0796">
        <w:t xml:space="preserve">Parental warmth was measured using 6 items from the Child Rearing Questionnaire </w:t>
      </w:r>
      <w:r w:rsidRPr="005B0796">
        <w:fldChar w:fldCharType="begin"/>
      </w:r>
      <w:r w:rsidRPr="005B0796">
        <w:instrText xml:space="preserve"> ADDIN EN.CITE &lt;EndNote&gt;&lt;Cite&gt;&lt;Author&gt;Paterson&lt;/Author&gt;&lt;Year&gt;1999&lt;/Year&gt;&lt;RecNum&gt;462&lt;/RecNum&gt;&lt;DisplayText&gt;(Paterson &amp;amp; Sanson, 1999)&lt;/DisplayText&gt;&lt;record&gt;&lt;rec-number&gt;462&lt;/rec-number&gt;&lt;foreign-keys&gt;&lt;key app="EN" db-id="arwdrezp9sdawxevtfyxtfw10exvr5exxfed" timestamp="1478492972"&gt;462&lt;/key&gt;&lt;/foreign-keys&gt;&lt;ref-type name="Journal Article"&gt;17&lt;/ref-type&gt;&lt;contributors&gt;&lt;authors&gt;&lt;author&gt;Paterson, Gill&lt;/author&gt;&lt;author&gt;Sanson, Ann&lt;/author&gt;&lt;/authors&gt;&lt;/contributors&gt;&lt;titles&gt;&lt;title&gt;The Association of Behavioural Adjustment to Temperament, Parenting and Family Characteristics among 5-Year-Old Children&lt;/title&gt;&lt;secondary-title&gt;Social Development&lt;/secondary-title&gt;&lt;/titles&gt;&lt;periodical&gt;&lt;full-title&gt;Social Development&lt;/full-title&gt;&lt;/periodical&gt;&lt;pages&gt;293-309&lt;/pages&gt;&lt;volume&gt;8&lt;/volume&gt;&lt;number&gt;3&lt;/number&gt;&lt;keywords&gt;&lt;keyword&gt;ADJUSTMENT (Psychology) in children&lt;/keyword&gt;&lt;keyword&gt;TEMPERAMENT in children&lt;/keyword&gt;&lt;keyword&gt;CHILD psychology&lt;/keyword&gt;&lt;keyword&gt;PARENTING&lt;/keyword&gt;&lt;keyword&gt;FAMILIES&lt;/keyword&gt;&lt;keyword&gt;adjustment&lt;/keyword&gt;&lt;keyword&gt;family&lt;/keyword&gt;&lt;keyword&gt;Temperament&lt;/keyword&gt;&lt;/keywords&gt;&lt;dates&gt;&lt;year&gt;1999&lt;/year&gt;&lt;/dates&gt;&lt;publisher&gt;Wiley-Blackwell&lt;/publisher&gt;&lt;isbn&gt;0961205X&lt;/isbn&gt;&lt;accession-num&gt;4371241&lt;/accession-num&gt;&lt;work-type&gt;Article&lt;/work-type&gt;&lt;urls&gt;&lt;related-urls&gt;&lt;url&gt;http://proxy.library.adelaide.edu.au/login?url=http://search.ebscohost.com/login.aspx?direct=true&amp;amp;db=a2h&amp;amp;AN=4371241&amp;amp;site=ehost-live&amp;amp;scope=site&lt;/url&gt;&lt;/related-urls&gt;&lt;/urls&gt;&lt;remote-database-name&gt;a2h&lt;/remote-database-name&gt;&lt;remote-database-provider&gt;EBSCOhost&lt;/remote-database-provider&gt;&lt;/record&gt;&lt;/Cite&gt;&lt;/EndNote&gt;</w:instrText>
      </w:r>
      <w:r w:rsidRPr="005B0796">
        <w:fldChar w:fldCharType="separate"/>
      </w:r>
      <w:r w:rsidRPr="005B0796">
        <w:t>(Paterson &amp; Sanson, 1999)</w:t>
      </w:r>
      <w:r w:rsidRPr="005B0796">
        <w:fldChar w:fldCharType="end"/>
      </w:r>
      <w:r w:rsidRPr="005B0796">
        <w:t xml:space="preserve">. These items were also utilised in the Longitudinal Study of Australian Children </w:t>
      </w:r>
      <w:r w:rsidRPr="005B0796">
        <w:fldChar w:fldCharType="begin"/>
      </w:r>
      <w:r w:rsidRPr="005B0796">
        <w:instrText xml:space="preserve"> ADDIN EN.CITE &lt;EndNote&gt;&lt;Cite&gt;&lt;Author&gt;Gray&lt;/Author&gt;&lt;Year&gt;2005&lt;/Year&gt;&lt;RecNum&gt;524&lt;/RecNum&gt;&lt;DisplayText&gt;(Gray, 2005)&lt;/DisplayText&gt;&lt;record&gt;&lt;rec-number&gt;524&lt;/rec-number&gt;&lt;foreign-keys&gt;&lt;key app="EN" db-id="arwdrezp9sdawxevtfyxtfw10exvr5exxfed" timestamp="1478837704"&gt;524&lt;/key&gt;&lt;/foreign-keys&gt;&lt;ref-type name="Journal Article"&gt;17&lt;/ref-type&gt;&lt;contributors&gt;&lt;authors&gt;&lt;author&gt;Gray, M., &amp;amp; Sanson, A. &lt;/author&gt;&lt;/authors&gt;&lt;/contributors&gt;&lt;titles&gt;&lt;title&gt;Growing up in Australia: The Longitudinal Study of Australian Children&lt;/title&gt;&lt;secondary-title&gt;Family Matters&lt;/secondary-title&gt;&lt;/titles&gt;&lt;periodical&gt;&lt;full-title&gt;Family Matters&lt;/full-title&gt;&lt;/periodical&gt;&lt;pages&gt;4-9&lt;/pages&gt;&lt;volume&gt;72&lt;/volume&gt;&lt;dates&gt;&lt;year&gt;2005&lt;/year&gt;&lt;/dates&gt;&lt;urls&gt;&lt;/urls&gt;&lt;/record&gt;&lt;/Cite&gt;&lt;/EndNote&gt;</w:instrText>
      </w:r>
      <w:r w:rsidRPr="005B0796">
        <w:fldChar w:fldCharType="separate"/>
      </w:r>
      <w:r w:rsidRPr="005B0796">
        <w:t>(Gray, 2005)</w:t>
      </w:r>
      <w:r w:rsidRPr="005B0796">
        <w:fldChar w:fldCharType="end"/>
      </w:r>
      <w:r w:rsidRPr="005B0796">
        <w:t xml:space="preserve">. Participants were required to answer questions in this section thinking about their first-born child aged between 4 and 17 who lived with them 50% or more of the time in the last 6 months. Participants were required to indicate how often each listed event took place on a 5-point Likert type scale ranging from </w:t>
      </w:r>
      <w:r w:rsidR="00462A0C" w:rsidRPr="005B0796">
        <w:t>‘</w:t>
      </w:r>
      <w:r w:rsidRPr="005B0796">
        <w:t>never/almost never</w:t>
      </w:r>
      <w:r w:rsidR="00462A0C" w:rsidRPr="005B0796">
        <w:t>’</w:t>
      </w:r>
      <w:r w:rsidRPr="005B0796">
        <w:t xml:space="preserve"> to </w:t>
      </w:r>
      <w:r w:rsidR="00462A0C" w:rsidRPr="005B0796">
        <w:t>‘</w:t>
      </w:r>
      <w:r w:rsidRPr="005B0796">
        <w:t>always/almost always</w:t>
      </w:r>
      <w:r w:rsidR="00462A0C" w:rsidRPr="005B0796">
        <w:t>’</w:t>
      </w:r>
      <w:r w:rsidRPr="005B0796">
        <w:t xml:space="preserve">. Examples of events include </w:t>
      </w:r>
      <w:r w:rsidR="00462A0C" w:rsidRPr="005B0796">
        <w:t>‘</w:t>
      </w:r>
      <w:r w:rsidRPr="005B0796">
        <w:t>how often did you hug or hold this child for no particular reason</w:t>
      </w:r>
      <w:r w:rsidR="00462A0C" w:rsidRPr="005B0796">
        <w:t>’</w:t>
      </w:r>
      <w:r w:rsidRPr="005B0796">
        <w:t xml:space="preserve"> and </w:t>
      </w:r>
      <w:r w:rsidR="00462A0C" w:rsidRPr="005B0796">
        <w:t>‘</w:t>
      </w:r>
      <w:r w:rsidRPr="005B0796">
        <w:t>how often did you enjoy listening to this child and doing things with him/her</w:t>
      </w:r>
      <w:r w:rsidR="00462A0C" w:rsidRPr="005B0796">
        <w:t>’</w:t>
      </w:r>
      <w:r w:rsidRPr="005B0796">
        <w:t>.</w:t>
      </w:r>
    </w:p>
    <w:p w:rsidR="009B20BD" w:rsidRPr="005B0796" w:rsidRDefault="009B20BD" w:rsidP="007448A6">
      <w:pPr>
        <w:pStyle w:val="Bullet"/>
        <w:rPr>
          <w:rFonts w:cs="Arial"/>
        </w:rPr>
      </w:pPr>
      <w:r w:rsidRPr="005B0796">
        <w:rPr>
          <w:rFonts w:cs="Arial"/>
        </w:rPr>
        <w:t xml:space="preserve">Parental anger was measured using 5 items from the </w:t>
      </w:r>
      <w:r w:rsidRPr="005B0796">
        <w:t xml:space="preserve">National Longitudinal Study of Children &amp; Youth </w:t>
      </w:r>
      <w:r w:rsidRPr="005B0796">
        <w:fldChar w:fldCharType="begin"/>
      </w:r>
      <w:r w:rsidRPr="005B0796">
        <w:instrText xml:space="preserve"> ADDIN EN.CITE &lt;EndNote&gt;&lt;Cite&gt;&lt;Author&gt;Statistics Canada&lt;/Author&gt;&lt;Year&gt;2003&lt;/Year&gt;&lt;RecNum&gt;463&lt;/RecNum&gt;&lt;DisplayText&gt;(Statistics Canada, 2003)&lt;/DisplayText&gt;&lt;record&gt;&lt;rec-number&gt;463&lt;/rec-number&gt;&lt;foreign-keys&gt;&lt;key app="EN" db-id="arwdrezp9sdawxevtfyxtfw10exvr5exxfed" timestamp="1478499196"&gt;463&lt;/key&gt;&lt;/foreign-keys&gt;&lt;ref-type name="Book"&gt;6&lt;/ref-type&gt;&lt;contributors&gt;&lt;authors&gt;&lt;author&gt;Statistics Canada,&lt;/author&gt;&lt;/authors&gt;&lt;/contributors&gt;&lt;titles&gt;&lt;title&gt;National Longitudinal Survey of Children and Youth Cycle 4 Survey Instruments 2000-2001, Book 1 - Parent, Child &amp;amp; Youth&lt;/title&gt;&lt;/titles&gt;&lt;dates&gt;&lt;year&gt;2003&lt;/year&gt;&lt;/dates&gt;&lt;pub-location&gt;Catalogue no. 89FOO77XPE, no. 4a. Canada&lt;/pub-location&gt;&lt;publisher&gt;Statistics Canada&lt;/publisher&gt;&lt;urls&gt;&lt;related-urls&gt;&lt;url&gt;http://www23.statcan.gc.ca/imdb-bmdi/instrument/4450_Q2_V3-eng.pdf&lt;/url&gt;&lt;/related-urls&gt;&lt;/urls&gt;&lt;/record&gt;&lt;/Cite&gt;&lt;/EndNote&gt;</w:instrText>
      </w:r>
      <w:r w:rsidRPr="005B0796">
        <w:fldChar w:fldCharType="separate"/>
      </w:r>
      <w:r w:rsidRPr="005B0796">
        <w:t>(Statistics Canada, 2003)</w:t>
      </w:r>
      <w:r w:rsidRPr="005B0796">
        <w:fldChar w:fldCharType="end"/>
      </w:r>
      <w:r w:rsidRPr="005B0796">
        <w:t xml:space="preserve">. Participants were required to indicate how often each listed event took place on a 5-point Likert type scale ranging from </w:t>
      </w:r>
      <w:r w:rsidR="00462A0C" w:rsidRPr="005B0796">
        <w:t>‘</w:t>
      </w:r>
      <w:r w:rsidRPr="005B0796">
        <w:t>never/almost never</w:t>
      </w:r>
      <w:r w:rsidR="00462A0C" w:rsidRPr="005B0796">
        <w:t>’</w:t>
      </w:r>
      <w:r w:rsidRPr="005B0796">
        <w:t xml:space="preserve"> to </w:t>
      </w:r>
      <w:r w:rsidR="00462A0C" w:rsidRPr="005B0796">
        <w:t>‘</w:t>
      </w:r>
      <w:r w:rsidRPr="005B0796">
        <w:t>all the time</w:t>
      </w:r>
      <w:r w:rsidR="00462A0C" w:rsidRPr="005B0796">
        <w:t>’</w:t>
      </w:r>
      <w:r w:rsidRPr="005B0796">
        <w:t xml:space="preserve">. Examples of events include </w:t>
      </w:r>
      <w:r w:rsidR="00462A0C" w:rsidRPr="005B0796">
        <w:t>‘</w:t>
      </w:r>
      <w:r w:rsidRPr="005B0796">
        <w:t>how often are you angry when you punish this child</w:t>
      </w:r>
      <w:r w:rsidR="00462A0C" w:rsidRPr="005B0796">
        <w:t>’</w:t>
      </w:r>
      <w:r w:rsidRPr="005B0796">
        <w:t xml:space="preserve"> and </w:t>
      </w:r>
      <w:r w:rsidR="00462A0C" w:rsidRPr="005B0796">
        <w:t>‘</w:t>
      </w:r>
      <w:r w:rsidRPr="005B0796">
        <w:t>how often do you tell this child that he/she is not as good as the others</w:t>
      </w:r>
      <w:r w:rsidR="00462A0C" w:rsidRPr="005B0796">
        <w:t>’</w:t>
      </w:r>
      <w:r w:rsidRPr="005B0796">
        <w:t>.</w:t>
      </w:r>
    </w:p>
    <w:p w:rsidR="009B20BD" w:rsidRPr="005B0796" w:rsidRDefault="009B20BD" w:rsidP="007448A6">
      <w:pPr>
        <w:pStyle w:val="Heading5"/>
        <w:rPr>
          <w:rFonts w:asciiTheme="minorHAnsi" w:hAnsiTheme="minorHAnsi"/>
          <w:lang w:val="en-AU"/>
        </w:rPr>
      </w:pPr>
      <w:r w:rsidRPr="005B0796">
        <w:rPr>
          <w:lang w:val="en-AU"/>
        </w:rPr>
        <w:t>Friends and other social contacts</w:t>
      </w:r>
    </w:p>
    <w:p w:rsidR="009B20BD" w:rsidRPr="005B0796" w:rsidRDefault="009B20BD" w:rsidP="007448A6">
      <w:r w:rsidRPr="005B0796">
        <w:t>This section of the survey was comprised of several scales looking at participants</w:t>
      </w:r>
      <w:r w:rsidR="00462A0C" w:rsidRPr="005B0796">
        <w:t>’</w:t>
      </w:r>
      <w:r w:rsidRPr="005B0796">
        <w:t xml:space="preserve"> friends and social contacts:</w:t>
      </w:r>
    </w:p>
    <w:p w:rsidR="009B20BD" w:rsidRPr="005B0796" w:rsidRDefault="009B20BD" w:rsidP="009432D6">
      <w:pPr>
        <w:pStyle w:val="Bullet"/>
        <w:spacing w:after="180"/>
      </w:pPr>
      <w:r w:rsidRPr="005B0796">
        <w:t xml:space="preserve">Social support and strain was assessed via items of relevance from an adapted version of the Schuster Social Support Scale </w:t>
      </w:r>
      <w:r w:rsidRPr="005B0796">
        <w:fldChar w:fldCharType="begin"/>
      </w:r>
      <w:r w:rsidRPr="005B0796">
        <w:instrText xml:space="preserve"> ADDIN EN.CITE &lt;EndNote&gt;&lt;Cite&gt;&lt;Author&gt;Schuster&lt;/Author&gt;&lt;Year&gt;1990&lt;/Year&gt;&lt;RecNum&gt;430&lt;/RecNum&gt;&lt;DisplayText&gt;(Schuster et al., 1990)&lt;/DisplayText&gt;&lt;record&gt;&lt;rec-number&gt;430&lt;/rec-number&gt;&lt;foreign-keys&gt;&lt;key app="EN" db-id="arwdrezp9sdawxevtfyxtfw10exvr5exxfed" timestamp="1478232442"&gt;430&lt;/key&gt;&lt;/foreign-keys&gt;&lt;ref-type name="Journal Article"&gt;17&lt;/ref-type&gt;&lt;contributors&gt;&lt;authors&gt;&lt;author&gt;Schuster, T. L.&lt;/author&gt;&lt;author&gt;Kessler, R. C.&lt;/author&gt;&lt;author&gt;Aseltine, R. H., Jr.&lt;/author&gt;&lt;/authors&gt;&lt;/contributors&gt;&lt;auth-address&gt;University of Southern California, Los Angeles 90089-0191.&lt;/auth-address&gt;&lt;titles&gt;&lt;title&gt;Supportive interactions, negative interactions, and depressed mood&lt;/title&gt;&lt;secondary-title&gt;Am J Community Psychol&lt;/secondary-title&gt;&lt;alt-title&gt;American journal of community psychology&lt;/alt-title&gt;&lt;/titles&gt;&lt;periodical&gt;&lt;full-title&gt;Am J Community Psychol&lt;/full-title&gt;&lt;abbr-1&gt;American journal of community psychology&lt;/abbr-1&gt;&lt;/periodical&gt;&lt;alt-periodical&gt;&lt;full-title&gt;Am J Community Psychol&lt;/full-title&gt;&lt;abbr-1&gt;American journal of community psychology&lt;/abbr-1&gt;&lt;/alt-periodical&gt;&lt;pages&gt;423-38&lt;/pages&gt;&lt;volume&gt;18&lt;/volume&gt;&lt;number&gt;3&lt;/number&gt;&lt;edition&gt;1990/06/01&lt;/edition&gt;&lt;keywords&gt;&lt;keyword&gt;*Adaptation, Psychological&lt;/keyword&gt;&lt;keyword&gt;Adult&lt;/keyword&gt;&lt;keyword&gt;Depression/*psychology&lt;/keyword&gt;&lt;keyword&gt;Female&lt;/keyword&gt;&lt;keyword&gt;Humans&lt;/keyword&gt;&lt;keyword&gt;*Life Change Events&lt;/keyword&gt;&lt;keyword&gt;Male&lt;/keyword&gt;&lt;keyword&gt;Marriage&lt;/keyword&gt;&lt;keyword&gt;Personality Tests&lt;/keyword&gt;&lt;keyword&gt;*Social Support&lt;/keyword&gt;&lt;/keywords&gt;&lt;dates&gt;&lt;year&gt;1990&lt;/year&gt;&lt;pub-dates&gt;&lt;date&gt;Jun&lt;/date&gt;&lt;/pub-dates&gt;&lt;/dates&gt;&lt;isbn&gt;0091-0562 (Print)&amp;#xD;0091-0562 (Linking)&lt;/isbn&gt;&lt;accession-num&gt;2264558&lt;/accession-num&gt;&lt;work-type&gt;Research Support, U.S. Gov&amp;apos;t, P.H.S.&lt;/work-type&gt;&lt;urls&gt;&lt;related-urls&gt;&lt;url&gt;http://www.ncbi.nlm.nih.gov/pubmed/2264558&lt;/url&gt;&lt;/related-urls&gt;&lt;/urls&gt;&lt;language&gt;eng&lt;/language&gt;&lt;/record&gt;&lt;/Cite&gt;&lt;/EndNote&gt;</w:instrText>
      </w:r>
      <w:r w:rsidRPr="005B0796">
        <w:fldChar w:fldCharType="separate"/>
      </w:r>
      <w:r w:rsidRPr="005B0796">
        <w:t>(Schuster et al., 1990)</w:t>
      </w:r>
      <w:r w:rsidRPr="005B0796">
        <w:fldChar w:fldCharType="end"/>
      </w:r>
      <w:r w:rsidRPr="005B0796">
        <w:t xml:space="preserve">. Affective support was indicated by responses to questions about how often friends made them feel cared for and how often friends expressed interest in how they were doing. Negative interactions were indicated by responses to questions about how often friends made too many demands on them, how often they criticised them, and how often they created tensions or arguments with them. All items were answered on 4-point Likert-type scale ranging from </w:t>
      </w:r>
      <w:r w:rsidR="00462A0C" w:rsidRPr="005B0796">
        <w:t>‘</w:t>
      </w:r>
      <w:r w:rsidRPr="005B0796">
        <w:t>often</w:t>
      </w:r>
      <w:r w:rsidR="00462A0C" w:rsidRPr="005B0796">
        <w:t>’</w:t>
      </w:r>
      <w:r w:rsidRPr="005B0796">
        <w:t xml:space="preserve"> to </w:t>
      </w:r>
      <w:r w:rsidR="00462A0C" w:rsidRPr="005B0796">
        <w:t>‘</w:t>
      </w:r>
      <w:r w:rsidRPr="005B0796">
        <w:t>never</w:t>
      </w:r>
      <w:r w:rsidR="00462A0C" w:rsidRPr="005B0796">
        <w:t>’</w:t>
      </w:r>
      <w:r w:rsidRPr="005B0796">
        <w:t>.</w:t>
      </w:r>
    </w:p>
    <w:p w:rsidR="009B20BD" w:rsidRPr="005B0796" w:rsidRDefault="009B20BD" w:rsidP="009432D6">
      <w:pPr>
        <w:pStyle w:val="Bullet"/>
        <w:spacing w:after="180"/>
      </w:pPr>
      <w:r w:rsidRPr="005B0796">
        <w:t xml:space="preserve">A single item looking at how often participants had contact with friends not living with them was taken from the 2014 Vietnam Veterans Family Study conducted by the Department of Veterans Affairs </w:t>
      </w:r>
      <w:r w:rsidRPr="005B0796">
        <w:fldChar w:fldCharType="begin"/>
      </w:r>
      <w:r w:rsidRPr="005B0796">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5B0796">
        <w:fldChar w:fldCharType="separate"/>
      </w:r>
      <w:r w:rsidRPr="005B0796">
        <w:t>(Forrest et al., 2014)</w:t>
      </w:r>
      <w:r w:rsidRPr="005B0796">
        <w:fldChar w:fldCharType="end"/>
      </w:r>
      <w:r w:rsidRPr="005B0796">
        <w:t>.</w:t>
      </w:r>
    </w:p>
    <w:p w:rsidR="009B20BD" w:rsidRPr="005B0796" w:rsidRDefault="009B20BD" w:rsidP="009432D6">
      <w:pPr>
        <w:pStyle w:val="Bullet"/>
        <w:spacing w:after="180"/>
      </w:pPr>
      <w:r w:rsidRPr="005B0796">
        <w:t xml:space="preserve">A single item assessing how satisfied participants were with their friendships was taken from </w:t>
      </w:r>
      <w:hyperlink r:id="rId293" w:history="1">
        <w:r w:rsidRPr="005B0796">
          <w:t>The Household, Income and Labour Dynamics in Australia (HILDA) Survey</w:t>
        </w:r>
      </w:hyperlink>
      <w:r w:rsidRPr="005B0796">
        <w:t xml:space="preserve"> </w:t>
      </w:r>
      <w:r w:rsidRPr="005B0796">
        <w:fldChar w:fldCharType="begin"/>
      </w:r>
      <w:r w:rsidRPr="005B0796">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5B0796">
        <w:fldChar w:fldCharType="separate"/>
      </w:r>
      <w:r w:rsidRPr="005B0796">
        <w:t>(Watson &amp; Wooden, 2002)</w:t>
      </w:r>
      <w:r w:rsidRPr="005B0796">
        <w:fldChar w:fldCharType="end"/>
      </w:r>
      <w:r w:rsidRPr="005B0796">
        <w:t xml:space="preserve">. Participants were required to rate their relationship on an 11-point Likert-type scale ranging from </w:t>
      </w:r>
      <w:r w:rsidR="00462A0C" w:rsidRPr="005B0796">
        <w:t>‘</w:t>
      </w:r>
      <w:r w:rsidRPr="005B0796">
        <w:t>completely dissatisfied</w:t>
      </w:r>
      <w:r w:rsidR="00462A0C" w:rsidRPr="005B0796">
        <w:t>’</w:t>
      </w:r>
      <w:r w:rsidRPr="005B0796">
        <w:t xml:space="preserve"> to </w:t>
      </w:r>
      <w:r w:rsidR="00462A0C" w:rsidRPr="005B0796">
        <w:t>‘</w:t>
      </w:r>
      <w:r w:rsidRPr="005B0796">
        <w:t>completely satisfied</w:t>
      </w:r>
      <w:r w:rsidR="00462A0C" w:rsidRPr="005B0796">
        <w:t>’</w:t>
      </w:r>
      <w:r w:rsidRPr="005B0796">
        <w:t>.</w:t>
      </w:r>
    </w:p>
    <w:p w:rsidR="009B20BD" w:rsidRPr="005B0796" w:rsidRDefault="009B20BD" w:rsidP="009432D6">
      <w:pPr>
        <w:pStyle w:val="Bullet"/>
        <w:spacing w:after="180"/>
      </w:pPr>
      <w:r w:rsidRPr="005B0796">
        <w:t xml:space="preserve">Questions looking at how many Ex-Service Organisations participants belonged to and how these Ex-Service Organisations benefited them were taken from the 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7448A6" w:rsidP="007448A6">
      <w:pPr>
        <w:pStyle w:val="Heading5"/>
        <w:rPr>
          <w:lang w:val="en-AU"/>
        </w:rPr>
      </w:pPr>
      <w:r w:rsidRPr="005B0796">
        <w:rPr>
          <w:lang w:val="en-AU"/>
        </w:rPr>
        <w:t>Resilience</w:t>
      </w:r>
    </w:p>
    <w:p w:rsidR="009B20BD" w:rsidRPr="005B0796" w:rsidRDefault="009B20BD" w:rsidP="007448A6">
      <w:pPr>
        <w:rPr>
          <w:lang w:eastAsia="en-AU"/>
        </w:rPr>
      </w:pPr>
      <w:r w:rsidRPr="005B0796">
        <w:rPr>
          <w:lang w:eastAsia="en-AU"/>
        </w:rPr>
        <w:t xml:space="preserve">The Ohio State University Brief Resilience Scale (BRS) </w:t>
      </w:r>
      <w:r w:rsidRPr="005B0796">
        <w:rPr>
          <w:lang w:eastAsia="en-AU"/>
        </w:rPr>
        <w:fldChar w:fldCharType="begin"/>
      </w:r>
      <w:r w:rsidRPr="005B0796">
        <w:rPr>
          <w:lang w:eastAsia="en-AU"/>
        </w:rPr>
        <w:instrText xml:space="preserve"> ADDIN EN.CITE &lt;EndNote&gt;&lt;Cite&gt;&lt;Author&gt;Smith&lt;/Author&gt;&lt;Year&gt;2008&lt;/Year&gt;&lt;RecNum&gt;457&lt;/RecNum&gt;&lt;DisplayText&gt;(Smith et al., 2008)&lt;/DisplayText&gt;&lt;record&gt;&lt;rec-number&gt;457&lt;/rec-number&gt;&lt;foreign-keys&gt;&lt;key app="EN" db-id="arwdrezp9sdawxevtfyxtfw10exvr5exxfed" timestamp="1478476970"&gt;457&lt;/key&gt;&lt;/foreign-keys&gt;&lt;ref-type name="Journal Article"&gt;17&lt;/ref-type&gt;&lt;contributors&gt;&lt;authors&gt;&lt;author&gt;Smith, B. W.,&lt;/author&gt;&lt;author&gt;Dalen, J.&lt;/author&gt;&lt;author&gt;Wiggins, K.&lt;/author&gt;&lt;author&gt;Tooley, E.&lt;/author&gt;&lt;author&gt;Christopher, P.&lt;/author&gt;&lt;author&gt;Bernard, J.&lt;/author&gt;&lt;/authors&gt;&lt;/contributors&gt;&lt;titles&gt;&lt;title&gt;The brief resilience scale: assessing the ability to bounce back.&lt;/title&gt;&lt;secondary-title&gt;International journal of behavioral medicine&lt;/secondary-title&gt;&lt;/titles&gt;&lt;periodical&gt;&lt;full-title&gt;International journal of behavioral medicine&lt;/full-title&gt;&lt;/periodical&gt;&lt;pages&gt;194-200&lt;/pages&gt;&lt;volume&gt;15&lt;/volume&gt;&lt;number&gt;3&lt;/number&gt;&lt;dates&gt;&lt;year&gt;2008&lt;/year&gt;&lt;/dates&gt;&lt;urls&gt;&lt;/urls&gt;&lt;/record&gt;&lt;/Cite&gt;&lt;/EndNote&gt;</w:instrText>
      </w:r>
      <w:r w:rsidRPr="005B0796">
        <w:rPr>
          <w:lang w:eastAsia="en-AU"/>
        </w:rPr>
        <w:fldChar w:fldCharType="separate"/>
      </w:r>
      <w:r w:rsidRPr="005B0796">
        <w:rPr>
          <w:lang w:eastAsia="en-AU"/>
        </w:rPr>
        <w:t>(Smith et al., 2008)</w:t>
      </w:r>
      <w:r w:rsidRPr="005B0796">
        <w:rPr>
          <w:lang w:eastAsia="en-AU"/>
        </w:rPr>
        <w:fldChar w:fldCharType="end"/>
      </w:r>
      <w:r w:rsidRPr="005B0796">
        <w:rPr>
          <w:lang w:eastAsia="en-AU"/>
        </w:rPr>
        <w:t xml:space="preserve"> was included to asses participants</w:t>
      </w:r>
      <w:r w:rsidR="00462A0C" w:rsidRPr="005B0796">
        <w:rPr>
          <w:lang w:eastAsia="en-AU"/>
        </w:rPr>
        <w:t>’</w:t>
      </w:r>
      <w:r w:rsidRPr="005B0796">
        <w:rPr>
          <w:lang w:eastAsia="en-AU"/>
        </w:rPr>
        <w:t xml:space="preserve"> ability to bounce back or recover from stress. Participants were asked to indicate the extent to which they agreed or disagreed with 6 anchored statements. The BRS is scored by reverse coding items 2, 6, and 6 and finding the mean of the six items.</w:t>
      </w:r>
    </w:p>
    <w:p w:rsidR="009B20BD" w:rsidRPr="005B0796" w:rsidRDefault="009B20BD" w:rsidP="007448A6">
      <w:pPr>
        <w:rPr>
          <w:rFonts w:cs="Times"/>
          <w:lang w:eastAsia="en-AU"/>
        </w:rPr>
      </w:pPr>
      <w:r w:rsidRPr="005B0796">
        <w:t xml:space="preserve">The final item in this section assessed global happiness via the Delighted-Terrible scale </w:t>
      </w:r>
      <w:r w:rsidRPr="005B0796">
        <w:fldChar w:fldCharType="begin"/>
      </w:r>
      <w:r w:rsidRPr="005B0796">
        <w:instrText xml:space="preserve"> ADDIN EN.CITE &lt;EndNote&gt;&lt;Cite&gt;&lt;Author&gt;Andrews&lt;/Author&gt;&lt;Year&gt;1976&lt;/Year&gt;&lt;RecNum&gt;650&lt;/RecNum&gt;&lt;DisplayText&gt;(Andrews  &amp;amp; Crandall, 1976)&lt;/DisplayText&gt;&lt;record&gt;&lt;rec-number&gt;650&lt;/rec-number&gt;&lt;foreign-keys&gt;&lt;key app="EN" db-id="arwdrezp9sdawxevtfyxtfw10exvr5exxfed" timestamp="1488860878"&gt;650&lt;/key&gt;&lt;/foreign-keys&gt;&lt;ref-type name="Journal Article"&gt;17&lt;/ref-type&gt;&lt;contributors&gt;&lt;authors&gt;&lt;author&gt;Andrews , Frank M.&lt;/author&gt;&lt;author&gt;Crandall, Rick&lt;/author&gt;&lt;/authors&gt;&lt;/contributors&gt;&lt;titles&gt;&lt;title&gt;The validity of measures of self-reported well-being&lt;/title&gt;&lt;secondary-title&gt;Social Indicators Research&lt;/secondary-title&gt;&lt;/titles&gt;&lt;periodical&gt;&lt;full-title&gt;Social Indicators Research&lt;/full-title&gt;&lt;/periodical&gt;&lt;pages&gt;1-19&lt;/pages&gt;&lt;volume&gt;3&lt;/volume&gt;&lt;dates&gt;&lt;year&gt;1976&lt;/year&gt;&lt;/dates&gt;&lt;urls&gt;&lt;/urls&gt;&lt;/record&gt;&lt;/Cite&gt;&lt;/EndNote&gt;</w:instrText>
      </w:r>
      <w:r w:rsidRPr="005B0796">
        <w:fldChar w:fldCharType="separate"/>
      </w:r>
      <w:r w:rsidRPr="005B0796">
        <w:t>(Andrews &amp; Crandall, 1976)</w:t>
      </w:r>
      <w:r w:rsidRPr="005B0796">
        <w:fldChar w:fldCharType="end"/>
      </w:r>
      <w:r w:rsidRPr="005B0796">
        <w:t xml:space="preserve">, one of the more common approaches to collecting subjective quality of life data. </w:t>
      </w:r>
    </w:p>
    <w:p w:rsidR="009B20BD" w:rsidRPr="005B0796" w:rsidRDefault="009B20BD" w:rsidP="007448A6">
      <w:pPr>
        <w:pStyle w:val="Heading5"/>
        <w:rPr>
          <w:lang w:val="en-AU" w:eastAsia="en-AU"/>
        </w:rPr>
      </w:pPr>
      <w:r w:rsidRPr="005B0796">
        <w:rPr>
          <w:lang w:val="en-AU" w:eastAsia="en-AU"/>
        </w:rPr>
        <w:t>Gambling</w:t>
      </w:r>
    </w:p>
    <w:p w:rsidR="009B20BD" w:rsidRPr="005B0796" w:rsidRDefault="009B20BD" w:rsidP="007448A6">
      <w:r w:rsidRPr="005B0796">
        <w:t xml:space="preserve">The Problem Gambling Severity Index (PGSI) </w:t>
      </w:r>
      <w:r w:rsidRPr="005B0796">
        <w:fldChar w:fldCharType="begin"/>
      </w:r>
      <w:r w:rsidRPr="005B0796">
        <w:instrText xml:space="preserve"> ADDIN EN.CITE &lt;EndNote&gt;&lt;Cite&gt;&lt;Author&gt;Stinchfield&lt;/Author&gt;&lt;Year&gt;2007&lt;/Year&gt;&lt;RecNum&gt;520&lt;/RecNum&gt;&lt;DisplayText&gt;(Stinchfield, 2007)&lt;/DisplayText&gt;&lt;record&gt;&lt;rec-number&gt;520&lt;/rec-number&gt;&lt;foreign-keys&gt;&lt;key app="EN" db-id="arwdrezp9sdawxevtfyxtfw10exvr5exxfed" timestamp="1478833507"&gt;520&lt;/key&gt;&lt;/foreign-keys&gt;&lt;ref-type name="Journal Article"&gt;17&lt;/ref-type&gt;&lt;contributors&gt;&lt;authors&gt;&lt;author&gt;Stinchfield, R., Govoni, R., &amp;amp; Frisch, G. R.&lt;/author&gt;&lt;/authors&gt;&lt;/contributors&gt;&lt;titles&gt;&lt;title&gt;A review of screening and assessment instruments for problem and pathological gambling.&lt;/title&gt;&lt;secondary-title&gt;Research and measurement issues in gambling studies&lt;/secondary-title&gt;&lt;/titles&gt;&lt;periodical&gt;&lt;full-title&gt;Research and measurement issues in gambling studies&lt;/full-title&gt;&lt;/periodical&gt;&lt;pages&gt;179-213&lt;/pages&gt;&lt;volume&gt;1&lt;/volume&gt;&lt;dates&gt;&lt;year&gt;2007&lt;/year&gt;&lt;/dates&gt;&lt;urls&gt;&lt;/urls&gt;&lt;/record&gt;&lt;/Cite&gt;&lt;/EndNote&gt;</w:instrText>
      </w:r>
      <w:r w:rsidRPr="005B0796">
        <w:fldChar w:fldCharType="separate"/>
      </w:r>
      <w:r w:rsidRPr="005B0796">
        <w:t>(Stinchfield, 2007)</w:t>
      </w:r>
      <w:r w:rsidRPr="005B0796">
        <w:fldChar w:fldCharType="end"/>
      </w:r>
      <w:r w:rsidRPr="005B0796">
        <w:t xml:space="preserve"> is a widely used nine item scale for measuring the severity of gambling problems in the general population. Each item is scored from 0 to 3. The higher the total score, the greater the risk of problem gambling behaviour.</w:t>
      </w:r>
    </w:p>
    <w:p w:rsidR="009B20BD" w:rsidRPr="005B0796" w:rsidRDefault="009B20BD" w:rsidP="007448A6">
      <w:pPr>
        <w:pStyle w:val="Heading5"/>
        <w:rPr>
          <w:lang w:val="en-AU" w:eastAsia="en-AU"/>
        </w:rPr>
      </w:pPr>
      <w:r w:rsidRPr="005B0796">
        <w:rPr>
          <w:lang w:val="en-AU" w:eastAsia="en-AU"/>
        </w:rPr>
        <w:t>Driving</w:t>
      </w:r>
    </w:p>
    <w:p w:rsidR="009B20BD" w:rsidRPr="005B0796" w:rsidRDefault="009B20BD" w:rsidP="007448A6">
      <w:r w:rsidRPr="005B0796">
        <w:t xml:space="preserve">Items examining risky driving were sourced from the Australian Institute of Family Studies </w:t>
      </w:r>
      <w:r w:rsidRPr="005B0796">
        <w:fldChar w:fldCharType="begin"/>
      </w:r>
      <w:r w:rsidRPr="005B0796">
        <w:instrText xml:space="preserve"> ADDIN EN.CITE &lt;EndNote&gt;&lt;Cite&gt;&lt;Author&gt;Smart&lt;/Author&gt;&lt;Year&gt;2005&lt;/Year&gt;&lt;RecNum&gt;521&lt;/RecNum&gt;&lt;DisplayText&gt;(Smart, 2005)&lt;/DisplayText&gt;&lt;record&gt;&lt;rec-number&gt;521&lt;/rec-number&gt;&lt;foreign-keys&gt;&lt;key app="EN" db-id="arwdrezp9sdawxevtfyxtfw10exvr5exxfed" timestamp="1478833744"&gt;521&lt;/key&gt;&lt;/foreign-keys&gt;&lt;ref-type name="Report"&gt;27&lt;/ref-type&gt;&lt;contributors&gt;&lt;authors&gt;&lt;author&gt;Smart, D., Vassallo, S., Sanson, A., Cockfield, S., Harris, A., Harrison, W. and McIntyre, A. &lt;/author&gt;&lt;/authors&gt;&lt;/contributors&gt;&lt;titles&gt;&lt;title&gt;In the driver&amp;apos;s seat: Understanding young adults&amp;apos; driving behaviour. Research report No. 12. &lt;/title&gt;&lt;/titles&gt;&lt;dates&gt;&lt;year&gt;2005&lt;/year&gt;&lt;/dates&gt;&lt;pub-location&gt;Melbourne, VIC&lt;/pub-location&gt;&lt;publisher&gt;Australian Institute of Family Studies&lt;/publisher&gt;&lt;urls&gt;&lt;/urls&gt;&lt;/record&gt;&lt;/Cite&gt;&lt;/EndNote&gt;</w:instrText>
      </w:r>
      <w:r w:rsidRPr="005B0796">
        <w:fldChar w:fldCharType="separate"/>
      </w:r>
      <w:r w:rsidRPr="005B0796">
        <w:t>(Smart, 2005)</w:t>
      </w:r>
      <w:r w:rsidRPr="005B0796">
        <w:fldChar w:fldCharType="end"/>
      </w:r>
      <w:r w:rsidRPr="005B0796">
        <w:t xml:space="preserve"> and looked specifically at driving over the speed limit and driving while effected by alcohol. </w:t>
      </w:r>
      <w:r w:rsidRPr="005B0796">
        <w:rPr>
          <w:rFonts w:cs="Times"/>
          <w:lang w:eastAsia="en-AU"/>
        </w:rPr>
        <w:t xml:space="preserve">Participants were asked to consider the last 10 times they drove, and how many times in that period </w:t>
      </w:r>
      <w:r w:rsidRPr="005B0796">
        <w:t>they engaged in risky driving behaviour.</w:t>
      </w:r>
    </w:p>
    <w:p w:rsidR="009B20BD" w:rsidRPr="005B0796" w:rsidRDefault="009B20BD" w:rsidP="007448A6">
      <w:pPr>
        <w:pStyle w:val="Heading5"/>
        <w:rPr>
          <w:lang w:val="en-AU" w:eastAsia="en-AU"/>
        </w:rPr>
      </w:pPr>
      <w:r w:rsidRPr="005B0796">
        <w:rPr>
          <w:lang w:val="en-AU" w:eastAsia="en-AU"/>
        </w:rPr>
        <w:t>Experience with the law</w:t>
      </w:r>
    </w:p>
    <w:p w:rsidR="009B20BD" w:rsidRPr="005B0796" w:rsidRDefault="009B20BD" w:rsidP="007448A6">
      <w:r w:rsidRPr="005B0796">
        <w:t xml:space="preserve">Participants were asked a series of questions about their experiences with the law including whether they had ever been arrested, whether they had ever been convicted of a crime in a court of law, and finally whether they had ever been sent to prison. For any that applied, participants were also asked to indicate whether the event occurred prior to entry into the ADF, prior to transition from the Regular ADF service, or since transition from Regular ADF service. Items in this section of the survey were sourced from the 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pPr>
        <w:pStyle w:val="Heading5"/>
        <w:rPr>
          <w:lang w:val="en-AU"/>
        </w:rPr>
      </w:pPr>
      <w:r w:rsidRPr="005B0796">
        <w:rPr>
          <w:lang w:val="en-AU"/>
        </w:rPr>
        <w:t>Internet usage</w:t>
      </w:r>
    </w:p>
    <w:p w:rsidR="009B20BD" w:rsidRPr="005B0796" w:rsidRDefault="009B20BD" w:rsidP="007448A6">
      <w:r w:rsidRPr="005B0796">
        <w:t xml:space="preserve">This section of the survey aimed to ascertain what role the internet played in improving the mental health and wellbeing of participants. Items looking at internet usage were taken from the Young and Well National Survey </w:t>
      </w:r>
      <w:r w:rsidRPr="005B0796">
        <w:fldChar w:fldCharType="begin"/>
      </w:r>
      <w:r w:rsidRPr="005B0796">
        <w:instrText xml:space="preserve"> ADDIN EN.CITE &lt;EndNote&gt;&lt;Cite&gt;&lt;Author&gt;Burns&lt;/Author&gt;&lt;Year&gt;2013&lt;/Year&gt;&lt;RecNum&gt;687&lt;/RecNum&gt;&lt;DisplayText&gt;(Burns, 2013)&lt;/DisplayText&gt;&lt;record&gt;&lt;rec-number&gt;687&lt;/rec-number&gt;&lt;foreign-keys&gt;&lt;key app="EN" db-id="arwdrezp9sdawxevtfyxtfw10exvr5exxfed" timestamp="1488860880"&gt;687&lt;/key&gt;&lt;/foreign-keys&gt;&lt;ref-type name="Book"&gt;6&lt;/ref-type&gt;&lt;contributors&gt;&lt;authors&gt;&lt;author&gt;Burns, J.M., Davenport, T.A., Christensen, H., Luscombe, G.M., Mendoza, J.A., Bresnan, A., Blanchard., M.E., Hickie, I.B.&lt;/author&gt;&lt;/authors&gt;&lt;/contributors&gt;&lt;titles&gt;&lt;title&gt;Game On: Exploring the Impact of Technologies on Young Men’s Mental Health and Wellbeing-Findings from the first Young and Well National Survey.&lt;/title&gt;&lt;/titles&gt;&lt;dates&gt;&lt;year&gt;2013&lt;/year&gt;&lt;/dates&gt;&lt;pub-location&gt;Melbourne&lt;/pub-location&gt;&lt;publisher&gt;Young and Well Cooperative Research Centre&lt;/publisher&gt;&lt;urls&gt;&lt;/urls&gt;&lt;/record&gt;&lt;/Cite&gt;&lt;/EndNote&gt;</w:instrText>
      </w:r>
      <w:r w:rsidRPr="005B0796">
        <w:fldChar w:fldCharType="separate"/>
      </w:r>
      <w:r w:rsidRPr="005B0796">
        <w:t>(Burns, 2013)</w:t>
      </w:r>
      <w:r w:rsidRPr="005B0796">
        <w:fldChar w:fldCharType="end"/>
      </w:r>
      <w:r w:rsidRPr="005B0796">
        <w:t xml:space="preserve"> and looked specifically at internet usage patterns, means of accessing the internet, the use of the internet for social support, the use of the internet for obtaining information relating to mental health, the use of the internet for managing mental health, barriers to using the internet for mental health and the efficacy of the internet in meeting needs.</w:t>
      </w:r>
    </w:p>
    <w:p w:rsidR="009B20BD" w:rsidRPr="005B0796" w:rsidRDefault="009B20BD" w:rsidP="007448A6">
      <w:pPr>
        <w:pStyle w:val="Heading5"/>
        <w:rPr>
          <w:lang w:val="en-AU"/>
        </w:rPr>
      </w:pPr>
      <w:r w:rsidRPr="005B0796">
        <w:rPr>
          <w:lang w:val="en-AU"/>
        </w:rPr>
        <w:t>Emerging technologies</w:t>
      </w:r>
    </w:p>
    <w:p w:rsidR="009B20BD" w:rsidRPr="005B0796" w:rsidRDefault="009B20BD" w:rsidP="007448A6">
      <w:r w:rsidRPr="005B0796">
        <w:t xml:space="preserve">The use of new and emerging technologies for health and wellbeing was assessed via a series of items developed by Young and Well Co-operative Research Centre </w:t>
      </w:r>
      <w:r w:rsidRPr="005B0796">
        <w:fldChar w:fldCharType="begin"/>
      </w:r>
      <w:r w:rsidRPr="005B0796">
        <w:instrText xml:space="preserve"> ADDIN EN.CITE &lt;EndNote&gt;&lt;Cite&gt;&lt;Author&gt;Burns&lt;/Author&gt;&lt;Year&gt;2013&lt;/Year&gt;&lt;RecNum&gt;687&lt;/RecNum&gt;&lt;DisplayText&gt;(Burns, 2013; Young and Well Cooperative Research Centre, 2013)&lt;/DisplayText&gt;&lt;record&gt;&lt;rec-number&gt;687&lt;/rec-number&gt;&lt;foreign-keys&gt;&lt;key app="EN" db-id="arwdrezp9sdawxevtfyxtfw10exvr5exxfed" timestamp="1488860880"&gt;687&lt;/key&gt;&lt;/foreign-keys&gt;&lt;ref-type name="Book"&gt;6&lt;/ref-type&gt;&lt;contributors&gt;&lt;authors&gt;&lt;author&gt;Burns, J.M., Davenport, T.A., Christensen, H., Luscombe, G.M., Mendoza, J.A., Bresnan, A., Blanchard., M.E., Hickie, I.B.&lt;/author&gt;&lt;/authors&gt;&lt;/contributors&gt;&lt;titles&gt;&lt;title&gt;Game On: Exploring the Impact of Technologies on Young Men’s Mental Health and Wellbeing-Findings from the first Young and Well National Survey.&lt;/title&gt;&lt;/titles&gt;&lt;dates&gt;&lt;year&gt;2013&lt;/year&gt;&lt;/dates&gt;&lt;pub-location&gt;Melbourne&lt;/pub-location&gt;&lt;publisher&gt;Young and Well Cooperative Research Centre&lt;/publisher&gt;&lt;urls&gt;&lt;/urls&gt;&lt;/record&gt;&lt;/Cite&gt;&lt;Cite&gt;&lt;Author&gt;Young and Well Cooperative Research Centre&lt;/Author&gt;&lt;Year&gt;2013&lt;/Year&gt;&lt;RecNum&gt;516&lt;/RecNum&gt;&lt;record&gt;&lt;rec-number&gt;516&lt;/rec-number&gt;&lt;foreign-keys&gt;&lt;key app="EN" db-id="arwdrezp9sdawxevtfyxtfw10exvr5exxfed" timestamp="1478818523"&gt;516&lt;/key&gt;&lt;/foreign-keys&gt;&lt;ref-type name="Web Page"&gt;12&lt;/ref-type&gt;&lt;contributors&gt;&lt;authors&gt;&lt;author&gt;Young and Well Cooperative Research Centre,&lt;/author&gt;&lt;/authors&gt;&lt;/contributors&gt;&lt;titles&gt;&lt;title&gt;Young and Well CRC Standard Measures&lt;/title&gt;&lt;/titles&gt;&lt;dates&gt;&lt;year&gt;2013&lt;/year&gt;&lt;/dates&gt;&lt;pub-location&gt;Sydney&lt;/pub-location&gt;&lt;publisher&gt;Young and Well CRC&lt;/publisher&gt;&lt;urls&gt;&lt;related-urls&gt;&lt;url&gt;http://www.youngandwellcrc.org.au/&lt;/url&gt;&lt;/related-urls&gt;&lt;/urls&gt;&lt;/record&gt;&lt;/Cite&gt;&lt;/EndNote&gt;</w:instrText>
      </w:r>
      <w:r w:rsidRPr="005B0796">
        <w:fldChar w:fldCharType="separate"/>
      </w:r>
      <w:r w:rsidRPr="005B0796">
        <w:t>(Burns, 2013; Young and Well Cooperative Research Centre, 2013)</w:t>
      </w:r>
      <w:r w:rsidRPr="005B0796">
        <w:fldChar w:fldCharType="end"/>
      </w:r>
      <w:r w:rsidRPr="005B0796">
        <w:t>. Questions looked at participants</w:t>
      </w:r>
      <w:r w:rsidR="00462A0C" w:rsidRPr="005B0796">
        <w:t>’</w:t>
      </w:r>
      <w:r w:rsidRPr="005B0796">
        <w:t xml:space="preserve"> current usage of new and emerging technologies, barriers to usage, types of new and emerging technologies utilised, the use of new and emerging technologies for health and wellbeing improvement, reasons for using new and emerging technologies for health and wellbeing, other reasons for using new and emerging technologies, the types of new and emerging technologies participants would utilise if money was not a factor, and finally the early adoption of new technologies </w:t>
      </w:r>
    </w:p>
    <w:p w:rsidR="009B20BD" w:rsidRPr="005B0796" w:rsidRDefault="009B20BD" w:rsidP="007448A6">
      <w:pPr>
        <w:pStyle w:val="Heading5"/>
        <w:rPr>
          <w:lang w:val="en-AU"/>
        </w:rPr>
      </w:pPr>
      <w:r w:rsidRPr="005B0796">
        <w:rPr>
          <w:lang w:val="en-AU"/>
        </w:rPr>
        <w:t xml:space="preserve">Head </w:t>
      </w:r>
      <w:r w:rsidR="007448A6" w:rsidRPr="005B0796">
        <w:rPr>
          <w:lang w:val="en-AU"/>
        </w:rPr>
        <w:t>injuries</w:t>
      </w:r>
    </w:p>
    <w:p w:rsidR="009B20BD" w:rsidRPr="005B0796" w:rsidRDefault="009B20BD" w:rsidP="007448A6">
      <w:pPr>
        <w:rPr>
          <w:rFonts w:cs="Arial"/>
          <w:lang w:eastAsia="en-AU"/>
        </w:rPr>
      </w:pPr>
      <w:r w:rsidRPr="005B0796">
        <w:rPr>
          <w:lang w:eastAsia="en-AU"/>
        </w:rPr>
        <w:t xml:space="preserve">This section of the survey was comprised of 2 scales. Firstly, a self-report version of the Ohio State University Traumatic Brain Injury Identification Method (OSU TBI-ID) </w:t>
      </w:r>
      <w:r w:rsidRPr="005B0796">
        <w:rPr>
          <w:lang w:eastAsia="en-AU"/>
        </w:rPr>
        <w:fldChar w:fldCharType="begin"/>
      </w:r>
      <w:r w:rsidRPr="005B0796">
        <w:rPr>
          <w:lang w:eastAsia="en-AU"/>
        </w:rPr>
        <w:instrText xml:space="preserve"> ADDIN EN.CITE &lt;EndNote&gt;&lt;Cite&gt;&lt;Author&gt;Corrigan&lt;/Author&gt;&lt;Year&gt;2007&lt;/Year&gt;&lt;RecNum&gt;459&lt;/RecNum&gt;&lt;DisplayText&gt;(Corrigan &amp;amp; Bogner, 2007)&lt;/DisplayText&gt;&lt;record&gt;&lt;rec-number&gt;459&lt;/rec-number&gt;&lt;foreign-keys&gt;&lt;key app="EN" db-id="arwdrezp9sdawxevtfyxtfw10exvr5exxfed" timestamp="1478490701"&gt;459&lt;/key&gt;&lt;/foreign-keys&gt;&lt;ref-type name="Journal Article"&gt;17&lt;/ref-type&gt;&lt;contributors&gt;&lt;authors&gt;&lt;author&gt;Corrigan, J.D.&lt;/author&gt;&lt;author&gt;Bogner, J.A.&lt;/author&gt;&lt;/authors&gt;&lt;/contributors&gt;&lt;titles&gt;&lt;title&gt; Initial reliability and validity of the OSU TBI Identification Method&lt;/title&gt;&lt;secondary-title&gt;Journal of Head Trauma Rehabilitation&lt;/secondary-title&gt;&lt;/titles&gt;&lt;periodical&gt;&lt;full-title&gt;Journal of Head Trauma Rehabilitation&lt;/full-title&gt;&lt;/periodical&gt;&lt;pages&gt;38-329&lt;/pages&gt;&lt;volume&gt;22&lt;/volume&gt;&lt;number&gt;6&lt;/number&gt;&lt;dates&gt;&lt;year&gt;2007&lt;/year&gt;&lt;/dates&gt;&lt;urls&gt;&lt;/urls&gt;&lt;/record&gt;&lt;/Cite&gt;&lt;/EndNote&gt;</w:instrText>
      </w:r>
      <w:r w:rsidRPr="005B0796">
        <w:rPr>
          <w:lang w:eastAsia="en-AU"/>
        </w:rPr>
        <w:fldChar w:fldCharType="separate"/>
      </w:r>
      <w:r w:rsidRPr="005B0796">
        <w:rPr>
          <w:lang w:eastAsia="en-AU"/>
        </w:rPr>
        <w:t>(Corrigan &amp; Bogner, 2007)</w:t>
      </w:r>
      <w:r w:rsidRPr="005B0796">
        <w:rPr>
          <w:lang w:eastAsia="en-AU"/>
        </w:rPr>
        <w:fldChar w:fldCharType="end"/>
      </w:r>
      <w:r w:rsidRPr="005B0796">
        <w:rPr>
          <w:lang w:eastAsia="en-AU"/>
        </w:rPr>
        <w:t>, which was adapted by researchers for specific use in the current programme. The OSU TBI-ID is a standardised measure designed to elicit an individual</w:t>
      </w:r>
      <w:r w:rsidR="00462A0C" w:rsidRPr="005B0796">
        <w:rPr>
          <w:lang w:eastAsia="en-AU"/>
        </w:rPr>
        <w:t>’</w:t>
      </w:r>
      <w:r w:rsidRPr="005B0796">
        <w:rPr>
          <w:lang w:eastAsia="en-AU"/>
        </w:rPr>
        <w:t>s lifetime history of traumatic brain injury (TBI). Questions focused on the types of head/neck injuries incurred, symptoms experienced (e.g. loss of consciousness, being dazed and confused, loss of memory) age the first and last time the symptoms occurred, frequency of symptoms, loss of consciousness related to a drug overdose or being choked, and finally the occurrence of multiple blows to the head in relation to a history of abuse, contact sports or ADF training/ deployment. Secondly, a modified version of the Post-concussion Syndrome Checklist (PCS)</w:t>
      </w:r>
      <w:r w:rsidRPr="005B0796">
        <w:rPr>
          <w:lang w:eastAsia="en-AU"/>
        </w:rPr>
        <w:fldChar w:fldCharType="begin"/>
      </w:r>
      <w:r w:rsidRPr="005B0796">
        <w:rPr>
          <w:lang w:eastAsia="en-AU"/>
        </w:rPr>
        <w:instrText xml:space="preserve"> ADDIN EN.CITE &lt;EndNote&gt;&lt;Cite&gt;&lt;Author&gt;Gouvier&lt;/Author&gt;&lt;Year&gt;1992&lt;/Year&gt;&lt;RecNum&gt;523&lt;/RecNum&gt;&lt;DisplayText&gt;(Gouvier et al., 1992)&lt;/DisplayText&gt;&lt;record&gt;&lt;rec-number&gt;523&lt;/rec-number&gt;&lt;foreign-keys&gt;&lt;key app="EN" db-id="arwdrezp9sdawxevtfyxtfw10exvr5exxfed" timestamp="1478834530"&gt;523&lt;/key&gt;&lt;/foreign-keys&gt;&lt;ref-type name="Journal Article"&gt;17&lt;/ref-type&gt;&lt;contributors&gt;&lt;authors&gt;&lt;author&gt;Gouvier, W.D., &lt;/author&gt;&lt;author&gt;Cubic, B., &lt;/author&gt;&lt;author&gt;Jones, G., &lt;/author&gt;&lt;author&gt;Brantley, P., &lt;/author&gt;&lt;author&gt;Cutlip, Q.      &lt;/author&gt;&lt;/authors&gt;&lt;/contributors&gt;&lt;titles&gt;&lt;title&gt;Postconcussion symptoms and daily stress in normal and head injured college populations&lt;/title&gt;&lt;secondary-title&gt;Archives of Clinical Neuropsychology&lt;/secondary-title&gt;&lt;/titles&gt;&lt;periodical&gt;&lt;full-title&gt;Archives of Clinical Neuropsychology&lt;/full-title&gt;&lt;/periodical&gt;&lt;pages&gt;193-211&lt;/pages&gt;&lt;volume&gt;7&lt;/volume&gt;&lt;dates&gt;&lt;year&gt;1992&lt;/year&gt;&lt;/dates&gt;&lt;urls&gt;&lt;/urls&gt;&lt;/record&gt;&lt;/Cite&gt;&lt;/EndNote&gt;</w:instrText>
      </w:r>
      <w:r w:rsidRPr="005B0796">
        <w:rPr>
          <w:lang w:eastAsia="en-AU"/>
        </w:rPr>
        <w:fldChar w:fldCharType="separate"/>
      </w:r>
      <w:r w:rsidRPr="005B0796">
        <w:rPr>
          <w:lang w:eastAsia="en-AU"/>
        </w:rPr>
        <w:t>(Gouvier et al., 1992)</w:t>
      </w:r>
      <w:r w:rsidRPr="005B0796">
        <w:rPr>
          <w:lang w:eastAsia="en-AU"/>
        </w:rPr>
        <w:fldChar w:fldCharType="end"/>
      </w:r>
      <w:r w:rsidRPr="005B0796">
        <w:rPr>
          <w:lang w:eastAsia="en-AU"/>
        </w:rPr>
        <w:t>, which</w:t>
      </w:r>
      <w:r w:rsidRPr="005B0796">
        <w:rPr>
          <w:rFonts w:cs="Arial"/>
          <w:lang w:eastAsia="en-AU"/>
        </w:rPr>
        <w:t xml:space="preserve"> was utilised as part of the 2012 </w:t>
      </w:r>
      <w:bookmarkStart w:id="1544" w:name="_Hlk489455218"/>
      <w:r w:rsidRPr="005B0796">
        <w:rPr>
          <w:rFonts w:cs="Arial"/>
          <w:lang w:eastAsia="en-AU"/>
        </w:rPr>
        <w:t xml:space="preserve">Middle East Area of Operations </w:t>
      </w:r>
      <w:bookmarkEnd w:id="1544"/>
      <w:r w:rsidRPr="005B0796">
        <w:rPr>
          <w:rFonts w:cs="Arial"/>
          <w:lang w:eastAsia="en-AU"/>
        </w:rPr>
        <w:t xml:space="preserve">Health Study </w:t>
      </w:r>
      <w:r w:rsidRPr="005B0796">
        <w:rPr>
          <w:rFonts w:cs="Arial"/>
          <w:lang w:eastAsia="en-AU"/>
        </w:rPr>
        <w:fldChar w:fldCharType="begin"/>
      </w:r>
      <w:r w:rsidRPr="005B0796">
        <w:rPr>
          <w:rFonts w:cs="Arial"/>
          <w:lang w:eastAsia="en-AU"/>
        </w:rPr>
        <w:instrText xml:space="preserve"> ADDIN EN.CITE &lt;EndNote&gt;&lt;Cite&gt;&lt;Author&gt;Davy&lt;/Author&gt;&lt;Year&gt;2012&lt;/Year&gt;&lt;RecNum&gt;713&lt;/RecNum&gt;&lt;DisplayText&gt;(Davy, 2012)&lt;/DisplayText&gt;&lt;record&gt;&lt;rec-number&gt;713&lt;/rec-number&gt;&lt;foreign-keys&gt;&lt;key app="EN" db-id="arwdrezp9sdawxevtfyxtfw10exvr5exxfed" timestamp="1488860882"&gt;713&lt;/key&gt;&lt;/foreign-keys&gt;&lt;ref-type name="Report"&gt;27&lt;/ref-type&gt;&lt;contributors&gt;&lt;authors&gt;&lt;author&gt;Davy, C., Dobson, A., Lawrence-Wood, E., Lorimer, M., Moores, K., Lawrence, A., Horsley, K., Crockett, A., McFarlane, A.&lt;/author&gt;&lt;/authors&gt;&lt;/contributors&gt;&lt;titles&gt;&lt;title&gt;The Middle East Area of Operations (MEAO) Health Study: Prospective Study Report&lt;/title&gt;&lt;/titles&gt;&lt;dates&gt;&lt;year&gt;2012&lt;/year&gt;&lt;/dates&gt;&lt;pub-location&gt;Adelaide, Australia&lt;/pub-location&gt;&lt;publisher&gt;University of Adelaide, Centre for Military and Veterans Health&lt;/publisher&gt;&lt;urls&gt;&lt;/urls&gt;&lt;/record&gt;&lt;/Cite&gt;&lt;/EndNote&gt;</w:instrText>
      </w:r>
      <w:r w:rsidRPr="005B0796">
        <w:rPr>
          <w:rFonts w:cs="Arial"/>
          <w:lang w:eastAsia="en-AU"/>
        </w:rPr>
        <w:fldChar w:fldCharType="separate"/>
      </w:r>
      <w:r w:rsidRPr="005B0796">
        <w:rPr>
          <w:rFonts w:cs="Arial"/>
          <w:lang w:eastAsia="en-AU"/>
        </w:rPr>
        <w:t>(Davy, 2012)</w:t>
      </w:r>
      <w:r w:rsidRPr="005B0796">
        <w:rPr>
          <w:rFonts w:cs="Arial"/>
          <w:lang w:eastAsia="en-AU"/>
        </w:rPr>
        <w:fldChar w:fldCharType="end"/>
      </w:r>
      <w:r w:rsidRPr="005B0796">
        <w:rPr>
          <w:rFonts w:cs="Arial"/>
          <w:lang w:eastAsia="en-AU"/>
        </w:rPr>
        <w:t xml:space="preserve">. This modified version of the scale required participants to indicate the degree to which they had experienced a list of 11 symptoms in the past 4 weeks as a result of an injury to their head or neck. </w:t>
      </w:r>
    </w:p>
    <w:p w:rsidR="009B20BD" w:rsidRPr="005B0796" w:rsidRDefault="009B20BD" w:rsidP="007448A6">
      <w:pPr>
        <w:pStyle w:val="Heading5"/>
        <w:rPr>
          <w:lang w:val="en-AU"/>
        </w:rPr>
      </w:pPr>
      <w:r w:rsidRPr="005B0796">
        <w:rPr>
          <w:lang w:val="en-AU"/>
        </w:rPr>
        <w:t>Physical exercise</w:t>
      </w:r>
    </w:p>
    <w:p w:rsidR="009B20BD" w:rsidRPr="005B0796" w:rsidRDefault="009B20BD" w:rsidP="007448A6">
      <w:pPr>
        <w:rPr>
          <w:rFonts w:cs="Arial"/>
        </w:rPr>
      </w:pPr>
      <w:r w:rsidRPr="005B0796">
        <w:t xml:space="preserve">In order to assess physical activity, participants were asked to complete the Short Last 7 Days Self-Administered version of The International Physical Activity Questionnaire </w:t>
      </w:r>
      <w:r w:rsidRPr="005B0796">
        <w:fldChar w:fldCharType="begin"/>
      </w:r>
      <w:r w:rsidRPr="005B0796">
        <w:instrText xml:space="preserve"> ADDIN EN.CITE &lt;EndNote&gt;&lt;Cite&gt;&lt;Author&gt;IPAQ&lt;/Author&gt;&lt;Year&gt;2002&lt;/Year&gt;&lt;RecNum&gt;781&lt;/RecNum&gt;&lt;DisplayText&gt;(IPAQ, 2002)&lt;/DisplayText&gt;&lt;record&gt;&lt;rec-number&gt;781&lt;/rec-number&gt;&lt;foreign-keys&gt;&lt;key app="EN" db-id="arwdrezp9sdawxevtfyxtfw10exvr5exxfed" timestamp="1488860888"&gt;781&lt;/key&gt;&lt;/foreign-keys&gt;&lt;ref-type name="Web Page"&gt;12&lt;/ref-type&gt;&lt;contributors&gt;&lt;authors&gt;&lt;author&gt;IPAQ&lt;/author&gt;&lt;/authors&gt;&lt;/contributors&gt;&lt;titles&gt;&lt;title&gt;The International Physical Activity Questionniare&lt;/title&gt;&lt;/titles&gt;&lt;number&gt;8/11/16&lt;/number&gt;&lt;dates&gt;&lt;year&gt;2002&lt;/year&gt;&lt;/dates&gt;&lt;urls&gt;&lt;related-urls&gt;&lt;url&gt;http://www.ipaq.ki.se&lt;/url&gt;&lt;/related-urls&gt;&lt;/urls&gt;&lt;/record&gt;&lt;/Cite&gt;&lt;/EndNote&gt;</w:instrText>
      </w:r>
      <w:r w:rsidRPr="005B0796">
        <w:fldChar w:fldCharType="separate"/>
      </w:r>
      <w:r w:rsidRPr="005B0796">
        <w:t>(IPAQ, 2002)</w:t>
      </w:r>
      <w:r w:rsidRPr="005B0796">
        <w:fldChar w:fldCharType="end"/>
      </w:r>
      <w:r w:rsidRPr="005B0796">
        <w:t>. Questions asked participants to indicate t</w:t>
      </w:r>
      <w:r w:rsidRPr="005B0796">
        <w:rPr>
          <w:rFonts w:cs="Arial"/>
        </w:rPr>
        <w:t xml:space="preserve">he number of days, the number of times, and the amount of time they spent doing vigorous, moderate and light physical activity in the last 7 days, as well as the amount of time they spent sedentary. </w:t>
      </w:r>
    </w:p>
    <w:p w:rsidR="009B20BD" w:rsidRPr="005B0796" w:rsidRDefault="009B20BD" w:rsidP="007448A6">
      <w:pPr>
        <w:pStyle w:val="Heading5"/>
        <w:rPr>
          <w:lang w:val="en-AU"/>
        </w:rPr>
      </w:pPr>
      <w:r w:rsidRPr="005B0796">
        <w:rPr>
          <w:lang w:val="en-AU"/>
        </w:rPr>
        <w:t>Pain</w:t>
      </w:r>
    </w:p>
    <w:p w:rsidR="009B20BD" w:rsidRPr="005B0796" w:rsidRDefault="009B20BD" w:rsidP="007448A6">
      <w:r w:rsidRPr="005B0796">
        <w:rPr>
          <w:rFonts w:cs="Arial"/>
        </w:rPr>
        <w:t xml:space="preserve">Items assessing pain intensity and disability were taken from the </w:t>
      </w:r>
      <w:r w:rsidRPr="005B0796">
        <w:t xml:space="preserve">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 xml:space="preserve">. Participants were asked to answer a series of questions on a scale of 1 to 10 about their current pain, worst pain and average pain in the last 6-month period. Participants were also asked to indicate how much their pain had interfered with their daily activities, their recreational/social activities, and their ability to work in the last 6 months. </w:t>
      </w:r>
    </w:p>
    <w:p w:rsidR="009B20BD" w:rsidRPr="005B0796" w:rsidRDefault="009B20BD" w:rsidP="007448A6">
      <w:pPr>
        <w:pStyle w:val="Heading5"/>
        <w:rPr>
          <w:lang w:val="en-AU"/>
        </w:rPr>
      </w:pPr>
      <w:r w:rsidRPr="005B0796">
        <w:rPr>
          <w:lang w:val="en-AU"/>
        </w:rPr>
        <w:t>Injuries</w:t>
      </w:r>
    </w:p>
    <w:p w:rsidR="009B20BD" w:rsidRPr="005B0796" w:rsidRDefault="009B20BD" w:rsidP="007448A6">
      <w:r w:rsidRPr="005B0796">
        <w:t>This section of the survey was developed by researchers for the current Programme and looked at injuries sustained during an individual</w:t>
      </w:r>
      <w:r w:rsidR="00462A0C" w:rsidRPr="005B0796">
        <w:t>’</w:t>
      </w:r>
      <w:r w:rsidRPr="005B0796">
        <w:t xml:space="preserve">s military career that required time off work. For each injury type, participants were asked to specify how many injuries were sustained during their military career, how many were sustained whilst on deployment and how many were sustained during training. Participants were also asked to indicate all the body sites where the injuries occurred. </w:t>
      </w:r>
    </w:p>
    <w:p w:rsidR="009B20BD" w:rsidRPr="005B0796" w:rsidRDefault="009B20BD" w:rsidP="007448A6">
      <w:pPr>
        <w:pStyle w:val="Heading5"/>
        <w:rPr>
          <w:lang w:val="en-AU"/>
        </w:rPr>
      </w:pPr>
      <w:r w:rsidRPr="005B0796">
        <w:rPr>
          <w:lang w:val="en-AU"/>
        </w:rPr>
        <w:t>Respiratory health</w:t>
      </w:r>
    </w:p>
    <w:p w:rsidR="009B20BD" w:rsidRPr="005B0796" w:rsidRDefault="009B20BD" w:rsidP="007448A6">
      <w:r w:rsidRPr="005B0796">
        <w:t xml:space="preserve">This section of the survey asked participants about any respiratory symptoms experienced in the last 12 months. Items were derived from the European Community Respiratory Health Survey 1 </w:t>
      </w:r>
      <w:r w:rsidRPr="005B0796">
        <w:fldChar w:fldCharType="begin"/>
      </w:r>
      <w:r w:rsidRPr="005B0796">
        <w:instrText xml:space="preserve"> ADDIN EN.CITE &lt;EndNote&gt;&lt;Cite&gt;&lt;Author&gt;Burney&lt;/Author&gt;&lt;Year&gt;1994&lt;/Year&gt;&lt;RecNum&gt;471&lt;/RecNum&gt;&lt;DisplayText&gt;(Burney et al., 1994)&lt;/DisplayText&gt;&lt;record&gt;&lt;rec-number&gt;471&lt;/rec-number&gt;&lt;foreign-keys&gt;&lt;key app="EN" db-id="arwdrezp9sdawxevtfyxtfw10exvr5exxfed" timestamp="1478563989"&gt;471&lt;/key&gt;&lt;/foreign-keys&gt;&lt;ref-type name="Journal Article"&gt;17&lt;/ref-type&gt;&lt;contributors&gt;&lt;authors&gt;&lt;author&gt;Burney, PGJ.&lt;/author&gt;&lt;author&gt;Luczynska, C.&lt;/author&gt;&lt;author&gt;Chinn, S.&lt;/author&gt;&lt;author&gt;Jarvis, D.&lt;/author&gt;&lt;/authors&gt;&lt;/contributors&gt;&lt;titles&gt;&lt;title&gt;The European Community Respiratory Health Survey&lt;/title&gt;&lt;secondary-title&gt;Eur Respir J&lt;/secondary-title&gt;&lt;/titles&gt;&lt;periodical&gt;&lt;full-title&gt;Eur Respir J&lt;/full-title&gt;&lt;/periodical&gt;&lt;pages&gt;954-60&lt;/pages&gt;&lt;volume&gt;7&lt;/volume&gt;&lt;dates&gt;&lt;year&gt;1994&lt;/year&gt;&lt;/dates&gt;&lt;urls&gt;&lt;/urls&gt;&lt;/record&gt;&lt;/Cite&gt;&lt;/EndNote&gt;</w:instrText>
      </w:r>
      <w:r w:rsidRPr="005B0796">
        <w:fldChar w:fldCharType="separate"/>
      </w:r>
      <w:r w:rsidRPr="005B0796">
        <w:t>(Burney et al., 1994)</w:t>
      </w:r>
      <w:r w:rsidRPr="005B0796">
        <w:fldChar w:fldCharType="end"/>
      </w:r>
      <w:r w:rsidRPr="005B0796">
        <w:t xml:space="preserve">.Examples of symptoms that were assessed include wheezing or whistling, breathlessness, tightness in the chest, shortness of breath, coughing, phlegm, nasal allergies and asthma. </w:t>
      </w:r>
    </w:p>
    <w:p w:rsidR="009B20BD" w:rsidRPr="005B0796" w:rsidRDefault="009B20BD" w:rsidP="007448A6">
      <w:pPr>
        <w:pStyle w:val="Heading5"/>
        <w:rPr>
          <w:lang w:val="en-AU"/>
        </w:rPr>
      </w:pPr>
      <w:r w:rsidRPr="005B0796">
        <w:rPr>
          <w:lang w:val="en-AU"/>
        </w:rPr>
        <w:t>Physical health</w:t>
      </w:r>
    </w:p>
    <w:p w:rsidR="009B20BD" w:rsidRPr="005B0796" w:rsidRDefault="009B20BD" w:rsidP="007448A6">
      <w:r w:rsidRPr="005B0796">
        <w:t xml:space="preserve">Items assessing current physical health were taken from the 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 This 67-item adapted version of self-report symptom questionnaire included respiratory, cardiovascular, musculoskeletal, dermatological, gastrointestinal, genitourinary, neurological and cognitive symptoms. For every symptom experienced within the past month, participants were also required to provide an indication of symptom severity on a 3-point Likert scale (mild, moderate, severe).</w:t>
      </w:r>
    </w:p>
    <w:p w:rsidR="009B20BD" w:rsidRPr="005B0796" w:rsidRDefault="009B20BD" w:rsidP="007448A6">
      <w:pPr>
        <w:pStyle w:val="Heading5"/>
        <w:rPr>
          <w:lang w:val="en-AU"/>
        </w:rPr>
      </w:pPr>
      <w:r w:rsidRPr="005B0796">
        <w:rPr>
          <w:lang w:val="en-AU"/>
        </w:rPr>
        <w:t>Doctor diagnosed medical conditions</w:t>
      </w:r>
    </w:p>
    <w:p w:rsidR="009B20BD" w:rsidRPr="005B0796" w:rsidRDefault="009B20BD" w:rsidP="007448A6">
      <w:r w:rsidRPr="005B0796">
        <w:t xml:space="preserve">This 44-item self-report questionnaire asked participants about medical problems or conditions they had been diagnosed with or treated for by a medical doctor over their lifetime. If a participant said yes to any of the items listed, they were also asked to specify the year they were first diagnosed, whether they had been treated by a doctor for the condition in the past year and finally whether they had taken medications for the condition in the past month. Items in this section were derived from the 2011 Australian Gulf War Veterans Health Study follow-up </w:t>
      </w:r>
      <w:r w:rsidRPr="005B0796">
        <w:fldChar w:fldCharType="begin"/>
      </w:r>
      <w:r w:rsidRPr="005B0796">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5B0796">
        <w:fldChar w:fldCharType="separate"/>
      </w:r>
      <w:r w:rsidRPr="005B0796">
        <w:t>(Sim et al., 2015)</w:t>
      </w:r>
      <w:r w:rsidRPr="005B0796">
        <w:fldChar w:fldCharType="end"/>
      </w:r>
      <w:r w:rsidRPr="005B0796">
        <w:t>.</w:t>
      </w:r>
    </w:p>
    <w:p w:rsidR="009B20BD" w:rsidRPr="005B0796" w:rsidRDefault="009B20BD" w:rsidP="007448A6">
      <w:r w:rsidRPr="005B0796">
        <w:t xml:space="preserve">*For more detail surrounding the individual measures listed in the previous section including information about scoring, please refer to the relevant chapters within each commissioned report. </w:t>
      </w:r>
    </w:p>
    <w:p w:rsidR="009B20BD" w:rsidRPr="005B0796" w:rsidRDefault="009B20BD" w:rsidP="00751C86">
      <w:pPr>
        <w:pStyle w:val="Heading3b"/>
        <w:rPr>
          <w:rFonts w:asciiTheme="minorHAnsi" w:hAnsiTheme="minorHAnsi"/>
        </w:rPr>
      </w:pPr>
      <w:bookmarkStart w:id="1545" w:name="_Toc297295800"/>
      <w:bookmarkStart w:id="1546" w:name="_Toc487011300"/>
      <w:bookmarkStart w:id="1547" w:name="_Toc493663195"/>
      <w:r w:rsidRPr="005B0796">
        <w:t>Phase 2: Diagnostic interview</w:t>
      </w:r>
      <w:bookmarkEnd w:id="1545"/>
      <w:bookmarkEnd w:id="1546"/>
      <w:bookmarkEnd w:id="1547"/>
    </w:p>
    <w:p w:rsidR="009B20BD" w:rsidRPr="005B0796" w:rsidRDefault="009B20BD" w:rsidP="007448A6">
      <w:r w:rsidRPr="005B0796">
        <w:t xml:space="preserve">In phase 2 of the research, a sub-sample of individuals was selected to participate in a one-hour telephone interview using CIDI </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w:t>
      </w:r>
    </w:p>
    <w:p w:rsidR="009B20BD" w:rsidRPr="005B0796" w:rsidRDefault="009B20BD" w:rsidP="007448A6">
      <w:r w:rsidRPr="005B0796">
        <w:t xml:space="preserve">The CIDI provided the research team with an assessment of mental disorders based on the definitions and criteria of two classification systems: The </w:t>
      </w:r>
      <w:r w:rsidRPr="005B0796">
        <w:rPr>
          <w:i/>
        </w:rPr>
        <w:t>Diagnostic and Statistical Manual of Mental Disorders, Fourth Edition</w:t>
      </w:r>
      <w:r w:rsidRPr="005B0796">
        <w:t xml:space="preserve"> (DSM-IV) and the International Statistical Classification of Diseases and Related Health Problems – 10th Revision (ICD-10) </w:t>
      </w:r>
      <w:r w:rsidRPr="005B0796">
        <w:fldChar w:fldCharType="begin"/>
      </w:r>
      <w:r w:rsidRPr="005B0796">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5B0796">
        <w:fldChar w:fldCharType="separate"/>
      </w:r>
      <w:r w:rsidRPr="005B0796">
        <w:t>(World Health Organization, 1994)</w:t>
      </w:r>
      <w:r w:rsidRPr="005B0796">
        <w:fldChar w:fldCharType="end"/>
      </w:r>
      <w:r w:rsidRPr="005B0796">
        <w:t xml:space="preserve">. The CIDI was selected because of its highly structured nature and its vast use in epidemiological studies worldwide, including the 2010 MHPWS conducted by CTSS and the 2007 </w:t>
      </w:r>
      <w:r w:rsidRPr="005B0796">
        <w:rPr>
          <w:rFonts w:eastAsia="Times" w:cs="Arial"/>
        </w:rPr>
        <w:t xml:space="preserve">NSMHW, </w:t>
      </w:r>
      <w:r w:rsidRPr="005B0796">
        <w:t>conducted by the Australian Bureau of Statistics.</w:t>
      </w:r>
      <w:r w:rsidRPr="005B0796">
        <w:rPr>
          <w:rFonts w:cs="Arial"/>
        </w:rPr>
        <w:t xml:space="preserve"> </w:t>
      </w:r>
    </w:p>
    <w:p w:rsidR="009B20BD" w:rsidRPr="005B0796" w:rsidRDefault="009B20BD" w:rsidP="007448A6">
      <w:r w:rsidRPr="005B0796">
        <w:t>The CIDI was administered to consenting participants by a team of trained interviewers from the Hunter Research Foundation in Newcastle, NSW. Their diagnostic inter-rater reliability was closely monitored by supervisors based at the research centre throughout the study period.</w:t>
      </w:r>
    </w:p>
    <w:p w:rsidR="009B20BD" w:rsidRPr="005B0796" w:rsidRDefault="009B20BD" w:rsidP="007448A6">
      <w:pPr>
        <w:pStyle w:val="Heading4"/>
      </w:pPr>
      <w:r w:rsidRPr="005B0796">
        <w:t>12-month and lifetime ICD-10 mental disorders</w:t>
      </w:r>
    </w:p>
    <w:p w:rsidR="009B20BD" w:rsidRPr="005B0796" w:rsidRDefault="009B20BD" w:rsidP="007448A6">
      <w:pPr>
        <w:rPr>
          <w:rFonts w:cs="Arial"/>
        </w:rPr>
      </w:pPr>
      <w:r w:rsidRPr="005B0796">
        <w:t xml:space="preserve">The CIDI was used to assess the 12-month and lifetime ICD-10 rates for depressive episode, dysthymia, bipolar affective disorder, panic attack, panic disorder, agoraphobia, social phobia, specific phobia, GAD, obsessive-compulsive disorder, PTSD, adult separation disorder, harmful alcohol use and dependence, suicidal ideation and behaviour, and intermittent explosive disorder. Clinical calibration studies report that the CIDI has good validity </w:t>
      </w:r>
      <w:r w:rsidRPr="005B0796">
        <w:fldChar w:fldCharType="begin"/>
      </w:r>
      <w:r w:rsidRPr="005B0796">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fldChar w:fldCharType="separate"/>
      </w:r>
      <w:r w:rsidRPr="005B0796">
        <w:t>(Haro et al., 2006)</w:t>
      </w:r>
      <w:r w:rsidRPr="005B0796">
        <w:fldChar w:fldCharType="end"/>
      </w:r>
      <w:r w:rsidRPr="005B0796">
        <w:t>.</w:t>
      </w:r>
      <w:r w:rsidRPr="005B0796">
        <w:rPr>
          <w:rFonts w:cs="Arial"/>
        </w:rPr>
        <w:t xml:space="preserve"> Throughout the report, ICD-10 prevalence rates have been presented with hierarchy rules applied to directly compare them with the Australian national rates </w:t>
      </w:r>
      <w:r w:rsidRPr="005B0796">
        <w:rPr>
          <w:rFonts w:cs="Arial"/>
        </w:rPr>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rPr>
          <w:rFonts w:cs="Arial"/>
        </w:rPr>
        <w:instrText xml:space="preserve"> ADDIN EN.CITE </w:instrText>
      </w:r>
      <w:r w:rsidRPr="005B0796">
        <w:rPr>
          <w:rFonts w:cs="Arial"/>
        </w:rPr>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rPr>
          <w:rFonts w:cs="Arial"/>
        </w:rPr>
        <w:instrText xml:space="preserve"> ADDIN EN.CITE.DATA </w:instrText>
      </w:r>
      <w:r w:rsidRPr="005B0796">
        <w:rPr>
          <w:rFonts w:cs="Arial"/>
        </w:rPr>
      </w:r>
      <w:r w:rsidRPr="005B0796">
        <w:rPr>
          <w:rFonts w:cs="Arial"/>
        </w:rPr>
        <w:fldChar w:fldCharType="end"/>
      </w:r>
      <w:r w:rsidRPr="005B0796">
        <w:rPr>
          <w:rFonts w:cs="Arial"/>
        </w:rPr>
      </w:r>
      <w:r w:rsidRPr="005B0796">
        <w:rPr>
          <w:rFonts w:cs="Arial"/>
        </w:rPr>
        <w:fldChar w:fldCharType="separate"/>
      </w:r>
      <w:r w:rsidRPr="005B0796">
        <w:rPr>
          <w:rFonts w:cs="Arial"/>
        </w:rPr>
        <w:t>(Slade et al., 2009)</w:t>
      </w:r>
      <w:r w:rsidRPr="005B0796">
        <w:rPr>
          <w:rFonts w:cs="Arial"/>
        </w:rPr>
        <w:fldChar w:fldCharType="end"/>
      </w:r>
      <w:r w:rsidRPr="005B0796">
        <w:rPr>
          <w:rFonts w:cs="Arial"/>
        </w:rPr>
        <w:t xml:space="preserve">. For all ICD-10 disorders, the standard CIDI algorithms were applied; therefore, to qualify for a 12-month diagnosis, individuals would be required to meet lifetime criteria initially and then have reported symptoms in the 12 months before the interview. </w:t>
      </w:r>
    </w:p>
    <w:p w:rsidR="009B20BD" w:rsidRPr="005B0796" w:rsidRDefault="009B20BD" w:rsidP="007448A6">
      <w:pPr>
        <w:pStyle w:val="Heading4"/>
      </w:pPr>
      <w:r w:rsidRPr="005B0796">
        <w:t xml:space="preserve">Lifetime trauma exposure </w:t>
      </w:r>
    </w:p>
    <w:p w:rsidR="009B20BD" w:rsidRPr="005B0796" w:rsidRDefault="009B20BD" w:rsidP="007448A6">
      <w:pPr>
        <w:rPr>
          <w:rFonts w:cs="\I'48ﬁˇøÊ∞—"/>
          <w:lang w:eastAsia="en-AU"/>
        </w:rPr>
      </w:pPr>
      <w:r w:rsidRPr="005B0796">
        <w:t>Lifetime exposure to trauma was examined as part of the PTSD module of the CIDI. The following criterion A events listed in the CIDI were examined:</w:t>
      </w:r>
      <w:r w:rsidRPr="005B0796">
        <w:rPr>
          <w:rFonts w:cs="\I'48ﬁˇøÊ∞—"/>
          <w:lang w:eastAsia="en-AU"/>
        </w:rPr>
        <w:t xml:space="preserve"> combat (military or organised non-military group); being a peacekeeper in a war zone or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parent or guardian as a child;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and experiencing any other event that the participant did not want to talk about.</w:t>
      </w:r>
    </w:p>
    <w:p w:rsidR="009B20BD" w:rsidRPr="005B0796" w:rsidRDefault="009B20BD" w:rsidP="00751C86">
      <w:pPr>
        <w:pStyle w:val="Heading2b"/>
      </w:pPr>
      <w:bookmarkStart w:id="1548" w:name="_Toc341700585"/>
      <w:bookmarkStart w:id="1549" w:name="_Toc482021450"/>
      <w:bookmarkStart w:id="1550" w:name="_Toc482024541"/>
      <w:bookmarkStart w:id="1551" w:name="_Toc484594361"/>
      <w:bookmarkStart w:id="1552" w:name="_Toc487011301"/>
      <w:bookmarkStart w:id="1553" w:name="_Toc493663196"/>
      <w:bookmarkStart w:id="1554" w:name="_Toc494449813"/>
      <w:r w:rsidRPr="005B0796">
        <w:t>Stratification procedure</w:t>
      </w:r>
      <w:bookmarkEnd w:id="1548"/>
      <w:bookmarkEnd w:id="1549"/>
      <w:bookmarkEnd w:id="1550"/>
      <w:bookmarkEnd w:id="1551"/>
      <w:bookmarkEnd w:id="1552"/>
      <w:bookmarkEnd w:id="1553"/>
      <w:bookmarkEnd w:id="1554"/>
    </w:p>
    <w:p w:rsidR="009B20BD" w:rsidRPr="005B0796" w:rsidRDefault="009B20BD" w:rsidP="007448A6">
      <w:bookmarkStart w:id="1555" w:name="_Toc341700586"/>
      <w:r w:rsidRPr="005B0796">
        <w:t xml:space="preserve">In phase 2 of the research, 1807 Transitioned ADF members were invited to participate in a one-hour telephone interview using the CIDI </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In addition to two subgroups of Transitioned ADF in Sample 5 (Combat Zone) and Sample 6 (MHPWS), who were all eligible to complete a CIDI, CIDI invitations preferenced </w:t>
      </w:r>
      <w:r w:rsidRPr="005B0796">
        <w:rPr>
          <w:rFonts w:cs="Calibri"/>
        </w:rPr>
        <w:t xml:space="preserve">groups accounting for the smallest proportion of the actual population (for example, females) and those with high scores on the </w:t>
      </w:r>
      <w:r w:rsidRPr="005B0796">
        <w:rPr>
          <w:rFonts w:asciiTheme="minorHAnsi" w:hAnsiTheme="minorHAnsi"/>
        </w:rPr>
        <w:t>Posttraumatic Stress Disorder Checklist (</w:t>
      </w:r>
      <w:r w:rsidRPr="005B0796">
        <w:rPr>
          <w:rFonts w:cs="Calibri"/>
        </w:rPr>
        <w:t xml:space="preserve">PCL) and AUDIT, to increase representativeness of the sample and optimise the ability to capture low prevalence mental disorders. </w:t>
      </w:r>
    </w:p>
    <w:p w:rsidR="009B20BD" w:rsidRPr="005B0796" w:rsidRDefault="009B20BD" w:rsidP="007448A6">
      <w:r w:rsidRPr="005B0796">
        <w:t>As such these participants were selected for a CIDI interview based on rank, sex, Service and scores on the PCL and AUDIT, with screening scores on the PCL and AUDIT categorised into the following three bands:</w:t>
      </w:r>
    </w:p>
    <w:p w:rsidR="009B20BD" w:rsidRPr="005B0796" w:rsidRDefault="009B20BD" w:rsidP="007448A6">
      <w:pPr>
        <w:pStyle w:val="Bullet"/>
        <w:spacing w:after="0"/>
      </w:pPr>
      <w:r w:rsidRPr="005B0796">
        <w:t>Band 3 = PCL &gt; 27, AUDIT &gt; 9</w:t>
      </w:r>
    </w:p>
    <w:p w:rsidR="009B20BD" w:rsidRPr="005B0796" w:rsidRDefault="009B20BD" w:rsidP="007448A6">
      <w:pPr>
        <w:pStyle w:val="Bullet"/>
        <w:spacing w:after="0"/>
      </w:pPr>
      <w:r w:rsidRPr="005B0796">
        <w:t>Band 2 = PCL 21–27, AUDIT 7–9</w:t>
      </w:r>
    </w:p>
    <w:p w:rsidR="009B20BD" w:rsidRPr="005B0796" w:rsidRDefault="009B20BD" w:rsidP="007448A6">
      <w:pPr>
        <w:pStyle w:val="Bullet"/>
      </w:pPr>
      <w:r w:rsidRPr="005B0796">
        <w:t>Band 1 = PCL &lt; =20, AUDIT &lt; = 6</w:t>
      </w:r>
    </w:p>
    <w:p w:rsidR="009B20BD" w:rsidRPr="005B0796" w:rsidRDefault="009B20BD" w:rsidP="007448A6">
      <w:r w:rsidRPr="005B0796">
        <w:t xml:space="preserve">Using the method proposed by </w: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 </w:instrText>
      </w:r>
      <w:r w:rsidRPr="005B0796">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5B0796">
        <w:instrText xml:space="preserve"> ADDIN EN.CITE.DATA </w:instrText>
      </w:r>
      <w:r w:rsidRPr="005B0796">
        <w:fldChar w:fldCharType="end"/>
      </w:r>
      <w:r w:rsidRPr="005B0796">
        <w:fldChar w:fldCharType="separate"/>
      </w:r>
      <w:r w:rsidRPr="005B0796">
        <w:t>Salim &amp; Welsh (2009)</w:t>
      </w:r>
      <w:r w:rsidRPr="005B0796">
        <w:fldChar w:fldCharType="end"/>
      </w:r>
      <w:r w:rsidRPr="005B0796">
        <w:t>, the stratification procedure aimed to oversample those respondents in Band 3 (greatest likelihood of disorder). A smaller proportion from bands 1 and 2 were also sampled, to control for the possibility of over-inflated mental disorder estimates. Transitioned ADF in samples 5 and 6 were also allocated a band, as can be seen in Table A.8, to ensure they were accounted for during sampling.</w:t>
      </w:r>
    </w:p>
    <w:p w:rsidR="009B20BD" w:rsidRPr="005B0796" w:rsidRDefault="009B20BD" w:rsidP="007448A6">
      <w:r w:rsidRPr="005B0796">
        <w:t>Based on the predicted proportions of Transitioned ADF survey responders who would score in each band on the PCL and AUDIT, according to the population characteristics of sex, rank and Service, the following stratification algorithm was used to generate lists of eligible CIDI participants from among Transitioned ADF survey completers who consented to complete a CIDI:</w:t>
      </w:r>
    </w:p>
    <w:p w:rsidR="009B20BD" w:rsidRPr="005B0796" w:rsidRDefault="009B20BD" w:rsidP="001C4F66">
      <w:pPr>
        <w:pStyle w:val="Bullet"/>
        <w:spacing w:after="0"/>
      </w:pPr>
      <w:r w:rsidRPr="005B0796">
        <w:t>Band 3</w:t>
      </w:r>
    </w:p>
    <w:p w:rsidR="009B20BD" w:rsidRPr="005B0796" w:rsidRDefault="009B20BD" w:rsidP="001C4F66">
      <w:pPr>
        <w:pStyle w:val="Bullet"/>
        <w:spacing w:after="0"/>
      </w:pPr>
      <w:r w:rsidRPr="005B0796">
        <w:t>Female Band 2</w:t>
      </w:r>
    </w:p>
    <w:p w:rsidR="009B20BD" w:rsidRPr="005B0796" w:rsidRDefault="009B20BD" w:rsidP="001C4F66">
      <w:pPr>
        <w:pStyle w:val="Bullet"/>
        <w:spacing w:after="0"/>
      </w:pPr>
      <w:r w:rsidRPr="005B0796">
        <w:t>Female Band 1</w:t>
      </w:r>
    </w:p>
    <w:p w:rsidR="009B20BD" w:rsidRPr="005B0796" w:rsidRDefault="009B20BD" w:rsidP="001C4F66">
      <w:pPr>
        <w:pStyle w:val="Bullet"/>
        <w:spacing w:after="0"/>
      </w:pPr>
      <w:r w:rsidRPr="005B0796">
        <w:t>Male Navy Band 2</w:t>
      </w:r>
    </w:p>
    <w:p w:rsidR="009B20BD" w:rsidRPr="005B0796" w:rsidRDefault="009B20BD" w:rsidP="001C4F66">
      <w:pPr>
        <w:pStyle w:val="Bullet"/>
        <w:spacing w:after="0"/>
      </w:pPr>
      <w:r w:rsidRPr="005B0796">
        <w:t>Male Navy Band 3</w:t>
      </w:r>
    </w:p>
    <w:p w:rsidR="009B20BD" w:rsidRPr="005B0796" w:rsidRDefault="009B20BD" w:rsidP="001C4F66">
      <w:pPr>
        <w:pStyle w:val="Bullet"/>
        <w:spacing w:after="0"/>
      </w:pPr>
      <w:r w:rsidRPr="005B0796">
        <w:t>Male Army Band 3</w:t>
      </w:r>
    </w:p>
    <w:p w:rsidR="009B20BD" w:rsidRPr="005B0796" w:rsidRDefault="009B20BD" w:rsidP="001C4F66">
      <w:pPr>
        <w:pStyle w:val="Bullet"/>
        <w:spacing w:after="0"/>
      </w:pPr>
      <w:r w:rsidRPr="005B0796">
        <w:t>Male Army Band 1</w:t>
      </w:r>
    </w:p>
    <w:p w:rsidR="009B20BD" w:rsidRPr="005B0796" w:rsidRDefault="009B20BD" w:rsidP="001C4F66">
      <w:pPr>
        <w:pStyle w:val="Bullet"/>
      </w:pPr>
      <w:r w:rsidRPr="005B0796">
        <w:t>Male RAAF Band 2</w:t>
      </w:r>
    </w:p>
    <w:p w:rsidR="009B20BD" w:rsidRPr="005B0796" w:rsidRDefault="009B20BD" w:rsidP="001C4F66">
      <w:pPr>
        <w:pStyle w:val="TableName"/>
      </w:pPr>
      <w:bookmarkStart w:id="1556" w:name="_Toc486936021"/>
      <w:bookmarkStart w:id="1557" w:name="_Toc487014345"/>
      <w:bookmarkStart w:id="1558" w:name="_Toc492995648"/>
      <w:bookmarkStart w:id="1559" w:name="_Toc511900497"/>
      <w:r w:rsidRPr="005B0796">
        <w:t>Table A.8</w:t>
      </w:r>
      <w:r w:rsidRPr="005B0796">
        <w:tab/>
        <w:t>Stratification characteristics of Transitioned ADF CIDI sample</w:t>
      </w:r>
      <w:bookmarkEnd w:id="1556"/>
      <w:bookmarkEnd w:id="1557"/>
      <w:bookmarkEnd w:id="1558"/>
      <w:bookmarkEnd w:id="1559"/>
    </w:p>
    <w:tbl>
      <w:tblPr>
        <w:tblStyle w:val="TWRPTable"/>
        <w:tblW w:w="5000" w:type="pct"/>
        <w:tblLayout w:type="fixed"/>
        <w:tblLook w:val="04A0" w:firstRow="1" w:lastRow="0" w:firstColumn="1" w:lastColumn="0" w:noHBand="0" w:noVBand="1"/>
        <w:tblDescription w:val="Table A.8 Stratification characteristics of Transitioned ADF CIDI sample"/>
      </w:tblPr>
      <w:tblGrid>
        <w:gridCol w:w="828"/>
        <w:gridCol w:w="810"/>
        <w:gridCol w:w="810"/>
        <w:gridCol w:w="810"/>
        <w:gridCol w:w="810"/>
        <w:gridCol w:w="810"/>
        <w:gridCol w:w="810"/>
        <w:gridCol w:w="810"/>
        <w:gridCol w:w="810"/>
        <w:gridCol w:w="7"/>
      </w:tblGrid>
      <w:tr w:rsidR="001C4F66" w:rsidRPr="005B0796" w:rsidTr="001C4F66">
        <w:trPr>
          <w:cnfStyle w:val="100000000000" w:firstRow="1" w:lastRow="0" w:firstColumn="0" w:lastColumn="0" w:oddVBand="0" w:evenVBand="0" w:oddHBand="0" w:evenHBand="0" w:firstRowFirstColumn="0" w:firstRowLastColumn="0" w:lastRowFirstColumn="0" w:lastRowLastColumn="0"/>
          <w:cantSplit/>
          <w:tblHeader/>
        </w:trPr>
        <w:tc>
          <w:tcPr>
            <w:tcW w:w="828" w:type="dxa"/>
            <w:vMerge w:val="restart"/>
          </w:tcPr>
          <w:p w:rsidR="001C4F66" w:rsidRPr="005B0796" w:rsidRDefault="001C4F66" w:rsidP="001C4F66">
            <w:pPr>
              <w:pStyle w:val="TableText"/>
            </w:pPr>
          </w:p>
        </w:tc>
        <w:tc>
          <w:tcPr>
            <w:tcW w:w="6487" w:type="dxa"/>
            <w:gridSpan w:val="9"/>
          </w:tcPr>
          <w:p w:rsidR="001C4F66" w:rsidRPr="005B0796" w:rsidRDefault="001C4F66" w:rsidP="001C4F66">
            <w:pPr>
              <w:pStyle w:val="TableText"/>
              <w:jc w:val="center"/>
            </w:pPr>
            <w:r w:rsidRPr="005B0796">
              <w:t>Transitioned ADF CIDI</w:t>
            </w:r>
          </w:p>
        </w:tc>
      </w:tr>
      <w:tr w:rsidR="001C4F66" w:rsidRPr="005B0796" w:rsidTr="001C4F66">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828" w:type="dxa"/>
            <w:vMerge/>
          </w:tcPr>
          <w:p w:rsidR="001C4F66" w:rsidRPr="005B0796" w:rsidRDefault="001C4F66" w:rsidP="001C4F66">
            <w:pPr>
              <w:pStyle w:val="TableText"/>
            </w:pPr>
          </w:p>
        </w:tc>
        <w:tc>
          <w:tcPr>
            <w:tcW w:w="1620" w:type="dxa"/>
            <w:gridSpan w:val="2"/>
            <w:hideMark/>
          </w:tcPr>
          <w:p w:rsidR="001C4F66" w:rsidRPr="005B0796" w:rsidRDefault="001C4F66" w:rsidP="001C4F66">
            <w:pPr>
              <w:pStyle w:val="TableText"/>
              <w:jc w:val="center"/>
            </w:pPr>
            <w:r w:rsidRPr="005B0796">
              <w:t>No Band*</w:t>
            </w:r>
          </w:p>
        </w:tc>
        <w:tc>
          <w:tcPr>
            <w:tcW w:w="1620" w:type="dxa"/>
            <w:gridSpan w:val="2"/>
            <w:hideMark/>
          </w:tcPr>
          <w:p w:rsidR="001C4F66" w:rsidRPr="005B0796" w:rsidRDefault="001C4F66" w:rsidP="001C4F66">
            <w:pPr>
              <w:pStyle w:val="TableText"/>
              <w:jc w:val="center"/>
            </w:pPr>
            <w:r w:rsidRPr="005B0796">
              <w:t>Band 1</w:t>
            </w:r>
          </w:p>
        </w:tc>
        <w:tc>
          <w:tcPr>
            <w:tcW w:w="1620" w:type="dxa"/>
            <w:gridSpan w:val="2"/>
            <w:hideMark/>
          </w:tcPr>
          <w:p w:rsidR="001C4F66" w:rsidRPr="005B0796" w:rsidRDefault="001C4F66" w:rsidP="001C4F66">
            <w:pPr>
              <w:pStyle w:val="TableText"/>
              <w:jc w:val="center"/>
            </w:pPr>
            <w:r w:rsidRPr="005B0796">
              <w:t>Band 2</w:t>
            </w:r>
          </w:p>
        </w:tc>
        <w:tc>
          <w:tcPr>
            <w:tcW w:w="1620" w:type="dxa"/>
            <w:gridSpan w:val="2"/>
            <w:hideMark/>
          </w:tcPr>
          <w:p w:rsidR="001C4F66" w:rsidRPr="005B0796" w:rsidRDefault="001C4F66" w:rsidP="001C4F66">
            <w:pPr>
              <w:pStyle w:val="TableText"/>
              <w:jc w:val="center"/>
            </w:pPr>
            <w:r w:rsidRPr="005B0796">
              <w:t>Band 3</w:t>
            </w:r>
          </w:p>
        </w:tc>
      </w:tr>
      <w:tr w:rsidR="001C4F66" w:rsidRPr="005B0796" w:rsidTr="001C4F66">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828" w:type="dxa"/>
            <w:vMerge/>
          </w:tcPr>
          <w:p w:rsidR="001C4F66" w:rsidRPr="005B0796" w:rsidRDefault="001C4F66" w:rsidP="001C4F66">
            <w:pPr>
              <w:pStyle w:val="TableText"/>
            </w:pPr>
          </w:p>
        </w:tc>
        <w:tc>
          <w:tcPr>
            <w:tcW w:w="810" w:type="dxa"/>
            <w:hideMark/>
          </w:tcPr>
          <w:p w:rsidR="001C4F66" w:rsidRPr="005B0796" w:rsidRDefault="001C4F66" w:rsidP="001C4F66">
            <w:pPr>
              <w:pStyle w:val="TableText"/>
              <w:jc w:val="right"/>
            </w:pPr>
            <w:r w:rsidRPr="005B0796">
              <w:t>Invited</w:t>
            </w:r>
            <w:r w:rsidRPr="005B0796">
              <w:br/>
              <w:t>(n = 110)</w:t>
            </w:r>
          </w:p>
        </w:tc>
        <w:tc>
          <w:tcPr>
            <w:tcW w:w="810" w:type="dxa"/>
            <w:hideMark/>
          </w:tcPr>
          <w:p w:rsidR="001C4F66" w:rsidRPr="005B0796" w:rsidRDefault="001C4F66" w:rsidP="001C4F66">
            <w:pPr>
              <w:pStyle w:val="TableText"/>
              <w:jc w:val="right"/>
            </w:pPr>
            <w:r w:rsidRPr="005B0796">
              <w:t>Completed</w:t>
            </w:r>
            <w:r w:rsidRPr="005B0796">
              <w:br/>
              <w:t>(n = 72)</w:t>
            </w:r>
          </w:p>
        </w:tc>
        <w:tc>
          <w:tcPr>
            <w:tcW w:w="810" w:type="dxa"/>
            <w:hideMark/>
          </w:tcPr>
          <w:p w:rsidR="001C4F66" w:rsidRPr="005B0796" w:rsidRDefault="001C4F66" w:rsidP="001C4F66">
            <w:pPr>
              <w:pStyle w:val="TableText"/>
              <w:jc w:val="right"/>
            </w:pPr>
            <w:r w:rsidRPr="005B0796">
              <w:t>Invited</w:t>
            </w:r>
            <w:r w:rsidRPr="005B0796">
              <w:br/>
              <w:t>(n = 408)</w:t>
            </w:r>
          </w:p>
        </w:tc>
        <w:tc>
          <w:tcPr>
            <w:tcW w:w="810" w:type="dxa"/>
            <w:hideMark/>
          </w:tcPr>
          <w:p w:rsidR="001C4F66" w:rsidRPr="005B0796" w:rsidRDefault="001C4F66" w:rsidP="001C4F66">
            <w:pPr>
              <w:pStyle w:val="TableText"/>
              <w:jc w:val="right"/>
            </w:pPr>
            <w:r w:rsidRPr="005B0796">
              <w:t>Completed</w:t>
            </w:r>
            <w:r w:rsidRPr="005B0796">
              <w:br/>
              <w:t>(n = 258)</w:t>
            </w:r>
          </w:p>
        </w:tc>
        <w:tc>
          <w:tcPr>
            <w:tcW w:w="810" w:type="dxa"/>
            <w:hideMark/>
          </w:tcPr>
          <w:p w:rsidR="001C4F66" w:rsidRPr="005B0796" w:rsidRDefault="001C4F66" w:rsidP="001C4F66">
            <w:pPr>
              <w:pStyle w:val="TableText"/>
              <w:jc w:val="right"/>
            </w:pPr>
            <w:r w:rsidRPr="005B0796">
              <w:t>Invited</w:t>
            </w:r>
            <w:r w:rsidRPr="005B0796">
              <w:br/>
              <w:t>(n = 335)</w:t>
            </w:r>
          </w:p>
        </w:tc>
        <w:tc>
          <w:tcPr>
            <w:tcW w:w="810" w:type="dxa"/>
            <w:hideMark/>
          </w:tcPr>
          <w:p w:rsidR="001C4F66" w:rsidRPr="005B0796" w:rsidRDefault="001C4F66" w:rsidP="001C4F66">
            <w:pPr>
              <w:pStyle w:val="TableText"/>
              <w:jc w:val="right"/>
            </w:pPr>
            <w:r w:rsidRPr="005B0796">
              <w:t>Completed</w:t>
            </w:r>
            <w:r w:rsidRPr="005B0796">
              <w:br/>
              <w:t>(n = 225)</w:t>
            </w:r>
          </w:p>
        </w:tc>
        <w:tc>
          <w:tcPr>
            <w:tcW w:w="810" w:type="dxa"/>
            <w:hideMark/>
          </w:tcPr>
          <w:p w:rsidR="001C4F66" w:rsidRPr="005B0796" w:rsidRDefault="001C4F66" w:rsidP="001C4F66">
            <w:pPr>
              <w:pStyle w:val="TableText"/>
              <w:jc w:val="right"/>
            </w:pPr>
            <w:r w:rsidRPr="005B0796">
              <w:t>Invited</w:t>
            </w:r>
            <w:r w:rsidRPr="005B0796">
              <w:br/>
              <w:t>(n = 954)</w:t>
            </w:r>
          </w:p>
        </w:tc>
        <w:tc>
          <w:tcPr>
            <w:tcW w:w="810" w:type="dxa"/>
            <w:hideMark/>
          </w:tcPr>
          <w:p w:rsidR="001C4F66" w:rsidRPr="005B0796" w:rsidRDefault="001C4F66" w:rsidP="001C4F66">
            <w:pPr>
              <w:pStyle w:val="TableText"/>
              <w:jc w:val="right"/>
            </w:pPr>
            <w:r w:rsidRPr="005B0796">
              <w:t>Completed</w:t>
            </w:r>
            <w:r w:rsidRPr="005B0796">
              <w:br/>
              <w:t>(n = 494)</w:t>
            </w:r>
          </w:p>
        </w:tc>
      </w:tr>
      <w:tr w:rsidR="001C4F66" w:rsidRPr="005B0796" w:rsidTr="001C4F6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828" w:type="dxa"/>
            <w:hideMark/>
          </w:tcPr>
          <w:p w:rsidR="009B20BD" w:rsidRPr="005B0796" w:rsidRDefault="009B20BD" w:rsidP="001C4F66">
            <w:pPr>
              <w:pStyle w:val="TableText"/>
              <w:rPr>
                <w:b/>
              </w:rPr>
            </w:pPr>
            <w:r w:rsidRPr="005B0796">
              <w:rPr>
                <w:b/>
              </w:rPr>
              <w:t>Navy</w:t>
            </w: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r>
      <w:tr w:rsidR="001C4F66" w:rsidRPr="005B0796" w:rsidTr="001C4F66">
        <w:trPr>
          <w:gridAfter w:val="1"/>
          <w:wAfter w:w="7" w:type="dxa"/>
          <w:cantSplit/>
        </w:trPr>
        <w:tc>
          <w:tcPr>
            <w:tcW w:w="828" w:type="dxa"/>
            <w:hideMark/>
          </w:tcPr>
          <w:p w:rsidR="009B20BD" w:rsidRPr="005B0796" w:rsidRDefault="009B20BD" w:rsidP="001C4F66">
            <w:pPr>
              <w:pStyle w:val="TableText"/>
              <w:ind w:left="144"/>
            </w:pPr>
            <w:r w:rsidRPr="005B0796">
              <w:t>Male</w:t>
            </w:r>
          </w:p>
        </w:tc>
        <w:tc>
          <w:tcPr>
            <w:tcW w:w="810" w:type="dxa"/>
            <w:hideMark/>
          </w:tcPr>
          <w:p w:rsidR="009B20BD" w:rsidRPr="005B0796" w:rsidRDefault="009B20BD" w:rsidP="001C4F66">
            <w:pPr>
              <w:pStyle w:val="TableText"/>
              <w:jc w:val="right"/>
            </w:pPr>
            <w:r w:rsidRPr="005B0796">
              <w:t>20</w:t>
            </w:r>
          </w:p>
        </w:tc>
        <w:tc>
          <w:tcPr>
            <w:tcW w:w="810" w:type="dxa"/>
            <w:hideMark/>
          </w:tcPr>
          <w:p w:rsidR="009B20BD" w:rsidRPr="005B0796" w:rsidRDefault="009B20BD" w:rsidP="001C4F66">
            <w:pPr>
              <w:pStyle w:val="TableText"/>
              <w:jc w:val="right"/>
            </w:pPr>
            <w:r w:rsidRPr="005B0796">
              <w:t>8</w:t>
            </w:r>
          </w:p>
        </w:tc>
        <w:tc>
          <w:tcPr>
            <w:tcW w:w="810" w:type="dxa"/>
            <w:hideMark/>
          </w:tcPr>
          <w:p w:rsidR="009B20BD" w:rsidRPr="005B0796" w:rsidRDefault="009B20BD" w:rsidP="001C4F66">
            <w:pPr>
              <w:pStyle w:val="TableText"/>
              <w:jc w:val="right"/>
            </w:pPr>
            <w:r w:rsidRPr="005B0796">
              <w:t>73</w:t>
            </w:r>
          </w:p>
        </w:tc>
        <w:tc>
          <w:tcPr>
            <w:tcW w:w="810" w:type="dxa"/>
            <w:hideMark/>
          </w:tcPr>
          <w:p w:rsidR="009B20BD" w:rsidRPr="005B0796" w:rsidRDefault="009B20BD" w:rsidP="001C4F66">
            <w:pPr>
              <w:pStyle w:val="TableText"/>
              <w:jc w:val="right"/>
            </w:pPr>
            <w:r w:rsidRPr="005B0796">
              <w:t>43</w:t>
            </w:r>
          </w:p>
        </w:tc>
        <w:tc>
          <w:tcPr>
            <w:tcW w:w="810" w:type="dxa"/>
            <w:hideMark/>
          </w:tcPr>
          <w:p w:rsidR="009B20BD" w:rsidRPr="005B0796" w:rsidRDefault="009B20BD" w:rsidP="001C4F66">
            <w:pPr>
              <w:pStyle w:val="TableText"/>
              <w:jc w:val="right"/>
            </w:pPr>
            <w:r w:rsidRPr="005B0796">
              <w:t>57</w:t>
            </w:r>
          </w:p>
        </w:tc>
        <w:tc>
          <w:tcPr>
            <w:tcW w:w="810" w:type="dxa"/>
            <w:hideMark/>
          </w:tcPr>
          <w:p w:rsidR="009B20BD" w:rsidRPr="005B0796" w:rsidRDefault="009B20BD" w:rsidP="001C4F66">
            <w:pPr>
              <w:pStyle w:val="TableText"/>
              <w:jc w:val="right"/>
            </w:pPr>
            <w:r w:rsidRPr="005B0796">
              <w:t>41</w:t>
            </w:r>
          </w:p>
        </w:tc>
        <w:tc>
          <w:tcPr>
            <w:tcW w:w="810" w:type="dxa"/>
            <w:hideMark/>
          </w:tcPr>
          <w:p w:rsidR="009B20BD" w:rsidRPr="005B0796" w:rsidRDefault="009B20BD" w:rsidP="001C4F66">
            <w:pPr>
              <w:pStyle w:val="TableText"/>
              <w:jc w:val="right"/>
            </w:pPr>
            <w:r w:rsidRPr="005B0796">
              <w:t>140</w:t>
            </w:r>
          </w:p>
        </w:tc>
        <w:tc>
          <w:tcPr>
            <w:tcW w:w="810" w:type="dxa"/>
            <w:hideMark/>
          </w:tcPr>
          <w:p w:rsidR="009B20BD" w:rsidRPr="005B0796" w:rsidRDefault="009B20BD" w:rsidP="001C4F66">
            <w:pPr>
              <w:pStyle w:val="TableText"/>
              <w:jc w:val="right"/>
            </w:pPr>
            <w:r w:rsidRPr="005B0796">
              <w:t>71</w:t>
            </w:r>
          </w:p>
        </w:tc>
      </w:tr>
      <w:tr w:rsidR="001C4F66" w:rsidRPr="005B0796" w:rsidTr="001C4F6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828" w:type="dxa"/>
            <w:hideMark/>
          </w:tcPr>
          <w:p w:rsidR="009B20BD" w:rsidRPr="005B0796" w:rsidRDefault="009B20BD" w:rsidP="001C4F66">
            <w:pPr>
              <w:pStyle w:val="TableText"/>
              <w:ind w:left="144"/>
            </w:pPr>
            <w:r w:rsidRPr="005B0796">
              <w:t>Female</w:t>
            </w:r>
          </w:p>
        </w:tc>
        <w:tc>
          <w:tcPr>
            <w:tcW w:w="810" w:type="dxa"/>
            <w:hideMark/>
          </w:tcPr>
          <w:p w:rsidR="009B20BD" w:rsidRPr="005B0796" w:rsidRDefault="009B20BD" w:rsidP="001C4F66">
            <w:pPr>
              <w:pStyle w:val="TableText"/>
              <w:jc w:val="right"/>
            </w:pPr>
            <w:r w:rsidRPr="005B0796">
              <w:t>1</w:t>
            </w:r>
          </w:p>
        </w:tc>
        <w:tc>
          <w:tcPr>
            <w:tcW w:w="810" w:type="dxa"/>
            <w:hideMark/>
          </w:tcPr>
          <w:p w:rsidR="009B20BD" w:rsidRPr="005B0796" w:rsidRDefault="009B20BD" w:rsidP="001C4F66">
            <w:pPr>
              <w:pStyle w:val="TableText"/>
              <w:jc w:val="right"/>
            </w:pPr>
            <w:r w:rsidRPr="005B0796">
              <w:t>1</w:t>
            </w:r>
          </w:p>
        </w:tc>
        <w:tc>
          <w:tcPr>
            <w:tcW w:w="810" w:type="dxa"/>
            <w:hideMark/>
          </w:tcPr>
          <w:p w:rsidR="009B20BD" w:rsidRPr="005B0796" w:rsidRDefault="009B20BD" w:rsidP="001C4F66">
            <w:pPr>
              <w:pStyle w:val="TableText"/>
              <w:jc w:val="right"/>
            </w:pPr>
            <w:r w:rsidRPr="005B0796">
              <w:t>17</w:t>
            </w:r>
          </w:p>
        </w:tc>
        <w:tc>
          <w:tcPr>
            <w:tcW w:w="810" w:type="dxa"/>
            <w:hideMark/>
          </w:tcPr>
          <w:p w:rsidR="009B20BD" w:rsidRPr="005B0796" w:rsidRDefault="009B20BD" w:rsidP="001C4F66">
            <w:pPr>
              <w:pStyle w:val="TableText"/>
              <w:jc w:val="right"/>
            </w:pPr>
            <w:r w:rsidRPr="005B0796">
              <w:t>10</w:t>
            </w:r>
          </w:p>
        </w:tc>
        <w:tc>
          <w:tcPr>
            <w:tcW w:w="810" w:type="dxa"/>
            <w:hideMark/>
          </w:tcPr>
          <w:p w:rsidR="009B20BD" w:rsidRPr="005B0796" w:rsidRDefault="009B20BD" w:rsidP="001C4F66">
            <w:pPr>
              <w:pStyle w:val="TableText"/>
              <w:jc w:val="right"/>
            </w:pPr>
            <w:r w:rsidRPr="005B0796">
              <w:t>8</w:t>
            </w:r>
          </w:p>
        </w:tc>
        <w:tc>
          <w:tcPr>
            <w:tcW w:w="810" w:type="dxa"/>
            <w:hideMark/>
          </w:tcPr>
          <w:p w:rsidR="009B20BD" w:rsidRPr="005B0796" w:rsidRDefault="009B20BD" w:rsidP="001C4F66">
            <w:pPr>
              <w:pStyle w:val="TableText"/>
              <w:jc w:val="right"/>
            </w:pPr>
            <w:r w:rsidRPr="005B0796">
              <w:t>4</w:t>
            </w:r>
          </w:p>
        </w:tc>
        <w:tc>
          <w:tcPr>
            <w:tcW w:w="810" w:type="dxa"/>
            <w:hideMark/>
          </w:tcPr>
          <w:p w:rsidR="009B20BD" w:rsidRPr="005B0796" w:rsidRDefault="009B20BD" w:rsidP="001C4F66">
            <w:pPr>
              <w:pStyle w:val="TableText"/>
              <w:jc w:val="right"/>
            </w:pPr>
            <w:r w:rsidRPr="005B0796">
              <w:t>40</w:t>
            </w:r>
          </w:p>
        </w:tc>
        <w:tc>
          <w:tcPr>
            <w:tcW w:w="810" w:type="dxa"/>
            <w:hideMark/>
          </w:tcPr>
          <w:p w:rsidR="009B20BD" w:rsidRPr="005B0796" w:rsidRDefault="009B20BD" w:rsidP="001C4F66">
            <w:pPr>
              <w:pStyle w:val="TableText"/>
              <w:jc w:val="right"/>
            </w:pPr>
            <w:r w:rsidRPr="005B0796">
              <w:t>20</w:t>
            </w:r>
          </w:p>
        </w:tc>
      </w:tr>
      <w:tr w:rsidR="001C4F66" w:rsidRPr="005B0796" w:rsidTr="001C4F66">
        <w:trPr>
          <w:gridAfter w:val="1"/>
          <w:wAfter w:w="7" w:type="dxa"/>
          <w:cantSplit/>
        </w:trPr>
        <w:tc>
          <w:tcPr>
            <w:tcW w:w="828" w:type="dxa"/>
            <w:hideMark/>
          </w:tcPr>
          <w:p w:rsidR="009B20BD" w:rsidRPr="005B0796" w:rsidRDefault="009B20BD" w:rsidP="001C4F66">
            <w:pPr>
              <w:pStyle w:val="TableText"/>
              <w:rPr>
                <w:b/>
              </w:rPr>
            </w:pPr>
            <w:r w:rsidRPr="005B0796">
              <w:rPr>
                <w:b/>
              </w:rPr>
              <w:t xml:space="preserve">Army </w:t>
            </w: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r>
      <w:tr w:rsidR="001C4F66" w:rsidRPr="005B0796" w:rsidTr="001C4F6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828" w:type="dxa"/>
            <w:hideMark/>
          </w:tcPr>
          <w:p w:rsidR="009B20BD" w:rsidRPr="005B0796" w:rsidRDefault="009B20BD" w:rsidP="001C4F66">
            <w:pPr>
              <w:pStyle w:val="TableText"/>
              <w:ind w:left="144"/>
            </w:pPr>
            <w:r w:rsidRPr="005B0796">
              <w:t xml:space="preserve">Male </w:t>
            </w:r>
          </w:p>
        </w:tc>
        <w:tc>
          <w:tcPr>
            <w:tcW w:w="810" w:type="dxa"/>
            <w:hideMark/>
          </w:tcPr>
          <w:p w:rsidR="009B20BD" w:rsidRPr="005B0796" w:rsidRDefault="009B20BD" w:rsidP="001C4F66">
            <w:pPr>
              <w:pStyle w:val="TableText"/>
              <w:jc w:val="right"/>
            </w:pPr>
            <w:r w:rsidRPr="005B0796">
              <w:t>52</w:t>
            </w:r>
          </w:p>
        </w:tc>
        <w:tc>
          <w:tcPr>
            <w:tcW w:w="810" w:type="dxa"/>
            <w:hideMark/>
          </w:tcPr>
          <w:p w:rsidR="009B20BD" w:rsidRPr="005B0796" w:rsidRDefault="009B20BD" w:rsidP="001C4F66">
            <w:pPr>
              <w:pStyle w:val="TableText"/>
              <w:jc w:val="right"/>
            </w:pPr>
            <w:r w:rsidRPr="005B0796">
              <w:t>37</w:t>
            </w:r>
          </w:p>
        </w:tc>
        <w:tc>
          <w:tcPr>
            <w:tcW w:w="810" w:type="dxa"/>
            <w:hideMark/>
          </w:tcPr>
          <w:p w:rsidR="009B20BD" w:rsidRPr="005B0796" w:rsidRDefault="009B20BD" w:rsidP="001C4F66">
            <w:pPr>
              <w:pStyle w:val="TableText"/>
              <w:jc w:val="right"/>
            </w:pPr>
            <w:r w:rsidRPr="005B0796">
              <w:t>152</w:t>
            </w:r>
          </w:p>
        </w:tc>
        <w:tc>
          <w:tcPr>
            <w:tcW w:w="810" w:type="dxa"/>
            <w:hideMark/>
          </w:tcPr>
          <w:p w:rsidR="009B20BD" w:rsidRPr="005B0796" w:rsidRDefault="009B20BD" w:rsidP="001C4F66">
            <w:pPr>
              <w:pStyle w:val="TableText"/>
              <w:jc w:val="right"/>
            </w:pPr>
            <w:r w:rsidRPr="005B0796">
              <w:t>94</w:t>
            </w:r>
          </w:p>
        </w:tc>
        <w:tc>
          <w:tcPr>
            <w:tcW w:w="810" w:type="dxa"/>
            <w:hideMark/>
          </w:tcPr>
          <w:p w:rsidR="009B20BD" w:rsidRPr="005B0796" w:rsidRDefault="009B20BD" w:rsidP="001C4F66">
            <w:pPr>
              <w:pStyle w:val="TableText"/>
              <w:jc w:val="right"/>
            </w:pPr>
            <w:r w:rsidRPr="005B0796">
              <w:t>155</w:t>
            </w:r>
          </w:p>
        </w:tc>
        <w:tc>
          <w:tcPr>
            <w:tcW w:w="810" w:type="dxa"/>
            <w:hideMark/>
          </w:tcPr>
          <w:p w:rsidR="009B20BD" w:rsidRPr="005B0796" w:rsidRDefault="009B20BD" w:rsidP="001C4F66">
            <w:pPr>
              <w:pStyle w:val="TableText"/>
              <w:jc w:val="right"/>
            </w:pPr>
            <w:r w:rsidRPr="005B0796">
              <w:t>109</w:t>
            </w:r>
          </w:p>
        </w:tc>
        <w:tc>
          <w:tcPr>
            <w:tcW w:w="810" w:type="dxa"/>
            <w:hideMark/>
          </w:tcPr>
          <w:p w:rsidR="009B20BD" w:rsidRPr="005B0796" w:rsidRDefault="009B20BD" w:rsidP="001C4F66">
            <w:pPr>
              <w:pStyle w:val="TableText"/>
              <w:jc w:val="right"/>
            </w:pPr>
            <w:r w:rsidRPr="005B0796">
              <w:t>515</w:t>
            </w:r>
          </w:p>
        </w:tc>
        <w:tc>
          <w:tcPr>
            <w:tcW w:w="810" w:type="dxa"/>
            <w:hideMark/>
          </w:tcPr>
          <w:p w:rsidR="009B20BD" w:rsidRPr="005B0796" w:rsidRDefault="009B20BD" w:rsidP="001C4F66">
            <w:pPr>
              <w:pStyle w:val="TableText"/>
              <w:jc w:val="right"/>
            </w:pPr>
            <w:r w:rsidRPr="005B0796">
              <w:t>272</w:t>
            </w:r>
          </w:p>
        </w:tc>
      </w:tr>
      <w:tr w:rsidR="001C4F66" w:rsidRPr="005B0796" w:rsidTr="001C4F66">
        <w:trPr>
          <w:gridAfter w:val="1"/>
          <w:wAfter w:w="7" w:type="dxa"/>
          <w:cantSplit/>
        </w:trPr>
        <w:tc>
          <w:tcPr>
            <w:tcW w:w="828" w:type="dxa"/>
            <w:hideMark/>
          </w:tcPr>
          <w:p w:rsidR="009B20BD" w:rsidRPr="005B0796" w:rsidRDefault="009B20BD" w:rsidP="001C4F66">
            <w:pPr>
              <w:pStyle w:val="TableText"/>
              <w:ind w:left="144"/>
            </w:pPr>
            <w:r w:rsidRPr="005B0796">
              <w:t>Female</w:t>
            </w:r>
          </w:p>
        </w:tc>
        <w:tc>
          <w:tcPr>
            <w:tcW w:w="810" w:type="dxa"/>
            <w:hideMark/>
          </w:tcPr>
          <w:p w:rsidR="009B20BD" w:rsidRPr="005B0796" w:rsidRDefault="009B20BD" w:rsidP="001C4F66">
            <w:pPr>
              <w:pStyle w:val="TableText"/>
              <w:jc w:val="right"/>
            </w:pPr>
            <w:r w:rsidRPr="005B0796">
              <w:t>15</w:t>
            </w:r>
          </w:p>
        </w:tc>
        <w:tc>
          <w:tcPr>
            <w:tcW w:w="810" w:type="dxa"/>
            <w:hideMark/>
          </w:tcPr>
          <w:p w:rsidR="009B20BD" w:rsidRPr="005B0796" w:rsidRDefault="009B20BD" w:rsidP="001C4F66">
            <w:pPr>
              <w:pStyle w:val="TableText"/>
              <w:jc w:val="right"/>
            </w:pPr>
            <w:r w:rsidRPr="005B0796">
              <w:t>10</w:t>
            </w:r>
          </w:p>
        </w:tc>
        <w:tc>
          <w:tcPr>
            <w:tcW w:w="810" w:type="dxa"/>
            <w:hideMark/>
          </w:tcPr>
          <w:p w:rsidR="009B20BD" w:rsidRPr="005B0796" w:rsidRDefault="009B20BD" w:rsidP="001C4F66">
            <w:pPr>
              <w:pStyle w:val="TableText"/>
              <w:jc w:val="right"/>
            </w:pPr>
            <w:r w:rsidRPr="005B0796">
              <w:t>35</w:t>
            </w:r>
          </w:p>
        </w:tc>
        <w:tc>
          <w:tcPr>
            <w:tcW w:w="810" w:type="dxa"/>
            <w:hideMark/>
          </w:tcPr>
          <w:p w:rsidR="009B20BD" w:rsidRPr="005B0796" w:rsidRDefault="009B20BD" w:rsidP="001C4F66">
            <w:pPr>
              <w:pStyle w:val="TableText"/>
              <w:jc w:val="right"/>
            </w:pPr>
            <w:r w:rsidRPr="005B0796">
              <w:t>19</w:t>
            </w:r>
          </w:p>
        </w:tc>
        <w:tc>
          <w:tcPr>
            <w:tcW w:w="810" w:type="dxa"/>
            <w:hideMark/>
          </w:tcPr>
          <w:p w:rsidR="009B20BD" w:rsidRPr="005B0796" w:rsidRDefault="009B20BD" w:rsidP="001C4F66">
            <w:pPr>
              <w:pStyle w:val="TableText"/>
              <w:jc w:val="right"/>
            </w:pPr>
            <w:r w:rsidRPr="005B0796">
              <w:t>31</w:t>
            </w:r>
          </w:p>
        </w:tc>
        <w:tc>
          <w:tcPr>
            <w:tcW w:w="810" w:type="dxa"/>
            <w:hideMark/>
          </w:tcPr>
          <w:p w:rsidR="009B20BD" w:rsidRPr="005B0796" w:rsidRDefault="009B20BD" w:rsidP="001C4F66">
            <w:pPr>
              <w:pStyle w:val="TableText"/>
              <w:jc w:val="right"/>
            </w:pPr>
            <w:r w:rsidRPr="005B0796">
              <w:t>15</w:t>
            </w:r>
          </w:p>
        </w:tc>
        <w:tc>
          <w:tcPr>
            <w:tcW w:w="810" w:type="dxa"/>
            <w:hideMark/>
          </w:tcPr>
          <w:p w:rsidR="009B20BD" w:rsidRPr="005B0796" w:rsidRDefault="009B20BD" w:rsidP="001C4F66">
            <w:pPr>
              <w:pStyle w:val="TableText"/>
              <w:jc w:val="right"/>
            </w:pPr>
            <w:r w:rsidRPr="005B0796">
              <w:t>66</w:t>
            </w:r>
          </w:p>
        </w:tc>
        <w:tc>
          <w:tcPr>
            <w:tcW w:w="810" w:type="dxa"/>
            <w:hideMark/>
          </w:tcPr>
          <w:p w:rsidR="009B20BD" w:rsidRPr="005B0796" w:rsidRDefault="009B20BD" w:rsidP="001C4F66">
            <w:pPr>
              <w:pStyle w:val="TableText"/>
              <w:jc w:val="right"/>
            </w:pPr>
            <w:r w:rsidRPr="005B0796">
              <w:t>25</w:t>
            </w:r>
          </w:p>
        </w:tc>
      </w:tr>
      <w:tr w:rsidR="001C4F66" w:rsidRPr="005B0796" w:rsidTr="001C4F6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828" w:type="dxa"/>
            <w:hideMark/>
          </w:tcPr>
          <w:p w:rsidR="009B20BD" w:rsidRPr="005B0796" w:rsidRDefault="009B20BD" w:rsidP="001C4F66">
            <w:pPr>
              <w:pStyle w:val="TableText"/>
              <w:rPr>
                <w:b/>
              </w:rPr>
            </w:pPr>
            <w:r w:rsidRPr="005B0796">
              <w:rPr>
                <w:b/>
              </w:rPr>
              <w:t>Air Force</w:t>
            </w: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c>
          <w:tcPr>
            <w:tcW w:w="810" w:type="dxa"/>
          </w:tcPr>
          <w:p w:rsidR="009B20BD" w:rsidRPr="005B0796" w:rsidRDefault="009B20BD" w:rsidP="001C4F66">
            <w:pPr>
              <w:pStyle w:val="TableText"/>
              <w:jc w:val="right"/>
            </w:pPr>
          </w:p>
        </w:tc>
      </w:tr>
      <w:tr w:rsidR="001C4F66" w:rsidRPr="005B0796" w:rsidTr="001C4F66">
        <w:trPr>
          <w:gridAfter w:val="1"/>
          <w:wAfter w:w="7" w:type="dxa"/>
          <w:cantSplit/>
        </w:trPr>
        <w:tc>
          <w:tcPr>
            <w:tcW w:w="828" w:type="dxa"/>
            <w:hideMark/>
          </w:tcPr>
          <w:p w:rsidR="009B20BD" w:rsidRPr="005B0796" w:rsidRDefault="009B20BD" w:rsidP="001C4F66">
            <w:pPr>
              <w:pStyle w:val="TableText"/>
              <w:ind w:left="144"/>
            </w:pPr>
            <w:r w:rsidRPr="005B0796">
              <w:t>Male</w:t>
            </w:r>
          </w:p>
        </w:tc>
        <w:tc>
          <w:tcPr>
            <w:tcW w:w="810" w:type="dxa"/>
            <w:hideMark/>
          </w:tcPr>
          <w:p w:rsidR="009B20BD" w:rsidRPr="005B0796" w:rsidRDefault="009B20BD" w:rsidP="001C4F66">
            <w:pPr>
              <w:pStyle w:val="TableText"/>
              <w:jc w:val="right"/>
            </w:pPr>
            <w:r w:rsidRPr="005B0796">
              <w:t>17</w:t>
            </w:r>
          </w:p>
        </w:tc>
        <w:tc>
          <w:tcPr>
            <w:tcW w:w="810" w:type="dxa"/>
            <w:hideMark/>
          </w:tcPr>
          <w:p w:rsidR="009B20BD" w:rsidRPr="005B0796" w:rsidRDefault="009B20BD" w:rsidP="001C4F66">
            <w:pPr>
              <w:pStyle w:val="TableText"/>
              <w:jc w:val="right"/>
            </w:pPr>
            <w:r w:rsidRPr="005B0796">
              <w:t>13</w:t>
            </w:r>
          </w:p>
        </w:tc>
        <w:tc>
          <w:tcPr>
            <w:tcW w:w="810" w:type="dxa"/>
            <w:hideMark/>
          </w:tcPr>
          <w:p w:rsidR="009B20BD" w:rsidRPr="005B0796" w:rsidRDefault="009B20BD" w:rsidP="001C4F66">
            <w:pPr>
              <w:pStyle w:val="TableText"/>
              <w:jc w:val="right"/>
            </w:pPr>
            <w:r w:rsidRPr="005B0796">
              <w:t>104</w:t>
            </w:r>
          </w:p>
        </w:tc>
        <w:tc>
          <w:tcPr>
            <w:tcW w:w="810" w:type="dxa"/>
            <w:hideMark/>
          </w:tcPr>
          <w:p w:rsidR="009B20BD" w:rsidRPr="005B0796" w:rsidRDefault="009B20BD" w:rsidP="001C4F66">
            <w:pPr>
              <w:pStyle w:val="TableText"/>
              <w:jc w:val="right"/>
            </w:pPr>
            <w:r w:rsidRPr="005B0796">
              <w:t>77</w:t>
            </w:r>
          </w:p>
        </w:tc>
        <w:tc>
          <w:tcPr>
            <w:tcW w:w="810" w:type="dxa"/>
            <w:hideMark/>
          </w:tcPr>
          <w:p w:rsidR="009B20BD" w:rsidRPr="005B0796" w:rsidRDefault="009B20BD" w:rsidP="001C4F66">
            <w:pPr>
              <w:pStyle w:val="TableText"/>
              <w:jc w:val="right"/>
            </w:pPr>
            <w:r w:rsidRPr="005B0796">
              <w:t>74</w:t>
            </w:r>
          </w:p>
        </w:tc>
        <w:tc>
          <w:tcPr>
            <w:tcW w:w="810" w:type="dxa"/>
            <w:hideMark/>
          </w:tcPr>
          <w:p w:rsidR="009B20BD" w:rsidRPr="005B0796" w:rsidRDefault="009B20BD" w:rsidP="001C4F66">
            <w:pPr>
              <w:pStyle w:val="TableText"/>
              <w:jc w:val="right"/>
            </w:pPr>
            <w:r w:rsidRPr="005B0796">
              <w:t>50</w:t>
            </w:r>
          </w:p>
        </w:tc>
        <w:tc>
          <w:tcPr>
            <w:tcW w:w="810" w:type="dxa"/>
            <w:hideMark/>
          </w:tcPr>
          <w:p w:rsidR="009B20BD" w:rsidRPr="005B0796" w:rsidRDefault="009B20BD" w:rsidP="001C4F66">
            <w:pPr>
              <w:pStyle w:val="TableText"/>
              <w:jc w:val="right"/>
            </w:pPr>
            <w:r w:rsidRPr="005B0796">
              <w:t>152</w:t>
            </w:r>
          </w:p>
        </w:tc>
        <w:tc>
          <w:tcPr>
            <w:tcW w:w="810" w:type="dxa"/>
            <w:hideMark/>
          </w:tcPr>
          <w:p w:rsidR="009B20BD" w:rsidRPr="005B0796" w:rsidRDefault="009B20BD" w:rsidP="001C4F66">
            <w:pPr>
              <w:pStyle w:val="TableText"/>
              <w:jc w:val="right"/>
            </w:pPr>
            <w:r w:rsidRPr="005B0796">
              <w:t>86</w:t>
            </w:r>
          </w:p>
        </w:tc>
      </w:tr>
      <w:tr w:rsidR="001C4F66" w:rsidRPr="005B0796" w:rsidTr="001C4F6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828" w:type="dxa"/>
            <w:hideMark/>
          </w:tcPr>
          <w:p w:rsidR="009B20BD" w:rsidRPr="005B0796" w:rsidRDefault="009B20BD" w:rsidP="001C4F66">
            <w:pPr>
              <w:pStyle w:val="TableText"/>
              <w:ind w:left="144"/>
            </w:pPr>
            <w:r w:rsidRPr="005B0796">
              <w:t>Female</w:t>
            </w:r>
          </w:p>
        </w:tc>
        <w:tc>
          <w:tcPr>
            <w:tcW w:w="810" w:type="dxa"/>
            <w:hideMark/>
          </w:tcPr>
          <w:p w:rsidR="009B20BD" w:rsidRPr="005B0796" w:rsidRDefault="009B20BD" w:rsidP="001C4F66">
            <w:pPr>
              <w:pStyle w:val="TableText"/>
              <w:jc w:val="right"/>
            </w:pPr>
            <w:r w:rsidRPr="005B0796">
              <w:t>4</w:t>
            </w:r>
          </w:p>
        </w:tc>
        <w:tc>
          <w:tcPr>
            <w:tcW w:w="810" w:type="dxa"/>
            <w:hideMark/>
          </w:tcPr>
          <w:p w:rsidR="009B20BD" w:rsidRPr="005B0796" w:rsidRDefault="009B20BD" w:rsidP="001C4F66">
            <w:pPr>
              <w:pStyle w:val="TableText"/>
              <w:jc w:val="right"/>
            </w:pPr>
            <w:r w:rsidRPr="005B0796">
              <w:t>3</w:t>
            </w:r>
          </w:p>
        </w:tc>
        <w:tc>
          <w:tcPr>
            <w:tcW w:w="810" w:type="dxa"/>
            <w:hideMark/>
          </w:tcPr>
          <w:p w:rsidR="009B20BD" w:rsidRPr="005B0796" w:rsidRDefault="009B20BD" w:rsidP="001C4F66">
            <w:pPr>
              <w:pStyle w:val="TableText"/>
              <w:jc w:val="right"/>
            </w:pPr>
            <w:r w:rsidRPr="005B0796">
              <w:t>25</w:t>
            </w:r>
          </w:p>
        </w:tc>
        <w:tc>
          <w:tcPr>
            <w:tcW w:w="810" w:type="dxa"/>
            <w:hideMark/>
          </w:tcPr>
          <w:p w:rsidR="009B20BD" w:rsidRPr="005B0796" w:rsidRDefault="009B20BD" w:rsidP="001C4F66">
            <w:pPr>
              <w:pStyle w:val="TableText"/>
              <w:jc w:val="right"/>
            </w:pPr>
            <w:r w:rsidRPr="005B0796">
              <w:t>14</w:t>
            </w:r>
          </w:p>
        </w:tc>
        <w:tc>
          <w:tcPr>
            <w:tcW w:w="810" w:type="dxa"/>
            <w:hideMark/>
          </w:tcPr>
          <w:p w:rsidR="009B20BD" w:rsidRPr="005B0796" w:rsidRDefault="009B20BD" w:rsidP="001C4F66">
            <w:pPr>
              <w:pStyle w:val="TableText"/>
              <w:jc w:val="right"/>
            </w:pPr>
            <w:r w:rsidRPr="005B0796">
              <w:t>8</w:t>
            </w:r>
          </w:p>
        </w:tc>
        <w:tc>
          <w:tcPr>
            <w:tcW w:w="810" w:type="dxa"/>
            <w:hideMark/>
          </w:tcPr>
          <w:p w:rsidR="009B20BD" w:rsidRPr="005B0796" w:rsidRDefault="009B20BD" w:rsidP="001C4F66">
            <w:pPr>
              <w:pStyle w:val="TableText"/>
              <w:jc w:val="right"/>
            </w:pPr>
            <w:r w:rsidRPr="005B0796">
              <w:t>5</w:t>
            </w:r>
          </w:p>
        </w:tc>
        <w:tc>
          <w:tcPr>
            <w:tcW w:w="810" w:type="dxa"/>
            <w:hideMark/>
          </w:tcPr>
          <w:p w:rsidR="009B20BD" w:rsidRPr="005B0796" w:rsidRDefault="009B20BD" w:rsidP="001C4F66">
            <w:pPr>
              <w:pStyle w:val="TableText"/>
              <w:jc w:val="right"/>
            </w:pPr>
            <w:r w:rsidRPr="005B0796">
              <w:t>34</w:t>
            </w:r>
          </w:p>
        </w:tc>
        <w:tc>
          <w:tcPr>
            <w:tcW w:w="810" w:type="dxa"/>
            <w:hideMark/>
          </w:tcPr>
          <w:p w:rsidR="009B20BD" w:rsidRPr="005B0796" w:rsidRDefault="009B20BD" w:rsidP="001C4F66">
            <w:pPr>
              <w:pStyle w:val="TableText"/>
              <w:jc w:val="right"/>
            </w:pPr>
            <w:r w:rsidRPr="005B0796">
              <w:t>16</w:t>
            </w:r>
          </w:p>
        </w:tc>
      </w:tr>
      <w:tr w:rsidR="001C4F66" w:rsidRPr="005B0796" w:rsidTr="001C4F66">
        <w:trPr>
          <w:gridAfter w:val="1"/>
          <w:wAfter w:w="7" w:type="dxa"/>
          <w:cantSplit/>
        </w:trPr>
        <w:tc>
          <w:tcPr>
            <w:tcW w:w="828" w:type="dxa"/>
            <w:hideMark/>
          </w:tcPr>
          <w:p w:rsidR="009B20BD" w:rsidRPr="005B0796" w:rsidRDefault="009B20BD" w:rsidP="001C4F66">
            <w:pPr>
              <w:pStyle w:val="TableText"/>
              <w:rPr>
                <w:b/>
              </w:rPr>
            </w:pPr>
            <w:r w:rsidRPr="005B0796">
              <w:rPr>
                <w:b/>
              </w:rPr>
              <w:t>Missing</w:t>
            </w:r>
          </w:p>
        </w:tc>
        <w:tc>
          <w:tcPr>
            <w:tcW w:w="810" w:type="dxa"/>
            <w:hideMark/>
          </w:tcPr>
          <w:p w:rsidR="009B20BD" w:rsidRPr="005B0796" w:rsidRDefault="009B20BD" w:rsidP="001C4F66">
            <w:pPr>
              <w:pStyle w:val="TableText"/>
              <w:jc w:val="right"/>
            </w:pPr>
            <w:r w:rsidRPr="005B0796">
              <w:t>1</w:t>
            </w:r>
          </w:p>
        </w:tc>
        <w:tc>
          <w:tcPr>
            <w:tcW w:w="810" w:type="dxa"/>
            <w:hideMark/>
          </w:tcPr>
          <w:p w:rsidR="009B20BD" w:rsidRPr="005B0796" w:rsidRDefault="009B20BD" w:rsidP="001C4F66">
            <w:pPr>
              <w:pStyle w:val="TableText"/>
              <w:jc w:val="right"/>
            </w:pPr>
            <w:r w:rsidRPr="005B0796">
              <w:t>–</w:t>
            </w:r>
          </w:p>
        </w:tc>
        <w:tc>
          <w:tcPr>
            <w:tcW w:w="810" w:type="dxa"/>
            <w:hideMark/>
          </w:tcPr>
          <w:p w:rsidR="009B20BD" w:rsidRPr="005B0796" w:rsidRDefault="009B20BD" w:rsidP="001C4F66">
            <w:pPr>
              <w:pStyle w:val="TableText"/>
              <w:jc w:val="right"/>
            </w:pPr>
            <w:r w:rsidRPr="005B0796">
              <w:t>2</w:t>
            </w:r>
          </w:p>
        </w:tc>
        <w:tc>
          <w:tcPr>
            <w:tcW w:w="810" w:type="dxa"/>
            <w:hideMark/>
          </w:tcPr>
          <w:p w:rsidR="009B20BD" w:rsidRPr="005B0796" w:rsidRDefault="009B20BD" w:rsidP="001C4F66">
            <w:pPr>
              <w:pStyle w:val="TableText"/>
              <w:jc w:val="right"/>
            </w:pPr>
            <w:r w:rsidRPr="005B0796">
              <w:t>1</w:t>
            </w:r>
          </w:p>
        </w:tc>
        <w:tc>
          <w:tcPr>
            <w:tcW w:w="810" w:type="dxa"/>
            <w:hideMark/>
          </w:tcPr>
          <w:p w:rsidR="009B20BD" w:rsidRPr="005B0796" w:rsidRDefault="009B20BD" w:rsidP="001C4F66">
            <w:pPr>
              <w:pStyle w:val="TableText"/>
              <w:jc w:val="right"/>
            </w:pPr>
            <w:r w:rsidRPr="005B0796">
              <w:t>2</w:t>
            </w:r>
          </w:p>
        </w:tc>
        <w:tc>
          <w:tcPr>
            <w:tcW w:w="810" w:type="dxa"/>
            <w:hideMark/>
          </w:tcPr>
          <w:p w:rsidR="009B20BD" w:rsidRPr="005B0796" w:rsidRDefault="009B20BD" w:rsidP="001C4F66">
            <w:pPr>
              <w:pStyle w:val="TableText"/>
              <w:jc w:val="right"/>
            </w:pPr>
            <w:r w:rsidRPr="005B0796">
              <w:t>1</w:t>
            </w:r>
          </w:p>
        </w:tc>
        <w:tc>
          <w:tcPr>
            <w:tcW w:w="810" w:type="dxa"/>
            <w:hideMark/>
          </w:tcPr>
          <w:p w:rsidR="009B20BD" w:rsidRPr="005B0796" w:rsidRDefault="009B20BD" w:rsidP="001C4F66">
            <w:pPr>
              <w:pStyle w:val="TableText"/>
              <w:jc w:val="right"/>
            </w:pPr>
            <w:r w:rsidRPr="005B0796">
              <w:t>7</w:t>
            </w:r>
          </w:p>
        </w:tc>
        <w:tc>
          <w:tcPr>
            <w:tcW w:w="810" w:type="dxa"/>
            <w:hideMark/>
          </w:tcPr>
          <w:p w:rsidR="009B20BD" w:rsidRPr="005B0796" w:rsidRDefault="009B20BD" w:rsidP="001C4F66">
            <w:pPr>
              <w:pStyle w:val="TableText"/>
              <w:jc w:val="right"/>
            </w:pPr>
            <w:r w:rsidRPr="005B0796">
              <w:t>4</w:t>
            </w:r>
          </w:p>
        </w:tc>
      </w:tr>
    </w:tbl>
    <w:p w:rsidR="001C4F66" w:rsidRPr="005B0796" w:rsidRDefault="001C4F66" w:rsidP="001C4F66">
      <w:pPr>
        <w:pStyle w:val="TableNotes"/>
        <w:rPr>
          <w:color w:val="000000" w:themeColor="text1"/>
        </w:rPr>
      </w:pPr>
      <w:r w:rsidRPr="005B0796">
        <w:t>*Includes Combat Zone and MHPWS participants who were invited to participate but were not stratified</w:t>
      </w:r>
    </w:p>
    <w:p w:rsidR="009B20BD" w:rsidRPr="005B0796" w:rsidRDefault="009B20BD" w:rsidP="001C4F66">
      <w:r w:rsidRPr="005B0796">
        <w:rPr>
          <w:color w:val="000000" w:themeColor="text1"/>
        </w:rPr>
        <w:t xml:space="preserve">Table A.8 </w:t>
      </w:r>
      <w:r w:rsidRPr="005B0796">
        <w:t xml:space="preserve">shows the final distribution of eligible Transitioned ADF across the strata used for selection into the CIDI, and the number who responded. Of the 1049 Transitioned ADF who completed a CIDI, 47.1% were in Band 3, 21.4% in Band 2 and 24.6% in Band 1. The final sample comprised 55.4% Army, 18.9% Navy and 25.2% Air Force, with the majority of respondents being male (85.9%). A total of 78 CIDI responders were missing band, sex or Service, and were excluded from the final weighted population. </w:t>
      </w:r>
    </w:p>
    <w:p w:rsidR="009B20BD" w:rsidRPr="005B0796" w:rsidRDefault="009B20BD" w:rsidP="00751C86">
      <w:pPr>
        <w:pStyle w:val="Heading2b"/>
      </w:pPr>
      <w:bookmarkStart w:id="1560" w:name="_Toc482021451"/>
      <w:bookmarkStart w:id="1561" w:name="_Toc482024542"/>
      <w:bookmarkStart w:id="1562" w:name="_Toc484594362"/>
      <w:bookmarkStart w:id="1563" w:name="_Toc487011302"/>
      <w:bookmarkStart w:id="1564" w:name="_Toc493663197"/>
      <w:bookmarkStart w:id="1565" w:name="_Toc494449814"/>
      <w:r w:rsidRPr="005B0796">
        <w:t>Weighting</w:t>
      </w:r>
      <w:bookmarkEnd w:id="1555"/>
      <w:bookmarkEnd w:id="1560"/>
      <w:bookmarkEnd w:id="1561"/>
      <w:bookmarkEnd w:id="1562"/>
      <w:bookmarkEnd w:id="1563"/>
      <w:bookmarkEnd w:id="1564"/>
      <w:bookmarkEnd w:id="1565"/>
    </w:p>
    <w:p w:rsidR="009B20BD" w:rsidRPr="005B0796" w:rsidRDefault="009B20BD" w:rsidP="001C4F66">
      <w:r w:rsidRPr="005B0796">
        <w:t xml:space="preserve">The statistical weighting process used in the Mental Health and Wellbeing Transition Study replicated that used in the MHPWS, and allowed for the inference of results for the Transitioned ADF and 2015 Regular ADF populations. The two types of weights used in the study were: </w:t>
      </w:r>
    </w:p>
    <w:p w:rsidR="009B20BD" w:rsidRPr="005B0796" w:rsidRDefault="009B20BD" w:rsidP="001C4F66">
      <w:pPr>
        <w:pStyle w:val="Bullet"/>
      </w:pPr>
      <w:r w:rsidRPr="005B0796">
        <w:t>the survey responder weights, which corrected for differential non-response on the survey for Transitioned ADF and 2015 Regular ADF</w:t>
      </w:r>
    </w:p>
    <w:p w:rsidR="009B20BD" w:rsidRPr="005B0796" w:rsidRDefault="009B20BD" w:rsidP="001C4F66">
      <w:pPr>
        <w:pStyle w:val="Bullet"/>
      </w:pPr>
      <w:r w:rsidRPr="005B0796">
        <w:t xml:space="preserve">two-phase CIDI responder weights, which compensated for differential non-response on the survey, and for oversampling or under-sampling of specific cases where participants went on to be interviewed with the CIDI. These weights apply to the Transitioned ADF only, and were used to generate 12-month and lifetime ICD-10 mental disorder prevalence estimates for the entire Transitioned ADF. </w:t>
      </w:r>
    </w:p>
    <w:p w:rsidR="009B20BD" w:rsidRPr="005B0796" w:rsidRDefault="009B20BD" w:rsidP="001C4F66">
      <w:r w:rsidRPr="005B0796">
        <w:t xml:space="preserve">The weighting procedure involves the allocation of a representative value or </w:t>
      </w:r>
      <w:r w:rsidR="00462A0C" w:rsidRPr="005B0796">
        <w:t>‘</w:t>
      </w:r>
      <w:r w:rsidRPr="005B0796">
        <w:t>weight</w:t>
      </w:r>
      <w:r w:rsidR="00462A0C" w:rsidRPr="005B0796">
        <w:t>’</w:t>
      </w:r>
      <w:r w:rsidRPr="005B0796">
        <w:t xml:space="preserve"> to the data for each responder, based on key variables that are known for the entire population (including both responders and non-responders). This weight indicates how many individuals in the entire population are represented by each actual responder. Weighting data allows for inference of results for an entire population, in this case, the Transitioned ADF, by assigning a representative value to each </w:t>
      </w:r>
      <w:r w:rsidR="00462A0C" w:rsidRPr="005B0796">
        <w:t>‘</w:t>
      </w:r>
      <w:r w:rsidRPr="005B0796">
        <w:t>actual</w:t>
      </w:r>
      <w:r w:rsidR="00462A0C" w:rsidRPr="005B0796">
        <w:t>’</w:t>
      </w:r>
      <w:r w:rsidRPr="005B0796">
        <w:t xml:space="preserve"> case (responder) in the data. If a case has a weight of 4, it means that case counts in the data as 4 identical cases. By using known characteristics about each individual within the population (in this case, age, sex, rank and medical fitness), the weight assigned to responders indicates how many </w:t>
      </w:r>
      <w:r w:rsidR="00462A0C" w:rsidRPr="005B0796">
        <w:t>‘</w:t>
      </w:r>
      <w:r w:rsidRPr="005B0796">
        <w:t>like</w:t>
      </w:r>
      <w:r w:rsidR="00462A0C" w:rsidRPr="005B0796">
        <w:t>’</w:t>
      </w:r>
      <w:r w:rsidRPr="005B0796">
        <w:t xml:space="preserve"> individuals in the entire population (based on those characteristics), each responder represents. </w:t>
      </w:r>
    </w:p>
    <w:p w:rsidR="009B20BD" w:rsidRPr="005B0796" w:rsidRDefault="009B20BD" w:rsidP="001C4F66">
      <w:r w:rsidRPr="005B0796">
        <w:t xml:space="preserve">Weighting is used to correct for differential non-response and to account for systematic biases that may be present in study responders (e.g., oversampling of high scorers for CIDI). Both types of weights were used in this study. </w:t>
      </w:r>
    </w:p>
    <w:p w:rsidR="009B20BD" w:rsidRPr="005B0796" w:rsidRDefault="009B20BD" w:rsidP="001C4F66">
      <w:r w:rsidRPr="005B0796">
        <w:t>These two types of weights were combined to give each responder a single weight within the data. This methodology provides representative weights for the population, improving the accuracy of the estimated data, and requires that every individual within the population has actual data on the key variables that determine representativeness.</w:t>
      </w:r>
    </w:p>
    <w:p w:rsidR="009B20BD" w:rsidRPr="005B0796" w:rsidRDefault="009B20BD" w:rsidP="001C4F66">
      <w:r w:rsidRPr="005B0796">
        <w:t>The Transitioned ADF weights were derived from the distinct strata of sex, Service, rank, and medical fitness, a dichotomous variable derived from Medical Employment Classification Status (see details of reclassification below). Constraints due to consent meant that MEC Status was missing for a number of participants. As Medical Fitness was a key weighting variable both in providing a proxy health status for each individual in the population and to enable comparisons with the 2010 ADF Mental Health Prevalence and Wellbeing Study, a data perturbation approach was taken to deal with the missing data (see section</w:t>
      </w:r>
      <w:r w:rsidR="00751C86" w:rsidRPr="005B0796">
        <w:t> A</w:t>
      </w:r>
      <w:r w:rsidRPr="005B0796">
        <w:t>.10 on perturbation approach). Once missing MEC Status was addressed, there remained 313 (1.2%) of the Transitioned ADF with missing information on the strata variables and therefore the final population was 24,932, with all weighted analyses of the Transitioned ADF summing to this.</w:t>
      </w:r>
    </w:p>
    <w:p w:rsidR="009B20BD" w:rsidRPr="005B0796" w:rsidRDefault="009B20BD" w:rsidP="001C4F66">
      <w:r w:rsidRPr="005B0796">
        <w:t xml:space="preserve">The 2015 Regular ADF weights were derived from the distinct strata of sex, Service, rank, medical fitness, and whether the individual completed a study as part of MilHOP. The inclusion of this additional stratification variable was to account for the targeted sampling of the MilHOP cohort, who were then overrepresented within the current serving responders. A MilHOP flag variable (yes/no = 1/0) was therefore created and used in the weighting process in order to reduce this bias. There were 192 (0.4%) 2015 Regular ADF with missing information on the strata variables, reducing the final weighted population for analysis to 52,500. Tables </w:t>
      </w:r>
      <w:r w:rsidR="00751C86" w:rsidRPr="005B0796">
        <w:t>B.</w:t>
      </w:r>
      <w:r w:rsidRPr="005B0796">
        <w:t xml:space="preserve">14, </w:t>
      </w:r>
      <w:r w:rsidR="00751C86" w:rsidRPr="005B0796">
        <w:t>B.</w:t>
      </w:r>
      <w:r w:rsidRPr="005B0796">
        <w:t xml:space="preserve">15 and </w:t>
      </w:r>
      <w:r w:rsidR="00751C86" w:rsidRPr="005B0796">
        <w:t>B.</w:t>
      </w:r>
      <w:r w:rsidRPr="005B0796">
        <w:t>1</w:t>
      </w:r>
      <w:r w:rsidR="004F17A6" w:rsidRPr="005B0796">
        <w:t>6</w:t>
      </w:r>
      <w:r w:rsidRPr="005B0796">
        <w:t xml:space="preserve"> present the study population and responders within each strata used for weighting, and show approximately how many persons within each subpopulation each study responder represents. </w:t>
      </w:r>
    </w:p>
    <w:p w:rsidR="009B20BD" w:rsidRPr="005B0796" w:rsidRDefault="009B20BD" w:rsidP="00751C86">
      <w:pPr>
        <w:pStyle w:val="Heading3b"/>
      </w:pPr>
      <w:r w:rsidRPr="005B0796">
        <w:t>Reclassification of MEC for study</w:t>
      </w:r>
    </w:p>
    <w:p w:rsidR="009B20BD" w:rsidRPr="005B0796" w:rsidRDefault="009B20BD" w:rsidP="001C4F66">
      <w:pPr>
        <w:rPr>
          <w:rFonts w:asciiTheme="minorHAnsi" w:hAnsiTheme="minorHAnsi"/>
        </w:rPr>
      </w:pPr>
      <w:r w:rsidRPr="005B0796">
        <w:t xml:space="preserve">MEC is an administrative system designed to monitor physical fitness and medical standards in the ADF, and is </w:t>
      </w:r>
      <w:r w:rsidRPr="005B0796">
        <w:rPr>
          <w:szCs w:val="22"/>
        </w:rPr>
        <w:t>divided into the following four levels (either current or on discharge from the Regular ADF):</w:t>
      </w:r>
    </w:p>
    <w:p w:rsidR="009B20BD" w:rsidRPr="005B0796" w:rsidRDefault="009B20BD" w:rsidP="001C4F66">
      <w:pPr>
        <w:pStyle w:val="Bullet"/>
        <w:rPr>
          <w:lang w:eastAsia="en-AU"/>
        </w:rPr>
      </w:pPr>
      <w:r w:rsidRPr="005B0796">
        <w:rPr>
          <w:lang w:eastAsia="en-AU"/>
        </w:rPr>
        <w:t xml:space="preserve">MEC 1 – members are medically fit for employment in a deployed or seagoing environment without restriction. </w:t>
      </w:r>
    </w:p>
    <w:p w:rsidR="009B20BD" w:rsidRPr="005B0796" w:rsidRDefault="009B20BD" w:rsidP="001C4F66">
      <w:pPr>
        <w:pStyle w:val="Bullet"/>
        <w:rPr>
          <w:lang w:eastAsia="en-AU"/>
        </w:rPr>
      </w:pPr>
      <w:r w:rsidRPr="005B0796">
        <w:rPr>
          <w:lang w:eastAsia="en-AU"/>
        </w:rPr>
        <w:t>MEC 2 – members have medical conditions that require access to various levels of medical support or employment restrictions; however, they remain medically fit for duties in their occupation in a deployed or seagoing environment. In allocation of sub-classifications of MEC 2 access to the level of medical support will always take precedence over specified employment restrictions.</w:t>
      </w:r>
    </w:p>
    <w:p w:rsidR="009B20BD" w:rsidRPr="005B0796" w:rsidRDefault="009B20BD" w:rsidP="001C4F66">
      <w:pPr>
        <w:pStyle w:val="Bullet"/>
      </w:pPr>
      <w:r w:rsidRPr="005B0796">
        <w:rPr>
          <w:lang w:eastAsia="en-AU"/>
        </w:rPr>
        <w:t>MEC 3 – members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MEC 3.</w:t>
      </w:r>
    </w:p>
    <w:p w:rsidR="009B20BD" w:rsidRPr="005B0796" w:rsidRDefault="009B20BD" w:rsidP="001C4F66">
      <w:pPr>
        <w:pStyle w:val="Bullet"/>
      </w:pPr>
      <w:r w:rsidRPr="005B0796">
        <w:t>MEC 4 – Members who are medically unfit for deployment or seagoing service in the long term. Members who are classified as MEC 4 for their military occupation will be subject to review and confirmation of their classification by a MECRB.</w:t>
      </w:r>
    </w:p>
    <w:p w:rsidR="009B20BD" w:rsidRPr="005B0796" w:rsidRDefault="009B20BD" w:rsidP="001C4F66">
      <w:r w:rsidRPr="005B0796">
        <w:t xml:space="preserve">MEC status was collapsed to create a new variable </w:t>
      </w:r>
      <w:r w:rsidR="00462A0C" w:rsidRPr="005B0796">
        <w:t>‘</w:t>
      </w:r>
      <w:r w:rsidRPr="005B0796">
        <w:t>Medical Fitness</w:t>
      </w:r>
      <w:r w:rsidR="00462A0C" w:rsidRPr="005B0796">
        <w:t>’</w:t>
      </w:r>
      <w:r w:rsidRPr="005B0796">
        <w:t xml:space="preserve"> which was utilised in the current Programme of research. Medical fitness was defined accordingly:</w:t>
      </w:r>
    </w:p>
    <w:p w:rsidR="009B20BD" w:rsidRPr="005B0796" w:rsidRDefault="009B20BD" w:rsidP="001C4F66">
      <w:pPr>
        <w:pStyle w:val="Bullet"/>
        <w:rPr>
          <w:b/>
        </w:rPr>
      </w:pPr>
      <w:r w:rsidRPr="005B0796">
        <w:t xml:space="preserve">Fit – those who are categorised as fully employable and deployable, or deployable with restrictions. Participants are classified as fit if they fall into MEC 1 or MEC 2, or are assigned a perturbed MEC value of </w:t>
      </w:r>
      <w:r w:rsidR="00462A0C" w:rsidRPr="005B0796">
        <w:t>‘</w:t>
      </w:r>
      <w:r w:rsidRPr="005B0796">
        <w:t>fit</w:t>
      </w:r>
      <w:r w:rsidR="00462A0C" w:rsidRPr="005B0796">
        <w:t>’</w:t>
      </w:r>
      <w:r w:rsidRPr="005B0796">
        <w:t>.</w:t>
      </w:r>
    </w:p>
    <w:p w:rsidR="009B20BD" w:rsidRPr="005B0796" w:rsidRDefault="009B20BD" w:rsidP="001C4F66">
      <w:pPr>
        <w:pStyle w:val="Bullet"/>
        <w:rPr>
          <w:b/>
          <w:szCs w:val="22"/>
        </w:rPr>
      </w:pPr>
      <w:r w:rsidRPr="005B0796">
        <w:rPr>
          <w:szCs w:val="22"/>
        </w:rPr>
        <w:t>Unfit –</w:t>
      </w:r>
      <w:r w:rsidRPr="005B0796">
        <w:rPr>
          <w:b/>
          <w:szCs w:val="22"/>
        </w:rPr>
        <w:t xml:space="preserve"> </w:t>
      </w:r>
      <w:r w:rsidRPr="005B0796">
        <w:t xml:space="preserve">those who are not fit for deployment, original occupation and/or further service. </w:t>
      </w:r>
      <w:r w:rsidR="00462A0C" w:rsidRPr="005B0796">
        <w:t>‘</w:t>
      </w:r>
      <w:r w:rsidRPr="005B0796">
        <w:t>Unfit</w:t>
      </w:r>
      <w:r w:rsidR="00462A0C" w:rsidRPr="005B0796">
        <w:t>’</w:t>
      </w:r>
      <w:r w:rsidRPr="005B0796">
        <w:t xml:space="preserve"> can include those who are undergoing rehabilitation, transitioning to alternative return-to-work arrangements or are in the process of being medically discharged from the ADF. </w:t>
      </w:r>
      <w:r w:rsidRPr="005B0796">
        <w:rPr>
          <w:szCs w:val="22"/>
        </w:rPr>
        <w:t xml:space="preserve">Participants are classified as unfit if they fall into MEC 3 or MEC 4, </w:t>
      </w:r>
      <w:r w:rsidRPr="005B0796">
        <w:t>or</w:t>
      </w:r>
      <w:r w:rsidRPr="005B0796">
        <w:rPr>
          <w:szCs w:val="22"/>
        </w:rPr>
        <w:t xml:space="preserve"> are assigned a perturbed MEC value of </w:t>
      </w:r>
      <w:r w:rsidR="00462A0C" w:rsidRPr="005B0796">
        <w:rPr>
          <w:szCs w:val="22"/>
        </w:rPr>
        <w:t>‘</w:t>
      </w:r>
      <w:r w:rsidRPr="005B0796">
        <w:rPr>
          <w:szCs w:val="22"/>
        </w:rPr>
        <w:t>unfit</w:t>
      </w:r>
      <w:r w:rsidR="00462A0C" w:rsidRPr="005B0796">
        <w:rPr>
          <w:szCs w:val="22"/>
        </w:rPr>
        <w:t>’</w:t>
      </w:r>
      <w:r w:rsidRPr="005B0796">
        <w:rPr>
          <w:szCs w:val="22"/>
        </w:rPr>
        <w:t>.</w:t>
      </w:r>
    </w:p>
    <w:p w:rsidR="009B20BD" w:rsidRPr="005B0796" w:rsidRDefault="009B20BD" w:rsidP="00751C86">
      <w:pPr>
        <w:pStyle w:val="Heading3b"/>
      </w:pPr>
      <w:bookmarkStart w:id="1566" w:name="_Toc487011303"/>
      <w:bookmarkStart w:id="1567" w:name="_Toc493663198"/>
      <w:r w:rsidRPr="005B0796">
        <w:t>Estimates from survey</w:t>
      </w:r>
      <w:bookmarkEnd w:id="1566"/>
      <w:bookmarkEnd w:id="1567"/>
    </w:p>
    <w:p w:rsidR="009B20BD" w:rsidRPr="005B0796" w:rsidRDefault="009B20BD" w:rsidP="001C4F66">
      <w:r w:rsidRPr="005B0796">
        <w:t xml:space="preserve">To maximise the actual real data available for analysis, </w:t>
      </w:r>
      <w:r w:rsidRPr="005B0796">
        <w:rPr>
          <w:i/>
        </w:rPr>
        <w:t>survey</w:t>
      </w:r>
      <w:r w:rsidRPr="005B0796">
        <w:t xml:space="preserve"> weights were calculated for each section of the survey separately. This addressed the issue of differential response to various sections of the survey, whereby individuals potentially completed some but not all parts of the survey. A </w:t>
      </w:r>
      <w:r w:rsidR="00462A0C" w:rsidRPr="005B0796">
        <w:t>‘</w:t>
      </w:r>
      <w:r w:rsidRPr="005B0796">
        <w:t>survey section responder</w:t>
      </w:r>
      <w:r w:rsidR="00462A0C" w:rsidRPr="005B0796">
        <w:t>’</w:t>
      </w:r>
      <w:r w:rsidRPr="005B0796">
        <w:t xml:space="preserve"> was defined as anyone who answered at least one question in that particular section of the survey. There was a total of 29 section responder weight variables. For the purpose of analysis, the weights used were always for the primary outcome variable of interest. </w:t>
      </w:r>
    </w:p>
    <w:p w:rsidR="009B20BD" w:rsidRPr="005B0796" w:rsidRDefault="009B20BD" w:rsidP="00751C86">
      <w:pPr>
        <w:pStyle w:val="Heading3b"/>
      </w:pPr>
      <w:bookmarkStart w:id="1568" w:name="_Toc487011304"/>
      <w:bookmarkStart w:id="1569" w:name="_Toc493663199"/>
      <w:r w:rsidRPr="005B0796">
        <w:t>Estimates from CIDI</w:t>
      </w:r>
      <w:bookmarkEnd w:id="1568"/>
      <w:bookmarkEnd w:id="1569"/>
    </w:p>
    <w:p w:rsidR="009B20BD" w:rsidRPr="005B0796" w:rsidRDefault="009B20BD" w:rsidP="001C4F66">
      <w:pPr>
        <w:rPr>
          <w:rFonts w:eastAsia="MS Mincho"/>
        </w:rPr>
      </w:pPr>
      <w:r w:rsidRPr="005B0796">
        <w:t xml:space="preserve">CIDI weights were derived for the Transitioned ADF based on strata including band (cut-offs based on PCL and AUDIT), sex and Service. These strata were used to weight the CIDI responses to the entire population. Within each stratum, the weight was calculated as the population size divided by the number of CIDI respondents for that stratum. As there was no band for non-respondents, the population size within each stratum was estimated by multiplying the known sex by service population total by the observed proportion belonging to the band of interest in the corresponding stratum. A finite population correction was also applied to adjust the variance estimates for the reasonably large sampling fraction in each stratum. </w:t>
      </w:r>
    </w:p>
    <w:p w:rsidR="009B20BD" w:rsidRPr="005B0796" w:rsidRDefault="009B20BD" w:rsidP="001C4F66">
      <w:pPr>
        <w:rPr>
          <w:lang w:eastAsia="en-AU"/>
        </w:rPr>
      </w:pPr>
      <w:r w:rsidRPr="005B0796">
        <w:t>Post-stratification by the variables of sex, Service and rank was used to adjust the weights so that the estimates reproduced the known population totals, and to correct for differential non-response by rank.</w:t>
      </w:r>
    </w:p>
    <w:p w:rsidR="009B20BD" w:rsidRPr="005B0796" w:rsidRDefault="009B20BD" w:rsidP="00751C86">
      <w:pPr>
        <w:pStyle w:val="Heading2b"/>
      </w:pPr>
      <w:bookmarkStart w:id="1570" w:name="_Toc341700584"/>
      <w:bookmarkStart w:id="1571" w:name="_Toc482021452"/>
      <w:bookmarkStart w:id="1572" w:name="_Toc482024543"/>
      <w:bookmarkStart w:id="1573" w:name="_Toc484594363"/>
      <w:bookmarkStart w:id="1574" w:name="_Toc487011305"/>
      <w:bookmarkStart w:id="1575" w:name="_Toc493663200"/>
      <w:bookmarkStart w:id="1576" w:name="_Toc494449815"/>
      <w:bookmarkStart w:id="1577" w:name="_Toc341700587"/>
      <w:r w:rsidRPr="005B0796">
        <w:t>Unit level perturbation of Medical Employment Classification values</w:t>
      </w:r>
      <w:bookmarkEnd w:id="1570"/>
      <w:bookmarkEnd w:id="1571"/>
      <w:bookmarkEnd w:id="1572"/>
      <w:bookmarkEnd w:id="1573"/>
      <w:bookmarkEnd w:id="1574"/>
      <w:bookmarkEnd w:id="1575"/>
      <w:bookmarkEnd w:id="1576"/>
    </w:p>
    <w:p w:rsidR="009B20BD" w:rsidRPr="005B0796" w:rsidRDefault="009B20BD" w:rsidP="00751C86">
      <w:pPr>
        <w:pStyle w:val="Heading3b"/>
      </w:pPr>
      <w:bookmarkStart w:id="1578" w:name="_Toc487011306"/>
      <w:bookmarkStart w:id="1579" w:name="_Toc493663201"/>
      <w:r w:rsidRPr="005B0796">
        <w:t>Methodology</w:t>
      </w:r>
      <w:bookmarkEnd w:id="1578"/>
      <w:bookmarkEnd w:id="1579"/>
    </w:p>
    <w:p w:rsidR="009B20BD" w:rsidRPr="005B0796" w:rsidRDefault="009B20BD" w:rsidP="001C4F66">
      <w:r w:rsidRPr="005B0796">
        <w:t>Due to the nature of the consent provided for individuals on the Study Roll, access to identified data for weighting purposes required the consent of the individual participants. The Australian Institute of Health and Welfare (AIHW) carried out a perturbation approach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The model used was a logistic regression model. This resulted in a set of probabilities of each record taking on MEC values. A Monte Carlo approach used these probabilities to randomly assign a synthetic MEC value to each record. These synthetic MEC values reflect each individual</w:t>
      </w:r>
      <w:r w:rsidR="00462A0C" w:rsidRPr="005B0796">
        <w:t>’</w:t>
      </w:r>
      <w:r w:rsidRPr="005B0796">
        <w:t>s characteristics. The generation was constrained so that aggregate totals remained consistent with totals of unperturbed values.</w:t>
      </w:r>
    </w:p>
    <w:p w:rsidR="009B20BD" w:rsidRPr="005B0796" w:rsidRDefault="009B20BD" w:rsidP="001C4F66">
      <w:r w:rsidRPr="005B0796">
        <w:t>The perturbation approach allowed the unit records to better reflect the MEC status of individuals. This allowed researchers to use the unit records to undertake more accurate analyses and tabulations.</w:t>
      </w:r>
    </w:p>
    <w:p w:rsidR="009B20BD" w:rsidRPr="005B0796" w:rsidRDefault="009B20BD" w:rsidP="001C4F66">
      <w:r w:rsidRPr="005B0796">
        <w:t>The unit record perturbation allowed for tabulation and analyses. The perturbed values did not assume a broad level of homogeneity within the combinations of variables as an aggregate weighting approach, but rather allowed the individual characteristic of each person to inform the perturbed value that they were assigned.</w:t>
      </w:r>
    </w:p>
    <w:p w:rsidR="009B20BD" w:rsidRPr="005B0796" w:rsidRDefault="009B20BD" w:rsidP="00751C86">
      <w:pPr>
        <w:pStyle w:val="Heading3b"/>
      </w:pPr>
      <w:bookmarkStart w:id="1580" w:name="_Toc487011307"/>
      <w:bookmarkStart w:id="1581" w:name="_Toc493663202"/>
      <w:r w:rsidRPr="005B0796">
        <w:t>Results</w:t>
      </w:r>
      <w:bookmarkEnd w:id="1580"/>
      <w:bookmarkEnd w:id="1581"/>
    </w:p>
    <w:p w:rsidR="009B20BD" w:rsidRPr="005B0796" w:rsidRDefault="009B20BD" w:rsidP="001C4F66">
      <w:r w:rsidRPr="005B0796">
        <w:t xml:space="preserve">The perturbation process was constrained at the source level. Tables A.9 and A.10 show that this was achieved, as the counts of </w:t>
      </w:r>
      <w:r w:rsidR="00462A0C" w:rsidRPr="005B0796">
        <w:t>‘</w:t>
      </w:r>
      <w:r w:rsidRPr="005B0796">
        <w:t>fit</w:t>
      </w:r>
      <w:r w:rsidR="00462A0C" w:rsidRPr="005B0796">
        <w:t>’</w:t>
      </w:r>
      <w:r w:rsidRPr="005B0796">
        <w:t xml:space="preserve">, </w:t>
      </w:r>
      <w:r w:rsidR="00462A0C" w:rsidRPr="005B0796">
        <w:t>‘</w:t>
      </w:r>
      <w:r w:rsidRPr="005B0796">
        <w:t>unfit</w:t>
      </w:r>
      <w:r w:rsidR="00462A0C" w:rsidRPr="005B0796">
        <w:t>’</w:t>
      </w:r>
      <w:r w:rsidRPr="005B0796">
        <w:t xml:space="preserve"> and </w:t>
      </w:r>
      <w:r w:rsidR="00462A0C" w:rsidRPr="005B0796">
        <w:t>‘</w:t>
      </w:r>
      <w:r w:rsidRPr="005B0796">
        <w:t>missing</w:t>
      </w:r>
      <w:r w:rsidR="00462A0C" w:rsidRPr="005B0796">
        <w:t>’</w:t>
      </w:r>
      <w:r w:rsidRPr="005B0796">
        <w:t xml:space="preserve"> were the same for both the original and perturbed values.</w:t>
      </w:r>
    </w:p>
    <w:p w:rsidR="009B20BD" w:rsidRPr="005B0796" w:rsidRDefault="009B20BD" w:rsidP="001C4F66">
      <w:r w:rsidRPr="005B0796">
        <w:t>The missing values were assumed to happen at random within the source file. This meant that a participant</w:t>
      </w:r>
      <w:r w:rsidR="00462A0C" w:rsidRPr="005B0796">
        <w:t>’</w:t>
      </w:r>
      <w:r w:rsidRPr="005B0796">
        <w:t xml:space="preserve">s original missing value could be given to any other participant, regardless of their </w:t>
      </w:r>
      <w:bookmarkStart w:id="1582" w:name="_Hlk490642542"/>
      <w:r w:rsidRPr="005B0796">
        <w:t>gender, Service, rank or age</w:t>
      </w:r>
      <w:bookmarkEnd w:id="1582"/>
      <w:r w:rsidRPr="005B0796">
        <w:t xml:space="preserve">. As such, the number of </w:t>
      </w:r>
      <w:r w:rsidR="00462A0C" w:rsidRPr="005B0796">
        <w:t>‘</w:t>
      </w:r>
      <w:r w:rsidRPr="005B0796">
        <w:t>fit</w:t>
      </w:r>
      <w:r w:rsidR="00462A0C" w:rsidRPr="005B0796">
        <w:t>’</w:t>
      </w:r>
      <w:r w:rsidRPr="005B0796">
        <w:t xml:space="preserve"> and </w:t>
      </w:r>
      <w:r w:rsidR="00462A0C" w:rsidRPr="005B0796">
        <w:t>‘</w:t>
      </w:r>
      <w:r w:rsidRPr="005B0796">
        <w:t>unfit</w:t>
      </w:r>
      <w:r w:rsidR="00462A0C" w:rsidRPr="005B0796">
        <w:t>’</w:t>
      </w:r>
      <w:r w:rsidRPr="005B0796">
        <w:t xml:space="preserve"> totals at these constraining levels for the perturbed data do not exactly line up with the original totals (see Table A.10 for totals by Service type).</w:t>
      </w:r>
    </w:p>
    <w:p w:rsidR="009B20BD" w:rsidRPr="005B0796" w:rsidRDefault="009B20BD" w:rsidP="001C4F66">
      <w:pPr>
        <w:pStyle w:val="TableName"/>
      </w:pPr>
      <w:bookmarkStart w:id="1583" w:name="_Toc486936022"/>
      <w:bookmarkStart w:id="1584" w:name="_Toc487014346"/>
      <w:bookmarkStart w:id="1585" w:name="_Toc492995649"/>
      <w:bookmarkStart w:id="1586" w:name="_Toc511900498"/>
      <w:r w:rsidRPr="005B0796">
        <w:t>Table A.9</w:t>
      </w:r>
      <w:r w:rsidRPr="005B0796">
        <w:tab/>
        <w:t>Counts of categories by source</w:t>
      </w:r>
      <w:bookmarkEnd w:id="1583"/>
      <w:bookmarkEnd w:id="1584"/>
      <w:bookmarkEnd w:id="1585"/>
      <w:bookmarkEnd w:id="1586"/>
    </w:p>
    <w:tbl>
      <w:tblPr>
        <w:tblStyle w:val="TWRPTable"/>
        <w:tblW w:w="5000" w:type="pct"/>
        <w:tblLayout w:type="fixed"/>
        <w:tblLook w:val="04A0" w:firstRow="1" w:lastRow="0" w:firstColumn="1" w:lastColumn="0" w:noHBand="0" w:noVBand="1"/>
        <w:tblDescription w:val="Table A.9 Counts of categories by source"/>
      </w:tblPr>
      <w:tblGrid>
        <w:gridCol w:w="1553"/>
        <w:gridCol w:w="960"/>
        <w:gridCol w:w="960"/>
        <w:gridCol w:w="961"/>
        <w:gridCol w:w="960"/>
        <w:gridCol w:w="960"/>
        <w:gridCol w:w="961"/>
      </w:tblGrid>
      <w:tr w:rsidR="001C4F66" w:rsidRPr="005B0796" w:rsidTr="001C4F66">
        <w:trPr>
          <w:cnfStyle w:val="100000000000" w:firstRow="1" w:lastRow="0" w:firstColumn="0" w:lastColumn="0" w:oddVBand="0" w:evenVBand="0" w:oddHBand="0" w:evenHBand="0" w:firstRowFirstColumn="0" w:firstRowLastColumn="0" w:lastRowFirstColumn="0" w:lastRowLastColumn="0"/>
          <w:tblHeader/>
        </w:trPr>
        <w:tc>
          <w:tcPr>
            <w:tcW w:w="1553" w:type="dxa"/>
            <w:vMerge w:val="restart"/>
          </w:tcPr>
          <w:p w:rsidR="001C4F66" w:rsidRPr="005B0796" w:rsidRDefault="001C4F66" w:rsidP="001C4F66">
            <w:pPr>
              <w:pStyle w:val="TableText"/>
            </w:pPr>
            <w:r w:rsidRPr="005B0796">
              <w:t>Source</w:t>
            </w:r>
          </w:p>
        </w:tc>
        <w:tc>
          <w:tcPr>
            <w:tcW w:w="2881" w:type="dxa"/>
            <w:gridSpan w:val="3"/>
          </w:tcPr>
          <w:p w:rsidR="001C4F66" w:rsidRPr="005B0796" w:rsidRDefault="001C4F66" w:rsidP="001C4F66">
            <w:pPr>
              <w:pStyle w:val="TableText"/>
              <w:jc w:val="center"/>
            </w:pPr>
            <w:r w:rsidRPr="005B0796">
              <w:t>Original MEC value</w:t>
            </w:r>
          </w:p>
        </w:tc>
        <w:tc>
          <w:tcPr>
            <w:tcW w:w="2881" w:type="dxa"/>
            <w:gridSpan w:val="3"/>
          </w:tcPr>
          <w:p w:rsidR="001C4F66" w:rsidRPr="005B0796" w:rsidRDefault="001C4F66" w:rsidP="001C4F66">
            <w:pPr>
              <w:pStyle w:val="TableText"/>
              <w:jc w:val="center"/>
            </w:pPr>
            <w:r w:rsidRPr="005B0796">
              <w:t>Perturbed MEC value</w:t>
            </w:r>
          </w:p>
        </w:tc>
      </w:tr>
      <w:tr w:rsidR="001C4F66" w:rsidRPr="005B0796" w:rsidTr="001C4F66">
        <w:trPr>
          <w:cnfStyle w:val="100000000000" w:firstRow="1" w:lastRow="0" w:firstColumn="0" w:lastColumn="0" w:oddVBand="0" w:evenVBand="0" w:oddHBand="0" w:evenHBand="0" w:firstRowFirstColumn="0" w:firstRowLastColumn="0" w:lastRowFirstColumn="0" w:lastRowLastColumn="0"/>
          <w:tblHeader/>
        </w:trPr>
        <w:tc>
          <w:tcPr>
            <w:tcW w:w="1553" w:type="dxa"/>
            <w:vMerge/>
          </w:tcPr>
          <w:p w:rsidR="001C4F66" w:rsidRPr="005B0796" w:rsidRDefault="001C4F66" w:rsidP="001C4F66">
            <w:pPr>
              <w:pStyle w:val="TableText"/>
            </w:pPr>
          </w:p>
        </w:tc>
        <w:tc>
          <w:tcPr>
            <w:tcW w:w="960" w:type="dxa"/>
          </w:tcPr>
          <w:p w:rsidR="001C4F66" w:rsidRPr="005B0796" w:rsidRDefault="001C4F66" w:rsidP="001C4F66">
            <w:pPr>
              <w:pStyle w:val="TableText"/>
              <w:jc w:val="right"/>
            </w:pPr>
            <w:r w:rsidRPr="005B0796">
              <w:t>Fit</w:t>
            </w:r>
          </w:p>
        </w:tc>
        <w:tc>
          <w:tcPr>
            <w:tcW w:w="960" w:type="dxa"/>
          </w:tcPr>
          <w:p w:rsidR="001C4F66" w:rsidRPr="005B0796" w:rsidRDefault="001C4F66" w:rsidP="001C4F66">
            <w:pPr>
              <w:pStyle w:val="TableText"/>
              <w:jc w:val="right"/>
            </w:pPr>
            <w:r w:rsidRPr="005B0796">
              <w:t>Unfit</w:t>
            </w:r>
          </w:p>
        </w:tc>
        <w:tc>
          <w:tcPr>
            <w:tcW w:w="961" w:type="dxa"/>
          </w:tcPr>
          <w:p w:rsidR="001C4F66" w:rsidRPr="005B0796" w:rsidRDefault="001C4F66" w:rsidP="001C4F66">
            <w:pPr>
              <w:pStyle w:val="TableText"/>
              <w:jc w:val="right"/>
            </w:pPr>
            <w:r w:rsidRPr="005B0796">
              <w:t>Missing</w:t>
            </w:r>
          </w:p>
        </w:tc>
        <w:tc>
          <w:tcPr>
            <w:tcW w:w="960" w:type="dxa"/>
          </w:tcPr>
          <w:p w:rsidR="001C4F66" w:rsidRPr="005B0796" w:rsidRDefault="001C4F66" w:rsidP="001C4F66">
            <w:pPr>
              <w:pStyle w:val="TableText"/>
              <w:jc w:val="right"/>
            </w:pPr>
            <w:r w:rsidRPr="005B0796">
              <w:t>Fit</w:t>
            </w:r>
          </w:p>
        </w:tc>
        <w:tc>
          <w:tcPr>
            <w:tcW w:w="960" w:type="dxa"/>
          </w:tcPr>
          <w:p w:rsidR="001C4F66" w:rsidRPr="005B0796" w:rsidRDefault="001C4F66" w:rsidP="001C4F66">
            <w:pPr>
              <w:pStyle w:val="TableText"/>
              <w:jc w:val="right"/>
            </w:pPr>
            <w:r w:rsidRPr="005B0796">
              <w:t>Unfit</w:t>
            </w:r>
          </w:p>
        </w:tc>
        <w:tc>
          <w:tcPr>
            <w:tcW w:w="961" w:type="dxa"/>
          </w:tcPr>
          <w:p w:rsidR="001C4F66" w:rsidRPr="005B0796" w:rsidRDefault="001C4F66" w:rsidP="001C4F66">
            <w:pPr>
              <w:pStyle w:val="TableText"/>
              <w:jc w:val="right"/>
            </w:pPr>
            <w:r w:rsidRPr="005B0796">
              <w:t>Missing</w:t>
            </w:r>
          </w:p>
        </w:tc>
      </w:tr>
      <w:tr w:rsidR="001C4F66" w:rsidRPr="005B0796" w:rsidTr="001C4F66">
        <w:trPr>
          <w:cnfStyle w:val="000000100000" w:firstRow="0" w:lastRow="0" w:firstColumn="0" w:lastColumn="0" w:oddVBand="0" w:evenVBand="0" w:oddHBand="1" w:evenHBand="0" w:firstRowFirstColumn="0" w:firstRowLastColumn="0" w:lastRowFirstColumn="0" w:lastRowLastColumn="0"/>
        </w:trPr>
        <w:tc>
          <w:tcPr>
            <w:tcW w:w="1553" w:type="dxa"/>
          </w:tcPr>
          <w:p w:rsidR="001C4F66" w:rsidRPr="005B0796" w:rsidRDefault="001C4F66" w:rsidP="001C4F66">
            <w:pPr>
              <w:pStyle w:val="TableText"/>
            </w:pPr>
            <w:r w:rsidRPr="005B0796">
              <w:t>ABIN</w:t>
            </w:r>
          </w:p>
        </w:tc>
        <w:tc>
          <w:tcPr>
            <w:tcW w:w="960" w:type="dxa"/>
          </w:tcPr>
          <w:p w:rsidR="001C4F66" w:rsidRPr="005B0796" w:rsidRDefault="001C4F66" w:rsidP="001C4F66">
            <w:pPr>
              <w:pStyle w:val="TableText"/>
              <w:jc w:val="right"/>
            </w:pPr>
            <w:r w:rsidRPr="005B0796">
              <w:t>138</w:t>
            </w:r>
          </w:p>
        </w:tc>
        <w:tc>
          <w:tcPr>
            <w:tcW w:w="960" w:type="dxa"/>
          </w:tcPr>
          <w:p w:rsidR="001C4F66" w:rsidRPr="005B0796" w:rsidRDefault="001C4F66" w:rsidP="001C4F66">
            <w:pPr>
              <w:pStyle w:val="TableText"/>
              <w:jc w:val="right"/>
            </w:pPr>
            <w:r w:rsidRPr="005B0796">
              <w:t>7</w:t>
            </w:r>
          </w:p>
        </w:tc>
        <w:tc>
          <w:tcPr>
            <w:tcW w:w="961" w:type="dxa"/>
          </w:tcPr>
          <w:p w:rsidR="001C4F66" w:rsidRPr="005B0796" w:rsidRDefault="001C4F66" w:rsidP="001C4F66">
            <w:pPr>
              <w:pStyle w:val="TableText"/>
              <w:jc w:val="right"/>
            </w:pPr>
            <w:r w:rsidRPr="005B0796">
              <w:t>0</w:t>
            </w:r>
          </w:p>
        </w:tc>
        <w:tc>
          <w:tcPr>
            <w:tcW w:w="960" w:type="dxa"/>
          </w:tcPr>
          <w:p w:rsidR="001C4F66" w:rsidRPr="005B0796" w:rsidRDefault="001C4F66" w:rsidP="001C4F66">
            <w:pPr>
              <w:pStyle w:val="TableText"/>
              <w:jc w:val="right"/>
            </w:pPr>
            <w:r w:rsidRPr="005B0796">
              <w:t>138</w:t>
            </w:r>
          </w:p>
        </w:tc>
        <w:tc>
          <w:tcPr>
            <w:tcW w:w="960" w:type="dxa"/>
          </w:tcPr>
          <w:p w:rsidR="001C4F66" w:rsidRPr="005B0796" w:rsidRDefault="001C4F66" w:rsidP="001C4F66">
            <w:pPr>
              <w:pStyle w:val="TableText"/>
              <w:jc w:val="right"/>
            </w:pPr>
            <w:r w:rsidRPr="005B0796">
              <w:t>7</w:t>
            </w:r>
          </w:p>
        </w:tc>
        <w:tc>
          <w:tcPr>
            <w:tcW w:w="961" w:type="dxa"/>
          </w:tcPr>
          <w:p w:rsidR="001C4F66" w:rsidRPr="005B0796" w:rsidRDefault="001C4F66" w:rsidP="001C4F66">
            <w:pPr>
              <w:pStyle w:val="TableText"/>
              <w:jc w:val="right"/>
            </w:pPr>
            <w:r w:rsidRPr="005B0796">
              <w:t>0</w:t>
            </w:r>
          </w:p>
        </w:tc>
      </w:tr>
      <w:tr w:rsidR="001C4F66" w:rsidRPr="005B0796" w:rsidTr="001C4F66">
        <w:tc>
          <w:tcPr>
            <w:tcW w:w="1553" w:type="dxa"/>
          </w:tcPr>
          <w:p w:rsidR="001C4F66" w:rsidRPr="005B0796" w:rsidRDefault="001C4F66" w:rsidP="001C4F66">
            <w:pPr>
              <w:pStyle w:val="TableText"/>
            </w:pPr>
            <w:r w:rsidRPr="005B0796">
              <w:t>CURR</w:t>
            </w:r>
          </w:p>
        </w:tc>
        <w:tc>
          <w:tcPr>
            <w:tcW w:w="960" w:type="dxa"/>
          </w:tcPr>
          <w:p w:rsidR="001C4F66" w:rsidRPr="005B0796" w:rsidRDefault="001C4F66" w:rsidP="001C4F66">
            <w:pPr>
              <w:pStyle w:val="TableText"/>
              <w:jc w:val="right"/>
            </w:pPr>
            <w:r w:rsidRPr="005B0796">
              <w:t>891</w:t>
            </w:r>
          </w:p>
        </w:tc>
        <w:tc>
          <w:tcPr>
            <w:tcW w:w="960" w:type="dxa"/>
          </w:tcPr>
          <w:p w:rsidR="001C4F66" w:rsidRPr="005B0796" w:rsidRDefault="001C4F66" w:rsidP="001C4F66">
            <w:pPr>
              <w:pStyle w:val="TableText"/>
              <w:jc w:val="right"/>
            </w:pPr>
            <w:r w:rsidRPr="005B0796">
              <w:t>196</w:t>
            </w:r>
          </w:p>
        </w:tc>
        <w:tc>
          <w:tcPr>
            <w:tcW w:w="961" w:type="dxa"/>
          </w:tcPr>
          <w:p w:rsidR="001C4F66" w:rsidRPr="005B0796" w:rsidRDefault="001C4F66" w:rsidP="001C4F66">
            <w:pPr>
              <w:pStyle w:val="TableText"/>
              <w:jc w:val="right"/>
            </w:pPr>
            <w:r w:rsidRPr="005B0796">
              <w:t>2</w:t>
            </w:r>
          </w:p>
        </w:tc>
        <w:tc>
          <w:tcPr>
            <w:tcW w:w="960" w:type="dxa"/>
          </w:tcPr>
          <w:p w:rsidR="001C4F66" w:rsidRPr="005B0796" w:rsidRDefault="001C4F66" w:rsidP="001C4F66">
            <w:pPr>
              <w:pStyle w:val="TableText"/>
              <w:jc w:val="right"/>
            </w:pPr>
            <w:r w:rsidRPr="005B0796">
              <w:t>891</w:t>
            </w:r>
          </w:p>
        </w:tc>
        <w:tc>
          <w:tcPr>
            <w:tcW w:w="960" w:type="dxa"/>
          </w:tcPr>
          <w:p w:rsidR="001C4F66" w:rsidRPr="005B0796" w:rsidRDefault="001C4F66" w:rsidP="001C4F66">
            <w:pPr>
              <w:pStyle w:val="TableText"/>
              <w:jc w:val="right"/>
            </w:pPr>
            <w:r w:rsidRPr="005B0796">
              <w:t>196</w:t>
            </w:r>
          </w:p>
        </w:tc>
        <w:tc>
          <w:tcPr>
            <w:tcW w:w="961" w:type="dxa"/>
          </w:tcPr>
          <w:p w:rsidR="001C4F66" w:rsidRPr="005B0796" w:rsidRDefault="001C4F66" w:rsidP="001C4F66">
            <w:pPr>
              <w:pStyle w:val="TableText"/>
              <w:jc w:val="right"/>
            </w:pPr>
            <w:r w:rsidRPr="005B0796">
              <w:t>2</w:t>
            </w:r>
          </w:p>
        </w:tc>
      </w:tr>
      <w:tr w:rsidR="001C4F66" w:rsidRPr="005B0796" w:rsidTr="001C4F66">
        <w:trPr>
          <w:cnfStyle w:val="000000100000" w:firstRow="0" w:lastRow="0" w:firstColumn="0" w:lastColumn="0" w:oddVBand="0" w:evenVBand="0" w:oddHBand="1" w:evenHBand="0" w:firstRowFirstColumn="0" w:firstRowLastColumn="0" w:lastRowFirstColumn="0" w:lastRowLastColumn="0"/>
        </w:trPr>
        <w:tc>
          <w:tcPr>
            <w:tcW w:w="1553" w:type="dxa"/>
          </w:tcPr>
          <w:p w:rsidR="001C4F66" w:rsidRPr="005B0796" w:rsidRDefault="001C4F66" w:rsidP="001C4F66">
            <w:pPr>
              <w:pStyle w:val="TableText"/>
            </w:pPr>
            <w:r w:rsidRPr="005B0796">
              <w:t>TRAN</w:t>
            </w:r>
          </w:p>
        </w:tc>
        <w:tc>
          <w:tcPr>
            <w:tcW w:w="960" w:type="dxa"/>
          </w:tcPr>
          <w:p w:rsidR="001C4F66" w:rsidRPr="005B0796" w:rsidRDefault="001C4F66" w:rsidP="001C4F66">
            <w:pPr>
              <w:pStyle w:val="TableText"/>
              <w:jc w:val="right"/>
            </w:pPr>
            <w:r w:rsidRPr="005B0796">
              <w:t>271</w:t>
            </w:r>
          </w:p>
        </w:tc>
        <w:tc>
          <w:tcPr>
            <w:tcW w:w="960" w:type="dxa"/>
          </w:tcPr>
          <w:p w:rsidR="001C4F66" w:rsidRPr="005B0796" w:rsidRDefault="001C4F66" w:rsidP="001C4F66">
            <w:pPr>
              <w:pStyle w:val="TableText"/>
              <w:jc w:val="right"/>
            </w:pPr>
            <w:r w:rsidRPr="005B0796">
              <w:t>159</w:t>
            </w:r>
          </w:p>
        </w:tc>
        <w:tc>
          <w:tcPr>
            <w:tcW w:w="961" w:type="dxa"/>
          </w:tcPr>
          <w:p w:rsidR="001C4F66" w:rsidRPr="005B0796" w:rsidRDefault="001C4F66" w:rsidP="001C4F66">
            <w:pPr>
              <w:pStyle w:val="TableText"/>
              <w:jc w:val="right"/>
            </w:pPr>
            <w:r w:rsidRPr="005B0796">
              <w:t>1</w:t>
            </w:r>
          </w:p>
        </w:tc>
        <w:tc>
          <w:tcPr>
            <w:tcW w:w="960" w:type="dxa"/>
          </w:tcPr>
          <w:p w:rsidR="001C4F66" w:rsidRPr="005B0796" w:rsidRDefault="001C4F66" w:rsidP="001C4F66">
            <w:pPr>
              <w:pStyle w:val="TableText"/>
              <w:jc w:val="right"/>
            </w:pPr>
            <w:r w:rsidRPr="005B0796">
              <w:t>271</w:t>
            </w:r>
          </w:p>
        </w:tc>
        <w:tc>
          <w:tcPr>
            <w:tcW w:w="960" w:type="dxa"/>
          </w:tcPr>
          <w:p w:rsidR="001C4F66" w:rsidRPr="005B0796" w:rsidRDefault="001C4F66" w:rsidP="001C4F66">
            <w:pPr>
              <w:pStyle w:val="TableText"/>
              <w:jc w:val="right"/>
            </w:pPr>
            <w:r w:rsidRPr="005B0796">
              <w:t>159</w:t>
            </w:r>
          </w:p>
        </w:tc>
        <w:tc>
          <w:tcPr>
            <w:tcW w:w="961" w:type="dxa"/>
          </w:tcPr>
          <w:p w:rsidR="001C4F66" w:rsidRPr="005B0796" w:rsidRDefault="001C4F66" w:rsidP="001C4F66">
            <w:pPr>
              <w:pStyle w:val="TableText"/>
              <w:jc w:val="right"/>
            </w:pPr>
            <w:r w:rsidRPr="005B0796">
              <w:t>1</w:t>
            </w:r>
          </w:p>
        </w:tc>
      </w:tr>
    </w:tbl>
    <w:p w:rsidR="001C4F66" w:rsidRPr="005B0796" w:rsidRDefault="001C4F66" w:rsidP="001C4F66">
      <w:pPr>
        <w:pStyle w:val="TableNotes"/>
      </w:pPr>
    </w:p>
    <w:p w:rsidR="009B20BD" w:rsidRPr="005B0796" w:rsidRDefault="009B20BD" w:rsidP="001C4F66">
      <w:pPr>
        <w:pStyle w:val="TableName"/>
        <w:rPr>
          <w:rFonts w:eastAsia="MS ??"/>
        </w:rPr>
      </w:pPr>
      <w:bookmarkStart w:id="1587" w:name="_Toc486936023"/>
      <w:bookmarkStart w:id="1588" w:name="_Toc487014347"/>
      <w:bookmarkStart w:id="1589" w:name="_Toc492995650"/>
      <w:bookmarkStart w:id="1590" w:name="_Toc511900499"/>
      <w:r w:rsidRPr="005B0796">
        <w:t>Table A.10</w:t>
      </w:r>
      <w:r w:rsidRPr="005B0796">
        <w:tab/>
        <w:t>Counts of categories by service type</w:t>
      </w:r>
      <w:bookmarkEnd w:id="1587"/>
      <w:bookmarkEnd w:id="1588"/>
      <w:bookmarkEnd w:id="1589"/>
      <w:bookmarkEnd w:id="1590"/>
    </w:p>
    <w:tbl>
      <w:tblPr>
        <w:tblStyle w:val="TWRPTable"/>
        <w:tblW w:w="5000" w:type="pct"/>
        <w:tblLayout w:type="fixed"/>
        <w:tblLook w:val="04A0" w:firstRow="1" w:lastRow="0" w:firstColumn="1" w:lastColumn="0" w:noHBand="0" w:noVBand="1"/>
        <w:tblDescription w:val="Table A.10 Counts of categories by service type"/>
      </w:tblPr>
      <w:tblGrid>
        <w:gridCol w:w="1553"/>
        <w:gridCol w:w="960"/>
        <w:gridCol w:w="960"/>
        <w:gridCol w:w="961"/>
        <w:gridCol w:w="960"/>
        <w:gridCol w:w="960"/>
        <w:gridCol w:w="961"/>
      </w:tblGrid>
      <w:tr w:rsidR="001C4F66" w:rsidRPr="005B0796" w:rsidTr="001C4F66">
        <w:trPr>
          <w:cnfStyle w:val="100000000000" w:firstRow="1" w:lastRow="0" w:firstColumn="0" w:lastColumn="0" w:oddVBand="0" w:evenVBand="0" w:oddHBand="0" w:evenHBand="0" w:firstRowFirstColumn="0" w:firstRowLastColumn="0" w:lastRowFirstColumn="0" w:lastRowLastColumn="0"/>
          <w:tblHeader/>
        </w:trPr>
        <w:tc>
          <w:tcPr>
            <w:tcW w:w="1553" w:type="dxa"/>
            <w:vMerge w:val="restart"/>
          </w:tcPr>
          <w:p w:rsidR="001C4F66" w:rsidRPr="005B0796" w:rsidRDefault="001C4F66" w:rsidP="001C4F66">
            <w:pPr>
              <w:pStyle w:val="TableText"/>
            </w:pPr>
            <w:bookmarkStart w:id="1591" w:name="_Toc482021453"/>
            <w:bookmarkStart w:id="1592" w:name="_Toc482024544"/>
            <w:bookmarkEnd w:id="1591"/>
            <w:bookmarkEnd w:id="1592"/>
            <w:r w:rsidRPr="005B0796">
              <w:t>Service</w:t>
            </w:r>
          </w:p>
        </w:tc>
        <w:tc>
          <w:tcPr>
            <w:tcW w:w="2881" w:type="dxa"/>
            <w:gridSpan w:val="3"/>
          </w:tcPr>
          <w:p w:rsidR="001C4F66" w:rsidRPr="005B0796" w:rsidRDefault="001C4F66" w:rsidP="001C4F66">
            <w:pPr>
              <w:pStyle w:val="TableText"/>
              <w:jc w:val="center"/>
            </w:pPr>
            <w:r w:rsidRPr="005B0796">
              <w:t>Original MEC value</w:t>
            </w:r>
          </w:p>
        </w:tc>
        <w:tc>
          <w:tcPr>
            <w:tcW w:w="2881" w:type="dxa"/>
            <w:gridSpan w:val="3"/>
          </w:tcPr>
          <w:p w:rsidR="001C4F66" w:rsidRPr="005B0796" w:rsidRDefault="001C4F66" w:rsidP="001C4F66">
            <w:pPr>
              <w:pStyle w:val="TableText"/>
              <w:jc w:val="center"/>
            </w:pPr>
            <w:r w:rsidRPr="005B0796">
              <w:t>Perturbed MEC value</w:t>
            </w:r>
          </w:p>
        </w:tc>
      </w:tr>
      <w:tr w:rsidR="001C4F66" w:rsidRPr="005B0796" w:rsidTr="001C4F66">
        <w:trPr>
          <w:cnfStyle w:val="100000000000" w:firstRow="1" w:lastRow="0" w:firstColumn="0" w:lastColumn="0" w:oddVBand="0" w:evenVBand="0" w:oddHBand="0" w:evenHBand="0" w:firstRowFirstColumn="0" w:firstRowLastColumn="0" w:lastRowFirstColumn="0" w:lastRowLastColumn="0"/>
          <w:tblHeader/>
        </w:trPr>
        <w:tc>
          <w:tcPr>
            <w:tcW w:w="1553" w:type="dxa"/>
            <w:vMerge/>
          </w:tcPr>
          <w:p w:rsidR="001C4F66" w:rsidRPr="005B0796" w:rsidRDefault="001C4F66" w:rsidP="001C4F66">
            <w:pPr>
              <w:pStyle w:val="TableText"/>
            </w:pPr>
          </w:p>
        </w:tc>
        <w:tc>
          <w:tcPr>
            <w:tcW w:w="960" w:type="dxa"/>
          </w:tcPr>
          <w:p w:rsidR="001C4F66" w:rsidRPr="005B0796" w:rsidRDefault="001C4F66" w:rsidP="001C4F66">
            <w:pPr>
              <w:pStyle w:val="TableText"/>
              <w:jc w:val="right"/>
            </w:pPr>
            <w:r w:rsidRPr="005B0796">
              <w:t>Fit</w:t>
            </w:r>
          </w:p>
        </w:tc>
        <w:tc>
          <w:tcPr>
            <w:tcW w:w="960" w:type="dxa"/>
          </w:tcPr>
          <w:p w:rsidR="001C4F66" w:rsidRPr="005B0796" w:rsidRDefault="001C4F66" w:rsidP="001C4F66">
            <w:pPr>
              <w:pStyle w:val="TableText"/>
              <w:jc w:val="right"/>
            </w:pPr>
            <w:r w:rsidRPr="005B0796">
              <w:t>Unfit</w:t>
            </w:r>
          </w:p>
        </w:tc>
        <w:tc>
          <w:tcPr>
            <w:tcW w:w="961" w:type="dxa"/>
          </w:tcPr>
          <w:p w:rsidR="001C4F66" w:rsidRPr="005B0796" w:rsidRDefault="001C4F66" w:rsidP="001C4F66">
            <w:pPr>
              <w:pStyle w:val="TableText"/>
              <w:jc w:val="right"/>
            </w:pPr>
            <w:r w:rsidRPr="005B0796">
              <w:t>Missing</w:t>
            </w:r>
          </w:p>
        </w:tc>
        <w:tc>
          <w:tcPr>
            <w:tcW w:w="960" w:type="dxa"/>
          </w:tcPr>
          <w:p w:rsidR="001C4F66" w:rsidRPr="005B0796" w:rsidRDefault="001C4F66" w:rsidP="001C4F66">
            <w:pPr>
              <w:pStyle w:val="TableText"/>
              <w:jc w:val="right"/>
            </w:pPr>
            <w:r w:rsidRPr="005B0796">
              <w:t>Fit</w:t>
            </w:r>
          </w:p>
        </w:tc>
        <w:tc>
          <w:tcPr>
            <w:tcW w:w="960" w:type="dxa"/>
          </w:tcPr>
          <w:p w:rsidR="001C4F66" w:rsidRPr="005B0796" w:rsidRDefault="001C4F66" w:rsidP="001C4F66">
            <w:pPr>
              <w:pStyle w:val="TableText"/>
              <w:jc w:val="right"/>
            </w:pPr>
            <w:r w:rsidRPr="005B0796">
              <w:t>Unfit</w:t>
            </w:r>
          </w:p>
        </w:tc>
        <w:tc>
          <w:tcPr>
            <w:tcW w:w="961" w:type="dxa"/>
          </w:tcPr>
          <w:p w:rsidR="001C4F66" w:rsidRPr="005B0796" w:rsidRDefault="001C4F66" w:rsidP="001C4F66">
            <w:pPr>
              <w:pStyle w:val="TableText"/>
              <w:jc w:val="right"/>
            </w:pPr>
            <w:r w:rsidRPr="005B0796">
              <w:t>Missing</w:t>
            </w:r>
          </w:p>
        </w:tc>
      </w:tr>
      <w:tr w:rsidR="001C4F66" w:rsidRPr="005B0796" w:rsidTr="001C4F66">
        <w:trPr>
          <w:cnfStyle w:val="000000100000" w:firstRow="0" w:lastRow="0" w:firstColumn="0" w:lastColumn="0" w:oddVBand="0" w:evenVBand="0" w:oddHBand="1" w:evenHBand="0" w:firstRowFirstColumn="0" w:firstRowLastColumn="0" w:lastRowFirstColumn="0" w:lastRowLastColumn="0"/>
        </w:trPr>
        <w:tc>
          <w:tcPr>
            <w:tcW w:w="1553" w:type="dxa"/>
          </w:tcPr>
          <w:p w:rsidR="001C4F66" w:rsidRPr="005B0796" w:rsidRDefault="001C4F66" w:rsidP="001C4F66">
            <w:pPr>
              <w:pStyle w:val="TableText"/>
            </w:pPr>
            <w:r w:rsidRPr="005B0796">
              <w:t>Navy</w:t>
            </w:r>
          </w:p>
        </w:tc>
        <w:tc>
          <w:tcPr>
            <w:tcW w:w="960" w:type="dxa"/>
          </w:tcPr>
          <w:p w:rsidR="001C4F66" w:rsidRPr="005B0796" w:rsidRDefault="001C4F66" w:rsidP="001C4F66">
            <w:pPr>
              <w:pStyle w:val="TableText"/>
              <w:jc w:val="right"/>
            </w:pPr>
            <w:r w:rsidRPr="005B0796">
              <w:t>613</w:t>
            </w:r>
          </w:p>
        </w:tc>
        <w:tc>
          <w:tcPr>
            <w:tcW w:w="960" w:type="dxa"/>
          </w:tcPr>
          <w:p w:rsidR="001C4F66" w:rsidRPr="005B0796" w:rsidRDefault="001C4F66" w:rsidP="001C4F66">
            <w:pPr>
              <w:pStyle w:val="TableText"/>
              <w:jc w:val="right"/>
            </w:pPr>
            <w:r w:rsidRPr="005B0796">
              <w:t>191</w:t>
            </w:r>
          </w:p>
        </w:tc>
        <w:tc>
          <w:tcPr>
            <w:tcW w:w="961" w:type="dxa"/>
          </w:tcPr>
          <w:p w:rsidR="001C4F66" w:rsidRPr="005B0796" w:rsidRDefault="001C4F66" w:rsidP="001C4F66">
            <w:pPr>
              <w:pStyle w:val="TableText"/>
              <w:jc w:val="right"/>
            </w:pPr>
            <w:r w:rsidRPr="005B0796">
              <w:t>3</w:t>
            </w:r>
          </w:p>
        </w:tc>
        <w:tc>
          <w:tcPr>
            <w:tcW w:w="960" w:type="dxa"/>
          </w:tcPr>
          <w:p w:rsidR="001C4F66" w:rsidRPr="005B0796" w:rsidRDefault="001C4F66" w:rsidP="001C4F66">
            <w:pPr>
              <w:pStyle w:val="TableText"/>
              <w:jc w:val="right"/>
            </w:pPr>
            <w:r w:rsidRPr="005B0796">
              <w:t>614</w:t>
            </w:r>
          </w:p>
        </w:tc>
        <w:tc>
          <w:tcPr>
            <w:tcW w:w="960" w:type="dxa"/>
          </w:tcPr>
          <w:p w:rsidR="001C4F66" w:rsidRPr="005B0796" w:rsidRDefault="001C4F66" w:rsidP="001C4F66">
            <w:pPr>
              <w:pStyle w:val="TableText"/>
              <w:jc w:val="right"/>
            </w:pPr>
            <w:r w:rsidRPr="005B0796">
              <w:t>193</w:t>
            </w:r>
          </w:p>
        </w:tc>
        <w:tc>
          <w:tcPr>
            <w:tcW w:w="961" w:type="dxa"/>
          </w:tcPr>
          <w:p w:rsidR="001C4F66" w:rsidRPr="005B0796" w:rsidRDefault="001C4F66" w:rsidP="001C4F66">
            <w:pPr>
              <w:pStyle w:val="TableText"/>
              <w:jc w:val="right"/>
            </w:pPr>
            <w:r w:rsidRPr="005B0796">
              <w:t>0</w:t>
            </w:r>
          </w:p>
        </w:tc>
      </w:tr>
      <w:tr w:rsidR="001C4F66" w:rsidRPr="005B0796" w:rsidTr="001C4F66">
        <w:tc>
          <w:tcPr>
            <w:tcW w:w="1553" w:type="dxa"/>
          </w:tcPr>
          <w:p w:rsidR="001C4F66" w:rsidRPr="005B0796" w:rsidRDefault="001C4F66" w:rsidP="001C4F66">
            <w:pPr>
              <w:pStyle w:val="TableText"/>
            </w:pPr>
            <w:r w:rsidRPr="005B0796">
              <w:t>Army</w:t>
            </w:r>
          </w:p>
        </w:tc>
        <w:tc>
          <w:tcPr>
            <w:tcW w:w="960" w:type="dxa"/>
          </w:tcPr>
          <w:p w:rsidR="001C4F66" w:rsidRPr="005B0796" w:rsidRDefault="001C4F66" w:rsidP="001C4F66">
            <w:pPr>
              <w:pStyle w:val="TableText"/>
              <w:jc w:val="right"/>
            </w:pPr>
            <w:r w:rsidRPr="005B0796">
              <w:t>254</w:t>
            </w:r>
          </w:p>
        </w:tc>
        <w:tc>
          <w:tcPr>
            <w:tcW w:w="960" w:type="dxa"/>
          </w:tcPr>
          <w:p w:rsidR="001C4F66" w:rsidRPr="005B0796" w:rsidRDefault="001C4F66" w:rsidP="001C4F66">
            <w:pPr>
              <w:pStyle w:val="TableText"/>
              <w:jc w:val="right"/>
            </w:pPr>
            <w:r w:rsidRPr="005B0796">
              <w:t>63</w:t>
            </w:r>
          </w:p>
        </w:tc>
        <w:tc>
          <w:tcPr>
            <w:tcW w:w="961" w:type="dxa"/>
          </w:tcPr>
          <w:p w:rsidR="001C4F66" w:rsidRPr="005B0796" w:rsidRDefault="001C4F66" w:rsidP="001C4F66">
            <w:pPr>
              <w:pStyle w:val="TableText"/>
              <w:jc w:val="right"/>
            </w:pPr>
            <w:r w:rsidRPr="005B0796">
              <w:t>0</w:t>
            </w:r>
          </w:p>
        </w:tc>
        <w:tc>
          <w:tcPr>
            <w:tcW w:w="960" w:type="dxa"/>
          </w:tcPr>
          <w:p w:rsidR="001C4F66" w:rsidRPr="005B0796" w:rsidRDefault="001C4F66" w:rsidP="001C4F66">
            <w:pPr>
              <w:pStyle w:val="TableText"/>
              <w:jc w:val="right"/>
            </w:pPr>
            <w:r w:rsidRPr="005B0796">
              <w:t>255</w:t>
            </w:r>
          </w:p>
        </w:tc>
        <w:tc>
          <w:tcPr>
            <w:tcW w:w="960" w:type="dxa"/>
          </w:tcPr>
          <w:p w:rsidR="001C4F66" w:rsidRPr="005B0796" w:rsidRDefault="001C4F66" w:rsidP="001C4F66">
            <w:pPr>
              <w:pStyle w:val="TableText"/>
              <w:jc w:val="right"/>
            </w:pPr>
            <w:r w:rsidRPr="005B0796">
              <w:t>60</w:t>
            </w:r>
          </w:p>
        </w:tc>
        <w:tc>
          <w:tcPr>
            <w:tcW w:w="961" w:type="dxa"/>
          </w:tcPr>
          <w:p w:rsidR="001C4F66" w:rsidRPr="005B0796" w:rsidRDefault="001C4F66" w:rsidP="001C4F66">
            <w:pPr>
              <w:pStyle w:val="TableText"/>
              <w:jc w:val="right"/>
            </w:pPr>
            <w:r w:rsidRPr="005B0796">
              <w:t>2</w:t>
            </w:r>
          </w:p>
        </w:tc>
      </w:tr>
      <w:tr w:rsidR="001C4F66" w:rsidRPr="005B0796" w:rsidTr="001C4F66">
        <w:trPr>
          <w:cnfStyle w:val="000000100000" w:firstRow="0" w:lastRow="0" w:firstColumn="0" w:lastColumn="0" w:oddVBand="0" w:evenVBand="0" w:oddHBand="1" w:evenHBand="0" w:firstRowFirstColumn="0" w:firstRowLastColumn="0" w:lastRowFirstColumn="0" w:lastRowLastColumn="0"/>
        </w:trPr>
        <w:tc>
          <w:tcPr>
            <w:tcW w:w="1553" w:type="dxa"/>
          </w:tcPr>
          <w:p w:rsidR="001C4F66" w:rsidRPr="005B0796" w:rsidRDefault="001C4F66" w:rsidP="001C4F66">
            <w:pPr>
              <w:pStyle w:val="TableText"/>
            </w:pPr>
            <w:r w:rsidRPr="005B0796">
              <w:t>Air Force</w:t>
            </w:r>
          </w:p>
        </w:tc>
        <w:tc>
          <w:tcPr>
            <w:tcW w:w="960" w:type="dxa"/>
          </w:tcPr>
          <w:p w:rsidR="001C4F66" w:rsidRPr="005B0796" w:rsidRDefault="001C4F66" w:rsidP="001C4F66">
            <w:pPr>
              <w:pStyle w:val="TableText"/>
              <w:jc w:val="right"/>
            </w:pPr>
            <w:r w:rsidRPr="005B0796">
              <w:t>433</w:t>
            </w:r>
          </w:p>
        </w:tc>
        <w:tc>
          <w:tcPr>
            <w:tcW w:w="960" w:type="dxa"/>
          </w:tcPr>
          <w:p w:rsidR="001C4F66" w:rsidRPr="005B0796" w:rsidRDefault="001C4F66" w:rsidP="001C4F66">
            <w:pPr>
              <w:pStyle w:val="TableText"/>
              <w:jc w:val="right"/>
            </w:pPr>
            <w:r w:rsidRPr="005B0796">
              <w:t>108</w:t>
            </w:r>
          </w:p>
        </w:tc>
        <w:tc>
          <w:tcPr>
            <w:tcW w:w="961" w:type="dxa"/>
          </w:tcPr>
          <w:p w:rsidR="001C4F66" w:rsidRPr="005B0796" w:rsidRDefault="001C4F66" w:rsidP="001C4F66">
            <w:pPr>
              <w:pStyle w:val="TableText"/>
              <w:jc w:val="right"/>
            </w:pPr>
            <w:r w:rsidRPr="005B0796">
              <w:t>0</w:t>
            </w:r>
          </w:p>
        </w:tc>
        <w:tc>
          <w:tcPr>
            <w:tcW w:w="960" w:type="dxa"/>
          </w:tcPr>
          <w:p w:rsidR="001C4F66" w:rsidRPr="005B0796" w:rsidRDefault="001C4F66" w:rsidP="001C4F66">
            <w:pPr>
              <w:pStyle w:val="TableText"/>
              <w:jc w:val="right"/>
            </w:pPr>
            <w:r w:rsidRPr="005B0796">
              <w:t>431</w:t>
            </w:r>
          </w:p>
        </w:tc>
        <w:tc>
          <w:tcPr>
            <w:tcW w:w="960" w:type="dxa"/>
          </w:tcPr>
          <w:p w:rsidR="001C4F66" w:rsidRPr="005B0796" w:rsidRDefault="001C4F66" w:rsidP="001C4F66">
            <w:pPr>
              <w:pStyle w:val="TableText"/>
              <w:jc w:val="right"/>
            </w:pPr>
            <w:r w:rsidRPr="005B0796">
              <w:t>109</w:t>
            </w:r>
          </w:p>
        </w:tc>
        <w:tc>
          <w:tcPr>
            <w:tcW w:w="961" w:type="dxa"/>
          </w:tcPr>
          <w:p w:rsidR="001C4F66" w:rsidRPr="005B0796" w:rsidRDefault="001C4F66" w:rsidP="001C4F66">
            <w:pPr>
              <w:pStyle w:val="TableText"/>
              <w:jc w:val="right"/>
            </w:pPr>
            <w:r w:rsidRPr="005B0796">
              <w:t>1</w:t>
            </w:r>
          </w:p>
        </w:tc>
      </w:tr>
    </w:tbl>
    <w:p w:rsidR="001C4F66" w:rsidRPr="005B0796" w:rsidRDefault="001C4F66" w:rsidP="001C4F66">
      <w:pPr>
        <w:pStyle w:val="TableNotes"/>
      </w:pPr>
    </w:p>
    <w:p w:rsidR="009B20BD" w:rsidRPr="005B0796" w:rsidRDefault="009B20BD" w:rsidP="00751C86">
      <w:pPr>
        <w:pStyle w:val="Heading2b"/>
      </w:pPr>
      <w:bookmarkStart w:id="1593" w:name="_Toc482021454"/>
      <w:bookmarkStart w:id="1594" w:name="_Toc482024545"/>
      <w:bookmarkStart w:id="1595" w:name="_Toc484594364"/>
      <w:bookmarkStart w:id="1596" w:name="_Toc487011308"/>
      <w:bookmarkStart w:id="1597" w:name="_Toc493663203"/>
      <w:bookmarkStart w:id="1598" w:name="_Toc494449816"/>
      <w:r w:rsidRPr="005B0796">
        <w:t>Contact strategy and recruitment methods</w:t>
      </w:r>
      <w:bookmarkEnd w:id="1577"/>
      <w:bookmarkEnd w:id="1593"/>
      <w:bookmarkEnd w:id="1594"/>
      <w:bookmarkEnd w:id="1595"/>
      <w:bookmarkEnd w:id="1596"/>
      <w:bookmarkEnd w:id="1597"/>
      <w:bookmarkEnd w:id="1598"/>
    </w:p>
    <w:p w:rsidR="009B20BD" w:rsidRPr="005B0796" w:rsidRDefault="009B20BD" w:rsidP="00751C86">
      <w:pPr>
        <w:pStyle w:val="Heading3b"/>
      </w:pPr>
      <w:bookmarkStart w:id="1599" w:name="_Toc297295802"/>
      <w:bookmarkStart w:id="1600" w:name="_Toc389230262"/>
      <w:bookmarkStart w:id="1601" w:name="_Toc386805675"/>
      <w:bookmarkStart w:id="1602" w:name="_Toc487011309"/>
      <w:bookmarkStart w:id="1603" w:name="_Toc493663204"/>
      <w:r w:rsidRPr="005B0796">
        <w:t>Promoting the study</w:t>
      </w:r>
      <w:bookmarkEnd w:id="1599"/>
      <w:bookmarkEnd w:id="1600"/>
      <w:bookmarkEnd w:id="1601"/>
      <w:bookmarkEnd w:id="1602"/>
      <w:bookmarkEnd w:id="1603"/>
    </w:p>
    <w:p w:rsidR="009B20BD" w:rsidRPr="005B0796" w:rsidRDefault="009B20BD" w:rsidP="004F17A6">
      <w:pPr>
        <w:keepNext/>
      </w:pPr>
      <w:r w:rsidRPr="005B0796">
        <w:t>Before the research team made initial direct contact, the following strategies were used to promote the study to participants.</w:t>
      </w:r>
    </w:p>
    <w:p w:rsidR="009B20BD" w:rsidRPr="005B0796" w:rsidRDefault="009B20BD" w:rsidP="00194C8F">
      <w:pPr>
        <w:pStyle w:val="Heading4"/>
      </w:pPr>
      <w:r w:rsidRPr="005B0796">
        <w:t>Advertising via print media</w:t>
      </w:r>
    </w:p>
    <w:p w:rsidR="009B20BD" w:rsidRPr="005B0796" w:rsidRDefault="009B20BD" w:rsidP="00194C8F">
      <w:r w:rsidRPr="005B0796">
        <w:t>The study team developed promotional posters, which were placed in Service newspapers, on DVA and Defence internet and intranet sites, on bases, at ESOs and on the University of Adelaide website.</w:t>
      </w:r>
    </w:p>
    <w:p w:rsidR="009B20BD" w:rsidRPr="005B0796" w:rsidRDefault="009B20BD" w:rsidP="00194C8F">
      <w:pPr>
        <w:pStyle w:val="Heading4"/>
      </w:pPr>
      <w:r w:rsidRPr="005B0796">
        <w:t xml:space="preserve">Ministerial media release </w:t>
      </w:r>
    </w:p>
    <w:p w:rsidR="009B20BD" w:rsidRPr="005B0796" w:rsidRDefault="009B20BD" w:rsidP="00194C8F">
      <w:r w:rsidRPr="005B0796">
        <w:t>On 11 June 2014, the Hon Michael Ronaldson, the then Minister for Veterans</w:t>
      </w:r>
      <w:r w:rsidR="00462A0C" w:rsidRPr="005B0796">
        <w:t>’</w:t>
      </w:r>
      <w:r w:rsidRPr="005B0796">
        <w:t xml:space="preserve"> Affairs, issued a media release launching the study to the wider community, disseminating information and generating interest among ADF members. The Executive Dean of the Faculty of Health Sciences, members of the Scientific Advisory Committee and members of the investigative team were all present. The launch and media release generated enquiries, which the CTSS research team responded to promptly and effectively, following strict protocol.</w:t>
      </w:r>
    </w:p>
    <w:p w:rsidR="009B20BD" w:rsidRPr="005B0796" w:rsidRDefault="009B20BD" w:rsidP="00194C8F">
      <w:pPr>
        <w:pStyle w:val="Heading4"/>
      </w:pPr>
      <w:r w:rsidRPr="005B0796">
        <w:t>Targeted briefs to ADF leadership</w:t>
      </w:r>
    </w:p>
    <w:p w:rsidR="009B20BD" w:rsidRPr="005B0796" w:rsidRDefault="009B20BD" w:rsidP="00194C8F">
      <w:r w:rsidRPr="005B0796">
        <w:t xml:space="preserve">Information sessions were held to brief Commanders and other key influencers in the broader Defence community about the importance of the research. </w:t>
      </w:r>
    </w:p>
    <w:p w:rsidR="009B20BD" w:rsidRPr="005B0796" w:rsidRDefault="009B20BD" w:rsidP="00194C8F">
      <w:pPr>
        <w:pStyle w:val="Heading4"/>
      </w:pPr>
      <w:r w:rsidRPr="005B0796">
        <w:t xml:space="preserve">Letter to ex-service organisations </w:t>
      </w:r>
    </w:p>
    <w:p w:rsidR="009B20BD" w:rsidRPr="005B0796" w:rsidRDefault="009B20BD" w:rsidP="00194C8F">
      <w:r w:rsidRPr="005B0796">
        <w:t xml:space="preserve">A letter introducing the Transition and Wellbeing Research Programme and an accompanying fact sheet were sent to all relevant ESOs to disseminate information and generate support for the study. </w:t>
      </w:r>
    </w:p>
    <w:p w:rsidR="009B20BD" w:rsidRPr="005B0796" w:rsidRDefault="009B20BD" w:rsidP="00194C8F">
      <w:pPr>
        <w:pStyle w:val="Heading4"/>
      </w:pPr>
      <w:r w:rsidRPr="005B0796">
        <w:t>Distribution of study briefing packs</w:t>
      </w:r>
    </w:p>
    <w:p w:rsidR="009B20BD" w:rsidRPr="005B0796" w:rsidRDefault="009B20BD" w:rsidP="00194C8F">
      <w:r w:rsidRPr="005B0796">
        <w:t xml:space="preserve">Briefing packs containing study/promotional materials were distributed to ESOs as another means of promoting the study to the target population. </w:t>
      </w:r>
    </w:p>
    <w:p w:rsidR="009B20BD" w:rsidRPr="005B0796" w:rsidRDefault="009B20BD" w:rsidP="00194C8F">
      <w:pPr>
        <w:pStyle w:val="Heading4"/>
      </w:pPr>
      <w:r w:rsidRPr="005B0796">
        <w:t>Social media strategy</w:t>
      </w:r>
    </w:p>
    <w:p w:rsidR="009B20BD" w:rsidRPr="005B0796" w:rsidRDefault="009B20BD" w:rsidP="00194C8F">
      <w:r w:rsidRPr="005B0796">
        <w:t>A series of social media conversations, promotions and advertisements were rolled out via the Transition and Wellbeing Research Programme</w:t>
      </w:r>
      <w:r w:rsidR="00462A0C" w:rsidRPr="005B0796">
        <w:t>’</w:t>
      </w:r>
      <w:r w:rsidRPr="005B0796">
        <w:t>s Facebook page (Facebook/aumilresearch) and Twitter account (@aumilresearch) throughout the study period. These accounts were managed by the CTSS research team. The primary objectives of the social media campaign were to raise awareness of the research Programme among 2015 Regular ADF and Ex-Serving ADF members, their families and their social networks; engage other advocates and key stakeholders; provide another platform for participants to engage with the research team; and disseminate previous military research conducted by CTSS.</w:t>
      </w:r>
    </w:p>
    <w:p w:rsidR="009B20BD" w:rsidRPr="005B0796" w:rsidRDefault="009B20BD" w:rsidP="00751C86">
      <w:pPr>
        <w:pStyle w:val="Heading3b"/>
      </w:pPr>
      <w:bookmarkStart w:id="1604" w:name="_Toc297295804"/>
      <w:bookmarkStart w:id="1605" w:name="_Toc487011310"/>
      <w:bookmarkStart w:id="1606" w:name="_Toc493663205"/>
      <w:r w:rsidRPr="005B0796">
        <w:t xml:space="preserve">Development of the Military and Veteran Health Research Study </w:t>
      </w:r>
      <w:bookmarkEnd w:id="1604"/>
      <w:r w:rsidRPr="005B0796">
        <w:t>Roll</w:t>
      </w:r>
      <w:bookmarkEnd w:id="1605"/>
      <w:bookmarkEnd w:id="1606"/>
    </w:p>
    <w:p w:rsidR="009B20BD" w:rsidRPr="005B0796" w:rsidRDefault="009B20BD" w:rsidP="00194C8F">
      <w:r w:rsidRPr="005B0796">
        <w:t>Participants</w:t>
      </w:r>
      <w:r w:rsidR="00462A0C" w:rsidRPr="005B0796">
        <w:t>’</w:t>
      </w:r>
      <w:r w:rsidRPr="005B0796">
        <w:t xml:space="preserve"> contact details and demographic information were obtained via the creation of the </w:t>
      </w:r>
      <w:bookmarkStart w:id="1607" w:name="_Hlk489432933"/>
      <w:r w:rsidRPr="005B0796">
        <w:t>Military and Veteran Health Research Study Roll (Study Roll)</w:t>
      </w:r>
      <w:bookmarkEnd w:id="1607"/>
      <w:r w:rsidRPr="005B0796">
        <w:t xml:space="preserve">, which was created by the AIHW, in collaboration with DVA and Defence. This process involved integrating contact information from: </w:t>
      </w:r>
    </w:p>
    <w:p w:rsidR="009B20BD" w:rsidRPr="005B0796" w:rsidRDefault="009B20BD" w:rsidP="00194C8F">
      <w:pPr>
        <w:pStyle w:val="Bullet"/>
        <w:spacing w:after="0"/>
      </w:pPr>
      <w:r w:rsidRPr="005B0796">
        <w:t>Defence</w:t>
      </w:r>
      <w:r w:rsidR="00462A0C" w:rsidRPr="005B0796">
        <w:t>’</w:t>
      </w:r>
      <w:r w:rsidRPr="005B0796">
        <w:t>s PMKeyS database</w:t>
      </w:r>
    </w:p>
    <w:p w:rsidR="009B20BD" w:rsidRPr="005B0796" w:rsidRDefault="009B20BD" w:rsidP="00194C8F">
      <w:pPr>
        <w:pStyle w:val="Bullet"/>
        <w:spacing w:after="0"/>
      </w:pPr>
      <w:r w:rsidRPr="005B0796">
        <w:t>DVA client databases</w:t>
      </w:r>
    </w:p>
    <w:p w:rsidR="009B20BD" w:rsidRPr="005B0796" w:rsidRDefault="009B20BD" w:rsidP="00194C8F">
      <w:pPr>
        <w:pStyle w:val="Bullet"/>
        <w:spacing w:after="0"/>
      </w:pPr>
      <w:r w:rsidRPr="005B0796">
        <w:t>the National Death Index (NDI)</w:t>
      </w:r>
    </w:p>
    <w:p w:rsidR="009B20BD" w:rsidRPr="005B0796" w:rsidRDefault="009B20BD" w:rsidP="00194C8F">
      <w:pPr>
        <w:pStyle w:val="Bullet"/>
        <w:spacing w:after="0"/>
      </w:pPr>
      <w:r w:rsidRPr="005B0796">
        <w:t>ComSuper</w:t>
      </w:r>
      <w:r w:rsidR="00462A0C" w:rsidRPr="005B0796">
        <w:t>’</w:t>
      </w:r>
      <w:r w:rsidRPr="005B0796">
        <w:t>s member database</w:t>
      </w:r>
    </w:p>
    <w:p w:rsidR="009B20BD" w:rsidRPr="005B0796" w:rsidRDefault="009B20BD" w:rsidP="00194C8F">
      <w:pPr>
        <w:pStyle w:val="Bullet"/>
      </w:pPr>
      <w:r w:rsidRPr="005B0796">
        <w:t>the MilHOP dataset.</w:t>
      </w:r>
    </w:p>
    <w:p w:rsidR="009B20BD" w:rsidRPr="005B0796" w:rsidRDefault="009B20BD" w:rsidP="00194C8F">
      <w:r w:rsidRPr="005B0796">
        <w:t>To ensure the information was current and reflected the most recent posting cycles, a final PMKeys download was received immediately before the study began and integrated into the dataset.</w:t>
      </w:r>
    </w:p>
    <w:p w:rsidR="009B20BD" w:rsidRPr="005B0796" w:rsidRDefault="009B20BD" w:rsidP="00194C8F">
      <w:r w:rsidRPr="005B0796">
        <w:t xml:space="preserve">This integrated dataset was only passed on to the research team after an opt-out process was conducted. This involved DVA and Defence contacting participants via their websites, email, hard copy letter, service newspapers and a media campaign, and providing them with detailed information about the Study Roll and its broader purpose. The contact information, basic service history and demographic information of individuals who did not opt out of this process within four weeks of the campaign commencing were then passed on to CTSS for the Transition and Wellbeing Research Programme. Participants could still opt out of the Study Roll after the four-week campaign, via an opt-out website or email managed by Defence. This website was open for three months. Individuals who opted out of the Study Roll through this website were excluded from sampling. </w:t>
      </w:r>
    </w:p>
    <w:p w:rsidR="009B20BD" w:rsidRPr="005B0796" w:rsidRDefault="009B20BD" w:rsidP="00194C8F">
      <w:r w:rsidRPr="005B0796">
        <w:t>To prevent the families of deceased Defence members being approached, the Study Roll was cross</w:t>
      </w:r>
      <w:r w:rsidRPr="005B0796">
        <w:noBreakHyphen/>
        <w:t xml:space="preserve">checked against the NDI before the opt-out email was sent to individuals and again approximately four weeks before data collection began. All new deaths recorded by Defence were immediately communicated to the research team. </w:t>
      </w:r>
    </w:p>
    <w:p w:rsidR="009B20BD" w:rsidRPr="005B0796" w:rsidRDefault="009B20BD" w:rsidP="00751C86">
      <w:pPr>
        <w:pStyle w:val="Heading3b"/>
      </w:pPr>
      <w:bookmarkStart w:id="1608" w:name="_Toc487011311"/>
      <w:bookmarkStart w:id="1609" w:name="_Toc493663206"/>
      <w:r w:rsidRPr="005B0796">
        <w:t>Self-selection procedure</w:t>
      </w:r>
      <w:bookmarkEnd w:id="1608"/>
      <w:bookmarkEnd w:id="1609"/>
    </w:p>
    <w:p w:rsidR="009B20BD" w:rsidRPr="005B0796" w:rsidRDefault="009B20BD" w:rsidP="00194C8F">
      <w:pPr>
        <w:rPr>
          <w:rFonts w:eastAsia="MS ??"/>
        </w:rPr>
      </w:pPr>
      <w:r w:rsidRPr="005B0796">
        <w:t xml:space="preserve">Details of eligible Ex-Serving members who were not passed on to CTSS at the beginning of the study period, but who subsequently self-selected into the study were sent to AIHW for inclusion in the Study Roll. These members were sent an invitation package, following the standard study protocol. Participants Defence deemed ineligible were required to provide proof of their service to CTSS to participate. Reservists who self-selected into the study were only included in the dataset if they appeared on the original Study Roll. </w:t>
      </w:r>
    </w:p>
    <w:p w:rsidR="009B20BD" w:rsidRPr="005B0796" w:rsidRDefault="009B20BD" w:rsidP="00751C86">
      <w:pPr>
        <w:pStyle w:val="Heading3b"/>
      </w:pPr>
      <w:bookmarkStart w:id="1610" w:name="_Toc487011312"/>
      <w:bookmarkStart w:id="1611" w:name="_Toc493663207"/>
      <w:r w:rsidRPr="005B0796">
        <w:t>Sampling by data integrator</w:t>
      </w:r>
      <w:bookmarkEnd w:id="1610"/>
      <w:bookmarkEnd w:id="1611"/>
    </w:p>
    <w:p w:rsidR="009B20BD" w:rsidRPr="005B0796" w:rsidRDefault="009B20BD" w:rsidP="00194C8F">
      <w:pPr>
        <w:keepNext/>
        <w:rPr>
          <w:rFonts w:eastAsia="MS ??"/>
        </w:rPr>
      </w:pPr>
      <w:r w:rsidRPr="005B0796">
        <w:t>Before recruitment, AIHW created appropriate samples for the research Programme, including:</w:t>
      </w:r>
    </w:p>
    <w:p w:rsidR="009B20BD" w:rsidRPr="005B0796" w:rsidRDefault="009B20BD" w:rsidP="00194C8F">
      <w:pPr>
        <w:pStyle w:val="Bullet"/>
        <w:spacing w:after="120"/>
      </w:pPr>
      <w:r w:rsidRPr="005B0796">
        <w:t>all members who transitioned from full-time Regular ADF service between 2010 and 2014</w:t>
      </w:r>
    </w:p>
    <w:p w:rsidR="009B20BD" w:rsidRPr="005B0796" w:rsidRDefault="009B20BD" w:rsidP="00194C8F">
      <w:pPr>
        <w:pStyle w:val="Bullet"/>
        <w:spacing w:after="120"/>
      </w:pPr>
      <w:r w:rsidRPr="005B0796">
        <w:t>all ADF members who participated in the MilHOP, excluding members who indicated they did not wish to be contacted for further research</w:t>
      </w:r>
    </w:p>
    <w:p w:rsidR="009B20BD" w:rsidRPr="005B0796" w:rsidRDefault="009B20BD" w:rsidP="00194C8F">
      <w:pPr>
        <w:pStyle w:val="Bullet"/>
        <w:spacing w:after="120"/>
      </w:pPr>
      <w:r w:rsidRPr="005B0796">
        <w:t>a stratified random sample of 5,040 2015 Regular ADF members</w:t>
      </w:r>
    </w:p>
    <w:p w:rsidR="009B20BD" w:rsidRPr="005B0796" w:rsidRDefault="009B20BD" w:rsidP="00194C8F">
      <w:pPr>
        <w:pStyle w:val="Bullet"/>
      </w:pPr>
      <w:r w:rsidRPr="005B0796">
        <w:t>22,638</w:t>
      </w:r>
      <w:r w:rsidRPr="005B0796">
        <w:rPr>
          <w:b/>
        </w:rPr>
        <w:t xml:space="preserve"> </w:t>
      </w:r>
      <w:r w:rsidRPr="005B0796">
        <w:t>currently serving Ab</w:t>
      </w:r>
      <w:r w:rsidR="005B681B">
        <w:t> </w:t>
      </w:r>
      <w:r w:rsidRPr="005B0796">
        <w:t xml:space="preserve">initio Reservists. Note: only Reservists with contact information were invited to participate (22,638). </w:t>
      </w:r>
    </w:p>
    <w:p w:rsidR="009B20BD" w:rsidRPr="005B0796" w:rsidRDefault="009B20BD" w:rsidP="00194C8F">
      <w:pPr>
        <w:rPr>
          <w:lang w:eastAsia="en-AU"/>
        </w:rPr>
      </w:pPr>
      <w:r w:rsidRPr="005B0796">
        <w:rPr>
          <w:lang w:eastAsia="en-AU"/>
        </w:rPr>
        <w:t>The stratified random sample of 5,040 2015 Regular ADF members was drawn from the remainder of members not already listed as MilHOP participants. This sample did not include those who were deceased or who opted out of the Transition and Wellbeing Research Programme.</w:t>
      </w:r>
    </w:p>
    <w:p w:rsidR="009B20BD" w:rsidRPr="005B0796" w:rsidRDefault="009B20BD" w:rsidP="00194C8F">
      <w:pPr>
        <w:rPr>
          <w:lang w:eastAsia="en-AU"/>
        </w:rPr>
      </w:pPr>
      <w:r w:rsidRPr="005B0796">
        <w:rPr>
          <w:lang w:eastAsia="en-AU"/>
        </w:rPr>
        <w:t xml:space="preserve">Stratification was based on: </w:t>
      </w:r>
    </w:p>
    <w:p w:rsidR="009B20BD" w:rsidRPr="005B0796" w:rsidRDefault="009B20BD" w:rsidP="00194C8F">
      <w:pPr>
        <w:pStyle w:val="Bullet"/>
        <w:spacing w:after="0"/>
        <w:rPr>
          <w:lang w:eastAsia="en-AU"/>
        </w:rPr>
      </w:pPr>
      <w:r w:rsidRPr="005B0796">
        <w:rPr>
          <w:lang w:eastAsia="en-AU"/>
        </w:rPr>
        <w:t>Service (Navy, Army, Air Force)</w:t>
      </w:r>
    </w:p>
    <w:p w:rsidR="009B20BD" w:rsidRPr="005B0796" w:rsidRDefault="009B20BD" w:rsidP="00194C8F">
      <w:pPr>
        <w:pStyle w:val="Bullet"/>
        <w:spacing w:after="0"/>
        <w:rPr>
          <w:lang w:eastAsia="en-AU"/>
        </w:rPr>
      </w:pPr>
      <w:r w:rsidRPr="005B0796">
        <w:rPr>
          <w:lang w:eastAsia="en-AU"/>
        </w:rPr>
        <w:t>sex</w:t>
      </w:r>
    </w:p>
    <w:p w:rsidR="009B20BD" w:rsidRPr="005B0796" w:rsidRDefault="009B20BD" w:rsidP="00194C8F">
      <w:pPr>
        <w:pStyle w:val="Bullet"/>
        <w:rPr>
          <w:lang w:eastAsia="en-AU"/>
        </w:rPr>
      </w:pPr>
      <w:r w:rsidRPr="005B0796">
        <w:rPr>
          <w:lang w:eastAsia="en-AU"/>
        </w:rPr>
        <w:t>rank code (Officer/enlistee).</w:t>
      </w:r>
    </w:p>
    <w:p w:rsidR="009B20BD" w:rsidRPr="005B0796" w:rsidRDefault="009B20BD" w:rsidP="00194C8F">
      <w:r w:rsidRPr="005B0796">
        <w:t xml:space="preserve">The contact information and demographics for each of the subpopulations listed above, with the exception of individuals who opted out of the Study Roll, were then passed on to CTSS researchers for recruitment and weighting purposes. </w:t>
      </w:r>
    </w:p>
    <w:p w:rsidR="009B20BD" w:rsidRPr="005B0796" w:rsidRDefault="009B20BD" w:rsidP="00751C86">
      <w:pPr>
        <w:pStyle w:val="Heading3b"/>
      </w:pPr>
      <w:bookmarkStart w:id="1612" w:name="_Toc487011313"/>
      <w:bookmarkStart w:id="1613" w:name="_Toc493663208"/>
      <w:r w:rsidRPr="005B0796">
        <w:t>Phase 1: Distribution of self-report survey</w:t>
      </w:r>
      <w:bookmarkEnd w:id="1612"/>
      <w:bookmarkEnd w:id="1613"/>
      <w:r w:rsidRPr="005B0796">
        <w:t xml:space="preserve"> </w:t>
      </w:r>
    </w:p>
    <w:p w:rsidR="009B20BD" w:rsidRPr="005B0796" w:rsidRDefault="009B20BD" w:rsidP="00194C8F">
      <w:r w:rsidRPr="005B0796">
        <w:t>Recruitment for the study was staggered across the entire data collection period. Online invitation packages were distributed to participants in batches. The first batch of invitation emails was rolled out to participants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w:t>
      </w:r>
      <w:r w:rsidR="00462A0C" w:rsidRPr="005B0796">
        <w:t>’</w:t>
      </w:r>
      <w:r w:rsidRPr="005B0796">
        <w:t xml:space="preserve"> current serving status and eligibility criteria. Where email addresses were not available, or upon request, hard copy versions of the invitation package were posted to participants. </w:t>
      </w:r>
    </w:p>
    <w:p w:rsidR="009B20BD" w:rsidRPr="005B0796" w:rsidRDefault="009B20BD" w:rsidP="00194C8F">
      <w:pPr>
        <w:pStyle w:val="Heading4"/>
      </w:pPr>
      <w:r w:rsidRPr="005B0796">
        <w:t>Follow-up of survey non-respondents</w:t>
      </w:r>
    </w:p>
    <w:p w:rsidR="009B20BD" w:rsidRPr="005B0796" w:rsidRDefault="009B20BD" w:rsidP="00194C8F">
      <w:pPr>
        <w:keepNext/>
      </w:pPr>
      <w:r w:rsidRPr="005B0796">
        <w:t>A multifaceted approach to following up survey non-respondents was used to maximise participation rates:</w:t>
      </w:r>
    </w:p>
    <w:p w:rsidR="009B20BD" w:rsidRPr="005B0796" w:rsidRDefault="009B20BD" w:rsidP="00194C8F">
      <w:pPr>
        <w:pStyle w:val="Bullet"/>
        <w:keepNext/>
        <w:spacing w:after="120"/>
        <w:rPr>
          <w:b/>
        </w:rPr>
      </w:pPr>
      <w:r w:rsidRPr="005B0796">
        <w:rPr>
          <w:b/>
        </w:rPr>
        <w:t>Reminder emails</w:t>
      </w:r>
    </w:p>
    <w:p w:rsidR="009B20BD" w:rsidRPr="005B0796" w:rsidRDefault="009B20BD" w:rsidP="00194C8F">
      <w:pPr>
        <w:ind w:left="360"/>
      </w:pPr>
      <w:r w:rsidRPr="005B0796">
        <w:t xml:space="preserve">Email reminders were sent to all non-responders two, four and six weeks after the invitation package was distributed, and one month before the survey was closed. Participants who preferred to complete a hard copy version of the survey were directed to call or email the study team. This was specified in all reminder email correspondence. </w:t>
      </w:r>
    </w:p>
    <w:p w:rsidR="009B20BD" w:rsidRPr="005B0796" w:rsidRDefault="009B20BD" w:rsidP="00194C8F">
      <w:pPr>
        <w:pStyle w:val="Bullet"/>
        <w:keepNext/>
        <w:spacing w:after="120"/>
        <w:rPr>
          <w:rFonts w:asciiTheme="minorHAnsi" w:hAnsiTheme="minorHAnsi"/>
          <w:b/>
        </w:rPr>
      </w:pPr>
      <w:r w:rsidRPr="005B0796">
        <w:rPr>
          <w:b/>
        </w:rPr>
        <w:t xml:space="preserve">SMS reminders </w:t>
      </w:r>
    </w:p>
    <w:p w:rsidR="009B20BD" w:rsidRPr="005B0796" w:rsidRDefault="009B20BD" w:rsidP="00194C8F">
      <w:pPr>
        <w:ind w:left="360"/>
      </w:pPr>
      <w:r w:rsidRPr="005B0796">
        <w:t>SMS reminders were sent to all non-responders concurrently to alert them to their emails. This included members who had not yet begun the survey, as well as individuals who had partially completed it.</w:t>
      </w:r>
    </w:p>
    <w:p w:rsidR="009B20BD" w:rsidRPr="005B0796" w:rsidRDefault="009B20BD" w:rsidP="00194C8F">
      <w:pPr>
        <w:pStyle w:val="Bullet"/>
        <w:keepNext/>
        <w:spacing w:after="120"/>
        <w:rPr>
          <w:b/>
        </w:rPr>
      </w:pPr>
      <w:r w:rsidRPr="005B0796">
        <w:rPr>
          <w:b/>
        </w:rPr>
        <w:t>Targeted telephone follow-up</w:t>
      </w:r>
    </w:p>
    <w:p w:rsidR="009B20BD" w:rsidRPr="005B0796" w:rsidRDefault="009B20BD" w:rsidP="00194C8F">
      <w:pPr>
        <w:ind w:left="360"/>
      </w:pPr>
      <w:r w:rsidRPr="005B0796">
        <w:t>A selection of high-priority participants was targeted via a structured telephone follow-up process. These participants were members of the MHPWS CIDI cohort. It was important to maximise the response rate for this longitudinal cohort with existing data points, to enable mapping of the trajectory of disorder. Telephone follow-up was also extended to participants without email addresses, partial completers and other target groups with low response rates, to ensure representativeness. Specifically, this included:</w:t>
      </w:r>
    </w:p>
    <w:p w:rsidR="009B20BD" w:rsidRPr="005B0796" w:rsidRDefault="009B20BD" w:rsidP="00194C8F">
      <w:pPr>
        <w:pStyle w:val="Dash"/>
      </w:pPr>
      <w:r w:rsidRPr="005B0796">
        <w:t>Transitioned ADF members with a landline phone number but no email address or mobile number</w:t>
      </w:r>
    </w:p>
    <w:p w:rsidR="009B20BD" w:rsidRPr="005B0796" w:rsidRDefault="009B20BD" w:rsidP="00194C8F">
      <w:pPr>
        <w:pStyle w:val="Dash"/>
      </w:pPr>
      <w:r w:rsidRPr="005B0796">
        <w:t>Transitioned ADF members with a landline phone number and Defence email address only but no mobile phone number</w:t>
      </w:r>
    </w:p>
    <w:p w:rsidR="009B20BD" w:rsidRPr="005B0796" w:rsidRDefault="009B20BD" w:rsidP="00194C8F">
      <w:pPr>
        <w:pStyle w:val="Dash"/>
      </w:pPr>
      <w:r w:rsidRPr="005B0796">
        <w:t>partial completers from all cohorts</w:t>
      </w:r>
    </w:p>
    <w:p w:rsidR="009B20BD" w:rsidRPr="005B0796" w:rsidRDefault="009B20BD" w:rsidP="00194C8F">
      <w:pPr>
        <w:pStyle w:val="Dash"/>
      </w:pPr>
      <w:r w:rsidRPr="005B0796">
        <w:t>participants with bounced emails from sole non-Defence email addresses, with a landline phone number but no mobile number</w:t>
      </w:r>
    </w:p>
    <w:p w:rsidR="009B20BD" w:rsidRPr="005B0796" w:rsidRDefault="009B20BD" w:rsidP="00194C8F">
      <w:pPr>
        <w:pStyle w:val="Dash"/>
      </w:pPr>
      <w:r w:rsidRPr="005B0796">
        <w:t>participants who nominated family members for Family Study but did not provide contact details for family</w:t>
      </w:r>
    </w:p>
    <w:p w:rsidR="009B20BD" w:rsidRPr="005B0796" w:rsidRDefault="009B20BD" w:rsidP="00194C8F">
      <w:pPr>
        <w:pStyle w:val="Dash"/>
      </w:pPr>
      <w:r w:rsidRPr="005B0796">
        <w:t>all other Transitioned ADF members and Ab</w:t>
      </w:r>
      <w:r w:rsidR="005B681B">
        <w:t> </w:t>
      </w:r>
      <w:r w:rsidRPr="005B0796">
        <w:t>initio Reservists who had not begun the survey.</w:t>
      </w:r>
    </w:p>
    <w:p w:rsidR="009B20BD" w:rsidRPr="005B0796" w:rsidRDefault="009B20BD" w:rsidP="009B20BD">
      <w:pPr>
        <w:tabs>
          <w:tab w:val="left" w:pos="318"/>
        </w:tabs>
        <w:spacing w:before="100" w:beforeAutospacing="1" w:after="100" w:afterAutospacing="1"/>
        <w:ind w:left="709"/>
        <w:rPr>
          <w:color w:val="000000" w:themeColor="text1"/>
        </w:rPr>
      </w:pPr>
      <w:r w:rsidRPr="005B0796">
        <w:rPr>
          <w:color w:val="000000" w:themeColor="text1"/>
        </w:rPr>
        <w:t>Trained research staff at CTSS made the phone calls following a structured script. The calls were made at a variety of times during the day and evening to maximise contact opportunities. A maximum of 10 attempts were made to speak to each participant twice. Where no contact was made, and a telephone message service was available, a reminder message was left on two of these 10 occasions only, along with the study free-call number and email address.</w:t>
      </w:r>
    </w:p>
    <w:p w:rsidR="009B20BD" w:rsidRPr="005B0796" w:rsidRDefault="009B20BD" w:rsidP="00194C8F">
      <w:pPr>
        <w:pStyle w:val="Bullet"/>
        <w:keepNext/>
        <w:spacing w:after="120"/>
        <w:rPr>
          <w:b/>
        </w:rPr>
      </w:pPr>
      <w:r w:rsidRPr="005B0796">
        <w:rPr>
          <w:b/>
        </w:rPr>
        <w:t>Hard copy letters</w:t>
      </w:r>
    </w:p>
    <w:p w:rsidR="009B20BD" w:rsidRPr="005B0796" w:rsidRDefault="009B20BD" w:rsidP="00194C8F">
      <w:pPr>
        <w:ind w:left="360"/>
        <w:rPr>
          <w:b/>
        </w:rPr>
      </w:pPr>
      <w:r w:rsidRPr="005B0796">
        <w:t>Hard copy invitation letters containing the study free-call number and email address as well as a link to the online survey were sent to:</w:t>
      </w:r>
    </w:p>
    <w:p w:rsidR="009B20BD" w:rsidRPr="005B0796" w:rsidRDefault="009B20BD" w:rsidP="00194C8F">
      <w:pPr>
        <w:pStyle w:val="Dash"/>
      </w:pPr>
      <w:r w:rsidRPr="005B0796">
        <w:t>all Transitioned ADF non-responders</w:t>
      </w:r>
    </w:p>
    <w:p w:rsidR="009B20BD" w:rsidRPr="005B0796" w:rsidRDefault="009B20BD" w:rsidP="00194C8F">
      <w:pPr>
        <w:pStyle w:val="Dash"/>
      </w:pPr>
      <w:r w:rsidRPr="005B0796">
        <w:t>all Ab</w:t>
      </w:r>
      <w:r w:rsidR="005B681B">
        <w:t> </w:t>
      </w:r>
      <w:r w:rsidRPr="005B0796">
        <w:t>initio Reservist non-responders</w:t>
      </w:r>
    </w:p>
    <w:p w:rsidR="009B20BD" w:rsidRPr="005B0796" w:rsidRDefault="009B20BD" w:rsidP="00194C8F">
      <w:pPr>
        <w:pStyle w:val="Dash"/>
      </w:pPr>
      <w:r w:rsidRPr="005B0796">
        <w:t>all 2015 Regular ADF non-responders who did not participate in MilHOP.</w:t>
      </w:r>
    </w:p>
    <w:p w:rsidR="009B20BD" w:rsidRPr="005B0796" w:rsidRDefault="009B20BD" w:rsidP="00751C86">
      <w:pPr>
        <w:pStyle w:val="Heading3b"/>
      </w:pPr>
      <w:bookmarkStart w:id="1614" w:name="_Toc487011314"/>
      <w:bookmarkStart w:id="1615" w:name="_Toc493663209"/>
      <w:r w:rsidRPr="005B0796">
        <w:t>Phase 2: Diagnostic interview</w:t>
      </w:r>
      <w:bookmarkEnd w:id="1614"/>
      <w:bookmarkEnd w:id="1615"/>
    </w:p>
    <w:p w:rsidR="009B20BD" w:rsidRPr="005B0796" w:rsidRDefault="009B20BD" w:rsidP="00194C8F">
      <w:pPr>
        <w:pStyle w:val="Heading4"/>
      </w:pPr>
      <w:r w:rsidRPr="005B0796">
        <w:t>Selection</w:t>
      </w:r>
    </w:p>
    <w:p w:rsidR="009B20BD" w:rsidRPr="005B0796" w:rsidRDefault="009B20BD" w:rsidP="00194C8F">
      <w:r w:rsidRPr="005B0796">
        <w:t>In Phase 2, a sub-group of Transitioned and Regular ADF members from eligible samples was targeted to participate in a 1-hour telephone interview using The World Mental Health Survey Initiative version of the WHO-CIDI 3.0. To be eligible for recruitment, potential interviewees must have completed the self-report measures, and have provided consent in the Mental Health and Wellbeing Transition Study consent form to being contacted to participate in a telephone interview. The following groups were targeted for phase 2:</w:t>
      </w:r>
    </w:p>
    <w:p w:rsidR="009B20BD" w:rsidRPr="005B0796" w:rsidRDefault="009B20BD" w:rsidP="00194C8F">
      <w:pPr>
        <w:pStyle w:val="Bullet"/>
        <w:rPr>
          <w:rFonts w:asciiTheme="minorHAnsi" w:hAnsiTheme="minorHAnsi"/>
        </w:rPr>
      </w:pPr>
      <w:r w:rsidRPr="005B0796">
        <w:t xml:space="preserve">A stratified sample of ADF members who had transitioned out of full-time Service since 2010. Transitioned ADF survey responders were invited to complete a CIDI based on their scores on the PCL and AUDIT screening measures, and demographic characteristics were used to further preference participants to ensure the CIDI sample represented the entire cross-section of population characteristics as far as was possible. </w:t>
      </w:r>
    </w:p>
    <w:p w:rsidR="009B20BD" w:rsidRPr="005B0796" w:rsidRDefault="009B20BD" w:rsidP="00194C8F">
      <w:pPr>
        <w:pStyle w:val="Bullet"/>
        <w:rPr>
          <w:rFonts w:asciiTheme="minorHAnsi" w:hAnsiTheme="minorHAnsi"/>
        </w:rPr>
      </w:pPr>
      <w:r w:rsidRPr="005B0796">
        <w:t xml:space="preserve">All MHPWS ADF members who were interviewed using the CIDI in 2010 - This included individuals who met ICD-10 diagnostic criteria for either a 12-month ICD-10 affective, anxiety or alcohol disorder in 2010, as well as individuals who were sub-syndromal or who had no disorder. </w:t>
      </w:r>
    </w:p>
    <w:p w:rsidR="009B20BD" w:rsidRPr="005B0796" w:rsidRDefault="009B20BD" w:rsidP="00194C8F">
      <w:pPr>
        <w:pStyle w:val="Bullet"/>
        <w:rPr>
          <w:rFonts w:asciiTheme="majorHAnsi" w:hAnsiTheme="majorHAnsi"/>
        </w:rPr>
      </w:pPr>
      <w:r w:rsidRPr="005B0796">
        <w:t>A sample of ADF members who participated in the MEAO Prospective Health Study between 2010 and 2012.</w:t>
      </w:r>
    </w:p>
    <w:p w:rsidR="009B20BD" w:rsidRPr="005B0796" w:rsidRDefault="009B20BD" w:rsidP="00194C8F">
      <w:pPr>
        <w:pStyle w:val="Heading4"/>
        <w:rPr>
          <w:rFonts w:asciiTheme="minorHAnsi" w:hAnsiTheme="minorHAnsi"/>
        </w:rPr>
      </w:pPr>
      <w:r w:rsidRPr="005B0796">
        <w:t>Recruitment</w:t>
      </w:r>
    </w:p>
    <w:p w:rsidR="009B20BD" w:rsidRPr="005B0796" w:rsidRDefault="009B20BD" w:rsidP="00194C8F">
      <w:r w:rsidRPr="005B0796">
        <w:t>Recruitment calls were made by trained interviewers at the Hunter Research Foundation, who couldn</w:t>
      </w:r>
      <w:r w:rsidR="00462A0C" w:rsidRPr="005B0796">
        <w:t>’</w:t>
      </w:r>
      <w:r w:rsidRPr="005B0796">
        <w:t>t see the scores of participants on the self-report measures. Telephone calls were made at a variety of times during the day and evening, taking into account participants</w:t>
      </w:r>
      <w:r w:rsidR="00462A0C" w:rsidRPr="005B0796">
        <w:t>’</w:t>
      </w:r>
      <w:r w:rsidRPr="005B0796">
        <w:t xml:space="preserve"> preferences, so as to maximise contact opportunities.</w:t>
      </w:r>
    </w:p>
    <w:p w:rsidR="009B20BD" w:rsidRPr="005B0796" w:rsidRDefault="009B20BD" w:rsidP="00194C8F">
      <w:r w:rsidRPr="005B0796">
        <w:t>To ensure that the most recent contact details were used, a download of current phone numbers was obtained from PMKeyS immediately before the study began and intermittently throughout the interview period.</w:t>
      </w:r>
    </w:p>
    <w:p w:rsidR="009B20BD" w:rsidRPr="005B0796" w:rsidRDefault="009B20BD" w:rsidP="00194C8F">
      <w:r w:rsidRPr="005B0796">
        <w:t>Participants were contacted by telephone using contact details obtained through:</w:t>
      </w:r>
    </w:p>
    <w:p w:rsidR="009B20BD" w:rsidRPr="005B0796" w:rsidRDefault="009B20BD" w:rsidP="00194C8F">
      <w:pPr>
        <w:pStyle w:val="Bullet"/>
        <w:rPr>
          <w:rFonts w:asciiTheme="minorHAnsi" w:hAnsiTheme="minorHAnsi"/>
        </w:rPr>
      </w:pPr>
      <w:r w:rsidRPr="005B0796">
        <w:t xml:space="preserve">participants providing contact details/alternative contact details either online or in hard copy as part of phase 1 of the Mental Health and Wellbeing Transition Study. </w:t>
      </w:r>
    </w:p>
    <w:p w:rsidR="009B20BD" w:rsidRPr="005B0796" w:rsidRDefault="009B20BD" w:rsidP="00194C8F">
      <w:pPr>
        <w:pStyle w:val="Bullet"/>
      </w:pPr>
      <w:r w:rsidRPr="005B0796">
        <w:t xml:space="preserve">AIHW </w:t>
      </w:r>
    </w:p>
    <w:p w:rsidR="009B20BD" w:rsidRPr="005B0796" w:rsidRDefault="009B20BD" w:rsidP="00194C8F">
      <w:pPr>
        <w:pStyle w:val="Bullet"/>
      </w:pPr>
      <w:r w:rsidRPr="005B0796">
        <w:t xml:space="preserve">PMKeyS </w:t>
      </w:r>
    </w:p>
    <w:p w:rsidR="009B20BD" w:rsidRPr="005B0796" w:rsidRDefault="009B20BD" w:rsidP="00194C8F">
      <w:pPr>
        <w:pStyle w:val="Bullet"/>
      </w:pPr>
      <w:r w:rsidRPr="005B0796">
        <w:t xml:space="preserve">participants providing contact details and alternative contact details, either online or in hard copy, as part of MILHOP study. </w:t>
      </w:r>
    </w:p>
    <w:p w:rsidR="009B20BD" w:rsidRPr="005B0796" w:rsidRDefault="009B20BD" w:rsidP="00194C8F">
      <w:r w:rsidRPr="005B0796">
        <w:t xml:space="preserve">The first telephone call was made using the primary phone number provided in the contact information sheet completed in phase 1. In the absence of this information, a phone number obtained from one of the sources listed above was used. </w:t>
      </w:r>
    </w:p>
    <w:p w:rsidR="009B20BD" w:rsidRPr="005B0796" w:rsidRDefault="009B20BD" w:rsidP="00194C8F">
      <w:r w:rsidRPr="005B0796">
        <w:t>A maximum of 10 attempts were made to speak to the participant before that participant was removed from the pool. When no contact was made, a reminder message was left on two of the 10 occasions, along with the study</w:t>
      </w:r>
      <w:r w:rsidR="00462A0C" w:rsidRPr="005B0796">
        <w:t>’</w:t>
      </w:r>
      <w:r w:rsidRPr="005B0796">
        <w:t>s free-call number and email address.</w:t>
      </w:r>
    </w:p>
    <w:p w:rsidR="009B20BD" w:rsidRPr="005B0796" w:rsidRDefault="009B20BD" w:rsidP="00194C8F">
      <w:r w:rsidRPr="005B0796">
        <w:t xml:space="preserve">Where telephone contact was made, research officers explained the aims, purpose and requirements of the interview, and if agreement was granted, an interview time was arranged. </w:t>
      </w:r>
    </w:p>
    <w:p w:rsidR="009B20BD" w:rsidRPr="005B0796" w:rsidRDefault="009B20BD" w:rsidP="00194C8F">
      <w:pPr>
        <w:pStyle w:val="Heading4"/>
      </w:pPr>
      <w:r w:rsidRPr="005B0796">
        <w:t>Interview</w:t>
      </w:r>
    </w:p>
    <w:p w:rsidR="009B20BD" w:rsidRPr="005B0796" w:rsidRDefault="009B20BD" w:rsidP="00194C8F">
      <w:r w:rsidRPr="005B0796">
        <w:t>At the beginning of each interview participants were reminded that participation was voluntary, they could stop the interview at any point, and could withdraw from the study at any time without any impact on their career or entitlements.</w:t>
      </w:r>
    </w:p>
    <w:p w:rsidR="009B20BD" w:rsidRPr="005B0796" w:rsidRDefault="009B20BD" w:rsidP="00194C8F">
      <w:r w:rsidRPr="005B0796">
        <w:t>If the participant agreed to proceed with the interview, verbal consent was obtained and recorded. Following this, the highly structured interview was undertaken.</w:t>
      </w:r>
    </w:p>
    <w:p w:rsidR="009B20BD" w:rsidRPr="005B0796" w:rsidRDefault="009B20BD" w:rsidP="00194C8F">
      <w:r w:rsidRPr="005B0796">
        <w:t xml:space="preserve">At the end of the structured interview, participants were provided with sufficient time to debrief, ask questions, and provided interview related feedback. If at any time the participant indicated that they were feeling distressed or suicidal, interviewers implemented the relevant duty of care protocols. </w:t>
      </w:r>
    </w:p>
    <w:p w:rsidR="009B20BD" w:rsidRPr="005B0796" w:rsidRDefault="009B20BD" w:rsidP="00751C86">
      <w:pPr>
        <w:pStyle w:val="Heading2b"/>
        <w:rPr>
          <w:rFonts w:cs="Arial"/>
        </w:rPr>
      </w:pPr>
      <w:bookmarkStart w:id="1616" w:name="_Toc341700588"/>
      <w:bookmarkStart w:id="1617" w:name="_Toc482021455"/>
      <w:bookmarkStart w:id="1618" w:name="_Toc482024546"/>
      <w:bookmarkStart w:id="1619" w:name="_Toc487011315"/>
      <w:bookmarkStart w:id="1620" w:name="_Toc493663210"/>
      <w:bookmarkStart w:id="1621" w:name="_Toc494449817"/>
      <w:bookmarkStart w:id="1622" w:name="_Toc297295806"/>
      <w:r w:rsidRPr="005B0796">
        <w:t>Medicare and Pharmaceutical Benefits Scheme/Repatriation Pharmaceutical Benefits Scheme data linkage</w:t>
      </w:r>
      <w:bookmarkEnd w:id="1616"/>
      <w:bookmarkEnd w:id="1617"/>
      <w:bookmarkEnd w:id="1618"/>
      <w:bookmarkEnd w:id="1619"/>
      <w:bookmarkEnd w:id="1620"/>
      <w:bookmarkEnd w:id="1621"/>
    </w:p>
    <w:p w:rsidR="009B20BD" w:rsidRPr="005B0796" w:rsidRDefault="009B20BD" w:rsidP="00194C8F">
      <w:r w:rsidRPr="005B0796">
        <w:t xml:space="preserve">As part of the broader research Programme, participants were also invited to fill out a consent form authorising the study access to complete Medicare, Pharmaceutical Benefit Scheme (PBS) and Repatriation Pharmaceutical Benefits Scheme (RPBS) data. Data for each consenting participant was obtained for a five-year period before their scheduled interview date and included information about their medical visits, procedures, associated costs, and prescription medications filled at pharmacies. Consent forms for this component of the research were sent securely to the Department of Human Services who holds this information confidentially. </w:t>
      </w:r>
    </w:p>
    <w:p w:rsidR="009B20BD" w:rsidRPr="005B0796" w:rsidRDefault="009B20BD" w:rsidP="00751C86">
      <w:pPr>
        <w:pStyle w:val="Heading2b"/>
      </w:pPr>
      <w:bookmarkStart w:id="1623" w:name="_Toc341700589"/>
      <w:bookmarkStart w:id="1624" w:name="_Toc482021456"/>
      <w:bookmarkStart w:id="1625" w:name="_Toc482024547"/>
      <w:bookmarkStart w:id="1626" w:name="_Toc487011316"/>
      <w:bookmarkStart w:id="1627" w:name="_Toc493663211"/>
      <w:bookmarkStart w:id="1628" w:name="_Toc494449818"/>
      <w:r w:rsidRPr="005B0796">
        <w:t>Statistical analysis</w:t>
      </w:r>
      <w:bookmarkEnd w:id="1623"/>
      <w:bookmarkEnd w:id="1624"/>
      <w:bookmarkEnd w:id="1625"/>
      <w:bookmarkEnd w:id="1626"/>
      <w:bookmarkEnd w:id="1627"/>
      <w:bookmarkEnd w:id="1628"/>
    </w:p>
    <w:p w:rsidR="009B20BD" w:rsidRPr="005B0796" w:rsidRDefault="009B20BD" w:rsidP="00194C8F">
      <w:pPr>
        <w:rPr>
          <w:rFonts w:eastAsia="MS Mincho"/>
        </w:rPr>
      </w:pPr>
      <w:r w:rsidRPr="005B0796">
        <w:t>Analyses were conducted in Stata version 13.1 or SAS version 9.2. All analyses were conducted using weighted estimates of totals, means and proportions, except where specified otherwise. Standard errors were estimated using linearisation, except where specified otherwise.</w:t>
      </w:r>
    </w:p>
    <w:p w:rsidR="009B20BD" w:rsidRPr="005B0796" w:rsidRDefault="009B20BD" w:rsidP="00194C8F">
      <w:pPr>
        <w:rPr>
          <w:rFonts w:eastAsia="Times New Roman"/>
        </w:rPr>
      </w:pPr>
      <w:r w:rsidRPr="005B0796">
        <w:t xml:space="preserve">Subgroup analyses were conducted on each of the 12-month ICD-10 mental disorders using demographic and deployment history predictors, including sex (male, female), age (18–27, 28–37, 38–47, 48–57, 58+), 2015 Regular ADF service or service at transition (Navy, Army, Air Force), 2015 Regular ADF rank or rank on transition (Officer, Non-Commissioned Officer, Other Ranks), years of service in the Regular ADF (&lt; 3 months, 3 months – 3.9 years, 4–7.9 years, 8–11.9 years, 12–15.9 years, 16–19.9 years, 20+ years), deployment status (ever deployed, never deployed). </w:t>
      </w:r>
      <w:r w:rsidRPr="005B0796">
        <w:rPr>
          <w:rFonts w:eastAsia="Times New Roman"/>
        </w:rPr>
        <w:t>For members of the Transitioned ADF, specific transition factors were included: transition status (Ex-Serving, Inactive Reservist, Active Reservist), reason for discharge (medical discharge, other reason), years since transition (0, 1, 2, 3, 4, 5) and DVA client status (DVA client, not a DVA client).</w:t>
      </w:r>
    </w:p>
    <w:p w:rsidR="009B20BD" w:rsidRPr="005B0796" w:rsidRDefault="009B20BD" w:rsidP="00194C8F">
      <w:r w:rsidRPr="005B0796">
        <w:t>Comparisons between the prevalence of 12-month ICD-10 disorders among subgroups were analysed using weighted logistic regressions. All regressions involved variables for age, sex, Service and rank. Comparisons between the prevalence of 12-month ICD-10 disorder classes (affective disorders, anxiety disorders, alcohol disorders) among subgroups were analysed using a weighted multinomial logistic regression, with number of disorder classes as the outcome. The regression involved the co-variates age, sex, Service and rank. Comparisons between the prevalence of self-reported suicidal behaviour among subgroups were analysed using weighted logistic regressions. All regressions included the co</w:t>
      </w:r>
      <w:r w:rsidRPr="005B0796">
        <w:noBreakHyphen/>
        <w:t>variates age, sex, Service and rank.</w:t>
      </w:r>
    </w:p>
    <w:p w:rsidR="009B20BD" w:rsidRPr="005B0796" w:rsidRDefault="009B20BD" w:rsidP="00194C8F">
      <w:r w:rsidRPr="005B0796">
        <w:t>For the self-report measures, the proportion (n (%)) of ADF members in each subgroup is presented. Comparisons between the mean total scores among subgroups were also analysed where appropriate, using weighted multiple linear regressions. All regressions included the co-variates age, sex, Service and rank. Comparisons between the prevalence of self-reported alcohol consumption and problems with drinking were analysed using weighted logistic regressions. A proportional odds model was considered for analysis. However, the main assumption of this approach was violated, so the ordinal response was dichotomised by means of several cut-offs. All regressions included the co-variates age, sex, Service and rank.</w:t>
      </w:r>
    </w:p>
    <w:p w:rsidR="009B20BD" w:rsidRPr="005B0796" w:rsidRDefault="009B20BD" w:rsidP="00194C8F">
      <w:r w:rsidRPr="005B0796">
        <w:t>To compare the mental health and wellbeing of the 2015 Regular ADF with the 2010 Regular ADF, a direct numerical comparison was performed. This did not include standardisation or tests of statistical significance. As these two samples cannot be considered independent, between group differences should be interpreted with caution, noting that some members of the 2015 Regular ADF sample were also represented in the 2010 Regular ADF sample. The issue of individual change in symptoms and disorder over time in this group will be addressed in the future longitudinal report.</w:t>
      </w:r>
    </w:p>
    <w:p w:rsidR="009B20BD" w:rsidRPr="005B0796" w:rsidRDefault="009B20BD" w:rsidP="00194C8F">
      <w:r w:rsidRPr="005B0796">
        <w:t>To compare estimates in the Transitioned ADF with the Australian Community, direct standardisation was applied to estimates in the 2014–15 NHS. The NHS data were restricted to those aged 18–71 (consistent with the Transition and Wellbeing Research Programme transition population). The data were standardised by sex, employment status (employed or not) and age category (18–27, 28–37, 38–47, 48–57 and 58+). Standard errors for the NHS data were estimated using the replication weights provided in the NHS data file.</w:t>
      </w:r>
    </w:p>
    <w:p w:rsidR="009B20BD" w:rsidRPr="005B0796" w:rsidRDefault="009B20BD" w:rsidP="00751C86">
      <w:pPr>
        <w:pStyle w:val="Heading2b"/>
      </w:pPr>
      <w:bookmarkStart w:id="1629" w:name="_Toc341700590"/>
      <w:bookmarkStart w:id="1630" w:name="_Toc482021457"/>
      <w:bookmarkStart w:id="1631" w:name="_Toc482024548"/>
      <w:bookmarkStart w:id="1632" w:name="_Toc487011317"/>
      <w:bookmarkStart w:id="1633" w:name="_Toc493663212"/>
      <w:bookmarkStart w:id="1634" w:name="_Toc494449819"/>
      <w:r w:rsidRPr="005B0796">
        <w:t>Ethical considerations</w:t>
      </w:r>
      <w:bookmarkEnd w:id="1629"/>
      <w:bookmarkEnd w:id="1630"/>
      <w:bookmarkEnd w:id="1631"/>
      <w:bookmarkEnd w:id="1632"/>
      <w:bookmarkEnd w:id="1633"/>
      <w:bookmarkEnd w:id="1634"/>
    </w:p>
    <w:p w:rsidR="009B20BD" w:rsidRPr="005B0796" w:rsidRDefault="009B20BD" w:rsidP="00194C8F">
      <w:r w:rsidRPr="005B0796">
        <w:t xml:space="preserve">In order to combat potential risks and ensure that participation in the study was completely free from coercion, participants were made explicitly aware that their involvement in the study was voluntary and that they could decline to participate and/or were free to withdraw from the project at any time. This was emphasised in all study materials. Secondly, whether or not an individual chose to participate in the study was not communicated to senior staff in the ADF, nor were members asked directly to participate in the study by a uniformed Officer. This also ensured that recruitment was free from coercion. </w:t>
      </w:r>
    </w:p>
    <w:p w:rsidR="009B20BD" w:rsidRPr="005B0796" w:rsidRDefault="009B20BD" w:rsidP="00194C8F">
      <w:pPr>
        <w:rPr>
          <w:rFonts w:cs="Arial"/>
        </w:rPr>
      </w:pPr>
      <w:r w:rsidRPr="005B0796">
        <w:t>In order to manage potential risks to participants in relation to both phase 1 and phase</w:t>
      </w:r>
      <w:r w:rsidR="00194C8F" w:rsidRPr="005B0796">
        <w:t> </w:t>
      </w:r>
      <w:r w:rsidRPr="005B0796">
        <w:t xml:space="preserve">2 of the research, a </w:t>
      </w:r>
      <w:r w:rsidRPr="005B0796">
        <w:rPr>
          <w:rFonts w:cs="Arial"/>
        </w:rPr>
        <w:t>duty of care protocol was established and strictly adhered to by the research team.</w:t>
      </w:r>
    </w:p>
    <w:p w:rsidR="009B20BD" w:rsidRPr="005B0796" w:rsidRDefault="009B20BD" w:rsidP="00751C86">
      <w:pPr>
        <w:pStyle w:val="Heading2b"/>
      </w:pPr>
      <w:bookmarkStart w:id="1635" w:name="_Toc341700591"/>
      <w:bookmarkStart w:id="1636" w:name="_Toc482021458"/>
      <w:bookmarkStart w:id="1637" w:name="_Toc482024549"/>
      <w:bookmarkStart w:id="1638" w:name="_Toc487011318"/>
      <w:bookmarkStart w:id="1639" w:name="_Toc493663213"/>
      <w:bookmarkStart w:id="1640" w:name="_Toc494449820"/>
      <w:r w:rsidRPr="005B0796">
        <w:t>Ethical approvals</w:t>
      </w:r>
      <w:bookmarkEnd w:id="1622"/>
      <w:bookmarkEnd w:id="1635"/>
      <w:bookmarkEnd w:id="1636"/>
      <w:bookmarkEnd w:id="1637"/>
      <w:bookmarkEnd w:id="1638"/>
      <w:bookmarkEnd w:id="1639"/>
      <w:bookmarkEnd w:id="1640"/>
    </w:p>
    <w:p w:rsidR="009B20BD" w:rsidRPr="005B0796" w:rsidRDefault="009B20BD" w:rsidP="00194C8F">
      <w:r w:rsidRPr="005B0796">
        <w:t>The study protocol was approved by the DVA Human Research Ethics Committee (E014/018), and was mutually recognised by the Directorate, Defence Health Research, and the University of Adelaide Human Research Ethics Committee. The study protocol was also submitted to Australian Institute of Health and Welfare Ethics Committee and received approval accordingly (EO 2015/1/163).</w:t>
      </w:r>
      <w:bookmarkStart w:id="1641" w:name="_Toc341700592"/>
    </w:p>
    <w:bookmarkEnd w:id="1641"/>
    <w:p w:rsidR="001E64C2" w:rsidRPr="005B0796" w:rsidRDefault="001E64C2" w:rsidP="00D33302"/>
    <w:p w:rsidR="008259C3" w:rsidRPr="005B0796" w:rsidRDefault="008259C3" w:rsidP="00D33302">
      <w:pPr>
        <w:sectPr w:rsidR="008259C3" w:rsidRPr="005B0796" w:rsidSect="00060BAD">
          <w:footerReference w:type="even" r:id="rId294"/>
          <w:footerReference w:type="default" r:id="rId295"/>
          <w:pgSz w:w="9979" w:h="14170" w:code="243"/>
          <w:pgMar w:top="1440" w:right="1152" w:bottom="1440" w:left="1728" w:header="576" w:footer="576" w:gutter="0"/>
          <w:cols w:space="708"/>
          <w:docGrid w:linePitch="360"/>
        </w:sectPr>
      </w:pPr>
    </w:p>
    <w:p w:rsidR="008259C3" w:rsidRPr="005B0796" w:rsidRDefault="008259C3" w:rsidP="00134AF3">
      <w:pPr>
        <w:pStyle w:val="Heading1b"/>
      </w:pPr>
      <w:bookmarkStart w:id="1642" w:name="_Toc494449821"/>
      <w:bookmarkStart w:id="1643" w:name="_Toc511900391"/>
      <w:r w:rsidRPr="005B0796">
        <w:t>Detailed tables</w:t>
      </w:r>
      <w:bookmarkEnd w:id="1642"/>
      <w:bookmarkEnd w:id="1643"/>
    </w:p>
    <w:p w:rsidR="00395119" w:rsidRPr="005B0796" w:rsidRDefault="00395119" w:rsidP="00751C86">
      <w:pPr>
        <w:pStyle w:val="Heading2b"/>
      </w:pPr>
      <w:r w:rsidRPr="005B0796">
        <w:t>Analytical tables</w:t>
      </w:r>
    </w:p>
    <w:p w:rsidR="00395119" w:rsidRPr="005B0796" w:rsidRDefault="00395119" w:rsidP="00395119">
      <w:pPr>
        <w:pStyle w:val="TableName"/>
        <w:rPr>
          <w:lang w:eastAsia="en-AU"/>
        </w:rPr>
      </w:pPr>
      <w:bookmarkStart w:id="1644" w:name="_Toc511900500"/>
      <w:r w:rsidRPr="005B0796">
        <w:t>Table B.1</w:t>
      </w:r>
      <w:r w:rsidRPr="005B0796">
        <w:tab/>
        <w:t>Estimated prevalence of lifetime and 12-month ICD-10 anxiety disorder in Transitioned ADF using the ABS definition</w:t>
      </w:r>
      <w:bookmarkEnd w:id="1644"/>
    </w:p>
    <w:tbl>
      <w:tblPr>
        <w:tblStyle w:val="TWRPTable"/>
        <w:tblW w:w="5000" w:type="pct"/>
        <w:tblLayout w:type="fixed"/>
        <w:tblLook w:val="04A0" w:firstRow="1" w:lastRow="0" w:firstColumn="1" w:lastColumn="0" w:noHBand="0" w:noVBand="1"/>
        <w:tblDescription w:val="Table B.1 Estimated prevalence of lifetime and 12-month ICD-10 anxiety disorder in Transitioned ADF using the ABS definition"/>
      </w:tblPr>
      <w:tblGrid>
        <w:gridCol w:w="2538"/>
        <w:gridCol w:w="1592"/>
        <w:gridCol w:w="1592"/>
        <w:gridCol w:w="1593"/>
      </w:tblGrid>
      <w:tr w:rsidR="0091707F"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vMerge w:val="restart"/>
            <w:noWrap/>
            <w:hideMark/>
          </w:tcPr>
          <w:p w:rsidR="0091707F" w:rsidRPr="005B0796" w:rsidRDefault="0091707F" w:rsidP="0091707F">
            <w:pPr>
              <w:pStyle w:val="TableText"/>
              <w:rPr>
                <w:lang w:eastAsia="en-AU"/>
              </w:rPr>
            </w:pPr>
            <w:r w:rsidRPr="005B0796">
              <w:rPr>
                <w:lang w:eastAsia="en-AU"/>
              </w:rPr>
              <w:t>ABS any anxiety disorder</w:t>
            </w:r>
          </w:p>
        </w:tc>
        <w:tc>
          <w:tcPr>
            <w:tcW w:w="4777" w:type="dxa"/>
            <w:gridSpan w:val="3"/>
            <w:noWrap/>
          </w:tcPr>
          <w:p w:rsidR="0091707F" w:rsidRPr="005B0796" w:rsidRDefault="0091707F" w:rsidP="0091707F">
            <w:pPr>
              <w:pStyle w:val="TableText"/>
              <w:jc w:val="center"/>
              <w:rPr>
                <w:lang w:eastAsia="en-AU"/>
              </w:rPr>
            </w:pPr>
            <w:r w:rsidRPr="005B0796">
              <w:rPr>
                <w:lang w:eastAsia="en-AU"/>
              </w:rPr>
              <w:t>Transitioned ADF (n = 24,932)</w:t>
            </w:r>
          </w:p>
        </w:tc>
      </w:tr>
      <w:tr w:rsidR="0091707F"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vMerge/>
            <w:noWrap/>
            <w:hideMark/>
          </w:tcPr>
          <w:p w:rsidR="0091707F" w:rsidRPr="005B0796" w:rsidRDefault="0091707F" w:rsidP="0091707F">
            <w:pPr>
              <w:pStyle w:val="TableText"/>
              <w:rPr>
                <w:lang w:eastAsia="en-AU"/>
              </w:rPr>
            </w:pPr>
          </w:p>
        </w:tc>
        <w:tc>
          <w:tcPr>
            <w:tcW w:w="1592" w:type="dxa"/>
            <w:noWrap/>
            <w:hideMark/>
          </w:tcPr>
          <w:p w:rsidR="0091707F" w:rsidRPr="005B0796" w:rsidRDefault="0091707F" w:rsidP="0091707F">
            <w:pPr>
              <w:pStyle w:val="TableText"/>
              <w:jc w:val="right"/>
              <w:rPr>
                <w:lang w:eastAsia="en-AU"/>
              </w:rPr>
            </w:pPr>
            <w:r w:rsidRPr="005B0796">
              <w:rPr>
                <w:lang w:eastAsia="en-AU"/>
              </w:rPr>
              <w:t>Weighted n</w:t>
            </w:r>
          </w:p>
        </w:tc>
        <w:tc>
          <w:tcPr>
            <w:tcW w:w="1592" w:type="dxa"/>
            <w:hideMark/>
          </w:tcPr>
          <w:p w:rsidR="0091707F" w:rsidRPr="005B0796" w:rsidRDefault="0091707F" w:rsidP="0091707F">
            <w:pPr>
              <w:pStyle w:val="TableText"/>
              <w:jc w:val="right"/>
              <w:rPr>
                <w:lang w:eastAsia="en-AU"/>
              </w:rPr>
            </w:pPr>
            <w:r w:rsidRPr="005B0796">
              <w:rPr>
                <w:lang w:eastAsia="en-AU"/>
              </w:rPr>
              <w:t>%</w:t>
            </w:r>
          </w:p>
        </w:tc>
        <w:tc>
          <w:tcPr>
            <w:tcW w:w="1593" w:type="dxa"/>
            <w:hideMark/>
          </w:tcPr>
          <w:p w:rsidR="0091707F" w:rsidRPr="005B0796" w:rsidRDefault="0091707F" w:rsidP="0091707F">
            <w:pPr>
              <w:pStyle w:val="TableText"/>
              <w:jc w:val="right"/>
              <w:rPr>
                <w:lang w:eastAsia="en-AU"/>
              </w:rPr>
            </w:pPr>
            <w:r w:rsidRPr="005B0796">
              <w:rPr>
                <w:lang w:eastAsia="en-AU"/>
              </w:rPr>
              <w:t>95% CI</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1707F">
            <w:pPr>
              <w:pStyle w:val="TableText"/>
              <w:rPr>
                <w:rFonts w:cs="@헤드라인A"/>
                <w:lang w:eastAsia="en-AU"/>
              </w:rPr>
            </w:pPr>
            <w:r w:rsidRPr="005B0796">
              <w:rPr>
                <w:rFonts w:cs="@헤드라인A"/>
                <w:lang w:eastAsia="en-AU"/>
              </w:rPr>
              <w:t xml:space="preserve">Lifetime any anxiety disorder </w:t>
            </w:r>
          </w:p>
        </w:tc>
        <w:tc>
          <w:tcPr>
            <w:tcW w:w="1592" w:type="dxa"/>
            <w:noWrap/>
            <w:hideMark/>
          </w:tcPr>
          <w:p w:rsidR="00395119" w:rsidRPr="005B0796" w:rsidRDefault="00395119" w:rsidP="0091707F">
            <w:pPr>
              <w:pStyle w:val="TableText"/>
              <w:jc w:val="right"/>
              <w:rPr>
                <w:rFonts w:cs="@헤드라인A"/>
                <w:lang w:eastAsia="en-AU"/>
              </w:rPr>
            </w:pPr>
            <w:r w:rsidRPr="005B0796">
              <w:rPr>
                <w:rFonts w:cs="@헤드라인A"/>
                <w:lang w:eastAsia="en-AU"/>
              </w:rPr>
              <w:t>10421</w:t>
            </w:r>
          </w:p>
        </w:tc>
        <w:tc>
          <w:tcPr>
            <w:tcW w:w="1592" w:type="dxa"/>
            <w:noWrap/>
            <w:hideMark/>
          </w:tcPr>
          <w:p w:rsidR="00395119" w:rsidRPr="005B0796" w:rsidRDefault="00395119" w:rsidP="0091707F">
            <w:pPr>
              <w:pStyle w:val="TableText"/>
              <w:jc w:val="right"/>
              <w:rPr>
                <w:rFonts w:cs="@헤드라인A"/>
                <w:lang w:eastAsia="en-AU"/>
              </w:rPr>
            </w:pPr>
            <w:r w:rsidRPr="005B0796">
              <w:rPr>
                <w:rFonts w:cs="@헤드라인A"/>
                <w:lang w:eastAsia="en-AU"/>
              </w:rPr>
              <w:t xml:space="preserve">41.8 </w:t>
            </w:r>
          </w:p>
        </w:tc>
        <w:tc>
          <w:tcPr>
            <w:tcW w:w="1593" w:type="dxa"/>
            <w:noWrap/>
            <w:hideMark/>
          </w:tcPr>
          <w:p w:rsidR="00395119" w:rsidRPr="005B0796" w:rsidRDefault="00395119" w:rsidP="0091707F">
            <w:pPr>
              <w:pStyle w:val="TableText"/>
              <w:jc w:val="right"/>
              <w:rPr>
                <w:lang w:eastAsia="en-AU"/>
              </w:rPr>
            </w:pPr>
            <w:r w:rsidRPr="005B0796">
              <w:rPr>
                <w:lang w:eastAsia="en-AU"/>
              </w:rPr>
              <w:t>37.1,46.6</w:t>
            </w:r>
          </w:p>
        </w:tc>
      </w:tr>
      <w:tr w:rsidR="00395119" w:rsidRPr="005B0796" w:rsidTr="00520A12">
        <w:tc>
          <w:tcPr>
            <w:tcW w:w="2538" w:type="dxa"/>
            <w:hideMark/>
          </w:tcPr>
          <w:p w:rsidR="00395119" w:rsidRPr="005B0796" w:rsidRDefault="00395119" w:rsidP="0091707F">
            <w:pPr>
              <w:pStyle w:val="TableText"/>
              <w:rPr>
                <w:rFonts w:cs="@헤드라인A"/>
                <w:lang w:eastAsia="en-AU"/>
              </w:rPr>
            </w:pPr>
            <w:r w:rsidRPr="005B0796">
              <w:rPr>
                <w:rFonts w:cs="@헤드라인A"/>
                <w:lang w:eastAsia="en-AU"/>
              </w:rPr>
              <w:t xml:space="preserve">12-month any anxiety disorder </w:t>
            </w:r>
          </w:p>
        </w:tc>
        <w:tc>
          <w:tcPr>
            <w:tcW w:w="1592" w:type="dxa"/>
            <w:noWrap/>
            <w:hideMark/>
          </w:tcPr>
          <w:p w:rsidR="00395119" w:rsidRPr="005B0796" w:rsidRDefault="00395119" w:rsidP="0091707F">
            <w:pPr>
              <w:pStyle w:val="TableText"/>
              <w:jc w:val="right"/>
              <w:rPr>
                <w:kern w:val="24"/>
                <w:lang w:eastAsia="ja-JP"/>
              </w:rPr>
            </w:pPr>
            <w:r w:rsidRPr="005B0796">
              <w:rPr>
                <w:kern w:val="24"/>
              </w:rPr>
              <w:t>7694</w:t>
            </w:r>
          </w:p>
        </w:tc>
        <w:tc>
          <w:tcPr>
            <w:tcW w:w="1592" w:type="dxa"/>
            <w:noWrap/>
            <w:hideMark/>
          </w:tcPr>
          <w:p w:rsidR="00395119" w:rsidRPr="005B0796" w:rsidRDefault="00395119" w:rsidP="0091707F">
            <w:pPr>
              <w:pStyle w:val="TableText"/>
              <w:jc w:val="right"/>
              <w:rPr>
                <w:kern w:val="24"/>
              </w:rPr>
            </w:pPr>
            <w:r w:rsidRPr="005B0796">
              <w:rPr>
                <w:kern w:val="24"/>
              </w:rPr>
              <w:t>30.9</w:t>
            </w:r>
          </w:p>
        </w:tc>
        <w:tc>
          <w:tcPr>
            <w:tcW w:w="1593" w:type="dxa"/>
            <w:noWrap/>
            <w:hideMark/>
          </w:tcPr>
          <w:p w:rsidR="00395119" w:rsidRPr="005B0796" w:rsidRDefault="00395119" w:rsidP="0091707F">
            <w:pPr>
              <w:pStyle w:val="TableText"/>
              <w:jc w:val="right"/>
              <w:rPr>
                <w:kern w:val="24"/>
              </w:rPr>
            </w:pPr>
            <w:r w:rsidRPr="005B0796">
              <w:rPr>
                <w:kern w:val="24"/>
              </w:rPr>
              <w:t>26.6, 35.5</w:t>
            </w:r>
          </w:p>
        </w:tc>
      </w:tr>
    </w:tbl>
    <w:p w:rsidR="00395119" w:rsidRPr="005B0796" w:rsidRDefault="00395119" w:rsidP="00395119">
      <w:pPr>
        <w:pStyle w:val="TableNotes"/>
        <w:rPr>
          <w:lang w:eastAsia="ja-JP"/>
        </w:rPr>
      </w:pPr>
      <w:r w:rsidRPr="005B0796">
        <w:t xml:space="preserve">Note: To allow comparison with the ABS study, </w:t>
      </w:r>
      <w:r w:rsidR="00462A0C" w:rsidRPr="005B0796">
        <w:t>‘</w:t>
      </w:r>
      <w:r w:rsidRPr="005B0796">
        <w:t>any anxiety disorder</w:t>
      </w:r>
      <w:r w:rsidR="00462A0C" w:rsidRPr="005B0796">
        <w:t>’</w:t>
      </w:r>
      <w:r w:rsidRPr="005B0796">
        <w:t xml:space="preserve"> was limited to the following six anxiety disorders: panic disorder, agoraphobia, social phobia, generali</w:t>
      </w:r>
      <w:r w:rsidR="00520FC8" w:rsidRPr="005B0796">
        <w:t>s</w:t>
      </w:r>
      <w:r w:rsidRPr="005B0796">
        <w:t xml:space="preserve">ed anxiety disorder, obsessive-compulsive disorder and posttraumatic stress disorder. The ABS definition replicates the categories used in the 2007 National Mental Health and Wellbeing Survey </w:t>
      </w:r>
      <w:r w:rsidRPr="005B0796">
        <w:rPr>
          <w:rFonts w:cs="@헤드라인A"/>
          <w:color w:val="262626"/>
        </w:rPr>
        <w:fldChar w:fldCharType="begin"/>
      </w:r>
      <w:r w:rsidRPr="005B0796">
        <w:rPr>
          <w:rFonts w:cs="@헤드라인A"/>
          <w:color w:val="262626"/>
        </w:rPr>
        <w:instrText xml:space="preserve"> ADDIN EN.CITE &lt;EndNote&gt;&lt;Cite&gt;&lt;Author&gt;Slade&lt;/Author&gt;&lt;Year&gt;2007&lt;/Year&gt;&lt;RecNum&gt;504&lt;/RecNum&gt;&lt;DisplayText&gt;(Slade et al., 2007)&lt;/DisplayText&gt;&lt;record&gt;&lt;rec-number&gt;504&lt;/rec-number&gt;&lt;foreign-keys&gt;&lt;key app="EN" db-id="arwdrezp9sdawxevtfyxtfw10exvr5exxfed" timestamp="1478573135"&gt;504&lt;/key&gt;&lt;/foreign-keys&gt;&lt;ref-type name="Book"&gt;6&lt;/ref-type&gt;&lt;contributors&gt;&lt;authors&gt;&lt;author&gt;Slade, T.&lt;/author&gt;&lt;author&gt;Johnston, A.&lt;/author&gt;&lt;author&gt;Teesson, M.&lt;/author&gt;&lt;author&gt;Whiteford, H.&lt;/author&gt;&lt;author&gt;Burgess, P.&lt;/author&gt;&lt;author&gt;Pirkis, J.&lt;/author&gt;&lt;author&gt;Saw, S.&lt;/author&gt;&lt;/authors&gt;&lt;/contributors&gt;&lt;titles&gt;&lt;title&gt;The Mental Health of Australians 2. Report on the 2007 National Survey of Mental Health and Wellbeing&lt;/title&gt;&lt;/titles&gt;&lt;dates&gt;&lt;year&gt;2007&lt;/year&gt;&lt;/dates&gt;&lt;pub-location&gt;Department of Health and Ageing&lt;/pub-location&gt;&lt;publisher&gt;Canberra&lt;/publisher&gt;&lt;urls&gt;&lt;/urls&gt;&lt;/record&gt;&lt;/Cite&gt;&lt;/EndNote&gt;</w:instrText>
      </w:r>
      <w:r w:rsidRPr="005B0796">
        <w:rPr>
          <w:rFonts w:cs="@헤드라인A"/>
          <w:color w:val="262626"/>
        </w:rPr>
        <w:fldChar w:fldCharType="separate"/>
      </w:r>
      <w:r w:rsidRPr="005B0796">
        <w:rPr>
          <w:rFonts w:cs="@헤드라인A"/>
          <w:color w:val="262626"/>
        </w:rPr>
        <w:t>(Slade et al., 2007)</w:t>
      </w:r>
      <w:r w:rsidRPr="005B0796">
        <w:rPr>
          <w:rFonts w:cs="@헤드라인A"/>
          <w:color w:val="262626"/>
        </w:rPr>
        <w:fldChar w:fldCharType="end"/>
      </w:r>
      <w:r w:rsidRPr="005B0796">
        <w:rPr>
          <w:rFonts w:cs="@헤드라인A"/>
          <w:color w:val="262626"/>
        </w:rPr>
        <w:t xml:space="preserve"> </w:t>
      </w:r>
      <w:r w:rsidRPr="005B0796">
        <w:t xml:space="preserve">and the 2010 ADF Mental Health Prevalence and Wellbeing Study </w:t>
      </w:r>
      <w:r w:rsidRPr="005B0796">
        <w:rPr>
          <w:rFonts w:cs="@헤드라인A"/>
          <w:color w:val="262626"/>
        </w:rPr>
        <w:fldChar w:fldCharType="begin"/>
      </w:r>
      <w:r w:rsidRPr="005B0796">
        <w:rPr>
          <w:rFonts w:cs="@헤드라인A"/>
          <w:color w:val="262626"/>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A.C&lt;/author&gt;&lt;author&gt;Hodson, Stephanie&lt;/author&gt;&lt;author&gt;Van Hooff, Miranda&lt;/author&gt;&lt;author&gt;Davies, Chris&lt;/author&gt;&lt;/authors&gt;&lt;/contributors&gt;&lt;titles&gt;&lt;title&gt;Mental health in the Australian Defence Force: 2010 ADF Mental Health Prevalence and Wellbeing Study: Full Report&lt;/title&gt;&lt;/titles&gt;&lt;dates&gt;&lt;year&gt;2011&lt;/year&gt;&lt;/dates&gt;&lt;pub-location&gt;Department of Defence&lt;/pub-location&gt;&lt;publisher&gt;Canberra&lt;/publisher&gt;&lt;urls&gt;&lt;/urls&gt;&lt;/record&gt;&lt;/Cite&gt;&lt;/EndNote&gt;</w:instrText>
      </w:r>
      <w:r w:rsidRPr="005B0796">
        <w:rPr>
          <w:rFonts w:cs="@헤드라인A"/>
          <w:color w:val="262626"/>
        </w:rPr>
        <w:fldChar w:fldCharType="separate"/>
      </w:r>
      <w:r w:rsidRPr="005B0796">
        <w:rPr>
          <w:rFonts w:cs="@헤드라인A"/>
          <w:color w:val="262626"/>
        </w:rPr>
        <w:t>(McFarlane et al., 2011)</w:t>
      </w:r>
      <w:r w:rsidRPr="005B0796">
        <w:rPr>
          <w:rFonts w:cs="@헤드라인A"/>
          <w:color w:val="262626"/>
        </w:rPr>
        <w:fldChar w:fldCharType="end"/>
      </w:r>
      <w:r w:rsidRPr="005B0796">
        <w:t>.</w:t>
      </w:r>
    </w:p>
    <w:p w:rsidR="00395119" w:rsidRPr="005B0796" w:rsidRDefault="00395119" w:rsidP="00395119">
      <w:pPr>
        <w:pStyle w:val="TableNotes"/>
      </w:pPr>
      <w:r w:rsidRPr="005B0796">
        <w:t xml:space="preserve">Note: 95%CI: 95% </w:t>
      </w:r>
      <w:r w:rsidR="00564689" w:rsidRPr="005B0796">
        <w:t>confidence interval</w:t>
      </w:r>
    </w:p>
    <w:p w:rsidR="00395119" w:rsidRPr="005B0796" w:rsidRDefault="00395119" w:rsidP="00395119">
      <w:pPr>
        <w:pStyle w:val="TableName"/>
      </w:pPr>
      <w:bookmarkStart w:id="1645" w:name="_Toc511900501"/>
      <w:r w:rsidRPr="005B0796">
        <w:t>Table B.2</w:t>
      </w:r>
      <w:r w:rsidRPr="005B0796">
        <w:tab/>
        <w:t>Regression coefficients comparing mean DAR-5 anger in Transitioned vs 2015 Regular ADF</w:t>
      </w:r>
      <w:bookmarkEnd w:id="1645"/>
    </w:p>
    <w:tbl>
      <w:tblPr>
        <w:tblStyle w:val="TWRPTable"/>
        <w:tblW w:w="5000" w:type="pct"/>
        <w:tblLayout w:type="fixed"/>
        <w:tblLook w:val="04A0" w:firstRow="1" w:lastRow="0" w:firstColumn="1" w:lastColumn="0" w:noHBand="0" w:noVBand="1"/>
        <w:tblDescription w:val="Table B.2 Regression coefficients comparing mean DAR-5 anger in Transitioned vs 2015 Regular ADF"/>
      </w:tblPr>
      <w:tblGrid>
        <w:gridCol w:w="2538"/>
        <w:gridCol w:w="1194"/>
        <w:gridCol w:w="1194"/>
        <w:gridCol w:w="1194"/>
        <w:gridCol w:w="1195"/>
      </w:tblGrid>
      <w:tr w:rsidR="0091707F"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vMerge w:val="restart"/>
          </w:tcPr>
          <w:p w:rsidR="0091707F" w:rsidRPr="005B0796" w:rsidRDefault="0091707F" w:rsidP="0091707F">
            <w:pPr>
              <w:pStyle w:val="TableText"/>
            </w:pPr>
          </w:p>
        </w:tc>
        <w:tc>
          <w:tcPr>
            <w:tcW w:w="4777" w:type="dxa"/>
            <w:gridSpan w:val="4"/>
            <w:hideMark/>
          </w:tcPr>
          <w:p w:rsidR="0091707F" w:rsidRPr="005B0796" w:rsidRDefault="0091707F" w:rsidP="0091707F">
            <w:pPr>
              <w:pStyle w:val="TableText"/>
              <w:jc w:val="center"/>
            </w:pPr>
            <w:r w:rsidRPr="005B0796">
              <w:t>Transitioned ADF vs 2015 Regular ADF</w:t>
            </w:r>
          </w:p>
        </w:tc>
      </w:tr>
      <w:tr w:rsidR="0091707F"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vMerge/>
            <w:hideMark/>
          </w:tcPr>
          <w:p w:rsidR="0091707F" w:rsidRPr="005B0796" w:rsidRDefault="0091707F" w:rsidP="0091707F">
            <w:pPr>
              <w:pStyle w:val="TableText"/>
            </w:pPr>
          </w:p>
        </w:tc>
        <w:tc>
          <w:tcPr>
            <w:tcW w:w="1194" w:type="dxa"/>
            <w:hideMark/>
          </w:tcPr>
          <w:p w:rsidR="0091707F" w:rsidRPr="005B0796" w:rsidRDefault="0091707F" w:rsidP="0091707F">
            <w:pPr>
              <w:pStyle w:val="TableText"/>
              <w:jc w:val="right"/>
            </w:pPr>
            <w:r w:rsidRPr="005B0796">
              <w:t>Coef*</w:t>
            </w:r>
          </w:p>
        </w:tc>
        <w:tc>
          <w:tcPr>
            <w:tcW w:w="1194" w:type="dxa"/>
            <w:hideMark/>
          </w:tcPr>
          <w:p w:rsidR="0091707F" w:rsidRPr="005B0796" w:rsidRDefault="0091707F" w:rsidP="0091707F">
            <w:pPr>
              <w:pStyle w:val="TableText"/>
              <w:jc w:val="right"/>
            </w:pPr>
            <w:r w:rsidRPr="005B0796">
              <w:t>SE</w:t>
            </w:r>
          </w:p>
        </w:tc>
        <w:tc>
          <w:tcPr>
            <w:tcW w:w="1194" w:type="dxa"/>
            <w:hideMark/>
          </w:tcPr>
          <w:p w:rsidR="0091707F" w:rsidRPr="005B0796" w:rsidRDefault="0091707F" w:rsidP="0091707F">
            <w:pPr>
              <w:pStyle w:val="TableText"/>
              <w:jc w:val="right"/>
            </w:pPr>
            <w:r w:rsidRPr="005B0796">
              <w:t>CI</w:t>
            </w:r>
          </w:p>
        </w:tc>
        <w:tc>
          <w:tcPr>
            <w:tcW w:w="1195" w:type="dxa"/>
            <w:hideMark/>
          </w:tcPr>
          <w:p w:rsidR="0091707F" w:rsidRPr="005B0796" w:rsidRDefault="0091707F" w:rsidP="0091707F">
            <w:pPr>
              <w:pStyle w:val="TableText"/>
              <w:jc w:val="right"/>
            </w:pPr>
            <w:r w:rsidRPr="005B0796">
              <w:t>P</w:t>
            </w:r>
          </w:p>
        </w:tc>
      </w:tr>
      <w:tr w:rsidR="00C02BB8"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1707F">
            <w:pPr>
              <w:pStyle w:val="TableText"/>
              <w:rPr>
                <w:rFonts w:eastAsia="Times New Roman"/>
              </w:rPr>
            </w:pPr>
            <w:r w:rsidRPr="005B0796">
              <w:rPr>
                <w:rFonts w:eastAsia="Times New Roman"/>
              </w:rPr>
              <w:t xml:space="preserve">Anger frequency </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0.2</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0.05</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0.10 0.30</w:t>
            </w:r>
          </w:p>
        </w:tc>
        <w:tc>
          <w:tcPr>
            <w:tcW w:w="1195" w:type="dxa"/>
            <w:hideMark/>
          </w:tcPr>
          <w:p w:rsidR="00395119" w:rsidRPr="005B0796" w:rsidRDefault="00395119" w:rsidP="0091707F">
            <w:pPr>
              <w:pStyle w:val="TableText"/>
              <w:jc w:val="right"/>
              <w:rPr>
                <w:rFonts w:eastAsia="Times New Roman"/>
              </w:rPr>
            </w:pPr>
            <w:r w:rsidRPr="005B0796">
              <w:rPr>
                <w:rFonts w:eastAsia="Times New Roman"/>
              </w:rPr>
              <w:t>&lt;0.001</w:t>
            </w:r>
          </w:p>
        </w:tc>
      </w:tr>
      <w:tr w:rsidR="00C02BB8" w:rsidRPr="005B0796" w:rsidTr="00520A12">
        <w:tc>
          <w:tcPr>
            <w:tcW w:w="2538" w:type="dxa"/>
            <w:hideMark/>
          </w:tcPr>
          <w:p w:rsidR="00395119" w:rsidRPr="005B0796" w:rsidRDefault="00395119" w:rsidP="0091707F">
            <w:pPr>
              <w:pStyle w:val="TableText"/>
              <w:rPr>
                <w:rFonts w:eastAsia="Times New Roman"/>
              </w:rPr>
            </w:pPr>
            <w:r w:rsidRPr="005B0796">
              <w:rPr>
                <w:rFonts w:eastAsia="Times New Roman"/>
              </w:rPr>
              <w:t xml:space="preserve">Anger intensity </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0.29</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0.05</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0.19 0.39</w:t>
            </w:r>
          </w:p>
        </w:tc>
        <w:tc>
          <w:tcPr>
            <w:tcW w:w="1195" w:type="dxa"/>
            <w:hideMark/>
          </w:tcPr>
          <w:p w:rsidR="00395119" w:rsidRPr="005B0796" w:rsidRDefault="00395119" w:rsidP="0091707F">
            <w:pPr>
              <w:pStyle w:val="TableText"/>
              <w:jc w:val="right"/>
              <w:rPr>
                <w:rFonts w:eastAsia="Times New Roman"/>
              </w:rPr>
            </w:pPr>
            <w:r w:rsidRPr="005B0796">
              <w:rPr>
                <w:rFonts w:eastAsia="Times New Roman"/>
              </w:rPr>
              <w:t>&lt;0.001</w:t>
            </w:r>
          </w:p>
        </w:tc>
      </w:tr>
      <w:tr w:rsidR="00C02BB8"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1707F">
            <w:pPr>
              <w:pStyle w:val="TableText"/>
              <w:rPr>
                <w:rFonts w:eastAsia="Times New Roman"/>
              </w:rPr>
            </w:pPr>
            <w:r w:rsidRPr="005B0796">
              <w:rPr>
                <w:rFonts w:eastAsia="Times New Roman"/>
              </w:rPr>
              <w:t xml:space="preserve">Anger duration </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0.31</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0.05</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0.22 0.41</w:t>
            </w:r>
          </w:p>
        </w:tc>
        <w:tc>
          <w:tcPr>
            <w:tcW w:w="1195" w:type="dxa"/>
            <w:hideMark/>
          </w:tcPr>
          <w:p w:rsidR="00395119" w:rsidRPr="005B0796" w:rsidRDefault="00395119" w:rsidP="0091707F">
            <w:pPr>
              <w:pStyle w:val="TableText"/>
              <w:jc w:val="right"/>
              <w:rPr>
                <w:rFonts w:eastAsia="Times New Roman"/>
              </w:rPr>
            </w:pPr>
            <w:r w:rsidRPr="005B0796">
              <w:rPr>
                <w:rFonts w:eastAsia="Times New Roman"/>
              </w:rPr>
              <w:t>&lt;0.001</w:t>
            </w:r>
          </w:p>
        </w:tc>
      </w:tr>
      <w:tr w:rsidR="00C02BB8" w:rsidRPr="005B0796" w:rsidTr="00520A12">
        <w:tc>
          <w:tcPr>
            <w:tcW w:w="2538" w:type="dxa"/>
            <w:hideMark/>
          </w:tcPr>
          <w:p w:rsidR="00395119" w:rsidRPr="005B0796" w:rsidRDefault="00395119" w:rsidP="0091707F">
            <w:pPr>
              <w:pStyle w:val="TableText"/>
              <w:rPr>
                <w:rFonts w:eastAsia="Times New Roman"/>
              </w:rPr>
            </w:pPr>
            <w:r w:rsidRPr="005B0796">
              <w:rPr>
                <w:rFonts w:eastAsia="Times New Roman"/>
              </w:rPr>
              <w:t>Antagonism towards others</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0.26</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0.05</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0.16 0.36</w:t>
            </w:r>
          </w:p>
        </w:tc>
        <w:tc>
          <w:tcPr>
            <w:tcW w:w="1195" w:type="dxa"/>
            <w:hideMark/>
          </w:tcPr>
          <w:p w:rsidR="00395119" w:rsidRPr="005B0796" w:rsidRDefault="00395119" w:rsidP="0091707F">
            <w:pPr>
              <w:pStyle w:val="TableText"/>
              <w:jc w:val="right"/>
              <w:rPr>
                <w:rFonts w:eastAsia="Times New Roman"/>
              </w:rPr>
            </w:pPr>
            <w:r w:rsidRPr="005B0796">
              <w:rPr>
                <w:rFonts w:eastAsia="Times New Roman"/>
              </w:rPr>
              <w:t>&lt;0.001</w:t>
            </w:r>
          </w:p>
        </w:tc>
      </w:tr>
      <w:tr w:rsidR="00C02BB8"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1707F">
            <w:pPr>
              <w:pStyle w:val="TableText"/>
              <w:rPr>
                <w:rFonts w:eastAsia="Times New Roman"/>
              </w:rPr>
            </w:pPr>
            <w:r w:rsidRPr="005B0796">
              <w:rPr>
                <w:rFonts w:eastAsia="Times New Roman"/>
              </w:rPr>
              <w:t>Social relations</w:t>
            </w:r>
          </w:p>
        </w:tc>
        <w:tc>
          <w:tcPr>
            <w:tcW w:w="1194" w:type="dxa"/>
            <w:hideMark/>
          </w:tcPr>
          <w:p w:rsidR="00395119" w:rsidRPr="005B0796" w:rsidRDefault="00395119" w:rsidP="0091707F">
            <w:pPr>
              <w:pStyle w:val="TableText"/>
              <w:jc w:val="right"/>
              <w:rPr>
                <w:rFonts w:eastAsia="Times New Roman"/>
                <w:lang w:eastAsia="ja-JP"/>
              </w:rPr>
            </w:pPr>
            <w:r w:rsidRPr="005B0796">
              <w:rPr>
                <w:rFonts w:eastAsia="Times New Roman"/>
              </w:rPr>
              <w:t>1.47</w:t>
            </w:r>
          </w:p>
        </w:tc>
        <w:tc>
          <w:tcPr>
            <w:tcW w:w="1194" w:type="dxa"/>
          </w:tcPr>
          <w:p w:rsidR="00395119" w:rsidRPr="005B0796" w:rsidRDefault="00395119" w:rsidP="0091707F">
            <w:pPr>
              <w:pStyle w:val="TableText"/>
              <w:jc w:val="right"/>
              <w:rPr>
                <w:rFonts w:eastAsia="Times New Roman"/>
              </w:rPr>
            </w:pPr>
          </w:p>
        </w:tc>
        <w:tc>
          <w:tcPr>
            <w:tcW w:w="1194" w:type="dxa"/>
          </w:tcPr>
          <w:p w:rsidR="00395119" w:rsidRPr="005B0796" w:rsidRDefault="00395119" w:rsidP="0091707F">
            <w:pPr>
              <w:pStyle w:val="TableText"/>
              <w:jc w:val="right"/>
              <w:rPr>
                <w:rFonts w:eastAsia="Times New Roman"/>
              </w:rPr>
            </w:pPr>
          </w:p>
        </w:tc>
        <w:tc>
          <w:tcPr>
            <w:tcW w:w="1195" w:type="dxa"/>
            <w:hideMark/>
          </w:tcPr>
          <w:p w:rsidR="00395119" w:rsidRPr="005B0796" w:rsidRDefault="00395119" w:rsidP="0091707F">
            <w:pPr>
              <w:pStyle w:val="TableText"/>
              <w:jc w:val="right"/>
              <w:rPr>
                <w:rFonts w:eastAsia="Times New Roman"/>
              </w:rPr>
            </w:pPr>
            <w:r w:rsidRPr="005B0796">
              <w:rPr>
                <w:rFonts w:eastAsia="Times New Roman"/>
              </w:rPr>
              <w:t>&lt;0.001</w:t>
            </w:r>
          </w:p>
        </w:tc>
      </w:tr>
      <w:tr w:rsidR="00C02BB8" w:rsidRPr="005B0796" w:rsidTr="00520A12">
        <w:tc>
          <w:tcPr>
            <w:tcW w:w="2538" w:type="dxa"/>
          </w:tcPr>
          <w:p w:rsidR="00395119" w:rsidRPr="005B0796" w:rsidRDefault="00395119" w:rsidP="0091707F">
            <w:pPr>
              <w:pStyle w:val="TableText"/>
              <w:rPr>
                <w:rFonts w:eastAsia="Times New Roman"/>
                <w:lang w:eastAsia="ja-JP"/>
              </w:rPr>
            </w:pPr>
            <w:r w:rsidRPr="005B0796">
              <w:rPr>
                <w:rFonts w:eastAsia="Times New Roman"/>
              </w:rPr>
              <w:t>DAR-5 Total</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1.34</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0.22</w:t>
            </w:r>
          </w:p>
        </w:tc>
        <w:tc>
          <w:tcPr>
            <w:tcW w:w="1194" w:type="dxa"/>
            <w:hideMark/>
          </w:tcPr>
          <w:p w:rsidR="00395119" w:rsidRPr="005B0796" w:rsidRDefault="00395119" w:rsidP="0091707F">
            <w:pPr>
              <w:pStyle w:val="TableText"/>
              <w:jc w:val="right"/>
              <w:rPr>
                <w:rFonts w:eastAsia="Times New Roman"/>
              </w:rPr>
            </w:pPr>
            <w:r w:rsidRPr="005B0796">
              <w:rPr>
                <w:rFonts w:eastAsia="Times New Roman"/>
              </w:rPr>
              <w:t>0.91 1.77</w:t>
            </w:r>
          </w:p>
        </w:tc>
        <w:tc>
          <w:tcPr>
            <w:tcW w:w="1195" w:type="dxa"/>
            <w:hideMark/>
          </w:tcPr>
          <w:p w:rsidR="00395119" w:rsidRPr="005B0796" w:rsidRDefault="00395119" w:rsidP="0091707F">
            <w:pPr>
              <w:pStyle w:val="TableText"/>
              <w:jc w:val="right"/>
              <w:rPr>
                <w:rFonts w:eastAsia="Times New Roman"/>
              </w:rPr>
            </w:pPr>
            <w:r w:rsidRPr="005B0796">
              <w:rPr>
                <w:rFonts w:eastAsia="Times New Roman"/>
              </w:rPr>
              <w:t>&lt;0.001</w:t>
            </w:r>
          </w:p>
        </w:tc>
      </w:tr>
    </w:tbl>
    <w:p w:rsidR="00395119" w:rsidRPr="005B0796" w:rsidRDefault="00395119" w:rsidP="00395119">
      <w:pPr>
        <w:pStyle w:val="TableNotes"/>
      </w:pPr>
      <w:r w:rsidRPr="005B0796">
        <w:rPr>
          <w:sz w:val="20"/>
          <w:szCs w:val="20"/>
        </w:rPr>
        <w:t>*</w:t>
      </w:r>
      <w:r w:rsidRPr="005B0796">
        <w:t>Adjusted for age, sex, service rank.</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pPr>
      <w:bookmarkStart w:id="1646" w:name="_Toc511900502"/>
      <w:r w:rsidRPr="005B0796">
        <w:t>Table B.3</w:t>
      </w:r>
      <w:r w:rsidRPr="005B0796">
        <w:tab/>
        <w:t xml:space="preserve">A comparison of DAR-5 anger in 2015 </w:t>
      </w:r>
      <w:r w:rsidR="00C02BB8" w:rsidRPr="005B0796">
        <w:t>Regular ADF vs 2010 Regular ADF</w:t>
      </w:r>
      <w:bookmarkEnd w:id="1646"/>
    </w:p>
    <w:tbl>
      <w:tblPr>
        <w:tblStyle w:val="TWRPTable"/>
        <w:tblW w:w="5000" w:type="pct"/>
        <w:tblLayout w:type="fixed"/>
        <w:tblLook w:val="04A0" w:firstRow="1" w:lastRow="0" w:firstColumn="1" w:lastColumn="0" w:noHBand="0" w:noVBand="1"/>
        <w:tblDescription w:val="Table B.3 A comparison of DAR-5 anger in 2015 Regular ADF vs 2010 Regular ADF"/>
      </w:tblPr>
      <w:tblGrid>
        <w:gridCol w:w="2538"/>
        <w:gridCol w:w="1592"/>
        <w:gridCol w:w="1592"/>
        <w:gridCol w:w="1593"/>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tcPr>
          <w:p w:rsidR="00395119" w:rsidRPr="005B0796" w:rsidRDefault="00395119" w:rsidP="00C02BB8">
            <w:pPr>
              <w:pStyle w:val="TableText"/>
            </w:pPr>
          </w:p>
        </w:tc>
        <w:tc>
          <w:tcPr>
            <w:tcW w:w="4777" w:type="dxa"/>
            <w:gridSpan w:val="3"/>
            <w:hideMark/>
          </w:tcPr>
          <w:p w:rsidR="00395119" w:rsidRPr="005B0796" w:rsidRDefault="00395119" w:rsidP="00C02BB8">
            <w:pPr>
              <w:pStyle w:val="TableText"/>
              <w:jc w:val="center"/>
            </w:pPr>
            <w:r w:rsidRPr="005B0796">
              <w:t>2015 Regular ADF vs 2010 Regular ADF</w:t>
            </w:r>
          </w:p>
        </w:tc>
      </w:tr>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hideMark/>
          </w:tcPr>
          <w:p w:rsidR="00395119" w:rsidRPr="005B0796" w:rsidRDefault="00395119" w:rsidP="00C02BB8">
            <w:pPr>
              <w:pStyle w:val="TableText"/>
            </w:pPr>
          </w:p>
        </w:tc>
        <w:tc>
          <w:tcPr>
            <w:tcW w:w="1592" w:type="dxa"/>
            <w:hideMark/>
          </w:tcPr>
          <w:p w:rsidR="00395119" w:rsidRPr="005B0796" w:rsidRDefault="00395119" w:rsidP="00C02BB8">
            <w:pPr>
              <w:pStyle w:val="TableText"/>
              <w:jc w:val="right"/>
            </w:pPr>
            <w:r w:rsidRPr="005B0796">
              <w:t xml:space="preserve">Mean </w:t>
            </w:r>
            <w:r w:rsidR="00C02BB8" w:rsidRPr="005B0796">
              <w:t>d</w:t>
            </w:r>
            <w:r w:rsidRPr="005B0796">
              <w:t>ifference</w:t>
            </w:r>
          </w:p>
        </w:tc>
        <w:tc>
          <w:tcPr>
            <w:tcW w:w="1592" w:type="dxa"/>
            <w:hideMark/>
          </w:tcPr>
          <w:p w:rsidR="00395119" w:rsidRPr="005B0796" w:rsidRDefault="00395119" w:rsidP="00C02BB8">
            <w:pPr>
              <w:pStyle w:val="TableText"/>
              <w:jc w:val="right"/>
            </w:pPr>
            <w:r w:rsidRPr="005B0796">
              <w:t>SE of difference</w:t>
            </w:r>
          </w:p>
        </w:tc>
        <w:tc>
          <w:tcPr>
            <w:tcW w:w="1593" w:type="dxa"/>
            <w:hideMark/>
          </w:tcPr>
          <w:p w:rsidR="00395119" w:rsidRPr="005B0796" w:rsidRDefault="00395119" w:rsidP="00C02BB8">
            <w:pPr>
              <w:pStyle w:val="TableText"/>
              <w:jc w:val="right"/>
            </w:pPr>
            <w:r w:rsidRPr="005B0796">
              <w:t xml:space="preserve">CI of </w:t>
            </w:r>
            <w:r w:rsidR="00C02BB8" w:rsidRPr="005B0796">
              <w:t>d</w:t>
            </w:r>
            <w:r w:rsidRPr="005B0796">
              <w:t>ifference</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C02BB8">
            <w:pPr>
              <w:pStyle w:val="TableText"/>
              <w:rPr>
                <w:rFonts w:eastAsia="Times New Roman"/>
              </w:rPr>
            </w:pPr>
            <w:r w:rsidRPr="005B0796">
              <w:rPr>
                <w:rFonts w:eastAsia="Times New Roman"/>
              </w:rPr>
              <w:t xml:space="preserve">Anger frequency </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0.29</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0.041</w:t>
            </w:r>
          </w:p>
        </w:tc>
        <w:tc>
          <w:tcPr>
            <w:tcW w:w="1593" w:type="dxa"/>
            <w:hideMark/>
          </w:tcPr>
          <w:p w:rsidR="00395119" w:rsidRPr="005B0796" w:rsidRDefault="00395119" w:rsidP="00C02BB8">
            <w:pPr>
              <w:pStyle w:val="TableText"/>
              <w:jc w:val="right"/>
              <w:rPr>
                <w:rFonts w:eastAsia="Times New Roman"/>
              </w:rPr>
            </w:pPr>
            <w:r w:rsidRPr="005B0796">
              <w:rPr>
                <w:rFonts w:eastAsia="Times New Roman"/>
              </w:rPr>
              <w:t>0.21, 0.37</w:t>
            </w:r>
          </w:p>
        </w:tc>
      </w:tr>
      <w:tr w:rsidR="00395119" w:rsidRPr="005B0796" w:rsidTr="00520A12">
        <w:tc>
          <w:tcPr>
            <w:tcW w:w="2538" w:type="dxa"/>
            <w:hideMark/>
          </w:tcPr>
          <w:p w:rsidR="00395119" w:rsidRPr="005B0796" w:rsidRDefault="00395119" w:rsidP="00C02BB8">
            <w:pPr>
              <w:pStyle w:val="TableText"/>
              <w:rPr>
                <w:rFonts w:eastAsia="Times New Roman"/>
              </w:rPr>
            </w:pPr>
            <w:r w:rsidRPr="005B0796">
              <w:rPr>
                <w:rFonts w:eastAsia="Times New Roman"/>
              </w:rPr>
              <w:t xml:space="preserve">Anger intensity </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0.22</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0.040</w:t>
            </w:r>
          </w:p>
        </w:tc>
        <w:tc>
          <w:tcPr>
            <w:tcW w:w="1593" w:type="dxa"/>
            <w:hideMark/>
          </w:tcPr>
          <w:p w:rsidR="00395119" w:rsidRPr="005B0796" w:rsidRDefault="00395119" w:rsidP="00C02BB8">
            <w:pPr>
              <w:pStyle w:val="TableText"/>
              <w:jc w:val="right"/>
              <w:rPr>
                <w:rFonts w:eastAsia="Times New Roman"/>
              </w:rPr>
            </w:pPr>
            <w:r w:rsidRPr="005B0796">
              <w:rPr>
                <w:rFonts w:eastAsia="Times New Roman"/>
              </w:rPr>
              <w:t>0.14, 0.30</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C02BB8">
            <w:pPr>
              <w:pStyle w:val="TableText"/>
              <w:rPr>
                <w:rFonts w:eastAsia="Times New Roman"/>
              </w:rPr>
            </w:pPr>
            <w:r w:rsidRPr="005B0796">
              <w:rPr>
                <w:rFonts w:eastAsia="Times New Roman"/>
              </w:rPr>
              <w:t xml:space="preserve">Anger duration </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0.2</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0.040</w:t>
            </w:r>
          </w:p>
        </w:tc>
        <w:tc>
          <w:tcPr>
            <w:tcW w:w="1593" w:type="dxa"/>
            <w:hideMark/>
          </w:tcPr>
          <w:p w:rsidR="00395119" w:rsidRPr="005B0796" w:rsidRDefault="00395119" w:rsidP="00C02BB8">
            <w:pPr>
              <w:pStyle w:val="TableText"/>
              <w:jc w:val="right"/>
              <w:rPr>
                <w:rFonts w:eastAsia="Times New Roman"/>
              </w:rPr>
            </w:pPr>
            <w:r w:rsidRPr="005B0796">
              <w:rPr>
                <w:rFonts w:eastAsia="Times New Roman"/>
              </w:rPr>
              <w:t>0.12, 0.28</w:t>
            </w:r>
          </w:p>
        </w:tc>
      </w:tr>
      <w:tr w:rsidR="00395119" w:rsidRPr="005B0796" w:rsidTr="00520A12">
        <w:tc>
          <w:tcPr>
            <w:tcW w:w="2538" w:type="dxa"/>
            <w:hideMark/>
          </w:tcPr>
          <w:p w:rsidR="00395119" w:rsidRPr="005B0796" w:rsidRDefault="00395119" w:rsidP="00C02BB8">
            <w:pPr>
              <w:pStyle w:val="TableText"/>
              <w:rPr>
                <w:rFonts w:eastAsia="Times New Roman"/>
              </w:rPr>
            </w:pPr>
            <w:r w:rsidRPr="005B0796">
              <w:rPr>
                <w:rFonts w:eastAsia="Times New Roman"/>
              </w:rPr>
              <w:t>Antagonism towards others</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0.08</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0.040</w:t>
            </w:r>
          </w:p>
        </w:tc>
        <w:tc>
          <w:tcPr>
            <w:tcW w:w="1593" w:type="dxa"/>
            <w:hideMark/>
          </w:tcPr>
          <w:p w:rsidR="00395119" w:rsidRPr="005B0796" w:rsidRDefault="00395119" w:rsidP="00C02BB8">
            <w:pPr>
              <w:pStyle w:val="TableText"/>
              <w:jc w:val="right"/>
              <w:rPr>
                <w:rFonts w:eastAsia="Times New Roman"/>
              </w:rPr>
            </w:pPr>
            <w:r w:rsidRPr="005B0796">
              <w:rPr>
                <w:rFonts w:eastAsia="Times New Roman"/>
              </w:rPr>
              <w:t>0.002, 0.16</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C02BB8">
            <w:pPr>
              <w:pStyle w:val="TableText"/>
              <w:rPr>
                <w:rFonts w:eastAsia="Times New Roman"/>
              </w:rPr>
            </w:pPr>
            <w:r w:rsidRPr="005B0796">
              <w:rPr>
                <w:rFonts w:eastAsia="Times New Roman"/>
              </w:rPr>
              <w:t>Social relations</w:t>
            </w:r>
          </w:p>
        </w:tc>
        <w:tc>
          <w:tcPr>
            <w:tcW w:w="1592" w:type="dxa"/>
            <w:hideMark/>
          </w:tcPr>
          <w:p w:rsidR="00395119" w:rsidRPr="005B0796" w:rsidRDefault="00395119" w:rsidP="00C02BB8">
            <w:pPr>
              <w:pStyle w:val="TableText"/>
              <w:jc w:val="right"/>
              <w:rPr>
                <w:rFonts w:eastAsia="Times New Roman"/>
                <w:lang w:eastAsia="ja-JP"/>
              </w:rPr>
            </w:pPr>
            <w:r w:rsidRPr="005B0796">
              <w:rPr>
                <w:rFonts w:eastAsia="Times New Roman"/>
              </w:rPr>
              <w:t>1.27</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0.040</w:t>
            </w:r>
          </w:p>
        </w:tc>
        <w:tc>
          <w:tcPr>
            <w:tcW w:w="1593" w:type="dxa"/>
            <w:hideMark/>
          </w:tcPr>
          <w:p w:rsidR="00395119" w:rsidRPr="005B0796" w:rsidRDefault="00395119" w:rsidP="00C02BB8">
            <w:pPr>
              <w:pStyle w:val="TableText"/>
              <w:jc w:val="right"/>
              <w:rPr>
                <w:rFonts w:eastAsia="Times New Roman"/>
              </w:rPr>
            </w:pPr>
            <w:r w:rsidRPr="005B0796">
              <w:rPr>
                <w:rFonts w:eastAsia="Times New Roman"/>
              </w:rPr>
              <w:t>1.19, 1.35</w:t>
            </w:r>
          </w:p>
        </w:tc>
      </w:tr>
      <w:tr w:rsidR="00395119" w:rsidRPr="005B0796" w:rsidTr="00520A12">
        <w:tc>
          <w:tcPr>
            <w:tcW w:w="2538" w:type="dxa"/>
          </w:tcPr>
          <w:p w:rsidR="00395119" w:rsidRPr="005B0796" w:rsidRDefault="00395119" w:rsidP="00C02BB8">
            <w:pPr>
              <w:pStyle w:val="TableText"/>
              <w:rPr>
                <w:rFonts w:eastAsia="Times New Roman"/>
                <w:lang w:eastAsia="ja-JP"/>
              </w:rPr>
            </w:pPr>
            <w:r w:rsidRPr="005B0796">
              <w:rPr>
                <w:rFonts w:eastAsia="Times New Roman"/>
              </w:rPr>
              <w:t>DAR-5 Total</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1.03</w:t>
            </w:r>
          </w:p>
        </w:tc>
        <w:tc>
          <w:tcPr>
            <w:tcW w:w="1592" w:type="dxa"/>
            <w:hideMark/>
          </w:tcPr>
          <w:p w:rsidR="00395119" w:rsidRPr="005B0796" w:rsidRDefault="00395119" w:rsidP="00C02BB8">
            <w:pPr>
              <w:pStyle w:val="TableText"/>
              <w:jc w:val="right"/>
              <w:rPr>
                <w:rFonts w:eastAsia="Times New Roman"/>
              </w:rPr>
            </w:pPr>
            <w:r w:rsidRPr="005B0796">
              <w:rPr>
                <w:rFonts w:eastAsia="Times New Roman"/>
              </w:rPr>
              <w:t>0.16</w:t>
            </w:r>
          </w:p>
        </w:tc>
        <w:tc>
          <w:tcPr>
            <w:tcW w:w="1593" w:type="dxa"/>
            <w:hideMark/>
          </w:tcPr>
          <w:p w:rsidR="00395119" w:rsidRPr="005B0796" w:rsidRDefault="00395119" w:rsidP="00C02BB8">
            <w:pPr>
              <w:pStyle w:val="TableText"/>
              <w:jc w:val="right"/>
              <w:rPr>
                <w:rFonts w:eastAsia="Times New Roman"/>
              </w:rPr>
            </w:pPr>
            <w:r w:rsidRPr="005B0796">
              <w:rPr>
                <w:rFonts w:eastAsia="Times New Roman"/>
              </w:rPr>
              <w:t>0.71, 1.35</w:t>
            </w:r>
          </w:p>
        </w:tc>
      </w:tr>
    </w:tbl>
    <w:p w:rsidR="00395119" w:rsidRPr="005B0796" w:rsidRDefault="00395119" w:rsidP="00395119">
      <w:pPr>
        <w:pStyle w:val="TableNotes"/>
      </w:pPr>
      <w:r w:rsidRPr="005B0796">
        <w:t xml:space="preserve">Note: 95%CI: 95% </w:t>
      </w:r>
      <w:r w:rsidR="00564689" w:rsidRPr="005B0796">
        <w:t>confidence interval</w:t>
      </w:r>
    </w:p>
    <w:p w:rsidR="00520A12" w:rsidRPr="005B0796" w:rsidRDefault="00520A12" w:rsidP="00520A12">
      <w:pPr>
        <w:sectPr w:rsidR="00520A12" w:rsidRPr="005B0796" w:rsidSect="006C652D">
          <w:type w:val="oddPage"/>
          <w:pgSz w:w="9979" w:h="14170" w:code="243"/>
          <w:pgMar w:top="1440" w:right="1152" w:bottom="1440" w:left="1728" w:header="576" w:footer="576" w:gutter="0"/>
          <w:cols w:space="708"/>
          <w:docGrid w:linePitch="360"/>
        </w:sectPr>
      </w:pPr>
    </w:p>
    <w:p w:rsidR="00395119" w:rsidRPr="005B0796" w:rsidRDefault="00395119" w:rsidP="00395119">
      <w:pPr>
        <w:pStyle w:val="TableName"/>
      </w:pPr>
      <w:bookmarkStart w:id="1647" w:name="_Toc511900503"/>
      <w:r w:rsidRPr="005B0796">
        <w:t>Table B.4</w:t>
      </w:r>
      <w:r w:rsidRPr="005B0796">
        <w:tab/>
        <w:t>Odds ratios comparing 12month suicidal ideation, plans and attempts in Transitioned ADF who were Ex-Serving, Inactive or Active Reservists</w:t>
      </w:r>
      <w:bookmarkEnd w:id="1647"/>
    </w:p>
    <w:tbl>
      <w:tblPr>
        <w:tblStyle w:val="TWRPTable"/>
        <w:tblW w:w="5000" w:type="pct"/>
        <w:tblLayout w:type="fixed"/>
        <w:tblLook w:val="04A0" w:firstRow="1" w:lastRow="0" w:firstColumn="1" w:lastColumn="0" w:noHBand="0" w:noVBand="1"/>
        <w:tblDescription w:val="Table B.4 Odds ratios comparing 12month suicidal ideation, plans and attempts in Transitioned ADF who were Ex-Serving, Inactive or Active Reservists"/>
      </w:tblPr>
      <w:tblGrid>
        <w:gridCol w:w="1908"/>
        <w:gridCol w:w="799"/>
        <w:gridCol w:w="800"/>
        <w:gridCol w:w="800"/>
        <w:gridCol w:w="800"/>
        <w:gridCol w:w="800"/>
        <w:gridCol w:w="800"/>
        <w:gridCol w:w="799"/>
        <w:gridCol w:w="800"/>
        <w:gridCol w:w="800"/>
        <w:gridCol w:w="800"/>
        <w:gridCol w:w="800"/>
        <w:gridCol w:w="800"/>
      </w:tblGrid>
      <w:tr w:rsidR="00C02BB8" w:rsidRPr="005B0796" w:rsidTr="00411B45">
        <w:trPr>
          <w:cnfStyle w:val="100000000000" w:firstRow="1" w:lastRow="0" w:firstColumn="0" w:lastColumn="0" w:oddVBand="0" w:evenVBand="0" w:oddHBand="0" w:evenHBand="0" w:firstRowFirstColumn="0" w:firstRowLastColumn="0" w:lastRowFirstColumn="0" w:lastRowLastColumn="0"/>
          <w:cantSplit/>
          <w:tblHeader/>
        </w:trPr>
        <w:tc>
          <w:tcPr>
            <w:tcW w:w="1908" w:type="dxa"/>
            <w:vMerge w:val="restart"/>
          </w:tcPr>
          <w:p w:rsidR="00C02BB8" w:rsidRPr="005B0796" w:rsidRDefault="00C02BB8" w:rsidP="00C02BB8">
            <w:pPr>
              <w:pStyle w:val="TableText"/>
            </w:pPr>
          </w:p>
        </w:tc>
        <w:tc>
          <w:tcPr>
            <w:tcW w:w="3199" w:type="dxa"/>
            <w:gridSpan w:val="4"/>
          </w:tcPr>
          <w:p w:rsidR="00C02BB8" w:rsidRPr="005B0796" w:rsidRDefault="00C02BB8" w:rsidP="00C02BB8">
            <w:pPr>
              <w:pStyle w:val="TableText"/>
              <w:jc w:val="center"/>
            </w:pPr>
            <w:r w:rsidRPr="005B0796">
              <w:t>Ex-Serving vs Inactive Reservists</w:t>
            </w:r>
          </w:p>
        </w:tc>
        <w:tc>
          <w:tcPr>
            <w:tcW w:w="3199" w:type="dxa"/>
            <w:gridSpan w:val="4"/>
          </w:tcPr>
          <w:p w:rsidR="00C02BB8" w:rsidRPr="005B0796" w:rsidRDefault="00C02BB8" w:rsidP="00C02BB8">
            <w:pPr>
              <w:pStyle w:val="TableText"/>
              <w:jc w:val="center"/>
            </w:pPr>
            <w:r w:rsidRPr="005B0796">
              <w:t>Ex-Serving vs Active Reservists</w:t>
            </w:r>
          </w:p>
        </w:tc>
        <w:tc>
          <w:tcPr>
            <w:tcW w:w="3200" w:type="dxa"/>
            <w:gridSpan w:val="4"/>
          </w:tcPr>
          <w:p w:rsidR="00C02BB8" w:rsidRPr="005B0796" w:rsidRDefault="00C02BB8" w:rsidP="00C02BB8">
            <w:pPr>
              <w:pStyle w:val="TableText"/>
              <w:jc w:val="center"/>
            </w:pPr>
            <w:r w:rsidRPr="005B0796">
              <w:t>Inactive vs Active Reservists</w:t>
            </w:r>
          </w:p>
        </w:tc>
      </w:tr>
      <w:tr w:rsidR="00520A12" w:rsidRPr="005B0796" w:rsidTr="00411B45">
        <w:trPr>
          <w:cnfStyle w:val="100000000000" w:firstRow="1" w:lastRow="0" w:firstColumn="0" w:lastColumn="0" w:oddVBand="0" w:evenVBand="0" w:oddHBand="0" w:evenHBand="0" w:firstRowFirstColumn="0" w:firstRowLastColumn="0" w:lastRowFirstColumn="0" w:lastRowLastColumn="0"/>
          <w:cantSplit/>
          <w:tblHeader/>
        </w:trPr>
        <w:tc>
          <w:tcPr>
            <w:tcW w:w="1908" w:type="dxa"/>
            <w:vMerge/>
          </w:tcPr>
          <w:p w:rsidR="00C02BB8" w:rsidRPr="005B0796" w:rsidRDefault="00C02BB8" w:rsidP="00C02BB8">
            <w:pPr>
              <w:pStyle w:val="TableText"/>
            </w:pPr>
          </w:p>
        </w:tc>
        <w:tc>
          <w:tcPr>
            <w:tcW w:w="799" w:type="dxa"/>
          </w:tcPr>
          <w:p w:rsidR="00C02BB8" w:rsidRPr="005B0796" w:rsidRDefault="00C02BB8" w:rsidP="00C02BB8">
            <w:pPr>
              <w:pStyle w:val="TableText"/>
              <w:jc w:val="right"/>
            </w:pPr>
            <w:r w:rsidRPr="005B0796">
              <w:t>OR*</w:t>
            </w:r>
          </w:p>
        </w:tc>
        <w:tc>
          <w:tcPr>
            <w:tcW w:w="800" w:type="dxa"/>
          </w:tcPr>
          <w:p w:rsidR="00C02BB8" w:rsidRPr="005B0796" w:rsidRDefault="00C02BB8" w:rsidP="00C02BB8">
            <w:pPr>
              <w:pStyle w:val="TableText"/>
              <w:jc w:val="right"/>
            </w:pPr>
            <w:r w:rsidRPr="005B0796">
              <w:t>SE</w:t>
            </w:r>
          </w:p>
        </w:tc>
        <w:tc>
          <w:tcPr>
            <w:tcW w:w="800" w:type="dxa"/>
          </w:tcPr>
          <w:p w:rsidR="00C02BB8" w:rsidRPr="005B0796" w:rsidRDefault="00C02BB8" w:rsidP="00C02BB8">
            <w:pPr>
              <w:pStyle w:val="TableText"/>
              <w:jc w:val="right"/>
            </w:pPr>
            <w:r w:rsidRPr="005B0796">
              <w:t>CI</w:t>
            </w:r>
          </w:p>
        </w:tc>
        <w:tc>
          <w:tcPr>
            <w:tcW w:w="800" w:type="dxa"/>
          </w:tcPr>
          <w:p w:rsidR="00C02BB8" w:rsidRPr="005B0796" w:rsidRDefault="00C02BB8" w:rsidP="00C02BB8">
            <w:pPr>
              <w:pStyle w:val="TableText"/>
              <w:jc w:val="right"/>
            </w:pPr>
            <w:r w:rsidRPr="005B0796">
              <w:t>P</w:t>
            </w:r>
          </w:p>
        </w:tc>
        <w:tc>
          <w:tcPr>
            <w:tcW w:w="800" w:type="dxa"/>
          </w:tcPr>
          <w:p w:rsidR="00C02BB8" w:rsidRPr="005B0796" w:rsidRDefault="00C02BB8" w:rsidP="00C02BB8">
            <w:pPr>
              <w:pStyle w:val="TableText"/>
              <w:jc w:val="right"/>
            </w:pPr>
            <w:r w:rsidRPr="005B0796">
              <w:t>OR*</w:t>
            </w:r>
          </w:p>
        </w:tc>
        <w:tc>
          <w:tcPr>
            <w:tcW w:w="800" w:type="dxa"/>
          </w:tcPr>
          <w:p w:rsidR="00C02BB8" w:rsidRPr="005B0796" w:rsidRDefault="00C02BB8" w:rsidP="00C02BB8">
            <w:pPr>
              <w:pStyle w:val="TableText"/>
              <w:jc w:val="right"/>
            </w:pPr>
            <w:r w:rsidRPr="005B0796">
              <w:t>SE</w:t>
            </w:r>
          </w:p>
        </w:tc>
        <w:tc>
          <w:tcPr>
            <w:tcW w:w="799" w:type="dxa"/>
          </w:tcPr>
          <w:p w:rsidR="00C02BB8" w:rsidRPr="005B0796" w:rsidRDefault="00C02BB8" w:rsidP="00C02BB8">
            <w:pPr>
              <w:pStyle w:val="TableText"/>
              <w:jc w:val="right"/>
            </w:pPr>
            <w:r w:rsidRPr="005B0796">
              <w:t>CI</w:t>
            </w:r>
          </w:p>
        </w:tc>
        <w:tc>
          <w:tcPr>
            <w:tcW w:w="800" w:type="dxa"/>
          </w:tcPr>
          <w:p w:rsidR="00C02BB8" w:rsidRPr="005B0796" w:rsidRDefault="00C02BB8" w:rsidP="00C02BB8">
            <w:pPr>
              <w:pStyle w:val="TableText"/>
              <w:jc w:val="right"/>
            </w:pPr>
            <w:r w:rsidRPr="005B0796">
              <w:t>P</w:t>
            </w:r>
          </w:p>
        </w:tc>
        <w:tc>
          <w:tcPr>
            <w:tcW w:w="800" w:type="dxa"/>
          </w:tcPr>
          <w:p w:rsidR="00C02BB8" w:rsidRPr="005B0796" w:rsidRDefault="00C02BB8" w:rsidP="00C02BB8">
            <w:pPr>
              <w:pStyle w:val="TableText"/>
              <w:jc w:val="right"/>
            </w:pPr>
            <w:r w:rsidRPr="005B0796">
              <w:t>OR*</w:t>
            </w:r>
          </w:p>
        </w:tc>
        <w:tc>
          <w:tcPr>
            <w:tcW w:w="800" w:type="dxa"/>
          </w:tcPr>
          <w:p w:rsidR="00C02BB8" w:rsidRPr="005B0796" w:rsidRDefault="00C02BB8" w:rsidP="00C02BB8">
            <w:pPr>
              <w:pStyle w:val="TableText"/>
              <w:jc w:val="right"/>
            </w:pPr>
            <w:r w:rsidRPr="005B0796">
              <w:t>SE</w:t>
            </w:r>
          </w:p>
        </w:tc>
        <w:tc>
          <w:tcPr>
            <w:tcW w:w="800" w:type="dxa"/>
          </w:tcPr>
          <w:p w:rsidR="00C02BB8" w:rsidRPr="005B0796" w:rsidRDefault="00C02BB8" w:rsidP="00C02BB8">
            <w:pPr>
              <w:pStyle w:val="TableText"/>
              <w:jc w:val="right"/>
            </w:pPr>
            <w:r w:rsidRPr="005B0796">
              <w:t>CI</w:t>
            </w:r>
          </w:p>
        </w:tc>
        <w:tc>
          <w:tcPr>
            <w:tcW w:w="800" w:type="dxa"/>
          </w:tcPr>
          <w:p w:rsidR="00C02BB8" w:rsidRPr="005B0796" w:rsidRDefault="00C02BB8" w:rsidP="00C02BB8">
            <w:pPr>
              <w:pStyle w:val="TableText"/>
              <w:jc w:val="right"/>
            </w:pPr>
            <w:r w:rsidRPr="005B0796">
              <w:t>P</w:t>
            </w:r>
          </w:p>
        </w:tc>
      </w:tr>
      <w:tr w:rsidR="00520A12" w:rsidRPr="005B0796" w:rsidTr="00411B45">
        <w:trPr>
          <w:cnfStyle w:val="000000100000" w:firstRow="0" w:lastRow="0" w:firstColumn="0" w:lastColumn="0" w:oddVBand="0" w:evenVBand="0" w:oddHBand="1" w:evenHBand="0" w:firstRowFirstColumn="0" w:firstRowLastColumn="0" w:lastRowFirstColumn="0" w:lastRowLastColumn="0"/>
        </w:trPr>
        <w:tc>
          <w:tcPr>
            <w:tcW w:w="1908" w:type="dxa"/>
          </w:tcPr>
          <w:p w:rsidR="00C02BB8" w:rsidRPr="005B0796" w:rsidRDefault="00C02BB8" w:rsidP="00C02BB8">
            <w:pPr>
              <w:pStyle w:val="TableText"/>
              <w:rPr>
                <w:rFonts w:eastAsia="Times New Roman"/>
              </w:rPr>
            </w:pPr>
            <w:r w:rsidRPr="005B0796">
              <w:rPr>
                <w:rFonts w:eastAsia="Times New Roman"/>
              </w:rPr>
              <w:t>Felt life not worth living</w:t>
            </w:r>
          </w:p>
        </w:tc>
        <w:tc>
          <w:tcPr>
            <w:tcW w:w="799" w:type="dxa"/>
          </w:tcPr>
          <w:p w:rsidR="00C02BB8" w:rsidRPr="005B0796" w:rsidRDefault="00C02BB8" w:rsidP="00C02BB8">
            <w:pPr>
              <w:pStyle w:val="TableText"/>
              <w:jc w:val="right"/>
              <w:rPr>
                <w:rFonts w:eastAsia="Times New Roman"/>
              </w:rPr>
            </w:pPr>
            <w:r w:rsidRPr="005B0796">
              <w:rPr>
                <w:rFonts w:eastAsia="Times New Roman"/>
              </w:rPr>
              <w:t>2.39</w:t>
            </w:r>
          </w:p>
        </w:tc>
        <w:tc>
          <w:tcPr>
            <w:tcW w:w="800" w:type="dxa"/>
          </w:tcPr>
          <w:p w:rsidR="00C02BB8" w:rsidRPr="005B0796" w:rsidRDefault="00C02BB8" w:rsidP="00C02BB8">
            <w:pPr>
              <w:pStyle w:val="TableText"/>
              <w:jc w:val="right"/>
              <w:rPr>
                <w:rFonts w:eastAsia="Times New Roman"/>
              </w:rPr>
            </w:pPr>
            <w:r w:rsidRPr="005B0796">
              <w:rPr>
                <w:rFonts w:eastAsia="Times New Roman"/>
              </w:rPr>
              <w:t>0.26</w:t>
            </w:r>
          </w:p>
        </w:tc>
        <w:tc>
          <w:tcPr>
            <w:tcW w:w="800" w:type="dxa"/>
          </w:tcPr>
          <w:p w:rsidR="00C02BB8" w:rsidRPr="005B0796" w:rsidRDefault="00C02BB8" w:rsidP="00C02BB8">
            <w:pPr>
              <w:pStyle w:val="TableText"/>
              <w:jc w:val="right"/>
              <w:rPr>
                <w:rFonts w:eastAsia="Times New Roman"/>
              </w:rPr>
            </w:pPr>
            <w:r w:rsidRPr="005B0796">
              <w:rPr>
                <w:rFonts w:eastAsia="Times New Roman"/>
              </w:rPr>
              <w:t>1.92, 2.96</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3.08</w:t>
            </w:r>
          </w:p>
        </w:tc>
        <w:tc>
          <w:tcPr>
            <w:tcW w:w="800" w:type="dxa"/>
          </w:tcPr>
          <w:p w:rsidR="00C02BB8" w:rsidRPr="005B0796" w:rsidRDefault="00C02BB8" w:rsidP="00C02BB8">
            <w:pPr>
              <w:pStyle w:val="TableText"/>
              <w:jc w:val="right"/>
              <w:rPr>
                <w:rFonts w:eastAsia="Times New Roman"/>
              </w:rPr>
            </w:pPr>
            <w:r w:rsidRPr="005B0796">
              <w:rPr>
                <w:rFonts w:eastAsia="Times New Roman"/>
              </w:rPr>
              <w:t>0.35</w:t>
            </w:r>
          </w:p>
        </w:tc>
        <w:tc>
          <w:tcPr>
            <w:tcW w:w="799" w:type="dxa"/>
          </w:tcPr>
          <w:p w:rsidR="00C02BB8" w:rsidRPr="005B0796" w:rsidRDefault="00C02BB8" w:rsidP="00C02BB8">
            <w:pPr>
              <w:pStyle w:val="TableText"/>
              <w:jc w:val="right"/>
              <w:rPr>
                <w:rFonts w:eastAsia="Times New Roman"/>
              </w:rPr>
            </w:pPr>
            <w:r w:rsidRPr="005B0796">
              <w:rPr>
                <w:rFonts w:eastAsia="Times New Roman"/>
              </w:rPr>
              <w:t>2.46 3.85</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1.29</w:t>
            </w:r>
          </w:p>
        </w:tc>
        <w:tc>
          <w:tcPr>
            <w:tcW w:w="800" w:type="dxa"/>
          </w:tcPr>
          <w:p w:rsidR="00C02BB8" w:rsidRPr="005B0796" w:rsidRDefault="00C02BB8" w:rsidP="00C02BB8">
            <w:pPr>
              <w:pStyle w:val="TableText"/>
              <w:jc w:val="right"/>
              <w:rPr>
                <w:rFonts w:eastAsia="Times New Roman"/>
              </w:rPr>
            </w:pPr>
            <w:r w:rsidRPr="005B0796">
              <w:rPr>
                <w:rFonts w:eastAsia="Times New Roman"/>
              </w:rPr>
              <w:t>0.16</w:t>
            </w:r>
          </w:p>
        </w:tc>
        <w:tc>
          <w:tcPr>
            <w:tcW w:w="800" w:type="dxa"/>
          </w:tcPr>
          <w:p w:rsidR="00C02BB8" w:rsidRPr="005B0796" w:rsidRDefault="00C02BB8" w:rsidP="00C02BB8">
            <w:pPr>
              <w:pStyle w:val="TableText"/>
              <w:jc w:val="right"/>
              <w:rPr>
                <w:rFonts w:eastAsia="Times New Roman"/>
              </w:rPr>
            </w:pPr>
            <w:r w:rsidRPr="005B0796">
              <w:rPr>
                <w:rFonts w:eastAsia="Times New Roman"/>
              </w:rPr>
              <w:t>1.00 1.66</w:t>
            </w:r>
          </w:p>
        </w:tc>
        <w:tc>
          <w:tcPr>
            <w:tcW w:w="800" w:type="dxa"/>
          </w:tcPr>
          <w:p w:rsidR="00C02BB8" w:rsidRPr="005B0796" w:rsidRDefault="00C02BB8" w:rsidP="00C02BB8">
            <w:pPr>
              <w:pStyle w:val="TableText"/>
              <w:jc w:val="right"/>
              <w:rPr>
                <w:rFonts w:eastAsia="Times New Roman"/>
              </w:rPr>
            </w:pPr>
            <w:r w:rsidRPr="005B0796">
              <w:rPr>
                <w:rFonts w:eastAsia="Times New Roman"/>
              </w:rPr>
              <w:t>0.046</w:t>
            </w:r>
          </w:p>
        </w:tc>
      </w:tr>
      <w:tr w:rsidR="00520A12" w:rsidRPr="005B0796" w:rsidTr="00411B45">
        <w:tc>
          <w:tcPr>
            <w:tcW w:w="1908" w:type="dxa"/>
          </w:tcPr>
          <w:p w:rsidR="00C02BB8" w:rsidRPr="005B0796" w:rsidRDefault="00C02BB8" w:rsidP="00C02BB8">
            <w:pPr>
              <w:pStyle w:val="TableText"/>
              <w:rPr>
                <w:rFonts w:eastAsia="Times New Roman"/>
              </w:rPr>
            </w:pPr>
            <w:r w:rsidRPr="005B0796">
              <w:rPr>
                <w:rFonts w:eastAsia="Times New Roman"/>
              </w:rPr>
              <w:t>Felt so low thought about committing suicide</w:t>
            </w:r>
          </w:p>
        </w:tc>
        <w:tc>
          <w:tcPr>
            <w:tcW w:w="799" w:type="dxa"/>
          </w:tcPr>
          <w:p w:rsidR="00C02BB8" w:rsidRPr="005B0796" w:rsidRDefault="00C02BB8" w:rsidP="00C02BB8">
            <w:pPr>
              <w:pStyle w:val="TableText"/>
              <w:jc w:val="right"/>
              <w:rPr>
                <w:rFonts w:eastAsia="Times New Roman"/>
              </w:rPr>
            </w:pPr>
            <w:r w:rsidRPr="005B0796">
              <w:rPr>
                <w:rFonts w:eastAsia="Times New Roman"/>
              </w:rPr>
              <w:t>2.39</w:t>
            </w:r>
          </w:p>
        </w:tc>
        <w:tc>
          <w:tcPr>
            <w:tcW w:w="800" w:type="dxa"/>
          </w:tcPr>
          <w:p w:rsidR="00C02BB8" w:rsidRPr="005B0796" w:rsidRDefault="00C02BB8" w:rsidP="00C02BB8">
            <w:pPr>
              <w:pStyle w:val="TableText"/>
              <w:jc w:val="right"/>
              <w:rPr>
                <w:rFonts w:eastAsia="Times New Roman"/>
              </w:rPr>
            </w:pPr>
            <w:r w:rsidRPr="005B0796">
              <w:rPr>
                <w:rFonts w:eastAsia="Times New Roman"/>
              </w:rPr>
              <w:t>0.29</w:t>
            </w:r>
          </w:p>
        </w:tc>
        <w:tc>
          <w:tcPr>
            <w:tcW w:w="800" w:type="dxa"/>
          </w:tcPr>
          <w:p w:rsidR="00C02BB8" w:rsidRPr="005B0796" w:rsidRDefault="00C02BB8" w:rsidP="00C02BB8">
            <w:pPr>
              <w:pStyle w:val="TableText"/>
              <w:jc w:val="right"/>
              <w:rPr>
                <w:rFonts w:eastAsia="Times New Roman"/>
              </w:rPr>
            </w:pPr>
            <w:r w:rsidRPr="005B0796">
              <w:rPr>
                <w:rFonts w:eastAsia="Times New Roman"/>
              </w:rPr>
              <w:t>1.88, 3.04</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3.12</w:t>
            </w:r>
          </w:p>
        </w:tc>
        <w:tc>
          <w:tcPr>
            <w:tcW w:w="800" w:type="dxa"/>
          </w:tcPr>
          <w:p w:rsidR="00C02BB8" w:rsidRPr="005B0796" w:rsidRDefault="00C02BB8" w:rsidP="00C02BB8">
            <w:pPr>
              <w:pStyle w:val="TableText"/>
              <w:jc w:val="right"/>
              <w:rPr>
                <w:rFonts w:eastAsia="Times New Roman"/>
              </w:rPr>
            </w:pPr>
            <w:r w:rsidRPr="005B0796">
              <w:rPr>
                <w:rFonts w:eastAsia="Times New Roman"/>
              </w:rPr>
              <w:t>0.44</w:t>
            </w:r>
          </w:p>
        </w:tc>
        <w:tc>
          <w:tcPr>
            <w:tcW w:w="799" w:type="dxa"/>
          </w:tcPr>
          <w:p w:rsidR="00C02BB8" w:rsidRPr="005B0796" w:rsidRDefault="00C02BB8" w:rsidP="00C02BB8">
            <w:pPr>
              <w:pStyle w:val="TableText"/>
              <w:jc w:val="right"/>
              <w:rPr>
                <w:rFonts w:eastAsia="Times New Roman"/>
              </w:rPr>
            </w:pPr>
            <w:r w:rsidRPr="005B0796">
              <w:rPr>
                <w:rFonts w:eastAsia="Times New Roman"/>
              </w:rPr>
              <w:t>2.37 4.10</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1.3</w:t>
            </w:r>
          </w:p>
        </w:tc>
        <w:tc>
          <w:tcPr>
            <w:tcW w:w="800" w:type="dxa"/>
          </w:tcPr>
          <w:p w:rsidR="00C02BB8" w:rsidRPr="005B0796" w:rsidRDefault="00C02BB8" w:rsidP="00C02BB8">
            <w:pPr>
              <w:pStyle w:val="TableText"/>
              <w:jc w:val="right"/>
              <w:rPr>
                <w:rFonts w:eastAsia="Times New Roman"/>
              </w:rPr>
            </w:pPr>
            <w:r w:rsidRPr="005B0796">
              <w:rPr>
                <w:rFonts w:eastAsia="Times New Roman"/>
              </w:rPr>
              <w:t>0.2</w:t>
            </w:r>
          </w:p>
        </w:tc>
        <w:tc>
          <w:tcPr>
            <w:tcW w:w="800" w:type="dxa"/>
          </w:tcPr>
          <w:p w:rsidR="00C02BB8" w:rsidRPr="005B0796" w:rsidRDefault="00C02BB8" w:rsidP="00C02BB8">
            <w:pPr>
              <w:pStyle w:val="TableText"/>
              <w:jc w:val="right"/>
              <w:rPr>
                <w:rFonts w:eastAsia="Times New Roman"/>
              </w:rPr>
            </w:pPr>
            <w:r w:rsidRPr="005B0796">
              <w:rPr>
                <w:rFonts w:eastAsia="Times New Roman"/>
              </w:rPr>
              <w:t>0.96 1.76</w:t>
            </w:r>
          </w:p>
        </w:tc>
        <w:tc>
          <w:tcPr>
            <w:tcW w:w="800" w:type="dxa"/>
          </w:tcPr>
          <w:p w:rsidR="00C02BB8" w:rsidRPr="005B0796" w:rsidRDefault="00C02BB8" w:rsidP="00C02BB8">
            <w:pPr>
              <w:pStyle w:val="TableText"/>
              <w:jc w:val="right"/>
              <w:rPr>
                <w:rFonts w:eastAsia="Times New Roman"/>
              </w:rPr>
            </w:pPr>
            <w:r w:rsidRPr="005B0796">
              <w:rPr>
                <w:rFonts w:eastAsia="Times New Roman"/>
              </w:rPr>
              <w:t>0.087</w:t>
            </w:r>
          </w:p>
        </w:tc>
      </w:tr>
      <w:tr w:rsidR="00520A12" w:rsidRPr="005B0796" w:rsidTr="00411B45">
        <w:trPr>
          <w:cnfStyle w:val="000000100000" w:firstRow="0" w:lastRow="0" w:firstColumn="0" w:lastColumn="0" w:oddVBand="0" w:evenVBand="0" w:oddHBand="1" w:evenHBand="0" w:firstRowFirstColumn="0" w:firstRowLastColumn="0" w:lastRowFirstColumn="0" w:lastRowLastColumn="0"/>
        </w:trPr>
        <w:tc>
          <w:tcPr>
            <w:tcW w:w="1908" w:type="dxa"/>
          </w:tcPr>
          <w:p w:rsidR="00C02BB8" w:rsidRPr="005B0796" w:rsidRDefault="00C02BB8" w:rsidP="00C02BB8">
            <w:pPr>
              <w:pStyle w:val="TableText"/>
              <w:rPr>
                <w:rFonts w:eastAsia="Times New Roman"/>
              </w:rPr>
            </w:pPr>
            <w:r w:rsidRPr="005B0796">
              <w:rPr>
                <w:rFonts w:eastAsia="Times New Roman"/>
              </w:rPr>
              <w:t>Made a suicide plan</w:t>
            </w:r>
          </w:p>
        </w:tc>
        <w:tc>
          <w:tcPr>
            <w:tcW w:w="799" w:type="dxa"/>
          </w:tcPr>
          <w:p w:rsidR="00C02BB8" w:rsidRPr="005B0796" w:rsidRDefault="00C02BB8" w:rsidP="00C02BB8">
            <w:pPr>
              <w:pStyle w:val="TableText"/>
              <w:jc w:val="right"/>
              <w:rPr>
                <w:rFonts w:eastAsia="Times New Roman"/>
              </w:rPr>
            </w:pPr>
            <w:r w:rsidRPr="005B0796">
              <w:rPr>
                <w:rFonts w:eastAsia="Times New Roman"/>
              </w:rPr>
              <w:t>3.11</w:t>
            </w:r>
          </w:p>
        </w:tc>
        <w:tc>
          <w:tcPr>
            <w:tcW w:w="800" w:type="dxa"/>
          </w:tcPr>
          <w:p w:rsidR="00C02BB8" w:rsidRPr="005B0796" w:rsidRDefault="00C02BB8" w:rsidP="00C02BB8">
            <w:pPr>
              <w:pStyle w:val="TableText"/>
              <w:jc w:val="right"/>
              <w:rPr>
                <w:rFonts w:eastAsia="Times New Roman"/>
              </w:rPr>
            </w:pPr>
            <w:r w:rsidRPr="005B0796">
              <w:rPr>
                <w:rFonts w:eastAsia="Times New Roman"/>
              </w:rPr>
              <w:t>0.6</w:t>
            </w:r>
          </w:p>
        </w:tc>
        <w:tc>
          <w:tcPr>
            <w:tcW w:w="800" w:type="dxa"/>
          </w:tcPr>
          <w:p w:rsidR="00C02BB8" w:rsidRPr="005B0796" w:rsidRDefault="00C02BB8" w:rsidP="00C02BB8">
            <w:pPr>
              <w:pStyle w:val="TableText"/>
              <w:jc w:val="right"/>
              <w:rPr>
                <w:rFonts w:eastAsia="Times New Roman"/>
              </w:rPr>
            </w:pPr>
            <w:r w:rsidRPr="005B0796">
              <w:rPr>
                <w:rFonts w:eastAsia="Times New Roman"/>
              </w:rPr>
              <w:t>2.13, 4.54</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5.77</w:t>
            </w:r>
          </w:p>
        </w:tc>
        <w:tc>
          <w:tcPr>
            <w:tcW w:w="800" w:type="dxa"/>
          </w:tcPr>
          <w:p w:rsidR="00C02BB8" w:rsidRPr="005B0796" w:rsidRDefault="00C02BB8" w:rsidP="00C02BB8">
            <w:pPr>
              <w:pStyle w:val="TableText"/>
              <w:jc w:val="right"/>
              <w:rPr>
                <w:rFonts w:eastAsia="Times New Roman"/>
              </w:rPr>
            </w:pPr>
            <w:r w:rsidRPr="005B0796">
              <w:rPr>
                <w:rFonts w:eastAsia="Times New Roman"/>
              </w:rPr>
              <w:t>1.34</w:t>
            </w:r>
          </w:p>
        </w:tc>
        <w:tc>
          <w:tcPr>
            <w:tcW w:w="799" w:type="dxa"/>
          </w:tcPr>
          <w:p w:rsidR="00C02BB8" w:rsidRPr="005B0796" w:rsidRDefault="00C02BB8" w:rsidP="00C02BB8">
            <w:pPr>
              <w:pStyle w:val="TableText"/>
              <w:jc w:val="right"/>
              <w:rPr>
                <w:rFonts w:eastAsia="Times New Roman"/>
              </w:rPr>
            </w:pPr>
            <w:r w:rsidRPr="005B0796">
              <w:rPr>
                <w:rFonts w:eastAsia="Times New Roman"/>
              </w:rPr>
              <w:t>3.66 9.10</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1.86</w:t>
            </w:r>
          </w:p>
        </w:tc>
        <w:tc>
          <w:tcPr>
            <w:tcW w:w="800" w:type="dxa"/>
          </w:tcPr>
          <w:p w:rsidR="00C02BB8" w:rsidRPr="005B0796" w:rsidRDefault="00C02BB8" w:rsidP="00C02BB8">
            <w:pPr>
              <w:pStyle w:val="TableText"/>
              <w:jc w:val="right"/>
              <w:rPr>
                <w:rFonts w:eastAsia="Times New Roman"/>
              </w:rPr>
            </w:pPr>
            <w:r w:rsidRPr="005B0796">
              <w:rPr>
                <w:rFonts w:eastAsia="Times New Roman"/>
              </w:rPr>
              <w:t>0.49</w:t>
            </w:r>
          </w:p>
        </w:tc>
        <w:tc>
          <w:tcPr>
            <w:tcW w:w="800" w:type="dxa"/>
          </w:tcPr>
          <w:p w:rsidR="00C02BB8" w:rsidRPr="005B0796" w:rsidRDefault="00C02BB8" w:rsidP="00C02BB8">
            <w:pPr>
              <w:pStyle w:val="TableText"/>
              <w:jc w:val="right"/>
              <w:rPr>
                <w:rFonts w:eastAsia="Times New Roman"/>
              </w:rPr>
            </w:pPr>
            <w:r w:rsidRPr="005B0796">
              <w:rPr>
                <w:rFonts w:eastAsia="Times New Roman"/>
              </w:rPr>
              <w:t>1.11 3.12</w:t>
            </w:r>
          </w:p>
        </w:tc>
        <w:tc>
          <w:tcPr>
            <w:tcW w:w="800" w:type="dxa"/>
          </w:tcPr>
          <w:p w:rsidR="00C02BB8" w:rsidRPr="005B0796" w:rsidRDefault="00C02BB8" w:rsidP="00C02BB8">
            <w:pPr>
              <w:pStyle w:val="TableText"/>
              <w:jc w:val="right"/>
              <w:rPr>
                <w:rFonts w:eastAsia="Times New Roman"/>
              </w:rPr>
            </w:pPr>
            <w:r w:rsidRPr="005B0796">
              <w:rPr>
                <w:rFonts w:eastAsia="Times New Roman"/>
              </w:rPr>
              <w:t>0.019</w:t>
            </w:r>
          </w:p>
        </w:tc>
      </w:tr>
      <w:tr w:rsidR="00520A12" w:rsidRPr="005B0796" w:rsidTr="00411B45">
        <w:tc>
          <w:tcPr>
            <w:tcW w:w="1908" w:type="dxa"/>
          </w:tcPr>
          <w:p w:rsidR="00C02BB8" w:rsidRPr="005B0796" w:rsidRDefault="00C02BB8" w:rsidP="00C02BB8">
            <w:pPr>
              <w:pStyle w:val="TableText"/>
              <w:rPr>
                <w:rFonts w:eastAsia="Times New Roman"/>
              </w:rPr>
            </w:pPr>
            <w:r w:rsidRPr="005B0796">
              <w:rPr>
                <w:rFonts w:eastAsia="Times New Roman"/>
              </w:rPr>
              <w:t>Attempted suicide</w:t>
            </w:r>
          </w:p>
        </w:tc>
        <w:tc>
          <w:tcPr>
            <w:tcW w:w="799" w:type="dxa"/>
          </w:tcPr>
          <w:p w:rsidR="00C02BB8" w:rsidRPr="005B0796" w:rsidRDefault="00C02BB8" w:rsidP="00C02BB8">
            <w:pPr>
              <w:pStyle w:val="TableText"/>
              <w:jc w:val="right"/>
              <w:rPr>
                <w:rFonts w:eastAsia="Times New Roman"/>
              </w:rPr>
            </w:pPr>
            <w:r w:rsidRPr="005B0796">
              <w:rPr>
                <w:rFonts w:eastAsia="Times New Roman"/>
              </w:rPr>
              <w:t>3.33</w:t>
            </w:r>
          </w:p>
        </w:tc>
        <w:tc>
          <w:tcPr>
            <w:tcW w:w="800" w:type="dxa"/>
          </w:tcPr>
          <w:p w:rsidR="00C02BB8" w:rsidRPr="005B0796" w:rsidRDefault="00C02BB8" w:rsidP="00C02BB8">
            <w:pPr>
              <w:pStyle w:val="TableText"/>
              <w:jc w:val="right"/>
              <w:rPr>
                <w:rFonts w:eastAsia="Times New Roman"/>
              </w:rPr>
            </w:pPr>
            <w:r w:rsidRPr="005B0796">
              <w:rPr>
                <w:rFonts w:eastAsia="Times New Roman"/>
              </w:rPr>
              <w:t>1.43</w:t>
            </w:r>
          </w:p>
        </w:tc>
        <w:tc>
          <w:tcPr>
            <w:tcW w:w="800" w:type="dxa"/>
          </w:tcPr>
          <w:p w:rsidR="00C02BB8" w:rsidRPr="005B0796" w:rsidRDefault="00C02BB8" w:rsidP="00C02BB8">
            <w:pPr>
              <w:pStyle w:val="TableText"/>
              <w:jc w:val="right"/>
              <w:rPr>
                <w:rFonts w:eastAsia="Times New Roman"/>
              </w:rPr>
            </w:pPr>
            <w:r w:rsidRPr="005B0796">
              <w:rPr>
                <w:rFonts w:eastAsia="Times New Roman"/>
              </w:rPr>
              <w:t>1.43, 7.75</w:t>
            </w:r>
          </w:p>
        </w:tc>
        <w:tc>
          <w:tcPr>
            <w:tcW w:w="800" w:type="dxa"/>
          </w:tcPr>
          <w:p w:rsidR="00C02BB8" w:rsidRPr="005B0796" w:rsidRDefault="00C02BB8" w:rsidP="00C02BB8">
            <w:pPr>
              <w:pStyle w:val="TableText"/>
              <w:jc w:val="right"/>
              <w:rPr>
                <w:rFonts w:eastAsia="Times New Roman"/>
              </w:rPr>
            </w:pPr>
            <w:r w:rsidRPr="005B0796">
              <w:rPr>
                <w:rFonts w:eastAsia="Times New Roman"/>
              </w:rPr>
              <w:t>0.005</w:t>
            </w:r>
          </w:p>
        </w:tc>
        <w:tc>
          <w:tcPr>
            <w:tcW w:w="800" w:type="dxa"/>
          </w:tcPr>
          <w:p w:rsidR="00C02BB8" w:rsidRPr="005B0796" w:rsidRDefault="00C02BB8" w:rsidP="00C02BB8">
            <w:pPr>
              <w:pStyle w:val="TableText"/>
              <w:jc w:val="right"/>
              <w:rPr>
                <w:rFonts w:eastAsia="Times New Roman"/>
              </w:rPr>
            </w:pPr>
            <w:r w:rsidRPr="005B0796">
              <w:rPr>
                <w:rFonts w:eastAsia="Times New Roman"/>
              </w:rPr>
              <w:t>31.43</w:t>
            </w:r>
          </w:p>
        </w:tc>
        <w:tc>
          <w:tcPr>
            <w:tcW w:w="800" w:type="dxa"/>
          </w:tcPr>
          <w:p w:rsidR="00C02BB8" w:rsidRPr="005B0796" w:rsidRDefault="00C02BB8" w:rsidP="00C02BB8">
            <w:pPr>
              <w:pStyle w:val="TableText"/>
              <w:jc w:val="right"/>
              <w:rPr>
                <w:rFonts w:eastAsia="Times New Roman"/>
              </w:rPr>
            </w:pPr>
            <w:r w:rsidRPr="005B0796">
              <w:rPr>
                <w:rFonts w:eastAsia="Times New Roman"/>
              </w:rPr>
              <w:t>19.49</w:t>
            </w:r>
          </w:p>
        </w:tc>
        <w:tc>
          <w:tcPr>
            <w:tcW w:w="799" w:type="dxa"/>
          </w:tcPr>
          <w:p w:rsidR="00C02BB8" w:rsidRPr="005B0796" w:rsidRDefault="00C02BB8" w:rsidP="00C02BB8">
            <w:pPr>
              <w:pStyle w:val="TableText"/>
              <w:jc w:val="right"/>
              <w:rPr>
                <w:rFonts w:eastAsia="Times New Roman"/>
              </w:rPr>
            </w:pPr>
            <w:r w:rsidRPr="005B0796">
              <w:rPr>
                <w:rFonts w:eastAsia="Times New Roman"/>
              </w:rPr>
              <w:t>9.32 106.04</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9.43</w:t>
            </w:r>
          </w:p>
        </w:tc>
        <w:tc>
          <w:tcPr>
            <w:tcW w:w="800" w:type="dxa"/>
          </w:tcPr>
          <w:p w:rsidR="00C02BB8" w:rsidRPr="005B0796" w:rsidRDefault="00C02BB8" w:rsidP="00C02BB8">
            <w:pPr>
              <w:pStyle w:val="TableText"/>
              <w:jc w:val="right"/>
              <w:rPr>
                <w:rFonts w:eastAsia="Times New Roman"/>
              </w:rPr>
            </w:pPr>
            <w:r w:rsidRPr="005B0796">
              <w:rPr>
                <w:rFonts w:eastAsia="Times New Roman"/>
              </w:rPr>
              <w:t>6.74</w:t>
            </w:r>
          </w:p>
        </w:tc>
        <w:tc>
          <w:tcPr>
            <w:tcW w:w="800" w:type="dxa"/>
          </w:tcPr>
          <w:p w:rsidR="00C02BB8" w:rsidRPr="005B0796" w:rsidRDefault="00C02BB8" w:rsidP="00C02BB8">
            <w:pPr>
              <w:pStyle w:val="TableText"/>
              <w:jc w:val="right"/>
              <w:rPr>
                <w:rFonts w:eastAsia="Times New Roman"/>
              </w:rPr>
            </w:pPr>
            <w:r w:rsidRPr="005B0796">
              <w:rPr>
                <w:rFonts w:eastAsia="Times New Roman"/>
              </w:rPr>
              <w:t>2.32 38.30</w:t>
            </w:r>
          </w:p>
        </w:tc>
        <w:tc>
          <w:tcPr>
            <w:tcW w:w="800" w:type="dxa"/>
          </w:tcPr>
          <w:p w:rsidR="00C02BB8" w:rsidRPr="005B0796" w:rsidRDefault="00C02BB8" w:rsidP="00C02BB8">
            <w:pPr>
              <w:pStyle w:val="TableText"/>
              <w:jc w:val="right"/>
              <w:rPr>
                <w:rFonts w:eastAsia="Times New Roman"/>
              </w:rPr>
            </w:pPr>
            <w:r w:rsidRPr="005B0796">
              <w:rPr>
                <w:rFonts w:eastAsia="Times New Roman"/>
              </w:rPr>
              <w:t>0.002</w:t>
            </w:r>
          </w:p>
        </w:tc>
      </w:tr>
      <w:tr w:rsidR="00520A12" w:rsidRPr="005B0796" w:rsidTr="00411B45">
        <w:trPr>
          <w:cnfStyle w:val="000000100000" w:firstRow="0" w:lastRow="0" w:firstColumn="0" w:lastColumn="0" w:oddVBand="0" w:evenVBand="0" w:oddHBand="1" w:evenHBand="0" w:firstRowFirstColumn="0" w:firstRowLastColumn="0" w:lastRowFirstColumn="0" w:lastRowLastColumn="0"/>
        </w:trPr>
        <w:tc>
          <w:tcPr>
            <w:tcW w:w="1908" w:type="dxa"/>
          </w:tcPr>
          <w:p w:rsidR="00C02BB8" w:rsidRPr="005B0796" w:rsidRDefault="00C02BB8" w:rsidP="00C02BB8">
            <w:pPr>
              <w:pStyle w:val="TableText"/>
              <w:rPr>
                <w:rFonts w:eastAsia="Times New Roman"/>
              </w:rPr>
            </w:pPr>
            <w:r w:rsidRPr="005B0796">
              <w:rPr>
                <w:rFonts w:eastAsia="Times New Roman"/>
              </w:rPr>
              <w:t>Any suicidality^</w:t>
            </w:r>
          </w:p>
        </w:tc>
        <w:tc>
          <w:tcPr>
            <w:tcW w:w="799" w:type="dxa"/>
          </w:tcPr>
          <w:p w:rsidR="00C02BB8" w:rsidRPr="005B0796" w:rsidRDefault="00C02BB8" w:rsidP="00C02BB8">
            <w:pPr>
              <w:pStyle w:val="TableText"/>
              <w:jc w:val="right"/>
              <w:rPr>
                <w:rFonts w:eastAsia="Times New Roman"/>
              </w:rPr>
            </w:pPr>
            <w:r w:rsidRPr="005B0796">
              <w:rPr>
                <w:rFonts w:eastAsia="Times New Roman"/>
              </w:rPr>
              <w:t>2.39</w:t>
            </w:r>
          </w:p>
        </w:tc>
        <w:tc>
          <w:tcPr>
            <w:tcW w:w="800" w:type="dxa"/>
          </w:tcPr>
          <w:p w:rsidR="00C02BB8" w:rsidRPr="005B0796" w:rsidRDefault="00C02BB8" w:rsidP="00C02BB8">
            <w:pPr>
              <w:pStyle w:val="TableText"/>
              <w:jc w:val="right"/>
              <w:rPr>
                <w:rFonts w:eastAsia="Times New Roman"/>
              </w:rPr>
            </w:pPr>
            <w:r w:rsidRPr="005B0796">
              <w:rPr>
                <w:rFonts w:eastAsia="Times New Roman"/>
              </w:rPr>
              <w:t>0.29</w:t>
            </w:r>
          </w:p>
        </w:tc>
        <w:tc>
          <w:tcPr>
            <w:tcW w:w="800" w:type="dxa"/>
          </w:tcPr>
          <w:p w:rsidR="00C02BB8" w:rsidRPr="005B0796" w:rsidRDefault="00C02BB8" w:rsidP="00C02BB8">
            <w:pPr>
              <w:pStyle w:val="TableText"/>
              <w:jc w:val="right"/>
              <w:rPr>
                <w:rFonts w:eastAsia="Times New Roman"/>
              </w:rPr>
            </w:pPr>
            <w:r w:rsidRPr="005B0796">
              <w:rPr>
                <w:rFonts w:eastAsia="Times New Roman"/>
              </w:rPr>
              <w:t>1.89, 3.04</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3.17</w:t>
            </w:r>
          </w:p>
        </w:tc>
        <w:tc>
          <w:tcPr>
            <w:tcW w:w="800" w:type="dxa"/>
          </w:tcPr>
          <w:p w:rsidR="00C02BB8" w:rsidRPr="005B0796" w:rsidRDefault="00C02BB8" w:rsidP="00C02BB8">
            <w:pPr>
              <w:pStyle w:val="TableText"/>
              <w:jc w:val="right"/>
              <w:rPr>
                <w:rFonts w:eastAsia="Times New Roman"/>
              </w:rPr>
            </w:pPr>
            <w:r w:rsidRPr="005B0796">
              <w:rPr>
                <w:rFonts w:eastAsia="Times New Roman"/>
              </w:rPr>
              <w:t>0.44</w:t>
            </w:r>
          </w:p>
        </w:tc>
        <w:tc>
          <w:tcPr>
            <w:tcW w:w="799" w:type="dxa"/>
          </w:tcPr>
          <w:p w:rsidR="00C02BB8" w:rsidRPr="005B0796" w:rsidRDefault="00C02BB8" w:rsidP="00C02BB8">
            <w:pPr>
              <w:pStyle w:val="TableText"/>
              <w:jc w:val="right"/>
              <w:rPr>
                <w:rFonts w:eastAsia="Times New Roman"/>
              </w:rPr>
            </w:pPr>
            <w:r w:rsidRPr="005B0796">
              <w:rPr>
                <w:rFonts w:eastAsia="Times New Roman"/>
              </w:rPr>
              <w:t>2.41 4.17</w:t>
            </w:r>
          </w:p>
        </w:tc>
        <w:tc>
          <w:tcPr>
            <w:tcW w:w="800" w:type="dxa"/>
          </w:tcPr>
          <w:p w:rsidR="00C02BB8" w:rsidRPr="005B0796" w:rsidRDefault="00C02BB8" w:rsidP="00C02BB8">
            <w:pPr>
              <w:pStyle w:val="TableText"/>
              <w:jc w:val="right"/>
              <w:rPr>
                <w:rFonts w:eastAsia="Times New Roman"/>
              </w:rPr>
            </w:pPr>
            <w:r w:rsidRPr="005B0796">
              <w:rPr>
                <w:rFonts w:eastAsia="Times New Roman"/>
              </w:rPr>
              <w:t>&lt;0.001</w:t>
            </w:r>
          </w:p>
        </w:tc>
        <w:tc>
          <w:tcPr>
            <w:tcW w:w="800" w:type="dxa"/>
          </w:tcPr>
          <w:p w:rsidR="00C02BB8" w:rsidRPr="005B0796" w:rsidRDefault="00C02BB8" w:rsidP="00C02BB8">
            <w:pPr>
              <w:pStyle w:val="TableText"/>
              <w:jc w:val="right"/>
              <w:rPr>
                <w:rFonts w:eastAsia="Times New Roman"/>
              </w:rPr>
            </w:pPr>
            <w:r w:rsidRPr="005B0796">
              <w:rPr>
                <w:rFonts w:eastAsia="Times New Roman"/>
              </w:rPr>
              <w:t>1.32</w:t>
            </w:r>
          </w:p>
        </w:tc>
        <w:tc>
          <w:tcPr>
            <w:tcW w:w="800" w:type="dxa"/>
          </w:tcPr>
          <w:p w:rsidR="00C02BB8" w:rsidRPr="005B0796" w:rsidRDefault="00C02BB8" w:rsidP="00C02BB8">
            <w:pPr>
              <w:pStyle w:val="TableText"/>
              <w:jc w:val="right"/>
              <w:rPr>
                <w:rFonts w:eastAsia="Times New Roman"/>
              </w:rPr>
            </w:pPr>
            <w:r w:rsidRPr="005B0796">
              <w:rPr>
                <w:rFonts w:eastAsia="Times New Roman"/>
              </w:rPr>
              <w:t>0.2</w:t>
            </w:r>
          </w:p>
        </w:tc>
        <w:tc>
          <w:tcPr>
            <w:tcW w:w="800" w:type="dxa"/>
          </w:tcPr>
          <w:p w:rsidR="00C02BB8" w:rsidRPr="005B0796" w:rsidRDefault="00C02BB8" w:rsidP="00C02BB8">
            <w:pPr>
              <w:pStyle w:val="TableText"/>
              <w:jc w:val="right"/>
              <w:rPr>
                <w:rFonts w:eastAsia="Times New Roman"/>
              </w:rPr>
            </w:pPr>
            <w:r w:rsidRPr="005B0796">
              <w:rPr>
                <w:rFonts w:eastAsia="Times New Roman"/>
              </w:rPr>
              <w:t>0.98 1.79</w:t>
            </w:r>
          </w:p>
        </w:tc>
        <w:tc>
          <w:tcPr>
            <w:tcW w:w="800" w:type="dxa"/>
          </w:tcPr>
          <w:p w:rsidR="00C02BB8" w:rsidRPr="005B0796" w:rsidRDefault="00C02BB8" w:rsidP="00C02BB8">
            <w:pPr>
              <w:pStyle w:val="TableText"/>
              <w:jc w:val="right"/>
              <w:rPr>
                <w:rFonts w:eastAsia="Times New Roman"/>
              </w:rPr>
            </w:pPr>
            <w:r w:rsidRPr="005B0796">
              <w:rPr>
                <w:rFonts w:eastAsia="Times New Roman"/>
              </w:rPr>
              <w:t>0.068</w:t>
            </w:r>
          </w:p>
        </w:tc>
      </w:tr>
    </w:tbl>
    <w:p w:rsidR="00395119" w:rsidRPr="005B0796" w:rsidRDefault="00395119" w:rsidP="00395119">
      <w:pPr>
        <w:pStyle w:val="TableNotes"/>
      </w:pPr>
      <w:r w:rsidRPr="005B0796">
        <w:t>*Adjusted for age, sex, service rank.</w:t>
      </w:r>
    </w:p>
    <w:p w:rsidR="00395119" w:rsidRPr="005B0796" w:rsidRDefault="00395119" w:rsidP="00395119">
      <w:pPr>
        <w:pStyle w:val="TableNotes"/>
      </w:pPr>
      <w:r w:rsidRPr="005B0796">
        <w:t>^calculated as yes to either felt so low thought about committing suicide, made a suicide plan, or attempted suicide</w:t>
      </w:r>
    </w:p>
    <w:p w:rsidR="00395119" w:rsidRPr="005B0796" w:rsidRDefault="00395119" w:rsidP="00395119">
      <w:pPr>
        <w:pStyle w:val="TableNotes"/>
      </w:pPr>
      <w:r w:rsidRPr="005B0796">
        <w:t xml:space="preserve">Note: 95% CI: 95% </w:t>
      </w:r>
      <w:r w:rsidR="00564689" w:rsidRPr="005B0796">
        <w:t>confidence interval</w:t>
      </w:r>
    </w:p>
    <w:p w:rsidR="00520A12" w:rsidRPr="005B0796" w:rsidRDefault="00520A12" w:rsidP="00520A12">
      <w:pPr>
        <w:sectPr w:rsidR="00520A12" w:rsidRPr="005B0796" w:rsidSect="00520A12">
          <w:footerReference w:type="even" r:id="rId296"/>
          <w:pgSz w:w="14170" w:h="9979" w:orient="landscape" w:code="243"/>
          <w:pgMar w:top="1872" w:right="1440" w:bottom="1152" w:left="1440" w:header="576" w:footer="576" w:gutter="0"/>
          <w:cols w:space="708"/>
          <w:docGrid w:linePitch="360"/>
        </w:sectPr>
      </w:pPr>
    </w:p>
    <w:p w:rsidR="00395119" w:rsidRPr="005B0796" w:rsidRDefault="00395119" w:rsidP="00395119">
      <w:pPr>
        <w:pStyle w:val="TableName"/>
      </w:pPr>
      <w:bookmarkStart w:id="1648" w:name="_Toc511900504"/>
      <w:r w:rsidRPr="005B0796">
        <w:t>Table B.5</w:t>
      </w:r>
      <w:r w:rsidRPr="005B0796">
        <w:tab/>
        <w:t>Odds ratio comparing proportion of Transitioned ADF endorsing suicide question 1: felt life was not worth living for each year since transition (compared to 0: 1–11 months post transition)</w:t>
      </w:r>
      <w:bookmarkEnd w:id="1648"/>
    </w:p>
    <w:tbl>
      <w:tblPr>
        <w:tblStyle w:val="TWRPTable"/>
        <w:tblW w:w="5000" w:type="pct"/>
        <w:tblLayout w:type="fixed"/>
        <w:tblLook w:val="04A0" w:firstRow="1" w:lastRow="0" w:firstColumn="1" w:lastColumn="0" w:noHBand="0" w:noVBand="1"/>
        <w:tblDescription w:val="Table B.5 Odds ratio comparing proportion of Transitioned ADF endorsing suicide question 1: felt life was not worth living for each year since transition (compared to 0: 1–11 months post transition)"/>
      </w:tblPr>
      <w:tblGrid>
        <w:gridCol w:w="2538"/>
        <w:gridCol w:w="1194"/>
        <w:gridCol w:w="1194"/>
        <w:gridCol w:w="1194"/>
        <w:gridCol w:w="1195"/>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hideMark/>
          </w:tcPr>
          <w:p w:rsidR="00395119" w:rsidRPr="005B0796" w:rsidRDefault="00395119" w:rsidP="003B5F81">
            <w:pPr>
              <w:pStyle w:val="TableText"/>
            </w:pPr>
          </w:p>
        </w:tc>
        <w:tc>
          <w:tcPr>
            <w:tcW w:w="4777" w:type="dxa"/>
            <w:gridSpan w:val="4"/>
            <w:hideMark/>
          </w:tcPr>
          <w:p w:rsidR="00395119" w:rsidRPr="005B0796" w:rsidRDefault="00395119" w:rsidP="003B5F81">
            <w:pPr>
              <w:pStyle w:val="TableText"/>
              <w:jc w:val="center"/>
              <w:rPr>
                <w:rFonts w:eastAsia="Times New Roman"/>
              </w:rPr>
            </w:pPr>
            <w:r w:rsidRPr="005B0796">
              <w:rPr>
                <w:rFonts w:eastAsia="Times New Roman"/>
              </w:rPr>
              <w:t>Transitioned ADF vs 2015 Regular ADF</w:t>
            </w:r>
          </w:p>
        </w:tc>
      </w:tr>
      <w:tr w:rsidR="003B5F81"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hideMark/>
          </w:tcPr>
          <w:p w:rsidR="00395119" w:rsidRPr="005B0796" w:rsidRDefault="003B5F81" w:rsidP="003B5F81">
            <w:pPr>
              <w:pStyle w:val="TableText"/>
              <w:rPr>
                <w:rFonts w:eastAsia="Times New Roman"/>
                <w:lang w:eastAsia="ja-JP"/>
              </w:rPr>
            </w:pPr>
            <w:r w:rsidRPr="005B0796">
              <w:t>Time since Transition</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OR*</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SE</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CI</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P</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B5F81">
            <w:pPr>
              <w:pStyle w:val="TableText"/>
              <w:rPr>
                <w:rFonts w:eastAsia="Times New Roman"/>
              </w:rPr>
            </w:pPr>
            <w:r w:rsidRPr="005B0796">
              <w:rPr>
                <w:rFonts w:eastAsia="Times New Roman"/>
              </w:rPr>
              <w:t>0 years</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REF</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REF</w:t>
            </w:r>
          </w:p>
        </w:tc>
      </w:tr>
      <w:tr w:rsidR="003B5F81" w:rsidRPr="005B0796" w:rsidTr="00520A12">
        <w:tc>
          <w:tcPr>
            <w:tcW w:w="2538" w:type="dxa"/>
            <w:hideMark/>
          </w:tcPr>
          <w:p w:rsidR="00395119" w:rsidRPr="005B0796" w:rsidRDefault="00395119" w:rsidP="003B5F81">
            <w:pPr>
              <w:pStyle w:val="TableText"/>
              <w:rPr>
                <w:rFonts w:eastAsia="Times New Roman"/>
                <w:b/>
              </w:rPr>
            </w:pPr>
            <w:r w:rsidRPr="005B0796">
              <w:rPr>
                <w:rFonts w:eastAsia="Times New Roman"/>
              </w:rPr>
              <w:t>1 year</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1.78</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0.31</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1.26, 2.51</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0.001</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B5F81">
            <w:pPr>
              <w:pStyle w:val="TableText"/>
              <w:rPr>
                <w:rFonts w:eastAsia="Times New Roman"/>
                <w:b/>
              </w:rPr>
            </w:pPr>
            <w:r w:rsidRPr="005B0796">
              <w:rPr>
                <w:rFonts w:eastAsia="Times New Roman"/>
              </w:rPr>
              <w:t>2 years</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1.5</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0.27</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1.05,2.12</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0.024</w:t>
            </w:r>
          </w:p>
        </w:tc>
      </w:tr>
      <w:tr w:rsidR="003B5F81" w:rsidRPr="005B0796" w:rsidTr="00520A12">
        <w:tc>
          <w:tcPr>
            <w:tcW w:w="2538" w:type="dxa"/>
            <w:hideMark/>
          </w:tcPr>
          <w:p w:rsidR="00395119" w:rsidRPr="005B0796" w:rsidRDefault="00395119" w:rsidP="003B5F81">
            <w:pPr>
              <w:pStyle w:val="TableText"/>
              <w:rPr>
                <w:rFonts w:eastAsia="Times New Roman"/>
                <w:b/>
              </w:rPr>
            </w:pPr>
            <w:r w:rsidRPr="005B0796">
              <w:rPr>
                <w:rFonts w:eastAsia="Times New Roman"/>
              </w:rPr>
              <w:t>3 years</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2.03</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0.35</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1.44,2.85</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&lt;0.001</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B5F81">
            <w:pPr>
              <w:pStyle w:val="TableText"/>
              <w:rPr>
                <w:rFonts w:eastAsia="Times New Roman"/>
                <w:b/>
              </w:rPr>
            </w:pPr>
            <w:r w:rsidRPr="005B0796">
              <w:rPr>
                <w:rFonts w:eastAsia="Times New Roman"/>
              </w:rPr>
              <w:t>4 years</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1.67</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0.31</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1.16,2.39</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0.005</w:t>
            </w:r>
          </w:p>
        </w:tc>
      </w:tr>
      <w:tr w:rsidR="003B5F81" w:rsidRPr="005B0796" w:rsidTr="00520A12">
        <w:tc>
          <w:tcPr>
            <w:tcW w:w="2538" w:type="dxa"/>
            <w:hideMark/>
          </w:tcPr>
          <w:p w:rsidR="00395119" w:rsidRPr="005B0796" w:rsidRDefault="00395119" w:rsidP="003B5F81">
            <w:pPr>
              <w:pStyle w:val="TableText"/>
              <w:rPr>
                <w:rFonts w:eastAsia="Times New Roman"/>
                <w:b/>
              </w:rPr>
            </w:pPr>
            <w:r w:rsidRPr="005B0796">
              <w:rPr>
                <w:rFonts w:eastAsia="Times New Roman"/>
              </w:rPr>
              <w:t>5 years</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1.63</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0.32</w:t>
            </w:r>
          </w:p>
        </w:tc>
        <w:tc>
          <w:tcPr>
            <w:tcW w:w="1194" w:type="dxa"/>
            <w:hideMark/>
          </w:tcPr>
          <w:p w:rsidR="00395119" w:rsidRPr="005B0796" w:rsidRDefault="00395119" w:rsidP="003B5F81">
            <w:pPr>
              <w:pStyle w:val="TableText"/>
              <w:jc w:val="right"/>
              <w:rPr>
                <w:rFonts w:eastAsia="Times New Roman"/>
              </w:rPr>
            </w:pPr>
            <w:r w:rsidRPr="005B0796">
              <w:rPr>
                <w:rFonts w:eastAsia="Times New Roman"/>
              </w:rPr>
              <w:t>1.12,2.39</w:t>
            </w:r>
          </w:p>
        </w:tc>
        <w:tc>
          <w:tcPr>
            <w:tcW w:w="1195" w:type="dxa"/>
            <w:hideMark/>
          </w:tcPr>
          <w:p w:rsidR="00395119" w:rsidRPr="005B0796" w:rsidRDefault="00395119" w:rsidP="003B5F81">
            <w:pPr>
              <w:pStyle w:val="TableText"/>
              <w:jc w:val="right"/>
              <w:rPr>
                <w:rFonts w:eastAsia="Times New Roman"/>
              </w:rPr>
            </w:pPr>
            <w:r w:rsidRPr="005B0796">
              <w:rPr>
                <w:rFonts w:eastAsia="Times New Roman"/>
              </w:rPr>
              <w:t>0.011</w:t>
            </w:r>
          </w:p>
        </w:tc>
      </w:tr>
    </w:tbl>
    <w:p w:rsidR="00395119" w:rsidRPr="005B0796" w:rsidRDefault="00395119" w:rsidP="00395119">
      <w:pPr>
        <w:pStyle w:val="TableNotes"/>
        <w:rPr>
          <w:lang w:eastAsia="ja-JP"/>
        </w:rPr>
      </w:pPr>
      <w:r w:rsidRPr="005B0796">
        <w:t>*Adjusted for age, sex, service rank</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pPr>
      <w:bookmarkStart w:id="1649" w:name="_Toc511900505"/>
      <w:r w:rsidRPr="005B0796">
        <w:t>Table B.6</w:t>
      </w:r>
      <w:r w:rsidRPr="005B0796">
        <w:tab/>
        <w:t>Odds ratio comparing proportion of Transitioned ADF endorsing suicide question 2: felt so low thought about committing suicide for each year since transition (compared to 0: 1- 11 months post transition)</w:t>
      </w:r>
      <w:bookmarkEnd w:id="1649"/>
    </w:p>
    <w:tbl>
      <w:tblPr>
        <w:tblStyle w:val="TWRPTable"/>
        <w:tblW w:w="5000" w:type="pct"/>
        <w:tblLayout w:type="fixed"/>
        <w:tblLook w:val="04A0" w:firstRow="1" w:lastRow="0" w:firstColumn="1" w:lastColumn="0" w:noHBand="0" w:noVBand="1"/>
        <w:tblDescription w:val="Table B.6 Odds ratio comparing proportion of Transitioned ADF endorsing suicide question 2: felt so low thought about committing suicide for each year since transition (compared to 0: 1- 11 months post transition)"/>
      </w:tblPr>
      <w:tblGrid>
        <w:gridCol w:w="2538"/>
        <w:gridCol w:w="1194"/>
        <w:gridCol w:w="1194"/>
        <w:gridCol w:w="1194"/>
        <w:gridCol w:w="1195"/>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hideMark/>
          </w:tcPr>
          <w:p w:rsidR="00395119" w:rsidRPr="005B0796" w:rsidRDefault="00395119" w:rsidP="00387F26">
            <w:pPr>
              <w:pStyle w:val="TableText"/>
            </w:pPr>
          </w:p>
        </w:tc>
        <w:tc>
          <w:tcPr>
            <w:tcW w:w="4777" w:type="dxa"/>
            <w:gridSpan w:val="4"/>
            <w:hideMark/>
          </w:tcPr>
          <w:p w:rsidR="00395119" w:rsidRPr="005B0796" w:rsidRDefault="00395119" w:rsidP="00387F26">
            <w:pPr>
              <w:pStyle w:val="TableText"/>
              <w:jc w:val="center"/>
              <w:rPr>
                <w:rFonts w:eastAsia="Times New Roman"/>
              </w:rPr>
            </w:pPr>
            <w:r w:rsidRPr="005B0796">
              <w:rPr>
                <w:rFonts w:eastAsia="Times New Roman"/>
              </w:rPr>
              <w:t>Transitioned ADF vs 2015 Regular ADF</w:t>
            </w:r>
          </w:p>
        </w:tc>
      </w:tr>
      <w:tr w:rsidR="00520A12"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hideMark/>
          </w:tcPr>
          <w:p w:rsidR="00395119" w:rsidRPr="005B0796" w:rsidRDefault="00387F26" w:rsidP="00387F26">
            <w:pPr>
              <w:pStyle w:val="TableText"/>
              <w:rPr>
                <w:rFonts w:eastAsia="Times New Roman"/>
                <w:lang w:eastAsia="ja-JP"/>
              </w:rPr>
            </w:pPr>
            <w:r w:rsidRPr="005B0796">
              <w:t>Time since Transition</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OR*</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SE</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CI</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P</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87F26">
            <w:pPr>
              <w:pStyle w:val="TableText"/>
              <w:rPr>
                <w:rFonts w:eastAsia="Times New Roman"/>
              </w:rPr>
            </w:pPr>
            <w:r w:rsidRPr="005B0796">
              <w:rPr>
                <w:rFonts w:eastAsia="Times New Roman"/>
              </w:rPr>
              <w:t>0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REF</w:t>
            </w:r>
          </w:p>
        </w:tc>
      </w:tr>
      <w:tr w:rsidR="00520A12" w:rsidRPr="005B0796" w:rsidTr="00520A12">
        <w:tc>
          <w:tcPr>
            <w:tcW w:w="2538" w:type="dxa"/>
            <w:hideMark/>
          </w:tcPr>
          <w:p w:rsidR="00395119" w:rsidRPr="005B0796" w:rsidRDefault="00395119" w:rsidP="00387F26">
            <w:pPr>
              <w:pStyle w:val="TableText"/>
              <w:rPr>
                <w:rFonts w:eastAsia="Times New Roman"/>
                <w:b/>
              </w:rPr>
            </w:pPr>
            <w:r w:rsidRPr="005B0796">
              <w:rPr>
                <w:rFonts w:eastAsia="Times New Roman"/>
              </w:rPr>
              <w:t>1 year</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1.68</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0.34</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1.14 2.49</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0.009</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87F26">
            <w:pPr>
              <w:pStyle w:val="TableText"/>
              <w:rPr>
                <w:rFonts w:eastAsia="Times New Roman"/>
                <w:b/>
              </w:rPr>
            </w:pPr>
            <w:r w:rsidRPr="005B0796">
              <w:rPr>
                <w:rFonts w:eastAsia="Times New Roman"/>
              </w:rPr>
              <w:t>2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1.53</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0.31</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1.03 2.28</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0.036</w:t>
            </w:r>
          </w:p>
        </w:tc>
      </w:tr>
      <w:tr w:rsidR="00520A12" w:rsidRPr="005B0796" w:rsidTr="00520A12">
        <w:tc>
          <w:tcPr>
            <w:tcW w:w="2538" w:type="dxa"/>
            <w:hideMark/>
          </w:tcPr>
          <w:p w:rsidR="00395119" w:rsidRPr="005B0796" w:rsidRDefault="00395119" w:rsidP="00387F26">
            <w:pPr>
              <w:pStyle w:val="TableText"/>
              <w:rPr>
                <w:rFonts w:eastAsia="Times New Roman"/>
                <w:b/>
              </w:rPr>
            </w:pPr>
            <w:r w:rsidRPr="005B0796">
              <w:rPr>
                <w:rFonts w:eastAsia="Times New Roman"/>
              </w:rPr>
              <w:t>3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2.2</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0.43</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1.49 3.23</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&lt;0.001</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87F26">
            <w:pPr>
              <w:pStyle w:val="TableText"/>
              <w:rPr>
                <w:rFonts w:eastAsia="Times New Roman"/>
                <w:b/>
              </w:rPr>
            </w:pPr>
            <w:r w:rsidRPr="005B0796">
              <w:rPr>
                <w:rFonts w:eastAsia="Times New Roman"/>
              </w:rPr>
              <w:t>4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1.79</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0.37</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 xml:space="preserve"> 1.19 2.69</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0.005</w:t>
            </w:r>
          </w:p>
        </w:tc>
      </w:tr>
      <w:tr w:rsidR="00520A12" w:rsidRPr="005B0796" w:rsidTr="00520A12">
        <w:tc>
          <w:tcPr>
            <w:tcW w:w="2538" w:type="dxa"/>
            <w:hideMark/>
          </w:tcPr>
          <w:p w:rsidR="00395119" w:rsidRPr="005B0796" w:rsidRDefault="00395119" w:rsidP="00387F26">
            <w:pPr>
              <w:pStyle w:val="TableText"/>
              <w:rPr>
                <w:rFonts w:eastAsia="Times New Roman"/>
                <w:b/>
              </w:rPr>
            </w:pPr>
            <w:r w:rsidRPr="005B0796">
              <w:rPr>
                <w:rFonts w:eastAsia="Times New Roman"/>
              </w:rPr>
              <w:t>5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1.75</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0.38</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1.14 2.68</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0.011</w:t>
            </w:r>
          </w:p>
        </w:tc>
      </w:tr>
    </w:tbl>
    <w:p w:rsidR="00395119" w:rsidRPr="005B0796" w:rsidRDefault="00395119" w:rsidP="00395119">
      <w:pPr>
        <w:pStyle w:val="TableNotes"/>
      </w:pPr>
      <w:r w:rsidRPr="005B0796">
        <w:rPr>
          <w:sz w:val="20"/>
          <w:szCs w:val="20"/>
        </w:rPr>
        <w:t>*</w:t>
      </w:r>
      <w:r w:rsidRPr="005B0796">
        <w:t>Adjusted for age, sex, service rank</w:t>
      </w:r>
    </w:p>
    <w:p w:rsidR="00395119" w:rsidRPr="005B0796" w:rsidRDefault="00395119" w:rsidP="00395119">
      <w:pPr>
        <w:pStyle w:val="TableName"/>
      </w:pPr>
      <w:bookmarkStart w:id="1650" w:name="_Toc511900506"/>
      <w:r w:rsidRPr="005B0796">
        <w:t>Table B.7</w:t>
      </w:r>
      <w:r w:rsidRPr="005B0796">
        <w:tab/>
        <w:t>Odds ratio comparing proportion of Transitioned ADF endorsing suicide question 3: made a suicide plan for each year since transition (compared to 0: 1–11 months post transition)</w:t>
      </w:r>
      <w:bookmarkEnd w:id="1650"/>
    </w:p>
    <w:tbl>
      <w:tblPr>
        <w:tblStyle w:val="TWRPTable"/>
        <w:tblW w:w="5000" w:type="pct"/>
        <w:tblLayout w:type="fixed"/>
        <w:tblLook w:val="04A0" w:firstRow="1" w:lastRow="0" w:firstColumn="1" w:lastColumn="0" w:noHBand="0" w:noVBand="1"/>
        <w:tblDescription w:val="Table B.7 Odds ratio comparing proportion of Transitioned ADF endorsing suicide question 3: made a suicide plan for each year since transition (compared to 0: 1–11 months post transition)"/>
      </w:tblPr>
      <w:tblGrid>
        <w:gridCol w:w="2538"/>
        <w:gridCol w:w="1194"/>
        <w:gridCol w:w="1194"/>
        <w:gridCol w:w="1194"/>
        <w:gridCol w:w="1195"/>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hideMark/>
          </w:tcPr>
          <w:p w:rsidR="00395119" w:rsidRPr="005B0796" w:rsidRDefault="00395119" w:rsidP="00387F26">
            <w:pPr>
              <w:pStyle w:val="TableText"/>
            </w:pPr>
          </w:p>
        </w:tc>
        <w:tc>
          <w:tcPr>
            <w:tcW w:w="4777" w:type="dxa"/>
            <w:gridSpan w:val="4"/>
            <w:hideMark/>
          </w:tcPr>
          <w:p w:rsidR="00395119" w:rsidRPr="005B0796" w:rsidRDefault="00395119" w:rsidP="00387F26">
            <w:pPr>
              <w:pStyle w:val="TableText"/>
              <w:jc w:val="center"/>
              <w:rPr>
                <w:rFonts w:eastAsia="Times New Roman"/>
              </w:rPr>
            </w:pPr>
            <w:r w:rsidRPr="005B0796">
              <w:rPr>
                <w:rFonts w:eastAsia="Times New Roman"/>
              </w:rPr>
              <w:t>Transitioned ADF vs 2015 Regular ADF</w:t>
            </w:r>
          </w:p>
        </w:tc>
      </w:tr>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hideMark/>
          </w:tcPr>
          <w:p w:rsidR="00395119" w:rsidRPr="005B0796" w:rsidRDefault="00387F26" w:rsidP="00387F26">
            <w:pPr>
              <w:pStyle w:val="TableText"/>
              <w:rPr>
                <w:rFonts w:eastAsia="Times New Roman"/>
                <w:lang w:eastAsia="ja-JP"/>
              </w:rPr>
            </w:pPr>
            <w:r w:rsidRPr="005B0796">
              <w:t>Time since Transition</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OR*</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SE</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CI</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P</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87F26">
            <w:pPr>
              <w:pStyle w:val="TableText"/>
              <w:rPr>
                <w:rFonts w:eastAsia="Times New Roman"/>
              </w:rPr>
            </w:pPr>
            <w:r w:rsidRPr="005B0796">
              <w:rPr>
                <w:rFonts w:eastAsia="Times New Roman"/>
              </w:rPr>
              <w:t>0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REF</w:t>
            </w:r>
          </w:p>
        </w:tc>
      </w:tr>
      <w:tr w:rsidR="00395119" w:rsidRPr="005B0796" w:rsidTr="00520A12">
        <w:tc>
          <w:tcPr>
            <w:tcW w:w="2538" w:type="dxa"/>
            <w:hideMark/>
          </w:tcPr>
          <w:p w:rsidR="00395119" w:rsidRPr="005B0796" w:rsidRDefault="00395119" w:rsidP="00387F26">
            <w:pPr>
              <w:pStyle w:val="TableText"/>
              <w:rPr>
                <w:rFonts w:eastAsia="Times New Roman"/>
                <w:b/>
              </w:rPr>
            </w:pPr>
            <w:r w:rsidRPr="005B0796">
              <w:rPr>
                <w:rFonts w:eastAsia="Times New Roman"/>
              </w:rPr>
              <w:t>1 year</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1.62</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0.41</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0.99 2.66</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0.055</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87F26">
            <w:pPr>
              <w:pStyle w:val="TableText"/>
              <w:rPr>
                <w:rFonts w:eastAsia="Times New Roman"/>
                <w:b/>
              </w:rPr>
            </w:pPr>
            <w:r w:rsidRPr="005B0796">
              <w:rPr>
                <w:rFonts w:eastAsia="Times New Roman"/>
              </w:rPr>
              <w:t>2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1.52</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0.38</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0.93 2.49</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0.097</w:t>
            </w:r>
          </w:p>
        </w:tc>
      </w:tr>
      <w:tr w:rsidR="00395119" w:rsidRPr="005B0796" w:rsidTr="00520A12">
        <w:tc>
          <w:tcPr>
            <w:tcW w:w="2538" w:type="dxa"/>
            <w:hideMark/>
          </w:tcPr>
          <w:p w:rsidR="00395119" w:rsidRPr="005B0796" w:rsidRDefault="00395119" w:rsidP="00387F26">
            <w:pPr>
              <w:pStyle w:val="TableText"/>
              <w:rPr>
                <w:rFonts w:eastAsia="Times New Roman"/>
                <w:b/>
              </w:rPr>
            </w:pPr>
            <w:r w:rsidRPr="005B0796">
              <w:rPr>
                <w:rFonts w:eastAsia="Times New Roman"/>
              </w:rPr>
              <w:t>3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1.98</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0.49</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1.22 3.20</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0.006</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387F26">
            <w:pPr>
              <w:pStyle w:val="TableText"/>
              <w:rPr>
                <w:rFonts w:eastAsia="Times New Roman"/>
                <w:b/>
              </w:rPr>
            </w:pPr>
            <w:r w:rsidRPr="005B0796">
              <w:rPr>
                <w:rFonts w:eastAsia="Times New Roman"/>
              </w:rPr>
              <w:t>4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1.31</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0.35</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0.78 2.19</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0.314</w:t>
            </w:r>
          </w:p>
        </w:tc>
      </w:tr>
      <w:tr w:rsidR="00395119" w:rsidRPr="005B0796" w:rsidTr="00520A12">
        <w:tc>
          <w:tcPr>
            <w:tcW w:w="2538" w:type="dxa"/>
            <w:hideMark/>
          </w:tcPr>
          <w:p w:rsidR="00395119" w:rsidRPr="005B0796" w:rsidRDefault="00395119" w:rsidP="00387F26">
            <w:pPr>
              <w:pStyle w:val="TableText"/>
              <w:rPr>
                <w:rFonts w:eastAsia="Times New Roman"/>
                <w:b/>
              </w:rPr>
            </w:pPr>
            <w:r w:rsidRPr="005B0796">
              <w:rPr>
                <w:rFonts w:eastAsia="Times New Roman"/>
              </w:rPr>
              <w:t>5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1.58</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0.47</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 xml:space="preserve"> 0.89 2.82</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0.12</w:t>
            </w:r>
          </w:p>
        </w:tc>
      </w:tr>
    </w:tbl>
    <w:p w:rsidR="00395119" w:rsidRPr="005B0796" w:rsidRDefault="00395119" w:rsidP="00395119">
      <w:pPr>
        <w:pStyle w:val="TableNotes"/>
      </w:pPr>
      <w:r w:rsidRPr="005B0796">
        <w:t>*Adjusted for age, sex, service rank</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rPr>
          <w:lang w:eastAsia="ja-JP"/>
        </w:rPr>
      </w:pPr>
      <w:bookmarkStart w:id="1651" w:name="_Toc511900507"/>
      <w:r w:rsidRPr="005B0796">
        <w:t>Table B.8</w:t>
      </w:r>
      <w:r w:rsidRPr="005B0796">
        <w:tab/>
        <w:t>Odds ratio comparing proportion of Transitioned ADF endorsing yes to suicide questions 2, 3, 4 (any suicidality) for each year since transition (compared to 0: 1–11 months post transition)</w:t>
      </w:r>
      <w:bookmarkEnd w:id="1651"/>
    </w:p>
    <w:tbl>
      <w:tblPr>
        <w:tblStyle w:val="TWRPTable"/>
        <w:tblW w:w="5000" w:type="pct"/>
        <w:tblLayout w:type="fixed"/>
        <w:tblLook w:val="04A0" w:firstRow="1" w:lastRow="0" w:firstColumn="1" w:lastColumn="0" w:noHBand="0" w:noVBand="1"/>
        <w:tblDescription w:val="Table B.8 Odds ratio comparing proportion of Transitioned ADF endorsing yes to suicide questions 2, 3, 4 (any suicidality) for each year since transition (compared to 0: 1–11 months post transition)"/>
      </w:tblPr>
      <w:tblGrid>
        <w:gridCol w:w="2538"/>
        <w:gridCol w:w="1194"/>
        <w:gridCol w:w="1194"/>
        <w:gridCol w:w="1194"/>
        <w:gridCol w:w="1195"/>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hideMark/>
          </w:tcPr>
          <w:p w:rsidR="00395119" w:rsidRPr="005B0796" w:rsidRDefault="00395119" w:rsidP="009506AF">
            <w:pPr>
              <w:pStyle w:val="TableText"/>
            </w:pPr>
          </w:p>
        </w:tc>
        <w:tc>
          <w:tcPr>
            <w:tcW w:w="4777" w:type="dxa"/>
            <w:gridSpan w:val="4"/>
            <w:hideMark/>
          </w:tcPr>
          <w:p w:rsidR="00395119" w:rsidRPr="005B0796" w:rsidRDefault="00395119" w:rsidP="009506AF">
            <w:pPr>
              <w:pStyle w:val="TableText"/>
              <w:jc w:val="center"/>
              <w:rPr>
                <w:rFonts w:eastAsia="Times New Roman"/>
              </w:rPr>
            </w:pPr>
            <w:r w:rsidRPr="005B0796">
              <w:rPr>
                <w:rFonts w:eastAsia="Times New Roman"/>
              </w:rPr>
              <w:t>Transitioned ADF vs 2015 Regular ADF</w:t>
            </w:r>
          </w:p>
        </w:tc>
      </w:tr>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hideMark/>
          </w:tcPr>
          <w:p w:rsidR="00395119" w:rsidRPr="005B0796" w:rsidRDefault="009506AF" w:rsidP="009506AF">
            <w:pPr>
              <w:pStyle w:val="TableText"/>
              <w:rPr>
                <w:rFonts w:eastAsia="Times New Roman"/>
                <w:lang w:eastAsia="ja-JP"/>
              </w:rPr>
            </w:pPr>
            <w:r w:rsidRPr="005B0796">
              <w:t>Time since Transition</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OR*</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SE</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CI</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P</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rPr>
            </w:pPr>
            <w:r w:rsidRPr="005B0796">
              <w:rPr>
                <w:rFonts w:eastAsia="Times New Roman"/>
              </w:rPr>
              <w:t>0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REF</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REF</w:t>
            </w:r>
          </w:p>
        </w:tc>
      </w:tr>
      <w:tr w:rsidR="00395119" w:rsidRPr="005B0796" w:rsidTr="00520A12">
        <w:tc>
          <w:tcPr>
            <w:tcW w:w="2538" w:type="dxa"/>
            <w:hideMark/>
          </w:tcPr>
          <w:p w:rsidR="00395119" w:rsidRPr="005B0796" w:rsidRDefault="00395119" w:rsidP="009506AF">
            <w:pPr>
              <w:pStyle w:val="TableText"/>
              <w:rPr>
                <w:rFonts w:eastAsia="Times New Roman"/>
                <w:b/>
              </w:rPr>
            </w:pPr>
            <w:r w:rsidRPr="005B0796">
              <w:rPr>
                <w:rFonts w:eastAsia="Times New Roman"/>
              </w:rPr>
              <w:t>1 year</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1.59</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0.32</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1.08 2.35</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0.019</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b/>
              </w:rPr>
            </w:pPr>
            <w:r w:rsidRPr="005B0796">
              <w:rPr>
                <w:rFonts w:eastAsia="Times New Roman"/>
              </w:rPr>
              <w:t>2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1.44</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0.29</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0.97 2.14</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0.068</w:t>
            </w:r>
          </w:p>
        </w:tc>
      </w:tr>
      <w:tr w:rsidR="00395119" w:rsidRPr="005B0796" w:rsidTr="00520A12">
        <w:tc>
          <w:tcPr>
            <w:tcW w:w="2538" w:type="dxa"/>
            <w:hideMark/>
          </w:tcPr>
          <w:p w:rsidR="00395119" w:rsidRPr="005B0796" w:rsidRDefault="00395119" w:rsidP="009506AF">
            <w:pPr>
              <w:pStyle w:val="TableText"/>
              <w:rPr>
                <w:rFonts w:eastAsia="Times New Roman"/>
                <w:b/>
              </w:rPr>
            </w:pPr>
            <w:r w:rsidRPr="005B0796">
              <w:rPr>
                <w:rFonts w:eastAsia="Times New Roman"/>
              </w:rPr>
              <w:t>3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2.07</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1.41 3.03</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&lt;0.001</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b/>
              </w:rPr>
            </w:pPr>
            <w:r w:rsidRPr="005B0796">
              <w:rPr>
                <w:rFonts w:eastAsia="Times New Roman"/>
              </w:rPr>
              <w:t>4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1.7</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0.35</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1.13 2.54</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0.011</w:t>
            </w:r>
          </w:p>
        </w:tc>
      </w:tr>
      <w:tr w:rsidR="00395119" w:rsidRPr="005B0796" w:rsidTr="00520A12">
        <w:tc>
          <w:tcPr>
            <w:tcW w:w="2538" w:type="dxa"/>
            <w:hideMark/>
          </w:tcPr>
          <w:p w:rsidR="00395119" w:rsidRPr="005B0796" w:rsidRDefault="00395119" w:rsidP="009506AF">
            <w:pPr>
              <w:pStyle w:val="TableText"/>
              <w:rPr>
                <w:rFonts w:eastAsia="Times New Roman"/>
                <w:b/>
              </w:rPr>
            </w:pPr>
            <w:r w:rsidRPr="005B0796">
              <w:rPr>
                <w:rFonts w:eastAsia="Times New Roman"/>
              </w:rPr>
              <w:t>5 years</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1.64</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0.36</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1.07 2.51</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0.022</w:t>
            </w:r>
          </w:p>
        </w:tc>
      </w:tr>
    </w:tbl>
    <w:p w:rsidR="00395119" w:rsidRPr="005B0796" w:rsidRDefault="00395119" w:rsidP="00395119">
      <w:pPr>
        <w:pStyle w:val="TableNotes"/>
      </w:pPr>
      <w:r w:rsidRPr="005B0796">
        <w:t>*Adjusted for age, sex, service rank</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rPr>
          <w:sz w:val="20"/>
        </w:rPr>
      </w:pPr>
      <w:bookmarkStart w:id="1652" w:name="_Toc511900508"/>
      <w:r w:rsidRPr="005B0796">
        <w:t>Table B.9</w:t>
      </w:r>
      <w:r w:rsidRPr="005B0796">
        <w:tab/>
        <w:t>Odds ratios comparing 12-month suicidal ideation, plans and attempts in Transitioned ADF and 2015 Regular ADF</w:t>
      </w:r>
      <w:bookmarkEnd w:id="1652"/>
    </w:p>
    <w:tbl>
      <w:tblPr>
        <w:tblStyle w:val="TWRPTable"/>
        <w:tblW w:w="5000" w:type="pct"/>
        <w:tblLayout w:type="fixed"/>
        <w:tblLook w:val="04A0" w:firstRow="1" w:lastRow="0" w:firstColumn="1" w:lastColumn="0" w:noHBand="0" w:noVBand="1"/>
        <w:tblDescription w:val="Table B.9 Odds ratios comparing 12-month suicidal ideation, plans and attempts in Transitioned ADF and 2015 Regular ADF"/>
      </w:tblPr>
      <w:tblGrid>
        <w:gridCol w:w="2538"/>
        <w:gridCol w:w="1194"/>
        <w:gridCol w:w="1194"/>
        <w:gridCol w:w="1194"/>
        <w:gridCol w:w="1195"/>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tcPr>
          <w:p w:rsidR="00395119" w:rsidRPr="005B0796" w:rsidRDefault="00395119" w:rsidP="009506AF">
            <w:pPr>
              <w:pStyle w:val="TableText"/>
            </w:pPr>
          </w:p>
        </w:tc>
        <w:tc>
          <w:tcPr>
            <w:tcW w:w="4777" w:type="dxa"/>
            <w:gridSpan w:val="4"/>
            <w:hideMark/>
          </w:tcPr>
          <w:p w:rsidR="00395119" w:rsidRPr="005B0796" w:rsidRDefault="00395119" w:rsidP="009506AF">
            <w:pPr>
              <w:pStyle w:val="TableText"/>
              <w:jc w:val="center"/>
            </w:pPr>
            <w:r w:rsidRPr="005B0796">
              <w:t>Transitioned ADF vs 2015 Regular ADF</w:t>
            </w:r>
          </w:p>
        </w:tc>
      </w:tr>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hideMark/>
          </w:tcPr>
          <w:p w:rsidR="00395119" w:rsidRPr="005B0796" w:rsidRDefault="00395119" w:rsidP="009506AF">
            <w:pPr>
              <w:pStyle w:val="TableText"/>
            </w:pPr>
          </w:p>
        </w:tc>
        <w:tc>
          <w:tcPr>
            <w:tcW w:w="1194" w:type="dxa"/>
            <w:hideMark/>
          </w:tcPr>
          <w:p w:rsidR="00395119" w:rsidRPr="005B0796" w:rsidRDefault="00395119" w:rsidP="009506AF">
            <w:pPr>
              <w:pStyle w:val="TableText"/>
              <w:jc w:val="right"/>
            </w:pPr>
            <w:r w:rsidRPr="005B0796">
              <w:t>OR*</w:t>
            </w:r>
          </w:p>
        </w:tc>
        <w:tc>
          <w:tcPr>
            <w:tcW w:w="1194" w:type="dxa"/>
            <w:hideMark/>
          </w:tcPr>
          <w:p w:rsidR="00395119" w:rsidRPr="005B0796" w:rsidRDefault="00395119" w:rsidP="009506AF">
            <w:pPr>
              <w:pStyle w:val="TableText"/>
              <w:jc w:val="right"/>
            </w:pPr>
            <w:r w:rsidRPr="005B0796">
              <w:t>SE</w:t>
            </w:r>
          </w:p>
        </w:tc>
        <w:tc>
          <w:tcPr>
            <w:tcW w:w="1194" w:type="dxa"/>
            <w:hideMark/>
          </w:tcPr>
          <w:p w:rsidR="00395119" w:rsidRPr="005B0796" w:rsidRDefault="00395119" w:rsidP="009506AF">
            <w:pPr>
              <w:pStyle w:val="TableText"/>
              <w:jc w:val="right"/>
            </w:pPr>
            <w:r w:rsidRPr="005B0796">
              <w:t>CI</w:t>
            </w:r>
          </w:p>
        </w:tc>
        <w:tc>
          <w:tcPr>
            <w:tcW w:w="1195" w:type="dxa"/>
            <w:hideMark/>
          </w:tcPr>
          <w:p w:rsidR="00395119" w:rsidRPr="005B0796" w:rsidRDefault="00395119" w:rsidP="009506AF">
            <w:pPr>
              <w:pStyle w:val="TableText"/>
              <w:jc w:val="right"/>
            </w:pPr>
            <w:r w:rsidRPr="005B0796">
              <w:t>P</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rPr>
            </w:pPr>
            <w:r w:rsidRPr="005B0796">
              <w:rPr>
                <w:rFonts w:eastAsia="Times New Roman"/>
              </w:rPr>
              <w:t>Felt life not worth living</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2.38</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0.35</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1.79,3.18</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&lt;0.001</w:t>
            </w:r>
          </w:p>
        </w:tc>
      </w:tr>
      <w:tr w:rsidR="00395119" w:rsidRPr="005B0796" w:rsidTr="00520A12">
        <w:tc>
          <w:tcPr>
            <w:tcW w:w="2538" w:type="dxa"/>
            <w:hideMark/>
          </w:tcPr>
          <w:p w:rsidR="00395119" w:rsidRPr="005B0796" w:rsidRDefault="00395119" w:rsidP="009506AF">
            <w:pPr>
              <w:pStyle w:val="TableText"/>
              <w:rPr>
                <w:rFonts w:eastAsia="Times New Roman"/>
              </w:rPr>
            </w:pPr>
            <w:r w:rsidRPr="005B0796">
              <w:rPr>
                <w:rFonts w:eastAsia="Times New Roman"/>
              </w:rPr>
              <w:t>Felt so low thought about committing suicide</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2.51</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0.46</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1.76,3.59</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&lt;0.001</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rPr>
            </w:pPr>
            <w:r w:rsidRPr="005B0796">
              <w:rPr>
                <w:rFonts w:eastAsia="Times New Roman"/>
              </w:rPr>
              <w:t>Made a suicide plan</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4.17</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1.39</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2.17,8.01</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&lt;0.001</w:t>
            </w:r>
          </w:p>
        </w:tc>
      </w:tr>
      <w:tr w:rsidR="00395119" w:rsidRPr="005B0796" w:rsidTr="00520A12">
        <w:tc>
          <w:tcPr>
            <w:tcW w:w="2538" w:type="dxa"/>
            <w:hideMark/>
          </w:tcPr>
          <w:p w:rsidR="00395119" w:rsidRPr="005B0796" w:rsidRDefault="00395119" w:rsidP="009506AF">
            <w:pPr>
              <w:pStyle w:val="TableText"/>
              <w:rPr>
                <w:rFonts w:eastAsia="Times New Roman"/>
              </w:rPr>
            </w:pPr>
            <w:r w:rsidRPr="005B0796">
              <w:rPr>
                <w:rFonts w:eastAsia="Times New Roman"/>
              </w:rPr>
              <w:t>Attempted suicide</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2.99</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1.65</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1.01,8.85</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0.047</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rPr>
            </w:pPr>
            <w:r w:rsidRPr="005B0796">
              <w:rPr>
                <w:rFonts w:eastAsia="Times New Roman"/>
              </w:rPr>
              <w:t>Any suicidality^</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2.52</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0.45</w:t>
            </w:r>
          </w:p>
        </w:tc>
        <w:tc>
          <w:tcPr>
            <w:tcW w:w="1194" w:type="dxa"/>
            <w:hideMark/>
          </w:tcPr>
          <w:p w:rsidR="00395119" w:rsidRPr="005B0796" w:rsidRDefault="00395119" w:rsidP="009506AF">
            <w:pPr>
              <w:pStyle w:val="TableText"/>
              <w:jc w:val="right"/>
              <w:rPr>
                <w:rFonts w:eastAsia="Times New Roman"/>
              </w:rPr>
            </w:pPr>
            <w:r w:rsidRPr="005B0796">
              <w:rPr>
                <w:rFonts w:eastAsia="Times New Roman"/>
              </w:rPr>
              <w:t>1.77,3.59</w:t>
            </w:r>
          </w:p>
        </w:tc>
        <w:tc>
          <w:tcPr>
            <w:tcW w:w="1195" w:type="dxa"/>
            <w:hideMark/>
          </w:tcPr>
          <w:p w:rsidR="00395119" w:rsidRPr="005B0796" w:rsidRDefault="00395119" w:rsidP="009506AF">
            <w:pPr>
              <w:pStyle w:val="TableText"/>
              <w:jc w:val="right"/>
              <w:rPr>
                <w:rFonts w:eastAsia="Times New Roman"/>
              </w:rPr>
            </w:pPr>
            <w:r w:rsidRPr="005B0796">
              <w:rPr>
                <w:rFonts w:eastAsia="Times New Roman"/>
              </w:rPr>
              <w:t>&lt;0.001</w:t>
            </w:r>
          </w:p>
        </w:tc>
      </w:tr>
    </w:tbl>
    <w:p w:rsidR="00395119" w:rsidRPr="005B0796" w:rsidRDefault="00395119" w:rsidP="00395119">
      <w:pPr>
        <w:pStyle w:val="TableNotes"/>
      </w:pPr>
      <w:r w:rsidRPr="005B0796">
        <w:t>* Adjusted for age, sex, service rank</w:t>
      </w:r>
    </w:p>
    <w:p w:rsidR="00395119" w:rsidRPr="005B0796" w:rsidRDefault="00395119" w:rsidP="00395119">
      <w:pPr>
        <w:pStyle w:val="TableNotes"/>
      </w:pPr>
      <w:r w:rsidRPr="005B0796">
        <w:t>^ Calculated as yes to either felt so low thought about committing suicide, made a suicide plan, or attempted suicide</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pPr>
      <w:bookmarkStart w:id="1653" w:name="_Toc511900509"/>
      <w:r w:rsidRPr="005B0796">
        <w:t>Table B.10</w:t>
      </w:r>
      <w:r w:rsidRPr="005B0796">
        <w:tab/>
        <w:t>Odds ratios comparing 12-month, and lifetime drug use in transitioned ADF who were Ex-Serving, Inactive or Active Reservists</w:t>
      </w:r>
      <w:bookmarkEnd w:id="1653"/>
    </w:p>
    <w:tbl>
      <w:tblPr>
        <w:tblStyle w:val="TWRPTable"/>
        <w:tblW w:w="5000" w:type="pct"/>
        <w:tblLayout w:type="fixed"/>
        <w:tblLook w:val="04A0" w:firstRow="1" w:lastRow="0" w:firstColumn="1" w:lastColumn="0" w:noHBand="0" w:noVBand="1"/>
        <w:tblDescription w:val="Table B.10 Odds ratios comparing 12-month, and lifetime drug use in transitioned ADF who were Ex-Serving, Inactive or Active Reservists"/>
      </w:tblPr>
      <w:tblGrid>
        <w:gridCol w:w="2538"/>
        <w:gridCol w:w="796"/>
        <w:gridCol w:w="796"/>
        <w:gridCol w:w="796"/>
        <w:gridCol w:w="796"/>
        <w:gridCol w:w="796"/>
        <w:gridCol w:w="797"/>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tcPr>
          <w:p w:rsidR="00395119" w:rsidRPr="005B0796" w:rsidRDefault="00395119" w:rsidP="009506AF">
            <w:pPr>
              <w:pStyle w:val="TableText"/>
            </w:pPr>
          </w:p>
        </w:tc>
        <w:tc>
          <w:tcPr>
            <w:tcW w:w="1592" w:type="dxa"/>
            <w:gridSpan w:val="2"/>
            <w:hideMark/>
          </w:tcPr>
          <w:p w:rsidR="00395119" w:rsidRPr="005B0796" w:rsidRDefault="00395119" w:rsidP="009506AF">
            <w:pPr>
              <w:pStyle w:val="TableText"/>
              <w:jc w:val="center"/>
            </w:pPr>
            <w:r w:rsidRPr="005B0796">
              <w:t>Ex-Serving vs Inactive Reserves</w:t>
            </w:r>
          </w:p>
        </w:tc>
        <w:tc>
          <w:tcPr>
            <w:tcW w:w="1592" w:type="dxa"/>
            <w:gridSpan w:val="2"/>
            <w:hideMark/>
          </w:tcPr>
          <w:p w:rsidR="00395119" w:rsidRPr="005B0796" w:rsidRDefault="00395119" w:rsidP="009506AF">
            <w:pPr>
              <w:pStyle w:val="TableText"/>
              <w:jc w:val="center"/>
            </w:pPr>
            <w:r w:rsidRPr="005B0796">
              <w:t>Ex-Serving vs Active Reserves</w:t>
            </w:r>
          </w:p>
        </w:tc>
        <w:tc>
          <w:tcPr>
            <w:tcW w:w="1593" w:type="dxa"/>
            <w:gridSpan w:val="2"/>
            <w:hideMark/>
          </w:tcPr>
          <w:p w:rsidR="00395119" w:rsidRPr="005B0796" w:rsidRDefault="00395119" w:rsidP="009506AF">
            <w:pPr>
              <w:pStyle w:val="TableText"/>
              <w:jc w:val="center"/>
            </w:pPr>
            <w:r w:rsidRPr="005B0796">
              <w:t>Inactive vs Active Reserves</w:t>
            </w:r>
          </w:p>
        </w:tc>
      </w:tr>
      <w:tr w:rsidR="009506AF"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tcPr>
          <w:p w:rsidR="00395119" w:rsidRPr="005B0796" w:rsidRDefault="00395119" w:rsidP="009506AF">
            <w:pPr>
              <w:pStyle w:val="TableText"/>
            </w:pPr>
          </w:p>
        </w:tc>
        <w:tc>
          <w:tcPr>
            <w:tcW w:w="796" w:type="dxa"/>
            <w:hideMark/>
          </w:tcPr>
          <w:p w:rsidR="00395119" w:rsidRPr="005B0796" w:rsidRDefault="00395119" w:rsidP="009506AF">
            <w:pPr>
              <w:pStyle w:val="TableText"/>
              <w:jc w:val="right"/>
            </w:pPr>
            <w:r w:rsidRPr="005B0796">
              <w:t>OR*</w:t>
            </w:r>
          </w:p>
        </w:tc>
        <w:tc>
          <w:tcPr>
            <w:tcW w:w="796" w:type="dxa"/>
            <w:hideMark/>
          </w:tcPr>
          <w:p w:rsidR="00395119" w:rsidRPr="005B0796" w:rsidRDefault="00395119" w:rsidP="009506AF">
            <w:pPr>
              <w:pStyle w:val="TableText"/>
              <w:jc w:val="right"/>
            </w:pPr>
            <w:r w:rsidRPr="005B0796">
              <w:t>95% CI</w:t>
            </w:r>
          </w:p>
        </w:tc>
        <w:tc>
          <w:tcPr>
            <w:tcW w:w="796" w:type="dxa"/>
            <w:hideMark/>
          </w:tcPr>
          <w:p w:rsidR="00395119" w:rsidRPr="005B0796" w:rsidRDefault="00395119" w:rsidP="009506AF">
            <w:pPr>
              <w:pStyle w:val="TableText"/>
              <w:jc w:val="right"/>
            </w:pPr>
            <w:r w:rsidRPr="005B0796">
              <w:t>OR*</w:t>
            </w:r>
          </w:p>
        </w:tc>
        <w:tc>
          <w:tcPr>
            <w:tcW w:w="796" w:type="dxa"/>
            <w:hideMark/>
          </w:tcPr>
          <w:p w:rsidR="00395119" w:rsidRPr="005B0796" w:rsidRDefault="00395119" w:rsidP="009506AF">
            <w:pPr>
              <w:pStyle w:val="TableText"/>
              <w:jc w:val="right"/>
            </w:pPr>
            <w:r w:rsidRPr="005B0796">
              <w:t>95% CI</w:t>
            </w:r>
          </w:p>
        </w:tc>
        <w:tc>
          <w:tcPr>
            <w:tcW w:w="796" w:type="dxa"/>
            <w:hideMark/>
          </w:tcPr>
          <w:p w:rsidR="00395119" w:rsidRPr="005B0796" w:rsidRDefault="00395119" w:rsidP="009506AF">
            <w:pPr>
              <w:pStyle w:val="TableText"/>
              <w:jc w:val="right"/>
            </w:pPr>
            <w:r w:rsidRPr="005B0796">
              <w:t>OR*</w:t>
            </w:r>
          </w:p>
        </w:tc>
        <w:tc>
          <w:tcPr>
            <w:tcW w:w="797" w:type="dxa"/>
            <w:hideMark/>
          </w:tcPr>
          <w:p w:rsidR="00395119" w:rsidRPr="005B0796" w:rsidRDefault="00395119" w:rsidP="009506AF">
            <w:pPr>
              <w:pStyle w:val="TableText"/>
              <w:jc w:val="right"/>
            </w:pPr>
            <w:r w:rsidRPr="005B0796">
              <w:t>95% CI</w:t>
            </w:r>
          </w:p>
        </w:tc>
      </w:tr>
      <w:tr w:rsidR="00520A12"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rPr>
            </w:pPr>
            <w:r w:rsidRPr="005B0796">
              <w:t>Lifetime illicit drug use</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0.98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0.79, 1.22</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1.58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1.25, 2.00</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1.62</w:t>
            </w:r>
          </w:p>
        </w:tc>
        <w:tc>
          <w:tcPr>
            <w:tcW w:w="797" w:type="dxa"/>
            <w:hideMark/>
          </w:tcPr>
          <w:p w:rsidR="00395119" w:rsidRPr="005B0796" w:rsidRDefault="00395119" w:rsidP="009506AF">
            <w:pPr>
              <w:pStyle w:val="TableText"/>
              <w:jc w:val="right"/>
              <w:rPr>
                <w:rFonts w:eastAsia="Times New Roman"/>
              </w:rPr>
            </w:pPr>
            <w:r w:rsidRPr="005B0796">
              <w:rPr>
                <w:rFonts w:eastAsia="Times New Roman"/>
              </w:rPr>
              <w:t>1.26, 2.07</w:t>
            </w:r>
          </w:p>
        </w:tc>
      </w:tr>
      <w:tr w:rsidR="009506AF" w:rsidRPr="005B0796" w:rsidTr="00520A12">
        <w:tc>
          <w:tcPr>
            <w:tcW w:w="2538" w:type="dxa"/>
            <w:hideMark/>
          </w:tcPr>
          <w:p w:rsidR="00395119" w:rsidRPr="005B0796" w:rsidRDefault="00395119" w:rsidP="009506AF">
            <w:pPr>
              <w:pStyle w:val="TableText"/>
              <w:rPr>
                <w:rFonts w:eastAsia="Times New Roman"/>
              </w:rPr>
            </w:pPr>
            <w:r w:rsidRPr="005B0796">
              <w:t>12-month illicit drug use</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1.17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0.84, 1.63</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3.51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2.05, 6.02</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2.99</w:t>
            </w:r>
          </w:p>
        </w:tc>
        <w:tc>
          <w:tcPr>
            <w:tcW w:w="797" w:type="dxa"/>
            <w:hideMark/>
          </w:tcPr>
          <w:p w:rsidR="00395119" w:rsidRPr="005B0796" w:rsidRDefault="00395119" w:rsidP="009506AF">
            <w:pPr>
              <w:pStyle w:val="TableText"/>
              <w:jc w:val="right"/>
              <w:rPr>
                <w:rFonts w:eastAsia="Times New Roman"/>
              </w:rPr>
            </w:pPr>
            <w:r w:rsidRPr="005B0796">
              <w:rPr>
                <w:rFonts w:eastAsia="Times New Roman"/>
              </w:rPr>
              <w:t>1.71, 5.23</w:t>
            </w:r>
          </w:p>
        </w:tc>
      </w:tr>
      <w:tr w:rsidR="00520A12"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9506AF">
            <w:pPr>
              <w:pStyle w:val="TableText"/>
              <w:rPr>
                <w:rFonts w:eastAsia="Times New Roman"/>
              </w:rPr>
            </w:pPr>
            <w:r w:rsidRPr="005B0796">
              <w:t>Lifetime prescription drugs for non-medical purposes</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1.31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0.90, 1.90</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3.70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2.28, 6.02</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2.83</w:t>
            </w:r>
          </w:p>
        </w:tc>
        <w:tc>
          <w:tcPr>
            <w:tcW w:w="797" w:type="dxa"/>
            <w:hideMark/>
          </w:tcPr>
          <w:p w:rsidR="00395119" w:rsidRPr="005B0796" w:rsidRDefault="00395119" w:rsidP="009506AF">
            <w:pPr>
              <w:pStyle w:val="TableText"/>
              <w:jc w:val="right"/>
              <w:rPr>
                <w:rFonts w:eastAsia="Times New Roman"/>
              </w:rPr>
            </w:pPr>
            <w:r w:rsidRPr="005B0796">
              <w:rPr>
                <w:rFonts w:eastAsia="Times New Roman"/>
              </w:rPr>
              <w:t>1.69, 4.74</w:t>
            </w:r>
          </w:p>
        </w:tc>
      </w:tr>
      <w:tr w:rsidR="009506AF" w:rsidRPr="005B0796" w:rsidTr="00520A12">
        <w:tc>
          <w:tcPr>
            <w:tcW w:w="2538" w:type="dxa"/>
            <w:hideMark/>
          </w:tcPr>
          <w:p w:rsidR="00395119" w:rsidRPr="005B0796" w:rsidRDefault="00395119" w:rsidP="009506AF">
            <w:pPr>
              <w:pStyle w:val="TableText"/>
              <w:rPr>
                <w:rFonts w:eastAsia="Times New Roman"/>
              </w:rPr>
            </w:pPr>
            <w:r w:rsidRPr="005B0796">
              <w:t>12-month prescription drugs for non-medical purposes</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1.74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1.04, 2.91</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 xml:space="preserve">4.91 </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2.32, 10.37</w:t>
            </w:r>
          </w:p>
        </w:tc>
        <w:tc>
          <w:tcPr>
            <w:tcW w:w="796" w:type="dxa"/>
            <w:hideMark/>
          </w:tcPr>
          <w:p w:rsidR="00395119" w:rsidRPr="005B0796" w:rsidRDefault="00395119" w:rsidP="009506AF">
            <w:pPr>
              <w:pStyle w:val="TableText"/>
              <w:jc w:val="right"/>
              <w:rPr>
                <w:rFonts w:eastAsia="Times New Roman"/>
              </w:rPr>
            </w:pPr>
            <w:r w:rsidRPr="005B0796">
              <w:rPr>
                <w:rFonts w:eastAsia="Times New Roman"/>
              </w:rPr>
              <w:t>2.82</w:t>
            </w:r>
          </w:p>
        </w:tc>
        <w:tc>
          <w:tcPr>
            <w:tcW w:w="797" w:type="dxa"/>
            <w:hideMark/>
          </w:tcPr>
          <w:p w:rsidR="00395119" w:rsidRPr="005B0796" w:rsidRDefault="00395119" w:rsidP="009506AF">
            <w:pPr>
              <w:pStyle w:val="TableText"/>
              <w:jc w:val="right"/>
              <w:rPr>
                <w:rFonts w:eastAsia="Times New Roman"/>
              </w:rPr>
            </w:pPr>
            <w:r w:rsidRPr="005B0796">
              <w:rPr>
                <w:rFonts w:eastAsia="Times New Roman"/>
              </w:rPr>
              <w:t>1.26, 6.29</w:t>
            </w:r>
          </w:p>
        </w:tc>
      </w:tr>
    </w:tbl>
    <w:p w:rsidR="00395119" w:rsidRPr="005B0796" w:rsidRDefault="00395119" w:rsidP="00395119">
      <w:pPr>
        <w:pStyle w:val="TableNotes"/>
      </w:pPr>
      <w:r w:rsidRPr="005B0796">
        <w:t>*Adjusted for age, sex, service rank</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pPr>
      <w:bookmarkStart w:id="1654" w:name="_Toc511900510"/>
      <w:r w:rsidRPr="005B0796">
        <w:t>Table B.11</w:t>
      </w:r>
      <w:r w:rsidRPr="005B0796">
        <w:tab/>
        <w:t>A comparison of 12-month suicidal ideation, plans and attempts in 2015 ADF and 2010 ADF</w:t>
      </w:r>
      <w:bookmarkEnd w:id="1654"/>
    </w:p>
    <w:tbl>
      <w:tblPr>
        <w:tblStyle w:val="TWRPTable"/>
        <w:tblW w:w="5000" w:type="pct"/>
        <w:tblLayout w:type="fixed"/>
        <w:tblLook w:val="04A0" w:firstRow="1" w:lastRow="0" w:firstColumn="1" w:lastColumn="0" w:noHBand="0" w:noVBand="1"/>
        <w:tblDescription w:val="Table B.11 A comparison of 12-month suicidal ideation, plans and attempts in 2015 ADF and 2010 ADF"/>
      </w:tblPr>
      <w:tblGrid>
        <w:gridCol w:w="2538"/>
        <w:gridCol w:w="1592"/>
        <w:gridCol w:w="1592"/>
        <w:gridCol w:w="1593"/>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single" w:sz="4" w:space="0" w:color="000000"/>
              <w:bottom w:val="nil"/>
            </w:tcBorders>
          </w:tcPr>
          <w:p w:rsidR="00395119" w:rsidRPr="005B0796" w:rsidRDefault="00395119" w:rsidP="00520A12">
            <w:pPr>
              <w:pStyle w:val="TableText"/>
            </w:pPr>
          </w:p>
        </w:tc>
        <w:tc>
          <w:tcPr>
            <w:tcW w:w="4777" w:type="dxa"/>
            <w:gridSpan w:val="3"/>
            <w:hideMark/>
          </w:tcPr>
          <w:p w:rsidR="00395119" w:rsidRPr="005B0796" w:rsidRDefault="00395119" w:rsidP="00520A12">
            <w:pPr>
              <w:pStyle w:val="TableText"/>
              <w:jc w:val="center"/>
            </w:pPr>
            <w:r w:rsidRPr="005B0796">
              <w:t>2015 ADF v 2010 ADF</w:t>
            </w:r>
          </w:p>
        </w:tc>
      </w:tr>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2538" w:type="dxa"/>
            <w:tcBorders>
              <w:top w:val="nil"/>
            </w:tcBorders>
          </w:tcPr>
          <w:p w:rsidR="00395119" w:rsidRPr="005B0796" w:rsidRDefault="00395119" w:rsidP="00520A12">
            <w:pPr>
              <w:pStyle w:val="TableText"/>
            </w:pPr>
          </w:p>
        </w:tc>
        <w:tc>
          <w:tcPr>
            <w:tcW w:w="1592" w:type="dxa"/>
            <w:hideMark/>
          </w:tcPr>
          <w:p w:rsidR="00395119" w:rsidRPr="005B0796" w:rsidRDefault="00395119" w:rsidP="00520A12">
            <w:pPr>
              <w:pStyle w:val="TableText"/>
              <w:jc w:val="right"/>
            </w:pPr>
            <w:r w:rsidRPr="005B0796">
              <w:t>% Diff*</w:t>
            </w:r>
          </w:p>
        </w:tc>
        <w:tc>
          <w:tcPr>
            <w:tcW w:w="1592" w:type="dxa"/>
            <w:hideMark/>
          </w:tcPr>
          <w:p w:rsidR="00395119" w:rsidRPr="005B0796" w:rsidRDefault="00395119" w:rsidP="00520A12">
            <w:pPr>
              <w:pStyle w:val="TableText"/>
              <w:jc w:val="right"/>
            </w:pPr>
            <w:r w:rsidRPr="005B0796">
              <w:t>SE</w:t>
            </w:r>
          </w:p>
        </w:tc>
        <w:tc>
          <w:tcPr>
            <w:tcW w:w="1593" w:type="dxa"/>
            <w:hideMark/>
          </w:tcPr>
          <w:p w:rsidR="00395119" w:rsidRPr="005B0796" w:rsidRDefault="00395119" w:rsidP="00520A12">
            <w:pPr>
              <w:pStyle w:val="TableText"/>
              <w:jc w:val="right"/>
            </w:pPr>
            <w:r w:rsidRPr="005B0796">
              <w:t>CI</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520A12">
            <w:pPr>
              <w:pStyle w:val="TableText"/>
              <w:rPr>
                <w:rFonts w:eastAsia="Times New Roman"/>
              </w:rPr>
            </w:pPr>
            <w:r w:rsidRPr="005B0796">
              <w:rPr>
                <w:rFonts w:eastAsia="Times New Roman"/>
              </w:rPr>
              <w:t>Felt life not worth living</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6.5</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1.46</w:t>
            </w:r>
          </w:p>
        </w:tc>
        <w:tc>
          <w:tcPr>
            <w:tcW w:w="1593" w:type="dxa"/>
            <w:hideMark/>
          </w:tcPr>
          <w:p w:rsidR="00395119" w:rsidRPr="005B0796" w:rsidRDefault="00395119" w:rsidP="00520A12">
            <w:pPr>
              <w:pStyle w:val="TableText"/>
              <w:jc w:val="right"/>
              <w:rPr>
                <w:rFonts w:eastAsia="Times New Roman"/>
              </w:rPr>
            </w:pPr>
            <w:r w:rsidRPr="005B0796">
              <w:rPr>
                <w:rFonts w:eastAsia="Times New Roman"/>
              </w:rPr>
              <w:t>3.62, 9.34</w:t>
            </w:r>
          </w:p>
        </w:tc>
      </w:tr>
      <w:tr w:rsidR="00395119" w:rsidRPr="005B0796" w:rsidTr="00520A12">
        <w:tc>
          <w:tcPr>
            <w:tcW w:w="2538" w:type="dxa"/>
            <w:hideMark/>
          </w:tcPr>
          <w:p w:rsidR="00395119" w:rsidRPr="005B0796" w:rsidRDefault="00395119" w:rsidP="00520A12">
            <w:pPr>
              <w:pStyle w:val="TableText"/>
              <w:rPr>
                <w:rFonts w:eastAsia="Times New Roman"/>
              </w:rPr>
            </w:pPr>
            <w:r w:rsidRPr="005B0796">
              <w:rPr>
                <w:rFonts w:eastAsia="Times New Roman"/>
              </w:rPr>
              <w:t>Felt so low thought about committing suicide</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4.7</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1.27</w:t>
            </w:r>
          </w:p>
        </w:tc>
        <w:tc>
          <w:tcPr>
            <w:tcW w:w="1593" w:type="dxa"/>
            <w:hideMark/>
          </w:tcPr>
          <w:p w:rsidR="00395119" w:rsidRPr="005B0796" w:rsidRDefault="00395119" w:rsidP="00520A12">
            <w:pPr>
              <w:pStyle w:val="TableText"/>
              <w:jc w:val="right"/>
              <w:rPr>
                <w:rFonts w:eastAsia="Times New Roman"/>
              </w:rPr>
            </w:pPr>
            <w:r w:rsidRPr="005B0796">
              <w:rPr>
                <w:rFonts w:eastAsia="Times New Roman"/>
              </w:rPr>
              <w:t>2.20, 7.15</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520A12">
            <w:pPr>
              <w:pStyle w:val="TableText"/>
              <w:rPr>
                <w:rFonts w:eastAsia="Times New Roman"/>
              </w:rPr>
            </w:pPr>
            <w:r w:rsidRPr="005B0796">
              <w:rPr>
                <w:rFonts w:eastAsia="Times New Roman"/>
              </w:rPr>
              <w:t>Made a suicide plan</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0.7</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0.58</w:t>
            </w:r>
          </w:p>
        </w:tc>
        <w:tc>
          <w:tcPr>
            <w:tcW w:w="1593" w:type="dxa"/>
            <w:hideMark/>
          </w:tcPr>
          <w:p w:rsidR="00395119" w:rsidRPr="005B0796" w:rsidRDefault="00395119" w:rsidP="00520A12">
            <w:pPr>
              <w:pStyle w:val="TableText"/>
              <w:jc w:val="right"/>
              <w:rPr>
                <w:rFonts w:eastAsia="Times New Roman"/>
              </w:rPr>
            </w:pPr>
            <w:r w:rsidRPr="005B0796">
              <w:rPr>
                <w:rFonts w:eastAsia="Times New Roman"/>
              </w:rPr>
              <w:t>-0.41, 1.85</w:t>
            </w:r>
          </w:p>
        </w:tc>
      </w:tr>
      <w:tr w:rsidR="00395119" w:rsidRPr="005B0796" w:rsidTr="00520A12">
        <w:tc>
          <w:tcPr>
            <w:tcW w:w="2538" w:type="dxa"/>
            <w:hideMark/>
          </w:tcPr>
          <w:p w:rsidR="00395119" w:rsidRPr="005B0796" w:rsidRDefault="00395119" w:rsidP="00520A12">
            <w:pPr>
              <w:pStyle w:val="TableText"/>
              <w:rPr>
                <w:rFonts w:eastAsia="Times New Roman"/>
              </w:rPr>
            </w:pPr>
            <w:r w:rsidRPr="005B0796">
              <w:rPr>
                <w:rFonts w:eastAsia="Times New Roman"/>
              </w:rPr>
              <w:t>Attempted suicide</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0.2</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0.32</w:t>
            </w:r>
          </w:p>
        </w:tc>
        <w:tc>
          <w:tcPr>
            <w:tcW w:w="1593" w:type="dxa"/>
            <w:hideMark/>
          </w:tcPr>
          <w:p w:rsidR="00395119" w:rsidRPr="005B0796" w:rsidRDefault="00395119" w:rsidP="00520A12">
            <w:pPr>
              <w:pStyle w:val="TableText"/>
              <w:jc w:val="right"/>
              <w:rPr>
                <w:rFonts w:eastAsia="Times New Roman"/>
              </w:rPr>
            </w:pPr>
            <w:r w:rsidRPr="005B0796">
              <w:rPr>
                <w:rFonts w:eastAsia="Times New Roman"/>
              </w:rPr>
              <w:t>-0.46, 0.79</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2538" w:type="dxa"/>
            <w:hideMark/>
          </w:tcPr>
          <w:p w:rsidR="00395119" w:rsidRPr="005B0796" w:rsidRDefault="00395119" w:rsidP="00520A12">
            <w:pPr>
              <w:pStyle w:val="TableText"/>
              <w:rPr>
                <w:rFonts w:eastAsia="Times New Roman"/>
              </w:rPr>
            </w:pPr>
            <w:r w:rsidRPr="005B0796">
              <w:rPr>
                <w:rFonts w:eastAsia="Times New Roman"/>
              </w:rPr>
              <w:t>Any suicidality^</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4.8</w:t>
            </w:r>
          </w:p>
        </w:tc>
        <w:tc>
          <w:tcPr>
            <w:tcW w:w="1592" w:type="dxa"/>
            <w:hideMark/>
          </w:tcPr>
          <w:p w:rsidR="00395119" w:rsidRPr="005B0796" w:rsidRDefault="00395119" w:rsidP="00520A12">
            <w:pPr>
              <w:pStyle w:val="TableText"/>
              <w:jc w:val="right"/>
              <w:rPr>
                <w:rFonts w:eastAsia="Times New Roman"/>
              </w:rPr>
            </w:pPr>
            <w:r w:rsidRPr="005B0796">
              <w:rPr>
                <w:rFonts w:eastAsia="Times New Roman"/>
              </w:rPr>
              <w:t>1.43</w:t>
            </w:r>
          </w:p>
        </w:tc>
        <w:tc>
          <w:tcPr>
            <w:tcW w:w="1593" w:type="dxa"/>
            <w:hideMark/>
          </w:tcPr>
          <w:p w:rsidR="00395119" w:rsidRPr="005B0796" w:rsidRDefault="00395119" w:rsidP="00520A12">
            <w:pPr>
              <w:pStyle w:val="TableText"/>
              <w:jc w:val="right"/>
              <w:rPr>
                <w:rFonts w:eastAsia="Times New Roman"/>
              </w:rPr>
            </w:pPr>
            <w:r w:rsidRPr="005B0796">
              <w:rPr>
                <w:rFonts w:eastAsia="Times New Roman"/>
              </w:rPr>
              <w:t>2.03, 7.63</w:t>
            </w:r>
          </w:p>
        </w:tc>
      </w:tr>
    </w:tbl>
    <w:p w:rsidR="00395119" w:rsidRPr="005B0796" w:rsidRDefault="00395119" w:rsidP="00395119">
      <w:pPr>
        <w:pStyle w:val="TableNotes"/>
      </w:pPr>
      <w:r w:rsidRPr="005B0796">
        <w:rPr>
          <w:sz w:val="20"/>
          <w:szCs w:val="20"/>
        </w:rPr>
        <w:t>*</w:t>
      </w:r>
      <w:r w:rsidRPr="005B0796">
        <w:t>Adjusted for age, sex, service rank.</w:t>
      </w:r>
    </w:p>
    <w:p w:rsidR="00395119" w:rsidRPr="005B0796" w:rsidRDefault="00395119" w:rsidP="00395119">
      <w:pPr>
        <w:pStyle w:val="TableNotes"/>
      </w:pPr>
      <w:r w:rsidRPr="005B0796">
        <w:t>^ Calculated as yes to either felt so low thought about committing suicide, made a suicide plan, or attempted suicide</w:t>
      </w:r>
    </w:p>
    <w:p w:rsidR="00395119" w:rsidRPr="005B0796" w:rsidRDefault="00395119" w:rsidP="00395119">
      <w:pPr>
        <w:pStyle w:val="TableNotes"/>
      </w:pPr>
      <w:r w:rsidRPr="005B0796">
        <w:t xml:space="preserve">Note: 95%CI: 95% </w:t>
      </w:r>
      <w:r w:rsidR="00564689" w:rsidRPr="005B0796">
        <w:t>confidence interval</w:t>
      </w:r>
    </w:p>
    <w:p w:rsidR="00395119" w:rsidRPr="005B0796" w:rsidRDefault="00395119" w:rsidP="00395119">
      <w:pPr>
        <w:pStyle w:val="TableName"/>
      </w:pPr>
      <w:bookmarkStart w:id="1655" w:name="_Toc511900511"/>
      <w:r w:rsidRPr="005B0796">
        <w:t>Table B.12</w:t>
      </w:r>
      <w:r w:rsidRPr="005B0796">
        <w:tab/>
        <w:t>A Comparison of the proportion of Transitioned ADF versus 2015 ADF reporting each lifetime deployment exposure type</w:t>
      </w:r>
      <w:bookmarkEnd w:id="1655"/>
    </w:p>
    <w:tbl>
      <w:tblPr>
        <w:tblStyle w:val="TWRPTable"/>
        <w:tblW w:w="5000" w:type="pct"/>
        <w:tblLayout w:type="fixed"/>
        <w:tblLook w:val="04A0" w:firstRow="1" w:lastRow="0" w:firstColumn="1" w:lastColumn="0" w:noHBand="0" w:noVBand="1"/>
        <w:tblDescription w:val="Table B.12 A Comparison of the proportion of Transitioned ADF versus 2015 ADF reporting each lifetime deployment exposure type"/>
      </w:tblPr>
      <w:tblGrid>
        <w:gridCol w:w="3348"/>
        <w:gridCol w:w="1983"/>
        <w:gridCol w:w="1984"/>
      </w:tblGrid>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3348" w:type="dxa"/>
            <w:vMerge w:val="restart"/>
          </w:tcPr>
          <w:p w:rsidR="00395119" w:rsidRPr="005B0796" w:rsidRDefault="00395119" w:rsidP="00520A12">
            <w:pPr>
              <w:pStyle w:val="TableText"/>
            </w:pPr>
          </w:p>
        </w:tc>
        <w:tc>
          <w:tcPr>
            <w:tcW w:w="3967" w:type="dxa"/>
            <w:gridSpan w:val="2"/>
            <w:hideMark/>
          </w:tcPr>
          <w:p w:rsidR="00395119" w:rsidRPr="005B0796" w:rsidRDefault="00395119" w:rsidP="00520A12">
            <w:pPr>
              <w:pStyle w:val="TableText"/>
              <w:jc w:val="center"/>
            </w:pPr>
            <w:r w:rsidRPr="005B0796">
              <w:t>Transitioned ADF vs 2015 ADF (REF)</w:t>
            </w:r>
          </w:p>
        </w:tc>
      </w:tr>
      <w:tr w:rsidR="00395119" w:rsidRPr="005B0796" w:rsidTr="00520A12">
        <w:trPr>
          <w:cnfStyle w:val="100000000000" w:firstRow="1" w:lastRow="0" w:firstColumn="0" w:lastColumn="0" w:oddVBand="0" w:evenVBand="0" w:oddHBand="0" w:evenHBand="0" w:firstRowFirstColumn="0" w:firstRowLastColumn="0" w:lastRowFirstColumn="0" w:lastRowLastColumn="0"/>
          <w:tblHeader/>
        </w:trPr>
        <w:tc>
          <w:tcPr>
            <w:tcW w:w="3348" w:type="dxa"/>
            <w:vMerge/>
            <w:hideMark/>
          </w:tcPr>
          <w:p w:rsidR="00395119" w:rsidRPr="005B0796" w:rsidRDefault="00395119" w:rsidP="00520A12">
            <w:pPr>
              <w:pStyle w:val="TableText"/>
            </w:pPr>
          </w:p>
        </w:tc>
        <w:tc>
          <w:tcPr>
            <w:tcW w:w="1983" w:type="dxa"/>
            <w:hideMark/>
          </w:tcPr>
          <w:p w:rsidR="00395119" w:rsidRPr="005B0796" w:rsidRDefault="00395119" w:rsidP="00520A12">
            <w:pPr>
              <w:pStyle w:val="TableText"/>
              <w:jc w:val="right"/>
            </w:pPr>
            <w:r w:rsidRPr="005B0796">
              <w:t>Adj OR*</w:t>
            </w:r>
          </w:p>
        </w:tc>
        <w:tc>
          <w:tcPr>
            <w:tcW w:w="1984" w:type="dxa"/>
            <w:hideMark/>
          </w:tcPr>
          <w:p w:rsidR="00395119" w:rsidRPr="005B0796" w:rsidRDefault="00395119" w:rsidP="00520A12">
            <w:pPr>
              <w:pStyle w:val="TableText"/>
              <w:jc w:val="right"/>
            </w:pPr>
            <w:r w:rsidRPr="005B0796">
              <w:t>95% CI</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Seriously fear you would encounter IED</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1.21</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0.96, 1.52</w:t>
            </w:r>
          </w:p>
        </w:tc>
      </w:tr>
      <w:tr w:rsidR="00395119" w:rsidRPr="005B0796" w:rsidTr="00520A12">
        <w:tc>
          <w:tcPr>
            <w:tcW w:w="3348" w:type="dxa"/>
            <w:hideMark/>
          </w:tcPr>
          <w:p w:rsidR="00395119" w:rsidRPr="005B0796" w:rsidRDefault="00395119" w:rsidP="00520A12">
            <w:pPr>
              <w:pStyle w:val="TableText"/>
            </w:pPr>
            <w:r w:rsidRPr="005B0796">
              <w:t>Go on combat patrols</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1.41</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1.11, 1.78</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Concern about unauthorised discharge of weapon</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1.25</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1.01, 1.55</w:t>
            </w:r>
          </w:p>
        </w:tc>
      </w:tr>
      <w:tr w:rsidR="00395119" w:rsidRPr="005B0796" w:rsidTr="00520A12">
        <w:tc>
          <w:tcPr>
            <w:tcW w:w="3348" w:type="dxa"/>
            <w:hideMark/>
          </w:tcPr>
          <w:p w:rsidR="00395119" w:rsidRPr="005B0796" w:rsidRDefault="00395119" w:rsidP="00520A12">
            <w:pPr>
              <w:pStyle w:val="TableText"/>
            </w:pPr>
            <w:r w:rsidRPr="005B0796">
              <w:t>Clear/search buildings</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1.52</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1.18, 1.94</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Come under fire</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1.23</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0.98, 1.54</w:t>
            </w:r>
          </w:p>
        </w:tc>
      </w:tr>
      <w:tr w:rsidR="00395119" w:rsidRPr="005B0796" w:rsidTr="00520A12">
        <w:tc>
          <w:tcPr>
            <w:tcW w:w="3348" w:type="dxa"/>
            <w:hideMark/>
          </w:tcPr>
          <w:p w:rsidR="00395119" w:rsidRPr="005B0796" w:rsidRDefault="00395119" w:rsidP="00520A12">
            <w:pPr>
              <w:pStyle w:val="TableText"/>
            </w:pPr>
            <w:r w:rsidRPr="005B0796">
              <w:t>In danger of being killed or injured</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1.39</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1.13, 1.72</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Have casualties among people close to you</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1.64</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1.31, 2.05</w:t>
            </w:r>
          </w:p>
        </w:tc>
      </w:tr>
      <w:tr w:rsidR="00395119" w:rsidRPr="005B0796" w:rsidTr="00520A12">
        <w:tc>
          <w:tcPr>
            <w:tcW w:w="3348" w:type="dxa"/>
            <w:hideMark/>
          </w:tcPr>
          <w:p w:rsidR="00395119" w:rsidRPr="005B0796" w:rsidRDefault="00395119" w:rsidP="00520A12">
            <w:pPr>
              <w:pStyle w:val="TableText"/>
            </w:pPr>
            <w:r w:rsidRPr="005B0796">
              <w:t>Handle or see dead bodies</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1.41</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1.14, 1.73</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Experience threatening situation unable to respond</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1.71</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1.31, 2.24</w:t>
            </w:r>
          </w:p>
        </w:tc>
      </w:tr>
      <w:tr w:rsidR="00395119" w:rsidRPr="005B0796" w:rsidTr="00520A12">
        <w:tc>
          <w:tcPr>
            <w:tcW w:w="3348" w:type="dxa"/>
            <w:hideMark/>
          </w:tcPr>
          <w:p w:rsidR="00395119" w:rsidRPr="005B0796" w:rsidRDefault="00395119" w:rsidP="00520A12">
            <w:pPr>
              <w:pStyle w:val="TableText"/>
            </w:pPr>
            <w:r w:rsidRPr="005B0796">
              <w:t>Witness human degradation</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1.39</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1.13, 1.70</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Discharge weapon in direct combat</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1.63</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1.08, 2.47</w:t>
            </w:r>
          </w:p>
        </w:tc>
      </w:tr>
      <w:tr w:rsidR="00395119" w:rsidRPr="005B0796" w:rsidTr="00520A12">
        <w:tc>
          <w:tcPr>
            <w:tcW w:w="3348" w:type="dxa"/>
            <w:hideMark/>
          </w:tcPr>
          <w:p w:rsidR="00395119" w:rsidRPr="005B0796" w:rsidRDefault="00395119" w:rsidP="00520A12">
            <w:pPr>
              <w:pStyle w:val="TableText"/>
            </w:pPr>
            <w:r w:rsidRPr="005B0796">
              <w:t>Believe your action resulted in injury or death</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1.88</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1.40, 2.52</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Exposed to smoke</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1.15</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0.92, 1.44</w:t>
            </w:r>
          </w:p>
        </w:tc>
      </w:tr>
      <w:tr w:rsidR="00395119" w:rsidRPr="005B0796" w:rsidTr="00520A12">
        <w:tc>
          <w:tcPr>
            <w:tcW w:w="3348" w:type="dxa"/>
            <w:hideMark/>
          </w:tcPr>
          <w:p w:rsidR="00395119" w:rsidRPr="005B0796" w:rsidRDefault="00395119" w:rsidP="00520A12">
            <w:pPr>
              <w:pStyle w:val="TableText"/>
            </w:pPr>
            <w:r w:rsidRPr="005B0796">
              <w:t>Exposed to fumes</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1.17</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0.93, 1.47</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Exposed to chemicals</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1.22</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0.99, 1.50</w:t>
            </w:r>
          </w:p>
        </w:tc>
      </w:tr>
      <w:tr w:rsidR="00395119" w:rsidRPr="005B0796" w:rsidTr="00520A12">
        <w:tc>
          <w:tcPr>
            <w:tcW w:w="3348" w:type="dxa"/>
            <w:hideMark/>
          </w:tcPr>
          <w:p w:rsidR="00395119" w:rsidRPr="005B0796" w:rsidRDefault="00395119" w:rsidP="00520A12">
            <w:pPr>
              <w:pStyle w:val="TableText"/>
            </w:pPr>
            <w:r w:rsidRPr="005B0796">
              <w:t>Exposed to hazardous materials</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1.3</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1.02, 1.66</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Exposed to local food or water</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1.08</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0.88, 1.32</w:t>
            </w:r>
          </w:p>
        </w:tc>
      </w:tr>
      <w:tr w:rsidR="00395119" w:rsidRPr="005B0796" w:rsidTr="00520A12">
        <w:tc>
          <w:tcPr>
            <w:tcW w:w="3348" w:type="dxa"/>
            <w:hideMark/>
          </w:tcPr>
          <w:p w:rsidR="00395119" w:rsidRPr="005B0796" w:rsidRDefault="00395119" w:rsidP="00520A12">
            <w:pPr>
              <w:pStyle w:val="TableText"/>
            </w:pPr>
            <w:r w:rsidRPr="005B0796">
              <w:t>Exposed to close loud noise</w:t>
            </w:r>
          </w:p>
        </w:tc>
        <w:tc>
          <w:tcPr>
            <w:tcW w:w="1983"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1.29</w:t>
            </w:r>
          </w:p>
        </w:tc>
        <w:tc>
          <w:tcPr>
            <w:tcW w:w="1984" w:type="dxa"/>
            <w:hideMark/>
          </w:tcPr>
          <w:p w:rsidR="00395119" w:rsidRPr="005B0796" w:rsidRDefault="00395119" w:rsidP="00520A12">
            <w:pPr>
              <w:pStyle w:val="TableText"/>
              <w:jc w:val="right"/>
              <w:rPr>
                <w:color w:val="000000" w:themeColor="text1"/>
              </w:rPr>
            </w:pPr>
            <w:r w:rsidRPr="005B0796">
              <w:rPr>
                <w:rFonts w:eastAsia="Times New Roman"/>
                <w:color w:val="000000" w:themeColor="text1"/>
              </w:rPr>
              <w:t>1.04, 1.61</w:t>
            </w:r>
          </w:p>
        </w:tc>
      </w:tr>
      <w:tr w:rsidR="00395119" w:rsidRPr="005B0796" w:rsidTr="00520A12">
        <w:trPr>
          <w:cnfStyle w:val="000000100000" w:firstRow="0" w:lastRow="0" w:firstColumn="0" w:lastColumn="0" w:oddVBand="0" w:evenVBand="0" w:oddHBand="1" w:evenHBand="0" w:firstRowFirstColumn="0" w:firstRowLastColumn="0" w:lastRowFirstColumn="0" w:lastRowLastColumn="0"/>
        </w:trPr>
        <w:tc>
          <w:tcPr>
            <w:tcW w:w="3348" w:type="dxa"/>
            <w:hideMark/>
          </w:tcPr>
          <w:p w:rsidR="00395119" w:rsidRPr="005B0796" w:rsidRDefault="00395119" w:rsidP="00520A12">
            <w:pPr>
              <w:pStyle w:val="TableText"/>
            </w:pPr>
            <w:r w:rsidRPr="005B0796">
              <w:t>Any deployment Exposure</w:t>
            </w:r>
          </w:p>
        </w:tc>
        <w:tc>
          <w:tcPr>
            <w:tcW w:w="1983" w:type="dxa"/>
            <w:hideMark/>
          </w:tcPr>
          <w:p w:rsidR="00395119" w:rsidRPr="005B0796" w:rsidRDefault="00395119" w:rsidP="00520A12">
            <w:pPr>
              <w:pStyle w:val="TableText"/>
              <w:jc w:val="right"/>
              <w:rPr>
                <w:rFonts w:eastAsia="Times New Roman"/>
                <w:color w:val="000000" w:themeColor="text1"/>
              </w:rPr>
            </w:pPr>
            <w:r w:rsidRPr="005B0796">
              <w:rPr>
                <w:rFonts w:eastAsia="Times New Roman"/>
                <w:color w:val="000000" w:themeColor="text1"/>
              </w:rPr>
              <w:t>1.61</w:t>
            </w:r>
          </w:p>
        </w:tc>
        <w:tc>
          <w:tcPr>
            <w:tcW w:w="1984" w:type="dxa"/>
            <w:hideMark/>
          </w:tcPr>
          <w:p w:rsidR="00395119" w:rsidRPr="005B0796" w:rsidRDefault="00395119" w:rsidP="00520A12">
            <w:pPr>
              <w:pStyle w:val="TableText"/>
              <w:jc w:val="right"/>
              <w:rPr>
                <w:rFonts w:eastAsia="Times New Roman"/>
                <w:color w:val="000000" w:themeColor="text1"/>
              </w:rPr>
            </w:pPr>
            <w:r w:rsidRPr="005B0796">
              <w:rPr>
                <w:rFonts w:eastAsia="Times New Roman"/>
                <w:color w:val="000000" w:themeColor="text1"/>
              </w:rPr>
              <w:t>1.09, 2.36</w:t>
            </w:r>
          </w:p>
        </w:tc>
      </w:tr>
    </w:tbl>
    <w:p w:rsidR="00395119" w:rsidRPr="005B0796" w:rsidRDefault="00395119" w:rsidP="00395119">
      <w:pPr>
        <w:pStyle w:val="TableNotes"/>
      </w:pPr>
      <w:r w:rsidRPr="005B0796">
        <w:rPr>
          <w:sz w:val="20"/>
          <w:szCs w:val="20"/>
        </w:rPr>
        <w:t>*</w:t>
      </w:r>
      <w:r w:rsidRPr="005B0796">
        <w:t>Adjusted for age, sex, service, rank.</w:t>
      </w:r>
    </w:p>
    <w:p w:rsidR="00395119" w:rsidRPr="005B0796" w:rsidRDefault="00395119" w:rsidP="00395119">
      <w:pPr>
        <w:pStyle w:val="TableNotes"/>
      </w:pPr>
      <w:r w:rsidRPr="005B0796">
        <w:t>Significant OR are highlighted in bold</w:t>
      </w:r>
    </w:p>
    <w:p w:rsidR="00395119" w:rsidRPr="005B0796" w:rsidRDefault="00395119" w:rsidP="00395119">
      <w:pPr>
        <w:pStyle w:val="TableNotes"/>
      </w:pPr>
      <w:r w:rsidRPr="005B0796">
        <w:t xml:space="preserve">Note: 95% CI: 95% </w:t>
      </w:r>
      <w:r w:rsidR="00564689" w:rsidRPr="005B0796">
        <w:t>confidence interval</w:t>
      </w:r>
    </w:p>
    <w:p w:rsidR="00395119" w:rsidRPr="005B0796" w:rsidRDefault="00395119" w:rsidP="00395119">
      <w:pPr>
        <w:pStyle w:val="TableName"/>
      </w:pPr>
      <w:bookmarkStart w:id="1656" w:name="_Toc511900512"/>
      <w:r w:rsidRPr="005B0796">
        <w:t>Table B.13</w:t>
      </w:r>
      <w:r w:rsidRPr="005B0796">
        <w:tab/>
        <w:t xml:space="preserve">A </w:t>
      </w:r>
      <w:r w:rsidR="00DF3425" w:rsidRPr="005B0796">
        <w:t>c</w:t>
      </w:r>
      <w:r w:rsidRPr="005B0796">
        <w:t>omparison of the proportion of Transitioned ADF versus 2015 ADF reporting each lifetime trauma type</w:t>
      </w:r>
      <w:bookmarkEnd w:id="1656"/>
    </w:p>
    <w:tbl>
      <w:tblPr>
        <w:tblStyle w:val="TWRPTable"/>
        <w:tblW w:w="5000" w:type="pct"/>
        <w:tblLayout w:type="fixed"/>
        <w:tblLook w:val="04A0" w:firstRow="1" w:lastRow="0" w:firstColumn="1" w:lastColumn="0" w:noHBand="0" w:noVBand="1"/>
        <w:tblDescription w:val="Table B.13 A comparison of the proportion of Transitioned ADF versus 2015 ADF reporting each lifetime trauma type"/>
      </w:tblPr>
      <w:tblGrid>
        <w:gridCol w:w="4968"/>
        <w:gridCol w:w="1173"/>
        <w:gridCol w:w="1174"/>
      </w:tblGrid>
      <w:tr w:rsidR="00395119" w:rsidRPr="005B0796" w:rsidTr="00DF3425">
        <w:trPr>
          <w:cnfStyle w:val="100000000000" w:firstRow="1" w:lastRow="0" w:firstColumn="0" w:lastColumn="0" w:oddVBand="0" w:evenVBand="0" w:oddHBand="0" w:evenHBand="0" w:firstRowFirstColumn="0" w:firstRowLastColumn="0" w:lastRowFirstColumn="0" w:lastRowLastColumn="0"/>
          <w:tblHeader/>
        </w:trPr>
        <w:tc>
          <w:tcPr>
            <w:tcW w:w="4968" w:type="dxa"/>
            <w:vMerge w:val="restart"/>
          </w:tcPr>
          <w:p w:rsidR="00395119" w:rsidRPr="005B0796" w:rsidRDefault="00395119" w:rsidP="00DF3425">
            <w:pPr>
              <w:pStyle w:val="TableText"/>
            </w:pPr>
          </w:p>
        </w:tc>
        <w:tc>
          <w:tcPr>
            <w:tcW w:w="2347" w:type="dxa"/>
            <w:gridSpan w:val="2"/>
            <w:hideMark/>
          </w:tcPr>
          <w:p w:rsidR="00395119" w:rsidRPr="005B0796" w:rsidRDefault="00395119" w:rsidP="00DF3425">
            <w:pPr>
              <w:pStyle w:val="TableText"/>
              <w:jc w:val="center"/>
            </w:pPr>
            <w:r w:rsidRPr="005B0796">
              <w:t>Transitioned ADF vs 2015 ADF (ref)</w:t>
            </w:r>
          </w:p>
        </w:tc>
      </w:tr>
      <w:tr w:rsidR="00395119" w:rsidRPr="005B0796" w:rsidTr="00DF3425">
        <w:trPr>
          <w:cnfStyle w:val="100000000000" w:firstRow="1" w:lastRow="0" w:firstColumn="0" w:lastColumn="0" w:oddVBand="0" w:evenVBand="0" w:oddHBand="0" w:evenHBand="0" w:firstRowFirstColumn="0" w:firstRowLastColumn="0" w:lastRowFirstColumn="0" w:lastRowLastColumn="0"/>
          <w:tblHeader/>
        </w:trPr>
        <w:tc>
          <w:tcPr>
            <w:tcW w:w="4968" w:type="dxa"/>
            <w:vMerge/>
            <w:hideMark/>
          </w:tcPr>
          <w:p w:rsidR="00395119" w:rsidRPr="005B0796" w:rsidRDefault="00395119" w:rsidP="00DF3425">
            <w:pPr>
              <w:pStyle w:val="TableText"/>
              <w:rPr>
                <w:lang w:eastAsia="ja-JP"/>
              </w:rPr>
            </w:pPr>
          </w:p>
        </w:tc>
        <w:tc>
          <w:tcPr>
            <w:tcW w:w="1173" w:type="dxa"/>
            <w:hideMark/>
          </w:tcPr>
          <w:p w:rsidR="00395119" w:rsidRPr="005B0796" w:rsidRDefault="00395119" w:rsidP="00DF3425">
            <w:pPr>
              <w:pStyle w:val="TableText"/>
              <w:jc w:val="right"/>
            </w:pPr>
            <w:r w:rsidRPr="005B0796">
              <w:t>Adj OR*</w:t>
            </w:r>
          </w:p>
        </w:tc>
        <w:tc>
          <w:tcPr>
            <w:tcW w:w="1174" w:type="dxa"/>
            <w:hideMark/>
          </w:tcPr>
          <w:p w:rsidR="00395119" w:rsidRPr="005B0796" w:rsidRDefault="00395119" w:rsidP="00DF3425">
            <w:pPr>
              <w:pStyle w:val="TableText"/>
              <w:jc w:val="right"/>
            </w:pPr>
            <w:r w:rsidRPr="005B0796">
              <w:t>95% CI</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Combat (military or organised group)</w:t>
            </w:r>
          </w:p>
        </w:tc>
        <w:tc>
          <w:tcPr>
            <w:tcW w:w="1173" w:type="dxa"/>
            <w:hideMark/>
          </w:tcPr>
          <w:p w:rsidR="00395119" w:rsidRPr="005B0796" w:rsidRDefault="00395119" w:rsidP="00DF3425">
            <w:pPr>
              <w:pStyle w:val="TableText"/>
              <w:jc w:val="right"/>
              <w:rPr>
                <w:b/>
              </w:rPr>
            </w:pPr>
            <w:r w:rsidRPr="005B0796">
              <w:rPr>
                <w:b/>
              </w:rPr>
              <w:t>1.58</w:t>
            </w:r>
          </w:p>
        </w:tc>
        <w:tc>
          <w:tcPr>
            <w:tcW w:w="1174" w:type="dxa"/>
            <w:hideMark/>
          </w:tcPr>
          <w:p w:rsidR="00395119" w:rsidRPr="005B0796" w:rsidRDefault="00395119" w:rsidP="00DF3425">
            <w:pPr>
              <w:pStyle w:val="TableText"/>
              <w:jc w:val="right"/>
              <w:rPr>
                <w:b/>
              </w:rPr>
            </w:pPr>
            <w:r w:rsidRPr="005B0796">
              <w:rPr>
                <w:b/>
              </w:rPr>
              <w:t>1.21, 2.05</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Peacekeeper (in a war zone or place of ongoing terror)</w:t>
            </w:r>
          </w:p>
        </w:tc>
        <w:tc>
          <w:tcPr>
            <w:tcW w:w="1173" w:type="dxa"/>
            <w:hideMark/>
          </w:tcPr>
          <w:p w:rsidR="00395119" w:rsidRPr="005B0796" w:rsidRDefault="00395119" w:rsidP="00DF3425">
            <w:pPr>
              <w:pStyle w:val="TableText"/>
              <w:jc w:val="right"/>
              <w:rPr>
                <w:b/>
              </w:rPr>
            </w:pPr>
            <w:r w:rsidRPr="005B0796">
              <w:rPr>
                <w:b/>
              </w:rPr>
              <w:t>1.42</w:t>
            </w:r>
          </w:p>
        </w:tc>
        <w:tc>
          <w:tcPr>
            <w:tcW w:w="1174" w:type="dxa"/>
            <w:hideMark/>
          </w:tcPr>
          <w:p w:rsidR="00395119" w:rsidRPr="005B0796" w:rsidRDefault="00395119" w:rsidP="00DF3425">
            <w:pPr>
              <w:pStyle w:val="TableText"/>
              <w:jc w:val="right"/>
              <w:rPr>
                <w:b/>
              </w:rPr>
            </w:pPr>
            <w:r w:rsidRPr="005B0796">
              <w:rPr>
                <w:b/>
              </w:rPr>
              <w:t>1.15, 1.77</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Unarmed civilian (in a place or war, revolution, military coup or invasion)</w:t>
            </w:r>
          </w:p>
        </w:tc>
        <w:tc>
          <w:tcPr>
            <w:tcW w:w="1173" w:type="dxa"/>
            <w:hideMark/>
          </w:tcPr>
          <w:p w:rsidR="00395119" w:rsidRPr="005B0796" w:rsidRDefault="00395119" w:rsidP="00DF3425">
            <w:pPr>
              <w:pStyle w:val="TableText"/>
              <w:jc w:val="right"/>
            </w:pPr>
            <w:r w:rsidRPr="005B0796">
              <w:t>1.02</w:t>
            </w:r>
          </w:p>
        </w:tc>
        <w:tc>
          <w:tcPr>
            <w:tcW w:w="1174" w:type="dxa"/>
            <w:hideMark/>
          </w:tcPr>
          <w:p w:rsidR="00395119" w:rsidRPr="005B0796" w:rsidRDefault="00395119" w:rsidP="00DF3425">
            <w:pPr>
              <w:pStyle w:val="TableText"/>
              <w:jc w:val="right"/>
            </w:pPr>
            <w:r w:rsidRPr="005B0796">
              <w:t>0.52, 1.97</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Lived as a civilian (in a place of ongoing terror for political, ethnic, religious or other reason)</w:t>
            </w:r>
          </w:p>
        </w:tc>
        <w:tc>
          <w:tcPr>
            <w:tcW w:w="1173" w:type="dxa"/>
            <w:hideMark/>
          </w:tcPr>
          <w:p w:rsidR="00395119" w:rsidRPr="005B0796" w:rsidRDefault="00395119" w:rsidP="00DF3425">
            <w:pPr>
              <w:pStyle w:val="TableText"/>
              <w:jc w:val="right"/>
              <w:rPr>
                <w:b/>
              </w:rPr>
            </w:pPr>
            <w:r w:rsidRPr="005B0796">
              <w:rPr>
                <w:b/>
              </w:rPr>
              <w:t>1.39</w:t>
            </w:r>
          </w:p>
        </w:tc>
        <w:tc>
          <w:tcPr>
            <w:tcW w:w="1174" w:type="dxa"/>
            <w:hideMark/>
          </w:tcPr>
          <w:p w:rsidR="00395119" w:rsidRPr="005B0796" w:rsidRDefault="00395119" w:rsidP="00DF3425">
            <w:pPr>
              <w:pStyle w:val="TableText"/>
              <w:jc w:val="right"/>
              <w:rPr>
                <w:b/>
              </w:rPr>
            </w:pPr>
            <w:r w:rsidRPr="005B0796">
              <w:rPr>
                <w:b/>
              </w:rPr>
              <w:t>1.02, 1.90</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Refugee</w:t>
            </w:r>
          </w:p>
        </w:tc>
        <w:tc>
          <w:tcPr>
            <w:tcW w:w="1173" w:type="dxa"/>
            <w:hideMark/>
          </w:tcPr>
          <w:p w:rsidR="00395119" w:rsidRPr="005B0796" w:rsidRDefault="00395119" w:rsidP="00DF3425">
            <w:pPr>
              <w:pStyle w:val="TableText"/>
              <w:jc w:val="right"/>
            </w:pPr>
            <w:r w:rsidRPr="005B0796">
              <w:t>1.31</w:t>
            </w:r>
          </w:p>
        </w:tc>
        <w:tc>
          <w:tcPr>
            <w:tcW w:w="1174" w:type="dxa"/>
            <w:hideMark/>
          </w:tcPr>
          <w:p w:rsidR="00395119" w:rsidRPr="005B0796" w:rsidRDefault="00395119" w:rsidP="00DF3425">
            <w:pPr>
              <w:pStyle w:val="TableText"/>
              <w:jc w:val="right"/>
            </w:pPr>
            <w:r w:rsidRPr="005B0796">
              <w:t>0.58, 2.96</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Kidnapped or held captive</w:t>
            </w:r>
          </w:p>
        </w:tc>
        <w:tc>
          <w:tcPr>
            <w:tcW w:w="1173" w:type="dxa"/>
            <w:hideMark/>
          </w:tcPr>
          <w:p w:rsidR="00395119" w:rsidRPr="005B0796" w:rsidRDefault="00395119" w:rsidP="00DF3425">
            <w:pPr>
              <w:pStyle w:val="TableText"/>
              <w:jc w:val="right"/>
              <w:rPr>
                <w:b/>
              </w:rPr>
            </w:pPr>
            <w:r w:rsidRPr="005B0796">
              <w:rPr>
                <w:b/>
              </w:rPr>
              <w:t>2.03</w:t>
            </w:r>
          </w:p>
        </w:tc>
        <w:tc>
          <w:tcPr>
            <w:tcW w:w="1174" w:type="dxa"/>
            <w:hideMark/>
          </w:tcPr>
          <w:p w:rsidR="00395119" w:rsidRPr="005B0796" w:rsidRDefault="00395119" w:rsidP="00DF3425">
            <w:pPr>
              <w:pStyle w:val="TableText"/>
              <w:jc w:val="right"/>
              <w:rPr>
                <w:b/>
              </w:rPr>
            </w:pPr>
            <w:r w:rsidRPr="005B0796">
              <w:rPr>
                <w:b/>
              </w:rPr>
              <w:t>1.27, 3.25</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Exposed to a toxic chemical which could cause harm</w:t>
            </w:r>
          </w:p>
        </w:tc>
        <w:tc>
          <w:tcPr>
            <w:tcW w:w="1173" w:type="dxa"/>
            <w:hideMark/>
          </w:tcPr>
          <w:p w:rsidR="00395119" w:rsidRPr="005B0796" w:rsidRDefault="00395119" w:rsidP="00DF3425">
            <w:pPr>
              <w:pStyle w:val="TableText"/>
              <w:jc w:val="right"/>
              <w:rPr>
                <w:b/>
              </w:rPr>
            </w:pPr>
            <w:r w:rsidRPr="005B0796">
              <w:rPr>
                <w:b/>
              </w:rPr>
              <w:t>1.47</w:t>
            </w:r>
          </w:p>
        </w:tc>
        <w:tc>
          <w:tcPr>
            <w:tcW w:w="1174" w:type="dxa"/>
            <w:hideMark/>
          </w:tcPr>
          <w:p w:rsidR="00395119" w:rsidRPr="005B0796" w:rsidRDefault="00395119" w:rsidP="00DF3425">
            <w:pPr>
              <w:pStyle w:val="TableText"/>
              <w:jc w:val="right"/>
              <w:rPr>
                <w:b/>
              </w:rPr>
            </w:pPr>
            <w:r w:rsidRPr="005B0796">
              <w:rPr>
                <w:b/>
              </w:rPr>
              <w:t>1.16, 1.87</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Life-threatening automobile accident</w:t>
            </w:r>
          </w:p>
        </w:tc>
        <w:tc>
          <w:tcPr>
            <w:tcW w:w="1173" w:type="dxa"/>
            <w:hideMark/>
          </w:tcPr>
          <w:p w:rsidR="00395119" w:rsidRPr="005B0796" w:rsidRDefault="00395119" w:rsidP="00DF3425">
            <w:pPr>
              <w:pStyle w:val="TableText"/>
              <w:jc w:val="right"/>
            </w:pPr>
            <w:r w:rsidRPr="005B0796">
              <w:t>1.17</w:t>
            </w:r>
          </w:p>
        </w:tc>
        <w:tc>
          <w:tcPr>
            <w:tcW w:w="1174" w:type="dxa"/>
            <w:hideMark/>
          </w:tcPr>
          <w:p w:rsidR="00395119" w:rsidRPr="005B0796" w:rsidRDefault="00395119" w:rsidP="00DF3425">
            <w:pPr>
              <w:pStyle w:val="TableText"/>
              <w:jc w:val="right"/>
            </w:pPr>
            <w:r w:rsidRPr="005B0796">
              <w:t>0.90, 1.53</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Other life-threatening accident</w:t>
            </w:r>
          </w:p>
        </w:tc>
        <w:tc>
          <w:tcPr>
            <w:tcW w:w="1173" w:type="dxa"/>
            <w:hideMark/>
          </w:tcPr>
          <w:p w:rsidR="00395119" w:rsidRPr="005B0796" w:rsidRDefault="00395119" w:rsidP="00DF3425">
            <w:pPr>
              <w:pStyle w:val="TableText"/>
              <w:jc w:val="right"/>
              <w:rPr>
                <w:b/>
              </w:rPr>
            </w:pPr>
            <w:r w:rsidRPr="005B0796">
              <w:rPr>
                <w:b/>
              </w:rPr>
              <w:t>1.53</w:t>
            </w:r>
          </w:p>
        </w:tc>
        <w:tc>
          <w:tcPr>
            <w:tcW w:w="1174" w:type="dxa"/>
            <w:hideMark/>
          </w:tcPr>
          <w:p w:rsidR="00395119" w:rsidRPr="005B0796" w:rsidRDefault="00395119" w:rsidP="00DF3425">
            <w:pPr>
              <w:pStyle w:val="TableText"/>
              <w:jc w:val="right"/>
              <w:rPr>
                <w:b/>
              </w:rPr>
            </w:pPr>
            <w:r w:rsidRPr="005B0796">
              <w:rPr>
                <w:b/>
              </w:rPr>
              <w:t>1.11, 2.11</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Major natural disaster</w:t>
            </w:r>
          </w:p>
        </w:tc>
        <w:tc>
          <w:tcPr>
            <w:tcW w:w="1173" w:type="dxa"/>
            <w:hideMark/>
          </w:tcPr>
          <w:p w:rsidR="00395119" w:rsidRPr="005B0796" w:rsidRDefault="00395119" w:rsidP="00DF3425">
            <w:pPr>
              <w:pStyle w:val="TableText"/>
              <w:jc w:val="right"/>
            </w:pPr>
            <w:r w:rsidRPr="005B0796">
              <w:t>1.31</w:t>
            </w:r>
          </w:p>
        </w:tc>
        <w:tc>
          <w:tcPr>
            <w:tcW w:w="1174" w:type="dxa"/>
            <w:hideMark/>
          </w:tcPr>
          <w:p w:rsidR="00395119" w:rsidRPr="005B0796" w:rsidRDefault="00395119" w:rsidP="00DF3425">
            <w:pPr>
              <w:pStyle w:val="TableText"/>
              <w:jc w:val="right"/>
            </w:pPr>
            <w:r w:rsidRPr="005B0796">
              <w:t>0.99, 1.71</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Man-made disaster</w:t>
            </w:r>
          </w:p>
        </w:tc>
        <w:tc>
          <w:tcPr>
            <w:tcW w:w="1173" w:type="dxa"/>
            <w:hideMark/>
          </w:tcPr>
          <w:p w:rsidR="00395119" w:rsidRPr="005B0796" w:rsidRDefault="00395119" w:rsidP="00DF3425">
            <w:pPr>
              <w:pStyle w:val="TableText"/>
              <w:jc w:val="right"/>
              <w:rPr>
                <w:b/>
              </w:rPr>
            </w:pPr>
            <w:r w:rsidRPr="005B0796">
              <w:rPr>
                <w:b/>
              </w:rPr>
              <w:t>1.91</w:t>
            </w:r>
          </w:p>
        </w:tc>
        <w:tc>
          <w:tcPr>
            <w:tcW w:w="1174" w:type="dxa"/>
            <w:hideMark/>
          </w:tcPr>
          <w:p w:rsidR="00395119" w:rsidRPr="005B0796" w:rsidRDefault="00395119" w:rsidP="00DF3425">
            <w:pPr>
              <w:pStyle w:val="TableText"/>
              <w:jc w:val="right"/>
              <w:rPr>
                <w:b/>
              </w:rPr>
            </w:pPr>
            <w:r w:rsidRPr="005B0796">
              <w:rPr>
                <w:b/>
              </w:rPr>
              <w:t>1.34, 2.72</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Life-threatening illness</w:t>
            </w:r>
          </w:p>
        </w:tc>
        <w:tc>
          <w:tcPr>
            <w:tcW w:w="1173" w:type="dxa"/>
            <w:hideMark/>
          </w:tcPr>
          <w:p w:rsidR="00395119" w:rsidRPr="005B0796" w:rsidRDefault="00395119" w:rsidP="00DF3425">
            <w:pPr>
              <w:pStyle w:val="TableText"/>
              <w:jc w:val="right"/>
              <w:rPr>
                <w:b/>
              </w:rPr>
            </w:pPr>
            <w:r w:rsidRPr="005B0796">
              <w:rPr>
                <w:b/>
              </w:rPr>
              <w:t>1.75</w:t>
            </w:r>
          </w:p>
        </w:tc>
        <w:tc>
          <w:tcPr>
            <w:tcW w:w="1174" w:type="dxa"/>
            <w:hideMark/>
          </w:tcPr>
          <w:p w:rsidR="00395119" w:rsidRPr="005B0796" w:rsidRDefault="00395119" w:rsidP="00DF3425">
            <w:pPr>
              <w:pStyle w:val="TableText"/>
              <w:jc w:val="right"/>
              <w:rPr>
                <w:b/>
              </w:rPr>
            </w:pPr>
            <w:r w:rsidRPr="005B0796">
              <w:rPr>
                <w:b/>
              </w:rPr>
              <w:t>1.43, 2.15</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Beaten by spouse/romantic partner</w:t>
            </w:r>
          </w:p>
        </w:tc>
        <w:tc>
          <w:tcPr>
            <w:tcW w:w="1173" w:type="dxa"/>
            <w:hideMark/>
          </w:tcPr>
          <w:p w:rsidR="00395119" w:rsidRPr="005B0796" w:rsidRDefault="00395119" w:rsidP="00DF3425">
            <w:pPr>
              <w:pStyle w:val="TableText"/>
              <w:jc w:val="right"/>
              <w:rPr>
                <w:b/>
              </w:rPr>
            </w:pPr>
            <w:r w:rsidRPr="005B0796">
              <w:rPr>
                <w:b/>
              </w:rPr>
              <w:t>1.8</w:t>
            </w:r>
          </w:p>
        </w:tc>
        <w:tc>
          <w:tcPr>
            <w:tcW w:w="1174" w:type="dxa"/>
            <w:hideMark/>
          </w:tcPr>
          <w:p w:rsidR="00395119" w:rsidRPr="005B0796" w:rsidRDefault="00395119" w:rsidP="00DF3425">
            <w:pPr>
              <w:pStyle w:val="TableText"/>
              <w:jc w:val="right"/>
              <w:rPr>
                <w:b/>
              </w:rPr>
            </w:pPr>
            <w:r w:rsidRPr="005B0796">
              <w:rPr>
                <w:b/>
              </w:rPr>
              <w:t>1.27, 2.55</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Badly beaten by anyone else</w:t>
            </w:r>
          </w:p>
        </w:tc>
        <w:tc>
          <w:tcPr>
            <w:tcW w:w="1173" w:type="dxa"/>
            <w:hideMark/>
          </w:tcPr>
          <w:p w:rsidR="00395119" w:rsidRPr="005B0796" w:rsidRDefault="00395119" w:rsidP="00DF3425">
            <w:pPr>
              <w:pStyle w:val="TableText"/>
              <w:jc w:val="right"/>
            </w:pPr>
            <w:r w:rsidRPr="005B0796">
              <w:t>1.01</w:t>
            </w:r>
          </w:p>
        </w:tc>
        <w:tc>
          <w:tcPr>
            <w:tcW w:w="1174" w:type="dxa"/>
            <w:hideMark/>
          </w:tcPr>
          <w:p w:rsidR="00395119" w:rsidRPr="005B0796" w:rsidRDefault="00395119" w:rsidP="00DF3425">
            <w:pPr>
              <w:pStyle w:val="TableText"/>
              <w:jc w:val="right"/>
            </w:pPr>
            <w:r w:rsidRPr="005B0796">
              <w:t>0.69, 1.47</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Mugged, held up, threatened with a weapon</w:t>
            </w:r>
          </w:p>
        </w:tc>
        <w:tc>
          <w:tcPr>
            <w:tcW w:w="1173" w:type="dxa"/>
            <w:hideMark/>
          </w:tcPr>
          <w:p w:rsidR="00395119" w:rsidRPr="005B0796" w:rsidRDefault="00395119" w:rsidP="00DF3425">
            <w:pPr>
              <w:pStyle w:val="TableText"/>
              <w:jc w:val="right"/>
            </w:pPr>
            <w:r w:rsidRPr="005B0796">
              <w:t>1.22</w:t>
            </w:r>
          </w:p>
        </w:tc>
        <w:tc>
          <w:tcPr>
            <w:tcW w:w="1174" w:type="dxa"/>
            <w:hideMark/>
          </w:tcPr>
          <w:p w:rsidR="00395119" w:rsidRPr="005B0796" w:rsidRDefault="00395119" w:rsidP="00DF3425">
            <w:pPr>
              <w:pStyle w:val="TableText"/>
              <w:jc w:val="right"/>
            </w:pPr>
            <w:r w:rsidRPr="005B0796">
              <w:t>0.92, 1.62</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Rape</w:t>
            </w:r>
          </w:p>
        </w:tc>
        <w:tc>
          <w:tcPr>
            <w:tcW w:w="1173" w:type="dxa"/>
            <w:hideMark/>
          </w:tcPr>
          <w:p w:rsidR="00395119" w:rsidRPr="005B0796" w:rsidRDefault="00395119" w:rsidP="00DF3425">
            <w:pPr>
              <w:pStyle w:val="TableText"/>
              <w:jc w:val="right"/>
            </w:pPr>
            <w:r w:rsidRPr="005B0796">
              <w:t>1.25</w:t>
            </w:r>
          </w:p>
        </w:tc>
        <w:tc>
          <w:tcPr>
            <w:tcW w:w="1174" w:type="dxa"/>
            <w:hideMark/>
          </w:tcPr>
          <w:p w:rsidR="00395119" w:rsidRPr="005B0796" w:rsidRDefault="00395119" w:rsidP="00DF3425">
            <w:pPr>
              <w:pStyle w:val="TableText"/>
              <w:jc w:val="right"/>
            </w:pPr>
            <w:r w:rsidRPr="005B0796">
              <w:t>0.71, 2.19</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Sexual assault</w:t>
            </w:r>
          </w:p>
        </w:tc>
        <w:tc>
          <w:tcPr>
            <w:tcW w:w="1173" w:type="dxa"/>
            <w:hideMark/>
          </w:tcPr>
          <w:p w:rsidR="00395119" w:rsidRPr="005B0796" w:rsidRDefault="00395119" w:rsidP="00DF3425">
            <w:pPr>
              <w:pStyle w:val="TableText"/>
              <w:jc w:val="right"/>
            </w:pPr>
            <w:r w:rsidRPr="005B0796">
              <w:t>1.29</w:t>
            </w:r>
          </w:p>
        </w:tc>
        <w:tc>
          <w:tcPr>
            <w:tcW w:w="1174" w:type="dxa"/>
            <w:hideMark/>
          </w:tcPr>
          <w:p w:rsidR="00395119" w:rsidRPr="005B0796" w:rsidRDefault="00395119" w:rsidP="00DF3425">
            <w:pPr>
              <w:pStyle w:val="TableText"/>
              <w:jc w:val="right"/>
            </w:pPr>
            <w:r w:rsidRPr="005B0796">
              <w:t>0.91, 1.81</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Stalked</w:t>
            </w:r>
          </w:p>
        </w:tc>
        <w:tc>
          <w:tcPr>
            <w:tcW w:w="1173" w:type="dxa"/>
            <w:hideMark/>
          </w:tcPr>
          <w:p w:rsidR="00395119" w:rsidRPr="005B0796" w:rsidRDefault="00395119" w:rsidP="00DF3425">
            <w:pPr>
              <w:pStyle w:val="TableText"/>
              <w:jc w:val="right"/>
              <w:rPr>
                <w:b/>
              </w:rPr>
            </w:pPr>
            <w:r w:rsidRPr="005B0796">
              <w:rPr>
                <w:b/>
              </w:rPr>
              <w:t>1.95</w:t>
            </w:r>
          </w:p>
        </w:tc>
        <w:tc>
          <w:tcPr>
            <w:tcW w:w="1174" w:type="dxa"/>
            <w:hideMark/>
          </w:tcPr>
          <w:p w:rsidR="00395119" w:rsidRPr="005B0796" w:rsidRDefault="00395119" w:rsidP="00DF3425">
            <w:pPr>
              <w:pStyle w:val="TableText"/>
              <w:jc w:val="right"/>
              <w:rPr>
                <w:b/>
              </w:rPr>
            </w:pPr>
            <w:r w:rsidRPr="005B0796">
              <w:rPr>
                <w:b/>
              </w:rPr>
              <w:t>1.56, 2.42</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Some-one close died unexpectedly</w:t>
            </w:r>
          </w:p>
        </w:tc>
        <w:tc>
          <w:tcPr>
            <w:tcW w:w="1173" w:type="dxa"/>
            <w:hideMark/>
          </w:tcPr>
          <w:p w:rsidR="00395119" w:rsidRPr="005B0796" w:rsidRDefault="00395119" w:rsidP="00DF3425">
            <w:pPr>
              <w:pStyle w:val="TableText"/>
              <w:jc w:val="right"/>
            </w:pPr>
            <w:r w:rsidRPr="005B0796">
              <w:t>1.2</w:t>
            </w:r>
          </w:p>
        </w:tc>
        <w:tc>
          <w:tcPr>
            <w:tcW w:w="1174" w:type="dxa"/>
            <w:hideMark/>
          </w:tcPr>
          <w:p w:rsidR="00395119" w:rsidRPr="005B0796" w:rsidRDefault="00395119" w:rsidP="00DF3425">
            <w:pPr>
              <w:pStyle w:val="TableText"/>
              <w:jc w:val="right"/>
            </w:pPr>
            <w:r w:rsidRPr="005B0796">
              <w:t>0.97, 1.48</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Child had life-threatening illness/injury</w:t>
            </w:r>
          </w:p>
        </w:tc>
        <w:tc>
          <w:tcPr>
            <w:tcW w:w="1173" w:type="dxa"/>
            <w:hideMark/>
          </w:tcPr>
          <w:p w:rsidR="00395119" w:rsidRPr="005B0796" w:rsidRDefault="00395119" w:rsidP="00DF3425">
            <w:pPr>
              <w:pStyle w:val="TableText"/>
              <w:jc w:val="right"/>
            </w:pPr>
            <w:r w:rsidRPr="005B0796">
              <w:t>0.86</w:t>
            </w:r>
          </w:p>
        </w:tc>
        <w:tc>
          <w:tcPr>
            <w:tcW w:w="1174" w:type="dxa"/>
            <w:hideMark/>
          </w:tcPr>
          <w:p w:rsidR="00395119" w:rsidRPr="005B0796" w:rsidRDefault="00395119" w:rsidP="00DF3425">
            <w:pPr>
              <w:pStyle w:val="TableText"/>
              <w:jc w:val="right"/>
            </w:pPr>
            <w:r w:rsidRPr="005B0796">
              <w:t>0.59, 1.25</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Some-one close had traumatic experience</w:t>
            </w:r>
          </w:p>
        </w:tc>
        <w:tc>
          <w:tcPr>
            <w:tcW w:w="1173" w:type="dxa"/>
            <w:hideMark/>
          </w:tcPr>
          <w:p w:rsidR="00395119" w:rsidRPr="005B0796" w:rsidRDefault="00395119" w:rsidP="00DF3425">
            <w:pPr>
              <w:pStyle w:val="TableText"/>
              <w:jc w:val="right"/>
            </w:pPr>
            <w:r w:rsidRPr="005B0796">
              <w:t>1.3</w:t>
            </w:r>
          </w:p>
        </w:tc>
        <w:tc>
          <w:tcPr>
            <w:tcW w:w="1174" w:type="dxa"/>
            <w:hideMark/>
          </w:tcPr>
          <w:p w:rsidR="00395119" w:rsidRPr="005B0796" w:rsidRDefault="00395119" w:rsidP="00DF3425">
            <w:pPr>
              <w:pStyle w:val="TableText"/>
              <w:jc w:val="right"/>
            </w:pPr>
            <w:r w:rsidRPr="005B0796">
              <w:t>0.92, 1.84</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Saw someone badly injured/killed or unexpectedly saw a dead body</w:t>
            </w:r>
          </w:p>
        </w:tc>
        <w:tc>
          <w:tcPr>
            <w:tcW w:w="1173" w:type="dxa"/>
            <w:hideMark/>
          </w:tcPr>
          <w:p w:rsidR="00395119" w:rsidRPr="005B0796" w:rsidRDefault="00395119" w:rsidP="00DF3425">
            <w:pPr>
              <w:pStyle w:val="TableText"/>
              <w:jc w:val="right"/>
              <w:rPr>
                <w:b/>
              </w:rPr>
            </w:pPr>
            <w:r w:rsidRPr="005B0796">
              <w:rPr>
                <w:b/>
              </w:rPr>
              <w:t>1.45</w:t>
            </w:r>
          </w:p>
        </w:tc>
        <w:tc>
          <w:tcPr>
            <w:tcW w:w="1174" w:type="dxa"/>
            <w:hideMark/>
          </w:tcPr>
          <w:p w:rsidR="00395119" w:rsidRPr="005B0796" w:rsidRDefault="00395119" w:rsidP="00DF3425">
            <w:pPr>
              <w:pStyle w:val="TableText"/>
              <w:jc w:val="right"/>
              <w:rPr>
                <w:b/>
              </w:rPr>
            </w:pPr>
            <w:r w:rsidRPr="005B0796">
              <w:rPr>
                <w:b/>
              </w:rPr>
              <w:t>1.16, 1.79</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Accidently injured/killed someone</w:t>
            </w:r>
          </w:p>
        </w:tc>
        <w:tc>
          <w:tcPr>
            <w:tcW w:w="1173" w:type="dxa"/>
            <w:hideMark/>
          </w:tcPr>
          <w:p w:rsidR="00395119" w:rsidRPr="005B0796" w:rsidRDefault="00395119" w:rsidP="00DF3425">
            <w:pPr>
              <w:pStyle w:val="TableText"/>
              <w:jc w:val="right"/>
            </w:pPr>
            <w:r w:rsidRPr="005B0796">
              <w:t>1.03</w:t>
            </w:r>
          </w:p>
        </w:tc>
        <w:tc>
          <w:tcPr>
            <w:tcW w:w="1174" w:type="dxa"/>
            <w:hideMark/>
          </w:tcPr>
          <w:p w:rsidR="00395119" w:rsidRPr="005B0796" w:rsidRDefault="00395119" w:rsidP="00DF3425">
            <w:pPr>
              <w:pStyle w:val="TableText"/>
              <w:jc w:val="right"/>
            </w:pPr>
            <w:r w:rsidRPr="005B0796">
              <w:t>0.63, 1.70</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Purposely injured/tortured/killed someone</w:t>
            </w:r>
          </w:p>
        </w:tc>
        <w:tc>
          <w:tcPr>
            <w:tcW w:w="1173" w:type="dxa"/>
            <w:hideMark/>
          </w:tcPr>
          <w:p w:rsidR="00395119" w:rsidRPr="005B0796" w:rsidRDefault="00395119" w:rsidP="00DF3425">
            <w:pPr>
              <w:pStyle w:val="TableText"/>
              <w:jc w:val="right"/>
              <w:rPr>
                <w:b/>
              </w:rPr>
            </w:pPr>
            <w:r w:rsidRPr="005B0796">
              <w:rPr>
                <w:b/>
              </w:rPr>
              <w:t>2.4</w:t>
            </w:r>
          </w:p>
        </w:tc>
        <w:tc>
          <w:tcPr>
            <w:tcW w:w="1174" w:type="dxa"/>
            <w:hideMark/>
          </w:tcPr>
          <w:p w:rsidR="00395119" w:rsidRPr="005B0796" w:rsidRDefault="00395119" w:rsidP="00DF3425">
            <w:pPr>
              <w:pStyle w:val="TableText"/>
              <w:jc w:val="right"/>
              <w:rPr>
                <w:b/>
              </w:rPr>
            </w:pPr>
            <w:r w:rsidRPr="005B0796">
              <w:rPr>
                <w:b/>
              </w:rPr>
              <w:t>1.19, 4.82</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Saw atrocities or carnage such as mutilated bodies or mass killings</w:t>
            </w:r>
          </w:p>
        </w:tc>
        <w:tc>
          <w:tcPr>
            <w:tcW w:w="1173" w:type="dxa"/>
            <w:hideMark/>
          </w:tcPr>
          <w:p w:rsidR="00395119" w:rsidRPr="005B0796" w:rsidRDefault="00395119" w:rsidP="00DF3425">
            <w:pPr>
              <w:pStyle w:val="TableText"/>
              <w:jc w:val="right"/>
              <w:rPr>
                <w:b/>
              </w:rPr>
            </w:pPr>
            <w:r w:rsidRPr="005B0796">
              <w:rPr>
                <w:b/>
              </w:rPr>
              <w:t>1.5</w:t>
            </w:r>
          </w:p>
        </w:tc>
        <w:tc>
          <w:tcPr>
            <w:tcW w:w="1174" w:type="dxa"/>
            <w:hideMark/>
          </w:tcPr>
          <w:p w:rsidR="00395119" w:rsidRPr="005B0796" w:rsidRDefault="00395119" w:rsidP="00DF3425">
            <w:pPr>
              <w:pStyle w:val="TableText"/>
              <w:jc w:val="right"/>
              <w:rPr>
                <w:b/>
              </w:rPr>
            </w:pPr>
            <w:r w:rsidRPr="005B0796">
              <w:rPr>
                <w:b/>
              </w:rPr>
              <w:t>1.07, 2.09</w:t>
            </w:r>
          </w:p>
        </w:tc>
      </w:tr>
      <w:tr w:rsidR="00395119" w:rsidRPr="005B0796" w:rsidTr="00DF3425">
        <w:tc>
          <w:tcPr>
            <w:tcW w:w="4968" w:type="dxa"/>
            <w:hideMark/>
          </w:tcPr>
          <w:p w:rsidR="00395119" w:rsidRPr="005B0796" w:rsidRDefault="00395119" w:rsidP="00DF3425">
            <w:pPr>
              <w:pStyle w:val="TableText"/>
              <w:rPr>
                <w:color w:val="000000" w:themeColor="text1"/>
              </w:rPr>
            </w:pPr>
            <w:r w:rsidRPr="005B0796">
              <w:rPr>
                <w:rFonts w:eastAsia="Times New Roman"/>
                <w:color w:val="000000" w:themeColor="text1"/>
              </w:rPr>
              <w:t>Other traumatic event.</w:t>
            </w:r>
          </w:p>
        </w:tc>
        <w:tc>
          <w:tcPr>
            <w:tcW w:w="1173" w:type="dxa"/>
            <w:hideMark/>
          </w:tcPr>
          <w:p w:rsidR="00395119" w:rsidRPr="005B0796" w:rsidRDefault="00395119" w:rsidP="00DF3425">
            <w:pPr>
              <w:pStyle w:val="TableText"/>
              <w:jc w:val="right"/>
            </w:pPr>
            <w:r w:rsidRPr="005B0796">
              <w:t>1.32</w:t>
            </w:r>
          </w:p>
        </w:tc>
        <w:tc>
          <w:tcPr>
            <w:tcW w:w="1174" w:type="dxa"/>
            <w:hideMark/>
          </w:tcPr>
          <w:p w:rsidR="00395119" w:rsidRPr="005B0796" w:rsidRDefault="00395119" w:rsidP="00DF3425">
            <w:pPr>
              <w:pStyle w:val="TableText"/>
              <w:jc w:val="right"/>
            </w:pPr>
            <w:r w:rsidRPr="005B0796">
              <w:t>0.95, 1.85</w:t>
            </w:r>
          </w:p>
        </w:tc>
      </w:tr>
      <w:tr w:rsidR="00395119" w:rsidRPr="005B0796" w:rsidTr="00DF3425">
        <w:trPr>
          <w:cnfStyle w:val="000000100000" w:firstRow="0" w:lastRow="0" w:firstColumn="0" w:lastColumn="0" w:oddVBand="0" w:evenVBand="0" w:oddHBand="1" w:evenHBand="0" w:firstRowFirstColumn="0" w:firstRowLastColumn="0" w:lastRowFirstColumn="0" w:lastRowLastColumn="0"/>
        </w:trPr>
        <w:tc>
          <w:tcPr>
            <w:tcW w:w="4968" w:type="dxa"/>
            <w:hideMark/>
          </w:tcPr>
          <w:p w:rsidR="00395119" w:rsidRPr="005B0796" w:rsidRDefault="00395119" w:rsidP="00DF3425">
            <w:pPr>
              <w:pStyle w:val="TableText"/>
              <w:rPr>
                <w:color w:val="000000" w:themeColor="text1"/>
              </w:rPr>
            </w:pPr>
            <w:r w:rsidRPr="005B0796">
              <w:rPr>
                <w:color w:val="000000" w:themeColor="text1"/>
              </w:rPr>
              <w:t>Any lifetime trauma</w:t>
            </w:r>
          </w:p>
        </w:tc>
        <w:tc>
          <w:tcPr>
            <w:tcW w:w="1173" w:type="dxa"/>
            <w:hideMark/>
          </w:tcPr>
          <w:p w:rsidR="00395119" w:rsidRPr="005B0796" w:rsidRDefault="00395119" w:rsidP="00DF3425">
            <w:pPr>
              <w:pStyle w:val="TableText"/>
              <w:jc w:val="right"/>
              <w:rPr>
                <w:rFonts w:eastAsia="Times New Roman"/>
                <w:b/>
              </w:rPr>
            </w:pPr>
            <w:r w:rsidRPr="005B0796">
              <w:rPr>
                <w:b/>
              </w:rPr>
              <w:t>1.46</w:t>
            </w:r>
          </w:p>
        </w:tc>
        <w:tc>
          <w:tcPr>
            <w:tcW w:w="1174" w:type="dxa"/>
            <w:hideMark/>
          </w:tcPr>
          <w:p w:rsidR="00395119" w:rsidRPr="005B0796" w:rsidRDefault="00395119" w:rsidP="00DF3425">
            <w:pPr>
              <w:pStyle w:val="TableText"/>
              <w:jc w:val="right"/>
              <w:rPr>
                <w:rFonts w:eastAsia="Times New Roman"/>
                <w:b/>
              </w:rPr>
            </w:pPr>
            <w:r w:rsidRPr="005B0796">
              <w:rPr>
                <w:b/>
              </w:rPr>
              <w:t>1.14, 1.88</w:t>
            </w:r>
          </w:p>
        </w:tc>
      </w:tr>
    </w:tbl>
    <w:p w:rsidR="00395119" w:rsidRPr="005B0796" w:rsidRDefault="00395119" w:rsidP="00395119">
      <w:pPr>
        <w:pStyle w:val="TableNotes"/>
        <w:rPr>
          <w:lang w:eastAsia="ja-JP"/>
        </w:rPr>
      </w:pPr>
      <w:r w:rsidRPr="005B0796">
        <w:rPr>
          <w:rFonts w:cs="Calibri"/>
          <w:b/>
          <w:bCs/>
          <w:sz w:val="18"/>
          <w:szCs w:val="18"/>
        </w:rPr>
        <w:t>*</w:t>
      </w:r>
      <w:r w:rsidRPr="005B0796">
        <w:t>Adjusted for age, sex, service rank</w:t>
      </w:r>
    </w:p>
    <w:p w:rsidR="00395119" w:rsidRPr="005B0796" w:rsidRDefault="00395119" w:rsidP="00395119">
      <w:pPr>
        <w:pStyle w:val="TableNotes"/>
        <w:rPr>
          <w:b/>
        </w:rPr>
      </w:pPr>
      <w:r w:rsidRPr="005B0796">
        <w:t xml:space="preserve">Significant OR are highlighted in </w:t>
      </w:r>
      <w:r w:rsidRPr="005B0796">
        <w:rPr>
          <w:b/>
        </w:rPr>
        <w:t>bold</w:t>
      </w:r>
    </w:p>
    <w:p w:rsidR="00395119" w:rsidRPr="005B0796" w:rsidRDefault="00395119" w:rsidP="00395119">
      <w:pPr>
        <w:pStyle w:val="TableNotes"/>
      </w:pPr>
      <w:r w:rsidRPr="005B0796">
        <w:t xml:space="preserve">Note: 95%CI: 95% </w:t>
      </w:r>
      <w:r w:rsidR="00564689" w:rsidRPr="005B0796">
        <w:t>confidence interval</w:t>
      </w:r>
    </w:p>
    <w:p w:rsidR="00395119" w:rsidRPr="005B0796" w:rsidRDefault="00395119" w:rsidP="00751C86">
      <w:pPr>
        <w:pStyle w:val="Heading2b"/>
      </w:pPr>
      <w:bookmarkStart w:id="1657" w:name="_Toc487011322"/>
      <w:bookmarkStart w:id="1658" w:name="_Toc493663217"/>
      <w:r w:rsidRPr="005B0796">
        <w:t>Methodological interpretive tables</w:t>
      </w:r>
      <w:bookmarkEnd w:id="1657"/>
      <w:bookmarkEnd w:id="1658"/>
    </w:p>
    <w:p w:rsidR="00395119" w:rsidRPr="005B0796" w:rsidRDefault="00395119" w:rsidP="00395119">
      <w:pPr>
        <w:pStyle w:val="TableName"/>
        <w:rPr>
          <w:lang w:eastAsia="en-AU"/>
        </w:rPr>
      </w:pPr>
      <w:bookmarkStart w:id="1659" w:name="_Toc511900513"/>
      <w:r w:rsidRPr="005B0796">
        <w:t>Table B.14</w:t>
      </w:r>
      <w:r w:rsidRPr="005B0796">
        <w:tab/>
        <w:t>Strata description MilHOP Regular ADF</w:t>
      </w:r>
      <w:bookmarkEnd w:id="1659"/>
    </w:p>
    <w:tbl>
      <w:tblPr>
        <w:tblStyle w:val="TWRPTable"/>
        <w:tblW w:w="5000" w:type="pct"/>
        <w:tblLayout w:type="fixed"/>
        <w:tblLook w:val="04A0" w:firstRow="1" w:lastRow="0" w:firstColumn="1" w:lastColumn="0" w:noHBand="0" w:noVBand="1"/>
        <w:tblDescription w:val="Table B.14 Strata description MilHOP Regular ADF"/>
      </w:tblPr>
      <w:tblGrid>
        <w:gridCol w:w="2268"/>
        <w:gridCol w:w="1261"/>
        <w:gridCol w:w="1262"/>
        <w:gridCol w:w="1262"/>
        <w:gridCol w:w="1262"/>
      </w:tblGrid>
      <w:tr w:rsidR="00DF3425" w:rsidRPr="005B0796" w:rsidTr="00DF3425">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rsidR="00DF3425" w:rsidRPr="005B0796" w:rsidRDefault="00DF3425" w:rsidP="00DF3425">
            <w:pPr>
              <w:pStyle w:val="TableText"/>
            </w:pPr>
            <w:r w:rsidRPr="005B0796">
              <w:t>Strata</w:t>
            </w:r>
            <w:r w:rsidRPr="005B0796">
              <w:br/>
            </w:r>
            <w:r w:rsidRPr="005B0796">
              <w:rPr>
                <w:rFonts w:eastAsia="Times New Roman"/>
              </w:rPr>
              <w:t>Sex | Rank | Medical fitness | Service</w:t>
            </w:r>
          </w:p>
        </w:tc>
        <w:tc>
          <w:tcPr>
            <w:tcW w:w="5047" w:type="dxa"/>
            <w:gridSpan w:val="4"/>
          </w:tcPr>
          <w:p w:rsidR="00DF3425" w:rsidRPr="005B0796" w:rsidRDefault="00DF3425" w:rsidP="00DF3425">
            <w:pPr>
              <w:pStyle w:val="TableText"/>
              <w:jc w:val="center"/>
            </w:pPr>
            <w:r w:rsidRPr="005B0796">
              <w:rPr>
                <w:bCs/>
                <w:color w:val="000000" w:themeColor="text1"/>
              </w:rPr>
              <w:t>2015 Regular ADF</w:t>
            </w:r>
          </w:p>
        </w:tc>
      </w:tr>
      <w:tr w:rsidR="00DF3425" w:rsidRPr="005B0796" w:rsidTr="00DF3425">
        <w:trPr>
          <w:cnfStyle w:val="100000000000" w:firstRow="1" w:lastRow="0" w:firstColumn="0" w:lastColumn="0" w:oddVBand="0" w:evenVBand="0" w:oddHBand="0" w:evenHBand="0" w:firstRowFirstColumn="0" w:firstRowLastColumn="0" w:lastRowFirstColumn="0" w:lastRowLastColumn="0"/>
          <w:tblHeader/>
        </w:trPr>
        <w:tc>
          <w:tcPr>
            <w:tcW w:w="2268" w:type="dxa"/>
            <w:vMerge/>
          </w:tcPr>
          <w:p w:rsidR="00DF3425" w:rsidRPr="005B0796" w:rsidRDefault="00DF3425" w:rsidP="00DF3425">
            <w:pPr>
              <w:pStyle w:val="TableText"/>
            </w:pPr>
          </w:p>
        </w:tc>
        <w:tc>
          <w:tcPr>
            <w:tcW w:w="1261" w:type="dxa"/>
          </w:tcPr>
          <w:p w:rsidR="00DF3425" w:rsidRPr="005B0796" w:rsidRDefault="00DF3425" w:rsidP="00DF3425">
            <w:pPr>
              <w:pStyle w:val="TableText"/>
              <w:jc w:val="right"/>
              <w:rPr>
                <w:rFonts w:eastAsia="Times New Roman"/>
              </w:rPr>
            </w:pPr>
            <w:r w:rsidRPr="005B0796">
              <w:rPr>
                <w:rFonts w:eastAsia="Times New Roman"/>
              </w:rPr>
              <w:t>Population</w:t>
            </w:r>
          </w:p>
        </w:tc>
        <w:tc>
          <w:tcPr>
            <w:tcW w:w="1262" w:type="dxa"/>
          </w:tcPr>
          <w:p w:rsidR="00DF3425" w:rsidRPr="005B0796" w:rsidRDefault="00DF3425" w:rsidP="00DF3425">
            <w:pPr>
              <w:pStyle w:val="TableText"/>
              <w:jc w:val="right"/>
              <w:rPr>
                <w:rFonts w:eastAsia="Times New Roman"/>
              </w:rPr>
            </w:pPr>
            <w:r w:rsidRPr="005B0796">
              <w:rPr>
                <w:rFonts w:eastAsia="Times New Roman"/>
              </w:rPr>
              <w:t>Responder</w:t>
            </w:r>
          </w:p>
        </w:tc>
        <w:tc>
          <w:tcPr>
            <w:tcW w:w="1262" w:type="dxa"/>
          </w:tcPr>
          <w:p w:rsidR="00DF3425" w:rsidRPr="005B0796" w:rsidRDefault="00DF3425" w:rsidP="00DF3425">
            <w:pPr>
              <w:pStyle w:val="TableText"/>
              <w:jc w:val="right"/>
              <w:rPr>
                <w:rFonts w:eastAsia="Times New Roman"/>
              </w:rPr>
            </w:pPr>
            <w:r w:rsidRPr="005B0796">
              <w:rPr>
                <w:rFonts w:eastAsia="Times New Roman"/>
              </w:rPr>
              <w:t>%</w:t>
            </w:r>
          </w:p>
        </w:tc>
        <w:tc>
          <w:tcPr>
            <w:tcW w:w="1262" w:type="dxa"/>
          </w:tcPr>
          <w:p w:rsidR="00DF3425" w:rsidRPr="005B0796" w:rsidRDefault="00DF3425" w:rsidP="00DF3425">
            <w:pPr>
              <w:pStyle w:val="TableText"/>
              <w:jc w:val="right"/>
              <w:rPr>
                <w:rFonts w:eastAsia="Times New Roman"/>
              </w:rPr>
            </w:pPr>
            <w:r w:rsidRPr="005B0796">
              <w:rPr>
                <w:bCs/>
              </w:rPr>
              <w:t>No. of persons in population each responder represents</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b/>
              </w:rPr>
            </w:pPr>
            <w:r w:rsidRPr="005B0796">
              <w:rPr>
                <w:rFonts w:eastAsia="Times New Roman"/>
                <w:b/>
              </w:rPr>
              <w:t>MilHOP</w:t>
            </w:r>
          </w:p>
        </w:tc>
        <w:tc>
          <w:tcPr>
            <w:tcW w:w="1261" w:type="dxa"/>
          </w:tcPr>
          <w:p w:rsidR="00DF3425" w:rsidRPr="005B0796" w:rsidRDefault="00DF3425" w:rsidP="00DF3425">
            <w:pPr>
              <w:pStyle w:val="TableText"/>
              <w:jc w:val="right"/>
              <w:rPr>
                <w:rFonts w:eastAsia="Times New Roman"/>
              </w:rPr>
            </w:pPr>
          </w:p>
        </w:tc>
        <w:tc>
          <w:tcPr>
            <w:tcW w:w="1262" w:type="dxa"/>
          </w:tcPr>
          <w:p w:rsidR="00DF3425" w:rsidRPr="005B0796" w:rsidRDefault="00DF3425" w:rsidP="00DF3425">
            <w:pPr>
              <w:pStyle w:val="TableText"/>
              <w:jc w:val="right"/>
              <w:rPr>
                <w:rFonts w:eastAsia="Times New Roman"/>
              </w:rPr>
            </w:pPr>
          </w:p>
        </w:tc>
        <w:tc>
          <w:tcPr>
            <w:tcW w:w="1262" w:type="dxa"/>
          </w:tcPr>
          <w:p w:rsidR="00DF3425" w:rsidRPr="005B0796" w:rsidRDefault="00DF3425" w:rsidP="00DF3425">
            <w:pPr>
              <w:pStyle w:val="TableText"/>
              <w:jc w:val="right"/>
              <w:rPr>
                <w:rFonts w:eastAsia="Times New Roman"/>
              </w:rPr>
            </w:pPr>
          </w:p>
        </w:tc>
        <w:tc>
          <w:tcPr>
            <w:tcW w:w="1262" w:type="dxa"/>
          </w:tcPr>
          <w:p w:rsidR="00DF3425" w:rsidRPr="005B0796" w:rsidRDefault="00DF3425" w:rsidP="00DF3425">
            <w:pPr>
              <w:pStyle w:val="TableText"/>
              <w:jc w:val="right"/>
              <w:rPr>
                <w:rFonts w:eastAsia="Times New Roman"/>
              </w:rPr>
            </w:pP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OFFR | fit | Navy</w:t>
            </w:r>
          </w:p>
        </w:tc>
        <w:tc>
          <w:tcPr>
            <w:tcW w:w="1261" w:type="dxa"/>
          </w:tcPr>
          <w:p w:rsidR="00DF3425" w:rsidRPr="005B0796" w:rsidRDefault="00DF3425" w:rsidP="00DF3425">
            <w:pPr>
              <w:pStyle w:val="TableText"/>
              <w:jc w:val="right"/>
              <w:rPr>
                <w:rFonts w:eastAsia="Times New Roman"/>
              </w:rPr>
            </w:pPr>
            <w:r w:rsidRPr="005B0796">
              <w:rPr>
                <w:rFonts w:eastAsia="Times New Roman"/>
              </w:rPr>
              <w:t>170</w:t>
            </w:r>
          </w:p>
        </w:tc>
        <w:tc>
          <w:tcPr>
            <w:tcW w:w="1262" w:type="dxa"/>
          </w:tcPr>
          <w:p w:rsidR="00DF3425" w:rsidRPr="005B0796" w:rsidRDefault="00DF3425" w:rsidP="00DF3425">
            <w:pPr>
              <w:pStyle w:val="TableText"/>
              <w:jc w:val="right"/>
              <w:rPr>
                <w:rFonts w:eastAsia="Times New Roman"/>
              </w:rPr>
            </w:pPr>
            <w:r w:rsidRPr="005B0796">
              <w:rPr>
                <w:rFonts w:eastAsia="Times New Roman"/>
              </w:rPr>
              <w:t>88</w:t>
            </w:r>
          </w:p>
        </w:tc>
        <w:tc>
          <w:tcPr>
            <w:tcW w:w="1262" w:type="dxa"/>
          </w:tcPr>
          <w:p w:rsidR="00DF3425" w:rsidRPr="005B0796" w:rsidRDefault="00DF3425" w:rsidP="00DF3425">
            <w:pPr>
              <w:pStyle w:val="TableText"/>
              <w:jc w:val="right"/>
            </w:pPr>
            <w:r w:rsidRPr="005B0796">
              <w:rPr>
                <w:rFonts w:eastAsia="Times New Roman"/>
              </w:rPr>
              <w:t>51.8</w:t>
            </w:r>
          </w:p>
        </w:tc>
        <w:tc>
          <w:tcPr>
            <w:tcW w:w="1262" w:type="dxa"/>
          </w:tcPr>
          <w:p w:rsidR="00DF3425" w:rsidRPr="005B0796" w:rsidRDefault="00DF3425" w:rsidP="00DF3425">
            <w:pPr>
              <w:pStyle w:val="TableText"/>
              <w:jc w:val="right"/>
              <w:rPr>
                <w:rFonts w:eastAsia="Times New Roman"/>
              </w:rPr>
            </w:pPr>
            <w:r w:rsidRPr="005B0796">
              <w:rPr>
                <w:rFonts w:eastAsia="Times New Roman"/>
              </w:rPr>
              <w:t>1.9</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lang w:eastAsia="en-GB"/>
              </w:rPr>
            </w:pPr>
            <w:r w:rsidRPr="005B0796">
              <w:rPr>
                <w:rFonts w:eastAsia="Times New Roman"/>
              </w:rPr>
              <w:t>Female | OFFR| fit | Army</w:t>
            </w:r>
          </w:p>
        </w:tc>
        <w:tc>
          <w:tcPr>
            <w:tcW w:w="1261" w:type="dxa"/>
          </w:tcPr>
          <w:p w:rsidR="00DF3425" w:rsidRPr="005B0796" w:rsidRDefault="00DF3425" w:rsidP="00DF3425">
            <w:pPr>
              <w:pStyle w:val="TableText"/>
              <w:jc w:val="right"/>
              <w:rPr>
                <w:rFonts w:eastAsia="Times New Roman"/>
                <w:lang w:eastAsia="en-GB"/>
              </w:rPr>
            </w:pPr>
            <w:r w:rsidRPr="005B0796">
              <w:rPr>
                <w:rFonts w:eastAsia="Times New Roman"/>
              </w:rPr>
              <w:t>237</w:t>
            </w:r>
          </w:p>
        </w:tc>
        <w:tc>
          <w:tcPr>
            <w:tcW w:w="1262" w:type="dxa"/>
          </w:tcPr>
          <w:p w:rsidR="00DF3425" w:rsidRPr="005B0796" w:rsidRDefault="00DF3425" w:rsidP="00DF3425">
            <w:pPr>
              <w:pStyle w:val="TableText"/>
              <w:jc w:val="right"/>
              <w:rPr>
                <w:rFonts w:eastAsia="Times New Roman"/>
              </w:rPr>
            </w:pPr>
            <w:r w:rsidRPr="005B0796">
              <w:rPr>
                <w:rFonts w:eastAsia="Times New Roman"/>
              </w:rPr>
              <w:t>120</w:t>
            </w:r>
          </w:p>
        </w:tc>
        <w:tc>
          <w:tcPr>
            <w:tcW w:w="1262" w:type="dxa"/>
          </w:tcPr>
          <w:p w:rsidR="00DF3425" w:rsidRPr="005B0796" w:rsidRDefault="00DF3425" w:rsidP="00DF3425">
            <w:pPr>
              <w:pStyle w:val="TableText"/>
              <w:jc w:val="right"/>
            </w:pPr>
            <w:r w:rsidRPr="005B0796">
              <w:rPr>
                <w:rFonts w:eastAsia="Times New Roman"/>
              </w:rPr>
              <w:t xml:space="preserve"> 50.6</w:t>
            </w:r>
          </w:p>
        </w:tc>
        <w:tc>
          <w:tcPr>
            <w:tcW w:w="1262" w:type="dxa"/>
          </w:tcPr>
          <w:p w:rsidR="00DF3425" w:rsidRPr="005B0796" w:rsidRDefault="00DF3425" w:rsidP="00DF3425">
            <w:pPr>
              <w:pStyle w:val="TableText"/>
              <w:jc w:val="right"/>
              <w:rPr>
                <w:rFonts w:eastAsia="Times New Roman"/>
              </w:rPr>
            </w:pPr>
            <w:r w:rsidRPr="005B0796">
              <w:rPr>
                <w:rFonts w:eastAsia="Times New Roman"/>
              </w:rPr>
              <w:t xml:space="preserve"> 2.0</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OFFR | fit | Air Force</w:t>
            </w:r>
          </w:p>
        </w:tc>
        <w:tc>
          <w:tcPr>
            <w:tcW w:w="1261" w:type="dxa"/>
          </w:tcPr>
          <w:p w:rsidR="00DF3425" w:rsidRPr="005B0796" w:rsidRDefault="00DF3425" w:rsidP="00DF3425">
            <w:pPr>
              <w:pStyle w:val="TableText"/>
              <w:jc w:val="right"/>
              <w:rPr>
                <w:rFonts w:eastAsia="Times New Roman"/>
              </w:rPr>
            </w:pPr>
            <w:r w:rsidRPr="005B0796">
              <w:rPr>
                <w:rFonts w:eastAsia="Times New Roman"/>
              </w:rPr>
              <w:t>249</w:t>
            </w:r>
          </w:p>
        </w:tc>
        <w:tc>
          <w:tcPr>
            <w:tcW w:w="1262" w:type="dxa"/>
          </w:tcPr>
          <w:p w:rsidR="00DF3425" w:rsidRPr="005B0796" w:rsidRDefault="00DF3425" w:rsidP="00DF3425">
            <w:pPr>
              <w:pStyle w:val="TableText"/>
              <w:jc w:val="right"/>
              <w:rPr>
                <w:rFonts w:eastAsia="Times New Roman"/>
              </w:rPr>
            </w:pPr>
            <w:r w:rsidRPr="005B0796">
              <w:rPr>
                <w:rFonts w:eastAsia="Times New Roman"/>
              </w:rPr>
              <w:t>121</w:t>
            </w:r>
          </w:p>
        </w:tc>
        <w:tc>
          <w:tcPr>
            <w:tcW w:w="1262" w:type="dxa"/>
          </w:tcPr>
          <w:p w:rsidR="00DF3425" w:rsidRPr="005B0796" w:rsidRDefault="00DF3425" w:rsidP="00DF3425">
            <w:pPr>
              <w:pStyle w:val="TableText"/>
              <w:jc w:val="right"/>
            </w:pPr>
            <w:r w:rsidRPr="005B0796">
              <w:rPr>
                <w:rFonts w:eastAsia="Times New Roman"/>
              </w:rPr>
              <w:t>48.6</w:t>
            </w:r>
          </w:p>
        </w:tc>
        <w:tc>
          <w:tcPr>
            <w:tcW w:w="1262" w:type="dxa"/>
          </w:tcPr>
          <w:p w:rsidR="00DF3425" w:rsidRPr="005B0796" w:rsidRDefault="00DF3425" w:rsidP="00DF3425">
            <w:pPr>
              <w:pStyle w:val="TableText"/>
              <w:jc w:val="right"/>
              <w:rPr>
                <w:rFonts w:eastAsia="Times New Roman"/>
              </w:rPr>
            </w:pPr>
            <w:r w:rsidRPr="005B0796">
              <w:rPr>
                <w:rFonts w:eastAsia="Times New Roman"/>
              </w:rPr>
              <w:t>2.1</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rPr>
            </w:pPr>
            <w:r w:rsidRPr="005B0796">
              <w:rPr>
                <w:rFonts w:eastAsia="Times New Roman"/>
              </w:rPr>
              <w:t>Female | OFFR | unfit | Navy</w:t>
            </w:r>
          </w:p>
        </w:tc>
        <w:tc>
          <w:tcPr>
            <w:tcW w:w="1261" w:type="dxa"/>
          </w:tcPr>
          <w:p w:rsidR="00DF3425" w:rsidRPr="005B0796" w:rsidRDefault="00DF3425" w:rsidP="00DF3425">
            <w:pPr>
              <w:pStyle w:val="TableText"/>
              <w:jc w:val="right"/>
              <w:rPr>
                <w:rFonts w:eastAsia="Times New Roman"/>
              </w:rPr>
            </w:pPr>
            <w:r w:rsidRPr="005B0796">
              <w:rPr>
                <w:rFonts w:eastAsia="Times New Roman"/>
              </w:rPr>
              <w:t>48</w:t>
            </w:r>
          </w:p>
        </w:tc>
        <w:tc>
          <w:tcPr>
            <w:tcW w:w="1262" w:type="dxa"/>
          </w:tcPr>
          <w:p w:rsidR="00DF3425" w:rsidRPr="005B0796" w:rsidRDefault="00DF3425" w:rsidP="00DF3425">
            <w:pPr>
              <w:pStyle w:val="TableText"/>
              <w:jc w:val="right"/>
              <w:rPr>
                <w:rFonts w:eastAsia="Times New Roman"/>
              </w:rPr>
            </w:pPr>
            <w:r w:rsidRPr="005B0796">
              <w:rPr>
                <w:rFonts w:eastAsia="Times New Roman"/>
              </w:rPr>
              <w:t>27</w:t>
            </w:r>
          </w:p>
        </w:tc>
        <w:tc>
          <w:tcPr>
            <w:tcW w:w="1262" w:type="dxa"/>
          </w:tcPr>
          <w:p w:rsidR="00DF3425" w:rsidRPr="005B0796" w:rsidRDefault="00DF3425" w:rsidP="00DF3425">
            <w:pPr>
              <w:pStyle w:val="TableText"/>
              <w:jc w:val="right"/>
            </w:pPr>
            <w:r w:rsidRPr="005B0796">
              <w:rPr>
                <w:rFonts w:eastAsia="Times New Roman"/>
              </w:rPr>
              <w:t>56.3</w:t>
            </w:r>
          </w:p>
        </w:tc>
        <w:tc>
          <w:tcPr>
            <w:tcW w:w="1262" w:type="dxa"/>
          </w:tcPr>
          <w:p w:rsidR="00DF3425" w:rsidRPr="005B0796" w:rsidRDefault="00DF3425" w:rsidP="00DF3425">
            <w:pPr>
              <w:pStyle w:val="TableText"/>
              <w:jc w:val="right"/>
              <w:rPr>
                <w:rFonts w:eastAsia="Times New Roman"/>
              </w:rPr>
            </w:pPr>
            <w:r w:rsidRPr="005B0796">
              <w:rPr>
                <w:rFonts w:eastAsia="Times New Roman"/>
              </w:rPr>
              <w:t>1.8</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OFFR | unfit | Army</w:t>
            </w:r>
          </w:p>
        </w:tc>
        <w:tc>
          <w:tcPr>
            <w:tcW w:w="1261" w:type="dxa"/>
          </w:tcPr>
          <w:p w:rsidR="00DF3425" w:rsidRPr="005B0796" w:rsidRDefault="00DF3425" w:rsidP="00DF3425">
            <w:pPr>
              <w:pStyle w:val="TableText"/>
              <w:jc w:val="right"/>
              <w:rPr>
                <w:rFonts w:eastAsia="Times New Roman"/>
              </w:rPr>
            </w:pPr>
            <w:r w:rsidRPr="005B0796">
              <w:rPr>
                <w:rFonts w:eastAsia="Times New Roman"/>
              </w:rPr>
              <w:t>75</w:t>
            </w:r>
          </w:p>
        </w:tc>
        <w:tc>
          <w:tcPr>
            <w:tcW w:w="1262" w:type="dxa"/>
          </w:tcPr>
          <w:p w:rsidR="00DF3425" w:rsidRPr="005B0796" w:rsidRDefault="00DF3425" w:rsidP="00DF3425">
            <w:pPr>
              <w:pStyle w:val="TableText"/>
              <w:jc w:val="right"/>
              <w:rPr>
                <w:rFonts w:eastAsia="Times New Roman"/>
              </w:rPr>
            </w:pPr>
            <w:r w:rsidRPr="005B0796">
              <w:rPr>
                <w:rFonts w:eastAsia="Times New Roman"/>
              </w:rPr>
              <w:t>39</w:t>
            </w:r>
          </w:p>
        </w:tc>
        <w:tc>
          <w:tcPr>
            <w:tcW w:w="1262" w:type="dxa"/>
          </w:tcPr>
          <w:p w:rsidR="00DF3425" w:rsidRPr="005B0796" w:rsidRDefault="00DF3425" w:rsidP="00DF3425">
            <w:pPr>
              <w:pStyle w:val="TableText"/>
              <w:jc w:val="right"/>
            </w:pPr>
            <w:r w:rsidRPr="005B0796">
              <w:rPr>
                <w:rFonts w:eastAsia="Times New Roman"/>
              </w:rPr>
              <w:t>52.0</w:t>
            </w:r>
          </w:p>
        </w:tc>
        <w:tc>
          <w:tcPr>
            <w:tcW w:w="1262" w:type="dxa"/>
          </w:tcPr>
          <w:p w:rsidR="00DF3425" w:rsidRPr="005B0796" w:rsidRDefault="00DF3425" w:rsidP="00DF3425">
            <w:pPr>
              <w:pStyle w:val="TableText"/>
              <w:jc w:val="right"/>
              <w:rPr>
                <w:rFonts w:eastAsia="Times New Roman"/>
              </w:rPr>
            </w:pPr>
            <w:r w:rsidRPr="005B0796">
              <w:rPr>
                <w:rFonts w:eastAsia="Times New Roman"/>
              </w:rPr>
              <w:t>1.9</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rPr>
            </w:pPr>
            <w:r w:rsidRPr="005B0796">
              <w:rPr>
                <w:rFonts w:eastAsia="Times New Roman"/>
              </w:rPr>
              <w:t>Female | OFFR | unfit | Air Force</w:t>
            </w:r>
          </w:p>
        </w:tc>
        <w:tc>
          <w:tcPr>
            <w:tcW w:w="1261" w:type="dxa"/>
          </w:tcPr>
          <w:p w:rsidR="00DF3425" w:rsidRPr="005B0796" w:rsidRDefault="00DF3425" w:rsidP="00DF3425">
            <w:pPr>
              <w:pStyle w:val="TableText"/>
              <w:jc w:val="right"/>
              <w:rPr>
                <w:rFonts w:eastAsia="Times New Roman"/>
              </w:rPr>
            </w:pPr>
            <w:r w:rsidRPr="005B0796">
              <w:rPr>
                <w:rFonts w:eastAsia="Times New Roman"/>
              </w:rPr>
              <w:t>76</w:t>
            </w:r>
          </w:p>
        </w:tc>
        <w:tc>
          <w:tcPr>
            <w:tcW w:w="1262" w:type="dxa"/>
          </w:tcPr>
          <w:p w:rsidR="00DF3425" w:rsidRPr="005B0796" w:rsidRDefault="00DF3425" w:rsidP="00DF3425">
            <w:pPr>
              <w:pStyle w:val="TableText"/>
              <w:jc w:val="right"/>
              <w:rPr>
                <w:rFonts w:eastAsia="Times New Roman"/>
              </w:rPr>
            </w:pPr>
            <w:r w:rsidRPr="005B0796">
              <w:rPr>
                <w:rFonts w:eastAsia="Times New Roman"/>
              </w:rPr>
              <w:t>34</w:t>
            </w:r>
          </w:p>
        </w:tc>
        <w:tc>
          <w:tcPr>
            <w:tcW w:w="1262" w:type="dxa"/>
          </w:tcPr>
          <w:p w:rsidR="00DF3425" w:rsidRPr="005B0796" w:rsidRDefault="00DF3425" w:rsidP="00DF3425">
            <w:pPr>
              <w:pStyle w:val="TableText"/>
              <w:jc w:val="right"/>
            </w:pPr>
            <w:r w:rsidRPr="005B0796">
              <w:rPr>
                <w:rFonts w:eastAsia="Times New Roman"/>
              </w:rPr>
              <w:t>44.7</w:t>
            </w:r>
          </w:p>
        </w:tc>
        <w:tc>
          <w:tcPr>
            <w:tcW w:w="1262" w:type="dxa"/>
          </w:tcPr>
          <w:p w:rsidR="00DF3425" w:rsidRPr="005B0796" w:rsidRDefault="00DF3425" w:rsidP="00DF3425">
            <w:pPr>
              <w:pStyle w:val="TableText"/>
              <w:jc w:val="right"/>
              <w:rPr>
                <w:rFonts w:eastAsia="Times New Roman"/>
              </w:rPr>
            </w:pPr>
            <w:r w:rsidRPr="005B0796">
              <w:rPr>
                <w:rFonts w:eastAsia="Times New Roman"/>
              </w:rPr>
              <w:t>2.2</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NCO | fit | Navy</w:t>
            </w:r>
          </w:p>
        </w:tc>
        <w:tc>
          <w:tcPr>
            <w:tcW w:w="1261" w:type="dxa"/>
          </w:tcPr>
          <w:p w:rsidR="00DF3425" w:rsidRPr="005B0796" w:rsidRDefault="00DF3425" w:rsidP="00DF3425">
            <w:pPr>
              <w:pStyle w:val="TableText"/>
              <w:jc w:val="right"/>
              <w:rPr>
                <w:rFonts w:eastAsia="Times New Roman"/>
              </w:rPr>
            </w:pPr>
            <w:r w:rsidRPr="005B0796">
              <w:rPr>
                <w:rFonts w:eastAsia="Times New Roman"/>
              </w:rPr>
              <w:t>197</w:t>
            </w:r>
          </w:p>
        </w:tc>
        <w:tc>
          <w:tcPr>
            <w:tcW w:w="1262" w:type="dxa"/>
          </w:tcPr>
          <w:p w:rsidR="00DF3425" w:rsidRPr="005B0796" w:rsidRDefault="00DF3425" w:rsidP="00DF3425">
            <w:pPr>
              <w:pStyle w:val="TableText"/>
              <w:jc w:val="right"/>
              <w:rPr>
                <w:rFonts w:eastAsia="Times New Roman"/>
              </w:rPr>
            </w:pPr>
            <w:r w:rsidRPr="005B0796">
              <w:rPr>
                <w:rFonts w:eastAsia="Times New Roman"/>
              </w:rPr>
              <w:t>71</w:t>
            </w:r>
          </w:p>
        </w:tc>
        <w:tc>
          <w:tcPr>
            <w:tcW w:w="1262" w:type="dxa"/>
          </w:tcPr>
          <w:p w:rsidR="00DF3425" w:rsidRPr="005B0796" w:rsidRDefault="00DF3425" w:rsidP="00DF3425">
            <w:pPr>
              <w:pStyle w:val="TableText"/>
              <w:jc w:val="right"/>
            </w:pPr>
            <w:r w:rsidRPr="005B0796">
              <w:rPr>
                <w:rFonts w:eastAsia="Times New Roman"/>
              </w:rPr>
              <w:t>36.0</w:t>
            </w:r>
          </w:p>
        </w:tc>
        <w:tc>
          <w:tcPr>
            <w:tcW w:w="1262" w:type="dxa"/>
          </w:tcPr>
          <w:p w:rsidR="00DF3425" w:rsidRPr="005B0796" w:rsidRDefault="00DF3425" w:rsidP="00DF3425">
            <w:pPr>
              <w:pStyle w:val="TableText"/>
              <w:jc w:val="right"/>
              <w:rPr>
                <w:rFonts w:eastAsia="Times New Roman"/>
              </w:rPr>
            </w:pPr>
            <w:r w:rsidRPr="005B0796">
              <w:rPr>
                <w:rFonts w:eastAsia="Times New Roman"/>
              </w:rPr>
              <w:t>2.8</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rPr>
            </w:pPr>
            <w:r w:rsidRPr="005B0796">
              <w:rPr>
                <w:rFonts w:eastAsia="Times New Roman"/>
              </w:rPr>
              <w:t>Female | NCO | fit | Army</w:t>
            </w:r>
          </w:p>
        </w:tc>
        <w:tc>
          <w:tcPr>
            <w:tcW w:w="1261" w:type="dxa"/>
          </w:tcPr>
          <w:p w:rsidR="00DF3425" w:rsidRPr="005B0796" w:rsidRDefault="00DF3425" w:rsidP="00DF3425">
            <w:pPr>
              <w:pStyle w:val="TableText"/>
              <w:jc w:val="right"/>
              <w:rPr>
                <w:rFonts w:eastAsia="Times New Roman"/>
              </w:rPr>
            </w:pPr>
            <w:r w:rsidRPr="005B0796">
              <w:rPr>
                <w:rFonts w:eastAsia="Times New Roman"/>
              </w:rPr>
              <w:t>245</w:t>
            </w:r>
          </w:p>
        </w:tc>
        <w:tc>
          <w:tcPr>
            <w:tcW w:w="1262" w:type="dxa"/>
          </w:tcPr>
          <w:p w:rsidR="00DF3425" w:rsidRPr="005B0796" w:rsidRDefault="00DF3425" w:rsidP="00DF3425">
            <w:pPr>
              <w:pStyle w:val="TableText"/>
              <w:jc w:val="right"/>
              <w:rPr>
                <w:rFonts w:eastAsia="Times New Roman"/>
              </w:rPr>
            </w:pPr>
            <w:r w:rsidRPr="005B0796">
              <w:rPr>
                <w:rFonts w:eastAsia="Times New Roman"/>
              </w:rPr>
              <w:t>99</w:t>
            </w:r>
          </w:p>
        </w:tc>
        <w:tc>
          <w:tcPr>
            <w:tcW w:w="1262" w:type="dxa"/>
          </w:tcPr>
          <w:p w:rsidR="00DF3425" w:rsidRPr="005B0796" w:rsidRDefault="00DF3425" w:rsidP="00DF3425">
            <w:pPr>
              <w:pStyle w:val="TableText"/>
              <w:jc w:val="right"/>
            </w:pPr>
            <w:r w:rsidRPr="005B0796">
              <w:rPr>
                <w:rFonts w:eastAsia="Times New Roman"/>
              </w:rPr>
              <w:t>40.4</w:t>
            </w:r>
          </w:p>
        </w:tc>
        <w:tc>
          <w:tcPr>
            <w:tcW w:w="1262" w:type="dxa"/>
          </w:tcPr>
          <w:p w:rsidR="00DF3425" w:rsidRPr="005B0796" w:rsidRDefault="00DF3425" w:rsidP="00DF3425">
            <w:pPr>
              <w:pStyle w:val="TableText"/>
              <w:jc w:val="right"/>
              <w:rPr>
                <w:rFonts w:eastAsia="Times New Roman"/>
              </w:rPr>
            </w:pPr>
            <w:r w:rsidRPr="005B0796">
              <w:rPr>
                <w:rFonts w:eastAsia="Times New Roman"/>
              </w:rPr>
              <w:t>2.5</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NCO | fit | Air Force</w:t>
            </w:r>
          </w:p>
        </w:tc>
        <w:tc>
          <w:tcPr>
            <w:tcW w:w="1261" w:type="dxa"/>
          </w:tcPr>
          <w:p w:rsidR="00DF3425" w:rsidRPr="005B0796" w:rsidRDefault="00DF3425" w:rsidP="00DF3425">
            <w:pPr>
              <w:pStyle w:val="TableText"/>
              <w:jc w:val="right"/>
              <w:rPr>
                <w:rFonts w:eastAsia="Times New Roman"/>
              </w:rPr>
            </w:pPr>
            <w:r w:rsidRPr="005B0796">
              <w:rPr>
                <w:rFonts w:eastAsia="Times New Roman"/>
              </w:rPr>
              <w:t>255</w:t>
            </w:r>
          </w:p>
        </w:tc>
        <w:tc>
          <w:tcPr>
            <w:tcW w:w="1262" w:type="dxa"/>
          </w:tcPr>
          <w:p w:rsidR="00DF3425" w:rsidRPr="005B0796" w:rsidRDefault="00DF3425" w:rsidP="00DF3425">
            <w:pPr>
              <w:pStyle w:val="TableText"/>
              <w:jc w:val="right"/>
              <w:rPr>
                <w:rFonts w:eastAsia="Times New Roman"/>
              </w:rPr>
            </w:pPr>
            <w:r w:rsidRPr="005B0796">
              <w:rPr>
                <w:rFonts w:eastAsia="Times New Roman"/>
              </w:rPr>
              <w:t>110</w:t>
            </w:r>
          </w:p>
        </w:tc>
        <w:tc>
          <w:tcPr>
            <w:tcW w:w="1262" w:type="dxa"/>
          </w:tcPr>
          <w:p w:rsidR="00DF3425" w:rsidRPr="005B0796" w:rsidRDefault="00DF3425" w:rsidP="00DF3425">
            <w:pPr>
              <w:pStyle w:val="TableText"/>
              <w:jc w:val="right"/>
            </w:pPr>
            <w:r w:rsidRPr="005B0796">
              <w:rPr>
                <w:rFonts w:eastAsia="Times New Roman"/>
              </w:rPr>
              <w:t>43.1</w:t>
            </w:r>
          </w:p>
        </w:tc>
        <w:tc>
          <w:tcPr>
            <w:tcW w:w="1262" w:type="dxa"/>
          </w:tcPr>
          <w:p w:rsidR="00DF3425" w:rsidRPr="005B0796" w:rsidRDefault="00DF3425" w:rsidP="00DF3425">
            <w:pPr>
              <w:pStyle w:val="TableText"/>
              <w:jc w:val="right"/>
              <w:rPr>
                <w:rFonts w:eastAsia="Times New Roman"/>
              </w:rPr>
            </w:pPr>
            <w:r w:rsidRPr="005B0796">
              <w:rPr>
                <w:rFonts w:eastAsia="Times New Roman"/>
              </w:rPr>
              <w:t>2.3</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65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23</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35.4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2.8</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NCO | unfit | Army</w:t>
            </w:r>
          </w:p>
        </w:tc>
        <w:tc>
          <w:tcPr>
            <w:tcW w:w="1261" w:type="dxa"/>
          </w:tcPr>
          <w:p w:rsidR="00DF3425" w:rsidRPr="005B0796" w:rsidRDefault="00DF3425" w:rsidP="00DF3425">
            <w:pPr>
              <w:pStyle w:val="TableText"/>
              <w:jc w:val="right"/>
              <w:rPr>
                <w:rFonts w:eastAsia="Times New Roman"/>
              </w:rPr>
            </w:pPr>
            <w:r w:rsidRPr="005B0796">
              <w:rPr>
                <w:rFonts w:eastAsia="Times New Roman"/>
              </w:rPr>
              <w:t>117</w:t>
            </w:r>
          </w:p>
        </w:tc>
        <w:tc>
          <w:tcPr>
            <w:tcW w:w="1262" w:type="dxa"/>
          </w:tcPr>
          <w:p w:rsidR="00DF3425" w:rsidRPr="005B0796" w:rsidRDefault="00DF3425" w:rsidP="00DF3425">
            <w:pPr>
              <w:pStyle w:val="TableText"/>
              <w:jc w:val="right"/>
              <w:rPr>
                <w:rFonts w:eastAsia="Times New Roman"/>
              </w:rPr>
            </w:pPr>
            <w:r w:rsidRPr="005B0796">
              <w:rPr>
                <w:rFonts w:eastAsia="Times New Roman"/>
              </w:rPr>
              <w:t>49</w:t>
            </w:r>
          </w:p>
        </w:tc>
        <w:tc>
          <w:tcPr>
            <w:tcW w:w="1262" w:type="dxa"/>
          </w:tcPr>
          <w:p w:rsidR="00DF3425" w:rsidRPr="005B0796" w:rsidRDefault="00DF3425" w:rsidP="00DF3425">
            <w:pPr>
              <w:pStyle w:val="TableText"/>
              <w:jc w:val="right"/>
            </w:pPr>
            <w:r w:rsidRPr="005B0796">
              <w:rPr>
                <w:rFonts w:eastAsia="Times New Roman"/>
              </w:rPr>
              <w:t>41.9</w:t>
            </w:r>
          </w:p>
        </w:tc>
        <w:tc>
          <w:tcPr>
            <w:tcW w:w="1262" w:type="dxa"/>
          </w:tcPr>
          <w:p w:rsidR="00DF3425" w:rsidRPr="005B0796" w:rsidRDefault="00DF3425" w:rsidP="00DF3425">
            <w:pPr>
              <w:pStyle w:val="TableText"/>
              <w:jc w:val="right"/>
              <w:rPr>
                <w:rFonts w:eastAsia="Times New Roman"/>
              </w:rPr>
            </w:pPr>
            <w:r w:rsidRPr="005B0796">
              <w:rPr>
                <w:rFonts w:eastAsia="Times New Roman"/>
              </w:rPr>
              <w:t>2.4</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100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37</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37.0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2.7</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12</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29.3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3.4</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12.1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8.3</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18</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35.3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2.8</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16.1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6.2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9</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47.4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2.1</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16.1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6.2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902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418</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46.3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2.2</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1585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723</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45.6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1428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596</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41.7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2.4</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81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54</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66.7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1.5</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153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75</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49.0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2.0</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117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58</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49.6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2.0</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1386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522</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37.7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2.7</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2629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1037</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39.4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2.6</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2153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789</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36.6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2.7</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rsidR="00DF3425" w:rsidRPr="005B0796" w:rsidRDefault="00DF3425" w:rsidP="00DF3425">
            <w:pPr>
              <w:pStyle w:val="TableText"/>
              <w:jc w:val="right"/>
              <w:rPr>
                <w:rFonts w:eastAsia="Times New Roman"/>
                <w:color w:val="000000" w:themeColor="text1"/>
                <w:lang w:eastAsia="en-GB"/>
              </w:rPr>
            </w:pPr>
            <w:r w:rsidRPr="005B0796">
              <w:rPr>
                <w:rFonts w:eastAsia="Times New Roman"/>
                <w:color w:val="000000" w:themeColor="text1"/>
              </w:rPr>
              <w:t>214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96</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44.9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503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244</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48.5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2.1</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309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130</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42.1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2.4</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176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46</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26.1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3.8</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433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57</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13.2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7.6</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320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75</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23.4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4.3</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 xml:space="preserve">Male | Other Rank | unfit | Navy </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11</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28.2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3.5</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105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25</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23.8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4.2</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43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13</w:t>
            </w:r>
          </w:p>
        </w:tc>
        <w:tc>
          <w:tcPr>
            <w:tcW w:w="1262" w:type="dxa"/>
          </w:tcPr>
          <w:p w:rsidR="00DF3425" w:rsidRPr="005B0796" w:rsidRDefault="00DF3425" w:rsidP="00DF3425">
            <w:pPr>
              <w:pStyle w:val="TableText"/>
              <w:jc w:val="right"/>
              <w:rPr>
                <w:color w:val="000000" w:themeColor="text1"/>
              </w:rPr>
            </w:pPr>
            <w:r w:rsidRPr="005B0796">
              <w:rPr>
                <w:rFonts w:eastAsia="Times New Roman"/>
                <w:color w:val="000000" w:themeColor="text1"/>
              </w:rPr>
              <w:t>30.2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color w:val="000000" w:themeColor="text1"/>
              </w:rPr>
              <w:t>3.3</w:t>
            </w:r>
          </w:p>
        </w:tc>
      </w:tr>
    </w:tbl>
    <w:p w:rsidR="00395119" w:rsidRPr="005B0796" w:rsidRDefault="00395119" w:rsidP="00DF3425">
      <w:pPr>
        <w:pStyle w:val="TableNotes"/>
      </w:pPr>
    </w:p>
    <w:p w:rsidR="00395119" w:rsidRPr="005B0796" w:rsidRDefault="00395119" w:rsidP="00395119">
      <w:pPr>
        <w:pStyle w:val="TableName"/>
      </w:pPr>
      <w:bookmarkStart w:id="1660" w:name="_Toc511900514"/>
      <w:r w:rsidRPr="005B0796">
        <w:t>Table B.15</w:t>
      </w:r>
      <w:r w:rsidRPr="005B0796">
        <w:tab/>
        <w:t>Strata description mon-MiLHOP Regular ADF</w:t>
      </w:r>
      <w:bookmarkEnd w:id="1660"/>
    </w:p>
    <w:tbl>
      <w:tblPr>
        <w:tblStyle w:val="TWRPTable"/>
        <w:tblW w:w="5000" w:type="pct"/>
        <w:tblLayout w:type="fixed"/>
        <w:tblLook w:val="04A0" w:firstRow="1" w:lastRow="0" w:firstColumn="1" w:lastColumn="0" w:noHBand="0" w:noVBand="1"/>
        <w:tblDescription w:val="Table B.15 Strata description mon-MiLHOP Regular ADF"/>
      </w:tblPr>
      <w:tblGrid>
        <w:gridCol w:w="2268"/>
        <w:gridCol w:w="1261"/>
        <w:gridCol w:w="1262"/>
        <w:gridCol w:w="1262"/>
        <w:gridCol w:w="1262"/>
      </w:tblGrid>
      <w:tr w:rsidR="00A64C3D" w:rsidRPr="005B0796" w:rsidTr="00DF3425">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rsidR="00DF3425" w:rsidRPr="005B0796" w:rsidRDefault="00DF3425" w:rsidP="00DF3425">
            <w:pPr>
              <w:pStyle w:val="TableText"/>
            </w:pPr>
            <w:r w:rsidRPr="005B0796">
              <w:t>Strata</w:t>
            </w:r>
          </w:p>
          <w:p w:rsidR="00A64C3D" w:rsidRPr="005B0796" w:rsidRDefault="00DF3425" w:rsidP="00DF3425">
            <w:pPr>
              <w:pStyle w:val="TableText"/>
            </w:pPr>
            <w:r w:rsidRPr="005B0796">
              <w:rPr>
                <w:rFonts w:eastAsia="Times New Roman"/>
              </w:rPr>
              <w:t>Sex | Rank | Medical fitness | Service</w:t>
            </w:r>
          </w:p>
        </w:tc>
        <w:tc>
          <w:tcPr>
            <w:tcW w:w="5047" w:type="dxa"/>
            <w:gridSpan w:val="4"/>
          </w:tcPr>
          <w:p w:rsidR="00A64C3D" w:rsidRPr="005B0796" w:rsidRDefault="00DF3425" w:rsidP="00DF3425">
            <w:pPr>
              <w:pStyle w:val="TableText"/>
              <w:jc w:val="center"/>
            </w:pPr>
            <w:r w:rsidRPr="005B0796">
              <w:rPr>
                <w:color w:val="000000" w:themeColor="text1"/>
              </w:rPr>
              <w:t>2015 Regular ADF</w:t>
            </w:r>
          </w:p>
        </w:tc>
      </w:tr>
      <w:tr w:rsidR="00A64C3D" w:rsidRPr="005B0796" w:rsidTr="00DF3425">
        <w:trPr>
          <w:cnfStyle w:val="100000000000" w:firstRow="1" w:lastRow="0" w:firstColumn="0" w:lastColumn="0" w:oddVBand="0" w:evenVBand="0" w:oddHBand="0" w:evenHBand="0" w:firstRowFirstColumn="0" w:firstRowLastColumn="0" w:lastRowFirstColumn="0" w:lastRowLastColumn="0"/>
          <w:tblHeader/>
        </w:trPr>
        <w:tc>
          <w:tcPr>
            <w:tcW w:w="2268" w:type="dxa"/>
            <w:vMerge/>
          </w:tcPr>
          <w:p w:rsidR="00A64C3D" w:rsidRPr="005B0796" w:rsidRDefault="00A64C3D" w:rsidP="00DF3425">
            <w:pPr>
              <w:pStyle w:val="TableText"/>
            </w:pPr>
          </w:p>
        </w:tc>
        <w:tc>
          <w:tcPr>
            <w:tcW w:w="1261" w:type="dxa"/>
          </w:tcPr>
          <w:p w:rsidR="00A64C3D" w:rsidRPr="005B0796" w:rsidRDefault="00DF3425" w:rsidP="00DF3425">
            <w:pPr>
              <w:pStyle w:val="TableText"/>
              <w:jc w:val="right"/>
            </w:pPr>
            <w:r w:rsidRPr="005B0796">
              <w:rPr>
                <w:rFonts w:eastAsia="Times New Roman"/>
              </w:rPr>
              <w:t>Population</w:t>
            </w:r>
          </w:p>
        </w:tc>
        <w:tc>
          <w:tcPr>
            <w:tcW w:w="1262" w:type="dxa"/>
          </w:tcPr>
          <w:p w:rsidR="00A64C3D" w:rsidRPr="005B0796" w:rsidRDefault="00DF3425" w:rsidP="00DF3425">
            <w:pPr>
              <w:pStyle w:val="TableText"/>
              <w:jc w:val="right"/>
            </w:pPr>
            <w:r w:rsidRPr="005B0796">
              <w:rPr>
                <w:rFonts w:eastAsia="Times New Roman"/>
              </w:rPr>
              <w:t>Responder</w:t>
            </w:r>
          </w:p>
        </w:tc>
        <w:tc>
          <w:tcPr>
            <w:tcW w:w="1262" w:type="dxa"/>
          </w:tcPr>
          <w:p w:rsidR="00A64C3D" w:rsidRPr="005B0796" w:rsidRDefault="00DF3425" w:rsidP="00DF3425">
            <w:pPr>
              <w:pStyle w:val="TableText"/>
              <w:jc w:val="right"/>
            </w:pPr>
            <w:r w:rsidRPr="005B0796">
              <w:rPr>
                <w:rFonts w:eastAsia="Times New Roman"/>
              </w:rPr>
              <w:t>%</w:t>
            </w:r>
          </w:p>
        </w:tc>
        <w:tc>
          <w:tcPr>
            <w:tcW w:w="1262" w:type="dxa"/>
          </w:tcPr>
          <w:p w:rsidR="00A64C3D" w:rsidRPr="005B0796" w:rsidRDefault="00DF3425" w:rsidP="00DF3425">
            <w:pPr>
              <w:pStyle w:val="TableText"/>
              <w:jc w:val="right"/>
            </w:pPr>
            <w:r w:rsidRPr="005B0796">
              <w:t>No. of persons in population each responder represents</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b/>
              </w:rPr>
            </w:pPr>
            <w:r w:rsidRPr="005B0796">
              <w:rPr>
                <w:rFonts w:eastAsia="Times New Roman"/>
                <w:b/>
              </w:rPr>
              <w:t>Non-MilHOP</w:t>
            </w:r>
          </w:p>
        </w:tc>
        <w:tc>
          <w:tcPr>
            <w:tcW w:w="1261" w:type="dxa"/>
          </w:tcPr>
          <w:p w:rsidR="00DF3425" w:rsidRPr="005B0796" w:rsidRDefault="00DF3425" w:rsidP="00DF3425">
            <w:pPr>
              <w:pStyle w:val="TableText"/>
              <w:jc w:val="right"/>
              <w:rPr>
                <w:rFonts w:eastAsia="Times New Roman"/>
              </w:rPr>
            </w:pPr>
          </w:p>
        </w:tc>
        <w:tc>
          <w:tcPr>
            <w:tcW w:w="1262" w:type="dxa"/>
          </w:tcPr>
          <w:p w:rsidR="00DF3425" w:rsidRPr="005B0796" w:rsidRDefault="00DF3425" w:rsidP="00DF3425">
            <w:pPr>
              <w:pStyle w:val="TableText"/>
              <w:jc w:val="right"/>
              <w:rPr>
                <w:rFonts w:eastAsia="Times New Roman"/>
              </w:rPr>
            </w:pPr>
          </w:p>
        </w:tc>
        <w:tc>
          <w:tcPr>
            <w:tcW w:w="1262" w:type="dxa"/>
          </w:tcPr>
          <w:p w:rsidR="00DF3425" w:rsidRPr="005B0796" w:rsidRDefault="00DF3425" w:rsidP="00DF3425">
            <w:pPr>
              <w:pStyle w:val="TableText"/>
              <w:jc w:val="right"/>
              <w:rPr>
                <w:rFonts w:eastAsia="Times New Roman"/>
              </w:rPr>
            </w:pPr>
          </w:p>
        </w:tc>
        <w:tc>
          <w:tcPr>
            <w:tcW w:w="1262" w:type="dxa"/>
          </w:tcPr>
          <w:p w:rsidR="00DF3425" w:rsidRPr="005B0796" w:rsidRDefault="00DF3425" w:rsidP="00DF3425">
            <w:pPr>
              <w:pStyle w:val="TableText"/>
              <w:jc w:val="right"/>
              <w:rPr>
                <w:rFonts w:eastAsia="Times New Roman"/>
              </w:rPr>
            </w:pP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OFFR | fit | Navy</w:t>
            </w:r>
          </w:p>
        </w:tc>
        <w:tc>
          <w:tcPr>
            <w:tcW w:w="1261" w:type="dxa"/>
          </w:tcPr>
          <w:p w:rsidR="00DF3425" w:rsidRPr="005B0796" w:rsidRDefault="00DF3425" w:rsidP="00DF3425">
            <w:pPr>
              <w:pStyle w:val="TableText"/>
              <w:jc w:val="right"/>
              <w:rPr>
                <w:rFonts w:eastAsia="Times New Roman"/>
              </w:rPr>
            </w:pPr>
            <w:r w:rsidRPr="005B0796">
              <w:rPr>
                <w:rFonts w:eastAsia="Times New Roman"/>
              </w:rPr>
              <w:t>305</w:t>
            </w:r>
          </w:p>
        </w:tc>
        <w:tc>
          <w:tcPr>
            <w:tcW w:w="1262" w:type="dxa"/>
          </w:tcPr>
          <w:p w:rsidR="00DF3425" w:rsidRPr="005B0796" w:rsidRDefault="00DF3425" w:rsidP="00DF3425">
            <w:pPr>
              <w:pStyle w:val="TableText"/>
              <w:jc w:val="right"/>
              <w:rPr>
                <w:rFonts w:eastAsia="Times New Roman"/>
              </w:rPr>
            </w:pPr>
            <w:r w:rsidRPr="005B0796">
              <w:rPr>
                <w:rFonts w:eastAsia="Times New Roman"/>
              </w:rPr>
              <w:t>114</w:t>
            </w:r>
          </w:p>
        </w:tc>
        <w:tc>
          <w:tcPr>
            <w:tcW w:w="1262" w:type="dxa"/>
          </w:tcPr>
          <w:p w:rsidR="00DF3425" w:rsidRPr="005B0796" w:rsidRDefault="00DF3425" w:rsidP="00DF3425">
            <w:pPr>
              <w:pStyle w:val="TableText"/>
              <w:jc w:val="right"/>
            </w:pPr>
            <w:r w:rsidRPr="005B0796">
              <w:rPr>
                <w:rFonts w:eastAsia="Times New Roman"/>
              </w:rPr>
              <w:t>37.4</w:t>
            </w:r>
          </w:p>
        </w:tc>
        <w:tc>
          <w:tcPr>
            <w:tcW w:w="1262" w:type="dxa"/>
          </w:tcPr>
          <w:p w:rsidR="00DF3425" w:rsidRPr="005B0796" w:rsidRDefault="00DF3425" w:rsidP="00DF3425">
            <w:pPr>
              <w:pStyle w:val="TableText"/>
              <w:jc w:val="right"/>
              <w:rPr>
                <w:rFonts w:eastAsia="Times New Roman"/>
              </w:rPr>
            </w:pPr>
            <w:r w:rsidRPr="005B0796">
              <w:rPr>
                <w:rFonts w:eastAsia="Times New Roman"/>
              </w:rPr>
              <w:t>2.7</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lang w:eastAsia="en-GB"/>
              </w:rPr>
            </w:pPr>
            <w:r w:rsidRPr="005B0796">
              <w:rPr>
                <w:rFonts w:eastAsia="Times New Roman"/>
              </w:rPr>
              <w:t>Female | OFFR | fit | Army</w:t>
            </w:r>
          </w:p>
        </w:tc>
        <w:tc>
          <w:tcPr>
            <w:tcW w:w="1261" w:type="dxa"/>
          </w:tcPr>
          <w:p w:rsidR="00DF3425" w:rsidRPr="005B0796" w:rsidRDefault="00DF3425" w:rsidP="00DF3425">
            <w:pPr>
              <w:pStyle w:val="TableText"/>
              <w:jc w:val="right"/>
              <w:rPr>
                <w:rFonts w:eastAsia="Times New Roman"/>
                <w:lang w:eastAsia="en-GB"/>
              </w:rPr>
            </w:pPr>
            <w:r w:rsidRPr="005B0796">
              <w:rPr>
                <w:rFonts w:eastAsia="Times New Roman"/>
              </w:rPr>
              <w:t>374</w:t>
            </w:r>
          </w:p>
        </w:tc>
        <w:tc>
          <w:tcPr>
            <w:tcW w:w="1262" w:type="dxa"/>
          </w:tcPr>
          <w:p w:rsidR="00DF3425" w:rsidRPr="005B0796" w:rsidRDefault="00DF3425" w:rsidP="00DF3425">
            <w:pPr>
              <w:pStyle w:val="TableText"/>
              <w:jc w:val="right"/>
              <w:rPr>
                <w:rFonts w:eastAsia="Times New Roman"/>
              </w:rPr>
            </w:pPr>
            <w:r w:rsidRPr="005B0796">
              <w:rPr>
                <w:rFonts w:eastAsia="Times New Roman"/>
              </w:rPr>
              <w:t>112</w:t>
            </w:r>
          </w:p>
        </w:tc>
        <w:tc>
          <w:tcPr>
            <w:tcW w:w="1262" w:type="dxa"/>
          </w:tcPr>
          <w:p w:rsidR="00DF3425" w:rsidRPr="005B0796" w:rsidRDefault="00DF3425" w:rsidP="00DF3425">
            <w:pPr>
              <w:pStyle w:val="TableText"/>
              <w:jc w:val="right"/>
            </w:pPr>
            <w:r w:rsidRPr="005B0796">
              <w:rPr>
                <w:rFonts w:eastAsia="Times New Roman"/>
              </w:rPr>
              <w:t xml:space="preserve"> 29.9</w:t>
            </w:r>
          </w:p>
        </w:tc>
        <w:tc>
          <w:tcPr>
            <w:tcW w:w="1262" w:type="dxa"/>
          </w:tcPr>
          <w:p w:rsidR="00DF3425" w:rsidRPr="005B0796" w:rsidRDefault="00DF3425" w:rsidP="00DF3425">
            <w:pPr>
              <w:pStyle w:val="TableText"/>
              <w:jc w:val="right"/>
              <w:rPr>
                <w:rFonts w:eastAsia="Times New Roman"/>
              </w:rPr>
            </w:pPr>
            <w:r w:rsidRPr="005B0796">
              <w:rPr>
                <w:rFonts w:eastAsia="Times New Roman"/>
              </w:rPr>
              <w:t xml:space="preserve"> 3.3</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OFFR | fit | Air Force</w:t>
            </w:r>
          </w:p>
        </w:tc>
        <w:tc>
          <w:tcPr>
            <w:tcW w:w="1261" w:type="dxa"/>
          </w:tcPr>
          <w:p w:rsidR="00DF3425" w:rsidRPr="005B0796" w:rsidRDefault="00DF3425" w:rsidP="00DF3425">
            <w:pPr>
              <w:pStyle w:val="TableText"/>
              <w:jc w:val="right"/>
              <w:rPr>
                <w:rFonts w:eastAsia="Times New Roman"/>
              </w:rPr>
            </w:pPr>
            <w:r w:rsidRPr="005B0796">
              <w:rPr>
                <w:rFonts w:eastAsia="Times New Roman"/>
              </w:rPr>
              <w:t>406</w:t>
            </w:r>
          </w:p>
        </w:tc>
        <w:tc>
          <w:tcPr>
            <w:tcW w:w="1262" w:type="dxa"/>
          </w:tcPr>
          <w:p w:rsidR="00DF3425" w:rsidRPr="005B0796" w:rsidRDefault="00DF3425" w:rsidP="00DF3425">
            <w:pPr>
              <w:pStyle w:val="TableText"/>
              <w:jc w:val="right"/>
              <w:rPr>
                <w:rFonts w:eastAsia="Times New Roman"/>
              </w:rPr>
            </w:pPr>
            <w:r w:rsidRPr="005B0796">
              <w:rPr>
                <w:rFonts w:eastAsia="Times New Roman"/>
              </w:rPr>
              <w:t>139</w:t>
            </w:r>
          </w:p>
        </w:tc>
        <w:tc>
          <w:tcPr>
            <w:tcW w:w="1262" w:type="dxa"/>
          </w:tcPr>
          <w:p w:rsidR="00DF3425" w:rsidRPr="005B0796" w:rsidRDefault="00DF3425" w:rsidP="00DF3425">
            <w:pPr>
              <w:pStyle w:val="TableText"/>
              <w:jc w:val="right"/>
            </w:pPr>
            <w:r w:rsidRPr="005B0796">
              <w:rPr>
                <w:rFonts w:eastAsia="Times New Roman"/>
              </w:rPr>
              <w:t>34.2</w:t>
            </w:r>
          </w:p>
        </w:tc>
        <w:tc>
          <w:tcPr>
            <w:tcW w:w="1262" w:type="dxa"/>
          </w:tcPr>
          <w:p w:rsidR="00DF3425" w:rsidRPr="005B0796" w:rsidRDefault="00DF3425" w:rsidP="00DF3425">
            <w:pPr>
              <w:pStyle w:val="TableText"/>
              <w:jc w:val="right"/>
              <w:rPr>
                <w:rFonts w:eastAsia="Times New Roman"/>
              </w:rPr>
            </w:pPr>
            <w:r w:rsidRPr="005B0796">
              <w:rPr>
                <w:rFonts w:eastAsia="Times New Roman"/>
              </w:rPr>
              <w:t>2.9</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rPr>
            </w:pPr>
            <w:r w:rsidRPr="005B0796">
              <w:rPr>
                <w:rFonts w:eastAsia="Times New Roman"/>
              </w:rPr>
              <w:t>Female | OFFR | unfit | Navy</w:t>
            </w:r>
          </w:p>
        </w:tc>
        <w:tc>
          <w:tcPr>
            <w:tcW w:w="1261" w:type="dxa"/>
          </w:tcPr>
          <w:p w:rsidR="00DF3425" w:rsidRPr="005B0796" w:rsidRDefault="00DF3425" w:rsidP="00DF3425">
            <w:pPr>
              <w:pStyle w:val="TableText"/>
              <w:jc w:val="right"/>
              <w:rPr>
                <w:rFonts w:eastAsia="Times New Roman"/>
              </w:rPr>
            </w:pPr>
            <w:r w:rsidRPr="005B0796">
              <w:rPr>
                <w:rFonts w:eastAsia="Times New Roman"/>
              </w:rPr>
              <w:t>66</w:t>
            </w:r>
          </w:p>
        </w:tc>
        <w:tc>
          <w:tcPr>
            <w:tcW w:w="1262" w:type="dxa"/>
          </w:tcPr>
          <w:p w:rsidR="00DF3425" w:rsidRPr="005B0796" w:rsidRDefault="00DF3425" w:rsidP="00DF3425">
            <w:pPr>
              <w:pStyle w:val="TableText"/>
              <w:jc w:val="right"/>
              <w:rPr>
                <w:rFonts w:eastAsia="Times New Roman"/>
              </w:rPr>
            </w:pPr>
            <w:r w:rsidRPr="005B0796">
              <w:rPr>
                <w:rFonts w:eastAsia="Times New Roman"/>
              </w:rPr>
              <w:t>23</w:t>
            </w:r>
          </w:p>
        </w:tc>
        <w:tc>
          <w:tcPr>
            <w:tcW w:w="1262" w:type="dxa"/>
          </w:tcPr>
          <w:p w:rsidR="00DF3425" w:rsidRPr="005B0796" w:rsidRDefault="00DF3425" w:rsidP="00DF3425">
            <w:pPr>
              <w:pStyle w:val="TableText"/>
              <w:jc w:val="right"/>
            </w:pPr>
            <w:r w:rsidRPr="005B0796">
              <w:rPr>
                <w:rFonts w:eastAsia="Times New Roman"/>
              </w:rPr>
              <w:t>34.8</w:t>
            </w:r>
          </w:p>
        </w:tc>
        <w:tc>
          <w:tcPr>
            <w:tcW w:w="1262" w:type="dxa"/>
          </w:tcPr>
          <w:p w:rsidR="00DF3425" w:rsidRPr="005B0796" w:rsidRDefault="00DF3425" w:rsidP="00DF3425">
            <w:pPr>
              <w:pStyle w:val="TableText"/>
              <w:jc w:val="right"/>
              <w:rPr>
                <w:rFonts w:eastAsia="Times New Roman"/>
              </w:rPr>
            </w:pPr>
            <w:r w:rsidRPr="005B0796">
              <w:rPr>
                <w:rFonts w:eastAsia="Times New Roman"/>
              </w:rPr>
              <w:t>2.9</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OFFR | unfit | Army</w:t>
            </w:r>
          </w:p>
        </w:tc>
        <w:tc>
          <w:tcPr>
            <w:tcW w:w="1261" w:type="dxa"/>
          </w:tcPr>
          <w:p w:rsidR="00DF3425" w:rsidRPr="005B0796" w:rsidRDefault="00DF3425" w:rsidP="00DF3425">
            <w:pPr>
              <w:pStyle w:val="TableText"/>
              <w:jc w:val="right"/>
              <w:rPr>
                <w:rFonts w:eastAsia="Times New Roman"/>
              </w:rPr>
            </w:pPr>
            <w:r w:rsidRPr="005B0796">
              <w:rPr>
                <w:rFonts w:eastAsia="Times New Roman"/>
              </w:rPr>
              <w:t>87</w:t>
            </w:r>
          </w:p>
        </w:tc>
        <w:tc>
          <w:tcPr>
            <w:tcW w:w="1262" w:type="dxa"/>
          </w:tcPr>
          <w:p w:rsidR="00DF3425" w:rsidRPr="005B0796" w:rsidRDefault="00DF3425" w:rsidP="00DF3425">
            <w:pPr>
              <w:pStyle w:val="TableText"/>
              <w:jc w:val="right"/>
              <w:rPr>
                <w:rFonts w:eastAsia="Times New Roman"/>
              </w:rPr>
            </w:pPr>
            <w:r w:rsidRPr="005B0796">
              <w:rPr>
                <w:rFonts w:eastAsia="Times New Roman"/>
              </w:rPr>
              <w:t>31</w:t>
            </w:r>
          </w:p>
        </w:tc>
        <w:tc>
          <w:tcPr>
            <w:tcW w:w="1262" w:type="dxa"/>
          </w:tcPr>
          <w:p w:rsidR="00DF3425" w:rsidRPr="005B0796" w:rsidRDefault="00DF3425" w:rsidP="00DF3425">
            <w:pPr>
              <w:pStyle w:val="TableText"/>
              <w:jc w:val="right"/>
            </w:pPr>
            <w:r w:rsidRPr="005B0796">
              <w:rPr>
                <w:rFonts w:eastAsia="Times New Roman"/>
              </w:rPr>
              <w:t>35.6</w:t>
            </w:r>
          </w:p>
        </w:tc>
        <w:tc>
          <w:tcPr>
            <w:tcW w:w="1262" w:type="dxa"/>
          </w:tcPr>
          <w:p w:rsidR="00DF3425" w:rsidRPr="005B0796" w:rsidRDefault="00DF3425" w:rsidP="00DF3425">
            <w:pPr>
              <w:pStyle w:val="TableText"/>
              <w:jc w:val="right"/>
              <w:rPr>
                <w:rFonts w:eastAsia="Times New Roman"/>
              </w:rPr>
            </w:pPr>
            <w:r w:rsidRPr="005B0796">
              <w:rPr>
                <w:rFonts w:eastAsia="Times New Roman"/>
              </w:rPr>
              <w:t>2.8</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rPr>
            </w:pPr>
            <w:r w:rsidRPr="005B0796">
              <w:rPr>
                <w:rFonts w:eastAsia="Times New Roman"/>
              </w:rPr>
              <w:t>Female | OFFR | unfit | Air Force</w:t>
            </w:r>
          </w:p>
        </w:tc>
        <w:tc>
          <w:tcPr>
            <w:tcW w:w="1261" w:type="dxa"/>
          </w:tcPr>
          <w:p w:rsidR="00DF3425" w:rsidRPr="005B0796" w:rsidRDefault="00DF3425" w:rsidP="00DF3425">
            <w:pPr>
              <w:pStyle w:val="TableText"/>
              <w:jc w:val="right"/>
              <w:rPr>
                <w:rFonts w:eastAsia="Times New Roman"/>
              </w:rPr>
            </w:pPr>
            <w:r w:rsidRPr="005B0796">
              <w:rPr>
                <w:rFonts w:eastAsia="Times New Roman"/>
              </w:rPr>
              <w:t>70</w:t>
            </w:r>
          </w:p>
        </w:tc>
        <w:tc>
          <w:tcPr>
            <w:tcW w:w="1262" w:type="dxa"/>
          </w:tcPr>
          <w:p w:rsidR="00DF3425" w:rsidRPr="005B0796" w:rsidRDefault="00DF3425" w:rsidP="00DF3425">
            <w:pPr>
              <w:pStyle w:val="TableText"/>
              <w:jc w:val="right"/>
              <w:rPr>
                <w:rFonts w:eastAsia="Times New Roman"/>
              </w:rPr>
            </w:pPr>
            <w:r w:rsidRPr="005B0796">
              <w:rPr>
                <w:rFonts w:eastAsia="Times New Roman"/>
              </w:rPr>
              <w:t>28</w:t>
            </w:r>
          </w:p>
        </w:tc>
        <w:tc>
          <w:tcPr>
            <w:tcW w:w="1262" w:type="dxa"/>
          </w:tcPr>
          <w:p w:rsidR="00DF3425" w:rsidRPr="005B0796" w:rsidRDefault="00DF3425" w:rsidP="00DF3425">
            <w:pPr>
              <w:pStyle w:val="TableText"/>
              <w:jc w:val="right"/>
            </w:pPr>
            <w:r w:rsidRPr="005B0796">
              <w:rPr>
                <w:rFonts w:eastAsia="Times New Roman"/>
              </w:rPr>
              <w:t>40.0</w:t>
            </w:r>
          </w:p>
        </w:tc>
        <w:tc>
          <w:tcPr>
            <w:tcW w:w="1262" w:type="dxa"/>
          </w:tcPr>
          <w:p w:rsidR="00DF3425" w:rsidRPr="005B0796" w:rsidRDefault="00DF3425" w:rsidP="00DF3425">
            <w:pPr>
              <w:pStyle w:val="TableText"/>
              <w:jc w:val="right"/>
              <w:rPr>
                <w:rFonts w:eastAsia="Times New Roman"/>
              </w:rPr>
            </w:pPr>
            <w:r w:rsidRPr="005B0796">
              <w:rPr>
                <w:rFonts w:eastAsia="Times New Roman"/>
              </w:rPr>
              <w:t>2.5</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NCO | fit | Navy</w:t>
            </w:r>
          </w:p>
        </w:tc>
        <w:tc>
          <w:tcPr>
            <w:tcW w:w="1261" w:type="dxa"/>
          </w:tcPr>
          <w:p w:rsidR="00DF3425" w:rsidRPr="005B0796" w:rsidRDefault="00DF3425" w:rsidP="00DF3425">
            <w:pPr>
              <w:pStyle w:val="TableText"/>
              <w:jc w:val="right"/>
              <w:rPr>
                <w:rFonts w:eastAsia="Times New Roman"/>
              </w:rPr>
            </w:pPr>
            <w:r w:rsidRPr="005B0796">
              <w:rPr>
                <w:rFonts w:eastAsia="Times New Roman"/>
              </w:rPr>
              <w:t>120</w:t>
            </w:r>
          </w:p>
        </w:tc>
        <w:tc>
          <w:tcPr>
            <w:tcW w:w="1262" w:type="dxa"/>
          </w:tcPr>
          <w:p w:rsidR="00DF3425" w:rsidRPr="005B0796" w:rsidRDefault="00DF3425" w:rsidP="00DF3425">
            <w:pPr>
              <w:pStyle w:val="TableText"/>
              <w:jc w:val="right"/>
              <w:rPr>
                <w:rFonts w:eastAsia="Times New Roman"/>
              </w:rPr>
            </w:pPr>
            <w:r w:rsidRPr="005B0796">
              <w:rPr>
                <w:rFonts w:eastAsia="Times New Roman"/>
              </w:rPr>
              <w:t>50</w:t>
            </w:r>
          </w:p>
        </w:tc>
        <w:tc>
          <w:tcPr>
            <w:tcW w:w="1262" w:type="dxa"/>
          </w:tcPr>
          <w:p w:rsidR="00DF3425" w:rsidRPr="005B0796" w:rsidRDefault="00DF3425" w:rsidP="00DF3425">
            <w:pPr>
              <w:pStyle w:val="TableText"/>
              <w:jc w:val="right"/>
            </w:pPr>
            <w:r w:rsidRPr="005B0796">
              <w:rPr>
                <w:rFonts w:eastAsia="Times New Roman"/>
              </w:rPr>
              <w:t>41.7</w:t>
            </w:r>
          </w:p>
        </w:tc>
        <w:tc>
          <w:tcPr>
            <w:tcW w:w="1262" w:type="dxa"/>
          </w:tcPr>
          <w:p w:rsidR="00DF3425" w:rsidRPr="005B0796" w:rsidRDefault="00DF3425" w:rsidP="00DF3425">
            <w:pPr>
              <w:pStyle w:val="TableText"/>
              <w:jc w:val="right"/>
              <w:rPr>
                <w:rFonts w:eastAsia="Times New Roman"/>
              </w:rPr>
            </w:pPr>
            <w:r w:rsidRPr="005B0796">
              <w:rPr>
                <w:rFonts w:eastAsia="Times New Roman"/>
              </w:rPr>
              <w:t>2.4</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rPr>
            </w:pPr>
            <w:r w:rsidRPr="005B0796">
              <w:rPr>
                <w:rFonts w:eastAsia="Times New Roman"/>
              </w:rPr>
              <w:t>Female | NCO | fit | Army</w:t>
            </w:r>
          </w:p>
        </w:tc>
        <w:tc>
          <w:tcPr>
            <w:tcW w:w="1261" w:type="dxa"/>
          </w:tcPr>
          <w:p w:rsidR="00DF3425" w:rsidRPr="005B0796" w:rsidRDefault="00DF3425" w:rsidP="00DF3425">
            <w:pPr>
              <w:pStyle w:val="TableText"/>
              <w:jc w:val="right"/>
              <w:rPr>
                <w:rFonts w:eastAsia="Times New Roman"/>
              </w:rPr>
            </w:pPr>
            <w:r w:rsidRPr="005B0796">
              <w:rPr>
                <w:rFonts w:eastAsia="Times New Roman"/>
              </w:rPr>
              <w:t>138</w:t>
            </w:r>
          </w:p>
        </w:tc>
        <w:tc>
          <w:tcPr>
            <w:tcW w:w="1262" w:type="dxa"/>
          </w:tcPr>
          <w:p w:rsidR="00DF3425" w:rsidRPr="005B0796" w:rsidRDefault="00DF3425" w:rsidP="00DF3425">
            <w:pPr>
              <w:pStyle w:val="TableText"/>
              <w:jc w:val="right"/>
              <w:rPr>
                <w:rFonts w:eastAsia="Times New Roman"/>
              </w:rPr>
            </w:pPr>
            <w:r w:rsidRPr="005B0796">
              <w:rPr>
                <w:rFonts w:eastAsia="Times New Roman"/>
              </w:rPr>
              <w:t>70</w:t>
            </w:r>
          </w:p>
        </w:tc>
        <w:tc>
          <w:tcPr>
            <w:tcW w:w="1262" w:type="dxa"/>
          </w:tcPr>
          <w:p w:rsidR="00DF3425" w:rsidRPr="005B0796" w:rsidRDefault="00DF3425" w:rsidP="00DF3425">
            <w:pPr>
              <w:pStyle w:val="TableText"/>
              <w:jc w:val="right"/>
            </w:pPr>
            <w:r w:rsidRPr="005B0796">
              <w:rPr>
                <w:rFonts w:eastAsia="Times New Roman"/>
              </w:rPr>
              <w:t>50.7</w:t>
            </w:r>
          </w:p>
        </w:tc>
        <w:tc>
          <w:tcPr>
            <w:tcW w:w="1262" w:type="dxa"/>
          </w:tcPr>
          <w:p w:rsidR="00DF3425" w:rsidRPr="005B0796" w:rsidRDefault="00DF3425" w:rsidP="00DF3425">
            <w:pPr>
              <w:pStyle w:val="TableText"/>
              <w:jc w:val="right"/>
              <w:rPr>
                <w:rFonts w:eastAsia="Times New Roman"/>
              </w:rPr>
            </w:pPr>
            <w:r w:rsidRPr="005B0796">
              <w:rPr>
                <w:rFonts w:eastAsia="Times New Roman"/>
              </w:rPr>
              <w:t>2.0</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NCO | fit | Air Force</w:t>
            </w:r>
          </w:p>
        </w:tc>
        <w:tc>
          <w:tcPr>
            <w:tcW w:w="1261" w:type="dxa"/>
          </w:tcPr>
          <w:p w:rsidR="00DF3425" w:rsidRPr="005B0796" w:rsidRDefault="00DF3425" w:rsidP="00DF3425">
            <w:pPr>
              <w:pStyle w:val="TableText"/>
              <w:jc w:val="right"/>
              <w:rPr>
                <w:rFonts w:eastAsia="Times New Roman"/>
              </w:rPr>
            </w:pPr>
            <w:r w:rsidRPr="005B0796">
              <w:rPr>
                <w:rFonts w:eastAsia="Times New Roman"/>
              </w:rPr>
              <w:t>157</w:t>
            </w:r>
          </w:p>
        </w:tc>
        <w:tc>
          <w:tcPr>
            <w:tcW w:w="1262" w:type="dxa"/>
          </w:tcPr>
          <w:p w:rsidR="00DF3425" w:rsidRPr="005B0796" w:rsidRDefault="00DF3425" w:rsidP="00DF3425">
            <w:pPr>
              <w:pStyle w:val="TableText"/>
              <w:jc w:val="right"/>
              <w:rPr>
                <w:rFonts w:eastAsia="Times New Roman"/>
              </w:rPr>
            </w:pPr>
            <w:r w:rsidRPr="005B0796">
              <w:rPr>
                <w:rFonts w:eastAsia="Times New Roman"/>
              </w:rPr>
              <w:t>79</w:t>
            </w:r>
          </w:p>
        </w:tc>
        <w:tc>
          <w:tcPr>
            <w:tcW w:w="1262" w:type="dxa"/>
          </w:tcPr>
          <w:p w:rsidR="00DF3425" w:rsidRPr="005B0796" w:rsidRDefault="00DF3425" w:rsidP="00DF3425">
            <w:pPr>
              <w:pStyle w:val="TableText"/>
              <w:jc w:val="right"/>
            </w:pPr>
            <w:r w:rsidRPr="005B0796">
              <w:rPr>
                <w:rFonts w:eastAsia="Times New Roman"/>
              </w:rPr>
              <w:t>50.3</w:t>
            </w:r>
          </w:p>
        </w:tc>
        <w:tc>
          <w:tcPr>
            <w:tcW w:w="1262" w:type="dxa"/>
          </w:tcPr>
          <w:p w:rsidR="00DF3425" w:rsidRPr="005B0796" w:rsidRDefault="00DF3425" w:rsidP="00DF3425">
            <w:pPr>
              <w:pStyle w:val="TableText"/>
              <w:jc w:val="right"/>
              <w:rPr>
                <w:rFonts w:eastAsia="Times New Roman"/>
              </w:rPr>
            </w:pPr>
            <w:r w:rsidRPr="005B0796">
              <w:rPr>
                <w:rFonts w:eastAsia="Times New Roman"/>
              </w:rPr>
              <w:t>2.0</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48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24</w:t>
            </w:r>
          </w:p>
        </w:tc>
        <w:tc>
          <w:tcPr>
            <w:tcW w:w="1262" w:type="dxa"/>
          </w:tcPr>
          <w:p w:rsidR="00DF3425" w:rsidRPr="005B0796" w:rsidRDefault="00DF3425" w:rsidP="00DF3425">
            <w:pPr>
              <w:pStyle w:val="TableText"/>
              <w:jc w:val="right"/>
              <w:rPr>
                <w:color w:val="000000" w:themeColor="text1"/>
              </w:rPr>
            </w:pPr>
            <w:r w:rsidRPr="005B0796">
              <w:rPr>
                <w:rFonts w:eastAsia="Times New Roman"/>
              </w:rPr>
              <w:t>50.0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2.0</w:t>
            </w:r>
          </w:p>
        </w:tc>
      </w:tr>
      <w:tr w:rsidR="00DF3425" w:rsidRPr="005B0796" w:rsidTr="00DF3425">
        <w:tc>
          <w:tcPr>
            <w:tcW w:w="2268" w:type="dxa"/>
          </w:tcPr>
          <w:p w:rsidR="00DF3425" w:rsidRPr="005B0796" w:rsidRDefault="00DF3425" w:rsidP="00DF3425">
            <w:pPr>
              <w:pStyle w:val="TableText"/>
              <w:rPr>
                <w:rFonts w:eastAsia="Times New Roman"/>
              </w:rPr>
            </w:pPr>
            <w:r w:rsidRPr="005B0796">
              <w:rPr>
                <w:rFonts w:eastAsia="Times New Roman"/>
              </w:rPr>
              <w:t>Female | NCO | unfit | Army</w:t>
            </w:r>
          </w:p>
        </w:tc>
        <w:tc>
          <w:tcPr>
            <w:tcW w:w="1261" w:type="dxa"/>
          </w:tcPr>
          <w:p w:rsidR="00DF3425" w:rsidRPr="005B0796" w:rsidRDefault="00DF3425" w:rsidP="00DF3425">
            <w:pPr>
              <w:pStyle w:val="TableText"/>
              <w:jc w:val="right"/>
              <w:rPr>
                <w:rFonts w:eastAsia="Times New Roman"/>
              </w:rPr>
            </w:pPr>
            <w:r w:rsidRPr="005B0796">
              <w:rPr>
                <w:rFonts w:eastAsia="Times New Roman"/>
              </w:rPr>
              <w:t>50</w:t>
            </w:r>
          </w:p>
        </w:tc>
        <w:tc>
          <w:tcPr>
            <w:tcW w:w="1262" w:type="dxa"/>
          </w:tcPr>
          <w:p w:rsidR="00DF3425" w:rsidRPr="005B0796" w:rsidRDefault="00DF3425" w:rsidP="00DF3425">
            <w:pPr>
              <w:pStyle w:val="TableText"/>
              <w:jc w:val="right"/>
              <w:rPr>
                <w:rFonts w:eastAsia="Times New Roman"/>
              </w:rPr>
            </w:pPr>
            <w:r w:rsidRPr="005B0796">
              <w:rPr>
                <w:rFonts w:eastAsia="Times New Roman"/>
              </w:rPr>
              <w:t>32</w:t>
            </w:r>
          </w:p>
        </w:tc>
        <w:tc>
          <w:tcPr>
            <w:tcW w:w="1262" w:type="dxa"/>
          </w:tcPr>
          <w:p w:rsidR="00DF3425" w:rsidRPr="005B0796" w:rsidRDefault="00DF3425" w:rsidP="00DF3425">
            <w:pPr>
              <w:pStyle w:val="TableText"/>
              <w:jc w:val="right"/>
            </w:pPr>
            <w:r w:rsidRPr="005B0796">
              <w:rPr>
                <w:rFonts w:eastAsia="Times New Roman"/>
              </w:rPr>
              <w:t>64.0</w:t>
            </w:r>
          </w:p>
        </w:tc>
        <w:tc>
          <w:tcPr>
            <w:tcW w:w="1262" w:type="dxa"/>
          </w:tcPr>
          <w:p w:rsidR="00DF3425" w:rsidRPr="005B0796" w:rsidRDefault="00DF3425" w:rsidP="00DF3425">
            <w:pPr>
              <w:pStyle w:val="TableText"/>
              <w:jc w:val="right"/>
              <w:rPr>
                <w:rFonts w:eastAsia="Times New Roman"/>
              </w:rPr>
            </w:pPr>
            <w:r w:rsidRPr="005B0796">
              <w:rPr>
                <w:rFonts w:eastAsia="Times New Roman"/>
              </w:rPr>
              <w:t>1.6</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69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36</w:t>
            </w:r>
          </w:p>
        </w:tc>
        <w:tc>
          <w:tcPr>
            <w:tcW w:w="1262" w:type="dxa"/>
          </w:tcPr>
          <w:p w:rsidR="00DF3425" w:rsidRPr="005B0796" w:rsidRDefault="00DF3425" w:rsidP="00DF3425">
            <w:pPr>
              <w:pStyle w:val="TableText"/>
              <w:jc w:val="right"/>
              <w:rPr>
                <w:color w:val="000000" w:themeColor="text1"/>
              </w:rPr>
            </w:pPr>
            <w:r w:rsidRPr="005B0796">
              <w:rPr>
                <w:rFonts w:eastAsia="Times New Roman"/>
              </w:rPr>
              <w:t>52.2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1.9</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256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39</w:t>
            </w:r>
          </w:p>
        </w:tc>
        <w:tc>
          <w:tcPr>
            <w:tcW w:w="1262" w:type="dxa"/>
          </w:tcPr>
          <w:p w:rsidR="00DF3425" w:rsidRPr="005B0796" w:rsidRDefault="00DF3425" w:rsidP="00DF3425">
            <w:pPr>
              <w:pStyle w:val="TableText"/>
              <w:jc w:val="right"/>
              <w:rPr>
                <w:color w:val="000000" w:themeColor="text1"/>
              </w:rPr>
            </w:pPr>
            <w:r w:rsidRPr="005B0796">
              <w:rPr>
                <w:rFonts w:eastAsia="Times New Roman"/>
              </w:rPr>
              <w:t>15.2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6.6</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271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33</w:t>
            </w:r>
          </w:p>
        </w:tc>
        <w:tc>
          <w:tcPr>
            <w:tcW w:w="1262" w:type="dxa"/>
          </w:tcPr>
          <w:p w:rsidR="00DF3425" w:rsidRPr="005B0796" w:rsidRDefault="00DF3425" w:rsidP="00DF3425">
            <w:pPr>
              <w:pStyle w:val="TableText"/>
              <w:jc w:val="right"/>
              <w:rPr>
                <w:color w:val="000000" w:themeColor="text1"/>
              </w:rPr>
            </w:pPr>
            <w:r w:rsidRPr="005B0796">
              <w:rPr>
                <w:rFonts w:eastAsia="Times New Roman"/>
              </w:rPr>
              <w:t>12.2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8.2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226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58</w:t>
            </w:r>
          </w:p>
        </w:tc>
        <w:tc>
          <w:tcPr>
            <w:tcW w:w="1262" w:type="dxa"/>
          </w:tcPr>
          <w:p w:rsidR="00DF3425" w:rsidRPr="005B0796" w:rsidRDefault="00DF3425" w:rsidP="00DF3425">
            <w:pPr>
              <w:pStyle w:val="TableText"/>
              <w:jc w:val="right"/>
              <w:rPr>
                <w:color w:val="000000" w:themeColor="text1"/>
              </w:rPr>
            </w:pPr>
            <w:r w:rsidRPr="005B0796">
              <w:rPr>
                <w:rFonts w:eastAsia="Times New Roman"/>
              </w:rPr>
              <w:t>25.7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3.9</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59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14</w:t>
            </w:r>
          </w:p>
        </w:tc>
        <w:tc>
          <w:tcPr>
            <w:tcW w:w="1262" w:type="dxa"/>
          </w:tcPr>
          <w:p w:rsidR="00DF3425" w:rsidRPr="005B0796" w:rsidRDefault="00DF3425" w:rsidP="00DF3425">
            <w:pPr>
              <w:pStyle w:val="TableText"/>
              <w:jc w:val="right"/>
              <w:rPr>
                <w:color w:val="000000" w:themeColor="text1"/>
              </w:rPr>
            </w:pPr>
            <w:r w:rsidRPr="005B0796">
              <w:rPr>
                <w:rFonts w:eastAsia="Times New Roman"/>
              </w:rPr>
              <w:t>23.7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4.2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58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14</w:t>
            </w:r>
          </w:p>
        </w:tc>
        <w:tc>
          <w:tcPr>
            <w:tcW w:w="1262" w:type="dxa"/>
          </w:tcPr>
          <w:p w:rsidR="00DF3425" w:rsidRPr="005B0796" w:rsidRDefault="00DF3425" w:rsidP="00DF3425">
            <w:pPr>
              <w:pStyle w:val="TableText"/>
              <w:jc w:val="right"/>
              <w:rPr>
                <w:color w:val="000000" w:themeColor="text1"/>
              </w:rPr>
            </w:pPr>
            <w:r w:rsidRPr="005B0796">
              <w:rPr>
                <w:rFonts w:eastAsia="Times New Roman"/>
              </w:rPr>
              <w:t>24.1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4.1</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Female | Other Rank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55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20</w:t>
            </w:r>
          </w:p>
        </w:tc>
        <w:tc>
          <w:tcPr>
            <w:tcW w:w="1262" w:type="dxa"/>
          </w:tcPr>
          <w:p w:rsidR="00DF3425" w:rsidRPr="005B0796" w:rsidRDefault="00DF3425" w:rsidP="00DF3425">
            <w:pPr>
              <w:pStyle w:val="TableText"/>
              <w:jc w:val="right"/>
              <w:rPr>
                <w:color w:val="000000" w:themeColor="text1"/>
              </w:rPr>
            </w:pPr>
            <w:r w:rsidRPr="005B0796">
              <w:rPr>
                <w:rFonts w:eastAsia="Times New Roman"/>
              </w:rPr>
              <w:t>36.4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2.8</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1450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188</w:t>
            </w:r>
          </w:p>
        </w:tc>
        <w:tc>
          <w:tcPr>
            <w:tcW w:w="1262" w:type="dxa"/>
          </w:tcPr>
          <w:p w:rsidR="00DF3425" w:rsidRPr="005B0796" w:rsidRDefault="00DF3425" w:rsidP="00DF3425">
            <w:pPr>
              <w:pStyle w:val="TableText"/>
              <w:jc w:val="right"/>
              <w:rPr>
                <w:color w:val="000000" w:themeColor="text1"/>
              </w:rPr>
            </w:pPr>
            <w:r w:rsidRPr="005B0796">
              <w:rPr>
                <w:rFonts w:eastAsia="Times New Roman"/>
              </w:rPr>
              <w:t>13.0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7.7</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2977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269</w:t>
            </w:r>
          </w:p>
        </w:tc>
        <w:tc>
          <w:tcPr>
            <w:tcW w:w="1262" w:type="dxa"/>
          </w:tcPr>
          <w:p w:rsidR="00DF3425" w:rsidRPr="005B0796" w:rsidRDefault="00DF3425" w:rsidP="00DF3425">
            <w:pPr>
              <w:pStyle w:val="TableText"/>
              <w:jc w:val="right"/>
              <w:rPr>
                <w:color w:val="000000" w:themeColor="text1"/>
              </w:rPr>
            </w:pPr>
            <w:r w:rsidRPr="005B0796">
              <w:rPr>
                <w:rFonts w:eastAsia="Times New Roman"/>
              </w:rPr>
              <w:t>9.0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11.1</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2098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213</w:t>
            </w:r>
          </w:p>
        </w:tc>
        <w:tc>
          <w:tcPr>
            <w:tcW w:w="1262" w:type="dxa"/>
          </w:tcPr>
          <w:p w:rsidR="00DF3425" w:rsidRPr="005B0796" w:rsidRDefault="00DF3425" w:rsidP="00DF3425">
            <w:pPr>
              <w:pStyle w:val="TableText"/>
              <w:jc w:val="right"/>
              <w:rPr>
                <w:color w:val="000000" w:themeColor="text1"/>
              </w:rPr>
            </w:pPr>
            <w:r w:rsidRPr="005B0796">
              <w:rPr>
                <w:rFonts w:eastAsia="Times New Roman"/>
              </w:rPr>
              <w:t>10.2</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9.8</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95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11</w:t>
            </w:r>
          </w:p>
        </w:tc>
        <w:tc>
          <w:tcPr>
            <w:tcW w:w="1262" w:type="dxa"/>
          </w:tcPr>
          <w:p w:rsidR="00DF3425" w:rsidRPr="005B0796" w:rsidRDefault="00DF3425" w:rsidP="00DF3425">
            <w:pPr>
              <w:pStyle w:val="TableText"/>
              <w:jc w:val="right"/>
              <w:rPr>
                <w:color w:val="000000" w:themeColor="text1"/>
              </w:rPr>
            </w:pPr>
            <w:r w:rsidRPr="005B0796">
              <w:rPr>
                <w:rFonts w:eastAsia="Times New Roman"/>
              </w:rPr>
              <w:t>11.6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8.6</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238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31</w:t>
            </w:r>
          </w:p>
        </w:tc>
        <w:tc>
          <w:tcPr>
            <w:tcW w:w="1262" w:type="dxa"/>
          </w:tcPr>
          <w:p w:rsidR="00DF3425" w:rsidRPr="005B0796" w:rsidRDefault="00DF3425" w:rsidP="00DF3425">
            <w:pPr>
              <w:pStyle w:val="TableText"/>
              <w:jc w:val="right"/>
              <w:rPr>
                <w:color w:val="000000" w:themeColor="text1"/>
              </w:rPr>
            </w:pPr>
            <w:r w:rsidRPr="005B0796">
              <w:rPr>
                <w:rFonts w:eastAsia="Times New Roman"/>
              </w:rPr>
              <w:t>13.0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7.7</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OFFR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157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26</w:t>
            </w:r>
          </w:p>
        </w:tc>
        <w:tc>
          <w:tcPr>
            <w:tcW w:w="1262" w:type="dxa"/>
          </w:tcPr>
          <w:p w:rsidR="00DF3425" w:rsidRPr="005B0796" w:rsidRDefault="00DF3425" w:rsidP="00DF3425">
            <w:pPr>
              <w:pStyle w:val="TableText"/>
              <w:jc w:val="right"/>
              <w:rPr>
                <w:color w:val="000000" w:themeColor="text1"/>
              </w:rPr>
            </w:pPr>
            <w:r w:rsidRPr="005B0796">
              <w:rPr>
                <w:rFonts w:eastAsia="Times New Roman"/>
              </w:rPr>
              <w:t>16.6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6.0</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2257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149</w:t>
            </w:r>
          </w:p>
        </w:tc>
        <w:tc>
          <w:tcPr>
            <w:tcW w:w="1262" w:type="dxa"/>
          </w:tcPr>
          <w:p w:rsidR="00DF3425" w:rsidRPr="005B0796" w:rsidRDefault="00DF3425" w:rsidP="00DF3425">
            <w:pPr>
              <w:pStyle w:val="TableText"/>
              <w:jc w:val="right"/>
              <w:rPr>
                <w:color w:val="000000" w:themeColor="text1"/>
              </w:rPr>
            </w:pPr>
            <w:r w:rsidRPr="005B0796">
              <w:rPr>
                <w:rFonts w:eastAsia="Times New Roman"/>
              </w:rPr>
              <w:t>6.6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15.1</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3447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311</w:t>
            </w:r>
          </w:p>
        </w:tc>
        <w:tc>
          <w:tcPr>
            <w:tcW w:w="1262" w:type="dxa"/>
          </w:tcPr>
          <w:p w:rsidR="00DF3425" w:rsidRPr="005B0796" w:rsidRDefault="00DF3425" w:rsidP="00DF3425">
            <w:pPr>
              <w:pStyle w:val="TableText"/>
              <w:jc w:val="right"/>
              <w:rPr>
                <w:color w:val="000000" w:themeColor="text1"/>
              </w:rPr>
            </w:pPr>
            <w:r w:rsidRPr="005B0796">
              <w:rPr>
                <w:rFonts w:eastAsia="Times New Roman"/>
              </w:rPr>
              <w:t>9.0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11.1</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1866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268</w:t>
            </w:r>
          </w:p>
        </w:tc>
        <w:tc>
          <w:tcPr>
            <w:tcW w:w="1262" w:type="dxa"/>
          </w:tcPr>
          <w:p w:rsidR="00DF3425" w:rsidRPr="005B0796" w:rsidRDefault="00DF3425" w:rsidP="00DF3425">
            <w:pPr>
              <w:pStyle w:val="TableText"/>
              <w:jc w:val="right"/>
              <w:rPr>
                <w:color w:val="000000" w:themeColor="text1"/>
              </w:rPr>
            </w:pPr>
            <w:r w:rsidRPr="005B0796">
              <w:rPr>
                <w:rFonts w:eastAsia="Times New Roman"/>
              </w:rPr>
              <w:t>14.4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7.0</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rsidR="00DF3425" w:rsidRPr="005B0796" w:rsidRDefault="00DF3425" w:rsidP="00DF3425">
            <w:pPr>
              <w:pStyle w:val="TableText"/>
              <w:jc w:val="right"/>
              <w:rPr>
                <w:rFonts w:eastAsia="Times New Roman"/>
                <w:color w:val="000000" w:themeColor="text1"/>
                <w:lang w:eastAsia="en-GB"/>
              </w:rPr>
            </w:pPr>
            <w:r w:rsidRPr="005B0796">
              <w:rPr>
                <w:rFonts w:eastAsia="Times New Roman"/>
              </w:rPr>
              <w:t>334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23</w:t>
            </w:r>
          </w:p>
        </w:tc>
        <w:tc>
          <w:tcPr>
            <w:tcW w:w="1262" w:type="dxa"/>
          </w:tcPr>
          <w:p w:rsidR="00DF3425" w:rsidRPr="005B0796" w:rsidRDefault="00DF3425" w:rsidP="00DF3425">
            <w:pPr>
              <w:pStyle w:val="TableText"/>
              <w:jc w:val="right"/>
              <w:rPr>
                <w:color w:val="000000" w:themeColor="text1"/>
              </w:rPr>
            </w:pPr>
            <w:r w:rsidRPr="005B0796">
              <w:rPr>
                <w:rFonts w:eastAsia="Times New Roman"/>
              </w:rPr>
              <w:t>6.9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14.5</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575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59</w:t>
            </w:r>
          </w:p>
        </w:tc>
        <w:tc>
          <w:tcPr>
            <w:tcW w:w="1262" w:type="dxa"/>
          </w:tcPr>
          <w:p w:rsidR="00DF3425" w:rsidRPr="005B0796" w:rsidRDefault="00DF3425" w:rsidP="00DF3425">
            <w:pPr>
              <w:pStyle w:val="TableText"/>
              <w:jc w:val="right"/>
              <w:rPr>
                <w:color w:val="000000" w:themeColor="text1"/>
              </w:rPr>
            </w:pPr>
            <w:r w:rsidRPr="005B0796">
              <w:rPr>
                <w:rFonts w:eastAsia="Times New Roman"/>
              </w:rPr>
              <w:t>10.3</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9.7</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257</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28</w:t>
            </w:r>
          </w:p>
        </w:tc>
        <w:tc>
          <w:tcPr>
            <w:tcW w:w="1262" w:type="dxa"/>
          </w:tcPr>
          <w:p w:rsidR="00DF3425" w:rsidRPr="005B0796" w:rsidRDefault="00DF3425" w:rsidP="00DF3425">
            <w:pPr>
              <w:pStyle w:val="TableText"/>
              <w:jc w:val="right"/>
              <w:rPr>
                <w:color w:val="000000" w:themeColor="text1"/>
              </w:rPr>
            </w:pPr>
            <w:r w:rsidRPr="005B0796">
              <w:rPr>
                <w:rFonts w:eastAsia="Times New Roman"/>
              </w:rPr>
              <w:t>10.9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9.2</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4451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28</w:t>
            </w:r>
          </w:p>
        </w:tc>
        <w:tc>
          <w:tcPr>
            <w:tcW w:w="1262" w:type="dxa"/>
          </w:tcPr>
          <w:p w:rsidR="00DF3425" w:rsidRPr="005B0796" w:rsidRDefault="00DF3425" w:rsidP="00DF3425">
            <w:pPr>
              <w:pStyle w:val="TableText"/>
              <w:jc w:val="right"/>
              <w:rPr>
                <w:color w:val="000000" w:themeColor="text1"/>
              </w:rPr>
            </w:pPr>
            <w:r w:rsidRPr="005B0796">
              <w:rPr>
                <w:rFonts w:eastAsia="Times New Roman"/>
              </w:rPr>
              <w:t>0.6</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159.0</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10074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43</w:t>
            </w:r>
          </w:p>
        </w:tc>
        <w:tc>
          <w:tcPr>
            <w:tcW w:w="1262" w:type="dxa"/>
          </w:tcPr>
          <w:p w:rsidR="00DF3425" w:rsidRPr="005B0796" w:rsidRDefault="00DF3425" w:rsidP="00DF3425">
            <w:pPr>
              <w:pStyle w:val="TableText"/>
              <w:jc w:val="right"/>
              <w:rPr>
                <w:color w:val="000000" w:themeColor="text1"/>
              </w:rPr>
            </w:pPr>
            <w:r w:rsidRPr="005B0796">
              <w:rPr>
                <w:rFonts w:eastAsia="Times New Roman"/>
              </w:rPr>
              <w:t>0.4</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234.3</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2659</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47</w:t>
            </w:r>
          </w:p>
        </w:tc>
        <w:tc>
          <w:tcPr>
            <w:tcW w:w="1262" w:type="dxa"/>
          </w:tcPr>
          <w:p w:rsidR="00DF3425" w:rsidRPr="005B0796" w:rsidRDefault="00DF3425" w:rsidP="00DF3425">
            <w:pPr>
              <w:pStyle w:val="TableText"/>
              <w:jc w:val="right"/>
              <w:rPr>
                <w:color w:val="000000" w:themeColor="text1"/>
              </w:rPr>
            </w:pPr>
            <w:r w:rsidRPr="005B0796">
              <w:rPr>
                <w:rFonts w:eastAsia="Times New Roman"/>
              </w:rPr>
              <w:t>1.8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56.6</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unfit | Navy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491</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4</w:t>
            </w:r>
          </w:p>
        </w:tc>
        <w:tc>
          <w:tcPr>
            <w:tcW w:w="1262" w:type="dxa"/>
          </w:tcPr>
          <w:p w:rsidR="00DF3425" w:rsidRPr="005B0796" w:rsidRDefault="00DF3425" w:rsidP="00DF3425">
            <w:pPr>
              <w:pStyle w:val="TableText"/>
              <w:jc w:val="right"/>
              <w:rPr>
                <w:color w:val="000000" w:themeColor="text1"/>
              </w:rPr>
            </w:pPr>
            <w:r w:rsidRPr="005B0796">
              <w:rPr>
                <w:rFonts w:eastAsia="Times New Roman"/>
              </w:rPr>
              <w:t>0.8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122.8</w:t>
            </w:r>
          </w:p>
        </w:tc>
      </w:tr>
      <w:tr w:rsidR="00DF3425" w:rsidRPr="005B0796" w:rsidTr="00DF3425">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1375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14</w:t>
            </w:r>
          </w:p>
        </w:tc>
        <w:tc>
          <w:tcPr>
            <w:tcW w:w="1262" w:type="dxa"/>
          </w:tcPr>
          <w:p w:rsidR="00DF3425" w:rsidRPr="005B0796" w:rsidRDefault="00DF3425" w:rsidP="00DF3425">
            <w:pPr>
              <w:pStyle w:val="TableText"/>
              <w:jc w:val="right"/>
              <w:rPr>
                <w:color w:val="000000" w:themeColor="text1"/>
              </w:rPr>
            </w:pPr>
            <w:r w:rsidRPr="005B0796">
              <w:rPr>
                <w:rFonts w:eastAsia="Times New Roman"/>
              </w:rPr>
              <w:t>1.0</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98.2</w:t>
            </w:r>
          </w:p>
        </w:tc>
      </w:tr>
      <w:tr w:rsidR="00DF3425" w:rsidRPr="005B0796" w:rsidTr="00DF3425">
        <w:trPr>
          <w:cnfStyle w:val="000000100000" w:firstRow="0" w:lastRow="0" w:firstColumn="0" w:lastColumn="0" w:oddVBand="0" w:evenVBand="0" w:oddHBand="1" w:evenHBand="0" w:firstRowFirstColumn="0" w:firstRowLastColumn="0" w:lastRowFirstColumn="0" w:lastRowLastColumn="0"/>
        </w:trPr>
        <w:tc>
          <w:tcPr>
            <w:tcW w:w="2268" w:type="dxa"/>
          </w:tcPr>
          <w:p w:rsidR="00DF3425" w:rsidRPr="005B0796" w:rsidRDefault="00DF3425" w:rsidP="00DF3425">
            <w:pPr>
              <w:pStyle w:val="TableText"/>
              <w:rPr>
                <w:rFonts w:eastAsia="Times New Roman"/>
                <w:color w:val="000000" w:themeColor="text1"/>
              </w:rPr>
            </w:pPr>
            <w:r w:rsidRPr="005B0796">
              <w:rPr>
                <w:rFonts w:eastAsia="Times New Roman"/>
                <w:color w:val="000000" w:themeColor="text1"/>
              </w:rPr>
              <w:t>Male | Other | unfit | Air Force</w:t>
            </w:r>
          </w:p>
        </w:tc>
        <w:tc>
          <w:tcPr>
            <w:tcW w:w="1261" w:type="dxa"/>
          </w:tcPr>
          <w:p w:rsidR="00DF3425" w:rsidRPr="005B0796" w:rsidRDefault="00DF3425" w:rsidP="00DF3425">
            <w:pPr>
              <w:pStyle w:val="TableText"/>
              <w:jc w:val="right"/>
              <w:rPr>
                <w:rFonts w:eastAsia="Times New Roman"/>
                <w:color w:val="000000" w:themeColor="text1"/>
              </w:rPr>
            </w:pPr>
            <w:r w:rsidRPr="005B0796">
              <w:rPr>
                <w:rFonts w:eastAsia="Times New Roman"/>
              </w:rPr>
              <w:t>268</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12</w:t>
            </w:r>
          </w:p>
        </w:tc>
        <w:tc>
          <w:tcPr>
            <w:tcW w:w="1262" w:type="dxa"/>
          </w:tcPr>
          <w:p w:rsidR="00DF3425" w:rsidRPr="005B0796" w:rsidRDefault="00DF3425" w:rsidP="00DF3425">
            <w:pPr>
              <w:pStyle w:val="TableText"/>
              <w:jc w:val="right"/>
              <w:rPr>
                <w:color w:val="000000" w:themeColor="text1"/>
              </w:rPr>
            </w:pPr>
            <w:r w:rsidRPr="005B0796">
              <w:rPr>
                <w:rFonts w:eastAsia="Times New Roman"/>
              </w:rPr>
              <w:t>4.5</w:t>
            </w:r>
          </w:p>
        </w:tc>
        <w:tc>
          <w:tcPr>
            <w:tcW w:w="1262" w:type="dxa"/>
          </w:tcPr>
          <w:p w:rsidR="00DF3425" w:rsidRPr="005B0796" w:rsidRDefault="00DF3425" w:rsidP="00DF3425">
            <w:pPr>
              <w:pStyle w:val="TableText"/>
              <w:jc w:val="right"/>
              <w:rPr>
                <w:rFonts w:eastAsia="Times New Roman"/>
                <w:color w:val="000000" w:themeColor="text1"/>
              </w:rPr>
            </w:pPr>
            <w:r w:rsidRPr="005B0796">
              <w:rPr>
                <w:rFonts w:eastAsia="Times New Roman"/>
              </w:rPr>
              <w:t>22.3</w:t>
            </w:r>
          </w:p>
        </w:tc>
      </w:tr>
    </w:tbl>
    <w:p w:rsidR="00A64C3D" w:rsidRPr="005B0796" w:rsidRDefault="00A64C3D" w:rsidP="00DF3425">
      <w:pPr>
        <w:pStyle w:val="TableNotes"/>
      </w:pPr>
    </w:p>
    <w:p w:rsidR="00395119" w:rsidRPr="005B0796" w:rsidRDefault="00395119" w:rsidP="00395119">
      <w:pPr>
        <w:pStyle w:val="TableName"/>
      </w:pPr>
      <w:bookmarkStart w:id="1661" w:name="_Toc511900515"/>
      <w:r w:rsidRPr="005B0796">
        <w:t>Table B.16</w:t>
      </w:r>
      <w:r w:rsidRPr="005B0796">
        <w:tab/>
        <w:t>Strata description Transitioned ADF</w:t>
      </w:r>
      <w:bookmarkEnd w:id="1661"/>
    </w:p>
    <w:tbl>
      <w:tblPr>
        <w:tblStyle w:val="TWRPTable"/>
        <w:tblW w:w="5000" w:type="pct"/>
        <w:tblLayout w:type="fixed"/>
        <w:tblLook w:val="04A0" w:firstRow="1" w:lastRow="0" w:firstColumn="1" w:lastColumn="0" w:noHBand="0" w:noVBand="1"/>
        <w:tblDescription w:val="Table B.16 Strata description Transitioned ADF"/>
      </w:tblPr>
      <w:tblGrid>
        <w:gridCol w:w="2268"/>
        <w:gridCol w:w="1261"/>
        <w:gridCol w:w="1262"/>
        <w:gridCol w:w="1262"/>
        <w:gridCol w:w="1262"/>
      </w:tblGrid>
      <w:tr w:rsidR="00A64C3D" w:rsidRPr="005B0796" w:rsidTr="00A64C3D">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rsidR="00A64C3D" w:rsidRPr="005B0796" w:rsidRDefault="00A64C3D" w:rsidP="00A64C3D">
            <w:pPr>
              <w:pStyle w:val="TableText"/>
            </w:pPr>
            <w:r w:rsidRPr="005B0796">
              <w:t>Strata</w:t>
            </w:r>
            <w:r w:rsidRPr="005B0796">
              <w:br/>
            </w:r>
            <w:r w:rsidRPr="005B0796">
              <w:rPr>
                <w:rFonts w:eastAsia="Times New Roman"/>
              </w:rPr>
              <w:t>Sex | Rank | Medical fitness | Service</w:t>
            </w:r>
          </w:p>
        </w:tc>
        <w:tc>
          <w:tcPr>
            <w:tcW w:w="5047" w:type="dxa"/>
            <w:gridSpan w:val="4"/>
          </w:tcPr>
          <w:p w:rsidR="00A64C3D" w:rsidRPr="005B0796" w:rsidRDefault="00A64C3D" w:rsidP="00A64C3D">
            <w:pPr>
              <w:pStyle w:val="TableText"/>
              <w:jc w:val="center"/>
            </w:pPr>
            <w:r w:rsidRPr="005B0796">
              <w:rPr>
                <w:color w:val="000000" w:themeColor="text1"/>
              </w:rPr>
              <w:t>Transitioned ADF</w:t>
            </w:r>
          </w:p>
        </w:tc>
      </w:tr>
      <w:tr w:rsidR="00A64C3D" w:rsidRPr="005B0796" w:rsidTr="00A64C3D">
        <w:trPr>
          <w:cnfStyle w:val="100000000000" w:firstRow="1" w:lastRow="0" w:firstColumn="0" w:lastColumn="0" w:oddVBand="0" w:evenVBand="0" w:oddHBand="0" w:evenHBand="0" w:firstRowFirstColumn="0" w:firstRowLastColumn="0" w:lastRowFirstColumn="0" w:lastRowLastColumn="0"/>
          <w:tblHeader/>
        </w:trPr>
        <w:tc>
          <w:tcPr>
            <w:tcW w:w="2268" w:type="dxa"/>
            <w:vMerge/>
          </w:tcPr>
          <w:p w:rsidR="00A64C3D" w:rsidRPr="005B0796" w:rsidRDefault="00A64C3D" w:rsidP="00A64C3D">
            <w:pPr>
              <w:pStyle w:val="TableText"/>
            </w:pPr>
          </w:p>
        </w:tc>
        <w:tc>
          <w:tcPr>
            <w:tcW w:w="1261" w:type="dxa"/>
          </w:tcPr>
          <w:p w:rsidR="00A64C3D" w:rsidRPr="005B0796" w:rsidRDefault="00A64C3D" w:rsidP="00A64C3D">
            <w:pPr>
              <w:pStyle w:val="TableText"/>
              <w:jc w:val="right"/>
            </w:pPr>
            <w:r w:rsidRPr="005B0796">
              <w:t>Population</w:t>
            </w:r>
          </w:p>
        </w:tc>
        <w:tc>
          <w:tcPr>
            <w:tcW w:w="1262" w:type="dxa"/>
          </w:tcPr>
          <w:p w:rsidR="00A64C3D" w:rsidRPr="005B0796" w:rsidRDefault="00A64C3D" w:rsidP="00A64C3D">
            <w:pPr>
              <w:pStyle w:val="TableText"/>
              <w:jc w:val="right"/>
            </w:pPr>
            <w:r w:rsidRPr="005B0796">
              <w:t>Responder</w:t>
            </w:r>
          </w:p>
        </w:tc>
        <w:tc>
          <w:tcPr>
            <w:tcW w:w="1262" w:type="dxa"/>
          </w:tcPr>
          <w:p w:rsidR="00A64C3D" w:rsidRPr="005B0796" w:rsidRDefault="00A64C3D" w:rsidP="00A64C3D">
            <w:pPr>
              <w:pStyle w:val="TableText"/>
              <w:jc w:val="right"/>
            </w:pPr>
            <w:r w:rsidRPr="005B0796">
              <w:t>%</w:t>
            </w:r>
          </w:p>
        </w:tc>
        <w:tc>
          <w:tcPr>
            <w:tcW w:w="1262" w:type="dxa"/>
          </w:tcPr>
          <w:p w:rsidR="00A64C3D" w:rsidRPr="005B0796" w:rsidRDefault="00A64C3D" w:rsidP="00A64C3D">
            <w:pPr>
              <w:pStyle w:val="TableText"/>
              <w:jc w:val="right"/>
            </w:pPr>
            <w:r w:rsidRPr="005B0796">
              <w:t>No. of persons in population each responder represents</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rPr>
            </w:pPr>
            <w:r w:rsidRPr="005B0796">
              <w:rPr>
                <w:rFonts w:eastAsia="Times New Roman"/>
              </w:rPr>
              <w:t>Female | OFFR | fit | Navy</w:t>
            </w:r>
          </w:p>
        </w:tc>
        <w:tc>
          <w:tcPr>
            <w:tcW w:w="1261" w:type="dxa"/>
          </w:tcPr>
          <w:p w:rsidR="00A64C3D" w:rsidRPr="005B0796" w:rsidRDefault="00A64C3D" w:rsidP="00A64C3D">
            <w:pPr>
              <w:pStyle w:val="TableText"/>
              <w:jc w:val="right"/>
              <w:rPr>
                <w:rFonts w:eastAsia="Times New Roman"/>
              </w:rPr>
            </w:pPr>
            <w:r w:rsidRPr="005B0796">
              <w:rPr>
                <w:rFonts w:eastAsia="Times New Roman"/>
              </w:rPr>
              <w:t>122</w:t>
            </w:r>
          </w:p>
        </w:tc>
        <w:tc>
          <w:tcPr>
            <w:tcW w:w="1262" w:type="dxa"/>
          </w:tcPr>
          <w:p w:rsidR="00A64C3D" w:rsidRPr="005B0796" w:rsidRDefault="00A64C3D" w:rsidP="00A64C3D">
            <w:pPr>
              <w:pStyle w:val="TableText"/>
              <w:jc w:val="right"/>
              <w:rPr>
                <w:rFonts w:eastAsia="Times New Roman"/>
              </w:rPr>
            </w:pPr>
            <w:r w:rsidRPr="005B0796">
              <w:rPr>
                <w:rFonts w:eastAsia="Times New Roman"/>
              </w:rPr>
              <w:t>32</w:t>
            </w:r>
          </w:p>
        </w:tc>
        <w:tc>
          <w:tcPr>
            <w:tcW w:w="1262" w:type="dxa"/>
          </w:tcPr>
          <w:p w:rsidR="00A64C3D" w:rsidRPr="005B0796" w:rsidRDefault="00A64C3D" w:rsidP="00A64C3D">
            <w:pPr>
              <w:pStyle w:val="TableText"/>
              <w:jc w:val="right"/>
            </w:pPr>
            <w:r w:rsidRPr="005B0796">
              <w:rPr>
                <w:rFonts w:eastAsia="Times New Roman"/>
              </w:rPr>
              <w:t>26.2</w:t>
            </w:r>
          </w:p>
        </w:tc>
        <w:tc>
          <w:tcPr>
            <w:tcW w:w="1262" w:type="dxa"/>
          </w:tcPr>
          <w:p w:rsidR="00A64C3D" w:rsidRPr="005B0796" w:rsidRDefault="00A64C3D" w:rsidP="00A64C3D">
            <w:pPr>
              <w:pStyle w:val="TableText"/>
              <w:jc w:val="right"/>
              <w:rPr>
                <w:rFonts w:eastAsia="Times New Roman"/>
              </w:rPr>
            </w:pPr>
            <w:r w:rsidRPr="005B0796">
              <w:rPr>
                <w:rFonts w:eastAsia="Times New Roman"/>
              </w:rPr>
              <w:t>3.8</w:t>
            </w:r>
          </w:p>
        </w:tc>
      </w:tr>
      <w:tr w:rsidR="00A64C3D" w:rsidRPr="005B0796" w:rsidTr="00A64C3D">
        <w:tc>
          <w:tcPr>
            <w:tcW w:w="2268" w:type="dxa"/>
          </w:tcPr>
          <w:p w:rsidR="00A64C3D" w:rsidRPr="005B0796" w:rsidRDefault="00A64C3D" w:rsidP="00A64C3D">
            <w:pPr>
              <w:pStyle w:val="TableText"/>
              <w:rPr>
                <w:rFonts w:eastAsia="Times New Roman"/>
                <w:lang w:eastAsia="en-GB"/>
              </w:rPr>
            </w:pPr>
            <w:r w:rsidRPr="005B0796">
              <w:rPr>
                <w:rFonts w:eastAsia="Times New Roman"/>
              </w:rPr>
              <w:t>Female | OFFR | fit | Army</w:t>
            </w:r>
          </w:p>
        </w:tc>
        <w:tc>
          <w:tcPr>
            <w:tcW w:w="1261" w:type="dxa"/>
          </w:tcPr>
          <w:p w:rsidR="00A64C3D" w:rsidRPr="005B0796" w:rsidRDefault="00A64C3D" w:rsidP="00A64C3D">
            <w:pPr>
              <w:pStyle w:val="TableText"/>
              <w:jc w:val="right"/>
              <w:rPr>
                <w:rFonts w:eastAsia="Times New Roman"/>
                <w:lang w:eastAsia="en-GB"/>
              </w:rPr>
            </w:pPr>
            <w:r w:rsidRPr="005B0796">
              <w:rPr>
                <w:rFonts w:eastAsia="Times New Roman"/>
              </w:rPr>
              <w:t>224</w:t>
            </w:r>
          </w:p>
        </w:tc>
        <w:tc>
          <w:tcPr>
            <w:tcW w:w="1262" w:type="dxa"/>
          </w:tcPr>
          <w:p w:rsidR="00A64C3D" w:rsidRPr="005B0796" w:rsidRDefault="00A64C3D" w:rsidP="00A64C3D">
            <w:pPr>
              <w:pStyle w:val="TableText"/>
              <w:jc w:val="right"/>
              <w:rPr>
                <w:rFonts w:eastAsia="Times New Roman"/>
              </w:rPr>
            </w:pPr>
            <w:r w:rsidRPr="005B0796">
              <w:rPr>
                <w:rFonts w:eastAsia="Times New Roman"/>
              </w:rPr>
              <w:t>68</w:t>
            </w:r>
          </w:p>
        </w:tc>
        <w:tc>
          <w:tcPr>
            <w:tcW w:w="1262" w:type="dxa"/>
          </w:tcPr>
          <w:p w:rsidR="00A64C3D" w:rsidRPr="005B0796" w:rsidRDefault="00A64C3D" w:rsidP="00A64C3D">
            <w:pPr>
              <w:pStyle w:val="TableText"/>
              <w:jc w:val="right"/>
            </w:pPr>
            <w:r w:rsidRPr="005B0796">
              <w:rPr>
                <w:rFonts w:eastAsia="Times New Roman"/>
              </w:rPr>
              <w:t>30.4</w:t>
            </w:r>
          </w:p>
        </w:tc>
        <w:tc>
          <w:tcPr>
            <w:tcW w:w="1262" w:type="dxa"/>
          </w:tcPr>
          <w:p w:rsidR="00A64C3D" w:rsidRPr="005B0796" w:rsidRDefault="00A64C3D" w:rsidP="00A64C3D">
            <w:pPr>
              <w:pStyle w:val="TableText"/>
              <w:jc w:val="right"/>
              <w:rPr>
                <w:rFonts w:eastAsia="Times New Roman"/>
              </w:rPr>
            </w:pPr>
            <w:r w:rsidRPr="005B0796">
              <w:rPr>
                <w:rFonts w:eastAsia="Times New Roman"/>
              </w:rPr>
              <w:t>3.3</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rPr>
            </w:pPr>
            <w:r w:rsidRPr="005B0796">
              <w:rPr>
                <w:rFonts w:eastAsia="Times New Roman"/>
              </w:rPr>
              <w:t>Female | OFFR | fit | Air Force</w:t>
            </w:r>
          </w:p>
        </w:tc>
        <w:tc>
          <w:tcPr>
            <w:tcW w:w="1261" w:type="dxa"/>
          </w:tcPr>
          <w:p w:rsidR="00A64C3D" w:rsidRPr="005B0796" w:rsidRDefault="00A64C3D" w:rsidP="00A64C3D">
            <w:pPr>
              <w:pStyle w:val="TableText"/>
              <w:jc w:val="right"/>
              <w:rPr>
                <w:rFonts w:eastAsia="Times New Roman"/>
              </w:rPr>
            </w:pPr>
            <w:r w:rsidRPr="005B0796">
              <w:rPr>
                <w:rFonts w:eastAsia="Times New Roman"/>
              </w:rPr>
              <w:t>133</w:t>
            </w:r>
          </w:p>
        </w:tc>
        <w:tc>
          <w:tcPr>
            <w:tcW w:w="1262" w:type="dxa"/>
          </w:tcPr>
          <w:p w:rsidR="00A64C3D" w:rsidRPr="005B0796" w:rsidRDefault="00A64C3D" w:rsidP="00A64C3D">
            <w:pPr>
              <w:pStyle w:val="TableText"/>
              <w:jc w:val="right"/>
              <w:rPr>
                <w:rFonts w:eastAsia="Times New Roman"/>
              </w:rPr>
            </w:pPr>
            <w:r w:rsidRPr="005B0796">
              <w:rPr>
                <w:rFonts w:eastAsia="Times New Roman"/>
              </w:rPr>
              <w:t>41</w:t>
            </w:r>
          </w:p>
        </w:tc>
        <w:tc>
          <w:tcPr>
            <w:tcW w:w="1262" w:type="dxa"/>
          </w:tcPr>
          <w:p w:rsidR="00A64C3D" w:rsidRPr="005B0796" w:rsidRDefault="00A64C3D" w:rsidP="00A64C3D">
            <w:pPr>
              <w:pStyle w:val="TableText"/>
              <w:jc w:val="right"/>
            </w:pPr>
            <w:r w:rsidRPr="005B0796">
              <w:rPr>
                <w:rFonts w:eastAsia="Times New Roman"/>
              </w:rPr>
              <w:t>30.8</w:t>
            </w:r>
          </w:p>
        </w:tc>
        <w:tc>
          <w:tcPr>
            <w:tcW w:w="1262" w:type="dxa"/>
          </w:tcPr>
          <w:p w:rsidR="00A64C3D" w:rsidRPr="005B0796" w:rsidRDefault="00A64C3D" w:rsidP="00A64C3D">
            <w:pPr>
              <w:pStyle w:val="TableText"/>
              <w:jc w:val="right"/>
              <w:rPr>
                <w:rFonts w:eastAsia="Times New Roman"/>
              </w:rPr>
            </w:pPr>
            <w:r w:rsidRPr="005B0796">
              <w:rPr>
                <w:rFonts w:eastAsia="Times New Roman"/>
              </w:rPr>
              <w:t>3.2</w:t>
            </w:r>
          </w:p>
        </w:tc>
      </w:tr>
      <w:tr w:rsidR="00A64C3D" w:rsidRPr="005B0796" w:rsidTr="00A64C3D">
        <w:tc>
          <w:tcPr>
            <w:tcW w:w="2268" w:type="dxa"/>
          </w:tcPr>
          <w:p w:rsidR="00A64C3D" w:rsidRPr="005B0796" w:rsidRDefault="00A64C3D" w:rsidP="00A64C3D">
            <w:pPr>
              <w:pStyle w:val="TableText"/>
              <w:rPr>
                <w:rFonts w:eastAsia="Times New Roman"/>
              </w:rPr>
            </w:pPr>
            <w:r w:rsidRPr="005B0796">
              <w:rPr>
                <w:rFonts w:eastAsia="Times New Roman"/>
              </w:rPr>
              <w:t>Female | OFFR | unfit | Navy</w:t>
            </w:r>
          </w:p>
        </w:tc>
        <w:tc>
          <w:tcPr>
            <w:tcW w:w="1261" w:type="dxa"/>
          </w:tcPr>
          <w:p w:rsidR="00A64C3D" w:rsidRPr="005B0796" w:rsidRDefault="00A64C3D" w:rsidP="00A64C3D">
            <w:pPr>
              <w:pStyle w:val="TableText"/>
              <w:jc w:val="right"/>
              <w:rPr>
                <w:rFonts w:eastAsia="Times New Roman"/>
              </w:rPr>
            </w:pPr>
            <w:r w:rsidRPr="005B0796">
              <w:rPr>
                <w:rFonts w:eastAsia="Times New Roman"/>
              </w:rPr>
              <w:t>63</w:t>
            </w:r>
          </w:p>
        </w:tc>
        <w:tc>
          <w:tcPr>
            <w:tcW w:w="1262" w:type="dxa"/>
          </w:tcPr>
          <w:p w:rsidR="00A64C3D" w:rsidRPr="005B0796" w:rsidRDefault="00A64C3D" w:rsidP="00A64C3D">
            <w:pPr>
              <w:pStyle w:val="TableText"/>
              <w:jc w:val="right"/>
              <w:rPr>
                <w:rFonts w:eastAsia="Times New Roman"/>
              </w:rPr>
            </w:pPr>
            <w:r w:rsidRPr="005B0796">
              <w:rPr>
                <w:rFonts w:eastAsia="Times New Roman"/>
              </w:rPr>
              <w:t>21</w:t>
            </w:r>
          </w:p>
        </w:tc>
        <w:tc>
          <w:tcPr>
            <w:tcW w:w="1262" w:type="dxa"/>
          </w:tcPr>
          <w:p w:rsidR="00A64C3D" w:rsidRPr="005B0796" w:rsidRDefault="00A64C3D" w:rsidP="00A64C3D">
            <w:pPr>
              <w:pStyle w:val="TableText"/>
              <w:jc w:val="right"/>
            </w:pPr>
            <w:r w:rsidRPr="005B0796">
              <w:rPr>
                <w:rFonts w:eastAsia="Times New Roman"/>
              </w:rPr>
              <w:t>33.3</w:t>
            </w:r>
          </w:p>
        </w:tc>
        <w:tc>
          <w:tcPr>
            <w:tcW w:w="1262" w:type="dxa"/>
          </w:tcPr>
          <w:p w:rsidR="00A64C3D" w:rsidRPr="005B0796" w:rsidRDefault="00A64C3D" w:rsidP="00A64C3D">
            <w:pPr>
              <w:pStyle w:val="TableText"/>
              <w:jc w:val="right"/>
              <w:rPr>
                <w:rFonts w:eastAsia="Times New Roman"/>
              </w:rPr>
            </w:pPr>
            <w:r w:rsidRPr="005B0796">
              <w:rPr>
                <w:rFonts w:eastAsia="Times New Roman"/>
              </w:rPr>
              <w:t>3.0</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rPr>
            </w:pPr>
            <w:r w:rsidRPr="005B0796">
              <w:rPr>
                <w:rFonts w:eastAsia="Times New Roman"/>
              </w:rPr>
              <w:t>Female | OFFR | unfit | Army</w:t>
            </w:r>
          </w:p>
        </w:tc>
        <w:tc>
          <w:tcPr>
            <w:tcW w:w="1261" w:type="dxa"/>
          </w:tcPr>
          <w:p w:rsidR="00A64C3D" w:rsidRPr="005B0796" w:rsidRDefault="00A64C3D" w:rsidP="00A64C3D">
            <w:pPr>
              <w:pStyle w:val="TableText"/>
              <w:jc w:val="right"/>
              <w:rPr>
                <w:rFonts w:eastAsia="Times New Roman"/>
              </w:rPr>
            </w:pPr>
            <w:r w:rsidRPr="005B0796">
              <w:rPr>
                <w:rFonts w:eastAsia="Times New Roman"/>
              </w:rPr>
              <w:t>90</w:t>
            </w:r>
          </w:p>
        </w:tc>
        <w:tc>
          <w:tcPr>
            <w:tcW w:w="1262" w:type="dxa"/>
          </w:tcPr>
          <w:p w:rsidR="00A64C3D" w:rsidRPr="005B0796" w:rsidRDefault="00A64C3D" w:rsidP="00A64C3D">
            <w:pPr>
              <w:pStyle w:val="TableText"/>
              <w:jc w:val="right"/>
              <w:rPr>
                <w:rFonts w:eastAsia="Times New Roman"/>
              </w:rPr>
            </w:pPr>
            <w:r w:rsidRPr="005B0796">
              <w:rPr>
                <w:rFonts w:eastAsia="Times New Roman"/>
              </w:rPr>
              <w:t>31</w:t>
            </w:r>
          </w:p>
        </w:tc>
        <w:tc>
          <w:tcPr>
            <w:tcW w:w="1262" w:type="dxa"/>
          </w:tcPr>
          <w:p w:rsidR="00A64C3D" w:rsidRPr="005B0796" w:rsidRDefault="00A64C3D" w:rsidP="00A64C3D">
            <w:pPr>
              <w:pStyle w:val="TableText"/>
              <w:jc w:val="right"/>
            </w:pPr>
            <w:r w:rsidRPr="005B0796">
              <w:rPr>
                <w:rFonts w:eastAsia="Times New Roman"/>
              </w:rPr>
              <w:t>34.4</w:t>
            </w:r>
          </w:p>
        </w:tc>
        <w:tc>
          <w:tcPr>
            <w:tcW w:w="1262" w:type="dxa"/>
          </w:tcPr>
          <w:p w:rsidR="00A64C3D" w:rsidRPr="005B0796" w:rsidRDefault="00A64C3D" w:rsidP="00A64C3D">
            <w:pPr>
              <w:pStyle w:val="TableText"/>
              <w:jc w:val="right"/>
              <w:rPr>
                <w:rFonts w:eastAsia="Times New Roman"/>
              </w:rPr>
            </w:pPr>
            <w:r w:rsidRPr="005B0796">
              <w:rPr>
                <w:rFonts w:eastAsia="Times New Roman"/>
              </w:rPr>
              <w:t>2.9</w:t>
            </w:r>
          </w:p>
        </w:tc>
      </w:tr>
      <w:tr w:rsidR="00A64C3D" w:rsidRPr="005B0796" w:rsidTr="00A64C3D">
        <w:tc>
          <w:tcPr>
            <w:tcW w:w="2268" w:type="dxa"/>
          </w:tcPr>
          <w:p w:rsidR="00A64C3D" w:rsidRPr="005B0796" w:rsidRDefault="00A64C3D" w:rsidP="00A64C3D">
            <w:pPr>
              <w:pStyle w:val="TableText"/>
              <w:rPr>
                <w:rFonts w:eastAsia="Times New Roman"/>
              </w:rPr>
            </w:pPr>
            <w:r w:rsidRPr="005B0796">
              <w:rPr>
                <w:rFonts w:eastAsia="Times New Roman"/>
              </w:rPr>
              <w:t>Female | OFFR | unfit | Air Force</w:t>
            </w:r>
          </w:p>
        </w:tc>
        <w:tc>
          <w:tcPr>
            <w:tcW w:w="1261" w:type="dxa"/>
          </w:tcPr>
          <w:p w:rsidR="00A64C3D" w:rsidRPr="005B0796" w:rsidRDefault="00A64C3D" w:rsidP="00A64C3D">
            <w:pPr>
              <w:pStyle w:val="TableText"/>
              <w:jc w:val="right"/>
              <w:rPr>
                <w:rFonts w:eastAsia="Times New Roman"/>
              </w:rPr>
            </w:pPr>
            <w:r w:rsidRPr="005B0796">
              <w:rPr>
                <w:rFonts w:eastAsia="Times New Roman"/>
              </w:rPr>
              <w:t>59</w:t>
            </w:r>
          </w:p>
        </w:tc>
        <w:tc>
          <w:tcPr>
            <w:tcW w:w="1262" w:type="dxa"/>
          </w:tcPr>
          <w:p w:rsidR="00A64C3D" w:rsidRPr="005B0796" w:rsidRDefault="00A64C3D" w:rsidP="00A64C3D">
            <w:pPr>
              <w:pStyle w:val="TableText"/>
              <w:jc w:val="right"/>
              <w:rPr>
                <w:rFonts w:eastAsia="Times New Roman"/>
              </w:rPr>
            </w:pPr>
            <w:r w:rsidRPr="005B0796">
              <w:rPr>
                <w:rFonts w:eastAsia="Times New Roman"/>
              </w:rPr>
              <w:t>25</w:t>
            </w:r>
          </w:p>
        </w:tc>
        <w:tc>
          <w:tcPr>
            <w:tcW w:w="1262" w:type="dxa"/>
          </w:tcPr>
          <w:p w:rsidR="00A64C3D" w:rsidRPr="005B0796" w:rsidRDefault="00A64C3D" w:rsidP="00A64C3D">
            <w:pPr>
              <w:pStyle w:val="TableText"/>
              <w:jc w:val="right"/>
            </w:pPr>
            <w:r w:rsidRPr="005B0796">
              <w:rPr>
                <w:rFonts w:eastAsia="Times New Roman"/>
              </w:rPr>
              <w:t>42.4</w:t>
            </w:r>
          </w:p>
        </w:tc>
        <w:tc>
          <w:tcPr>
            <w:tcW w:w="1262" w:type="dxa"/>
          </w:tcPr>
          <w:p w:rsidR="00A64C3D" w:rsidRPr="005B0796" w:rsidRDefault="00A64C3D" w:rsidP="00A64C3D">
            <w:pPr>
              <w:pStyle w:val="TableText"/>
              <w:jc w:val="right"/>
              <w:rPr>
                <w:rFonts w:eastAsia="Times New Roman"/>
              </w:rPr>
            </w:pPr>
            <w:r w:rsidRPr="005B0796">
              <w:rPr>
                <w:rFonts w:eastAsia="Times New Roman"/>
              </w:rPr>
              <w:t>2.4</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rPr>
            </w:pPr>
            <w:r w:rsidRPr="005B0796">
              <w:rPr>
                <w:rFonts w:eastAsia="Times New Roman"/>
              </w:rPr>
              <w:t>Female | NCO | fit | Navy</w:t>
            </w:r>
          </w:p>
        </w:tc>
        <w:tc>
          <w:tcPr>
            <w:tcW w:w="1261" w:type="dxa"/>
          </w:tcPr>
          <w:p w:rsidR="00A64C3D" w:rsidRPr="005B0796" w:rsidRDefault="00A64C3D" w:rsidP="00A64C3D">
            <w:pPr>
              <w:pStyle w:val="TableText"/>
              <w:jc w:val="right"/>
              <w:rPr>
                <w:rFonts w:eastAsia="Times New Roman"/>
              </w:rPr>
            </w:pPr>
            <w:r w:rsidRPr="005B0796">
              <w:rPr>
                <w:rFonts w:eastAsia="Times New Roman"/>
              </w:rPr>
              <w:t>198</w:t>
            </w:r>
          </w:p>
        </w:tc>
        <w:tc>
          <w:tcPr>
            <w:tcW w:w="1262" w:type="dxa"/>
          </w:tcPr>
          <w:p w:rsidR="00A64C3D" w:rsidRPr="005B0796" w:rsidRDefault="00A64C3D" w:rsidP="00A64C3D">
            <w:pPr>
              <w:pStyle w:val="TableText"/>
              <w:jc w:val="right"/>
              <w:rPr>
                <w:rFonts w:eastAsia="Times New Roman"/>
              </w:rPr>
            </w:pPr>
            <w:r w:rsidRPr="005B0796">
              <w:rPr>
                <w:rFonts w:eastAsia="Times New Roman"/>
              </w:rPr>
              <w:t>49</w:t>
            </w:r>
          </w:p>
        </w:tc>
        <w:tc>
          <w:tcPr>
            <w:tcW w:w="1262" w:type="dxa"/>
          </w:tcPr>
          <w:p w:rsidR="00A64C3D" w:rsidRPr="005B0796" w:rsidRDefault="00A64C3D" w:rsidP="00A64C3D">
            <w:pPr>
              <w:pStyle w:val="TableText"/>
              <w:jc w:val="right"/>
            </w:pPr>
            <w:r w:rsidRPr="005B0796">
              <w:rPr>
                <w:rFonts w:eastAsia="Times New Roman"/>
              </w:rPr>
              <w:t>24.7</w:t>
            </w:r>
          </w:p>
        </w:tc>
        <w:tc>
          <w:tcPr>
            <w:tcW w:w="1262" w:type="dxa"/>
          </w:tcPr>
          <w:p w:rsidR="00A64C3D" w:rsidRPr="005B0796" w:rsidRDefault="00A64C3D" w:rsidP="00A64C3D">
            <w:pPr>
              <w:pStyle w:val="TableText"/>
              <w:jc w:val="right"/>
              <w:rPr>
                <w:rFonts w:eastAsia="Times New Roman"/>
              </w:rPr>
            </w:pPr>
            <w:r w:rsidRPr="005B0796">
              <w:rPr>
                <w:rFonts w:eastAsia="Times New Roman"/>
              </w:rPr>
              <w:t>4.0</w:t>
            </w:r>
          </w:p>
        </w:tc>
      </w:tr>
      <w:tr w:rsidR="00A64C3D" w:rsidRPr="005B0796" w:rsidTr="00A64C3D">
        <w:tc>
          <w:tcPr>
            <w:tcW w:w="2268" w:type="dxa"/>
          </w:tcPr>
          <w:p w:rsidR="00A64C3D" w:rsidRPr="005B0796" w:rsidRDefault="00A64C3D" w:rsidP="00A64C3D">
            <w:pPr>
              <w:pStyle w:val="TableText"/>
              <w:rPr>
                <w:rFonts w:eastAsia="Times New Roman"/>
              </w:rPr>
            </w:pPr>
            <w:r w:rsidRPr="005B0796">
              <w:rPr>
                <w:rFonts w:eastAsia="Times New Roman"/>
              </w:rPr>
              <w:t>Female | NCO | fit | Army</w:t>
            </w:r>
          </w:p>
        </w:tc>
        <w:tc>
          <w:tcPr>
            <w:tcW w:w="1261" w:type="dxa"/>
          </w:tcPr>
          <w:p w:rsidR="00A64C3D" w:rsidRPr="005B0796" w:rsidRDefault="00A64C3D" w:rsidP="00A64C3D">
            <w:pPr>
              <w:pStyle w:val="TableText"/>
              <w:jc w:val="right"/>
              <w:rPr>
                <w:rFonts w:eastAsia="Times New Roman"/>
              </w:rPr>
            </w:pPr>
            <w:r w:rsidRPr="005B0796">
              <w:rPr>
                <w:rFonts w:eastAsia="Times New Roman"/>
              </w:rPr>
              <w:t>263</w:t>
            </w:r>
          </w:p>
        </w:tc>
        <w:tc>
          <w:tcPr>
            <w:tcW w:w="1262" w:type="dxa"/>
          </w:tcPr>
          <w:p w:rsidR="00A64C3D" w:rsidRPr="005B0796" w:rsidRDefault="00A64C3D" w:rsidP="00A64C3D">
            <w:pPr>
              <w:pStyle w:val="TableText"/>
              <w:jc w:val="right"/>
              <w:rPr>
                <w:rFonts w:eastAsia="Times New Roman"/>
              </w:rPr>
            </w:pPr>
            <w:r w:rsidRPr="005B0796">
              <w:rPr>
                <w:rFonts w:eastAsia="Times New Roman"/>
              </w:rPr>
              <w:t>80</w:t>
            </w:r>
          </w:p>
        </w:tc>
        <w:tc>
          <w:tcPr>
            <w:tcW w:w="1262" w:type="dxa"/>
          </w:tcPr>
          <w:p w:rsidR="00A64C3D" w:rsidRPr="005B0796" w:rsidRDefault="00A64C3D" w:rsidP="00A64C3D">
            <w:pPr>
              <w:pStyle w:val="TableText"/>
              <w:jc w:val="right"/>
            </w:pPr>
            <w:r w:rsidRPr="005B0796">
              <w:rPr>
                <w:rFonts w:eastAsia="Times New Roman"/>
              </w:rPr>
              <w:t>30.4</w:t>
            </w:r>
          </w:p>
        </w:tc>
        <w:tc>
          <w:tcPr>
            <w:tcW w:w="1262" w:type="dxa"/>
          </w:tcPr>
          <w:p w:rsidR="00A64C3D" w:rsidRPr="005B0796" w:rsidRDefault="00A64C3D" w:rsidP="00A64C3D">
            <w:pPr>
              <w:pStyle w:val="TableText"/>
              <w:jc w:val="right"/>
              <w:rPr>
                <w:rFonts w:eastAsia="Times New Roman"/>
              </w:rPr>
            </w:pPr>
            <w:r w:rsidRPr="005B0796">
              <w:rPr>
                <w:rFonts w:eastAsia="Times New Roman"/>
              </w:rPr>
              <w:t>3.3</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rPr>
            </w:pPr>
            <w:r w:rsidRPr="005B0796">
              <w:rPr>
                <w:rFonts w:eastAsia="Times New Roman"/>
              </w:rPr>
              <w:t>Female | NCO | fit | Air Force</w:t>
            </w:r>
          </w:p>
        </w:tc>
        <w:tc>
          <w:tcPr>
            <w:tcW w:w="1261" w:type="dxa"/>
          </w:tcPr>
          <w:p w:rsidR="00A64C3D" w:rsidRPr="005B0796" w:rsidRDefault="00A64C3D" w:rsidP="00A64C3D">
            <w:pPr>
              <w:pStyle w:val="TableText"/>
              <w:jc w:val="right"/>
              <w:rPr>
                <w:rFonts w:eastAsia="Times New Roman"/>
              </w:rPr>
            </w:pPr>
            <w:r w:rsidRPr="005B0796">
              <w:rPr>
                <w:rFonts w:eastAsia="Times New Roman"/>
              </w:rPr>
              <w:t>188</w:t>
            </w:r>
          </w:p>
        </w:tc>
        <w:tc>
          <w:tcPr>
            <w:tcW w:w="1262" w:type="dxa"/>
          </w:tcPr>
          <w:p w:rsidR="00A64C3D" w:rsidRPr="005B0796" w:rsidRDefault="00A64C3D" w:rsidP="00A64C3D">
            <w:pPr>
              <w:pStyle w:val="TableText"/>
              <w:jc w:val="right"/>
              <w:rPr>
                <w:rFonts w:eastAsia="Times New Roman"/>
              </w:rPr>
            </w:pPr>
            <w:r w:rsidRPr="005B0796">
              <w:rPr>
                <w:rFonts w:eastAsia="Times New Roman"/>
              </w:rPr>
              <w:t>56</w:t>
            </w:r>
          </w:p>
        </w:tc>
        <w:tc>
          <w:tcPr>
            <w:tcW w:w="1262" w:type="dxa"/>
          </w:tcPr>
          <w:p w:rsidR="00A64C3D" w:rsidRPr="005B0796" w:rsidRDefault="00A64C3D" w:rsidP="00A64C3D">
            <w:pPr>
              <w:pStyle w:val="TableText"/>
              <w:jc w:val="right"/>
            </w:pPr>
            <w:r w:rsidRPr="005B0796">
              <w:rPr>
                <w:rFonts w:eastAsia="Times New Roman"/>
              </w:rPr>
              <w:t>29.8</w:t>
            </w:r>
          </w:p>
        </w:tc>
        <w:tc>
          <w:tcPr>
            <w:tcW w:w="1262" w:type="dxa"/>
          </w:tcPr>
          <w:p w:rsidR="00A64C3D" w:rsidRPr="005B0796" w:rsidRDefault="00A64C3D" w:rsidP="00A64C3D">
            <w:pPr>
              <w:pStyle w:val="TableText"/>
              <w:jc w:val="right"/>
              <w:rPr>
                <w:rFonts w:eastAsia="Times New Roman"/>
              </w:rPr>
            </w:pPr>
            <w:r w:rsidRPr="005B0796">
              <w:rPr>
                <w:rFonts w:eastAsia="Times New Roman"/>
              </w:rPr>
              <w:t>3.4</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101</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26</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25.7</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3.9</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rPr>
            </w:pPr>
            <w:r w:rsidRPr="005B0796">
              <w:rPr>
                <w:rFonts w:eastAsia="Times New Roman"/>
              </w:rPr>
              <w:t>Female | NCO | unfit | Army</w:t>
            </w:r>
          </w:p>
        </w:tc>
        <w:tc>
          <w:tcPr>
            <w:tcW w:w="1261" w:type="dxa"/>
          </w:tcPr>
          <w:p w:rsidR="00A64C3D" w:rsidRPr="005B0796" w:rsidRDefault="00A64C3D" w:rsidP="00A64C3D">
            <w:pPr>
              <w:pStyle w:val="TableText"/>
              <w:jc w:val="right"/>
              <w:rPr>
                <w:rFonts w:eastAsia="Times New Roman"/>
              </w:rPr>
            </w:pPr>
            <w:r w:rsidRPr="005B0796">
              <w:rPr>
                <w:rFonts w:eastAsia="Times New Roman"/>
              </w:rPr>
              <w:t>139</w:t>
            </w:r>
          </w:p>
        </w:tc>
        <w:tc>
          <w:tcPr>
            <w:tcW w:w="1262" w:type="dxa"/>
          </w:tcPr>
          <w:p w:rsidR="00A64C3D" w:rsidRPr="005B0796" w:rsidRDefault="00A64C3D" w:rsidP="00A64C3D">
            <w:pPr>
              <w:pStyle w:val="TableText"/>
              <w:jc w:val="right"/>
              <w:rPr>
                <w:rFonts w:eastAsia="Times New Roman"/>
              </w:rPr>
            </w:pPr>
            <w:r w:rsidRPr="005B0796">
              <w:rPr>
                <w:rFonts w:eastAsia="Times New Roman"/>
              </w:rPr>
              <w:t>48</w:t>
            </w:r>
          </w:p>
        </w:tc>
        <w:tc>
          <w:tcPr>
            <w:tcW w:w="1262" w:type="dxa"/>
          </w:tcPr>
          <w:p w:rsidR="00A64C3D" w:rsidRPr="005B0796" w:rsidRDefault="00A64C3D" w:rsidP="00A64C3D">
            <w:pPr>
              <w:pStyle w:val="TableText"/>
              <w:jc w:val="right"/>
            </w:pPr>
            <w:r w:rsidRPr="005B0796">
              <w:rPr>
                <w:rFonts w:eastAsia="Times New Roman"/>
              </w:rPr>
              <w:t>34.5</w:t>
            </w:r>
          </w:p>
        </w:tc>
        <w:tc>
          <w:tcPr>
            <w:tcW w:w="1262" w:type="dxa"/>
          </w:tcPr>
          <w:p w:rsidR="00A64C3D" w:rsidRPr="005B0796" w:rsidRDefault="00A64C3D" w:rsidP="00A64C3D">
            <w:pPr>
              <w:pStyle w:val="TableText"/>
              <w:jc w:val="right"/>
              <w:rPr>
                <w:rFonts w:eastAsia="Times New Roman"/>
              </w:rPr>
            </w:pPr>
            <w:r w:rsidRPr="005B0796">
              <w:rPr>
                <w:rFonts w:eastAsia="Times New Roman"/>
              </w:rPr>
              <w:t>2.9</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92</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30</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32.6</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3.1</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411</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25</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6.1</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16.4</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421</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34</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8.1</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12.4</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156</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21</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13.5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7.4</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226</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34</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15.0</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6.6</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270</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40</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14.8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6.8</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Female| Other Rank | unfit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105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19</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18.1</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5.5</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OFFR | 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583</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173</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29.7</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3.4</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OFFR | 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1409</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401</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28.5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3.5</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OFFR | 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772</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253</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32.8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3.1</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OFFR | unfit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124</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47</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37.9</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2.6</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OFFR | unfit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350</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114</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32.6</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3.1</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OFFR | unfit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134</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53</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39.6</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2.5</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1285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225</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17.5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5.7</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2735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752</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27.5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3.6</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1148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291</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25.3</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3.9</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rsidR="00A64C3D" w:rsidRPr="005B0796" w:rsidRDefault="00A64C3D" w:rsidP="00A64C3D">
            <w:pPr>
              <w:pStyle w:val="TableText"/>
              <w:jc w:val="right"/>
              <w:rPr>
                <w:rFonts w:eastAsia="Times New Roman"/>
                <w:color w:val="000000" w:themeColor="text1"/>
                <w:lang w:eastAsia="en-GB"/>
              </w:rPr>
            </w:pPr>
            <w:r w:rsidRPr="005B0796">
              <w:rPr>
                <w:rFonts w:eastAsia="Times New Roman"/>
                <w:color w:val="000000" w:themeColor="text1"/>
              </w:rPr>
              <w:t>343</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92</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26.8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3.7</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1055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337</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31.9</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3.1</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319</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111</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34.8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2.9</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1697</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88</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5.2</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19.3</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5639</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327</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5.8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17.2</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889</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65</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7.3</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13.7</w:t>
            </w:r>
          </w:p>
        </w:tc>
      </w:tr>
      <w:tr w:rsidR="00A64C3D" w:rsidRPr="005B0796" w:rsidTr="00A64C3D">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 xml:space="preserve">Male | Other Rank | unfit | Navy </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518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51</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9.8</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10.2</w:t>
            </w:r>
          </w:p>
        </w:tc>
      </w:tr>
      <w:tr w:rsidR="00A64C3D" w:rsidRPr="005B0796" w:rsidTr="00A64C3D">
        <w:trPr>
          <w:cnfStyle w:val="000000100000" w:firstRow="0" w:lastRow="0" w:firstColumn="0" w:lastColumn="0" w:oddVBand="0" w:evenVBand="0" w:oddHBand="1" w:evenHBand="0" w:firstRowFirstColumn="0" w:firstRowLastColumn="0" w:lastRowFirstColumn="0" w:lastRowLastColumn="0"/>
        </w:trPr>
        <w:tc>
          <w:tcPr>
            <w:tcW w:w="2268" w:type="dxa"/>
          </w:tcPr>
          <w:p w:rsidR="00A64C3D" w:rsidRPr="005B0796" w:rsidRDefault="00A64C3D" w:rsidP="00A64C3D">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2443</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231</w:t>
            </w:r>
          </w:p>
        </w:tc>
        <w:tc>
          <w:tcPr>
            <w:tcW w:w="1262" w:type="dxa"/>
          </w:tcPr>
          <w:p w:rsidR="00A64C3D" w:rsidRPr="005B0796" w:rsidRDefault="00A64C3D" w:rsidP="00A64C3D">
            <w:pPr>
              <w:pStyle w:val="TableText"/>
              <w:jc w:val="right"/>
              <w:rPr>
                <w:color w:val="000000" w:themeColor="text1"/>
              </w:rPr>
            </w:pPr>
            <w:r w:rsidRPr="005B0796">
              <w:rPr>
                <w:rFonts w:eastAsia="Times New Roman"/>
                <w:color w:val="000000" w:themeColor="text1"/>
              </w:rPr>
              <w:t>9.5</w:t>
            </w:r>
          </w:p>
        </w:tc>
        <w:tc>
          <w:tcPr>
            <w:tcW w:w="1262" w:type="dxa"/>
          </w:tcPr>
          <w:p w:rsidR="00A64C3D" w:rsidRPr="005B0796" w:rsidRDefault="00A64C3D" w:rsidP="00A64C3D">
            <w:pPr>
              <w:pStyle w:val="TableText"/>
              <w:jc w:val="right"/>
              <w:rPr>
                <w:rFonts w:eastAsia="Times New Roman"/>
                <w:color w:val="000000" w:themeColor="text1"/>
              </w:rPr>
            </w:pPr>
            <w:r w:rsidRPr="005B0796">
              <w:rPr>
                <w:rFonts w:eastAsia="Times New Roman"/>
                <w:color w:val="000000" w:themeColor="text1"/>
              </w:rPr>
              <w:t>10.6</w:t>
            </w:r>
          </w:p>
        </w:tc>
      </w:tr>
    </w:tbl>
    <w:p w:rsidR="00A64C3D" w:rsidRPr="005B0796" w:rsidRDefault="00A64C3D" w:rsidP="00A64C3D">
      <w:pPr>
        <w:pStyle w:val="TableText"/>
      </w:pPr>
    </w:p>
    <w:p w:rsidR="00855912" w:rsidRPr="005B0796" w:rsidRDefault="00855912" w:rsidP="00D123CA">
      <w:pPr>
        <w:sectPr w:rsidR="00855912" w:rsidRPr="005B0796" w:rsidSect="00520A12">
          <w:footerReference w:type="even" r:id="rId297"/>
          <w:pgSz w:w="9979" w:h="14170" w:code="243"/>
          <w:pgMar w:top="1440" w:right="1152" w:bottom="1440" w:left="1728" w:header="576" w:footer="576" w:gutter="0"/>
          <w:cols w:space="708"/>
          <w:docGrid w:linePitch="360"/>
        </w:sectPr>
      </w:pPr>
    </w:p>
    <w:p w:rsidR="00AF01DD" w:rsidRPr="005B0796" w:rsidRDefault="00AF01DD" w:rsidP="00AF01DD">
      <w:pPr>
        <w:pStyle w:val="TableName"/>
      </w:pPr>
      <w:bookmarkStart w:id="1662" w:name="_Toc511900516"/>
      <w:r w:rsidRPr="005B0796">
        <w:t>Table B.17</w:t>
      </w:r>
      <w:r w:rsidRPr="005B0796">
        <w:tab/>
        <w:t>Weighting table</w:t>
      </w:r>
      <w:bookmarkEnd w:id="1662"/>
    </w:p>
    <w:tbl>
      <w:tblPr>
        <w:tblStyle w:val="TWRPTable"/>
        <w:tblW w:w="5000" w:type="pct"/>
        <w:tblLayout w:type="fixed"/>
        <w:tblLook w:val="04A0" w:firstRow="1" w:lastRow="0" w:firstColumn="1" w:lastColumn="0" w:noHBand="0" w:noVBand="1"/>
        <w:tblDescription w:val="Table B.17 Weighting table"/>
      </w:tblPr>
      <w:tblGrid>
        <w:gridCol w:w="2447"/>
        <w:gridCol w:w="1005"/>
        <w:gridCol w:w="1006"/>
        <w:gridCol w:w="1008"/>
        <w:gridCol w:w="1006"/>
        <w:gridCol w:w="1006"/>
        <w:gridCol w:w="1008"/>
        <w:gridCol w:w="1006"/>
        <w:gridCol w:w="1006"/>
        <w:gridCol w:w="1008"/>
      </w:tblGrid>
      <w:tr w:rsidR="00AF01DD" w:rsidRPr="005B0796" w:rsidTr="00AF01DD">
        <w:trPr>
          <w:cnfStyle w:val="100000000000" w:firstRow="1" w:lastRow="0" w:firstColumn="0" w:lastColumn="0" w:oddVBand="0" w:evenVBand="0" w:oddHBand="0" w:evenHBand="0" w:firstRowFirstColumn="0" w:firstRowLastColumn="0" w:lastRowFirstColumn="0" w:lastRowLastColumn="0"/>
          <w:tblHeader/>
        </w:trPr>
        <w:tc>
          <w:tcPr>
            <w:tcW w:w="1064" w:type="pct"/>
            <w:vMerge w:val="restart"/>
            <w:noWrap/>
            <w:hideMark/>
          </w:tcPr>
          <w:p w:rsidR="00AF01DD" w:rsidRPr="005B0796" w:rsidRDefault="00AF01DD" w:rsidP="00AF01DD">
            <w:pPr>
              <w:pStyle w:val="TableText"/>
              <w:rPr>
                <w:lang w:eastAsia="en-AU"/>
              </w:rPr>
            </w:pPr>
            <w:r w:rsidRPr="005B0796">
              <w:rPr>
                <w:lang w:eastAsia="en-AU"/>
              </w:rPr>
              <w:t>ICD-10 12 month disorder</w:t>
            </w:r>
          </w:p>
        </w:tc>
        <w:tc>
          <w:tcPr>
            <w:tcW w:w="3936" w:type="pct"/>
            <w:gridSpan w:val="9"/>
            <w:noWrap/>
            <w:hideMark/>
          </w:tcPr>
          <w:p w:rsidR="00AF01DD" w:rsidRPr="005B0796" w:rsidRDefault="00AF01DD" w:rsidP="00AF01DD">
            <w:pPr>
              <w:pStyle w:val="TableText"/>
              <w:jc w:val="center"/>
              <w:rPr>
                <w:lang w:eastAsia="en-AU"/>
              </w:rPr>
            </w:pPr>
            <w:r w:rsidRPr="005B0796">
              <w:rPr>
                <w:lang w:eastAsia="en-AU"/>
              </w:rPr>
              <w:t>Transitioned ADF (n=24,932)</w:t>
            </w:r>
          </w:p>
        </w:tc>
      </w:tr>
      <w:tr w:rsidR="00AF01DD" w:rsidRPr="005B0796" w:rsidTr="00AF01DD">
        <w:trPr>
          <w:cnfStyle w:val="100000000000" w:firstRow="1" w:lastRow="0" w:firstColumn="0" w:lastColumn="0" w:oddVBand="0" w:evenVBand="0" w:oddHBand="0" w:evenHBand="0" w:firstRowFirstColumn="0" w:firstRowLastColumn="0" w:lastRowFirstColumn="0" w:lastRowLastColumn="0"/>
          <w:tblHeader/>
        </w:trPr>
        <w:tc>
          <w:tcPr>
            <w:tcW w:w="1064" w:type="pct"/>
            <w:vMerge/>
            <w:hideMark/>
          </w:tcPr>
          <w:p w:rsidR="00AF01DD" w:rsidRPr="005B0796" w:rsidRDefault="00AF01DD" w:rsidP="00AF01DD">
            <w:pPr>
              <w:pStyle w:val="TableText"/>
              <w:rPr>
                <w:lang w:eastAsia="en-AU"/>
              </w:rPr>
            </w:pPr>
          </w:p>
        </w:tc>
        <w:tc>
          <w:tcPr>
            <w:tcW w:w="1312" w:type="pct"/>
            <w:gridSpan w:val="3"/>
            <w:noWrap/>
            <w:hideMark/>
          </w:tcPr>
          <w:p w:rsidR="00AF01DD" w:rsidRPr="005B0796" w:rsidRDefault="00AF01DD" w:rsidP="00AF01DD">
            <w:pPr>
              <w:pStyle w:val="TableText"/>
              <w:jc w:val="center"/>
              <w:rPr>
                <w:lang w:eastAsia="en-AU"/>
              </w:rPr>
            </w:pPr>
            <w:r w:rsidRPr="005B0796">
              <w:rPr>
                <w:lang w:eastAsia="en-AU"/>
              </w:rPr>
              <w:t>Raw Results</w:t>
            </w:r>
          </w:p>
        </w:tc>
        <w:tc>
          <w:tcPr>
            <w:tcW w:w="1312" w:type="pct"/>
            <w:gridSpan w:val="3"/>
            <w:noWrap/>
            <w:hideMark/>
          </w:tcPr>
          <w:p w:rsidR="00AF01DD" w:rsidRPr="005B0796" w:rsidRDefault="00AF01DD" w:rsidP="00AF01DD">
            <w:pPr>
              <w:pStyle w:val="TableText"/>
              <w:jc w:val="center"/>
              <w:rPr>
                <w:lang w:eastAsia="en-AU"/>
              </w:rPr>
            </w:pPr>
            <w:r w:rsidRPr="005B0796">
              <w:rPr>
                <w:lang w:eastAsia="en-AU"/>
              </w:rPr>
              <w:t>Stage 1 Weighted</w:t>
            </w:r>
          </w:p>
        </w:tc>
        <w:tc>
          <w:tcPr>
            <w:tcW w:w="1312" w:type="pct"/>
            <w:gridSpan w:val="3"/>
            <w:noWrap/>
            <w:hideMark/>
          </w:tcPr>
          <w:p w:rsidR="00AF01DD" w:rsidRPr="005B0796" w:rsidRDefault="00AF01DD" w:rsidP="00AF01DD">
            <w:pPr>
              <w:pStyle w:val="TableText"/>
              <w:jc w:val="center"/>
              <w:rPr>
                <w:lang w:eastAsia="en-AU"/>
              </w:rPr>
            </w:pPr>
            <w:r w:rsidRPr="005B0796">
              <w:rPr>
                <w:lang w:eastAsia="en-AU"/>
              </w:rPr>
              <w:t>Stage 2 Weighted</w:t>
            </w:r>
          </w:p>
        </w:tc>
      </w:tr>
      <w:tr w:rsidR="00AF01DD" w:rsidRPr="005B0796" w:rsidTr="00AF01DD">
        <w:trPr>
          <w:cnfStyle w:val="100000000000" w:firstRow="1" w:lastRow="0" w:firstColumn="0" w:lastColumn="0" w:oddVBand="0" w:evenVBand="0" w:oddHBand="0" w:evenHBand="0" w:firstRowFirstColumn="0" w:firstRowLastColumn="0" w:lastRowFirstColumn="0" w:lastRowLastColumn="0"/>
          <w:tblHeader/>
        </w:trPr>
        <w:tc>
          <w:tcPr>
            <w:tcW w:w="1064" w:type="pct"/>
            <w:vMerge/>
            <w:noWrap/>
            <w:hideMark/>
          </w:tcPr>
          <w:p w:rsidR="00AF01DD" w:rsidRPr="005B0796" w:rsidRDefault="00AF01DD" w:rsidP="00AF01DD">
            <w:pPr>
              <w:pStyle w:val="TableText"/>
              <w:rPr>
                <w:lang w:eastAsia="en-AU"/>
              </w:rPr>
            </w:pPr>
          </w:p>
        </w:tc>
        <w:tc>
          <w:tcPr>
            <w:tcW w:w="437" w:type="pct"/>
            <w:noWrap/>
            <w:hideMark/>
          </w:tcPr>
          <w:p w:rsidR="00AF01DD" w:rsidRPr="005B0796" w:rsidRDefault="00AF01DD" w:rsidP="00AF01DD">
            <w:pPr>
              <w:pStyle w:val="TableText"/>
              <w:jc w:val="right"/>
              <w:rPr>
                <w:lang w:eastAsia="en-AU"/>
              </w:rPr>
            </w:pPr>
            <w:r w:rsidRPr="005B0796">
              <w:rPr>
                <w:lang w:eastAsia="en-AU"/>
              </w:rPr>
              <w:t>Raw n</w:t>
            </w:r>
          </w:p>
        </w:tc>
        <w:tc>
          <w:tcPr>
            <w:tcW w:w="437" w:type="pct"/>
            <w:hideMark/>
          </w:tcPr>
          <w:p w:rsidR="00AF01DD" w:rsidRPr="005B0796" w:rsidRDefault="00AF01DD" w:rsidP="00AF01DD">
            <w:pPr>
              <w:pStyle w:val="TableText"/>
              <w:jc w:val="right"/>
              <w:rPr>
                <w:lang w:eastAsia="en-AU"/>
              </w:rPr>
            </w:pPr>
            <w:r w:rsidRPr="005B0796">
              <w:rPr>
                <w:lang w:eastAsia="en-AU"/>
              </w:rPr>
              <w:t>Raw %</w:t>
            </w:r>
          </w:p>
        </w:tc>
        <w:tc>
          <w:tcPr>
            <w:tcW w:w="438" w:type="pct"/>
            <w:hideMark/>
          </w:tcPr>
          <w:p w:rsidR="00AF01DD" w:rsidRPr="005B0796" w:rsidRDefault="00AF01DD" w:rsidP="00AF01DD">
            <w:pPr>
              <w:pStyle w:val="TableText"/>
              <w:jc w:val="right"/>
              <w:rPr>
                <w:lang w:eastAsia="en-AU"/>
              </w:rPr>
            </w:pPr>
            <w:r w:rsidRPr="005B0796">
              <w:rPr>
                <w:lang w:eastAsia="en-AU"/>
              </w:rPr>
              <w:t>95% CI</w:t>
            </w:r>
          </w:p>
        </w:tc>
        <w:tc>
          <w:tcPr>
            <w:tcW w:w="437" w:type="pct"/>
            <w:noWrap/>
            <w:hideMark/>
          </w:tcPr>
          <w:p w:rsidR="00AF01DD" w:rsidRPr="005B0796" w:rsidRDefault="00AF01DD" w:rsidP="00AF01DD">
            <w:pPr>
              <w:pStyle w:val="TableText"/>
              <w:jc w:val="right"/>
              <w:rPr>
                <w:lang w:eastAsia="en-AU"/>
              </w:rPr>
            </w:pPr>
            <w:r w:rsidRPr="005B0796">
              <w:rPr>
                <w:lang w:eastAsia="en-AU"/>
              </w:rPr>
              <w:t>Weighted n</w:t>
            </w:r>
          </w:p>
        </w:tc>
        <w:tc>
          <w:tcPr>
            <w:tcW w:w="437" w:type="pct"/>
            <w:hideMark/>
          </w:tcPr>
          <w:p w:rsidR="00AF01DD" w:rsidRPr="005B0796" w:rsidRDefault="00AF01DD" w:rsidP="00AF01DD">
            <w:pPr>
              <w:pStyle w:val="TableText"/>
              <w:jc w:val="right"/>
              <w:rPr>
                <w:lang w:eastAsia="en-AU"/>
              </w:rPr>
            </w:pPr>
            <w:r w:rsidRPr="005B0796">
              <w:rPr>
                <w:lang w:eastAsia="en-AU"/>
              </w:rPr>
              <w:t>%</w:t>
            </w:r>
          </w:p>
        </w:tc>
        <w:tc>
          <w:tcPr>
            <w:tcW w:w="438" w:type="pct"/>
            <w:hideMark/>
          </w:tcPr>
          <w:p w:rsidR="00AF01DD" w:rsidRPr="005B0796" w:rsidRDefault="00AF01DD" w:rsidP="00AF01DD">
            <w:pPr>
              <w:pStyle w:val="TableText"/>
              <w:jc w:val="right"/>
              <w:rPr>
                <w:lang w:eastAsia="en-AU"/>
              </w:rPr>
            </w:pPr>
            <w:r w:rsidRPr="005B0796">
              <w:rPr>
                <w:lang w:eastAsia="en-AU"/>
              </w:rPr>
              <w:t>95% CI</w:t>
            </w:r>
          </w:p>
        </w:tc>
        <w:tc>
          <w:tcPr>
            <w:tcW w:w="437" w:type="pct"/>
            <w:hideMark/>
          </w:tcPr>
          <w:p w:rsidR="00AF01DD" w:rsidRPr="005B0796" w:rsidRDefault="00AF01DD" w:rsidP="00AF01DD">
            <w:pPr>
              <w:pStyle w:val="TableText"/>
              <w:jc w:val="right"/>
              <w:rPr>
                <w:lang w:eastAsia="en-AU"/>
              </w:rPr>
            </w:pPr>
            <w:r w:rsidRPr="005B0796">
              <w:rPr>
                <w:lang w:eastAsia="en-AU"/>
              </w:rPr>
              <w:t>Weighted n</w:t>
            </w:r>
          </w:p>
        </w:tc>
        <w:tc>
          <w:tcPr>
            <w:tcW w:w="437" w:type="pct"/>
            <w:hideMark/>
          </w:tcPr>
          <w:p w:rsidR="00AF01DD" w:rsidRPr="005B0796" w:rsidRDefault="00AF01DD" w:rsidP="00AF01DD">
            <w:pPr>
              <w:pStyle w:val="TableText"/>
              <w:jc w:val="right"/>
              <w:rPr>
                <w:lang w:eastAsia="en-AU"/>
              </w:rPr>
            </w:pPr>
            <w:r w:rsidRPr="005B0796">
              <w:rPr>
                <w:lang w:eastAsia="en-AU"/>
              </w:rPr>
              <w:t>%</w:t>
            </w:r>
          </w:p>
        </w:tc>
        <w:tc>
          <w:tcPr>
            <w:tcW w:w="438" w:type="pct"/>
            <w:hideMark/>
          </w:tcPr>
          <w:p w:rsidR="00AF01DD" w:rsidRPr="005B0796" w:rsidRDefault="00AF01DD" w:rsidP="00AF01DD">
            <w:pPr>
              <w:pStyle w:val="TableText"/>
              <w:jc w:val="right"/>
              <w:rPr>
                <w:lang w:eastAsia="en-AU"/>
              </w:rPr>
            </w:pPr>
            <w:r w:rsidRPr="005B0796">
              <w:rPr>
                <w:lang w:eastAsia="en-AU"/>
              </w:rPr>
              <w:t>95% CI</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hideMark/>
          </w:tcPr>
          <w:p w:rsidR="00AF01DD" w:rsidRPr="005B0796" w:rsidRDefault="00AF01DD" w:rsidP="00AF01DD">
            <w:pPr>
              <w:pStyle w:val="TableText"/>
              <w:rPr>
                <w:lang w:eastAsia="en-AU"/>
              </w:rPr>
            </w:pPr>
            <w:r w:rsidRPr="005B0796">
              <w:rPr>
                <w:lang w:eastAsia="en-AU"/>
              </w:rPr>
              <w:t>Panic attack</w:t>
            </w:r>
          </w:p>
        </w:tc>
        <w:tc>
          <w:tcPr>
            <w:tcW w:w="437" w:type="pct"/>
            <w:noWrap/>
          </w:tcPr>
          <w:p w:rsidR="00AF01DD" w:rsidRPr="005B0796" w:rsidRDefault="00AF01DD" w:rsidP="00AF01DD">
            <w:pPr>
              <w:pStyle w:val="TableText"/>
              <w:jc w:val="right"/>
              <w:rPr>
                <w:lang w:eastAsia="en-AU"/>
              </w:rPr>
            </w:pPr>
            <w:r w:rsidRPr="005B0796">
              <w:t>155</w:t>
            </w:r>
          </w:p>
        </w:tc>
        <w:tc>
          <w:tcPr>
            <w:tcW w:w="437" w:type="pct"/>
          </w:tcPr>
          <w:p w:rsidR="00AF01DD" w:rsidRPr="005B0796" w:rsidRDefault="00AF01DD" w:rsidP="00AF01DD">
            <w:pPr>
              <w:pStyle w:val="TableText"/>
              <w:jc w:val="right"/>
              <w:rPr>
                <w:lang w:eastAsia="en-AU"/>
              </w:rPr>
            </w:pPr>
            <w:r w:rsidRPr="005B0796">
              <w:t xml:space="preserve">16 </w:t>
            </w:r>
          </w:p>
        </w:tc>
        <w:tc>
          <w:tcPr>
            <w:tcW w:w="438" w:type="pct"/>
          </w:tcPr>
          <w:p w:rsidR="00AF01DD" w:rsidRPr="005B0796" w:rsidRDefault="00AF01DD" w:rsidP="00AF01DD">
            <w:pPr>
              <w:pStyle w:val="TableText"/>
              <w:jc w:val="right"/>
              <w:rPr>
                <w:lang w:eastAsia="en-AU"/>
              </w:rPr>
            </w:pPr>
            <w:r w:rsidRPr="005B0796">
              <w:t>13.7, 18.4</w:t>
            </w:r>
          </w:p>
        </w:tc>
        <w:tc>
          <w:tcPr>
            <w:tcW w:w="437" w:type="pct"/>
            <w:noWrap/>
          </w:tcPr>
          <w:p w:rsidR="00AF01DD" w:rsidRPr="005B0796" w:rsidRDefault="00AF01DD" w:rsidP="00AF01DD">
            <w:pPr>
              <w:pStyle w:val="TableText"/>
              <w:jc w:val="right"/>
              <w:rPr>
                <w:lang w:eastAsia="en-AU"/>
              </w:rPr>
            </w:pPr>
            <w:r w:rsidRPr="005B0796">
              <w:t>4031</w:t>
            </w:r>
          </w:p>
        </w:tc>
        <w:tc>
          <w:tcPr>
            <w:tcW w:w="437" w:type="pct"/>
          </w:tcPr>
          <w:p w:rsidR="00AF01DD" w:rsidRPr="005B0796" w:rsidRDefault="00AF01DD" w:rsidP="00AF01DD">
            <w:pPr>
              <w:pStyle w:val="TableText"/>
              <w:jc w:val="right"/>
              <w:rPr>
                <w:lang w:eastAsia="en-AU"/>
              </w:rPr>
            </w:pPr>
            <w:r w:rsidRPr="005B0796">
              <w:t xml:space="preserve">16.1 </w:t>
            </w:r>
          </w:p>
        </w:tc>
        <w:tc>
          <w:tcPr>
            <w:tcW w:w="438" w:type="pct"/>
          </w:tcPr>
          <w:p w:rsidR="00AF01DD" w:rsidRPr="005B0796" w:rsidRDefault="00AF01DD" w:rsidP="00AF01DD">
            <w:pPr>
              <w:pStyle w:val="TableText"/>
              <w:jc w:val="right"/>
              <w:rPr>
                <w:lang w:eastAsia="en-AU"/>
              </w:rPr>
            </w:pPr>
            <w:r w:rsidRPr="005B0796">
              <w:t>13.9, 18.6</w:t>
            </w:r>
          </w:p>
        </w:tc>
        <w:tc>
          <w:tcPr>
            <w:tcW w:w="437" w:type="pct"/>
          </w:tcPr>
          <w:p w:rsidR="00AF01DD" w:rsidRPr="005B0796" w:rsidRDefault="00AF01DD" w:rsidP="00AF01DD">
            <w:pPr>
              <w:pStyle w:val="TableText"/>
              <w:jc w:val="right"/>
              <w:rPr>
                <w:lang w:eastAsia="en-AU"/>
              </w:rPr>
            </w:pPr>
            <w:r w:rsidRPr="005B0796">
              <w:rPr>
                <w:lang w:eastAsia="en-AU"/>
              </w:rPr>
              <w:t>4244</w:t>
            </w:r>
          </w:p>
        </w:tc>
        <w:tc>
          <w:tcPr>
            <w:tcW w:w="437" w:type="pct"/>
          </w:tcPr>
          <w:p w:rsidR="00AF01DD" w:rsidRPr="005B0796" w:rsidRDefault="00AF01DD" w:rsidP="00AF01DD">
            <w:pPr>
              <w:pStyle w:val="TableText"/>
              <w:jc w:val="right"/>
              <w:rPr>
                <w:lang w:eastAsia="en-AU"/>
              </w:rPr>
            </w:pPr>
            <w:r w:rsidRPr="005B0796">
              <w:rPr>
                <w:lang w:eastAsia="en-AU"/>
              </w:rPr>
              <w:t>17</w:t>
            </w:r>
          </w:p>
        </w:tc>
        <w:tc>
          <w:tcPr>
            <w:tcW w:w="438" w:type="pct"/>
          </w:tcPr>
          <w:p w:rsidR="00AF01DD" w:rsidRPr="005B0796" w:rsidRDefault="00AF01DD" w:rsidP="00AF01DD">
            <w:pPr>
              <w:pStyle w:val="TableText"/>
              <w:jc w:val="right"/>
              <w:rPr>
                <w:lang w:eastAsia="en-AU"/>
              </w:rPr>
            </w:pPr>
            <w:r w:rsidRPr="005B0796">
              <w:rPr>
                <w:lang w:eastAsia="en-AU"/>
              </w:rPr>
              <w:t>13.8, 20.8</w:t>
            </w:r>
          </w:p>
        </w:tc>
      </w:tr>
      <w:tr w:rsidR="00AF01DD" w:rsidRPr="005B0796" w:rsidTr="00AF01DD">
        <w:tc>
          <w:tcPr>
            <w:tcW w:w="1064" w:type="pct"/>
            <w:noWrap/>
            <w:hideMark/>
          </w:tcPr>
          <w:p w:rsidR="00AF01DD" w:rsidRPr="005B0796" w:rsidRDefault="00AF01DD" w:rsidP="00AF01DD">
            <w:pPr>
              <w:pStyle w:val="TableText"/>
              <w:rPr>
                <w:lang w:eastAsia="en-AU"/>
              </w:rPr>
            </w:pPr>
            <w:r w:rsidRPr="005B0796">
              <w:rPr>
                <w:lang w:eastAsia="en-AU"/>
              </w:rPr>
              <w:t>Panic disorder</w:t>
            </w:r>
          </w:p>
        </w:tc>
        <w:tc>
          <w:tcPr>
            <w:tcW w:w="437" w:type="pct"/>
            <w:noWrap/>
          </w:tcPr>
          <w:p w:rsidR="00AF01DD" w:rsidRPr="005B0796" w:rsidRDefault="00AF01DD" w:rsidP="00AF01DD">
            <w:pPr>
              <w:pStyle w:val="TableText"/>
              <w:jc w:val="right"/>
              <w:rPr>
                <w:lang w:eastAsia="en-AU"/>
              </w:rPr>
            </w:pPr>
            <w:r w:rsidRPr="005B0796">
              <w:t>53</w:t>
            </w:r>
          </w:p>
        </w:tc>
        <w:tc>
          <w:tcPr>
            <w:tcW w:w="437" w:type="pct"/>
          </w:tcPr>
          <w:p w:rsidR="00AF01DD" w:rsidRPr="005B0796" w:rsidRDefault="00AF01DD" w:rsidP="00AF01DD">
            <w:pPr>
              <w:pStyle w:val="TableText"/>
              <w:jc w:val="right"/>
              <w:rPr>
                <w:lang w:eastAsia="en-AU"/>
              </w:rPr>
            </w:pPr>
            <w:r w:rsidRPr="005B0796">
              <w:t xml:space="preserve">5.5 </w:t>
            </w:r>
          </w:p>
        </w:tc>
        <w:tc>
          <w:tcPr>
            <w:tcW w:w="438" w:type="pct"/>
          </w:tcPr>
          <w:p w:rsidR="00AF01DD" w:rsidRPr="005B0796" w:rsidRDefault="00AF01DD" w:rsidP="00AF01DD">
            <w:pPr>
              <w:pStyle w:val="TableText"/>
              <w:jc w:val="right"/>
              <w:rPr>
                <w:lang w:eastAsia="en-AU"/>
              </w:rPr>
            </w:pPr>
            <w:r w:rsidRPr="005B0796">
              <w:t>4.1, 7.1</w:t>
            </w:r>
          </w:p>
        </w:tc>
        <w:tc>
          <w:tcPr>
            <w:tcW w:w="437" w:type="pct"/>
            <w:noWrap/>
          </w:tcPr>
          <w:p w:rsidR="00AF01DD" w:rsidRPr="005B0796" w:rsidRDefault="00AF01DD" w:rsidP="00AF01DD">
            <w:pPr>
              <w:pStyle w:val="TableText"/>
              <w:jc w:val="right"/>
              <w:rPr>
                <w:lang w:eastAsia="en-AU"/>
              </w:rPr>
            </w:pPr>
            <w:r w:rsidRPr="005B0796">
              <w:t>1368</w:t>
            </w:r>
          </w:p>
        </w:tc>
        <w:tc>
          <w:tcPr>
            <w:tcW w:w="437" w:type="pct"/>
          </w:tcPr>
          <w:p w:rsidR="00AF01DD" w:rsidRPr="005B0796" w:rsidRDefault="00AF01DD" w:rsidP="00AF01DD">
            <w:pPr>
              <w:pStyle w:val="TableText"/>
              <w:jc w:val="right"/>
              <w:rPr>
                <w:lang w:eastAsia="en-AU"/>
              </w:rPr>
            </w:pPr>
            <w:r w:rsidRPr="005B0796">
              <w:t xml:space="preserve">5.5 </w:t>
            </w:r>
          </w:p>
        </w:tc>
        <w:tc>
          <w:tcPr>
            <w:tcW w:w="438" w:type="pct"/>
          </w:tcPr>
          <w:p w:rsidR="00AF01DD" w:rsidRPr="005B0796" w:rsidRDefault="00AF01DD" w:rsidP="00AF01DD">
            <w:pPr>
              <w:pStyle w:val="TableText"/>
              <w:jc w:val="right"/>
              <w:rPr>
                <w:lang w:eastAsia="en-AU"/>
              </w:rPr>
            </w:pPr>
            <w:r w:rsidRPr="005B0796">
              <w:t>4.2, 7.1</w:t>
            </w:r>
          </w:p>
        </w:tc>
        <w:tc>
          <w:tcPr>
            <w:tcW w:w="437" w:type="pct"/>
          </w:tcPr>
          <w:p w:rsidR="00AF01DD" w:rsidRPr="005B0796" w:rsidRDefault="00AF01DD" w:rsidP="00AF01DD">
            <w:pPr>
              <w:pStyle w:val="TableText"/>
              <w:jc w:val="right"/>
              <w:rPr>
                <w:lang w:eastAsia="en-AU"/>
              </w:rPr>
            </w:pPr>
            <w:r w:rsidRPr="005B0796">
              <w:rPr>
                <w:lang w:eastAsia="en-AU"/>
              </w:rPr>
              <w:t>1344</w:t>
            </w:r>
          </w:p>
        </w:tc>
        <w:tc>
          <w:tcPr>
            <w:tcW w:w="437" w:type="pct"/>
          </w:tcPr>
          <w:p w:rsidR="00AF01DD" w:rsidRPr="005B0796" w:rsidRDefault="00AF01DD" w:rsidP="00AF01DD">
            <w:pPr>
              <w:pStyle w:val="TableText"/>
              <w:jc w:val="right"/>
              <w:rPr>
                <w:lang w:eastAsia="en-AU"/>
              </w:rPr>
            </w:pPr>
            <w:r w:rsidRPr="005B0796">
              <w:rPr>
                <w:lang w:eastAsia="en-AU"/>
              </w:rPr>
              <w:t>5.4</w:t>
            </w:r>
          </w:p>
        </w:tc>
        <w:tc>
          <w:tcPr>
            <w:tcW w:w="438" w:type="pct"/>
          </w:tcPr>
          <w:p w:rsidR="00AF01DD" w:rsidRPr="005B0796" w:rsidRDefault="00AF01DD" w:rsidP="00AF01DD">
            <w:pPr>
              <w:pStyle w:val="TableText"/>
              <w:jc w:val="right"/>
              <w:rPr>
                <w:lang w:eastAsia="en-AU"/>
              </w:rPr>
            </w:pPr>
            <w:r w:rsidRPr="005B0796">
              <w:rPr>
                <w:lang w:eastAsia="en-AU"/>
              </w:rPr>
              <w:t>3.6, 8.0</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hideMark/>
          </w:tcPr>
          <w:p w:rsidR="00AF01DD" w:rsidRPr="005B0796" w:rsidRDefault="00AF01DD" w:rsidP="00AF01DD">
            <w:pPr>
              <w:pStyle w:val="TableText"/>
              <w:rPr>
                <w:lang w:eastAsia="en-AU"/>
              </w:rPr>
            </w:pPr>
            <w:r w:rsidRPr="005B0796">
              <w:rPr>
                <w:lang w:eastAsia="en-AU"/>
              </w:rPr>
              <w:t>Agoraphobia</w:t>
            </w:r>
          </w:p>
        </w:tc>
        <w:tc>
          <w:tcPr>
            <w:tcW w:w="437" w:type="pct"/>
            <w:noWrap/>
          </w:tcPr>
          <w:p w:rsidR="00AF01DD" w:rsidRPr="005B0796" w:rsidRDefault="00AF01DD" w:rsidP="00AF01DD">
            <w:pPr>
              <w:pStyle w:val="TableText"/>
              <w:jc w:val="right"/>
              <w:rPr>
                <w:lang w:eastAsia="en-GB"/>
              </w:rPr>
            </w:pPr>
            <w:r w:rsidRPr="005B0796">
              <w:rPr>
                <w:lang w:eastAsia="en-GB"/>
              </w:rPr>
              <w:t>105</w:t>
            </w:r>
          </w:p>
        </w:tc>
        <w:tc>
          <w:tcPr>
            <w:tcW w:w="437" w:type="pct"/>
          </w:tcPr>
          <w:p w:rsidR="00AF01DD" w:rsidRPr="005B0796" w:rsidRDefault="00AF01DD" w:rsidP="00AF01DD">
            <w:pPr>
              <w:pStyle w:val="TableText"/>
              <w:jc w:val="right"/>
              <w:rPr>
                <w:lang w:eastAsia="en-GB"/>
              </w:rPr>
            </w:pPr>
            <w:r w:rsidRPr="005B0796">
              <w:rPr>
                <w:lang w:eastAsia="en-GB"/>
              </w:rPr>
              <w:t xml:space="preserve">10.8 </w:t>
            </w:r>
          </w:p>
        </w:tc>
        <w:tc>
          <w:tcPr>
            <w:tcW w:w="438" w:type="pct"/>
          </w:tcPr>
          <w:p w:rsidR="00AF01DD" w:rsidRPr="005B0796" w:rsidRDefault="00AF01DD" w:rsidP="00AF01DD">
            <w:pPr>
              <w:pStyle w:val="TableText"/>
              <w:jc w:val="right"/>
              <w:rPr>
                <w:lang w:eastAsia="en-AU"/>
              </w:rPr>
            </w:pPr>
            <w:r w:rsidRPr="005B0796">
              <w:rPr>
                <w:lang w:eastAsia="en-GB"/>
              </w:rPr>
              <w:t>8.9, 12.9</w:t>
            </w:r>
          </w:p>
        </w:tc>
        <w:tc>
          <w:tcPr>
            <w:tcW w:w="437" w:type="pct"/>
            <w:noWrap/>
          </w:tcPr>
          <w:p w:rsidR="00AF01DD" w:rsidRPr="005B0796" w:rsidRDefault="00AF01DD" w:rsidP="00AF01DD">
            <w:pPr>
              <w:pStyle w:val="TableText"/>
              <w:jc w:val="right"/>
              <w:rPr>
                <w:lang w:eastAsia="en-AU"/>
              </w:rPr>
            </w:pPr>
            <w:r w:rsidRPr="005B0796">
              <w:t>2842</w:t>
            </w:r>
          </w:p>
        </w:tc>
        <w:tc>
          <w:tcPr>
            <w:tcW w:w="437" w:type="pct"/>
          </w:tcPr>
          <w:p w:rsidR="00AF01DD" w:rsidRPr="005B0796" w:rsidRDefault="00AF01DD" w:rsidP="00AF01DD">
            <w:pPr>
              <w:pStyle w:val="TableText"/>
              <w:jc w:val="right"/>
              <w:rPr>
                <w:lang w:eastAsia="en-AU"/>
              </w:rPr>
            </w:pPr>
            <w:r w:rsidRPr="005B0796">
              <w:t>11.4</w:t>
            </w:r>
          </w:p>
        </w:tc>
        <w:tc>
          <w:tcPr>
            <w:tcW w:w="438" w:type="pct"/>
          </w:tcPr>
          <w:p w:rsidR="00AF01DD" w:rsidRPr="005B0796" w:rsidRDefault="00AF01DD" w:rsidP="00AF01DD">
            <w:pPr>
              <w:pStyle w:val="TableText"/>
              <w:jc w:val="right"/>
              <w:rPr>
                <w:lang w:eastAsia="en-AU"/>
              </w:rPr>
            </w:pPr>
            <w:r w:rsidRPr="005B0796">
              <w:t>9.5, 13.6</w:t>
            </w:r>
          </w:p>
        </w:tc>
        <w:tc>
          <w:tcPr>
            <w:tcW w:w="437" w:type="pct"/>
          </w:tcPr>
          <w:p w:rsidR="00AF01DD" w:rsidRPr="005B0796" w:rsidRDefault="00AF01DD" w:rsidP="00AF01DD">
            <w:pPr>
              <w:pStyle w:val="TableText"/>
              <w:jc w:val="right"/>
              <w:rPr>
                <w:lang w:eastAsia="en-AU"/>
              </w:rPr>
            </w:pPr>
            <w:r w:rsidRPr="005B0796">
              <w:rPr>
                <w:lang w:eastAsia="en-AU"/>
              </w:rPr>
              <w:t>2975</w:t>
            </w:r>
          </w:p>
        </w:tc>
        <w:tc>
          <w:tcPr>
            <w:tcW w:w="437" w:type="pct"/>
          </w:tcPr>
          <w:p w:rsidR="00AF01DD" w:rsidRPr="005B0796" w:rsidRDefault="00AF01DD" w:rsidP="00AF01DD">
            <w:pPr>
              <w:pStyle w:val="TableText"/>
              <w:jc w:val="right"/>
              <w:rPr>
                <w:lang w:eastAsia="en-AU"/>
              </w:rPr>
            </w:pPr>
            <w:r w:rsidRPr="005B0796">
              <w:rPr>
                <w:lang w:eastAsia="en-AU"/>
              </w:rPr>
              <w:t>11.9</w:t>
            </w:r>
          </w:p>
        </w:tc>
        <w:tc>
          <w:tcPr>
            <w:tcW w:w="438" w:type="pct"/>
          </w:tcPr>
          <w:p w:rsidR="00AF01DD" w:rsidRPr="005B0796" w:rsidRDefault="00AF01DD" w:rsidP="00AF01DD">
            <w:pPr>
              <w:pStyle w:val="TableText"/>
              <w:jc w:val="right"/>
              <w:rPr>
                <w:lang w:eastAsia="en-AU"/>
              </w:rPr>
            </w:pPr>
            <w:r w:rsidRPr="005B0796">
              <w:rPr>
                <w:lang w:eastAsia="en-AU"/>
              </w:rPr>
              <w:t>9.1, 15.5</w:t>
            </w:r>
          </w:p>
        </w:tc>
      </w:tr>
      <w:tr w:rsidR="00AF01DD" w:rsidRPr="005B0796" w:rsidTr="00AF01DD">
        <w:tc>
          <w:tcPr>
            <w:tcW w:w="1064" w:type="pct"/>
            <w:noWrap/>
            <w:hideMark/>
          </w:tcPr>
          <w:p w:rsidR="00AF01DD" w:rsidRPr="005B0796" w:rsidRDefault="00AF01DD" w:rsidP="00AF01DD">
            <w:pPr>
              <w:pStyle w:val="TableText"/>
              <w:rPr>
                <w:lang w:eastAsia="en-AU"/>
              </w:rPr>
            </w:pPr>
            <w:r w:rsidRPr="005B0796">
              <w:rPr>
                <w:lang w:eastAsia="en-AU"/>
              </w:rPr>
              <w:t>Social phobia</w:t>
            </w:r>
          </w:p>
        </w:tc>
        <w:tc>
          <w:tcPr>
            <w:tcW w:w="437" w:type="pct"/>
            <w:noWrap/>
          </w:tcPr>
          <w:p w:rsidR="00AF01DD" w:rsidRPr="005B0796" w:rsidRDefault="00AF01DD" w:rsidP="00AF01DD">
            <w:pPr>
              <w:pStyle w:val="TableText"/>
              <w:jc w:val="right"/>
              <w:rPr>
                <w:lang w:eastAsia="en-AU"/>
              </w:rPr>
            </w:pPr>
            <w:r w:rsidRPr="005B0796">
              <w:t>83</w:t>
            </w:r>
          </w:p>
        </w:tc>
        <w:tc>
          <w:tcPr>
            <w:tcW w:w="437" w:type="pct"/>
          </w:tcPr>
          <w:p w:rsidR="00AF01DD" w:rsidRPr="005B0796" w:rsidRDefault="00AF01DD" w:rsidP="00AF01DD">
            <w:pPr>
              <w:pStyle w:val="TableText"/>
              <w:jc w:val="right"/>
              <w:rPr>
                <w:lang w:eastAsia="en-AU"/>
              </w:rPr>
            </w:pPr>
            <w:r w:rsidRPr="005B0796">
              <w:t xml:space="preserve">8.6 </w:t>
            </w:r>
          </w:p>
        </w:tc>
        <w:tc>
          <w:tcPr>
            <w:tcW w:w="438" w:type="pct"/>
          </w:tcPr>
          <w:p w:rsidR="00AF01DD" w:rsidRPr="005B0796" w:rsidRDefault="00AF01DD" w:rsidP="00AF01DD">
            <w:pPr>
              <w:pStyle w:val="TableText"/>
              <w:jc w:val="right"/>
              <w:rPr>
                <w:lang w:eastAsia="en-AU"/>
              </w:rPr>
            </w:pPr>
            <w:r w:rsidRPr="005B0796">
              <w:t>6.9, 10.5</w:t>
            </w:r>
          </w:p>
        </w:tc>
        <w:tc>
          <w:tcPr>
            <w:tcW w:w="437" w:type="pct"/>
            <w:noWrap/>
          </w:tcPr>
          <w:p w:rsidR="00AF01DD" w:rsidRPr="005B0796" w:rsidRDefault="00AF01DD" w:rsidP="00AF01DD">
            <w:pPr>
              <w:pStyle w:val="TableText"/>
              <w:jc w:val="right"/>
              <w:rPr>
                <w:lang w:eastAsia="en-AU"/>
              </w:rPr>
            </w:pPr>
            <w:r w:rsidRPr="005B0796">
              <w:t>2167</w:t>
            </w:r>
          </w:p>
        </w:tc>
        <w:tc>
          <w:tcPr>
            <w:tcW w:w="437" w:type="pct"/>
          </w:tcPr>
          <w:p w:rsidR="00AF01DD" w:rsidRPr="005B0796" w:rsidRDefault="00AF01DD" w:rsidP="00AF01DD">
            <w:pPr>
              <w:pStyle w:val="TableText"/>
              <w:jc w:val="right"/>
              <w:rPr>
                <w:lang w:eastAsia="en-AU"/>
              </w:rPr>
            </w:pPr>
            <w:r w:rsidRPr="005B0796">
              <w:t xml:space="preserve">8.7 </w:t>
            </w:r>
          </w:p>
        </w:tc>
        <w:tc>
          <w:tcPr>
            <w:tcW w:w="438" w:type="pct"/>
          </w:tcPr>
          <w:p w:rsidR="00AF01DD" w:rsidRPr="005B0796" w:rsidRDefault="00AF01DD" w:rsidP="00AF01DD">
            <w:pPr>
              <w:pStyle w:val="TableText"/>
              <w:jc w:val="right"/>
              <w:rPr>
                <w:lang w:eastAsia="en-AU"/>
              </w:rPr>
            </w:pPr>
            <w:r w:rsidRPr="005B0796">
              <w:t>7.0, 10.6</w:t>
            </w:r>
          </w:p>
        </w:tc>
        <w:tc>
          <w:tcPr>
            <w:tcW w:w="437" w:type="pct"/>
          </w:tcPr>
          <w:p w:rsidR="00AF01DD" w:rsidRPr="005B0796" w:rsidRDefault="00AF01DD" w:rsidP="00AF01DD">
            <w:pPr>
              <w:pStyle w:val="TableText"/>
              <w:jc w:val="right"/>
              <w:rPr>
                <w:lang w:eastAsia="en-AU"/>
              </w:rPr>
            </w:pPr>
            <w:r w:rsidRPr="005B0796">
              <w:rPr>
                <w:lang w:eastAsia="en-AU"/>
              </w:rPr>
              <w:t>2738</w:t>
            </w:r>
          </w:p>
        </w:tc>
        <w:tc>
          <w:tcPr>
            <w:tcW w:w="437" w:type="pct"/>
          </w:tcPr>
          <w:p w:rsidR="00AF01DD" w:rsidRPr="005B0796" w:rsidRDefault="00AF01DD" w:rsidP="00AF01DD">
            <w:pPr>
              <w:pStyle w:val="TableText"/>
              <w:jc w:val="right"/>
              <w:rPr>
                <w:lang w:eastAsia="en-AU"/>
              </w:rPr>
            </w:pPr>
            <w:r w:rsidRPr="005B0796">
              <w:rPr>
                <w:lang w:eastAsia="en-AU"/>
              </w:rPr>
              <w:t>11</w:t>
            </w:r>
          </w:p>
        </w:tc>
        <w:tc>
          <w:tcPr>
            <w:tcW w:w="438" w:type="pct"/>
          </w:tcPr>
          <w:p w:rsidR="00AF01DD" w:rsidRPr="005B0796" w:rsidRDefault="00AF01DD" w:rsidP="00AF01DD">
            <w:pPr>
              <w:pStyle w:val="TableText"/>
              <w:jc w:val="right"/>
              <w:rPr>
                <w:lang w:eastAsia="en-AU"/>
              </w:rPr>
            </w:pPr>
            <w:r w:rsidRPr="005B0796">
              <w:rPr>
                <w:lang w:eastAsia="en-AU"/>
              </w:rPr>
              <w:t>8.4, 14.3</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hideMark/>
          </w:tcPr>
          <w:p w:rsidR="00AF01DD" w:rsidRPr="005B0796" w:rsidRDefault="00AF01DD" w:rsidP="00AF01DD">
            <w:pPr>
              <w:pStyle w:val="TableText"/>
              <w:rPr>
                <w:lang w:eastAsia="en-AU"/>
              </w:rPr>
            </w:pPr>
            <w:r w:rsidRPr="005B0796">
              <w:rPr>
                <w:lang w:eastAsia="en-AU"/>
              </w:rPr>
              <w:t>Specific phobia</w:t>
            </w:r>
          </w:p>
        </w:tc>
        <w:tc>
          <w:tcPr>
            <w:tcW w:w="437" w:type="pct"/>
            <w:noWrap/>
          </w:tcPr>
          <w:p w:rsidR="00AF01DD" w:rsidRPr="005B0796" w:rsidRDefault="00AF01DD" w:rsidP="00AF01DD">
            <w:pPr>
              <w:pStyle w:val="TableText"/>
              <w:jc w:val="right"/>
              <w:rPr>
                <w:lang w:eastAsia="en-AU"/>
              </w:rPr>
            </w:pPr>
            <w:r w:rsidRPr="005B0796">
              <w:t>97</w:t>
            </w:r>
          </w:p>
        </w:tc>
        <w:tc>
          <w:tcPr>
            <w:tcW w:w="437" w:type="pct"/>
          </w:tcPr>
          <w:p w:rsidR="00AF01DD" w:rsidRPr="005B0796" w:rsidRDefault="00AF01DD" w:rsidP="00AF01DD">
            <w:pPr>
              <w:pStyle w:val="TableText"/>
              <w:jc w:val="right"/>
              <w:rPr>
                <w:lang w:eastAsia="en-AU"/>
              </w:rPr>
            </w:pPr>
            <w:r w:rsidRPr="005B0796">
              <w:t xml:space="preserve">10 </w:t>
            </w:r>
          </w:p>
        </w:tc>
        <w:tc>
          <w:tcPr>
            <w:tcW w:w="438" w:type="pct"/>
          </w:tcPr>
          <w:p w:rsidR="00AF01DD" w:rsidRPr="005B0796" w:rsidRDefault="00AF01DD" w:rsidP="00AF01DD">
            <w:pPr>
              <w:pStyle w:val="TableText"/>
              <w:jc w:val="right"/>
              <w:rPr>
                <w:lang w:eastAsia="en-AU"/>
              </w:rPr>
            </w:pPr>
            <w:r w:rsidRPr="005B0796">
              <w:t>8.2, 12.1</w:t>
            </w:r>
          </w:p>
        </w:tc>
        <w:tc>
          <w:tcPr>
            <w:tcW w:w="437" w:type="pct"/>
            <w:noWrap/>
          </w:tcPr>
          <w:p w:rsidR="00AF01DD" w:rsidRPr="005B0796" w:rsidRDefault="00AF01DD" w:rsidP="00AF01DD">
            <w:pPr>
              <w:pStyle w:val="TableText"/>
              <w:jc w:val="right"/>
              <w:rPr>
                <w:lang w:eastAsia="en-AU"/>
              </w:rPr>
            </w:pPr>
            <w:r w:rsidRPr="005B0796">
              <w:t>2499</w:t>
            </w:r>
          </w:p>
        </w:tc>
        <w:tc>
          <w:tcPr>
            <w:tcW w:w="437" w:type="pct"/>
          </w:tcPr>
          <w:p w:rsidR="00AF01DD" w:rsidRPr="005B0796" w:rsidRDefault="00AF01DD" w:rsidP="00AF01DD">
            <w:pPr>
              <w:pStyle w:val="TableText"/>
              <w:jc w:val="right"/>
              <w:rPr>
                <w:lang w:eastAsia="en-AU"/>
              </w:rPr>
            </w:pPr>
            <w:r w:rsidRPr="005B0796">
              <w:t xml:space="preserve">10 </w:t>
            </w:r>
          </w:p>
        </w:tc>
        <w:tc>
          <w:tcPr>
            <w:tcW w:w="438" w:type="pct"/>
          </w:tcPr>
          <w:p w:rsidR="00AF01DD" w:rsidRPr="005B0796" w:rsidRDefault="00AF01DD" w:rsidP="00AF01DD">
            <w:pPr>
              <w:pStyle w:val="TableText"/>
              <w:jc w:val="right"/>
              <w:rPr>
                <w:lang w:eastAsia="en-AU"/>
              </w:rPr>
            </w:pPr>
            <w:r w:rsidRPr="005B0796">
              <w:t>8.3, 12.1</w:t>
            </w:r>
          </w:p>
        </w:tc>
        <w:tc>
          <w:tcPr>
            <w:tcW w:w="437" w:type="pct"/>
          </w:tcPr>
          <w:p w:rsidR="00AF01DD" w:rsidRPr="005B0796" w:rsidRDefault="00AF01DD" w:rsidP="00AF01DD">
            <w:pPr>
              <w:pStyle w:val="TableText"/>
              <w:jc w:val="right"/>
              <w:rPr>
                <w:lang w:eastAsia="en-AU"/>
              </w:rPr>
            </w:pPr>
            <w:r w:rsidRPr="005B0796">
              <w:rPr>
                <w:lang w:eastAsia="en-AU"/>
              </w:rPr>
              <w:t>1936</w:t>
            </w:r>
          </w:p>
        </w:tc>
        <w:tc>
          <w:tcPr>
            <w:tcW w:w="437" w:type="pct"/>
          </w:tcPr>
          <w:p w:rsidR="00AF01DD" w:rsidRPr="005B0796" w:rsidRDefault="00AF01DD" w:rsidP="00AF01DD">
            <w:pPr>
              <w:pStyle w:val="TableText"/>
              <w:jc w:val="right"/>
              <w:rPr>
                <w:lang w:eastAsia="en-AU"/>
              </w:rPr>
            </w:pPr>
            <w:r w:rsidRPr="005B0796">
              <w:rPr>
                <w:lang w:eastAsia="en-AU"/>
              </w:rPr>
              <w:t>7.8</w:t>
            </w:r>
          </w:p>
        </w:tc>
        <w:tc>
          <w:tcPr>
            <w:tcW w:w="438" w:type="pct"/>
          </w:tcPr>
          <w:p w:rsidR="00AF01DD" w:rsidRPr="005B0796" w:rsidRDefault="00AF01DD" w:rsidP="00AF01DD">
            <w:pPr>
              <w:pStyle w:val="TableText"/>
              <w:jc w:val="right"/>
              <w:rPr>
                <w:lang w:eastAsia="en-AU"/>
              </w:rPr>
            </w:pPr>
            <w:r w:rsidRPr="005B0796">
              <w:rPr>
                <w:lang w:eastAsia="en-AU"/>
              </w:rPr>
              <w:t>5.8, 10.3</w:t>
            </w:r>
          </w:p>
        </w:tc>
      </w:tr>
      <w:tr w:rsidR="00AF01DD" w:rsidRPr="005B0796" w:rsidTr="00AF01DD">
        <w:tc>
          <w:tcPr>
            <w:tcW w:w="1064" w:type="pct"/>
            <w:noWrap/>
            <w:hideMark/>
          </w:tcPr>
          <w:p w:rsidR="00AF01DD" w:rsidRPr="005B0796" w:rsidRDefault="00AF01DD" w:rsidP="00AF01DD">
            <w:pPr>
              <w:pStyle w:val="TableText"/>
              <w:rPr>
                <w:lang w:eastAsia="en-AU"/>
              </w:rPr>
            </w:pPr>
            <w:r w:rsidRPr="005B0796">
              <w:rPr>
                <w:lang w:eastAsia="en-AU"/>
              </w:rPr>
              <w:t>Generalised anxiety disorder</w:t>
            </w:r>
          </w:p>
        </w:tc>
        <w:tc>
          <w:tcPr>
            <w:tcW w:w="437" w:type="pct"/>
            <w:noWrap/>
          </w:tcPr>
          <w:p w:rsidR="00AF01DD" w:rsidRPr="005B0796" w:rsidRDefault="00AF01DD" w:rsidP="00AF01DD">
            <w:pPr>
              <w:pStyle w:val="TableText"/>
              <w:jc w:val="right"/>
              <w:rPr>
                <w:lang w:eastAsia="en-AU"/>
              </w:rPr>
            </w:pPr>
            <w:r w:rsidRPr="005B0796">
              <w:t>33</w:t>
            </w:r>
          </w:p>
        </w:tc>
        <w:tc>
          <w:tcPr>
            <w:tcW w:w="437" w:type="pct"/>
          </w:tcPr>
          <w:p w:rsidR="00AF01DD" w:rsidRPr="005B0796" w:rsidRDefault="00AF01DD" w:rsidP="00AF01DD">
            <w:pPr>
              <w:pStyle w:val="TableText"/>
              <w:jc w:val="right"/>
              <w:rPr>
                <w:lang w:eastAsia="en-AU"/>
              </w:rPr>
            </w:pPr>
            <w:r w:rsidRPr="005B0796">
              <w:t xml:space="preserve">3.4 </w:t>
            </w:r>
          </w:p>
        </w:tc>
        <w:tc>
          <w:tcPr>
            <w:tcW w:w="438" w:type="pct"/>
          </w:tcPr>
          <w:p w:rsidR="00AF01DD" w:rsidRPr="005B0796" w:rsidRDefault="00AF01DD" w:rsidP="00AF01DD">
            <w:pPr>
              <w:pStyle w:val="TableText"/>
              <w:jc w:val="right"/>
              <w:rPr>
                <w:lang w:eastAsia="en-AU"/>
              </w:rPr>
            </w:pPr>
            <w:r w:rsidRPr="005B0796">
              <w:t>2.4, 4.7</w:t>
            </w:r>
          </w:p>
        </w:tc>
        <w:tc>
          <w:tcPr>
            <w:tcW w:w="437" w:type="pct"/>
            <w:noWrap/>
          </w:tcPr>
          <w:p w:rsidR="00AF01DD" w:rsidRPr="005B0796" w:rsidRDefault="00AF01DD" w:rsidP="00AF01DD">
            <w:pPr>
              <w:pStyle w:val="TableText"/>
              <w:jc w:val="right"/>
              <w:rPr>
                <w:lang w:eastAsia="en-AU"/>
              </w:rPr>
            </w:pPr>
            <w:r w:rsidRPr="005B0796">
              <w:t>855</w:t>
            </w:r>
          </w:p>
        </w:tc>
        <w:tc>
          <w:tcPr>
            <w:tcW w:w="437" w:type="pct"/>
          </w:tcPr>
          <w:p w:rsidR="00AF01DD" w:rsidRPr="005B0796" w:rsidRDefault="00AF01DD" w:rsidP="00AF01DD">
            <w:pPr>
              <w:pStyle w:val="TableText"/>
              <w:jc w:val="right"/>
              <w:rPr>
                <w:lang w:eastAsia="en-AU"/>
              </w:rPr>
            </w:pPr>
            <w:r w:rsidRPr="005B0796">
              <w:t xml:space="preserve">3.4 </w:t>
            </w:r>
          </w:p>
        </w:tc>
        <w:tc>
          <w:tcPr>
            <w:tcW w:w="438" w:type="pct"/>
          </w:tcPr>
          <w:p w:rsidR="00AF01DD" w:rsidRPr="005B0796" w:rsidRDefault="00AF01DD" w:rsidP="00AF01DD">
            <w:pPr>
              <w:pStyle w:val="TableText"/>
              <w:jc w:val="right"/>
              <w:rPr>
                <w:lang w:eastAsia="en-AU"/>
              </w:rPr>
            </w:pPr>
            <w:r w:rsidRPr="005B0796">
              <w:t>2.4, 4.8</w:t>
            </w:r>
          </w:p>
        </w:tc>
        <w:tc>
          <w:tcPr>
            <w:tcW w:w="437" w:type="pct"/>
          </w:tcPr>
          <w:p w:rsidR="00AF01DD" w:rsidRPr="005B0796" w:rsidRDefault="00AF01DD" w:rsidP="00AF01DD">
            <w:pPr>
              <w:pStyle w:val="TableText"/>
              <w:jc w:val="right"/>
              <w:rPr>
                <w:lang w:eastAsia="en-AU"/>
              </w:rPr>
            </w:pPr>
            <w:r w:rsidRPr="005B0796">
              <w:rPr>
                <w:lang w:eastAsia="en-AU"/>
              </w:rPr>
              <w:t>917</w:t>
            </w:r>
          </w:p>
        </w:tc>
        <w:tc>
          <w:tcPr>
            <w:tcW w:w="437" w:type="pct"/>
          </w:tcPr>
          <w:p w:rsidR="00AF01DD" w:rsidRPr="005B0796" w:rsidRDefault="00AF01DD" w:rsidP="00AF01DD">
            <w:pPr>
              <w:pStyle w:val="TableText"/>
              <w:jc w:val="right"/>
              <w:rPr>
                <w:lang w:eastAsia="en-AU"/>
              </w:rPr>
            </w:pPr>
            <w:r w:rsidRPr="005B0796">
              <w:rPr>
                <w:lang w:eastAsia="en-AU"/>
              </w:rPr>
              <w:t>3.7</w:t>
            </w:r>
          </w:p>
        </w:tc>
        <w:tc>
          <w:tcPr>
            <w:tcW w:w="438" w:type="pct"/>
          </w:tcPr>
          <w:p w:rsidR="00AF01DD" w:rsidRPr="005B0796" w:rsidRDefault="00AF01DD" w:rsidP="00AF01DD">
            <w:pPr>
              <w:pStyle w:val="TableText"/>
              <w:jc w:val="right"/>
              <w:rPr>
                <w:lang w:eastAsia="en-AU"/>
              </w:rPr>
            </w:pPr>
            <w:r w:rsidRPr="005B0796">
              <w:rPr>
                <w:lang w:eastAsia="en-AU"/>
              </w:rPr>
              <w:t>2.2, 6.0</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hideMark/>
          </w:tcPr>
          <w:p w:rsidR="00AF01DD" w:rsidRPr="005B0796" w:rsidRDefault="00AF01DD" w:rsidP="00AF01DD">
            <w:pPr>
              <w:pStyle w:val="TableText"/>
              <w:rPr>
                <w:lang w:eastAsia="en-AU"/>
              </w:rPr>
            </w:pPr>
            <w:r w:rsidRPr="005B0796">
              <w:rPr>
                <w:lang w:eastAsia="en-AU"/>
              </w:rPr>
              <w:t>Obsessive compulsive disorder</w:t>
            </w:r>
          </w:p>
        </w:tc>
        <w:tc>
          <w:tcPr>
            <w:tcW w:w="437" w:type="pct"/>
            <w:noWrap/>
          </w:tcPr>
          <w:p w:rsidR="00AF01DD" w:rsidRPr="005B0796" w:rsidRDefault="00AF01DD" w:rsidP="00AF01DD">
            <w:pPr>
              <w:pStyle w:val="TableText"/>
              <w:jc w:val="right"/>
              <w:rPr>
                <w:lang w:eastAsia="en-AU"/>
              </w:rPr>
            </w:pPr>
            <w:r w:rsidRPr="005B0796">
              <w:t>37</w:t>
            </w:r>
          </w:p>
        </w:tc>
        <w:tc>
          <w:tcPr>
            <w:tcW w:w="437" w:type="pct"/>
          </w:tcPr>
          <w:p w:rsidR="00AF01DD" w:rsidRPr="005B0796" w:rsidRDefault="00AF01DD" w:rsidP="00AF01DD">
            <w:pPr>
              <w:pStyle w:val="TableText"/>
              <w:jc w:val="right"/>
              <w:rPr>
                <w:lang w:eastAsia="en-AU"/>
              </w:rPr>
            </w:pPr>
            <w:r w:rsidRPr="005B0796">
              <w:t xml:space="preserve">3.8 </w:t>
            </w:r>
          </w:p>
        </w:tc>
        <w:tc>
          <w:tcPr>
            <w:tcW w:w="438" w:type="pct"/>
          </w:tcPr>
          <w:p w:rsidR="00AF01DD" w:rsidRPr="005B0796" w:rsidRDefault="00AF01DD" w:rsidP="00AF01DD">
            <w:pPr>
              <w:pStyle w:val="TableText"/>
              <w:jc w:val="right"/>
              <w:rPr>
                <w:lang w:eastAsia="en-AU"/>
              </w:rPr>
            </w:pPr>
            <w:r w:rsidRPr="005B0796">
              <w:t>2.7, 5.2</w:t>
            </w:r>
          </w:p>
        </w:tc>
        <w:tc>
          <w:tcPr>
            <w:tcW w:w="437" w:type="pct"/>
            <w:noWrap/>
          </w:tcPr>
          <w:p w:rsidR="00AF01DD" w:rsidRPr="005B0796" w:rsidRDefault="00AF01DD" w:rsidP="00AF01DD">
            <w:pPr>
              <w:pStyle w:val="TableText"/>
              <w:jc w:val="right"/>
              <w:rPr>
                <w:lang w:eastAsia="en-AU"/>
              </w:rPr>
            </w:pPr>
            <w:r w:rsidRPr="005B0796">
              <w:t>922</w:t>
            </w:r>
          </w:p>
        </w:tc>
        <w:tc>
          <w:tcPr>
            <w:tcW w:w="437" w:type="pct"/>
          </w:tcPr>
          <w:p w:rsidR="00AF01DD" w:rsidRPr="005B0796" w:rsidRDefault="00AF01DD" w:rsidP="00AF01DD">
            <w:pPr>
              <w:pStyle w:val="TableText"/>
              <w:jc w:val="right"/>
              <w:rPr>
                <w:lang w:eastAsia="en-AU"/>
              </w:rPr>
            </w:pPr>
            <w:r w:rsidRPr="005B0796">
              <w:t xml:space="preserve">3.7 </w:t>
            </w:r>
          </w:p>
        </w:tc>
        <w:tc>
          <w:tcPr>
            <w:tcW w:w="438" w:type="pct"/>
          </w:tcPr>
          <w:p w:rsidR="00AF01DD" w:rsidRPr="005B0796" w:rsidRDefault="00AF01DD" w:rsidP="00AF01DD">
            <w:pPr>
              <w:pStyle w:val="TableText"/>
              <w:jc w:val="right"/>
              <w:rPr>
                <w:lang w:eastAsia="en-AU"/>
              </w:rPr>
            </w:pPr>
            <w:r w:rsidRPr="005B0796">
              <w:t>2.7, 5.1</w:t>
            </w:r>
          </w:p>
        </w:tc>
        <w:tc>
          <w:tcPr>
            <w:tcW w:w="437" w:type="pct"/>
          </w:tcPr>
          <w:p w:rsidR="00AF01DD" w:rsidRPr="005B0796" w:rsidRDefault="00AF01DD" w:rsidP="00AF01DD">
            <w:pPr>
              <w:pStyle w:val="TableText"/>
              <w:jc w:val="right"/>
              <w:rPr>
                <w:lang w:eastAsia="en-AU"/>
              </w:rPr>
            </w:pPr>
            <w:r w:rsidRPr="005B0796">
              <w:rPr>
                <w:lang w:eastAsia="en-AU"/>
              </w:rPr>
              <w:t>1029</w:t>
            </w:r>
          </w:p>
        </w:tc>
        <w:tc>
          <w:tcPr>
            <w:tcW w:w="437" w:type="pct"/>
          </w:tcPr>
          <w:p w:rsidR="00AF01DD" w:rsidRPr="005B0796" w:rsidRDefault="00AF01DD" w:rsidP="00AF01DD">
            <w:pPr>
              <w:pStyle w:val="TableText"/>
              <w:jc w:val="right"/>
              <w:rPr>
                <w:lang w:eastAsia="en-AU"/>
              </w:rPr>
            </w:pPr>
            <w:r w:rsidRPr="005B0796">
              <w:rPr>
                <w:lang w:eastAsia="en-AU"/>
              </w:rPr>
              <w:t>4.1</w:t>
            </w:r>
          </w:p>
        </w:tc>
        <w:tc>
          <w:tcPr>
            <w:tcW w:w="438" w:type="pct"/>
          </w:tcPr>
          <w:p w:rsidR="00AF01DD" w:rsidRPr="005B0796" w:rsidRDefault="00AF01DD" w:rsidP="00AF01DD">
            <w:pPr>
              <w:pStyle w:val="TableText"/>
              <w:jc w:val="right"/>
              <w:rPr>
                <w:lang w:eastAsia="en-AU"/>
              </w:rPr>
            </w:pPr>
            <w:r w:rsidRPr="005B0796">
              <w:rPr>
                <w:lang w:eastAsia="en-AU"/>
              </w:rPr>
              <w:t>2.6, 6.6</w:t>
            </w:r>
          </w:p>
        </w:tc>
      </w:tr>
      <w:tr w:rsidR="00AF01DD" w:rsidRPr="005B0796" w:rsidTr="00AF01DD">
        <w:tc>
          <w:tcPr>
            <w:tcW w:w="1064" w:type="pct"/>
            <w:noWrap/>
            <w:hideMark/>
          </w:tcPr>
          <w:p w:rsidR="00AF01DD" w:rsidRPr="005B0796" w:rsidRDefault="00AF01DD" w:rsidP="00AF01DD">
            <w:pPr>
              <w:pStyle w:val="TableText"/>
              <w:rPr>
                <w:lang w:eastAsia="en-AU"/>
              </w:rPr>
            </w:pPr>
            <w:r w:rsidRPr="005B0796">
              <w:rPr>
                <w:lang w:eastAsia="en-AU"/>
              </w:rPr>
              <w:t>Posttraumatic stress disorder</w:t>
            </w:r>
          </w:p>
        </w:tc>
        <w:tc>
          <w:tcPr>
            <w:tcW w:w="437" w:type="pct"/>
            <w:noWrap/>
          </w:tcPr>
          <w:p w:rsidR="00AF01DD" w:rsidRPr="005B0796" w:rsidRDefault="00AF01DD" w:rsidP="00AF01DD">
            <w:pPr>
              <w:pStyle w:val="TableText"/>
              <w:jc w:val="right"/>
              <w:rPr>
                <w:lang w:eastAsia="en-AU"/>
              </w:rPr>
            </w:pPr>
            <w:r w:rsidRPr="005B0796">
              <w:t>170</w:t>
            </w:r>
          </w:p>
        </w:tc>
        <w:tc>
          <w:tcPr>
            <w:tcW w:w="437" w:type="pct"/>
          </w:tcPr>
          <w:p w:rsidR="00AF01DD" w:rsidRPr="005B0796" w:rsidRDefault="00AF01DD" w:rsidP="00AF01DD">
            <w:pPr>
              <w:pStyle w:val="TableText"/>
              <w:jc w:val="right"/>
              <w:rPr>
                <w:lang w:eastAsia="en-AU"/>
              </w:rPr>
            </w:pPr>
            <w:r w:rsidRPr="005B0796">
              <w:t xml:space="preserve">17.5 </w:t>
            </w:r>
          </w:p>
        </w:tc>
        <w:tc>
          <w:tcPr>
            <w:tcW w:w="438" w:type="pct"/>
          </w:tcPr>
          <w:p w:rsidR="00AF01DD" w:rsidRPr="005B0796" w:rsidRDefault="00AF01DD" w:rsidP="00AF01DD">
            <w:pPr>
              <w:pStyle w:val="TableText"/>
              <w:jc w:val="right"/>
              <w:rPr>
                <w:lang w:eastAsia="en-AU"/>
              </w:rPr>
            </w:pPr>
            <w:r w:rsidRPr="005B0796">
              <w:t>15.2, 20.1</w:t>
            </w:r>
          </w:p>
        </w:tc>
        <w:tc>
          <w:tcPr>
            <w:tcW w:w="437" w:type="pct"/>
            <w:noWrap/>
          </w:tcPr>
          <w:p w:rsidR="00AF01DD" w:rsidRPr="005B0796" w:rsidRDefault="00AF01DD" w:rsidP="00AF01DD">
            <w:pPr>
              <w:pStyle w:val="TableText"/>
              <w:jc w:val="right"/>
              <w:rPr>
                <w:lang w:eastAsia="en-AU"/>
              </w:rPr>
            </w:pPr>
            <w:r w:rsidRPr="005B0796">
              <w:t>4483</w:t>
            </w:r>
          </w:p>
        </w:tc>
        <w:tc>
          <w:tcPr>
            <w:tcW w:w="437" w:type="pct"/>
          </w:tcPr>
          <w:p w:rsidR="00AF01DD" w:rsidRPr="005B0796" w:rsidRDefault="00AF01DD" w:rsidP="00AF01DD">
            <w:pPr>
              <w:pStyle w:val="TableText"/>
              <w:jc w:val="right"/>
              <w:rPr>
                <w:lang w:eastAsia="en-AU"/>
              </w:rPr>
            </w:pPr>
            <w:r w:rsidRPr="005B0796">
              <w:t xml:space="preserve">17.9 </w:t>
            </w:r>
          </w:p>
        </w:tc>
        <w:tc>
          <w:tcPr>
            <w:tcW w:w="438" w:type="pct"/>
          </w:tcPr>
          <w:p w:rsidR="00AF01DD" w:rsidRPr="005B0796" w:rsidRDefault="00AF01DD" w:rsidP="00AF01DD">
            <w:pPr>
              <w:pStyle w:val="TableText"/>
              <w:jc w:val="right"/>
              <w:rPr>
                <w:lang w:eastAsia="en-AU"/>
              </w:rPr>
            </w:pPr>
            <w:r w:rsidRPr="005B0796">
              <w:t>15.6, 20.5</w:t>
            </w:r>
          </w:p>
        </w:tc>
        <w:tc>
          <w:tcPr>
            <w:tcW w:w="437" w:type="pct"/>
          </w:tcPr>
          <w:p w:rsidR="00AF01DD" w:rsidRPr="005B0796" w:rsidRDefault="00AF01DD" w:rsidP="00AF01DD">
            <w:pPr>
              <w:pStyle w:val="TableText"/>
              <w:jc w:val="right"/>
              <w:rPr>
                <w:lang w:eastAsia="en-AU"/>
              </w:rPr>
            </w:pPr>
            <w:r w:rsidRPr="005B0796">
              <w:rPr>
                <w:lang w:eastAsia="en-AU"/>
              </w:rPr>
              <w:t>4408</w:t>
            </w:r>
          </w:p>
        </w:tc>
        <w:tc>
          <w:tcPr>
            <w:tcW w:w="437" w:type="pct"/>
          </w:tcPr>
          <w:p w:rsidR="00AF01DD" w:rsidRPr="005B0796" w:rsidRDefault="00AF01DD" w:rsidP="00AF01DD">
            <w:pPr>
              <w:pStyle w:val="TableText"/>
              <w:jc w:val="right"/>
              <w:rPr>
                <w:lang w:eastAsia="en-AU"/>
              </w:rPr>
            </w:pPr>
            <w:r w:rsidRPr="005B0796">
              <w:rPr>
                <w:lang w:eastAsia="en-AU"/>
              </w:rPr>
              <w:t>17.7</w:t>
            </w:r>
          </w:p>
        </w:tc>
        <w:tc>
          <w:tcPr>
            <w:tcW w:w="438" w:type="pct"/>
          </w:tcPr>
          <w:p w:rsidR="00AF01DD" w:rsidRPr="005B0796" w:rsidRDefault="00AF01DD" w:rsidP="00AF01DD">
            <w:pPr>
              <w:pStyle w:val="TableText"/>
              <w:jc w:val="right"/>
              <w:rPr>
                <w:lang w:eastAsia="en-AU"/>
              </w:rPr>
            </w:pPr>
            <w:r w:rsidRPr="005B0796">
              <w:rPr>
                <w:lang w:eastAsia="en-AU"/>
              </w:rPr>
              <w:t>14.5, 21.3</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hideMark/>
          </w:tcPr>
          <w:p w:rsidR="00AF01DD" w:rsidRPr="005B0796" w:rsidRDefault="00AF01DD" w:rsidP="00AF01DD">
            <w:pPr>
              <w:pStyle w:val="TableText"/>
              <w:rPr>
                <w:lang w:eastAsia="en-AU"/>
              </w:rPr>
            </w:pPr>
            <w:r w:rsidRPr="005B0796">
              <w:rPr>
                <w:lang w:eastAsia="en-AU"/>
              </w:rPr>
              <w:t>Any anxiety disorder</w:t>
            </w:r>
          </w:p>
        </w:tc>
        <w:tc>
          <w:tcPr>
            <w:tcW w:w="437" w:type="pct"/>
            <w:noWrap/>
          </w:tcPr>
          <w:p w:rsidR="00AF01DD" w:rsidRPr="005B0796" w:rsidRDefault="00AF01DD" w:rsidP="00AF01DD">
            <w:pPr>
              <w:pStyle w:val="TableText"/>
              <w:jc w:val="right"/>
              <w:rPr>
                <w:lang w:eastAsia="en-AU"/>
              </w:rPr>
            </w:pPr>
            <w:r w:rsidRPr="005B0796">
              <w:t>354</w:t>
            </w:r>
          </w:p>
        </w:tc>
        <w:tc>
          <w:tcPr>
            <w:tcW w:w="437" w:type="pct"/>
          </w:tcPr>
          <w:p w:rsidR="00AF01DD" w:rsidRPr="005B0796" w:rsidRDefault="00AF01DD" w:rsidP="00AF01DD">
            <w:pPr>
              <w:pStyle w:val="TableText"/>
              <w:jc w:val="right"/>
              <w:rPr>
                <w:lang w:eastAsia="en-AU"/>
              </w:rPr>
            </w:pPr>
            <w:r w:rsidRPr="005B0796">
              <w:t xml:space="preserve">36.5 </w:t>
            </w:r>
          </w:p>
        </w:tc>
        <w:tc>
          <w:tcPr>
            <w:tcW w:w="438" w:type="pct"/>
          </w:tcPr>
          <w:p w:rsidR="00AF01DD" w:rsidRPr="005B0796" w:rsidRDefault="00AF01DD" w:rsidP="00AF01DD">
            <w:pPr>
              <w:pStyle w:val="TableText"/>
              <w:jc w:val="right"/>
              <w:rPr>
                <w:lang w:eastAsia="en-AU"/>
              </w:rPr>
            </w:pPr>
            <w:r w:rsidRPr="005B0796">
              <w:t>34.3, 38.6</w:t>
            </w:r>
          </w:p>
        </w:tc>
        <w:tc>
          <w:tcPr>
            <w:tcW w:w="437" w:type="pct"/>
            <w:noWrap/>
          </w:tcPr>
          <w:p w:rsidR="00AF01DD" w:rsidRPr="005B0796" w:rsidRDefault="00AF01DD" w:rsidP="00AF01DD">
            <w:pPr>
              <w:pStyle w:val="TableText"/>
              <w:jc w:val="right"/>
              <w:rPr>
                <w:lang w:eastAsia="en-AU"/>
              </w:rPr>
            </w:pPr>
            <w:r w:rsidRPr="005B0796">
              <w:t>9175</w:t>
            </w:r>
          </w:p>
        </w:tc>
        <w:tc>
          <w:tcPr>
            <w:tcW w:w="437" w:type="pct"/>
          </w:tcPr>
          <w:p w:rsidR="00AF01DD" w:rsidRPr="005B0796" w:rsidRDefault="00AF01DD" w:rsidP="00AF01DD">
            <w:pPr>
              <w:pStyle w:val="TableText"/>
              <w:jc w:val="right"/>
              <w:rPr>
                <w:lang w:eastAsia="en-AU"/>
              </w:rPr>
            </w:pPr>
            <w:r w:rsidRPr="005B0796">
              <w:t xml:space="preserve">36.7 </w:t>
            </w:r>
          </w:p>
        </w:tc>
        <w:tc>
          <w:tcPr>
            <w:tcW w:w="438" w:type="pct"/>
          </w:tcPr>
          <w:p w:rsidR="00AF01DD" w:rsidRPr="005B0796" w:rsidRDefault="00AF01DD" w:rsidP="00AF01DD">
            <w:pPr>
              <w:pStyle w:val="TableText"/>
              <w:jc w:val="right"/>
              <w:rPr>
                <w:lang w:eastAsia="en-AU"/>
              </w:rPr>
            </w:pPr>
            <w:r w:rsidRPr="005B0796">
              <w:t>33.7, 39.8</w:t>
            </w:r>
          </w:p>
        </w:tc>
        <w:tc>
          <w:tcPr>
            <w:tcW w:w="437" w:type="pct"/>
          </w:tcPr>
          <w:p w:rsidR="00AF01DD" w:rsidRPr="005B0796" w:rsidRDefault="00AF01DD" w:rsidP="00AF01DD">
            <w:pPr>
              <w:pStyle w:val="TableText"/>
              <w:jc w:val="right"/>
              <w:rPr>
                <w:lang w:eastAsia="en-AU"/>
              </w:rPr>
            </w:pPr>
            <w:r w:rsidRPr="005B0796">
              <w:rPr>
                <w:lang w:eastAsia="en-AU"/>
              </w:rPr>
              <w:t>9232</w:t>
            </w:r>
          </w:p>
        </w:tc>
        <w:tc>
          <w:tcPr>
            <w:tcW w:w="437" w:type="pct"/>
          </w:tcPr>
          <w:p w:rsidR="00AF01DD" w:rsidRPr="005B0796" w:rsidRDefault="00AF01DD" w:rsidP="00AF01DD">
            <w:pPr>
              <w:pStyle w:val="TableText"/>
              <w:jc w:val="right"/>
              <w:rPr>
                <w:lang w:eastAsia="en-AU"/>
              </w:rPr>
            </w:pPr>
            <w:r w:rsidRPr="005B0796">
              <w:rPr>
                <w:lang w:eastAsia="en-AU"/>
              </w:rPr>
              <w:t>37.0</w:t>
            </w:r>
          </w:p>
        </w:tc>
        <w:tc>
          <w:tcPr>
            <w:tcW w:w="438" w:type="pct"/>
          </w:tcPr>
          <w:p w:rsidR="00AF01DD" w:rsidRPr="005B0796" w:rsidRDefault="00AF01DD" w:rsidP="00AF01DD">
            <w:pPr>
              <w:pStyle w:val="TableText"/>
              <w:jc w:val="right"/>
              <w:rPr>
                <w:lang w:eastAsia="en-AU"/>
              </w:rPr>
            </w:pPr>
            <w:r w:rsidRPr="005B0796">
              <w:rPr>
                <w:lang w:eastAsia="en-AU"/>
              </w:rPr>
              <w:t>32.6, 41.7</w:t>
            </w:r>
          </w:p>
        </w:tc>
      </w:tr>
      <w:tr w:rsidR="00AF01DD" w:rsidRPr="005B0796" w:rsidTr="00AF01DD">
        <w:tc>
          <w:tcPr>
            <w:tcW w:w="1064" w:type="pct"/>
            <w:noWrap/>
          </w:tcPr>
          <w:p w:rsidR="00AF01DD" w:rsidRPr="005B0796" w:rsidRDefault="00AF01DD" w:rsidP="00AF01DD">
            <w:pPr>
              <w:pStyle w:val="TableText"/>
              <w:rPr>
                <w:lang w:eastAsia="en-AU"/>
              </w:rPr>
            </w:pPr>
            <w:r w:rsidRPr="005B0796">
              <w:rPr>
                <w:lang w:eastAsia="en-AU"/>
              </w:rPr>
              <w:t>Depressive episodes</w:t>
            </w:r>
          </w:p>
        </w:tc>
        <w:tc>
          <w:tcPr>
            <w:tcW w:w="437" w:type="pct"/>
            <w:noWrap/>
          </w:tcPr>
          <w:p w:rsidR="00AF01DD" w:rsidRPr="005B0796" w:rsidRDefault="00AF01DD" w:rsidP="00AF01DD">
            <w:pPr>
              <w:pStyle w:val="TableText"/>
              <w:jc w:val="right"/>
              <w:rPr>
                <w:lang w:eastAsia="en-AU"/>
              </w:rPr>
            </w:pPr>
            <w:r w:rsidRPr="005B0796">
              <w:t>108</w:t>
            </w:r>
          </w:p>
        </w:tc>
        <w:tc>
          <w:tcPr>
            <w:tcW w:w="437" w:type="pct"/>
          </w:tcPr>
          <w:p w:rsidR="00AF01DD" w:rsidRPr="005B0796" w:rsidRDefault="00AF01DD" w:rsidP="00AF01DD">
            <w:pPr>
              <w:pStyle w:val="TableText"/>
              <w:jc w:val="right"/>
              <w:rPr>
                <w:lang w:eastAsia="en-AU"/>
              </w:rPr>
            </w:pPr>
            <w:r w:rsidRPr="005B0796">
              <w:t xml:space="preserve">11.1 </w:t>
            </w:r>
          </w:p>
        </w:tc>
        <w:tc>
          <w:tcPr>
            <w:tcW w:w="438" w:type="pct"/>
          </w:tcPr>
          <w:p w:rsidR="00AF01DD" w:rsidRPr="005B0796" w:rsidRDefault="00AF01DD" w:rsidP="00AF01DD">
            <w:pPr>
              <w:pStyle w:val="TableText"/>
              <w:jc w:val="right"/>
              <w:rPr>
                <w:lang w:eastAsia="en-AU"/>
              </w:rPr>
            </w:pPr>
            <w:r w:rsidRPr="005B0796">
              <w:t>9.2, 13.3</w:t>
            </w:r>
          </w:p>
        </w:tc>
        <w:tc>
          <w:tcPr>
            <w:tcW w:w="437" w:type="pct"/>
            <w:noWrap/>
          </w:tcPr>
          <w:p w:rsidR="00AF01DD" w:rsidRPr="005B0796" w:rsidRDefault="00AF01DD" w:rsidP="00AF01DD">
            <w:pPr>
              <w:pStyle w:val="TableText"/>
              <w:jc w:val="right"/>
              <w:rPr>
                <w:lang w:eastAsia="en-AU"/>
              </w:rPr>
            </w:pPr>
            <w:r w:rsidRPr="005B0796">
              <w:t>2812</w:t>
            </w:r>
          </w:p>
        </w:tc>
        <w:tc>
          <w:tcPr>
            <w:tcW w:w="437" w:type="pct"/>
          </w:tcPr>
          <w:p w:rsidR="00AF01DD" w:rsidRPr="005B0796" w:rsidRDefault="00AF01DD" w:rsidP="00AF01DD">
            <w:pPr>
              <w:pStyle w:val="TableText"/>
              <w:jc w:val="right"/>
              <w:rPr>
                <w:lang w:eastAsia="en-AU"/>
              </w:rPr>
            </w:pPr>
            <w:r w:rsidRPr="005B0796">
              <w:t xml:space="preserve">11.2 </w:t>
            </w:r>
          </w:p>
        </w:tc>
        <w:tc>
          <w:tcPr>
            <w:tcW w:w="438" w:type="pct"/>
          </w:tcPr>
          <w:p w:rsidR="00AF01DD" w:rsidRPr="005B0796" w:rsidRDefault="00AF01DD" w:rsidP="00AF01DD">
            <w:pPr>
              <w:pStyle w:val="TableText"/>
              <w:jc w:val="right"/>
              <w:rPr>
                <w:lang w:eastAsia="en-AU"/>
              </w:rPr>
            </w:pPr>
            <w:r w:rsidRPr="005B0796">
              <w:t>9.4, 13.4</w:t>
            </w:r>
          </w:p>
        </w:tc>
        <w:tc>
          <w:tcPr>
            <w:tcW w:w="437" w:type="pct"/>
          </w:tcPr>
          <w:p w:rsidR="00AF01DD" w:rsidRPr="005B0796" w:rsidRDefault="00AF01DD" w:rsidP="00AF01DD">
            <w:pPr>
              <w:pStyle w:val="TableText"/>
              <w:jc w:val="right"/>
              <w:rPr>
                <w:lang w:eastAsia="en-AU"/>
              </w:rPr>
            </w:pPr>
            <w:r w:rsidRPr="005B0796">
              <w:rPr>
                <w:lang w:eastAsia="en-AU"/>
              </w:rPr>
              <w:t>2783</w:t>
            </w:r>
          </w:p>
        </w:tc>
        <w:tc>
          <w:tcPr>
            <w:tcW w:w="437" w:type="pct"/>
          </w:tcPr>
          <w:p w:rsidR="00AF01DD" w:rsidRPr="005B0796" w:rsidRDefault="00AF01DD" w:rsidP="00AF01DD">
            <w:pPr>
              <w:pStyle w:val="TableText"/>
              <w:jc w:val="right"/>
              <w:rPr>
                <w:lang w:eastAsia="en-AU"/>
              </w:rPr>
            </w:pPr>
            <w:r w:rsidRPr="005B0796">
              <w:rPr>
                <w:lang w:eastAsia="en-AU"/>
              </w:rPr>
              <w:t>11.2</w:t>
            </w:r>
          </w:p>
        </w:tc>
        <w:tc>
          <w:tcPr>
            <w:tcW w:w="438" w:type="pct"/>
          </w:tcPr>
          <w:p w:rsidR="00AF01DD" w:rsidRPr="005B0796" w:rsidRDefault="00AF01DD" w:rsidP="00AF01DD">
            <w:pPr>
              <w:pStyle w:val="TableText"/>
              <w:jc w:val="right"/>
              <w:rPr>
                <w:lang w:eastAsia="en-AU"/>
              </w:rPr>
            </w:pPr>
            <w:r w:rsidRPr="005B0796">
              <w:rPr>
                <w:lang w:eastAsia="en-AU"/>
              </w:rPr>
              <w:t>8.6, 14.3</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tcPr>
          <w:p w:rsidR="00AF01DD" w:rsidRPr="005B0796" w:rsidRDefault="00AF01DD" w:rsidP="00AF01DD">
            <w:pPr>
              <w:pStyle w:val="TableText"/>
              <w:rPr>
                <w:lang w:eastAsia="en-AU"/>
              </w:rPr>
            </w:pPr>
            <w:r w:rsidRPr="005B0796">
              <w:rPr>
                <w:lang w:eastAsia="en-AU"/>
              </w:rPr>
              <w:t>Dysthymia</w:t>
            </w:r>
          </w:p>
        </w:tc>
        <w:tc>
          <w:tcPr>
            <w:tcW w:w="437" w:type="pct"/>
            <w:noWrap/>
          </w:tcPr>
          <w:p w:rsidR="00AF01DD" w:rsidRPr="005B0796" w:rsidRDefault="00AF01DD" w:rsidP="00AF01DD">
            <w:pPr>
              <w:pStyle w:val="TableText"/>
              <w:jc w:val="right"/>
              <w:rPr>
                <w:lang w:eastAsia="en-AU"/>
              </w:rPr>
            </w:pPr>
            <w:r w:rsidRPr="005B0796">
              <w:t>43</w:t>
            </w:r>
          </w:p>
        </w:tc>
        <w:tc>
          <w:tcPr>
            <w:tcW w:w="437" w:type="pct"/>
          </w:tcPr>
          <w:p w:rsidR="00AF01DD" w:rsidRPr="005B0796" w:rsidRDefault="00AF01DD" w:rsidP="00AF01DD">
            <w:pPr>
              <w:pStyle w:val="TableText"/>
              <w:jc w:val="right"/>
              <w:rPr>
                <w:lang w:eastAsia="en-AU"/>
              </w:rPr>
            </w:pPr>
            <w:r w:rsidRPr="005B0796">
              <w:t xml:space="preserve">4.4 </w:t>
            </w:r>
          </w:p>
        </w:tc>
        <w:tc>
          <w:tcPr>
            <w:tcW w:w="438" w:type="pct"/>
          </w:tcPr>
          <w:p w:rsidR="00AF01DD" w:rsidRPr="005B0796" w:rsidRDefault="00AF01DD" w:rsidP="00AF01DD">
            <w:pPr>
              <w:pStyle w:val="TableText"/>
              <w:jc w:val="right"/>
              <w:rPr>
                <w:lang w:eastAsia="en-AU"/>
              </w:rPr>
            </w:pPr>
            <w:r w:rsidRPr="005B0796">
              <w:t>3.2, 5.9</w:t>
            </w:r>
          </w:p>
        </w:tc>
        <w:tc>
          <w:tcPr>
            <w:tcW w:w="437" w:type="pct"/>
            <w:noWrap/>
          </w:tcPr>
          <w:p w:rsidR="00AF01DD" w:rsidRPr="005B0796" w:rsidRDefault="00AF01DD" w:rsidP="00AF01DD">
            <w:pPr>
              <w:pStyle w:val="TableText"/>
              <w:jc w:val="right"/>
              <w:rPr>
                <w:lang w:eastAsia="en-AU"/>
              </w:rPr>
            </w:pPr>
            <w:r w:rsidRPr="005B0796">
              <w:t>1143</w:t>
            </w:r>
          </w:p>
        </w:tc>
        <w:tc>
          <w:tcPr>
            <w:tcW w:w="437" w:type="pct"/>
          </w:tcPr>
          <w:p w:rsidR="00AF01DD" w:rsidRPr="005B0796" w:rsidRDefault="00AF01DD" w:rsidP="00AF01DD">
            <w:pPr>
              <w:pStyle w:val="TableText"/>
              <w:jc w:val="right"/>
              <w:rPr>
                <w:lang w:eastAsia="en-AU"/>
              </w:rPr>
            </w:pPr>
            <w:r w:rsidRPr="005B0796">
              <w:t xml:space="preserve">4.6 </w:t>
            </w:r>
          </w:p>
        </w:tc>
        <w:tc>
          <w:tcPr>
            <w:tcW w:w="438" w:type="pct"/>
          </w:tcPr>
          <w:p w:rsidR="00AF01DD" w:rsidRPr="005B0796" w:rsidRDefault="00AF01DD" w:rsidP="00AF01DD">
            <w:pPr>
              <w:pStyle w:val="TableText"/>
              <w:jc w:val="right"/>
              <w:rPr>
                <w:lang w:eastAsia="en-AU"/>
              </w:rPr>
            </w:pPr>
            <w:r w:rsidRPr="005B0796">
              <w:t>3.4, 6.1</w:t>
            </w:r>
          </w:p>
        </w:tc>
        <w:tc>
          <w:tcPr>
            <w:tcW w:w="437" w:type="pct"/>
          </w:tcPr>
          <w:p w:rsidR="00AF01DD" w:rsidRPr="005B0796" w:rsidRDefault="00AF01DD" w:rsidP="00AF01DD">
            <w:pPr>
              <w:pStyle w:val="TableText"/>
              <w:jc w:val="right"/>
              <w:rPr>
                <w:lang w:eastAsia="en-AU"/>
              </w:rPr>
            </w:pPr>
            <w:r w:rsidRPr="005B0796">
              <w:rPr>
                <w:lang w:eastAsia="en-AU"/>
              </w:rPr>
              <w:t>1140</w:t>
            </w:r>
          </w:p>
        </w:tc>
        <w:tc>
          <w:tcPr>
            <w:tcW w:w="437" w:type="pct"/>
          </w:tcPr>
          <w:p w:rsidR="00AF01DD" w:rsidRPr="005B0796" w:rsidRDefault="00AF01DD" w:rsidP="00AF01DD">
            <w:pPr>
              <w:pStyle w:val="TableText"/>
              <w:jc w:val="right"/>
              <w:rPr>
                <w:lang w:eastAsia="en-AU"/>
              </w:rPr>
            </w:pPr>
            <w:r w:rsidRPr="005B0796">
              <w:rPr>
                <w:lang w:eastAsia="en-AU"/>
              </w:rPr>
              <w:t>4.6</w:t>
            </w:r>
          </w:p>
        </w:tc>
        <w:tc>
          <w:tcPr>
            <w:tcW w:w="438" w:type="pct"/>
          </w:tcPr>
          <w:p w:rsidR="00AF01DD" w:rsidRPr="005B0796" w:rsidRDefault="00AF01DD" w:rsidP="00AF01DD">
            <w:pPr>
              <w:pStyle w:val="TableText"/>
              <w:jc w:val="right"/>
              <w:rPr>
                <w:lang w:eastAsia="en-AU"/>
              </w:rPr>
            </w:pPr>
            <w:r w:rsidRPr="005B0796">
              <w:rPr>
                <w:lang w:eastAsia="en-AU"/>
              </w:rPr>
              <w:t>3.1, 6.7</w:t>
            </w:r>
          </w:p>
        </w:tc>
      </w:tr>
      <w:tr w:rsidR="00AF01DD" w:rsidRPr="005B0796" w:rsidTr="00AF01DD">
        <w:tc>
          <w:tcPr>
            <w:tcW w:w="1064" w:type="pct"/>
            <w:noWrap/>
          </w:tcPr>
          <w:p w:rsidR="00AF01DD" w:rsidRPr="005B0796" w:rsidRDefault="00AF01DD" w:rsidP="00AF01DD">
            <w:pPr>
              <w:pStyle w:val="TableText"/>
              <w:rPr>
                <w:lang w:eastAsia="en-AU"/>
              </w:rPr>
            </w:pPr>
            <w:r w:rsidRPr="005B0796">
              <w:rPr>
                <w:lang w:eastAsia="en-AU"/>
              </w:rPr>
              <w:t>Bipolar affective disorder</w:t>
            </w:r>
          </w:p>
        </w:tc>
        <w:tc>
          <w:tcPr>
            <w:tcW w:w="437" w:type="pct"/>
            <w:noWrap/>
          </w:tcPr>
          <w:p w:rsidR="00AF01DD" w:rsidRPr="005B0796" w:rsidRDefault="00AF01DD" w:rsidP="00AF01DD">
            <w:pPr>
              <w:pStyle w:val="TableText"/>
              <w:jc w:val="right"/>
              <w:rPr>
                <w:lang w:eastAsia="en-AU"/>
              </w:rPr>
            </w:pPr>
            <w:r w:rsidRPr="005B0796">
              <w:t>60</w:t>
            </w:r>
          </w:p>
        </w:tc>
        <w:tc>
          <w:tcPr>
            <w:tcW w:w="437" w:type="pct"/>
          </w:tcPr>
          <w:p w:rsidR="00AF01DD" w:rsidRPr="005B0796" w:rsidRDefault="00AF01DD" w:rsidP="00AF01DD">
            <w:pPr>
              <w:pStyle w:val="TableText"/>
              <w:jc w:val="right"/>
              <w:rPr>
                <w:lang w:eastAsia="en-AU"/>
              </w:rPr>
            </w:pPr>
            <w:r w:rsidRPr="005B0796">
              <w:t xml:space="preserve">6.2 </w:t>
            </w:r>
          </w:p>
        </w:tc>
        <w:tc>
          <w:tcPr>
            <w:tcW w:w="438" w:type="pct"/>
          </w:tcPr>
          <w:p w:rsidR="00AF01DD" w:rsidRPr="005B0796" w:rsidRDefault="00AF01DD" w:rsidP="00AF01DD">
            <w:pPr>
              <w:pStyle w:val="TableText"/>
              <w:jc w:val="right"/>
              <w:rPr>
                <w:lang w:eastAsia="en-AU"/>
              </w:rPr>
            </w:pPr>
            <w:r w:rsidRPr="005B0796">
              <w:t>4.8, 7.9</w:t>
            </w:r>
          </w:p>
        </w:tc>
        <w:tc>
          <w:tcPr>
            <w:tcW w:w="437" w:type="pct"/>
            <w:noWrap/>
          </w:tcPr>
          <w:p w:rsidR="00AF01DD" w:rsidRPr="005B0796" w:rsidRDefault="00AF01DD" w:rsidP="00AF01DD">
            <w:pPr>
              <w:pStyle w:val="TableText"/>
              <w:jc w:val="right"/>
              <w:rPr>
                <w:lang w:eastAsia="en-AU"/>
              </w:rPr>
            </w:pPr>
            <w:r w:rsidRPr="005B0796">
              <w:t>1599</w:t>
            </w:r>
          </w:p>
        </w:tc>
        <w:tc>
          <w:tcPr>
            <w:tcW w:w="437" w:type="pct"/>
          </w:tcPr>
          <w:p w:rsidR="00AF01DD" w:rsidRPr="005B0796" w:rsidRDefault="00AF01DD" w:rsidP="00AF01DD">
            <w:pPr>
              <w:pStyle w:val="TableText"/>
              <w:jc w:val="right"/>
              <w:rPr>
                <w:lang w:eastAsia="en-AU"/>
              </w:rPr>
            </w:pPr>
            <w:r w:rsidRPr="005B0796">
              <w:t xml:space="preserve">6.4 </w:t>
            </w:r>
          </w:p>
        </w:tc>
        <w:tc>
          <w:tcPr>
            <w:tcW w:w="438" w:type="pct"/>
          </w:tcPr>
          <w:p w:rsidR="00AF01DD" w:rsidRPr="005B0796" w:rsidRDefault="00AF01DD" w:rsidP="00AF01DD">
            <w:pPr>
              <w:pStyle w:val="TableText"/>
              <w:jc w:val="right"/>
              <w:rPr>
                <w:lang w:eastAsia="en-AU"/>
              </w:rPr>
            </w:pPr>
            <w:r w:rsidRPr="005B0796">
              <w:t>5.0, 8.2</w:t>
            </w:r>
          </w:p>
        </w:tc>
        <w:tc>
          <w:tcPr>
            <w:tcW w:w="437" w:type="pct"/>
          </w:tcPr>
          <w:p w:rsidR="00AF01DD" w:rsidRPr="005B0796" w:rsidRDefault="00AF01DD" w:rsidP="00AF01DD">
            <w:pPr>
              <w:pStyle w:val="TableText"/>
              <w:jc w:val="right"/>
              <w:rPr>
                <w:lang w:eastAsia="en-AU"/>
              </w:rPr>
            </w:pPr>
            <w:r w:rsidRPr="005B0796">
              <w:rPr>
                <w:lang w:eastAsia="en-AU"/>
              </w:rPr>
              <w:t>2443</w:t>
            </w:r>
          </w:p>
        </w:tc>
        <w:tc>
          <w:tcPr>
            <w:tcW w:w="437" w:type="pct"/>
          </w:tcPr>
          <w:p w:rsidR="00AF01DD" w:rsidRPr="005B0796" w:rsidRDefault="00AF01DD" w:rsidP="00AF01DD">
            <w:pPr>
              <w:pStyle w:val="TableText"/>
              <w:jc w:val="right"/>
              <w:rPr>
                <w:lang w:eastAsia="en-AU"/>
              </w:rPr>
            </w:pPr>
            <w:r w:rsidRPr="005B0796">
              <w:rPr>
                <w:lang w:eastAsia="en-AU"/>
              </w:rPr>
              <w:t>9.8</w:t>
            </w:r>
          </w:p>
        </w:tc>
        <w:tc>
          <w:tcPr>
            <w:tcW w:w="438" w:type="pct"/>
          </w:tcPr>
          <w:p w:rsidR="00AF01DD" w:rsidRPr="005B0796" w:rsidRDefault="00AF01DD" w:rsidP="00AF01DD">
            <w:pPr>
              <w:pStyle w:val="TableText"/>
              <w:jc w:val="right"/>
              <w:rPr>
                <w:lang w:eastAsia="en-AU"/>
              </w:rPr>
            </w:pPr>
            <w:r w:rsidRPr="005B0796">
              <w:rPr>
                <w:lang w:eastAsia="en-AU"/>
              </w:rPr>
              <w:t>7.0, 13.5</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tcPr>
          <w:p w:rsidR="00AF01DD" w:rsidRPr="005B0796" w:rsidRDefault="00AF01DD" w:rsidP="00AF01DD">
            <w:pPr>
              <w:pStyle w:val="TableText"/>
              <w:rPr>
                <w:lang w:eastAsia="en-AU"/>
              </w:rPr>
            </w:pPr>
            <w:r w:rsidRPr="005B0796">
              <w:rPr>
                <w:lang w:eastAsia="en-AU"/>
              </w:rPr>
              <w:t>Any affective disorder</w:t>
            </w:r>
          </w:p>
        </w:tc>
        <w:tc>
          <w:tcPr>
            <w:tcW w:w="437" w:type="pct"/>
            <w:noWrap/>
          </w:tcPr>
          <w:p w:rsidR="00AF01DD" w:rsidRPr="005B0796" w:rsidRDefault="00AF01DD" w:rsidP="00AF01DD">
            <w:pPr>
              <w:pStyle w:val="TableText"/>
              <w:jc w:val="right"/>
              <w:rPr>
                <w:lang w:eastAsia="en-AU"/>
              </w:rPr>
            </w:pPr>
            <w:r w:rsidRPr="005B0796">
              <w:t>180</w:t>
            </w:r>
          </w:p>
        </w:tc>
        <w:tc>
          <w:tcPr>
            <w:tcW w:w="437" w:type="pct"/>
          </w:tcPr>
          <w:p w:rsidR="00AF01DD" w:rsidRPr="005B0796" w:rsidRDefault="00AF01DD" w:rsidP="00AF01DD">
            <w:pPr>
              <w:pStyle w:val="TableText"/>
              <w:jc w:val="right"/>
              <w:rPr>
                <w:lang w:eastAsia="en-AU"/>
              </w:rPr>
            </w:pPr>
            <w:r w:rsidRPr="005B0796">
              <w:t xml:space="preserve">18.5 </w:t>
            </w:r>
          </w:p>
        </w:tc>
        <w:tc>
          <w:tcPr>
            <w:tcW w:w="438" w:type="pct"/>
          </w:tcPr>
          <w:p w:rsidR="00AF01DD" w:rsidRPr="005B0796" w:rsidRDefault="00AF01DD" w:rsidP="00AF01DD">
            <w:pPr>
              <w:pStyle w:val="TableText"/>
              <w:jc w:val="right"/>
              <w:rPr>
                <w:lang w:eastAsia="en-AU"/>
              </w:rPr>
            </w:pPr>
            <w:r w:rsidRPr="005B0796">
              <w:t>16.1, 21.1</w:t>
            </w:r>
          </w:p>
        </w:tc>
        <w:tc>
          <w:tcPr>
            <w:tcW w:w="437" w:type="pct"/>
            <w:noWrap/>
          </w:tcPr>
          <w:p w:rsidR="00AF01DD" w:rsidRPr="005B0796" w:rsidRDefault="00AF01DD" w:rsidP="00AF01DD">
            <w:pPr>
              <w:pStyle w:val="TableText"/>
              <w:jc w:val="right"/>
              <w:rPr>
                <w:lang w:eastAsia="en-AU"/>
              </w:rPr>
            </w:pPr>
            <w:r w:rsidRPr="005B0796">
              <w:t>4739</w:t>
            </w:r>
          </w:p>
        </w:tc>
        <w:tc>
          <w:tcPr>
            <w:tcW w:w="437" w:type="pct"/>
          </w:tcPr>
          <w:p w:rsidR="00AF01DD" w:rsidRPr="005B0796" w:rsidRDefault="00AF01DD" w:rsidP="00AF01DD">
            <w:pPr>
              <w:pStyle w:val="TableText"/>
              <w:jc w:val="right"/>
              <w:rPr>
                <w:lang w:eastAsia="en-AU"/>
              </w:rPr>
            </w:pPr>
            <w:r w:rsidRPr="005B0796">
              <w:t xml:space="preserve">19 </w:t>
            </w:r>
          </w:p>
        </w:tc>
        <w:tc>
          <w:tcPr>
            <w:tcW w:w="438" w:type="pct"/>
          </w:tcPr>
          <w:p w:rsidR="00AF01DD" w:rsidRPr="005B0796" w:rsidRDefault="00AF01DD" w:rsidP="00AF01DD">
            <w:pPr>
              <w:pStyle w:val="TableText"/>
              <w:jc w:val="right"/>
              <w:rPr>
                <w:lang w:eastAsia="en-AU"/>
              </w:rPr>
            </w:pPr>
            <w:r w:rsidRPr="005B0796">
              <w:t>16.6, 21.6</w:t>
            </w:r>
          </w:p>
        </w:tc>
        <w:tc>
          <w:tcPr>
            <w:tcW w:w="437" w:type="pct"/>
          </w:tcPr>
          <w:p w:rsidR="00AF01DD" w:rsidRPr="005B0796" w:rsidRDefault="00AF01DD" w:rsidP="00AF01DD">
            <w:pPr>
              <w:pStyle w:val="TableText"/>
              <w:jc w:val="right"/>
              <w:rPr>
                <w:lang w:eastAsia="en-AU"/>
              </w:rPr>
            </w:pPr>
            <w:r w:rsidRPr="005B0796">
              <w:rPr>
                <w:lang w:eastAsia="en-AU"/>
              </w:rPr>
              <w:t>5755</w:t>
            </w:r>
          </w:p>
        </w:tc>
        <w:tc>
          <w:tcPr>
            <w:tcW w:w="437" w:type="pct"/>
          </w:tcPr>
          <w:p w:rsidR="00AF01DD" w:rsidRPr="005B0796" w:rsidRDefault="00AF01DD" w:rsidP="00AF01DD">
            <w:pPr>
              <w:pStyle w:val="TableText"/>
              <w:jc w:val="right"/>
              <w:rPr>
                <w:lang w:eastAsia="en-AU"/>
              </w:rPr>
            </w:pPr>
            <w:r w:rsidRPr="005B0796">
              <w:rPr>
                <w:lang w:eastAsia="en-AU"/>
              </w:rPr>
              <w:t>23.1</w:t>
            </w:r>
          </w:p>
        </w:tc>
        <w:tc>
          <w:tcPr>
            <w:tcW w:w="438" w:type="pct"/>
          </w:tcPr>
          <w:p w:rsidR="00AF01DD" w:rsidRPr="005B0796" w:rsidRDefault="00AF01DD" w:rsidP="00AF01DD">
            <w:pPr>
              <w:pStyle w:val="TableText"/>
              <w:jc w:val="right"/>
              <w:rPr>
                <w:lang w:eastAsia="en-AU"/>
              </w:rPr>
            </w:pPr>
            <w:r w:rsidRPr="005B0796">
              <w:rPr>
                <w:lang w:eastAsia="en-AU"/>
              </w:rPr>
              <w:t>19.2, 27.5</w:t>
            </w:r>
          </w:p>
        </w:tc>
      </w:tr>
      <w:tr w:rsidR="00AF01DD" w:rsidRPr="005B0796" w:rsidTr="00AF01DD">
        <w:tc>
          <w:tcPr>
            <w:tcW w:w="1064" w:type="pct"/>
            <w:noWrap/>
          </w:tcPr>
          <w:p w:rsidR="00AF01DD" w:rsidRPr="005B0796" w:rsidRDefault="00AF01DD" w:rsidP="00AF01DD">
            <w:pPr>
              <w:pStyle w:val="TableText"/>
              <w:rPr>
                <w:lang w:eastAsia="en-AU"/>
              </w:rPr>
            </w:pPr>
            <w:r w:rsidRPr="005B0796">
              <w:rPr>
                <w:lang w:eastAsia="en-AU"/>
              </w:rPr>
              <w:t>Alcohol harmful use</w:t>
            </w:r>
          </w:p>
        </w:tc>
        <w:tc>
          <w:tcPr>
            <w:tcW w:w="437" w:type="pct"/>
            <w:noWrap/>
          </w:tcPr>
          <w:p w:rsidR="00AF01DD" w:rsidRPr="005B0796" w:rsidRDefault="00AF01DD" w:rsidP="00AF01DD">
            <w:pPr>
              <w:pStyle w:val="TableText"/>
              <w:jc w:val="right"/>
              <w:rPr>
                <w:lang w:eastAsia="en-AU"/>
              </w:rPr>
            </w:pPr>
            <w:r w:rsidRPr="005B0796">
              <w:t>32</w:t>
            </w:r>
          </w:p>
        </w:tc>
        <w:tc>
          <w:tcPr>
            <w:tcW w:w="437" w:type="pct"/>
          </w:tcPr>
          <w:p w:rsidR="00AF01DD" w:rsidRPr="005B0796" w:rsidRDefault="00AF01DD" w:rsidP="00AF01DD">
            <w:pPr>
              <w:pStyle w:val="TableText"/>
              <w:jc w:val="right"/>
              <w:rPr>
                <w:lang w:eastAsia="en-AU"/>
              </w:rPr>
            </w:pPr>
            <w:r w:rsidRPr="005B0796">
              <w:t xml:space="preserve">3.3 </w:t>
            </w:r>
          </w:p>
        </w:tc>
        <w:tc>
          <w:tcPr>
            <w:tcW w:w="438" w:type="pct"/>
          </w:tcPr>
          <w:p w:rsidR="00AF01DD" w:rsidRPr="005B0796" w:rsidRDefault="00AF01DD" w:rsidP="00AF01DD">
            <w:pPr>
              <w:pStyle w:val="TableText"/>
              <w:jc w:val="right"/>
              <w:rPr>
                <w:lang w:eastAsia="en-AU"/>
              </w:rPr>
            </w:pPr>
            <w:r w:rsidRPr="005B0796">
              <w:t>2.3, 4.6</w:t>
            </w:r>
          </w:p>
        </w:tc>
        <w:tc>
          <w:tcPr>
            <w:tcW w:w="437" w:type="pct"/>
            <w:noWrap/>
          </w:tcPr>
          <w:p w:rsidR="00AF01DD" w:rsidRPr="005B0796" w:rsidRDefault="00AF01DD" w:rsidP="00AF01DD">
            <w:pPr>
              <w:pStyle w:val="TableText"/>
              <w:jc w:val="right"/>
              <w:rPr>
                <w:lang w:eastAsia="en-AU"/>
              </w:rPr>
            </w:pPr>
            <w:r w:rsidRPr="005B0796">
              <w:t>894</w:t>
            </w:r>
          </w:p>
        </w:tc>
        <w:tc>
          <w:tcPr>
            <w:tcW w:w="437" w:type="pct"/>
          </w:tcPr>
          <w:p w:rsidR="00AF01DD" w:rsidRPr="005B0796" w:rsidRDefault="00AF01DD" w:rsidP="00AF01DD">
            <w:pPr>
              <w:pStyle w:val="TableText"/>
              <w:jc w:val="right"/>
              <w:rPr>
                <w:lang w:eastAsia="en-AU"/>
              </w:rPr>
            </w:pPr>
            <w:r w:rsidRPr="005B0796">
              <w:t xml:space="preserve">3.6 </w:t>
            </w:r>
          </w:p>
        </w:tc>
        <w:tc>
          <w:tcPr>
            <w:tcW w:w="438" w:type="pct"/>
          </w:tcPr>
          <w:p w:rsidR="00AF01DD" w:rsidRPr="005B0796" w:rsidRDefault="00AF01DD" w:rsidP="00AF01DD">
            <w:pPr>
              <w:pStyle w:val="TableText"/>
              <w:jc w:val="right"/>
              <w:rPr>
                <w:lang w:eastAsia="en-AU"/>
              </w:rPr>
            </w:pPr>
            <w:r w:rsidRPr="005B0796">
              <w:t>2.6, 5.0</w:t>
            </w:r>
          </w:p>
        </w:tc>
        <w:tc>
          <w:tcPr>
            <w:tcW w:w="437" w:type="pct"/>
          </w:tcPr>
          <w:p w:rsidR="00AF01DD" w:rsidRPr="005B0796" w:rsidRDefault="00AF01DD" w:rsidP="00AF01DD">
            <w:pPr>
              <w:pStyle w:val="TableText"/>
              <w:jc w:val="right"/>
              <w:rPr>
                <w:lang w:eastAsia="en-AU"/>
              </w:rPr>
            </w:pPr>
            <w:r w:rsidRPr="005B0796">
              <w:rPr>
                <w:lang w:eastAsia="en-AU"/>
              </w:rPr>
              <w:t>948</w:t>
            </w:r>
          </w:p>
        </w:tc>
        <w:tc>
          <w:tcPr>
            <w:tcW w:w="437" w:type="pct"/>
          </w:tcPr>
          <w:p w:rsidR="00AF01DD" w:rsidRPr="005B0796" w:rsidRDefault="00AF01DD" w:rsidP="00AF01DD">
            <w:pPr>
              <w:pStyle w:val="TableText"/>
              <w:jc w:val="right"/>
              <w:rPr>
                <w:lang w:eastAsia="en-AU"/>
              </w:rPr>
            </w:pPr>
            <w:r w:rsidRPr="005B0796">
              <w:rPr>
                <w:lang w:eastAsia="en-AU"/>
              </w:rPr>
              <w:t>3.8</w:t>
            </w:r>
          </w:p>
        </w:tc>
        <w:tc>
          <w:tcPr>
            <w:tcW w:w="438" w:type="pct"/>
          </w:tcPr>
          <w:p w:rsidR="00AF01DD" w:rsidRPr="005B0796" w:rsidRDefault="00AF01DD" w:rsidP="00AF01DD">
            <w:pPr>
              <w:pStyle w:val="TableText"/>
              <w:jc w:val="right"/>
              <w:rPr>
                <w:lang w:eastAsia="en-AU"/>
              </w:rPr>
            </w:pPr>
            <w:r w:rsidRPr="005B0796">
              <w:rPr>
                <w:lang w:eastAsia="en-AU"/>
              </w:rPr>
              <w:t>2.3, 6.3</w:t>
            </w:r>
          </w:p>
        </w:tc>
      </w:tr>
      <w:tr w:rsidR="00AF01DD" w:rsidRPr="005B0796" w:rsidTr="00AF01DD">
        <w:trPr>
          <w:cnfStyle w:val="000000100000" w:firstRow="0" w:lastRow="0" w:firstColumn="0" w:lastColumn="0" w:oddVBand="0" w:evenVBand="0" w:oddHBand="1" w:evenHBand="0" w:firstRowFirstColumn="0" w:firstRowLastColumn="0" w:lastRowFirstColumn="0" w:lastRowLastColumn="0"/>
        </w:trPr>
        <w:tc>
          <w:tcPr>
            <w:tcW w:w="1064" w:type="pct"/>
            <w:noWrap/>
          </w:tcPr>
          <w:p w:rsidR="00AF01DD" w:rsidRPr="005B0796" w:rsidRDefault="00AF01DD" w:rsidP="00AF01DD">
            <w:pPr>
              <w:pStyle w:val="TableText"/>
              <w:rPr>
                <w:lang w:eastAsia="en-AU"/>
              </w:rPr>
            </w:pPr>
            <w:r w:rsidRPr="005B0796">
              <w:rPr>
                <w:lang w:eastAsia="en-AU"/>
              </w:rPr>
              <w:t>Alcohol dependence</w:t>
            </w:r>
          </w:p>
        </w:tc>
        <w:tc>
          <w:tcPr>
            <w:tcW w:w="437" w:type="pct"/>
            <w:noWrap/>
          </w:tcPr>
          <w:p w:rsidR="00AF01DD" w:rsidRPr="005B0796" w:rsidRDefault="00AF01DD" w:rsidP="00AF01DD">
            <w:pPr>
              <w:pStyle w:val="TableText"/>
              <w:jc w:val="right"/>
              <w:rPr>
                <w:lang w:eastAsia="en-AU"/>
              </w:rPr>
            </w:pPr>
            <w:r w:rsidRPr="005B0796">
              <w:t>50</w:t>
            </w:r>
          </w:p>
        </w:tc>
        <w:tc>
          <w:tcPr>
            <w:tcW w:w="437" w:type="pct"/>
          </w:tcPr>
          <w:p w:rsidR="00AF01DD" w:rsidRPr="005B0796" w:rsidRDefault="00AF01DD" w:rsidP="00AF01DD">
            <w:pPr>
              <w:pStyle w:val="TableText"/>
              <w:jc w:val="right"/>
              <w:rPr>
                <w:lang w:eastAsia="en-AU"/>
              </w:rPr>
            </w:pPr>
            <w:r w:rsidRPr="005B0796">
              <w:t xml:space="preserve">5.2 </w:t>
            </w:r>
          </w:p>
        </w:tc>
        <w:tc>
          <w:tcPr>
            <w:tcW w:w="438" w:type="pct"/>
          </w:tcPr>
          <w:p w:rsidR="00AF01DD" w:rsidRPr="005B0796" w:rsidRDefault="00AF01DD" w:rsidP="00AF01DD">
            <w:pPr>
              <w:pStyle w:val="TableText"/>
              <w:jc w:val="right"/>
              <w:rPr>
                <w:lang w:eastAsia="en-AU"/>
              </w:rPr>
            </w:pPr>
            <w:r w:rsidRPr="005B0796">
              <w:t>3.9, 6.7</w:t>
            </w:r>
          </w:p>
        </w:tc>
        <w:tc>
          <w:tcPr>
            <w:tcW w:w="437" w:type="pct"/>
            <w:noWrap/>
          </w:tcPr>
          <w:p w:rsidR="00AF01DD" w:rsidRPr="005B0796" w:rsidRDefault="00AF01DD" w:rsidP="00AF01DD">
            <w:pPr>
              <w:pStyle w:val="TableText"/>
              <w:jc w:val="right"/>
              <w:rPr>
                <w:lang w:eastAsia="en-AU"/>
              </w:rPr>
            </w:pPr>
            <w:r w:rsidRPr="005B0796">
              <w:t>1399</w:t>
            </w:r>
          </w:p>
        </w:tc>
        <w:tc>
          <w:tcPr>
            <w:tcW w:w="437" w:type="pct"/>
          </w:tcPr>
          <w:p w:rsidR="00AF01DD" w:rsidRPr="005B0796" w:rsidRDefault="00AF01DD" w:rsidP="00AF01DD">
            <w:pPr>
              <w:pStyle w:val="TableText"/>
              <w:jc w:val="right"/>
              <w:rPr>
                <w:lang w:eastAsia="en-AU"/>
              </w:rPr>
            </w:pPr>
            <w:r w:rsidRPr="005B0796">
              <w:t xml:space="preserve">5.6 </w:t>
            </w:r>
          </w:p>
        </w:tc>
        <w:tc>
          <w:tcPr>
            <w:tcW w:w="438" w:type="pct"/>
          </w:tcPr>
          <w:p w:rsidR="00AF01DD" w:rsidRPr="005B0796" w:rsidRDefault="00AF01DD" w:rsidP="00AF01DD">
            <w:pPr>
              <w:pStyle w:val="TableText"/>
              <w:jc w:val="right"/>
              <w:rPr>
                <w:lang w:eastAsia="en-AU"/>
              </w:rPr>
            </w:pPr>
            <w:r w:rsidRPr="005B0796">
              <w:t>4.3, 7.3</w:t>
            </w:r>
          </w:p>
        </w:tc>
        <w:tc>
          <w:tcPr>
            <w:tcW w:w="437" w:type="pct"/>
          </w:tcPr>
          <w:p w:rsidR="00AF01DD" w:rsidRPr="005B0796" w:rsidRDefault="00AF01DD" w:rsidP="00AF01DD">
            <w:pPr>
              <w:pStyle w:val="TableText"/>
              <w:jc w:val="right"/>
              <w:rPr>
                <w:lang w:eastAsia="en-AU"/>
              </w:rPr>
            </w:pPr>
            <w:r w:rsidRPr="005B0796">
              <w:rPr>
                <w:lang w:eastAsia="en-AU"/>
              </w:rPr>
              <w:t>2271</w:t>
            </w:r>
          </w:p>
        </w:tc>
        <w:tc>
          <w:tcPr>
            <w:tcW w:w="437" w:type="pct"/>
          </w:tcPr>
          <w:p w:rsidR="00AF01DD" w:rsidRPr="005B0796" w:rsidRDefault="00AF01DD" w:rsidP="00AF01DD">
            <w:pPr>
              <w:pStyle w:val="TableText"/>
              <w:jc w:val="right"/>
              <w:rPr>
                <w:lang w:eastAsia="en-AU"/>
              </w:rPr>
            </w:pPr>
            <w:r w:rsidRPr="005B0796">
              <w:rPr>
                <w:lang w:eastAsia="en-AU"/>
              </w:rPr>
              <w:t>9.1</w:t>
            </w:r>
          </w:p>
        </w:tc>
        <w:tc>
          <w:tcPr>
            <w:tcW w:w="438" w:type="pct"/>
          </w:tcPr>
          <w:p w:rsidR="00AF01DD" w:rsidRPr="005B0796" w:rsidRDefault="00AF01DD" w:rsidP="00AF01DD">
            <w:pPr>
              <w:pStyle w:val="TableText"/>
              <w:jc w:val="right"/>
              <w:rPr>
                <w:lang w:eastAsia="en-AU"/>
              </w:rPr>
            </w:pPr>
            <w:r w:rsidRPr="005B0796">
              <w:rPr>
                <w:lang w:eastAsia="en-AU"/>
              </w:rPr>
              <w:t>6.4, 12.8</w:t>
            </w:r>
          </w:p>
        </w:tc>
      </w:tr>
      <w:tr w:rsidR="00AF01DD" w:rsidRPr="005B0796" w:rsidTr="00AF01DD">
        <w:tc>
          <w:tcPr>
            <w:tcW w:w="1064" w:type="pct"/>
            <w:noWrap/>
          </w:tcPr>
          <w:p w:rsidR="00AF01DD" w:rsidRPr="005B0796" w:rsidRDefault="00AF01DD" w:rsidP="00AF01DD">
            <w:pPr>
              <w:pStyle w:val="TableText"/>
              <w:rPr>
                <w:lang w:eastAsia="en-AU"/>
              </w:rPr>
            </w:pPr>
            <w:r w:rsidRPr="005B0796">
              <w:rPr>
                <w:lang w:eastAsia="en-AU"/>
              </w:rPr>
              <w:t>Any alcohol disorder</w:t>
            </w:r>
          </w:p>
        </w:tc>
        <w:tc>
          <w:tcPr>
            <w:tcW w:w="437" w:type="pct"/>
            <w:noWrap/>
          </w:tcPr>
          <w:p w:rsidR="00AF01DD" w:rsidRPr="005B0796" w:rsidRDefault="00AF01DD" w:rsidP="00AF01DD">
            <w:pPr>
              <w:pStyle w:val="TableText"/>
              <w:jc w:val="right"/>
              <w:rPr>
                <w:lang w:eastAsia="en-AU"/>
              </w:rPr>
            </w:pPr>
            <w:r w:rsidRPr="005B0796">
              <w:t>82</w:t>
            </w:r>
          </w:p>
        </w:tc>
        <w:tc>
          <w:tcPr>
            <w:tcW w:w="437" w:type="pct"/>
          </w:tcPr>
          <w:p w:rsidR="00AF01DD" w:rsidRPr="005B0796" w:rsidRDefault="00AF01DD" w:rsidP="00AF01DD">
            <w:pPr>
              <w:pStyle w:val="TableText"/>
              <w:jc w:val="right"/>
              <w:rPr>
                <w:lang w:eastAsia="en-AU"/>
              </w:rPr>
            </w:pPr>
            <w:r w:rsidRPr="005B0796">
              <w:t xml:space="preserve">8.4 </w:t>
            </w:r>
          </w:p>
        </w:tc>
        <w:tc>
          <w:tcPr>
            <w:tcW w:w="438" w:type="pct"/>
          </w:tcPr>
          <w:p w:rsidR="00AF01DD" w:rsidRPr="005B0796" w:rsidRDefault="00AF01DD" w:rsidP="00AF01DD">
            <w:pPr>
              <w:pStyle w:val="TableText"/>
              <w:jc w:val="right"/>
              <w:rPr>
                <w:lang w:eastAsia="en-AU"/>
              </w:rPr>
            </w:pPr>
            <w:r w:rsidRPr="005B0796">
              <w:t>6.8, 10.4</w:t>
            </w:r>
          </w:p>
        </w:tc>
        <w:tc>
          <w:tcPr>
            <w:tcW w:w="437" w:type="pct"/>
            <w:noWrap/>
          </w:tcPr>
          <w:p w:rsidR="00AF01DD" w:rsidRPr="005B0796" w:rsidRDefault="00AF01DD" w:rsidP="00AF01DD">
            <w:pPr>
              <w:pStyle w:val="TableText"/>
              <w:jc w:val="right"/>
              <w:rPr>
                <w:lang w:eastAsia="en-AU"/>
              </w:rPr>
            </w:pPr>
            <w:r w:rsidRPr="005B0796">
              <w:t>2293</w:t>
            </w:r>
          </w:p>
        </w:tc>
        <w:tc>
          <w:tcPr>
            <w:tcW w:w="437" w:type="pct"/>
          </w:tcPr>
          <w:p w:rsidR="00AF01DD" w:rsidRPr="005B0796" w:rsidRDefault="00AF01DD" w:rsidP="00AF01DD">
            <w:pPr>
              <w:pStyle w:val="TableText"/>
              <w:jc w:val="right"/>
              <w:rPr>
                <w:lang w:eastAsia="en-AU"/>
              </w:rPr>
            </w:pPr>
            <w:r w:rsidRPr="005B0796">
              <w:t xml:space="preserve">9.2 </w:t>
            </w:r>
          </w:p>
        </w:tc>
        <w:tc>
          <w:tcPr>
            <w:tcW w:w="438" w:type="pct"/>
          </w:tcPr>
          <w:p w:rsidR="00AF01DD" w:rsidRPr="005B0796" w:rsidRDefault="00AF01DD" w:rsidP="00AF01DD">
            <w:pPr>
              <w:pStyle w:val="TableText"/>
              <w:jc w:val="right"/>
              <w:rPr>
                <w:lang w:eastAsia="en-AU"/>
              </w:rPr>
            </w:pPr>
            <w:r w:rsidRPr="005B0796">
              <w:t>7.5, 11.2</w:t>
            </w:r>
          </w:p>
        </w:tc>
        <w:tc>
          <w:tcPr>
            <w:tcW w:w="437" w:type="pct"/>
          </w:tcPr>
          <w:p w:rsidR="00AF01DD" w:rsidRPr="005B0796" w:rsidRDefault="00AF01DD" w:rsidP="00AF01DD">
            <w:pPr>
              <w:pStyle w:val="TableText"/>
              <w:jc w:val="right"/>
              <w:rPr>
                <w:lang w:eastAsia="en-AU"/>
              </w:rPr>
            </w:pPr>
            <w:r w:rsidRPr="005B0796">
              <w:rPr>
                <w:lang w:eastAsia="en-AU"/>
              </w:rPr>
              <w:t>3219</w:t>
            </w:r>
          </w:p>
        </w:tc>
        <w:tc>
          <w:tcPr>
            <w:tcW w:w="437" w:type="pct"/>
          </w:tcPr>
          <w:p w:rsidR="00AF01DD" w:rsidRPr="005B0796" w:rsidRDefault="00AF01DD" w:rsidP="00AF01DD">
            <w:pPr>
              <w:pStyle w:val="TableText"/>
              <w:jc w:val="right"/>
              <w:rPr>
                <w:lang w:eastAsia="en-AU"/>
              </w:rPr>
            </w:pPr>
            <w:r w:rsidRPr="005B0796">
              <w:rPr>
                <w:lang w:eastAsia="en-AU"/>
              </w:rPr>
              <w:t>12.9</w:t>
            </w:r>
          </w:p>
        </w:tc>
        <w:tc>
          <w:tcPr>
            <w:tcW w:w="438" w:type="pct"/>
          </w:tcPr>
          <w:p w:rsidR="00AF01DD" w:rsidRPr="005B0796" w:rsidRDefault="00AF01DD" w:rsidP="00AF01DD">
            <w:pPr>
              <w:pStyle w:val="TableText"/>
              <w:jc w:val="right"/>
              <w:rPr>
                <w:lang w:eastAsia="en-AU"/>
              </w:rPr>
            </w:pPr>
            <w:r w:rsidRPr="005B0796">
              <w:rPr>
                <w:lang w:eastAsia="en-AU"/>
              </w:rPr>
              <w:t>9.8, 16.9</w:t>
            </w:r>
          </w:p>
        </w:tc>
      </w:tr>
    </w:tbl>
    <w:p w:rsidR="007247A9" w:rsidRPr="005B0796" w:rsidRDefault="007247A9" w:rsidP="00AF01DD">
      <w:pPr>
        <w:pStyle w:val="TableNotes"/>
      </w:pPr>
    </w:p>
    <w:p w:rsidR="00786B1D" w:rsidRPr="005B0796" w:rsidRDefault="00786B1D" w:rsidP="00D123CA">
      <w:pPr>
        <w:sectPr w:rsidR="00786B1D" w:rsidRPr="005B0796" w:rsidSect="00BE66A5">
          <w:headerReference w:type="even" r:id="rId298"/>
          <w:headerReference w:type="default" r:id="rId299"/>
          <w:footerReference w:type="even" r:id="rId300"/>
          <w:footerReference w:type="default" r:id="rId301"/>
          <w:pgSz w:w="14170" w:h="9979" w:orient="landscape" w:code="243"/>
          <w:pgMar w:top="1872" w:right="1440" w:bottom="1152" w:left="1440" w:header="576" w:footer="576" w:gutter="0"/>
          <w:cols w:space="708"/>
          <w:docGrid w:linePitch="360"/>
        </w:sectPr>
      </w:pPr>
    </w:p>
    <w:p w:rsidR="00E54791" w:rsidRPr="005B0796" w:rsidRDefault="00E54791" w:rsidP="00134AF3">
      <w:pPr>
        <w:pStyle w:val="Heading1b"/>
        <w:numPr>
          <w:ilvl w:val="0"/>
          <w:numId w:val="0"/>
        </w:numPr>
      </w:pPr>
      <w:bookmarkStart w:id="1663" w:name="_Toc494449822"/>
      <w:bookmarkStart w:id="1664" w:name="_Toc511900392"/>
      <w:r w:rsidRPr="005B0796">
        <w:t>Acronyms</w:t>
      </w:r>
      <w:bookmarkEnd w:id="1663"/>
      <w:bookmarkEnd w:id="1664"/>
    </w:p>
    <w:tbl>
      <w:tblPr>
        <w:tblW w:w="5000" w:type="pct"/>
        <w:tblLayout w:type="fixed"/>
        <w:tblLook w:val="04A0" w:firstRow="1" w:lastRow="0" w:firstColumn="1" w:lastColumn="0" w:noHBand="0" w:noVBand="1"/>
      </w:tblPr>
      <w:tblGrid>
        <w:gridCol w:w="1458"/>
        <w:gridCol w:w="5857"/>
      </w:tblGrid>
      <w:tr w:rsidR="002559F0" w:rsidRPr="005B0796" w:rsidTr="0066773E">
        <w:trPr>
          <w:cantSplit/>
        </w:trPr>
        <w:tc>
          <w:tcPr>
            <w:tcW w:w="1458" w:type="dxa"/>
            <w:hideMark/>
          </w:tcPr>
          <w:p w:rsidR="002559F0" w:rsidRPr="005B0796" w:rsidRDefault="002559F0" w:rsidP="0066773E">
            <w:pPr>
              <w:spacing w:after="120"/>
              <w:rPr>
                <w:rFonts w:asciiTheme="minorHAnsi" w:hAnsiTheme="minorHAnsi"/>
              </w:rPr>
            </w:pPr>
            <w:bookmarkStart w:id="1665" w:name="_Hlk489948948"/>
            <w:r w:rsidRPr="005B0796">
              <w:t>ABS</w:t>
            </w:r>
          </w:p>
        </w:tc>
        <w:tc>
          <w:tcPr>
            <w:tcW w:w="5857" w:type="dxa"/>
            <w:hideMark/>
          </w:tcPr>
          <w:p w:rsidR="002559F0" w:rsidRPr="005B0796" w:rsidRDefault="002559F0" w:rsidP="0066773E">
            <w:pPr>
              <w:spacing w:after="120"/>
            </w:pPr>
            <w:r w:rsidRPr="005B0796">
              <w:t>Australian Bureau of Statistics</w:t>
            </w:r>
          </w:p>
        </w:tc>
      </w:tr>
      <w:tr w:rsidR="002559F0" w:rsidRPr="005B0796" w:rsidTr="0066773E">
        <w:trPr>
          <w:cantSplit/>
        </w:trPr>
        <w:tc>
          <w:tcPr>
            <w:tcW w:w="1458" w:type="dxa"/>
            <w:hideMark/>
          </w:tcPr>
          <w:p w:rsidR="002559F0" w:rsidRPr="005B0796" w:rsidRDefault="002559F0" w:rsidP="0066773E">
            <w:pPr>
              <w:spacing w:after="120"/>
            </w:pPr>
            <w:r w:rsidRPr="005B0796">
              <w:t>ADF</w:t>
            </w:r>
          </w:p>
        </w:tc>
        <w:tc>
          <w:tcPr>
            <w:tcW w:w="5857" w:type="dxa"/>
            <w:hideMark/>
          </w:tcPr>
          <w:p w:rsidR="002559F0" w:rsidRPr="005B0796" w:rsidRDefault="002559F0" w:rsidP="0066773E">
            <w:pPr>
              <w:spacing w:after="120"/>
            </w:pPr>
            <w:r w:rsidRPr="005B0796">
              <w:t>Australian Defence Force</w:t>
            </w:r>
          </w:p>
        </w:tc>
      </w:tr>
      <w:tr w:rsidR="002559F0" w:rsidRPr="005B0796" w:rsidTr="0066773E">
        <w:trPr>
          <w:cantSplit/>
        </w:trPr>
        <w:tc>
          <w:tcPr>
            <w:tcW w:w="1458" w:type="dxa"/>
            <w:hideMark/>
          </w:tcPr>
          <w:p w:rsidR="002559F0" w:rsidRPr="005B0796" w:rsidRDefault="002559F0" w:rsidP="0066773E">
            <w:pPr>
              <w:spacing w:after="120"/>
            </w:pPr>
            <w:r w:rsidRPr="005B0796">
              <w:t>AIFS</w:t>
            </w:r>
          </w:p>
        </w:tc>
        <w:tc>
          <w:tcPr>
            <w:tcW w:w="5857" w:type="dxa"/>
            <w:hideMark/>
          </w:tcPr>
          <w:p w:rsidR="002559F0" w:rsidRPr="005B0796" w:rsidRDefault="002559F0" w:rsidP="0066773E">
            <w:pPr>
              <w:spacing w:after="120"/>
            </w:pPr>
            <w:r w:rsidRPr="005B0796">
              <w:t>Australian Institute of Family Studies</w:t>
            </w:r>
          </w:p>
        </w:tc>
      </w:tr>
      <w:tr w:rsidR="002559F0" w:rsidRPr="005B0796" w:rsidTr="0066773E">
        <w:trPr>
          <w:cantSplit/>
        </w:trPr>
        <w:tc>
          <w:tcPr>
            <w:tcW w:w="1458" w:type="dxa"/>
            <w:hideMark/>
          </w:tcPr>
          <w:p w:rsidR="002559F0" w:rsidRPr="005B0796" w:rsidRDefault="002559F0" w:rsidP="0066773E">
            <w:pPr>
              <w:spacing w:after="120"/>
            </w:pPr>
            <w:r w:rsidRPr="005B0796">
              <w:t>AIHW</w:t>
            </w:r>
          </w:p>
        </w:tc>
        <w:tc>
          <w:tcPr>
            <w:tcW w:w="5857" w:type="dxa"/>
            <w:hideMark/>
          </w:tcPr>
          <w:p w:rsidR="002559F0" w:rsidRPr="005B0796" w:rsidRDefault="002559F0" w:rsidP="0066773E">
            <w:pPr>
              <w:spacing w:after="120"/>
            </w:pPr>
            <w:r w:rsidRPr="005B0796">
              <w:t>Australian Institute of Health and Welfare</w:t>
            </w:r>
          </w:p>
        </w:tc>
      </w:tr>
      <w:tr w:rsidR="002559F0" w:rsidRPr="005B0796" w:rsidTr="0066773E">
        <w:trPr>
          <w:cantSplit/>
        </w:trPr>
        <w:tc>
          <w:tcPr>
            <w:tcW w:w="1458" w:type="dxa"/>
            <w:hideMark/>
          </w:tcPr>
          <w:p w:rsidR="002559F0" w:rsidRPr="005B0796" w:rsidRDefault="002559F0" w:rsidP="0066773E">
            <w:pPr>
              <w:spacing w:after="120"/>
            </w:pPr>
            <w:r w:rsidRPr="005B0796">
              <w:t>AUDIT</w:t>
            </w:r>
          </w:p>
        </w:tc>
        <w:tc>
          <w:tcPr>
            <w:tcW w:w="5857" w:type="dxa"/>
            <w:hideMark/>
          </w:tcPr>
          <w:p w:rsidR="002559F0" w:rsidRPr="005B0796" w:rsidRDefault="002559F0" w:rsidP="0066773E">
            <w:pPr>
              <w:spacing w:after="120"/>
            </w:pPr>
            <w:r w:rsidRPr="005B0796">
              <w:t>Alcohol Use Disorders Identification Test</w:t>
            </w:r>
          </w:p>
        </w:tc>
      </w:tr>
      <w:tr w:rsidR="002559F0" w:rsidRPr="005B0796" w:rsidTr="0066773E">
        <w:trPr>
          <w:cantSplit/>
        </w:trPr>
        <w:tc>
          <w:tcPr>
            <w:tcW w:w="1458" w:type="dxa"/>
            <w:hideMark/>
          </w:tcPr>
          <w:p w:rsidR="002559F0" w:rsidRPr="005B0796" w:rsidRDefault="002559F0" w:rsidP="0066773E">
            <w:pPr>
              <w:spacing w:after="120"/>
            </w:pPr>
            <w:r w:rsidRPr="005B0796">
              <w:t>BRS</w:t>
            </w:r>
          </w:p>
        </w:tc>
        <w:tc>
          <w:tcPr>
            <w:tcW w:w="5857" w:type="dxa"/>
            <w:hideMark/>
          </w:tcPr>
          <w:p w:rsidR="002559F0" w:rsidRPr="005B0796" w:rsidRDefault="002559F0" w:rsidP="0066773E">
            <w:pPr>
              <w:spacing w:after="120"/>
            </w:pPr>
            <w:r w:rsidRPr="005B0796">
              <w:t>Ohio State University Brief Resilience Scale</w:t>
            </w:r>
          </w:p>
        </w:tc>
      </w:tr>
      <w:tr w:rsidR="002559F0" w:rsidRPr="005B0796" w:rsidTr="0066773E">
        <w:trPr>
          <w:cantSplit/>
        </w:trPr>
        <w:tc>
          <w:tcPr>
            <w:tcW w:w="1458" w:type="dxa"/>
            <w:hideMark/>
          </w:tcPr>
          <w:p w:rsidR="002559F0" w:rsidRPr="005B0796" w:rsidRDefault="002559F0" w:rsidP="0066773E">
            <w:pPr>
              <w:spacing w:after="120"/>
            </w:pPr>
            <w:r w:rsidRPr="005B0796">
              <w:t>CI</w:t>
            </w:r>
          </w:p>
        </w:tc>
        <w:tc>
          <w:tcPr>
            <w:tcW w:w="5857" w:type="dxa"/>
            <w:hideMark/>
          </w:tcPr>
          <w:p w:rsidR="002559F0" w:rsidRPr="005B0796" w:rsidRDefault="002559F0" w:rsidP="0066773E">
            <w:pPr>
              <w:spacing w:after="120"/>
            </w:pPr>
            <w:r w:rsidRPr="005B0796">
              <w:t>Confidence interval</w:t>
            </w:r>
          </w:p>
        </w:tc>
      </w:tr>
      <w:tr w:rsidR="002559F0" w:rsidRPr="005B0796" w:rsidTr="0066773E">
        <w:trPr>
          <w:cantSplit/>
        </w:trPr>
        <w:tc>
          <w:tcPr>
            <w:tcW w:w="1458" w:type="dxa"/>
            <w:hideMark/>
          </w:tcPr>
          <w:p w:rsidR="002559F0" w:rsidRPr="005B0796" w:rsidRDefault="002559F0" w:rsidP="0066773E">
            <w:pPr>
              <w:spacing w:after="120"/>
            </w:pPr>
            <w:r w:rsidRPr="005B0796">
              <w:t>CRC</w:t>
            </w:r>
          </w:p>
        </w:tc>
        <w:tc>
          <w:tcPr>
            <w:tcW w:w="5857" w:type="dxa"/>
            <w:hideMark/>
          </w:tcPr>
          <w:p w:rsidR="002559F0" w:rsidRPr="005B0796" w:rsidRDefault="002559F0" w:rsidP="0066773E">
            <w:pPr>
              <w:spacing w:after="120"/>
            </w:pPr>
            <w:r w:rsidRPr="005B0796">
              <w:t>Cooperative Research Centre</w:t>
            </w:r>
          </w:p>
        </w:tc>
      </w:tr>
      <w:tr w:rsidR="002559F0" w:rsidRPr="005B0796" w:rsidTr="0066773E">
        <w:trPr>
          <w:cantSplit/>
        </w:trPr>
        <w:tc>
          <w:tcPr>
            <w:tcW w:w="1458" w:type="dxa"/>
            <w:hideMark/>
          </w:tcPr>
          <w:p w:rsidR="002559F0" w:rsidRPr="005B0796" w:rsidRDefault="002559F0" w:rsidP="0066773E">
            <w:pPr>
              <w:spacing w:after="120"/>
            </w:pPr>
            <w:r w:rsidRPr="005B0796">
              <w:t>CTSS</w:t>
            </w:r>
          </w:p>
        </w:tc>
        <w:tc>
          <w:tcPr>
            <w:tcW w:w="5857" w:type="dxa"/>
            <w:hideMark/>
          </w:tcPr>
          <w:p w:rsidR="002559F0" w:rsidRPr="005B0796" w:rsidRDefault="002559F0" w:rsidP="0066773E">
            <w:pPr>
              <w:spacing w:after="120"/>
            </w:pPr>
            <w:r w:rsidRPr="005B0796">
              <w:t>Centre for Traumatic Stress Studies</w:t>
            </w:r>
          </w:p>
        </w:tc>
      </w:tr>
      <w:tr w:rsidR="002559F0" w:rsidRPr="005B0796" w:rsidTr="0066773E">
        <w:trPr>
          <w:cantSplit/>
        </w:trPr>
        <w:tc>
          <w:tcPr>
            <w:tcW w:w="1458" w:type="dxa"/>
            <w:hideMark/>
          </w:tcPr>
          <w:p w:rsidR="002559F0" w:rsidRPr="005B0796" w:rsidRDefault="002559F0" w:rsidP="0066773E">
            <w:pPr>
              <w:spacing w:after="120"/>
            </w:pPr>
            <w:r w:rsidRPr="005B0796">
              <w:t>DAR-5</w:t>
            </w:r>
          </w:p>
        </w:tc>
        <w:tc>
          <w:tcPr>
            <w:tcW w:w="5857" w:type="dxa"/>
            <w:hideMark/>
          </w:tcPr>
          <w:p w:rsidR="002559F0" w:rsidRPr="005B0796" w:rsidRDefault="002559F0" w:rsidP="0066773E">
            <w:pPr>
              <w:spacing w:after="120"/>
            </w:pPr>
            <w:bookmarkStart w:id="1666" w:name="_Hlk489440151"/>
            <w:r w:rsidRPr="005B0796">
              <w:t xml:space="preserve">Dimensions of Anger Reactions Scale </w:t>
            </w:r>
            <w:bookmarkEnd w:id="1666"/>
          </w:p>
        </w:tc>
      </w:tr>
      <w:tr w:rsidR="002559F0" w:rsidRPr="005B0796" w:rsidTr="0066773E">
        <w:trPr>
          <w:cantSplit/>
        </w:trPr>
        <w:tc>
          <w:tcPr>
            <w:tcW w:w="1458" w:type="dxa"/>
            <w:hideMark/>
          </w:tcPr>
          <w:p w:rsidR="002559F0" w:rsidRPr="005B0796" w:rsidRDefault="002559F0" w:rsidP="0066773E">
            <w:pPr>
              <w:spacing w:after="120"/>
            </w:pPr>
            <w:r w:rsidRPr="005B0796">
              <w:t>DMAC</w:t>
            </w:r>
          </w:p>
        </w:tc>
        <w:tc>
          <w:tcPr>
            <w:tcW w:w="5857" w:type="dxa"/>
            <w:hideMark/>
          </w:tcPr>
          <w:p w:rsidR="002559F0" w:rsidRPr="005B0796" w:rsidRDefault="002559F0" w:rsidP="0066773E">
            <w:pPr>
              <w:spacing w:after="120"/>
            </w:pPr>
            <w:r w:rsidRPr="005B0796">
              <w:t>Data Management &amp; Analysis Centre</w:t>
            </w:r>
          </w:p>
        </w:tc>
      </w:tr>
      <w:tr w:rsidR="002559F0" w:rsidRPr="005B0796" w:rsidTr="0066773E">
        <w:trPr>
          <w:cantSplit/>
        </w:trPr>
        <w:tc>
          <w:tcPr>
            <w:tcW w:w="1458" w:type="dxa"/>
            <w:hideMark/>
          </w:tcPr>
          <w:p w:rsidR="002559F0" w:rsidRPr="005B0796" w:rsidRDefault="002559F0" w:rsidP="0066773E">
            <w:pPr>
              <w:spacing w:after="120"/>
            </w:pPr>
            <w:r w:rsidRPr="005B0796">
              <w:t>DSM-IV</w:t>
            </w:r>
          </w:p>
        </w:tc>
        <w:tc>
          <w:tcPr>
            <w:tcW w:w="5857" w:type="dxa"/>
            <w:hideMark/>
          </w:tcPr>
          <w:p w:rsidR="002559F0" w:rsidRPr="005B0796" w:rsidRDefault="002559F0" w:rsidP="0066773E">
            <w:pPr>
              <w:spacing w:after="120"/>
            </w:pPr>
            <w:r w:rsidRPr="005B0796">
              <w:t>Diagnostic and Statistical Manual of Mental Disorders – 4th edition</w:t>
            </w:r>
          </w:p>
        </w:tc>
      </w:tr>
      <w:tr w:rsidR="002559F0" w:rsidRPr="005B0796" w:rsidTr="0066773E">
        <w:trPr>
          <w:cantSplit/>
        </w:trPr>
        <w:tc>
          <w:tcPr>
            <w:tcW w:w="1458" w:type="dxa"/>
            <w:hideMark/>
          </w:tcPr>
          <w:p w:rsidR="002559F0" w:rsidRPr="005B0796" w:rsidRDefault="002559F0" w:rsidP="0066773E">
            <w:pPr>
              <w:spacing w:after="120"/>
            </w:pPr>
            <w:r w:rsidRPr="005B0796">
              <w:t>DVA</w:t>
            </w:r>
          </w:p>
        </w:tc>
        <w:tc>
          <w:tcPr>
            <w:tcW w:w="5857" w:type="dxa"/>
            <w:hideMark/>
          </w:tcPr>
          <w:p w:rsidR="002559F0" w:rsidRPr="005B0796" w:rsidRDefault="002559F0" w:rsidP="0066773E">
            <w:pPr>
              <w:spacing w:after="120"/>
            </w:pPr>
            <w:bookmarkStart w:id="1667" w:name="_Hlk489432995"/>
            <w:r w:rsidRPr="005B0796">
              <w:t>Department of Veterans</w:t>
            </w:r>
            <w:r w:rsidR="00462A0C" w:rsidRPr="005B0796">
              <w:t>’</w:t>
            </w:r>
            <w:r w:rsidRPr="005B0796">
              <w:t xml:space="preserve"> Affairs</w:t>
            </w:r>
            <w:bookmarkEnd w:id="1667"/>
          </w:p>
        </w:tc>
      </w:tr>
      <w:tr w:rsidR="002559F0" w:rsidRPr="005B0796" w:rsidTr="0066773E">
        <w:trPr>
          <w:cantSplit/>
        </w:trPr>
        <w:tc>
          <w:tcPr>
            <w:tcW w:w="1458" w:type="dxa"/>
            <w:hideMark/>
          </w:tcPr>
          <w:p w:rsidR="002559F0" w:rsidRPr="005B0796" w:rsidRDefault="002559F0" w:rsidP="0066773E">
            <w:pPr>
              <w:spacing w:after="120"/>
            </w:pPr>
            <w:r w:rsidRPr="005B0796">
              <w:t>ESO</w:t>
            </w:r>
          </w:p>
        </w:tc>
        <w:tc>
          <w:tcPr>
            <w:tcW w:w="5857" w:type="dxa"/>
            <w:hideMark/>
          </w:tcPr>
          <w:p w:rsidR="002559F0" w:rsidRPr="005B0796" w:rsidRDefault="002559F0" w:rsidP="0066773E">
            <w:pPr>
              <w:spacing w:after="120"/>
            </w:pPr>
            <w:r w:rsidRPr="005B0796">
              <w:t>Ex-service organisation</w:t>
            </w:r>
          </w:p>
        </w:tc>
      </w:tr>
      <w:tr w:rsidR="002559F0" w:rsidRPr="005B0796" w:rsidTr="0066773E">
        <w:trPr>
          <w:cantSplit/>
        </w:trPr>
        <w:tc>
          <w:tcPr>
            <w:tcW w:w="1458" w:type="dxa"/>
            <w:hideMark/>
          </w:tcPr>
          <w:p w:rsidR="002559F0" w:rsidRPr="005B0796" w:rsidRDefault="002559F0" w:rsidP="0066773E">
            <w:pPr>
              <w:spacing w:after="120"/>
            </w:pPr>
            <w:r w:rsidRPr="005B0796">
              <w:t>GAD</w:t>
            </w:r>
          </w:p>
        </w:tc>
        <w:tc>
          <w:tcPr>
            <w:tcW w:w="5857" w:type="dxa"/>
            <w:hideMark/>
          </w:tcPr>
          <w:p w:rsidR="002559F0" w:rsidRPr="005B0796" w:rsidRDefault="002559F0" w:rsidP="0066773E">
            <w:pPr>
              <w:spacing w:after="120"/>
            </w:pPr>
            <w:r w:rsidRPr="005B0796">
              <w:t>Generalised anxiety disorder</w:t>
            </w:r>
          </w:p>
        </w:tc>
      </w:tr>
      <w:tr w:rsidR="002559F0" w:rsidRPr="005B0796" w:rsidTr="0066773E">
        <w:trPr>
          <w:cantSplit/>
        </w:trPr>
        <w:tc>
          <w:tcPr>
            <w:tcW w:w="1458" w:type="dxa"/>
            <w:hideMark/>
          </w:tcPr>
          <w:p w:rsidR="002559F0" w:rsidRPr="005B0796" w:rsidRDefault="002559F0" w:rsidP="0066773E">
            <w:pPr>
              <w:spacing w:after="120"/>
            </w:pPr>
            <w:r w:rsidRPr="005B0796">
              <w:t>GAD-7</w:t>
            </w:r>
          </w:p>
        </w:tc>
        <w:tc>
          <w:tcPr>
            <w:tcW w:w="5857" w:type="dxa"/>
            <w:hideMark/>
          </w:tcPr>
          <w:p w:rsidR="002559F0" w:rsidRPr="005B0796" w:rsidRDefault="002559F0" w:rsidP="0066773E">
            <w:pPr>
              <w:spacing w:after="120"/>
            </w:pPr>
            <w:r w:rsidRPr="005B0796">
              <w:t>Generalised Anxiety Disorder 7-item Scale</w:t>
            </w:r>
          </w:p>
        </w:tc>
      </w:tr>
      <w:tr w:rsidR="002559F0" w:rsidRPr="005B0796" w:rsidTr="0066773E">
        <w:trPr>
          <w:cantSplit/>
        </w:trPr>
        <w:tc>
          <w:tcPr>
            <w:tcW w:w="1458" w:type="dxa"/>
            <w:hideMark/>
          </w:tcPr>
          <w:p w:rsidR="002559F0" w:rsidRPr="005B0796" w:rsidRDefault="002559F0" w:rsidP="0066773E">
            <w:pPr>
              <w:spacing w:after="120"/>
            </w:pPr>
            <w:r w:rsidRPr="005B0796">
              <w:t>HILDA</w:t>
            </w:r>
          </w:p>
        </w:tc>
        <w:tc>
          <w:tcPr>
            <w:tcW w:w="5857" w:type="dxa"/>
            <w:hideMark/>
          </w:tcPr>
          <w:p w:rsidR="002559F0" w:rsidRPr="005B0796" w:rsidRDefault="002559F0" w:rsidP="0066773E">
            <w:pPr>
              <w:spacing w:after="120"/>
            </w:pPr>
            <w:r w:rsidRPr="005B0796">
              <w:t>Household, Income and Labour Dynamics in Australia</w:t>
            </w:r>
          </w:p>
        </w:tc>
      </w:tr>
      <w:tr w:rsidR="002559F0" w:rsidRPr="005B0796" w:rsidTr="0066773E">
        <w:trPr>
          <w:cantSplit/>
        </w:trPr>
        <w:tc>
          <w:tcPr>
            <w:tcW w:w="1458" w:type="dxa"/>
            <w:hideMark/>
          </w:tcPr>
          <w:p w:rsidR="002559F0" w:rsidRPr="005B0796" w:rsidRDefault="002559F0" w:rsidP="0066773E">
            <w:pPr>
              <w:spacing w:after="120"/>
            </w:pPr>
            <w:r w:rsidRPr="005B0796">
              <w:t>HREC</w:t>
            </w:r>
          </w:p>
        </w:tc>
        <w:tc>
          <w:tcPr>
            <w:tcW w:w="5857" w:type="dxa"/>
            <w:hideMark/>
          </w:tcPr>
          <w:p w:rsidR="002559F0" w:rsidRPr="005B0796" w:rsidRDefault="002559F0" w:rsidP="0066773E">
            <w:pPr>
              <w:spacing w:after="120"/>
            </w:pPr>
            <w:r w:rsidRPr="005B0796">
              <w:t>Human Research Ethics Committee</w:t>
            </w:r>
          </w:p>
        </w:tc>
      </w:tr>
      <w:tr w:rsidR="002559F0" w:rsidRPr="005B0796" w:rsidTr="0066773E">
        <w:trPr>
          <w:cantSplit/>
        </w:trPr>
        <w:tc>
          <w:tcPr>
            <w:tcW w:w="1458" w:type="dxa"/>
            <w:hideMark/>
          </w:tcPr>
          <w:p w:rsidR="002559F0" w:rsidRPr="005B0796" w:rsidRDefault="002559F0" w:rsidP="0066773E">
            <w:pPr>
              <w:spacing w:after="120"/>
            </w:pPr>
            <w:r w:rsidRPr="005B0796">
              <w:t>HRF</w:t>
            </w:r>
          </w:p>
        </w:tc>
        <w:tc>
          <w:tcPr>
            <w:tcW w:w="5857" w:type="dxa"/>
            <w:hideMark/>
          </w:tcPr>
          <w:p w:rsidR="002559F0" w:rsidRPr="005B0796" w:rsidRDefault="002559F0" w:rsidP="0066773E">
            <w:pPr>
              <w:spacing w:after="120"/>
            </w:pPr>
            <w:r w:rsidRPr="005B0796">
              <w:t>Hunter Research Foundation</w:t>
            </w:r>
          </w:p>
        </w:tc>
      </w:tr>
      <w:tr w:rsidR="002559F0" w:rsidRPr="005B0796" w:rsidTr="0066773E">
        <w:trPr>
          <w:cantSplit/>
        </w:trPr>
        <w:tc>
          <w:tcPr>
            <w:tcW w:w="1458" w:type="dxa"/>
          </w:tcPr>
          <w:p w:rsidR="002559F0" w:rsidRPr="005B0796" w:rsidRDefault="002559F0" w:rsidP="0066773E">
            <w:pPr>
              <w:spacing w:after="120"/>
              <w:rPr>
                <w:rFonts w:cstheme="majorBidi"/>
              </w:rPr>
            </w:pPr>
            <w:r w:rsidRPr="005B0796">
              <w:t>ICD-10</w:t>
            </w:r>
          </w:p>
        </w:tc>
        <w:tc>
          <w:tcPr>
            <w:tcW w:w="5857" w:type="dxa"/>
            <w:hideMark/>
          </w:tcPr>
          <w:p w:rsidR="002559F0" w:rsidRPr="005B0796" w:rsidRDefault="002559F0" w:rsidP="0066773E">
            <w:pPr>
              <w:spacing w:after="120"/>
            </w:pPr>
            <w:r w:rsidRPr="005B0796">
              <w:t>International Statistical Classification of Diseases and Related Health Problems – 10th Revision</w:t>
            </w:r>
          </w:p>
        </w:tc>
      </w:tr>
      <w:tr w:rsidR="002559F0" w:rsidRPr="005B0796" w:rsidTr="0066773E">
        <w:trPr>
          <w:cantSplit/>
        </w:trPr>
        <w:tc>
          <w:tcPr>
            <w:tcW w:w="1458" w:type="dxa"/>
            <w:hideMark/>
          </w:tcPr>
          <w:p w:rsidR="002559F0" w:rsidRPr="005B0796" w:rsidRDefault="002559F0" w:rsidP="0066773E">
            <w:pPr>
              <w:spacing w:after="120"/>
            </w:pPr>
            <w:r w:rsidRPr="005B0796">
              <w:t>K10</w:t>
            </w:r>
          </w:p>
        </w:tc>
        <w:tc>
          <w:tcPr>
            <w:tcW w:w="5857" w:type="dxa"/>
            <w:hideMark/>
          </w:tcPr>
          <w:p w:rsidR="002559F0" w:rsidRPr="005B0796" w:rsidRDefault="002559F0" w:rsidP="0066773E">
            <w:pPr>
              <w:spacing w:after="120"/>
            </w:pPr>
            <w:r w:rsidRPr="005B0796">
              <w:t>Kessler Psychological Distress Scale</w:t>
            </w:r>
          </w:p>
        </w:tc>
      </w:tr>
      <w:tr w:rsidR="002559F0" w:rsidRPr="005B0796" w:rsidTr="0066773E">
        <w:trPr>
          <w:cantSplit/>
        </w:trPr>
        <w:tc>
          <w:tcPr>
            <w:tcW w:w="1458" w:type="dxa"/>
          </w:tcPr>
          <w:p w:rsidR="002559F0" w:rsidRPr="005B0796" w:rsidRDefault="002559F0" w:rsidP="0066773E">
            <w:pPr>
              <w:spacing w:after="120"/>
            </w:pPr>
            <w:r w:rsidRPr="005B0796">
              <w:t>KCMHR</w:t>
            </w:r>
          </w:p>
        </w:tc>
        <w:tc>
          <w:tcPr>
            <w:tcW w:w="5857" w:type="dxa"/>
            <w:hideMark/>
          </w:tcPr>
          <w:p w:rsidR="002559F0" w:rsidRPr="005B0796" w:rsidRDefault="002559F0" w:rsidP="0066773E">
            <w:pPr>
              <w:spacing w:after="120"/>
            </w:pPr>
            <w:r w:rsidRPr="005B0796">
              <w:t>King</w:t>
            </w:r>
            <w:r w:rsidR="00462A0C" w:rsidRPr="005B0796">
              <w:t>’</w:t>
            </w:r>
            <w:r w:rsidRPr="005B0796">
              <w:t>s Centre for Military Health Research Academic Department of Military Mental Health</w:t>
            </w:r>
          </w:p>
        </w:tc>
      </w:tr>
      <w:tr w:rsidR="002559F0" w:rsidRPr="005B0796" w:rsidTr="0066773E">
        <w:trPr>
          <w:cantSplit/>
        </w:trPr>
        <w:tc>
          <w:tcPr>
            <w:tcW w:w="1458" w:type="dxa"/>
            <w:hideMark/>
          </w:tcPr>
          <w:p w:rsidR="002559F0" w:rsidRPr="005B0796" w:rsidRDefault="002559F0" w:rsidP="0066773E">
            <w:pPr>
              <w:spacing w:after="120"/>
            </w:pPr>
            <w:r w:rsidRPr="005B0796">
              <w:t>MEAO</w:t>
            </w:r>
          </w:p>
        </w:tc>
        <w:tc>
          <w:tcPr>
            <w:tcW w:w="5857" w:type="dxa"/>
            <w:hideMark/>
          </w:tcPr>
          <w:p w:rsidR="002559F0" w:rsidRPr="005B0796" w:rsidRDefault="002559F0" w:rsidP="0066773E">
            <w:pPr>
              <w:spacing w:after="120"/>
            </w:pPr>
            <w:r w:rsidRPr="005B0796">
              <w:t>Middle East Area of Operations</w:t>
            </w:r>
          </w:p>
        </w:tc>
      </w:tr>
      <w:tr w:rsidR="002559F0" w:rsidRPr="005B0796" w:rsidTr="0066773E">
        <w:trPr>
          <w:cantSplit/>
        </w:trPr>
        <w:tc>
          <w:tcPr>
            <w:tcW w:w="1458" w:type="dxa"/>
            <w:hideMark/>
          </w:tcPr>
          <w:p w:rsidR="002559F0" w:rsidRPr="005B0796" w:rsidRDefault="002559F0" w:rsidP="0066773E">
            <w:pPr>
              <w:spacing w:after="120"/>
            </w:pPr>
            <w:r w:rsidRPr="005B0796">
              <w:t>MEC</w:t>
            </w:r>
          </w:p>
        </w:tc>
        <w:tc>
          <w:tcPr>
            <w:tcW w:w="5857" w:type="dxa"/>
            <w:hideMark/>
          </w:tcPr>
          <w:p w:rsidR="002559F0" w:rsidRPr="005B0796" w:rsidRDefault="002559F0" w:rsidP="0066773E">
            <w:pPr>
              <w:spacing w:after="120"/>
            </w:pPr>
            <w:r w:rsidRPr="005B0796">
              <w:t>Medical Employment Classification</w:t>
            </w:r>
          </w:p>
        </w:tc>
      </w:tr>
      <w:tr w:rsidR="002559F0" w:rsidRPr="005B0796" w:rsidTr="0066773E">
        <w:trPr>
          <w:cantSplit/>
        </w:trPr>
        <w:tc>
          <w:tcPr>
            <w:tcW w:w="1458" w:type="dxa"/>
            <w:hideMark/>
          </w:tcPr>
          <w:p w:rsidR="002559F0" w:rsidRPr="005B0796" w:rsidRDefault="002559F0" w:rsidP="0066773E">
            <w:pPr>
              <w:spacing w:after="120"/>
            </w:pPr>
            <w:r w:rsidRPr="005B0796">
              <w:t>MECRB</w:t>
            </w:r>
          </w:p>
        </w:tc>
        <w:tc>
          <w:tcPr>
            <w:tcW w:w="5857" w:type="dxa"/>
            <w:hideMark/>
          </w:tcPr>
          <w:p w:rsidR="002559F0" w:rsidRPr="005B0796" w:rsidRDefault="002559F0" w:rsidP="0066773E">
            <w:pPr>
              <w:spacing w:after="120"/>
            </w:pPr>
            <w:r w:rsidRPr="005B0796">
              <w:t>Medical Employment Classification Review Board</w:t>
            </w:r>
          </w:p>
        </w:tc>
      </w:tr>
      <w:tr w:rsidR="002559F0" w:rsidRPr="005B0796" w:rsidTr="0066773E">
        <w:trPr>
          <w:cantSplit/>
        </w:trPr>
        <w:tc>
          <w:tcPr>
            <w:tcW w:w="1458" w:type="dxa"/>
            <w:hideMark/>
          </w:tcPr>
          <w:p w:rsidR="002559F0" w:rsidRPr="005B0796" w:rsidRDefault="002559F0" w:rsidP="0066773E">
            <w:pPr>
              <w:spacing w:after="120"/>
            </w:pPr>
            <w:r w:rsidRPr="005B0796">
              <w:t>MHPWS</w:t>
            </w:r>
          </w:p>
        </w:tc>
        <w:tc>
          <w:tcPr>
            <w:tcW w:w="5857" w:type="dxa"/>
            <w:hideMark/>
          </w:tcPr>
          <w:p w:rsidR="002559F0" w:rsidRPr="005B0796" w:rsidRDefault="002559F0" w:rsidP="0066773E">
            <w:pPr>
              <w:spacing w:after="120"/>
            </w:pPr>
            <w:r w:rsidRPr="005B0796">
              <w:t>Mental Health Prevalence and Wellbeing Study</w:t>
            </w:r>
          </w:p>
        </w:tc>
      </w:tr>
      <w:tr w:rsidR="002559F0" w:rsidRPr="005B0796" w:rsidTr="0066773E">
        <w:trPr>
          <w:cantSplit/>
        </w:trPr>
        <w:tc>
          <w:tcPr>
            <w:tcW w:w="1458" w:type="dxa"/>
            <w:hideMark/>
          </w:tcPr>
          <w:p w:rsidR="002559F0" w:rsidRPr="005B0796" w:rsidRDefault="002559F0" w:rsidP="0066773E">
            <w:pPr>
              <w:spacing w:after="120"/>
            </w:pPr>
            <w:r w:rsidRPr="005B0796">
              <w:t>MilHOP</w:t>
            </w:r>
          </w:p>
        </w:tc>
        <w:tc>
          <w:tcPr>
            <w:tcW w:w="5857" w:type="dxa"/>
            <w:hideMark/>
          </w:tcPr>
          <w:p w:rsidR="002559F0" w:rsidRPr="005B0796" w:rsidRDefault="002559F0" w:rsidP="0066773E">
            <w:pPr>
              <w:spacing w:after="120"/>
            </w:pPr>
            <w:r w:rsidRPr="005B0796">
              <w:t>Military Health Outcomes Program</w:t>
            </w:r>
          </w:p>
        </w:tc>
      </w:tr>
      <w:tr w:rsidR="002559F0" w:rsidRPr="005B0796" w:rsidTr="0066773E">
        <w:trPr>
          <w:cantSplit/>
        </w:trPr>
        <w:tc>
          <w:tcPr>
            <w:tcW w:w="1458" w:type="dxa"/>
            <w:hideMark/>
          </w:tcPr>
          <w:p w:rsidR="002559F0" w:rsidRPr="005B0796" w:rsidRDefault="002559F0" w:rsidP="0066773E">
            <w:pPr>
              <w:spacing w:after="120"/>
            </w:pPr>
            <w:r w:rsidRPr="005B0796">
              <w:t>mTBI</w:t>
            </w:r>
          </w:p>
        </w:tc>
        <w:tc>
          <w:tcPr>
            <w:tcW w:w="5857" w:type="dxa"/>
            <w:hideMark/>
          </w:tcPr>
          <w:p w:rsidR="002559F0" w:rsidRPr="005B0796" w:rsidRDefault="002559F0" w:rsidP="0066773E">
            <w:pPr>
              <w:spacing w:after="120"/>
            </w:pPr>
            <w:r w:rsidRPr="005B0796">
              <w:t>Mild Traumatic Brain Injury</w:t>
            </w:r>
          </w:p>
        </w:tc>
      </w:tr>
      <w:tr w:rsidR="002559F0" w:rsidRPr="005B0796" w:rsidTr="0066773E">
        <w:trPr>
          <w:cantSplit/>
        </w:trPr>
        <w:tc>
          <w:tcPr>
            <w:tcW w:w="1458" w:type="dxa"/>
            <w:hideMark/>
          </w:tcPr>
          <w:p w:rsidR="002559F0" w:rsidRPr="005B0796" w:rsidRDefault="002559F0" w:rsidP="0066773E">
            <w:pPr>
              <w:spacing w:after="120"/>
            </w:pPr>
            <w:r w:rsidRPr="005B0796">
              <w:t>NCO</w:t>
            </w:r>
          </w:p>
        </w:tc>
        <w:tc>
          <w:tcPr>
            <w:tcW w:w="5857" w:type="dxa"/>
            <w:hideMark/>
          </w:tcPr>
          <w:p w:rsidR="002559F0" w:rsidRPr="005B0796" w:rsidRDefault="002559F0" w:rsidP="0066773E">
            <w:pPr>
              <w:spacing w:after="120"/>
            </w:pPr>
            <w:r w:rsidRPr="005B0796">
              <w:t>Non-Commissioned Officer</w:t>
            </w:r>
          </w:p>
        </w:tc>
      </w:tr>
      <w:tr w:rsidR="002559F0" w:rsidRPr="005B0796" w:rsidTr="0066773E">
        <w:trPr>
          <w:cantSplit/>
        </w:trPr>
        <w:tc>
          <w:tcPr>
            <w:tcW w:w="1458" w:type="dxa"/>
            <w:hideMark/>
          </w:tcPr>
          <w:p w:rsidR="002559F0" w:rsidRPr="005B0796" w:rsidRDefault="002559F0" w:rsidP="0066773E">
            <w:pPr>
              <w:spacing w:after="120"/>
            </w:pPr>
            <w:r w:rsidRPr="005B0796">
              <w:t>NDI</w:t>
            </w:r>
          </w:p>
        </w:tc>
        <w:tc>
          <w:tcPr>
            <w:tcW w:w="5857" w:type="dxa"/>
            <w:hideMark/>
          </w:tcPr>
          <w:p w:rsidR="002559F0" w:rsidRPr="005B0796" w:rsidRDefault="002559F0" w:rsidP="0066773E">
            <w:pPr>
              <w:spacing w:after="120"/>
            </w:pPr>
            <w:r w:rsidRPr="005B0796">
              <w:t>National Death Index</w:t>
            </w:r>
          </w:p>
        </w:tc>
      </w:tr>
      <w:tr w:rsidR="002559F0" w:rsidRPr="005B0796" w:rsidTr="0066773E">
        <w:trPr>
          <w:cantSplit/>
        </w:trPr>
        <w:tc>
          <w:tcPr>
            <w:tcW w:w="1458" w:type="dxa"/>
            <w:hideMark/>
          </w:tcPr>
          <w:p w:rsidR="002559F0" w:rsidRPr="005B0796" w:rsidRDefault="002559F0" w:rsidP="0066773E">
            <w:pPr>
              <w:spacing w:after="120"/>
            </w:pPr>
            <w:r w:rsidRPr="005B0796">
              <w:t>NHMRC</w:t>
            </w:r>
          </w:p>
        </w:tc>
        <w:tc>
          <w:tcPr>
            <w:tcW w:w="5857" w:type="dxa"/>
            <w:hideMark/>
          </w:tcPr>
          <w:p w:rsidR="002559F0" w:rsidRPr="005B0796" w:rsidRDefault="002559F0" w:rsidP="0066773E">
            <w:pPr>
              <w:spacing w:after="120"/>
            </w:pPr>
            <w:r w:rsidRPr="005B0796">
              <w:t>National Health and Medical Research Council</w:t>
            </w:r>
          </w:p>
        </w:tc>
      </w:tr>
      <w:tr w:rsidR="002559F0" w:rsidRPr="005B0796" w:rsidTr="0066773E">
        <w:trPr>
          <w:cantSplit/>
        </w:trPr>
        <w:tc>
          <w:tcPr>
            <w:tcW w:w="1458" w:type="dxa"/>
            <w:hideMark/>
          </w:tcPr>
          <w:p w:rsidR="002559F0" w:rsidRPr="005B0796" w:rsidRDefault="002559F0" w:rsidP="0066773E">
            <w:pPr>
              <w:spacing w:after="120"/>
            </w:pPr>
            <w:r w:rsidRPr="005B0796">
              <w:t>NHS</w:t>
            </w:r>
          </w:p>
        </w:tc>
        <w:tc>
          <w:tcPr>
            <w:tcW w:w="5857" w:type="dxa"/>
            <w:hideMark/>
          </w:tcPr>
          <w:p w:rsidR="002559F0" w:rsidRPr="005B0796" w:rsidRDefault="002559F0" w:rsidP="0066773E">
            <w:pPr>
              <w:spacing w:after="120"/>
            </w:pPr>
            <w:r w:rsidRPr="005B0796">
              <w:t>National Health Survey</w:t>
            </w:r>
          </w:p>
        </w:tc>
      </w:tr>
      <w:tr w:rsidR="002559F0" w:rsidRPr="005B0796" w:rsidTr="0066773E">
        <w:trPr>
          <w:cantSplit/>
        </w:trPr>
        <w:tc>
          <w:tcPr>
            <w:tcW w:w="1458" w:type="dxa"/>
            <w:hideMark/>
          </w:tcPr>
          <w:p w:rsidR="002559F0" w:rsidRPr="005B0796" w:rsidRDefault="002559F0" w:rsidP="0066773E">
            <w:pPr>
              <w:spacing w:after="120"/>
            </w:pPr>
            <w:r w:rsidRPr="005B0796">
              <w:t>OCD</w:t>
            </w:r>
          </w:p>
        </w:tc>
        <w:tc>
          <w:tcPr>
            <w:tcW w:w="5857" w:type="dxa"/>
            <w:hideMark/>
          </w:tcPr>
          <w:p w:rsidR="002559F0" w:rsidRPr="005B0796" w:rsidRDefault="002559F0" w:rsidP="0066773E">
            <w:pPr>
              <w:spacing w:after="120"/>
            </w:pPr>
            <w:r w:rsidRPr="005B0796">
              <w:t>Obsessive Compulsive Disorder</w:t>
            </w:r>
          </w:p>
        </w:tc>
      </w:tr>
      <w:tr w:rsidR="002559F0" w:rsidRPr="005B0796" w:rsidTr="0066773E">
        <w:trPr>
          <w:cantSplit/>
        </w:trPr>
        <w:tc>
          <w:tcPr>
            <w:tcW w:w="1458" w:type="dxa"/>
            <w:hideMark/>
          </w:tcPr>
          <w:p w:rsidR="002559F0" w:rsidRPr="005B0796" w:rsidRDefault="002559F0" w:rsidP="0066773E">
            <w:pPr>
              <w:spacing w:after="120"/>
            </w:pPr>
            <w:r w:rsidRPr="005B0796">
              <w:t>OFFR</w:t>
            </w:r>
          </w:p>
        </w:tc>
        <w:tc>
          <w:tcPr>
            <w:tcW w:w="5857" w:type="dxa"/>
            <w:hideMark/>
          </w:tcPr>
          <w:p w:rsidR="002559F0" w:rsidRPr="005B0796" w:rsidRDefault="002559F0" w:rsidP="0066773E">
            <w:pPr>
              <w:spacing w:after="120"/>
            </w:pPr>
            <w:r w:rsidRPr="005B0796">
              <w:t>commissioned officer</w:t>
            </w:r>
          </w:p>
        </w:tc>
      </w:tr>
      <w:tr w:rsidR="002559F0" w:rsidRPr="005B0796" w:rsidTr="0066773E">
        <w:trPr>
          <w:cantSplit/>
        </w:trPr>
        <w:tc>
          <w:tcPr>
            <w:tcW w:w="1458" w:type="dxa"/>
            <w:hideMark/>
          </w:tcPr>
          <w:p w:rsidR="002559F0" w:rsidRPr="005B0796" w:rsidRDefault="002559F0" w:rsidP="0066773E">
            <w:pPr>
              <w:spacing w:after="120"/>
            </w:pPr>
            <w:r w:rsidRPr="005B0796">
              <w:t>OR</w:t>
            </w:r>
          </w:p>
        </w:tc>
        <w:tc>
          <w:tcPr>
            <w:tcW w:w="5857" w:type="dxa"/>
            <w:hideMark/>
          </w:tcPr>
          <w:p w:rsidR="002559F0" w:rsidRPr="005B0796" w:rsidRDefault="002559F0" w:rsidP="0066773E">
            <w:pPr>
              <w:spacing w:after="120"/>
            </w:pPr>
            <w:r w:rsidRPr="005B0796">
              <w:t>Odds ratio</w:t>
            </w:r>
          </w:p>
        </w:tc>
      </w:tr>
      <w:tr w:rsidR="002559F0" w:rsidRPr="005B0796" w:rsidTr="0066773E">
        <w:trPr>
          <w:cantSplit/>
        </w:trPr>
        <w:tc>
          <w:tcPr>
            <w:tcW w:w="1458" w:type="dxa"/>
            <w:hideMark/>
          </w:tcPr>
          <w:p w:rsidR="002559F0" w:rsidRPr="005B0796" w:rsidRDefault="002559F0" w:rsidP="0066773E">
            <w:pPr>
              <w:spacing w:after="120"/>
            </w:pPr>
            <w:r w:rsidRPr="005B0796">
              <w:t>OR</w:t>
            </w:r>
          </w:p>
        </w:tc>
        <w:tc>
          <w:tcPr>
            <w:tcW w:w="5857" w:type="dxa"/>
            <w:hideMark/>
          </w:tcPr>
          <w:p w:rsidR="002559F0" w:rsidRPr="005B0796" w:rsidRDefault="002559F0" w:rsidP="0066773E">
            <w:pPr>
              <w:spacing w:after="120"/>
            </w:pPr>
            <w:r w:rsidRPr="005B0796">
              <w:t>Other Ranks</w:t>
            </w:r>
          </w:p>
        </w:tc>
      </w:tr>
      <w:tr w:rsidR="002559F0" w:rsidRPr="005B0796" w:rsidTr="0066773E">
        <w:trPr>
          <w:cantSplit/>
        </w:trPr>
        <w:tc>
          <w:tcPr>
            <w:tcW w:w="1458" w:type="dxa"/>
            <w:hideMark/>
          </w:tcPr>
          <w:p w:rsidR="002559F0" w:rsidRPr="005B0796" w:rsidRDefault="002559F0" w:rsidP="0066773E">
            <w:pPr>
              <w:spacing w:after="120"/>
            </w:pPr>
            <w:r w:rsidRPr="005B0796">
              <w:t>OSU TBI-ID</w:t>
            </w:r>
          </w:p>
        </w:tc>
        <w:tc>
          <w:tcPr>
            <w:tcW w:w="5857" w:type="dxa"/>
            <w:hideMark/>
          </w:tcPr>
          <w:p w:rsidR="002559F0" w:rsidRPr="005B0796" w:rsidRDefault="002559F0" w:rsidP="0066773E">
            <w:pPr>
              <w:spacing w:after="120"/>
            </w:pPr>
            <w:r w:rsidRPr="005B0796">
              <w:t>Ohio State University Traumatic Brain Injury Identification Method</w:t>
            </w:r>
          </w:p>
        </w:tc>
      </w:tr>
      <w:tr w:rsidR="002559F0" w:rsidRPr="005B0796" w:rsidTr="0066773E">
        <w:trPr>
          <w:cantSplit/>
        </w:trPr>
        <w:tc>
          <w:tcPr>
            <w:tcW w:w="1458" w:type="dxa"/>
            <w:hideMark/>
          </w:tcPr>
          <w:p w:rsidR="002559F0" w:rsidRPr="005B0796" w:rsidRDefault="002559F0" w:rsidP="0066773E">
            <w:pPr>
              <w:spacing w:after="120"/>
            </w:pPr>
            <w:r w:rsidRPr="005B0796">
              <w:t>PBS</w:t>
            </w:r>
          </w:p>
        </w:tc>
        <w:tc>
          <w:tcPr>
            <w:tcW w:w="5857" w:type="dxa"/>
            <w:hideMark/>
          </w:tcPr>
          <w:p w:rsidR="002559F0" w:rsidRPr="005B0796" w:rsidRDefault="002559F0" w:rsidP="0066773E">
            <w:pPr>
              <w:spacing w:after="120"/>
            </w:pPr>
            <w:r w:rsidRPr="005B0796">
              <w:t>Pharmaceutical Benefits Scheme</w:t>
            </w:r>
          </w:p>
        </w:tc>
      </w:tr>
      <w:tr w:rsidR="002559F0" w:rsidRPr="005B0796" w:rsidTr="0066773E">
        <w:trPr>
          <w:cantSplit/>
        </w:trPr>
        <w:tc>
          <w:tcPr>
            <w:tcW w:w="1458" w:type="dxa"/>
            <w:hideMark/>
          </w:tcPr>
          <w:p w:rsidR="002559F0" w:rsidRPr="005B0796" w:rsidRDefault="002559F0" w:rsidP="0066773E">
            <w:pPr>
              <w:spacing w:after="120"/>
            </w:pPr>
            <w:r w:rsidRPr="005B0796">
              <w:t>PCL-C</w:t>
            </w:r>
          </w:p>
        </w:tc>
        <w:tc>
          <w:tcPr>
            <w:tcW w:w="5857" w:type="dxa"/>
            <w:hideMark/>
          </w:tcPr>
          <w:p w:rsidR="002559F0" w:rsidRPr="005B0796" w:rsidRDefault="002559F0" w:rsidP="0066773E">
            <w:pPr>
              <w:spacing w:after="120"/>
            </w:pPr>
            <w:bookmarkStart w:id="1668" w:name="_Hlk489448018"/>
            <w:r w:rsidRPr="005B0796">
              <w:t>Posttraumatic Stress Disorder Checklist – civilian version</w:t>
            </w:r>
            <w:bookmarkEnd w:id="1668"/>
          </w:p>
        </w:tc>
      </w:tr>
      <w:tr w:rsidR="002559F0" w:rsidRPr="005B0796" w:rsidTr="0066773E">
        <w:trPr>
          <w:cantSplit/>
        </w:trPr>
        <w:tc>
          <w:tcPr>
            <w:tcW w:w="1458" w:type="dxa"/>
            <w:hideMark/>
          </w:tcPr>
          <w:p w:rsidR="002559F0" w:rsidRPr="005B0796" w:rsidRDefault="002559F0" w:rsidP="0066773E">
            <w:pPr>
              <w:spacing w:after="120"/>
            </w:pPr>
            <w:r w:rsidRPr="005B0796">
              <w:t>PCS</w:t>
            </w:r>
          </w:p>
        </w:tc>
        <w:tc>
          <w:tcPr>
            <w:tcW w:w="5857" w:type="dxa"/>
            <w:hideMark/>
          </w:tcPr>
          <w:p w:rsidR="002559F0" w:rsidRPr="005B0796" w:rsidRDefault="002559F0" w:rsidP="0066773E">
            <w:pPr>
              <w:spacing w:after="120"/>
            </w:pPr>
            <w:r w:rsidRPr="005B0796">
              <w:t>Post-Concussion Syndrome Checklist</w:t>
            </w:r>
          </w:p>
        </w:tc>
      </w:tr>
      <w:tr w:rsidR="002559F0" w:rsidRPr="005B0796" w:rsidTr="0066773E">
        <w:trPr>
          <w:cantSplit/>
        </w:trPr>
        <w:tc>
          <w:tcPr>
            <w:tcW w:w="1458" w:type="dxa"/>
            <w:hideMark/>
          </w:tcPr>
          <w:p w:rsidR="002559F0" w:rsidRPr="005B0796" w:rsidRDefault="002559F0" w:rsidP="0066773E">
            <w:pPr>
              <w:spacing w:after="120"/>
            </w:pPr>
            <w:r w:rsidRPr="005B0796">
              <w:t>PGSI</w:t>
            </w:r>
          </w:p>
        </w:tc>
        <w:tc>
          <w:tcPr>
            <w:tcW w:w="5857" w:type="dxa"/>
            <w:hideMark/>
          </w:tcPr>
          <w:p w:rsidR="002559F0" w:rsidRPr="005B0796" w:rsidRDefault="002559F0" w:rsidP="0066773E">
            <w:pPr>
              <w:spacing w:after="120"/>
            </w:pPr>
            <w:r w:rsidRPr="005B0796">
              <w:t>Problem Gambling Severity Index</w:t>
            </w:r>
          </w:p>
        </w:tc>
      </w:tr>
      <w:tr w:rsidR="002559F0" w:rsidRPr="005B0796" w:rsidTr="0066773E">
        <w:trPr>
          <w:cantSplit/>
        </w:trPr>
        <w:tc>
          <w:tcPr>
            <w:tcW w:w="1458" w:type="dxa"/>
            <w:hideMark/>
          </w:tcPr>
          <w:p w:rsidR="002559F0" w:rsidRPr="005B0796" w:rsidRDefault="002559F0" w:rsidP="0066773E">
            <w:pPr>
              <w:spacing w:after="120"/>
            </w:pPr>
            <w:r w:rsidRPr="005B0796">
              <w:t>PHQ-9</w:t>
            </w:r>
          </w:p>
        </w:tc>
        <w:tc>
          <w:tcPr>
            <w:tcW w:w="5857" w:type="dxa"/>
            <w:hideMark/>
          </w:tcPr>
          <w:p w:rsidR="002559F0" w:rsidRPr="005B0796" w:rsidRDefault="002559F0" w:rsidP="0066773E">
            <w:pPr>
              <w:spacing w:after="120"/>
            </w:pPr>
            <w:r w:rsidRPr="005B0796">
              <w:t>Patient Health Questionnaire</w:t>
            </w:r>
          </w:p>
        </w:tc>
      </w:tr>
      <w:tr w:rsidR="002559F0" w:rsidRPr="005B0796" w:rsidTr="0066773E">
        <w:trPr>
          <w:cantSplit/>
        </w:trPr>
        <w:tc>
          <w:tcPr>
            <w:tcW w:w="1458" w:type="dxa"/>
            <w:hideMark/>
          </w:tcPr>
          <w:p w:rsidR="002559F0" w:rsidRPr="005B0796" w:rsidRDefault="002559F0" w:rsidP="0066773E">
            <w:pPr>
              <w:spacing w:after="120"/>
            </w:pPr>
            <w:r w:rsidRPr="005B0796">
              <w:t>PMKeyS</w:t>
            </w:r>
          </w:p>
        </w:tc>
        <w:tc>
          <w:tcPr>
            <w:tcW w:w="5857" w:type="dxa"/>
            <w:hideMark/>
          </w:tcPr>
          <w:p w:rsidR="002559F0" w:rsidRPr="005B0796" w:rsidRDefault="002559F0" w:rsidP="0066773E">
            <w:pPr>
              <w:spacing w:after="120"/>
            </w:pPr>
            <w:r w:rsidRPr="005B0796">
              <w:t>Personnel Management Key Solution</w:t>
            </w:r>
          </w:p>
        </w:tc>
      </w:tr>
      <w:tr w:rsidR="002559F0" w:rsidRPr="005B0796" w:rsidTr="0066773E">
        <w:trPr>
          <w:cantSplit/>
        </w:trPr>
        <w:tc>
          <w:tcPr>
            <w:tcW w:w="1458" w:type="dxa"/>
            <w:hideMark/>
          </w:tcPr>
          <w:p w:rsidR="002559F0" w:rsidRPr="005B0796" w:rsidRDefault="002559F0" w:rsidP="0066773E">
            <w:pPr>
              <w:spacing w:after="120"/>
            </w:pPr>
            <w:r w:rsidRPr="005B0796">
              <w:t>PTSD</w:t>
            </w:r>
          </w:p>
        </w:tc>
        <w:tc>
          <w:tcPr>
            <w:tcW w:w="5857" w:type="dxa"/>
            <w:hideMark/>
          </w:tcPr>
          <w:p w:rsidR="002559F0" w:rsidRPr="005B0796" w:rsidRDefault="002559F0" w:rsidP="0066773E">
            <w:pPr>
              <w:spacing w:after="120"/>
            </w:pPr>
            <w:r w:rsidRPr="005B0796">
              <w:t>Posttraumatic stress disorder</w:t>
            </w:r>
          </w:p>
        </w:tc>
      </w:tr>
      <w:tr w:rsidR="002559F0" w:rsidRPr="005B0796" w:rsidTr="0066773E">
        <w:trPr>
          <w:cantSplit/>
        </w:trPr>
        <w:tc>
          <w:tcPr>
            <w:tcW w:w="1458" w:type="dxa"/>
            <w:hideMark/>
          </w:tcPr>
          <w:p w:rsidR="002559F0" w:rsidRPr="005B0796" w:rsidRDefault="002559F0" w:rsidP="0066773E">
            <w:pPr>
              <w:spacing w:after="120"/>
            </w:pPr>
            <w:r w:rsidRPr="005B0796">
              <w:t>RPBS</w:t>
            </w:r>
          </w:p>
        </w:tc>
        <w:tc>
          <w:tcPr>
            <w:tcW w:w="5857" w:type="dxa"/>
            <w:hideMark/>
          </w:tcPr>
          <w:p w:rsidR="002559F0" w:rsidRPr="005B0796" w:rsidRDefault="002559F0" w:rsidP="0066773E">
            <w:pPr>
              <w:spacing w:after="120"/>
            </w:pPr>
            <w:bookmarkStart w:id="1669" w:name="_Hlk489516748"/>
            <w:r w:rsidRPr="005B0796">
              <w:t>Repatriation Pharmaceutical Benefits Scheme</w:t>
            </w:r>
            <w:bookmarkEnd w:id="1669"/>
          </w:p>
        </w:tc>
      </w:tr>
      <w:tr w:rsidR="002559F0" w:rsidRPr="005B0796" w:rsidTr="0066773E">
        <w:trPr>
          <w:cantSplit/>
        </w:trPr>
        <w:tc>
          <w:tcPr>
            <w:tcW w:w="1458" w:type="dxa"/>
            <w:hideMark/>
          </w:tcPr>
          <w:p w:rsidR="002559F0" w:rsidRPr="005B0796" w:rsidRDefault="002559F0" w:rsidP="0066773E">
            <w:pPr>
              <w:spacing w:after="120"/>
            </w:pPr>
            <w:r w:rsidRPr="005B0796">
              <w:t>SAC</w:t>
            </w:r>
          </w:p>
        </w:tc>
        <w:tc>
          <w:tcPr>
            <w:tcW w:w="5857" w:type="dxa"/>
            <w:hideMark/>
          </w:tcPr>
          <w:p w:rsidR="002559F0" w:rsidRPr="005B0796" w:rsidRDefault="002559F0" w:rsidP="0066773E">
            <w:pPr>
              <w:spacing w:after="120"/>
            </w:pPr>
            <w:r w:rsidRPr="005B0796">
              <w:t>Scientific Advisory Committee</w:t>
            </w:r>
          </w:p>
        </w:tc>
      </w:tr>
      <w:tr w:rsidR="002559F0" w:rsidRPr="005B0796" w:rsidTr="0066773E">
        <w:trPr>
          <w:cantSplit/>
        </w:trPr>
        <w:tc>
          <w:tcPr>
            <w:tcW w:w="1458" w:type="dxa"/>
            <w:hideMark/>
          </w:tcPr>
          <w:p w:rsidR="002559F0" w:rsidRPr="005B0796" w:rsidRDefault="002559F0" w:rsidP="0066773E">
            <w:pPr>
              <w:spacing w:after="120"/>
            </w:pPr>
            <w:r w:rsidRPr="005B0796">
              <w:t>SE</w:t>
            </w:r>
          </w:p>
        </w:tc>
        <w:tc>
          <w:tcPr>
            <w:tcW w:w="5857" w:type="dxa"/>
            <w:hideMark/>
          </w:tcPr>
          <w:p w:rsidR="002559F0" w:rsidRPr="005B0796" w:rsidRDefault="002559F0" w:rsidP="0066773E">
            <w:pPr>
              <w:spacing w:after="120"/>
            </w:pPr>
            <w:r w:rsidRPr="005B0796">
              <w:t>Standard error</w:t>
            </w:r>
          </w:p>
        </w:tc>
      </w:tr>
      <w:tr w:rsidR="002559F0" w:rsidRPr="005B0796" w:rsidTr="0066773E">
        <w:trPr>
          <w:cantSplit/>
        </w:trPr>
        <w:tc>
          <w:tcPr>
            <w:tcW w:w="1458" w:type="dxa"/>
            <w:hideMark/>
          </w:tcPr>
          <w:p w:rsidR="002559F0" w:rsidRPr="005B0796" w:rsidRDefault="002559F0" w:rsidP="0066773E">
            <w:pPr>
              <w:spacing w:after="120"/>
            </w:pPr>
            <w:r w:rsidRPr="005B0796">
              <w:t>TBI</w:t>
            </w:r>
          </w:p>
        </w:tc>
        <w:tc>
          <w:tcPr>
            <w:tcW w:w="5857" w:type="dxa"/>
            <w:hideMark/>
          </w:tcPr>
          <w:p w:rsidR="002559F0" w:rsidRPr="005B0796" w:rsidRDefault="002559F0" w:rsidP="0066773E">
            <w:pPr>
              <w:spacing w:after="120"/>
            </w:pPr>
            <w:r w:rsidRPr="005B0796">
              <w:t>Traumatic brain injury</w:t>
            </w:r>
          </w:p>
        </w:tc>
      </w:tr>
      <w:tr w:rsidR="002559F0" w:rsidRPr="005B0796" w:rsidTr="0066773E">
        <w:trPr>
          <w:cantSplit/>
        </w:trPr>
        <w:tc>
          <w:tcPr>
            <w:tcW w:w="1458" w:type="dxa"/>
            <w:hideMark/>
          </w:tcPr>
          <w:p w:rsidR="002559F0" w:rsidRPr="005B0796" w:rsidRDefault="002559F0" w:rsidP="0066773E">
            <w:pPr>
              <w:spacing w:after="120"/>
            </w:pPr>
            <w:r w:rsidRPr="005B0796">
              <w:t>UA</w:t>
            </w:r>
          </w:p>
        </w:tc>
        <w:tc>
          <w:tcPr>
            <w:tcW w:w="5857" w:type="dxa"/>
            <w:hideMark/>
          </w:tcPr>
          <w:p w:rsidR="002559F0" w:rsidRPr="005B0796" w:rsidRDefault="002559F0" w:rsidP="0066773E">
            <w:pPr>
              <w:spacing w:after="120"/>
            </w:pPr>
            <w:r w:rsidRPr="005B0796">
              <w:t>University of Adelaide</w:t>
            </w:r>
          </w:p>
        </w:tc>
      </w:tr>
      <w:bookmarkEnd w:id="1665"/>
    </w:tbl>
    <w:p w:rsidR="00E54791" w:rsidRPr="005B0796" w:rsidRDefault="00E54791" w:rsidP="00E54791"/>
    <w:p w:rsidR="00E54791" w:rsidRPr="005B0796" w:rsidRDefault="00E54791" w:rsidP="00E54791">
      <w:pPr>
        <w:sectPr w:rsidR="00E54791" w:rsidRPr="005B0796" w:rsidSect="00D123CA">
          <w:headerReference w:type="even" r:id="rId302"/>
          <w:headerReference w:type="default" r:id="rId303"/>
          <w:footerReference w:type="even" r:id="rId304"/>
          <w:footerReference w:type="default" r:id="rId305"/>
          <w:type w:val="oddPage"/>
          <w:pgSz w:w="9979" w:h="14170" w:code="243"/>
          <w:pgMar w:top="1440" w:right="1152" w:bottom="1440" w:left="1728" w:header="576" w:footer="576" w:gutter="0"/>
          <w:cols w:space="708"/>
          <w:docGrid w:linePitch="360"/>
        </w:sectPr>
      </w:pPr>
    </w:p>
    <w:p w:rsidR="00E54791" w:rsidRPr="005B0796" w:rsidRDefault="00E54791" w:rsidP="00134AF3">
      <w:pPr>
        <w:pStyle w:val="Heading1b"/>
        <w:numPr>
          <w:ilvl w:val="0"/>
          <w:numId w:val="0"/>
        </w:numPr>
      </w:pPr>
      <w:bookmarkStart w:id="1670" w:name="_Toc494449823"/>
      <w:bookmarkStart w:id="1671" w:name="_Toc511900393"/>
      <w:r w:rsidRPr="005B0796">
        <w:t>Glossary of terms</w:t>
      </w:r>
      <w:bookmarkEnd w:id="1670"/>
      <w:bookmarkEnd w:id="1671"/>
    </w:p>
    <w:p w:rsidR="00E54791" w:rsidRPr="005B0796" w:rsidRDefault="00E54791" w:rsidP="00E54791">
      <w:r w:rsidRPr="005B0796">
        <w:rPr>
          <w:b/>
        </w:rPr>
        <w:t xml:space="preserve">12-month prevalence </w:t>
      </w:r>
      <w:r w:rsidRPr="005B0796">
        <w:t xml:space="preserve">- Meeting diagnostic criteria for a lifetime ICD-10 mental disorder and then having reported symptoms in the 12 months before the interview. </w:t>
      </w:r>
    </w:p>
    <w:p w:rsidR="00E54791" w:rsidRPr="005B0796" w:rsidRDefault="00E54791" w:rsidP="00E54791">
      <w:r w:rsidRPr="005B0796">
        <w:rPr>
          <w:b/>
        </w:rPr>
        <w:t>Affective disorders</w:t>
      </w:r>
      <w:r w:rsidRPr="005B0796">
        <w:t xml:space="preserve"> </w:t>
      </w:r>
      <w:r w:rsidRPr="005B0796">
        <w:rPr>
          <w:b/>
        </w:rPr>
        <w:t xml:space="preserve">- </w:t>
      </w:r>
      <w:r w:rsidRPr="005B0796">
        <w:t>Affective disorders is a class of mental health disorders. The Mental Health and Wellbeing Transition Study examined three types of Affective Disorder: Depressive episodes, Dysthymia and Bipolar Affective Disorder. A key feature of these mental disorders is mood disturbance.</w:t>
      </w:r>
    </w:p>
    <w:p w:rsidR="00E54791" w:rsidRPr="005B0796" w:rsidRDefault="00E54791" w:rsidP="00E54791">
      <w:r w:rsidRPr="005B0796">
        <w:rPr>
          <w:b/>
        </w:rPr>
        <w:t>Agoraphobia</w:t>
      </w:r>
      <w:r w:rsidRPr="005B0796">
        <w:t xml:space="preserve"> -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rsidR="00E54791" w:rsidRPr="005B0796" w:rsidRDefault="00E54791" w:rsidP="00E54791">
      <w:r w:rsidRPr="005B0796">
        <w:rPr>
          <w:b/>
        </w:rPr>
        <w:t>Alcohol dependence</w:t>
      </w:r>
      <w:r w:rsidRPr="005B0796">
        <w:t xml:space="preserve"> - Characterised by an increased prioritisation of alcohol in a person</w:t>
      </w:r>
      <w:r w:rsidR="00462A0C" w:rsidRPr="005B0796">
        <w:t>’</w:t>
      </w:r>
      <w:r w:rsidRPr="005B0796">
        <w:t>s life. The defining feature of alcohol dependence is a strong, overwhelming desire to use alcohol despite experiencing a number of associated problems. A diagnosis was given if the person reported three or more of the following symptoms in the previous 12 months:</w:t>
      </w:r>
    </w:p>
    <w:p w:rsidR="00E54791" w:rsidRPr="005B0796" w:rsidRDefault="00E54791" w:rsidP="00E54791">
      <w:pPr>
        <w:pStyle w:val="Bullet"/>
        <w:spacing w:after="0"/>
      </w:pPr>
      <w:r w:rsidRPr="005B0796">
        <w:t>a strong and irresistible urge to consume alcohol</w:t>
      </w:r>
    </w:p>
    <w:p w:rsidR="00E54791" w:rsidRPr="005B0796" w:rsidRDefault="00E54791" w:rsidP="00E54791">
      <w:pPr>
        <w:pStyle w:val="Bullet"/>
        <w:spacing w:after="0"/>
      </w:pPr>
      <w:r w:rsidRPr="005B0796">
        <w:t>a tolerance to the effects of alcohol</w:t>
      </w:r>
    </w:p>
    <w:p w:rsidR="00E54791" w:rsidRPr="005B0796" w:rsidRDefault="00E54791" w:rsidP="00E54791">
      <w:pPr>
        <w:pStyle w:val="Bullet"/>
        <w:spacing w:after="0"/>
      </w:pPr>
      <w:r w:rsidRPr="005B0796">
        <w:t>an inability to stop or reduce alcohol consumption</w:t>
      </w:r>
    </w:p>
    <w:p w:rsidR="00E54791" w:rsidRPr="005B0796" w:rsidRDefault="00E54791" w:rsidP="00E54791">
      <w:pPr>
        <w:pStyle w:val="Bullet"/>
        <w:spacing w:after="0"/>
      </w:pPr>
      <w:r w:rsidRPr="005B0796">
        <w:t>withdrawal symptoms upon cessation or reduction of alcohol intake</w:t>
      </w:r>
    </w:p>
    <w:p w:rsidR="00E54791" w:rsidRPr="005B0796" w:rsidRDefault="00E54791" w:rsidP="00E54791">
      <w:pPr>
        <w:pStyle w:val="Bullet"/>
        <w:spacing w:after="0"/>
      </w:pPr>
      <w:r w:rsidRPr="005B0796">
        <w:t>continuing to drink despite it causing emotional or physical problems</w:t>
      </w:r>
    </w:p>
    <w:p w:rsidR="00E54791" w:rsidRPr="005B0796" w:rsidRDefault="00E54791" w:rsidP="00E54791">
      <w:pPr>
        <w:pStyle w:val="Bullet"/>
      </w:pPr>
      <w:r w:rsidRPr="005B0796">
        <w:t>reduction in important activities because of or in order to drink.</w:t>
      </w:r>
    </w:p>
    <w:p w:rsidR="00E54791" w:rsidRPr="005B0796" w:rsidRDefault="00E54791" w:rsidP="00E54791">
      <w:r w:rsidRPr="005B0796">
        <w:rPr>
          <w:b/>
        </w:rPr>
        <w:t>Alcohol harmful use</w:t>
      </w:r>
      <w:r w:rsidRPr="005B0796">
        <w:t xml:space="preserve"> - Diagnosis not only requires high levels of alcohol consumption, but that the alcohol use is damaging to the person</w:t>
      </w:r>
      <w:r w:rsidR="00462A0C" w:rsidRPr="005B0796">
        <w:t>’</w:t>
      </w:r>
      <w:r w:rsidRPr="005B0796">
        <w:t>s physical or mental health. Each participant was initially asked if they consumed 12 or more standard alcoholic drinks in a 12-month period. If so, they were then asked a series of questions about their level of consumption. A diagnosis of Alcohol Harmful Use was applied if the alcohol interfered with either work or other responsibilities; caused arguments with their family or friends; was consumed in a situation where the person could get hurt; resulted in being stopped or arrested by police; or if the participant continued to consume alcohol despite experiencing social or interpersonal problems as a consequence of their drinking during the previous 12-months. A person could not meet criteria for Alcohol Harmful Use if they met criteria for Alcohol Dependence.</w:t>
      </w:r>
    </w:p>
    <w:p w:rsidR="00E54791" w:rsidRPr="005B0796" w:rsidRDefault="00E54791" w:rsidP="00E54791">
      <w:r w:rsidRPr="005B0796">
        <w:rPr>
          <w:b/>
        </w:rPr>
        <w:t>Alcohol Use Disorders Identification Test (AUDIT)</w:t>
      </w:r>
      <w:r w:rsidRPr="005B0796">
        <w:t xml:space="preserve"> –</w:t>
      </w:r>
      <w:r w:rsidRPr="005B0796">
        <w:rPr>
          <w:b/>
        </w:rPr>
        <w:t xml:space="preserve"> </w:t>
      </w:r>
      <w:r w:rsidRPr="005B0796">
        <w:t xml:space="preserve">Alcohol consumption and problem drinking was examined using the Alcohol Use Disorders Identification Test </w:t>
      </w:r>
      <w:r w:rsidRPr="005B0796">
        <w:fldChar w:fldCharType="begin"/>
      </w:r>
      <w:r w:rsidRPr="005B0796">
        <w:instrText xml:space="preserve"> ADDIN EN.CITE &lt;EndNote&gt;&lt;Cite&gt;&lt;Author&gt;Saunders&lt;/Author&gt;&lt;Year&gt;1993&lt;/Year&gt;&lt;RecNum&gt;444&lt;/RecNum&gt;&lt;DisplayText&gt;(Saunders et al., 1993)&lt;/DisplayText&gt;&lt;record&gt;&lt;rec-number&gt;444&lt;/rec-number&gt;&lt;foreign-keys&gt;&lt;key app="EN" db-id="arwdrezp9sdawxevtfyxtfw10exvr5exxfed" timestamp="1478237290"&gt;444&lt;/key&gt;&lt;/foreign-keys&gt;&lt;ref-type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(Linking)&lt;/isbn&gt;&lt;accession-num&gt;8329970&lt;/accession-num&gt;&lt;urls&gt;&lt;related-urls&gt;&lt;url&gt;http://www.ncbi.nlm.nih.gov/pubmed/8329970&lt;/url&gt;&lt;/related-urls&gt;&lt;/urls&gt;&lt;/record&gt;&lt;/Cite&gt;&lt;/EndNote&gt;</w:instrText>
      </w:r>
      <w:r w:rsidRPr="005B0796">
        <w:fldChar w:fldCharType="separate"/>
      </w:r>
      <w:r w:rsidRPr="005B0796">
        <w:t>(Saunders et al., 1993)</w:t>
      </w:r>
      <w:r w:rsidRPr="005B0796">
        <w:fldChar w:fldCharType="end"/>
      </w:r>
      <w:r w:rsidRPr="005B0796">
        <w:t>, a brief self-report screening instrument developed by the World Health Organization. This instrument consists of 10 questions to examine the quantity and frequency of alcohol consumption, possible symptoms of dependence, and reactions or problems related to alcohol. The AUDIT is widely used in epidemiological and clinical practice for defining at-risk patterns of drinking.</w:t>
      </w:r>
    </w:p>
    <w:p w:rsidR="00E54791" w:rsidRPr="005B0796" w:rsidRDefault="00E54791" w:rsidP="00E54791">
      <w:r w:rsidRPr="005B0796">
        <w:rPr>
          <w:b/>
        </w:rPr>
        <w:t>Anxiety disorders</w:t>
      </w:r>
      <w:r w:rsidRPr="005B0796">
        <w:t xml:space="preserve"> – A class of mental health disorder. This class of disorder involves the experience of intense and debilitating anxiety. The anxiety disorders covered in the survey were panic attacks, panic disorder, social phobia, specific phobia, agoraphobia, generalised anxiety disorder, posttraumatic stress disorder and obsessive-compulsive disorder.</w:t>
      </w:r>
    </w:p>
    <w:p w:rsidR="00E54791" w:rsidRPr="005B0796" w:rsidRDefault="00E54791" w:rsidP="00E54791">
      <w:r w:rsidRPr="005B0796">
        <w:rPr>
          <w:b/>
        </w:rPr>
        <w:t xml:space="preserve">Australian Bureau of Statistics (ABS) </w:t>
      </w:r>
      <w:r w:rsidRPr="005B0796">
        <w:t>– Australia</w:t>
      </w:r>
      <w:r w:rsidR="00462A0C" w:rsidRPr="005B0796">
        <w:t>’</w:t>
      </w:r>
      <w:r w:rsidRPr="005B0796">
        <w:t>s national statistical agency, providing trusted official statistics on a wide range of economic, social, population and environmental matters of importance to Australia. To enable comparison of estimates in the Transitioned ADF with an Australian Community population, direct standardisation was applied to estimates in the 20142015 ABS National Health Survey (NHS) data. The NHS is the most recent in a series of Australia-wide ABS health surveys, assessing various aspects of the health of Australians, including long-term health conditions, health risk factors and health service use.</w:t>
      </w:r>
    </w:p>
    <w:p w:rsidR="00E54791" w:rsidRPr="005B0796" w:rsidRDefault="00E54791" w:rsidP="00E54791">
      <w:r w:rsidRPr="005B0796">
        <w:rPr>
          <w:b/>
        </w:rPr>
        <w:t>Australian Defence Force (ADF)</w:t>
      </w:r>
      <w:r w:rsidRPr="005B0796">
        <w:t xml:space="preserve"> – The ADF, or Defence, is constituted under the </w:t>
      </w:r>
      <w:bookmarkStart w:id="1672" w:name="_Hlk489437028"/>
      <w:r w:rsidRPr="005B0796">
        <w:rPr>
          <w:i/>
        </w:rPr>
        <w:fldChar w:fldCharType="begin"/>
      </w:r>
      <w:r w:rsidRPr="005B0796">
        <w:rPr>
          <w:i/>
        </w:rPr>
        <w:instrText xml:space="preserve"> HYPERLINK "http://www.comlaw.gov.au/Series/C2004A07381" \t "_blank" </w:instrText>
      </w:r>
      <w:r w:rsidRPr="005B0796">
        <w:rPr>
          <w:i/>
        </w:rPr>
        <w:fldChar w:fldCharType="separate"/>
      </w:r>
      <w:r w:rsidRPr="005B0796">
        <w:rPr>
          <w:i/>
        </w:rPr>
        <w:t>Defence Act 1903</w:t>
      </w:r>
      <w:r w:rsidRPr="005B0796">
        <w:rPr>
          <w:i/>
        </w:rPr>
        <w:fldChar w:fldCharType="end"/>
      </w:r>
      <w:bookmarkEnd w:id="1672"/>
      <w:r w:rsidRPr="005B0796">
        <w:t xml:space="preserve"> (Cth). Its mission is to defend Australia and its national interests. In fulfilling this mission, Defence serves the government of the day and is accountable to the Commonwealth Parliament, which represents the Australian people to efficiently and effectively carry out the Government</w:t>
      </w:r>
      <w:r w:rsidR="00462A0C" w:rsidRPr="005B0796">
        <w:t>’</w:t>
      </w:r>
      <w:r w:rsidRPr="005B0796">
        <w:t>s defence policy. The current programme of research aims to examine the mental, physical and social health of serving and Ex-Serving Australian Defence Force (ADF) members, and their families. It builds upon previous research to inform effective and evidence based health service provision for contemporary service members and veterans.</w:t>
      </w:r>
    </w:p>
    <w:p w:rsidR="00E54791" w:rsidRPr="005B0796" w:rsidRDefault="00E54791" w:rsidP="00E54791">
      <w:r w:rsidRPr="005B0796">
        <w:rPr>
          <w:b/>
        </w:rPr>
        <w:t xml:space="preserve">Australian Institute of Family Studies (AIFS) </w:t>
      </w:r>
      <w:r w:rsidRPr="005B0796">
        <w:t>– The Australian Government</w:t>
      </w:r>
      <w:r w:rsidR="00462A0C" w:rsidRPr="005B0796">
        <w:t>’</w:t>
      </w:r>
      <w:r w:rsidRPr="005B0796">
        <w:t xml:space="preserve">s key research body in the area of family wellbeing. AIFS conducts </w:t>
      </w:r>
      <w:hyperlink r:id="rId306" w:history="1">
        <w:r w:rsidRPr="005B0796">
          <w:t>original research to increase understanding of Australian families</w:t>
        </w:r>
      </w:hyperlink>
      <w:r w:rsidRPr="005B0796">
        <w:t xml:space="preserve"> and the issues that affect them. The current research was conducted by a consortium of Australia</w:t>
      </w:r>
      <w:r w:rsidR="00462A0C" w:rsidRPr="005B0796">
        <w:t>’</w:t>
      </w:r>
      <w:r w:rsidRPr="005B0796">
        <w:t>s leading research institutions led by the Centre for Traumatic Stress Studies at the University of Adelaide, and</w:t>
      </w:r>
      <w:r w:rsidR="00462A0C" w:rsidRPr="005B0796">
        <w:t xml:space="preserve"> </w:t>
      </w:r>
      <w:r w:rsidRPr="005B0796">
        <w:t>AIFS.</w:t>
      </w:r>
    </w:p>
    <w:p w:rsidR="00E54791" w:rsidRPr="005B0796" w:rsidRDefault="00E54791" w:rsidP="00E54791">
      <w:r w:rsidRPr="005B0796">
        <w:rPr>
          <w:b/>
        </w:rPr>
        <w:t>Australian Institute of Health and Welfare (AIHW)</w:t>
      </w:r>
      <w:r w:rsidRPr="005B0796">
        <w:t xml:space="preserve"> – Australia</w:t>
      </w:r>
      <w:r w:rsidR="00462A0C" w:rsidRPr="005B0796">
        <w:t>’</w:t>
      </w:r>
      <w:r w:rsidRPr="005B0796">
        <w:t xml:space="preserve">s national agency for health and welfare statistics and information. It was used in this Programme to develop a Study Roll by integrating contact information from various sources and databases. </w:t>
      </w:r>
    </w:p>
    <w:p w:rsidR="00E54791" w:rsidRPr="005B0796" w:rsidRDefault="00E54791" w:rsidP="00E54791">
      <w:pPr>
        <w:rPr>
          <w:b/>
        </w:rPr>
      </w:pPr>
      <w:r w:rsidRPr="005B0796">
        <w:rPr>
          <w:b/>
        </w:rPr>
        <w:t>Bipolar affective disorder</w:t>
      </w:r>
      <w:r w:rsidRPr="005B0796">
        <w:t xml:space="preserve"> – A class of mental disorder associated with fluctuations of mood that are significantly disturbed. These fluctuations of mood are markedly elevated on some occasions (hypomania or mania) and can be markedly lowered on other occasions (Depressive Episodes). A diagnosis of Bipolar Affective Disorder was applied in this study if the individuals met criteria for mania or hypomania in the previous 12-months</w:t>
      </w:r>
    </w:p>
    <w:p w:rsidR="00E54791" w:rsidRPr="005B0796" w:rsidRDefault="00E54791" w:rsidP="00E54791">
      <w:r w:rsidRPr="005B0796">
        <w:rPr>
          <w:b/>
        </w:rPr>
        <w:t xml:space="preserve">Centre for Traumatic Stress Studies (CTSS) </w:t>
      </w:r>
      <w:r w:rsidRPr="005B0796">
        <w:t>–</w:t>
      </w:r>
      <w:r w:rsidRPr="005B0796">
        <w:rPr>
          <w:b/>
        </w:rPr>
        <w:t xml:space="preserve"> </w:t>
      </w:r>
      <w:r w:rsidRPr="005B0796">
        <w:t>This centre at the University of Adelaide seeks to improve evidence-based</w:t>
      </w:r>
      <w:r w:rsidR="00462A0C" w:rsidRPr="005B0796">
        <w:t xml:space="preserve"> </w:t>
      </w:r>
      <w:r w:rsidRPr="005B0796">
        <w:t>practice by informing and applying scientific knowledge in the field of trauma, mental disorder and wellbeing in at</w:t>
      </w:r>
      <w:r w:rsidRPr="005B0796">
        <w:noBreakHyphen/>
        <w:t>risk populations. The Programme was conducted by a consortium of Australia</w:t>
      </w:r>
      <w:r w:rsidR="00462A0C" w:rsidRPr="005B0796">
        <w:t>’</w:t>
      </w:r>
      <w:r w:rsidRPr="005B0796">
        <w:t>s leading research institutions, led by the CTSS and the Australian Institute of Family Studies.</w:t>
      </w:r>
    </w:p>
    <w:p w:rsidR="00E54791" w:rsidRPr="005B0796" w:rsidRDefault="00E54791" w:rsidP="00E54791">
      <w:r w:rsidRPr="005B0796">
        <w:rPr>
          <w:b/>
        </w:rPr>
        <w:t>Chain of command</w:t>
      </w:r>
      <w:r w:rsidRPr="005B0796">
        <w:rPr>
          <w:rFonts w:cs="Arial"/>
          <w:color w:val="424242"/>
        </w:rPr>
        <w:t xml:space="preserve"> – A</w:t>
      </w:r>
      <w:r w:rsidRPr="005B0796">
        <w:rPr>
          <w:color w:val="424242"/>
        </w:rPr>
        <w:t xml:space="preserve"> </w:t>
      </w:r>
      <w:r w:rsidRPr="005B0796">
        <w:t>line of authority and responsibility along which orders are passed within a military unit and between different units.</w:t>
      </w:r>
    </w:p>
    <w:p w:rsidR="00E54791" w:rsidRPr="005B0796" w:rsidRDefault="00E54791" w:rsidP="00E54791">
      <w:pPr>
        <w:rPr>
          <w:b/>
        </w:rPr>
      </w:pPr>
      <w:r w:rsidRPr="005B0796">
        <w:rPr>
          <w:b/>
        </w:rPr>
        <w:t>Class of mental disorder</w:t>
      </w:r>
      <w:r w:rsidRPr="005B0796">
        <w:t xml:space="preserve"> - Mental disorders are grouped into classes of disorder that share common features. Three classes of mental disorders were included in the survey. These were affective disorders, anxiety disorders and alcohol disorders. </w:t>
      </w:r>
    </w:p>
    <w:p w:rsidR="00E54791" w:rsidRPr="005B0796" w:rsidRDefault="00E54791" w:rsidP="00E54791">
      <w:r w:rsidRPr="005B0796">
        <w:rPr>
          <w:b/>
          <w:bCs/>
        </w:rPr>
        <w:t xml:space="preserve">Comorbidity </w:t>
      </w:r>
      <w:r w:rsidRPr="005B0796">
        <w:rPr>
          <w:bCs/>
        </w:rPr>
        <w:t>– The occurrence of more than one disorder at the same time</w:t>
      </w:r>
      <w:r w:rsidRPr="005B0796">
        <w:rPr>
          <w:b/>
        </w:rPr>
        <w:t xml:space="preserve">. </w:t>
      </w:r>
      <w:r w:rsidRPr="005B0796">
        <w:t>Comorbidity was defined by grouping any alcohol disorders, any affective disorders, any anxiety disorders (excluding PTSD), and PTSD according to their co-occurrence. In addition to a breakdown of the individual patterns of co-occurrence, 5 categories were defined representing those with no mental health disorder, and those with 1, 2, 3 or 4 disorder categories.</w:t>
      </w:r>
    </w:p>
    <w:p w:rsidR="00E54791" w:rsidRPr="005B0796" w:rsidRDefault="00E54791" w:rsidP="00E54791">
      <w:r w:rsidRPr="005B0796">
        <w:rPr>
          <w:b/>
          <w:bCs/>
        </w:rPr>
        <w:t>Composite International Diagnostic Interview (CIDI)</w:t>
      </w:r>
      <w:r w:rsidRPr="005B0796">
        <w:rPr>
          <w:bCs/>
        </w:rPr>
        <w:t xml:space="preserve"> -</w:t>
      </w:r>
      <w:r w:rsidRPr="005B0796">
        <w:rPr>
          <w:b/>
        </w:rPr>
        <w:t xml:space="preserve"> </w:t>
      </w:r>
      <w:r w:rsidRPr="005B0796">
        <w:t>The World Mental Health Survey Initiative version of the World Health Organization</w:t>
      </w:r>
      <w:r w:rsidR="00462A0C" w:rsidRPr="005B0796">
        <w:t>’</w:t>
      </w:r>
      <w:r w:rsidRPr="005B0796">
        <w:t>s Composite International Diagnostic Interview, version 3 (WMH-CIDI 3.0)</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provides an assessment of mental disorders based on the definitions and criteria of two classification systems: the Diagnostic and Statistical Manual of Mental Disorders, 4th</w:t>
      </w:r>
      <w:r w:rsidR="004F17A6" w:rsidRPr="005B0796">
        <w:t> </w:t>
      </w:r>
      <w:r w:rsidRPr="005B0796">
        <w:t xml:space="preserve">edition (DSM-IV) and the World Health Organization International Classification of Diseases, 10th revision (ICD-10) </w:t>
      </w:r>
      <w:r w:rsidRPr="005B0796">
        <w:fldChar w:fldCharType="begin"/>
      </w:r>
      <w:r w:rsidRPr="005B0796">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5B0796">
        <w:fldChar w:fldCharType="separate"/>
      </w:r>
      <w:r w:rsidRPr="005B0796">
        <w:t>(World Health Organi</w:t>
      </w:r>
      <w:r w:rsidR="008C2520" w:rsidRPr="005B0796">
        <w:t>z</w:t>
      </w:r>
      <w:r w:rsidRPr="005B0796">
        <w:t>ation, 1994)</w:t>
      </w:r>
      <w:r w:rsidRPr="005B0796">
        <w:fldChar w:fldCharType="end"/>
      </w:r>
      <w:r w:rsidRPr="005B0796">
        <w:t>. This instrument was utilised in phase 2 of the current research Programme.</w:t>
      </w:r>
    </w:p>
    <w:p w:rsidR="00E54791" w:rsidRPr="005B0796" w:rsidRDefault="00E54791" w:rsidP="00E54791">
      <w:r w:rsidRPr="005B0796">
        <w:rPr>
          <w:b/>
        </w:rPr>
        <w:t xml:space="preserve">Confidence interval (CI) </w:t>
      </w:r>
      <w:r w:rsidRPr="005B0796">
        <w:t>– This measurement gives an estimated range of values that is likely to include</w:t>
      </w:r>
      <w:r w:rsidR="00462A0C" w:rsidRPr="005B0796">
        <w:t xml:space="preserve"> </w:t>
      </w:r>
      <w:r w:rsidRPr="005B0796">
        <w:t>an unknown population parameter: the estimated range being calculated from a given set of sample data.</w:t>
      </w:r>
    </w:p>
    <w:p w:rsidR="00E54791" w:rsidRPr="005B0796" w:rsidRDefault="00E54791" w:rsidP="00E54791">
      <w:pPr>
        <w:rPr>
          <w:b/>
        </w:rPr>
      </w:pPr>
      <w:r w:rsidRPr="005B0796">
        <w:rPr>
          <w:b/>
        </w:rPr>
        <w:t xml:space="preserve">Department of Veterans Affairs (DVA) </w:t>
      </w:r>
      <w:r w:rsidRPr="005B0796">
        <w:t>–</w:t>
      </w:r>
      <w:r w:rsidRPr="005B0796">
        <w:rPr>
          <w:b/>
        </w:rPr>
        <w:t xml:space="preserve"> </w:t>
      </w:r>
      <w:r w:rsidRPr="005B0796">
        <w:t>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rsidR="00E54791" w:rsidRPr="005B0796" w:rsidRDefault="00E54791" w:rsidP="00E54791">
      <w:pPr>
        <w:rPr>
          <w:b/>
        </w:rPr>
      </w:pPr>
      <w:r w:rsidRPr="005B0796">
        <w:rPr>
          <w:b/>
        </w:rPr>
        <w:t xml:space="preserve">Deployment status </w:t>
      </w:r>
      <w:r w:rsidRPr="005B0796">
        <w:t>–</w:t>
      </w:r>
      <w:r w:rsidRPr="005B0796">
        <w:rPr>
          <w:b/>
        </w:rPr>
        <w:t xml:space="preserve"> </w:t>
      </w:r>
      <w:r w:rsidRPr="005B0796">
        <w:t>The Mental Health and Wellbeing Transition Study defined deployment status, based on survey responses, as:</w:t>
      </w:r>
    </w:p>
    <w:p w:rsidR="00E54791" w:rsidRPr="005B0796" w:rsidRDefault="00E54791" w:rsidP="00E54791">
      <w:pPr>
        <w:pStyle w:val="Bullet"/>
      </w:pPr>
      <w:r w:rsidRPr="005B0796">
        <w:rPr>
          <w:b/>
        </w:rPr>
        <w:t xml:space="preserve">Never deployed: </w:t>
      </w:r>
      <w:r w:rsidRPr="005B0796">
        <w:t>Individuals who did not endorse any deployments listed in the self</w:t>
      </w:r>
      <w:r w:rsidRPr="005B0796">
        <w:noBreakHyphen/>
        <w:t>report survey (Your Military Career: Deployments) and did not endorse any deployment exposures (Your Military Career: Deployment Exposure)</w:t>
      </w:r>
    </w:p>
    <w:p w:rsidR="00E54791" w:rsidRPr="005B0796" w:rsidRDefault="00E54791" w:rsidP="00E54791">
      <w:pPr>
        <w:pStyle w:val="Bullet"/>
      </w:pPr>
      <w:r w:rsidRPr="005B0796">
        <w:rPr>
          <w:b/>
        </w:rPr>
        <w:t xml:space="preserve">Deployed: </w:t>
      </w:r>
      <w:r w:rsidRPr="005B0796">
        <w:t>Individuals who endorsed one or more of the listed deployments (Your Military Career: Deployments) or endorsed one or more of the deployment exposures (Your Military Career: Deployment Exposure).</w:t>
      </w:r>
    </w:p>
    <w:p w:rsidR="00E54791" w:rsidRPr="005B0796" w:rsidRDefault="00E54791" w:rsidP="00E54791">
      <w:r w:rsidRPr="005B0796">
        <w:rPr>
          <w:b/>
        </w:rPr>
        <w:t xml:space="preserve">Depressive episodes </w:t>
      </w:r>
      <w:r w:rsidRPr="005B0796">
        <w:t>– Characteristic of a major depressive disorder, an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w:t>
      </w:r>
      <w:r w:rsidRPr="005B0796">
        <w:rPr>
          <w:rFonts w:cs="@필기체"/>
        </w:rPr>
        <w:t xml:space="preserve"> Hierarchy rules were applied to depressive episodes, such that a person could not have met criteria for either a hypomanic or manic episode.</w:t>
      </w:r>
    </w:p>
    <w:p w:rsidR="00E54791" w:rsidRPr="005B0796" w:rsidRDefault="00E54791" w:rsidP="00E54791">
      <w:r w:rsidRPr="005B0796">
        <w:rPr>
          <w:b/>
        </w:rPr>
        <w:t xml:space="preserve">Diagnostic criteria </w:t>
      </w:r>
      <w:r w:rsidRPr="005B0796">
        <w:t xml:space="preserve">– The survey was designed to estimate the prevalence of common mental health disorders defined according to clinical diagnostic criteria, as directed by the International Classification of Diseases 10th Revision (ICD-10). Diagnostic criteria for a disorder usually involve specification of: </w:t>
      </w:r>
    </w:p>
    <w:p w:rsidR="00E54791" w:rsidRPr="005B0796" w:rsidRDefault="00E54791" w:rsidP="00E54791">
      <w:pPr>
        <w:pStyle w:val="Bullet"/>
      </w:pPr>
      <w:r w:rsidRPr="005B0796">
        <w:t>the nature, number and combination of symptoms</w:t>
      </w:r>
    </w:p>
    <w:p w:rsidR="00E54791" w:rsidRPr="005B0796" w:rsidRDefault="00E54791" w:rsidP="00E54791">
      <w:pPr>
        <w:pStyle w:val="Bullet"/>
      </w:pPr>
      <w:r w:rsidRPr="005B0796">
        <w:t xml:space="preserve">the time period over which the symptoms have been continuously experienced </w:t>
      </w:r>
    </w:p>
    <w:p w:rsidR="00E54791" w:rsidRPr="005B0796" w:rsidRDefault="00E54791" w:rsidP="00E54791">
      <w:pPr>
        <w:pStyle w:val="Bullet"/>
      </w:pPr>
      <w:r w:rsidRPr="005B0796">
        <w:t xml:space="preserve">the level of distress or impairment experienced </w:t>
      </w:r>
    </w:p>
    <w:p w:rsidR="00E54791" w:rsidRPr="005B0796" w:rsidRDefault="00E54791" w:rsidP="00E54791">
      <w:pPr>
        <w:pStyle w:val="Bullet"/>
      </w:pPr>
      <w:r w:rsidRPr="005B0796">
        <w:t>the circumstances for exclusion of a diagnosis, such as it being due to a general medical condition or the symptoms being associated with another mental disorder.</w:t>
      </w:r>
    </w:p>
    <w:p w:rsidR="00E54791" w:rsidRPr="005B0796" w:rsidRDefault="00E54791" w:rsidP="00E54791">
      <w:pPr>
        <w:rPr>
          <w:rFonts w:cs="Arial"/>
          <w:b/>
        </w:rPr>
      </w:pPr>
      <w:r w:rsidRPr="005B0796">
        <w:rPr>
          <w:b/>
        </w:rPr>
        <w:t xml:space="preserve">Dimensions of Anger Reactions Scale (DAR-5) </w:t>
      </w:r>
      <w:r w:rsidRPr="005B0796">
        <w:t>– A concise measure of anger consisting of five items that address anger frequency, intensity, 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w:t>
      </w:r>
      <w:r w:rsidRPr="005B0796">
        <w:rPr>
          <w:rFonts w:cs="Arial"/>
          <w:b/>
        </w:rPr>
        <w:t xml:space="preserve"> </w:t>
      </w:r>
    </w:p>
    <w:p w:rsidR="00E54791" w:rsidRPr="005B0796" w:rsidRDefault="00E54791" w:rsidP="00E54791">
      <w:r w:rsidRPr="005B0796">
        <w:rPr>
          <w:b/>
        </w:rPr>
        <w:t xml:space="preserve">DVA client </w:t>
      </w:r>
      <w:r w:rsidRPr="005B0796">
        <w:t>– A term used when referring to DVA clients for the purpose of analyses.</w:t>
      </w:r>
    </w:p>
    <w:p w:rsidR="00E54791" w:rsidRPr="005B0796" w:rsidRDefault="00E54791" w:rsidP="00E54791">
      <w:r w:rsidRPr="005B0796">
        <w:t>In the construction of the DVA dataset for the study roll, DVA created an indicator of confidence against each veteran with respect to the level of interaction DVA had with each them for assessing how confident DVA was in the address accuracy. Each of the following groups were considered DVA client:</w:t>
      </w:r>
    </w:p>
    <w:p w:rsidR="00E54791" w:rsidRPr="005B0796" w:rsidRDefault="00E54791" w:rsidP="00E54791">
      <w:pPr>
        <w:pStyle w:val="Bullet"/>
        <w:rPr>
          <w:rFonts w:asciiTheme="majorHAnsi" w:hAnsiTheme="majorHAnsi"/>
        </w:rPr>
      </w:pPr>
      <w:r w:rsidRPr="005B0796">
        <w:t xml:space="preserve">High – where a veteran is in receipt of a fortnightly payment (such as income support or compensation pension) from DVA it was a sign of regular ongoing contact with the client and therefore DVA would have a high-level of confidence that their address would be up to date and correct. </w:t>
      </w:r>
    </w:p>
    <w:p w:rsidR="00E54791" w:rsidRPr="005B0796" w:rsidRDefault="00E54791" w:rsidP="00E54791">
      <w:pPr>
        <w:pStyle w:val="Bullet"/>
        <w:rPr>
          <w:rFonts w:asciiTheme="majorHAnsi" w:hAnsiTheme="majorHAnsi"/>
        </w:rPr>
      </w:pPr>
      <w:r w:rsidRPr="005B0796">
        <w:t>Medium – where a veteran only holds a treatment card (i.e., does not also have an ongoing payment) there is a lower level of ongoing contact with the Department and therefore the level of confidence that DVA can assign to the accuracy of the client</w:t>
      </w:r>
      <w:r w:rsidR="00462A0C" w:rsidRPr="005B0796">
        <w:t>’</w:t>
      </w:r>
      <w:r w:rsidRPr="005B0796">
        <w:t>s address is lower.</w:t>
      </w:r>
    </w:p>
    <w:p w:rsidR="00E54791" w:rsidRPr="005B0796" w:rsidRDefault="00E54791" w:rsidP="00E54791">
      <w:pPr>
        <w:pStyle w:val="Bullet"/>
      </w:pPr>
      <w:r w:rsidRPr="005B0796">
        <w:t xml:space="preserve">Low – not all veterans who have their illness/injury liability claim accepted as service related by DVA automatically receive a treatment card or pension payment, however they would still be considered DVA clients. </w:t>
      </w:r>
    </w:p>
    <w:p w:rsidR="00E54791" w:rsidRPr="005B0796" w:rsidRDefault="00E54791" w:rsidP="00E54791">
      <w:r w:rsidRPr="005B0796">
        <w:t xml:space="preserve">For the purposes of this report, any individual in the study population, who met the criteria above, was flagged as a </w:t>
      </w:r>
      <w:r w:rsidR="00462A0C" w:rsidRPr="005B0796">
        <w:t>‘</w:t>
      </w:r>
      <w:r w:rsidRPr="005B0796">
        <w:t>DVA Client</w:t>
      </w:r>
      <w:r w:rsidR="00462A0C" w:rsidRPr="005B0796">
        <w:t>’</w:t>
      </w:r>
      <w:r w:rsidRPr="005B0796">
        <w:t>. Those with this flag were compared against those without this flag.</w:t>
      </w:r>
    </w:p>
    <w:p w:rsidR="00E54791" w:rsidRPr="005B0796" w:rsidRDefault="00E54791" w:rsidP="00E54791">
      <w:r w:rsidRPr="005B0796">
        <w:rPr>
          <w:b/>
        </w:rPr>
        <w:t>Dysthymia</w:t>
      </w:r>
      <w:r w:rsidRPr="005B0796">
        <w:t xml:space="preserve"> – Characterised as a chronic or pervasive disturbance of mood lasting several years that is not sufficiently severe or in which the depressive episodes are not sufficiently prolonged to warrant a diagnosis of a recurrent depressive disorder. </w:t>
      </w:r>
      <w:r w:rsidRPr="005B0796">
        <w:rPr>
          <w:rFonts w:cs="@필기체"/>
        </w:rPr>
        <w:t>Hierarchy rules were applied to dysthymia such that in order to have this disorder, a person could not have met criteria for either a hypomanic or manic episode and could not have reported episodes of severe or moderate depression within the first two years of dysthymia.</w:t>
      </w:r>
    </w:p>
    <w:p w:rsidR="00E54791" w:rsidRPr="005B0796" w:rsidRDefault="00E54791" w:rsidP="00E54791">
      <w:pPr>
        <w:rPr>
          <w:b/>
          <w:color w:val="262626"/>
        </w:rPr>
      </w:pPr>
      <w:r w:rsidRPr="005B0796">
        <w:rPr>
          <w:b/>
          <w:color w:val="262626"/>
        </w:rPr>
        <w:t>Ex-service organisation (ESO)</w:t>
      </w:r>
      <w:r w:rsidRPr="005B0796">
        <w:rPr>
          <w:rFonts w:cs="Arial"/>
        </w:rPr>
        <w:t xml:space="preserve"> </w:t>
      </w:r>
      <w:r w:rsidRPr="005B0796">
        <w:t>– Organisations that provide assistance to current and former ADF members.</w:t>
      </w:r>
      <w:r w:rsidR="00462A0C" w:rsidRPr="005B0796">
        <w:t xml:space="preserve"> </w:t>
      </w:r>
      <w:r w:rsidRPr="005B0796">
        <w:t>Services can include but are not necessarily limited to welfare support, help with DVA claims, and employment programs and social support.</w:t>
      </w:r>
    </w:p>
    <w:p w:rsidR="00E54791" w:rsidRPr="005B0796" w:rsidRDefault="00E54791" w:rsidP="00E54791">
      <w:r w:rsidRPr="005B0796">
        <w:rPr>
          <w:b/>
        </w:rPr>
        <w:t xml:space="preserve">Generalised anxiety disorder (GAD) </w:t>
      </w:r>
      <w:r w:rsidRPr="005B0796">
        <w:t>–</w:t>
      </w:r>
      <w:r w:rsidRPr="005B0796">
        <w:rPr>
          <w:b/>
        </w:rPr>
        <w:t xml:space="preserve"> </w:t>
      </w:r>
      <w:r w:rsidRPr="005B0796">
        <w:t xml:space="preserve">A generalised and persistent worry, anxiety or apprehension about everyday events and activities lasting a minimum of six months that is accompanied by anxiety symptoms as described in </w:t>
      </w:r>
      <w:r w:rsidR="00462A0C" w:rsidRPr="005B0796">
        <w:t>‘</w:t>
      </w:r>
      <w:r w:rsidRPr="005B0796">
        <w:t>agoraphobia</w:t>
      </w:r>
      <w:r w:rsidR="00462A0C" w:rsidRPr="005B0796">
        <w:t>’</w:t>
      </w:r>
      <w:r w:rsidRPr="005B0796">
        <w:t>. Other symptoms may include symptoms of tension, such as inability to relax and muscle tension, and other non-specific symptoms, such as irritability and difficulty in concentrating.</w:t>
      </w:r>
    </w:p>
    <w:p w:rsidR="00E54791" w:rsidRPr="005B0796" w:rsidRDefault="00E54791" w:rsidP="00E54791">
      <w:pPr>
        <w:rPr>
          <w:color w:val="262626"/>
        </w:rPr>
      </w:pPr>
      <w:r w:rsidRPr="005B0796">
        <w:rPr>
          <w:b/>
        </w:rPr>
        <w:t xml:space="preserve">Generalised Anxiety Disorder 7-item Scale (GAD-7) </w:t>
      </w:r>
      <w:r w:rsidRPr="005B0796">
        <w:t xml:space="preserve">– A brief seven-item screening measure based on the </w:t>
      </w:r>
      <w:r w:rsidRPr="005B0796">
        <w:rPr>
          <w:i/>
        </w:rPr>
        <w:t>Diagnostic and Statistical Manual of Mental Disorders – Fourth Edition</w:t>
      </w:r>
      <w:r w:rsidRPr="005B0796">
        <w:t xml:space="preserve"> (DSM-IV) criteria for generalised anxiety disorder. Originally validated for use in primary care, the GAD-7 performs well in detecting probable cases of the disorder, </w:t>
      </w:r>
      <w:r w:rsidRPr="005B0796">
        <w:rPr>
          <w:rFonts w:cs="Arial"/>
          <w:color w:val="2C221E"/>
        </w:rPr>
        <w:t>with a sensitivity of 89% and a specificity of 82%.</w:t>
      </w:r>
    </w:p>
    <w:p w:rsidR="00E54791" w:rsidRPr="005B0796" w:rsidRDefault="00E54791" w:rsidP="00E54791">
      <w:r w:rsidRPr="005B0796">
        <w:rPr>
          <w:b/>
          <w:color w:val="262626"/>
        </w:rPr>
        <w:t xml:space="preserve">Gold Card </w:t>
      </w:r>
      <w:r w:rsidRPr="005B0796">
        <w:rPr>
          <w:color w:val="262626"/>
        </w:rPr>
        <w:t xml:space="preserve">– A </w:t>
      </w:r>
      <w:r w:rsidRPr="005B0796">
        <w:rPr>
          <w:bCs/>
        </w:rPr>
        <w:t xml:space="preserve">DVA health card for all conditions. </w:t>
      </w:r>
      <w:r w:rsidRPr="005B0796">
        <w:t>Gold Card holders are entitled to DVA funding for services for all clinically necessary healthcare needs and all health conditions, whether or not they are related to war service. The card holder may be a veteran or the widow/widower or dependant of a veteran. Only the person named on the card is covered.</w:t>
      </w:r>
    </w:p>
    <w:p w:rsidR="00E54791" w:rsidRPr="005B0796" w:rsidRDefault="00E54791" w:rsidP="00E54791">
      <w:pPr>
        <w:rPr>
          <w:b/>
        </w:rPr>
      </w:pPr>
      <w:r w:rsidRPr="005B0796">
        <w:rPr>
          <w:b/>
        </w:rPr>
        <w:t xml:space="preserve">Help-seeking latency </w:t>
      </w:r>
      <w:r w:rsidRPr="005B0796">
        <w:t>–</w:t>
      </w:r>
      <w:r w:rsidRPr="005B0796">
        <w:rPr>
          <w:b/>
        </w:rPr>
        <w:t xml:space="preserve"> </w:t>
      </w:r>
      <w:r w:rsidRPr="005B0796">
        <w:t xml:space="preserve">The delay in time between first becoming concerned about a health problem and first seeking help for that problem. To assess </w:t>
      </w:r>
      <w:bookmarkStart w:id="1673" w:name="_Hlk489449686"/>
      <w:r w:rsidRPr="005B0796">
        <w:t xml:space="preserve">help-seeking latency </w:t>
      </w:r>
      <w:bookmarkEnd w:id="1673"/>
      <w:r w:rsidRPr="005B0796">
        <w:t xml:space="preserve">in the study, participants were asked to indicate when they first sought help for their own mental health. Options included </w:t>
      </w:r>
      <w:r w:rsidR="00462A0C" w:rsidRPr="005B0796">
        <w:t>‘</w:t>
      </w:r>
      <w:r w:rsidRPr="005B0796">
        <w:t>within three months of becoming concerned</w:t>
      </w:r>
      <w:r w:rsidR="00462A0C" w:rsidRPr="005B0796">
        <w:t>’</w:t>
      </w:r>
      <w:r w:rsidRPr="005B0796">
        <w:t xml:space="preserve"> or </w:t>
      </w:r>
      <w:r w:rsidR="00462A0C" w:rsidRPr="005B0796">
        <w:t>‘</w:t>
      </w:r>
      <w:r w:rsidRPr="005B0796">
        <w:t>within one year of becoming concerned</w:t>
      </w:r>
      <w:r w:rsidR="00462A0C" w:rsidRPr="005B0796">
        <w:t>’</w:t>
      </w:r>
      <w:r w:rsidRPr="005B0796">
        <w:t>. Alternatively, participants were able to specify the number of years since becoming concerned. This item was developed by researchers for use in the study.</w:t>
      </w:r>
    </w:p>
    <w:p w:rsidR="00E54791" w:rsidRPr="005B0796" w:rsidRDefault="00E54791" w:rsidP="00E54791">
      <w:pPr>
        <w:rPr>
          <w:b/>
        </w:rPr>
      </w:pPr>
      <w:r w:rsidRPr="005B0796">
        <w:rPr>
          <w:b/>
        </w:rPr>
        <w:t>Hypomanic episodes</w:t>
      </w:r>
      <w:r w:rsidRPr="005B0796">
        <w:t xml:space="preserve"> – Episodes that last at least four consecutive days and are considered abnormal to the individual. These episodes are characterised by increased activity, talkativeness, elevated mood, disrupted concentration, decreased need for sleep and disrupted judgment, manifesting as risk-taking (for example, mild spending sprees). In a subgroup of people, these disorders are particularly characterised by irritability. </w:t>
      </w:r>
      <w:r w:rsidRPr="005B0796">
        <w:rPr>
          <w:rFonts w:cs="@필기체"/>
        </w:rPr>
        <w:t xml:space="preserve">To meet criteria for the </w:t>
      </w:r>
      <w:r w:rsidR="00462A0C" w:rsidRPr="005B0796">
        <w:rPr>
          <w:rFonts w:cs="@필기체"/>
        </w:rPr>
        <w:t>‘</w:t>
      </w:r>
      <w:r w:rsidRPr="005B0796">
        <w:rPr>
          <w:rFonts w:cs="@필기체"/>
        </w:rPr>
        <w:t>with hierarchy</w:t>
      </w:r>
      <w:r w:rsidR="00462A0C" w:rsidRPr="005B0796">
        <w:rPr>
          <w:rFonts w:cs="@필기체"/>
        </w:rPr>
        <w:t>’</w:t>
      </w:r>
      <w:r w:rsidRPr="005B0796">
        <w:rPr>
          <w:rFonts w:cs="@필기체"/>
        </w:rPr>
        <w:t xml:space="preserve"> </w:t>
      </w:r>
      <w:r w:rsidRPr="005B0796">
        <w:t>version</w:t>
      </w:r>
      <w:r w:rsidRPr="005B0796">
        <w:rPr>
          <w:rFonts w:cs="@필기체"/>
        </w:rPr>
        <w:t>, the person cannot have met criteria for an episode of mania.</w:t>
      </w:r>
    </w:p>
    <w:p w:rsidR="00E54791" w:rsidRPr="005B0796" w:rsidRDefault="00E54791" w:rsidP="00E54791">
      <w:pPr>
        <w:rPr>
          <w:rFonts w:eastAsia="MS ??"/>
          <w:b/>
        </w:rPr>
      </w:pPr>
      <w:r w:rsidRPr="005B0796">
        <w:rPr>
          <w:rFonts w:eastAsia="MS ??"/>
          <w:b/>
        </w:rPr>
        <w:t xml:space="preserve">Kessler Psychological Distress Scale (K10) </w:t>
      </w:r>
      <w:r w:rsidRPr="005B0796">
        <w:rPr>
          <w:rFonts w:eastAsia="MS ??"/>
        </w:rPr>
        <w:t xml:space="preserve">– </w:t>
      </w:r>
      <w:r w:rsidRPr="005B0796">
        <w:t xml:space="preserve">A short 10-item screening questionnaire that yields a global measure of psychological distress based on symptoms of anxiety and depression experienced in the most recent four-week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Australian Bureau of Statistics National Survey of Mental Health and Wellbeing </w: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 </w:instrText>
      </w:r>
      <w:r w:rsidRPr="005B0796">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5B0796">
        <w:instrText xml:space="preserve"> ADDIN EN.CITE.DATA </w:instrText>
      </w:r>
      <w:r w:rsidRPr="005B0796">
        <w:fldChar w:fldCharType="end"/>
      </w:r>
      <w:r w:rsidRPr="005B0796">
        <w:fldChar w:fldCharType="separate"/>
      </w:r>
      <w:r w:rsidRPr="005B0796">
        <w:t>(Slade et al., 2009)</w:t>
      </w:r>
      <w:r w:rsidRPr="005B0796">
        <w:fldChar w:fldCharType="end"/>
      </w:r>
      <w:r w:rsidRPr="005B0796">
        <w:t>.</w:t>
      </w:r>
    </w:p>
    <w:p w:rsidR="00E54791" w:rsidRPr="005B0796" w:rsidRDefault="00E54791" w:rsidP="00E54791">
      <w:r w:rsidRPr="005B0796">
        <w:rPr>
          <w:b/>
        </w:rPr>
        <w:t>Lifetime prevalence</w:t>
      </w:r>
      <w:r w:rsidRPr="005B0796">
        <w:t xml:space="preserve"> – A prevalence that meets diagnostic criteria for a mental disorder at any point in the respondent</w:t>
      </w:r>
      <w:r w:rsidR="00462A0C" w:rsidRPr="005B0796">
        <w:t>’</w:t>
      </w:r>
      <w:r w:rsidRPr="005B0796">
        <w:t>s lifetime.</w:t>
      </w:r>
    </w:p>
    <w:p w:rsidR="00E54791" w:rsidRPr="005B0796" w:rsidRDefault="00E54791" w:rsidP="00E54791">
      <w:pPr>
        <w:rPr>
          <w:b/>
        </w:rPr>
      </w:pPr>
      <w:r w:rsidRPr="005B0796">
        <w:rPr>
          <w:b/>
        </w:rPr>
        <w:t xml:space="preserve">Lifetime trauma </w:t>
      </w:r>
      <w:r w:rsidRPr="005B0796">
        <w:t xml:space="preserve">– Exposure questions used in this study were drawn from the posttraumatic stress disorder module of the CIDI </w:t>
      </w:r>
      <w:r w:rsidRPr="005B0796">
        <w:fldChar w:fldCharType="begin"/>
      </w:r>
      <w:r w:rsidRPr="005B0796">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5B0796">
        <w:fldChar w:fldCharType="separate"/>
      </w:r>
      <w:r w:rsidRPr="005B0796">
        <w:t>(Haro et al., 2006)</w:t>
      </w:r>
      <w:r w:rsidRPr="005B0796">
        <w:fldChar w:fldCharType="end"/>
      </w:r>
      <w:r w:rsidRPr="005B0796">
        <w:t>.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rsidR="00E54791" w:rsidRPr="005B0796" w:rsidRDefault="00E54791" w:rsidP="00E54791">
      <w:r w:rsidRPr="005B0796">
        <w:rPr>
          <w:b/>
        </w:rPr>
        <w:t>Mania</w:t>
      </w:r>
      <w:r w:rsidRPr="005B0796">
        <w:t xml:space="preserve"> – Similar to hypomania but more severe in nature. Lasting slightly longer (a minimum of a week), these episodes often lead to severe interference with personal functioning. In addition to the symptoms outlined under </w:t>
      </w:r>
      <w:r w:rsidR="00462A0C" w:rsidRPr="005B0796">
        <w:t>‘</w:t>
      </w:r>
      <w:r w:rsidRPr="005B0796">
        <w:t>hypomania</w:t>
      </w:r>
      <w:r w:rsidR="00462A0C" w:rsidRPr="005B0796">
        <w:t>’</w:t>
      </w:r>
      <w:r w:rsidRPr="005B0796">
        <w:t>, mania is often associated with feelings of grandiosity, marked sexual indiscretions and racing thoughts.</w:t>
      </w:r>
    </w:p>
    <w:p w:rsidR="00E54791" w:rsidRPr="005B0796" w:rsidRDefault="00E54791" w:rsidP="00E54791">
      <w:r w:rsidRPr="005B0796">
        <w:rPr>
          <w:b/>
        </w:rPr>
        <w:t xml:space="preserve">Medical Employment Classification (MEC) </w:t>
      </w:r>
      <w:r w:rsidRPr="005B0796">
        <w:t>– An administrative process designed to monitor physical fitness and medical standards in the ADF. MEC was divided into four levels (either current or on discharge from Regular ADF service):</w:t>
      </w:r>
    </w:p>
    <w:p w:rsidR="00E54791" w:rsidRPr="005B0796" w:rsidRDefault="00E54791" w:rsidP="00E54791">
      <w:pPr>
        <w:pStyle w:val="Bullet"/>
        <w:rPr>
          <w:lang w:eastAsia="en-AU"/>
        </w:rPr>
      </w:pPr>
      <w:r w:rsidRPr="005B0796">
        <w:rPr>
          <w:b/>
          <w:lang w:eastAsia="en-AU"/>
        </w:rPr>
        <w:t>MEC 1:</w:t>
      </w:r>
      <w:r w:rsidRPr="005B0796">
        <w:rPr>
          <w:b/>
        </w:rPr>
        <w:t xml:space="preserve"> </w:t>
      </w:r>
      <w:r w:rsidRPr="005B0796">
        <w:rPr>
          <w:lang w:eastAsia="en-AU"/>
        </w:rPr>
        <w:t xml:space="preserve">Members who are medically fit for employment in a deployed or seagoing environment without restriction. </w:t>
      </w:r>
    </w:p>
    <w:p w:rsidR="00E54791" w:rsidRPr="005B0796" w:rsidRDefault="00E54791" w:rsidP="00E54791">
      <w:pPr>
        <w:pStyle w:val="Bullet"/>
        <w:rPr>
          <w:lang w:eastAsia="en-AU"/>
        </w:rPr>
      </w:pPr>
      <w:r w:rsidRPr="005B0796">
        <w:rPr>
          <w:b/>
          <w:lang w:eastAsia="en-AU"/>
        </w:rPr>
        <w:t>MEC 2:</w:t>
      </w:r>
      <w:r w:rsidRPr="005B0796">
        <w:rPr>
          <w:b/>
        </w:rPr>
        <w:t xml:space="preserve"> </w:t>
      </w:r>
      <w:r w:rsidRPr="005B0796">
        <w:rPr>
          <w:lang w:eastAsia="en-AU"/>
        </w:rPr>
        <w:t>Members with medical conditions that require access to various levels of medical support or employment restrictions. However, they remain medically fit for duty in their occupation in a deployed or seagoing environment. In allocating sub-classifications of MEC 2, access to the level of medical support will always take precedence over specified employment restrictions.</w:t>
      </w:r>
    </w:p>
    <w:p w:rsidR="00E54791" w:rsidRPr="005B0796" w:rsidRDefault="00E54791" w:rsidP="00E54791">
      <w:pPr>
        <w:pStyle w:val="Bullet"/>
        <w:rPr>
          <w:lang w:eastAsia="en-AU"/>
        </w:rPr>
      </w:pPr>
      <w:r w:rsidRPr="005B0796">
        <w:rPr>
          <w:b/>
          <w:lang w:eastAsia="en-AU"/>
        </w:rPr>
        <w:t>MEC 3:</w:t>
      </w:r>
      <w:r w:rsidRPr="005B0796">
        <w:rPr>
          <w:b/>
        </w:rPr>
        <w:t xml:space="preserve"> </w:t>
      </w:r>
      <w:r w:rsidRPr="005B0796">
        <w:rPr>
          <w:lang w:eastAsia="en-AU"/>
        </w:rPr>
        <w:t xml:space="preserve">Members who are medically unfit for duty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w:t>
      </w:r>
      <w:bookmarkStart w:id="1674" w:name="_Hlk489452661"/>
      <w:r w:rsidRPr="005B0796">
        <w:rPr>
          <w:lang w:eastAsia="en-AU"/>
        </w:rPr>
        <w:t xml:space="preserve">Medical Employment Classification Review Board </w:t>
      </w:r>
      <w:bookmarkEnd w:id="1674"/>
      <w:r w:rsidRPr="005B0796">
        <w:rPr>
          <w:lang w:eastAsia="en-AU"/>
        </w:rPr>
        <w:t>(MECRB) for consideration of an extension to remain MEC 3.</w:t>
      </w:r>
    </w:p>
    <w:p w:rsidR="00E54791" w:rsidRPr="005B0796" w:rsidRDefault="00E54791" w:rsidP="00E54791">
      <w:pPr>
        <w:pStyle w:val="Bullet"/>
      </w:pPr>
      <w:r w:rsidRPr="005B0796">
        <w:rPr>
          <w:b/>
        </w:rPr>
        <w:t xml:space="preserve">MEC 4: </w:t>
      </w:r>
      <w:r w:rsidRPr="005B0796">
        <w:t>Members who are medically unfit for deployment or seagoing service in the long term. Members who are classified as MEC 4 for their military occupation will be subject to review and confirmation of their classification by a MECRB.</w:t>
      </w:r>
    </w:p>
    <w:p w:rsidR="00E54791" w:rsidRPr="005B0796" w:rsidRDefault="00E54791" w:rsidP="00E54791">
      <w:pPr>
        <w:rPr>
          <w:rFonts w:asciiTheme="majorHAnsi" w:hAnsiTheme="majorHAnsi"/>
          <w:b/>
        </w:rPr>
      </w:pPr>
      <w:r w:rsidRPr="005B0796">
        <w:rPr>
          <w:b/>
        </w:rPr>
        <w:t xml:space="preserve">Medical fitness </w:t>
      </w:r>
      <w:r w:rsidRPr="005B0796">
        <w:t>– A status defined as:</w:t>
      </w:r>
    </w:p>
    <w:p w:rsidR="00E54791" w:rsidRPr="005B0796" w:rsidRDefault="00E54791" w:rsidP="00E54791">
      <w:pPr>
        <w:pStyle w:val="Bullet"/>
        <w:rPr>
          <w:b/>
        </w:rPr>
      </w:pPr>
      <w:r w:rsidRPr="005B0796">
        <w:rPr>
          <w:b/>
        </w:rPr>
        <w:t>Fit:</w:t>
      </w:r>
      <w:r w:rsidRPr="005B0796">
        <w:t xml:space="preserve"> Those who are categorised as fully employable and deployable, or deployable with restrictions. Participants are classified as </w:t>
      </w:r>
      <w:r w:rsidR="00462A0C" w:rsidRPr="005B0796">
        <w:t>‘</w:t>
      </w:r>
      <w:r w:rsidRPr="005B0796">
        <w:t>fit</w:t>
      </w:r>
      <w:r w:rsidR="00462A0C" w:rsidRPr="005B0796">
        <w:t>’</w:t>
      </w:r>
      <w:r w:rsidRPr="005B0796">
        <w:t xml:space="preserve"> if they fall into MEC 1 or 2 as described above, or are assigned a perturbed MEC value of </w:t>
      </w:r>
      <w:r w:rsidR="00462A0C" w:rsidRPr="005B0796">
        <w:t>‘</w:t>
      </w:r>
      <w:r w:rsidRPr="005B0796">
        <w:t>fit</w:t>
      </w:r>
      <w:r w:rsidR="00462A0C" w:rsidRPr="005B0796">
        <w:t>’</w:t>
      </w:r>
      <w:r w:rsidRPr="005B0796">
        <w:t xml:space="preserve">. </w:t>
      </w:r>
    </w:p>
    <w:p w:rsidR="00E54791" w:rsidRPr="005B0796" w:rsidRDefault="00E54791" w:rsidP="00E54791">
      <w:pPr>
        <w:pStyle w:val="Bullet"/>
        <w:rPr>
          <w:b/>
        </w:rPr>
      </w:pPr>
      <w:r w:rsidRPr="005B0796">
        <w:rPr>
          <w:b/>
        </w:rPr>
        <w:t xml:space="preserve">Unfit: </w:t>
      </w:r>
      <w:r w:rsidRPr="005B0796">
        <w:t xml:space="preserve">Those not fit for deployment, their original occupation and/or further service. This can include those undergoing rehabilitation or transitioning to alternative return to work arrangements or in the process of medically separating from the ADF. Participants were classified as </w:t>
      </w:r>
      <w:r w:rsidR="00462A0C" w:rsidRPr="005B0796">
        <w:t>‘</w:t>
      </w:r>
      <w:r w:rsidRPr="005B0796">
        <w:t>unfit</w:t>
      </w:r>
      <w:r w:rsidR="00462A0C" w:rsidRPr="005B0796">
        <w:t>’</w:t>
      </w:r>
      <w:r w:rsidRPr="005B0796">
        <w:t xml:space="preserve"> if they fell into MEC 3 or 4 as described above OR were assigned a perturbed MEC value of Unfitu.</w:t>
      </w:r>
    </w:p>
    <w:p w:rsidR="00E54791" w:rsidRPr="005B0796" w:rsidRDefault="00E54791" w:rsidP="00E54791">
      <w:pPr>
        <w:rPr>
          <w:b/>
        </w:rPr>
      </w:pPr>
      <w:r w:rsidRPr="005B0796">
        <w:rPr>
          <w:b/>
        </w:rPr>
        <w:t xml:space="preserve">Medical discharge </w:t>
      </w:r>
      <w:r w:rsidRPr="005B0796">
        <w:t>– The involuntary termination of the client</w:t>
      </w:r>
      <w:r w:rsidR="00462A0C" w:rsidRPr="005B0796">
        <w:t>’</w:t>
      </w:r>
      <w:r w:rsidRPr="005B0796">
        <w:t>s employment by the ADF on the grounds</w:t>
      </w:r>
      <w:r w:rsidR="00462A0C" w:rsidRPr="005B0796">
        <w:t xml:space="preserve"> </w:t>
      </w:r>
      <w:r w:rsidRPr="005B0796">
        <w:t>of permanent or at least long-term unfitness to serve, or unfitness for deployment to operational (warlike) service.</w:t>
      </w:r>
    </w:p>
    <w:p w:rsidR="00E54791" w:rsidRPr="005B0796" w:rsidRDefault="00E54791" w:rsidP="00E54791">
      <w:r w:rsidRPr="005B0796">
        <w:rPr>
          <w:b/>
        </w:rPr>
        <w:t>Mental health disorders</w:t>
      </w:r>
      <w:r w:rsidRPr="005B0796">
        <w:t xml:space="preserve"> – Defined according to the detailed diagnostic criteria within the World Health Organi</w:t>
      </w:r>
      <w:r w:rsidR="008C2520" w:rsidRPr="005B0796">
        <w:t>z</w:t>
      </w:r>
      <w:r w:rsidRPr="005B0796">
        <w:t>ation International Classification of Diseases. This publication reports data for ICD-10 criteria.</w:t>
      </w:r>
    </w:p>
    <w:p w:rsidR="00E54791" w:rsidRPr="005B0796" w:rsidRDefault="00E54791" w:rsidP="00E54791">
      <w:r w:rsidRPr="005B0796">
        <w:rPr>
          <w:b/>
        </w:rPr>
        <w:t xml:space="preserve">Mental Health Prevalence and Wellbeing Study (MHPWS) </w:t>
      </w:r>
      <w:r w:rsidRPr="005B0796">
        <w:t>–</w:t>
      </w:r>
      <w:r w:rsidRPr="005B0796">
        <w:rPr>
          <w:b/>
        </w:rPr>
        <w:t xml:space="preserve"> </w:t>
      </w:r>
      <w:r w:rsidRPr="005B0796">
        <w:t xml:space="preserve">The 2010 study is part of the </w:t>
      </w:r>
      <w:bookmarkStart w:id="1675" w:name="_Hlk489455109"/>
      <w:r w:rsidRPr="005B0796">
        <w:t>Military Health Outcomes Program (MilHOP)</w:t>
      </w:r>
      <w:bookmarkEnd w:id="1675"/>
      <w:r w:rsidRPr="005B0796">
        <w:t xml:space="preserve">, the first comprehensive investigation of the mental health of serving ADF members. </w:t>
      </w:r>
    </w:p>
    <w:p w:rsidR="00E54791" w:rsidRPr="005B0796" w:rsidRDefault="00E54791" w:rsidP="00E54791">
      <w:pPr>
        <w:rPr>
          <w:b/>
        </w:rPr>
      </w:pPr>
      <w:r w:rsidRPr="005B0796">
        <w:rPr>
          <w:b/>
        </w:rPr>
        <w:t xml:space="preserve">Middle East Area of Operations (MEAO) </w:t>
      </w:r>
      <w:r w:rsidRPr="005B0796">
        <w:t>–</w:t>
      </w:r>
      <w:r w:rsidRPr="005B0796">
        <w:rPr>
          <w:b/>
        </w:rPr>
        <w:t xml:space="preserve"> </w:t>
      </w:r>
      <w:r w:rsidRPr="005B0796">
        <w:t>Australia</w:t>
      </w:r>
      <w:r w:rsidR="00462A0C" w:rsidRPr="005B0796">
        <w:t>’</w:t>
      </w:r>
      <w:r w:rsidRPr="005B0796">
        <w:t xml:space="preserve">s military involvement in Afghanistan and Iraq is often referred to as the Middle East Area of Operations. Thousands of members have deployed to the MEAO since 2001, with many completing multiple tours of duty. The Transition and Wellbeing Research Programme will build upon the Military Health Outcomes Program, which detailed the prevalence of mental disorder in </w:t>
      </w:r>
    </w:p>
    <w:p w:rsidR="00E54791" w:rsidRPr="005B0796" w:rsidRDefault="00E54791" w:rsidP="00E54791">
      <w:r w:rsidRPr="005B0796">
        <w:rPr>
          <w:b/>
        </w:rPr>
        <w:t xml:space="preserve">Military Health Outcomes Program (MilHOP) </w:t>
      </w:r>
      <w:r w:rsidRPr="005B0796">
        <w:t>–</w:t>
      </w:r>
      <w:r w:rsidRPr="005B0796">
        <w:rPr>
          <w:b/>
        </w:rPr>
        <w:t xml:space="preserve"> </w:t>
      </w:r>
      <w:r w:rsidRPr="005B0796">
        <w:t>MilHOP detailed the prevalence of mental disorders among serving ADF members in 2010 as well as deployment-related health issues for those deployed to the Middle East Area of Operations. The Transition and Wellbeing Research Programme will address a number of gaps identified following MilHOP, including the mental health of Reservists, Ex-Serving members and ADF members in high-risk roles, as well as the trajectory of disorder and pathways to care for individuals previously identified with a mental disorder in 2010.</w:t>
      </w:r>
    </w:p>
    <w:p w:rsidR="00E54791" w:rsidRPr="005B0796" w:rsidRDefault="00E54791" w:rsidP="00E54791">
      <w:r w:rsidRPr="005B0796">
        <w:rPr>
          <w:b/>
        </w:rPr>
        <w:t xml:space="preserve">National Death Index (NDI) </w:t>
      </w:r>
      <w:r w:rsidRPr="005B0796">
        <w:t>– A Commonwealth database that contains records of deaths registered in Australia since 1980. Data comes from the Registry of Births, Deaths and Marriages in each jurisdiction, the National Coronial Information System and the Australian Bureau of Statistics. Before contacting participants, the Study Roll was cross-checked against the NDI to ensure we did not attempt to approach deceased members.</w:t>
      </w:r>
    </w:p>
    <w:p w:rsidR="00E54791" w:rsidRPr="005B0796" w:rsidRDefault="00E54791" w:rsidP="00E54791">
      <w:pPr>
        <w:rPr>
          <w:rFonts w:cs="@필기체"/>
          <w:color w:val="262626"/>
        </w:rPr>
      </w:pPr>
      <w:r w:rsidRPr="005B0796">
        <w:rPr>
          <w:b/>
        </w:rPr>
        <w:t>National Health and Medical Research Council (NHMRC)</w:t>
      </w:r>
      <w:r w:rsidRPr="005B0796">
        <w:rPr>
          <w:rFonts w:cs="@필기체"/>
          <w:color w:val="262626"/>
        </w:rPr>
        <w:t xml:space="preserve"> –</w:t>
      </w:r>
      <w:r w:rsidRPr="005B0796">
        <w:t xml:space="preserve"> Australia</w:t>
      </w:r>
      <w:r w:rsidR="00462A0C" w:rsidRPr="005B0796">
        <w:t>’</w:t>
      </w:r>
      <w:r w:rsidRPr="005B0796">
        <w:t xml:space="preserve">s peak funding body for medical research. The NHMRC has funded previous investigations undertaken by the Centre </w:t>
      </w:r>
      <w:r w:rsidRPr="005B0796">
        <w:rPr>
          <w:rFonts w:cs="Calibri"/>
        </w:rPr>
        <w:t>for Traumatic Stress</w:t>
      </w:r>
      <w:r w:rsidR="00462A0C" w:rsidRPr="005B0796">
        <w:rPr>
          <w:rFonts w:cs="Calibri"/>
        </w:rPr>
        <w:t xml:space="preserve"> </w:t>
      </w:r>
      <w:r w:rsidRPr="005B0796">
        <w:rPr>
          <w:rFonts w:cs="Calibri"/>
        </w:rPr>
        <w:t>Studies</w:t>
      </w:r>
      <w:r w:rsidRPr="005B0796">
        <w:t>.</w:t>
      </w:r>
    </w:p>
    <w:p w:rsidR="00E54791" w:rsidRPr="005B0796" w:rsidRDefault="00E54791" w:rsidP="00E54791">
      <w:pPr>
        <w:rPr>
          <w:rFonts w:cs="@필기체"/>
          <w:color w:val="262626"/>
        </w:rPr>
      </w:pPr>
      <w:r w:rsidRPr="005B0796">
        <w:rPr>
          <w:rFonts w:cs="@필기체"/>
          <w:b/>
          <w:color w:val="262626"/>
        </w:rPr>
        <w:t xml:space="preserve">National Health Survey (NHS) </w:t>
      </w:r>
      <w:r w:rsidRPr="005B0796">
        <w:rPr>
          <w:rFonts w:cs="@필기체"/>
          <w:color w:val="262626"/>
        </w:rPr>
        <w:t xml:space="preserve">– The </w:t>
      </w:r>
      <w:r w:rsidRPr="005B0796">
        <w:t>2014–15 National Health Survey is the most recent in a series of Australia-wide ABS health surveys, assessing various aspects of the health of Australians, including long-term health conditions, health risk factors, and health service use.</w:t>
      </w:r>
    </w:p>
    <w:p w:rsidR="00E54791" w:rsidRPr="005B0796" w:rsidRDefault="00E54791" w:rsidP="00E54791">
      <w:r w:rsidRPr="005B0796">
        <w:rPr>
          <w:b/>
        </w:rPr>
        <w:t>Obsessive compulsive disorder (OCD)</w:t>
      </w:r>
      <w:r w:rsidRPr="005B0796">
        <w:t xml:space="preserve"> – A disorder characterised by obsessional thoughts (ideas, images, impulses) or compulsive acts (ritualised behaviour). These thoughts and acts are often distressing and typically cannot be avoided, despite the sufferer recognising their ineffectiveness.</w:t>
      </w:r>
    </w:p>
    <w:p w:rsidR="00E54791" w:rsidRPr="005B0796" w:rsidRDefault="00E54791" w:rsidP="00E54791">
      <w:r w:rsidRPr="005B0796">
        <w:rPr>
          <w:b/>
        </w:rPr>
        <w:t>Optimal epidemiological cut-off</w:t>
      </w:r>
      <w:r w:rsidRPr="005B0796">
        <w:t xml:space="preserve"> – The value that brings the number of false positives (mistaken identifications of a disorder) and false negatives (missed identifications of a disorder) closest together, thereby counterbalancing these sources of error most accurately. Therefore, this cut-off would give the closest estimate to the true prevalence of a 30-day ICD-10 disorder as measured by the CIDI and should be used to monitor disorder trends.</w:t>
      </w:r>
    </w:p>
    <w:p w:rsidR="00E54791" w:rsidRPr="005B0796" w:rsidRDefault="00E54791" w:rsidP="00E54791">
      <w:pPr>
        <w:rPr>
          <w:b/>
        </w:rPr>
      </w:pPr>
      <w:r w:rsidRPr="005B0796">
        <w:rPr>
          <w:b/>
        </w:rPr>
        <w:t>Optimal screening cut-off</w:t>
      </w:r>
      <w:r w:rsidRPr="005B0796">
        <w:t xml:space="preserve"> – The value that maximises the sum of the sensitivity and specificity (the proportion of those with and without a disease who are correctly classified). This cut-off can be used to identify individuals who might need further care.</w:t>
      </w:r>
    </w:p>
    <w:p w:rsidR="00E54791" w:rsidRPr="005B0796" w:rsidRDefault="00E54791" w:rsidP="00E54791">
      <w:r w:rsidRPr="005B0796">
        <w:rPr>
          <w:b/>
        </w:rPr>
        <w:t>Panic attack</w:t>
      </w:r>
      <w:r w:rsidRPr="005B0796">
        <w:t xml:space="preserve"> – Sudden onset of extreme fear or anxiety, often accompanied by palpitations, chest pain, choking sensations, dizziness, and sometimes feelings of unreality, fear of dying, losing control or going</w:t>
      </w:r>
      <w:r w:rsidR="00462A0C" w:rsidRPr="005B0796">
        <w:t xml:space="preserve"> </w:t>
      </w:r>
      <w:r w:rsidRPr="005B0796">
        <w:t>mad.</w:t>
      </w:r>
    </w:p>
    <w:p w:rsidR="00E54791" w:rsidRPr="005B0796" w:rsidRDefault="00E54791" w:rsidP="00E54791">
      <w:r w:rsidRPr="005B0796">
        <w:rPr>
          <w:b/>
        </w:rPr>
        <w:t>Panic disorder</w:t>
      </w:r>
      <w:r w:rsidRPr="005B0796">
        <w:t xml:space="preserve"> – Recurrent panic attacks that are unpredictable in nature.</w:t>
      </w:r>
    </w:p>
    <w:p w:rsidR="00E54791" w:rsidRPr="005B0796" w:rsidRDefault="00E54791" w:rsidP="00E54791">
      <w:pPr>
        <w:rPr>
          <w:rFonts w:cs="Arial"/>
        </w:rPr>
      </w:pPr>
      <w:r w:rsidRPr="005B0796">
        <w:rPr>
          <w:b/>
          <w:color w:val="262626"/>
        </w:rPr>
        <w:t xml:space="preserve">Patient Health Questionnaire-9 (PHQ-9) </w:t>
      </w:r>
      <w:r w:rsidRPr="005B0796">
        <w:rPr>
          <w:color w:val="262626"/>
        </w:rPr>
        <w:t>– S</w:t>
      </w:r>
      <w:r w:rsidRPr="005B0796">
        <w:t>elf-reported depression was examined using the Patient Health Questionnaire - 9 (PHQ9). The 9 items of the PHQ9 are scored from 0-3 and summed to give a total score between 0 and 27. The PHQ9 provides various levels of diagnostic severity</w:t>
      </w:r>
      <w:r w:rsidRPr="005B0796">
        <w:rPr>
          <w:rFonts w:cs="Arial"/>
        </w:rPr>
        <w:t xml:space="preserve"> with higher scores indicating higher levels of depression symptoms.</w:t>
      </w:r>
      <w:r w:rsidRPr="005B0796">
        <w:rPr>
          <w:rFonts w:cs="Arial"/>
          <w:b/>
        </w:rPr>
        <w:t xml:space="preserve"> </w:t>
      </w:r>
    </w:p>
    <w:p w:rsidR="00E54791" w:rsidRPr="005B0796" w:rsidRDefault="00E54791" w:rsidP="00E54791">
      <w:pPr>
        <w:rPr>
          <w:rFonts w:asciiTheme="majorHAnsi" w:eastAsia="MS ??" w:hAnsiTheme="majorHAnsi"/>
          <w:b/>
          <w:color w:val="262626"/>
        </w:rPr>
      </w:pPr>
      <w:r w:rsidRPr="005B0796">
        <w:rPr>
          <w:b/>
        </w:rPr>
        <w:t xml:space="preserve">Pharmaceutical Benefits Scheme (PBS) </w:t>
      </w:r>
      <w:r w:rsidRPr="005B0796">
        <w:t xml:space="preserve">– The PBS began as a limited scheme in 1948, offering free medicines for pensioners and a list of 139 </w:t>
      </w:r>
      <w:r w:rsidR="00462A0C" w:rsidRPr="005B0796">
        <w:t>‘</w:t>
      </w:r>
      <w:r w:rsidRPr="005B0796">
        <w:t>life-saving and disease-preventing</w:t>
      </w:r>
      <w:r w:rsidR="00462A0C" w:rsidRPr="005B0796">
        <w:t>’</w:t>
      </w:r>
      <w:r w:rsidRPr="005B0796">
        <w:t xml:space="preserve"> medicines free to other</w:t>
      </w:r>
      <w:r w:rsidR="00462A0C" w:rsidRPr="005B0796">
        <w:t xml:space="preserve"> </w:t>
      </w:r>
      <w:r w:rsidRPr="005B0796">
        <w:t>members of the community. Today, the PBS provides timely, reliable and affordable access to necessary medicines for all Australians. The PBS is part of the Australian Government</w:t>
      </w:r>
      <w:r w:rsidR="00462A0C" w:rsidRPr="005B0796">
        <w:t>’</w:t>
      </w:r>
      <w:r w:rsidRPr="005B0796">
        <w:t xml:space="preserve">s broader National Medicines Policy. Health Care Utilisation, Cost and Pharmaceutical Benefit Scheme data/ Repatriation Pharmaceutical Benefits Scheme data were obtained for consenting serving and Ex-Serving ADF members as part of the current programme of research. </w:t>
      </w:r>
    </w:p>
    <w:p w:rsidR="00E54791" w:rsidRPr="005B0796" w:rsidRDefault="00E54791" w:rsidP="00E54791">
      <w:r w:rsidRPr="005B0796">
        <w:rPr>
          <w:b/>
        </w:rPr>
        <w:t>Posttraumatic stress disorder (PTSD)</w:t>
      </w:r>
      <w:r w:rsidRPr="005B0796">
        <w:rPr>
          <w:rFonts w:eastAsia="MS ??"/>
          <w:color w:val="262626"/>
        </w:rPr>
        <w:t xml:space="preserve"> – </w:t>
      </w:r>
      <w:r w:rsidRPr="005B0796">
        <w:rPr>
          <w:color w:val="262626"/>
        </w:rPr>
        <w:t xml:space="preserve">A </w:t>
      </w:r>
      <w:r w:rsidRPr="005B0796">
        <w:t>stress reaction to an exceptionally threatening or traumatic event that would cause pervasive distress in almost anyone. Symptoms are categorised into three groups: re-experiencing memories or flashbacks, avoidance symptoms and either hyperarousal symptoms (increased arousal and sensitivity to cues) or inability to recall important parts of the experience.</w:t>
      </w:r>
    </w:p>
    <w:p w:rsidR="00E54791" w:rsidRPr="005B0796" w:rsidRDefault="00E54791" w:rsidP="00E54791">
      <w:pPr>
        <w:rPr>
          <w:rFonts w:eastAsia="MS ??"/>
          <w:b/>
        </w:rPr>
      </w:pPr>
      <w:r w:rsidRPr="005B0796">
        <w:rPr>
          <w:b/>
        </w:rPr>
        <w:t>The Posttraumatic Stress Disorder Checklist – civilian version (PCL-C)</w:t>
      </w:r>
      <w:r w:rsidRPr="005B0796">
        <w:t xml:space="preserve"> – A 17-item self-report measure designed to assess the symptomatic criteria of PTSD according to the </w:t>
      </w:r>
      <w:r w:rsidRPr="005B0796">
        <w:rPr>
          <w:i/>
        </w:rPr>
        <w:t>Diagnostic and Statistical Manual of Mental Disorders, Fourth Edition</w:t>
      </w:r>
      <w:r w:rsidRPr="005B0796">
        <w:t xml:space="preserve"> (DSM-IV). The 17 questions of the PCL-C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w:t>
      </w:r>
      <w:r w:rsidRPr="005B0796">
        <w:rPr>
          <w:rFonts w:eastAsia="MS ??"/>
        </w:rPr>
        <w:t xml:space="preserve"> </w:t>
      </w:r>
    </w:p>
    <w:p w:rsidR="00E54791" w:rsidRPr="005B0796" w:rsidRDefault="00E54791" w:rsidP="00E54791">
      <w:pPr>
        <w:rPr>
          <w:rFonts w:eastAsia="MS ??"/>
        </w:rPr>
      </w:pPr>
      <w:r w:rsidRPr="005B0796">
        <w:rPr>
          <w:rFonts w:eastAsia="MS ??"/>
          <w:b/>
        </w:rPr>
        <w:t xml:space="preserve">Personnel Management Key System (PMKeyS) </w:t>
      </w:r>
      <w:r w:rsidRPr="005B0796">
        <w:rPr>
          <w:rFonts w:eastAsia="MS ??"/>
        </w:rPr>
        <w:t>–</w:t>
      </w:r>
      <w:r w:rsidRPr="005B0796">
        <w:t xml:space="preserve"> An integrated human resource management system that provides the ADF with a single source of personnel management information. PMKeyS manages information about the entire Defence workforce – Navy, Army, Air Force.</w:t>
      </w:r>
    </w:p>
    <w:p w:rsidR="00E54791" w:rsidRPr="005B0796" w:rsidRDefault="00E54791" w:rsidP="00E54791">
      <w:r w:rsidRPr="005B0796">
        <w:rPr>
          <w:b/>
        </w:rPr>
        <w:t>Prevalence of mental disorders</w:t>
      </w:r>
      <w:r w:rsidRPr="005B0796">
        <w:t xml:space="preserve"> – The proportion of people in a given population who meet diagnostic criteria for any mental disorder in a given time frame. (See also </w:t>
      </w:r>
      <w:r w:rsidR="004F17A6" w:rsidRPr="005B0796">
        <w:t>’</w:t>
      </w:r>
      <w:r w:rsidRPr="005B0796">
        <w:t>12</w:t>
      </w:r>
      <w:r w:rsidR="004F17A6" w:rsidRPr="005B0796">
        <w:noBreakHyphen/>
      </w:r>
      <w:r w:rsidRPr="005B0796">
        <w:t>month prevalence</w:t>
      </w:r>
      <w:r w:rsidR="00462A0C" w:rsidRPr="005B0796">
        <w:t>’</w:t>
      </w:r>
      <w:r w:rsidRPr="005B0796">
        <w:t xml:space="preserve"> and </w:t>
      </w:r>
      <w:r w:rsidR="00462A0C" w:rsidRPr="005B0796">
        <w:t>‘</w:t>
      </w:r>
      <w:r w:rsidRPr="005B0796">
        <w:t>lifetime</w:t>
      </w:r>
      <w:r w:rsidR="00462A0C" w:rsidRPr="005B0796">
        <w:t xml:space="preserve"> </w:t>
      </w:r>
      <w:r w:rsidRPr="005B0796">
        <w:t>prevalence</w:t>
      </w:r>
      <w:r w:rsidR="00462A0C" w:rsidRPr="005B0796">
        <w:t>’</w:t>
      </w:r>
      <w:r w:rsidRPr="005B0796">
        <w:t>.)</w:t>
      </w:r>
    </w:p>
    <w:p w:rsidR="00E54791" w:rsidRPr="005B0796" w:rsidRDefault="00E54791" w:rsidP="00E54791">
      <w:r w:rsidRPr="005B0796">
        <w:rPr>
          <w:b/>
        </w:rPr>
        <w:t>Probable mental disorder</w:t>
      </w:r>
      <w:r w:rsidRPr="005B0796">
        <w:t xml:space="preserve"> – Where probable rates of mental health disorder are presented, these are based on self-report epidemiological cut-offs.</w:t>
      </w:r>
    </w:p>
    <w:p w:rsidR="00E54791" w:rsidRPr="005B0796" w:rsidRDefault="00E54791" w:rsidP="00E54791">
      <w:r w:rsidRPr="005B0796">
        <w:rPr>
          <w:b/>
        </w:rPr>
        <w:t xml:space="preserve">Psychopathology </w:t>
      </w:r>
      <w:r w:rsidRPr="005B0796">
        <w:t>–</w:t>
      </w:r>
      <w:r w:rsidRPr="005B0796">
        <w:rPr>
          <w:b/>
        </w:rPr>
        <w:t xml:space="preserve"> </w:t>
      </w:r>
      <w:r w:rsidRPr="005B0796">
        <w:t>The scientific study of mental disorders.</w:t>
      </w:r>
    </w:p>
    <w:p w:rsidR="00E54791" w:rsidRPr="005B0796" w:rsidRDefault="00E54791" w:rsidP="00E54791">
      <w:r w:rsidRPr="005B0796">
        <w:rPr>
          <w:b/>
        </w:rPr>
        <w:t xml:space="preserve">Rank status </w:t>
      </w:r>
      <w:r w:rsidRPr="005B0796">
        <w:t>–</w:t>
      </w:r>
      <w:r w:rsidRPr="005B0796">
        <w:rPr>
          <w:b/>
        </w:rPr>
        <w:t xml:space="preserve"> </w:t>
      </w:r>
      <w:r w:rsidRPr="005B0796">
        <w:t>Three levels of rank were used in the Mental Health and Wellbeing Transition Study:</w:t>
      </w:r>
    </w:p>
    <w:p w:rsidR="00E54791" w:rsidRPr="005B0796" w:rsidRDefault="00E54791" w:rsidP="00E54791">
      <w:pPr>
        <w:pStyle w:val="Bullet"/>
      </w:pPr>
      <w:r w:rsidRPr="005B0796">
        <w:rPr>
          <w:b/>
        </w:rPr>
        <w:t xml:space="preserve">Commissioned Officer (OFFR): </w:t>
      </w:r>
      <w:r w:rsidRPr="005B0796">
        <w:t>Senior Commissioned Officers (Commander (CMDR), Lieutenant Colonel (LTCOL), Wing Commander (WGCDR) and above) and</w:t>
      </w:r>
      <w:r w:rsidRPr="005B0796">
        <w:rPr>
          <w:b/>
        </w:rPr>
        <w:t xml:space="preserve"> </w:t>
      </w:r>
      <w:r w:rsidRPr="005B0796">
        <w:t>Commissioned Officers (Lieutenant Commander (LCDR), Major (MAJ), Squadron Leader (SQNLDR) and more junior ranks)</w:t>
      </w:r>
    </w:p>
    <w:p w:rsidR="00E54791" w:rsidRPr="005B0796" w:rsidRDefault="00E54791" w:rsidP="00E54791">
      <w:pPr>
        <w:pStyle w:val="Bullet"/>
      </w:pPr>
      <w:r w:rsidRPr="005B0796">
        <w:rPr>
          <w:b/>
        </w:rPr>
        <w:t xml:space="preserve">Non-Commissioned Officer (NCO): </w:t>
      </w:r>
      <w:r w:rsidRPr="005B0796">
        <w:t>Senior Non-Commissioned Officers (Petty Officer (PO), Sergeant (SGT) and more senior ranks), and Junior Non-Commissioned Officers (Leading Seaman (LS), Corporal (CPL) and more junior ranks)</w:t>
      </w:r>
    </w:p>
    <w:p w:rsidR="00E54791" w:rsidRPr="005B0796" w:rsidRDefault="00E54791" w:rsidP="00E54791">
      <w:pPr>
        <w:pStyle w:val="Bullet"/>
      </w:pPr>
      <w:r w:rsidRPr="005B0796">
        <w:rPr>
          <w:b/>
        </w:rPr>
        <w:t xml:space="preserve">Other Ranks: </w:t>
      </w:r>
      <w:r w:rsidRPr="005B0796">
        <w:t>Able Seaman (AB), Seaman (SMN), Private (PTE), Leading Aircraftman (LAC), Aircraftman (AC) or equivalent.</w:t>
      </w:r>
    </w:p>
    <w:p w:rsidR="00E54791" w:rsidRPr="005B0796" w:rsidRDefault="00E54791" w:rsidP="00E54791">
      <w:r w:rsidRPr="005B0796">
        <w:rPr>
          <w:rFonts w:eastAsia="Cambria"/>
          <w:b/>
        </w:rPr>
        <w:t xml:space="preserve">Reason for discharge </w:t>
      </w:r>
      <w:r w:rsidRPr="005B0796">
        <w:rPr>
          <w:rFonts w:eastAsia="Cambria"/>
        </w:rPr>
        <w:t>–</w:t>
      </w:r>
      <w:r w:rsidRPr="005B0796">
        <w:t xml:space="preserve"> The reason for transitioning out of the ADF. In the Programme, the reason for discharge was derived from responses on the self-report survey, and classified accordingly:</w:t>
      </w:r>
    </w:p>
    <w:p w:rsidR="00E54791" w:rsidRPr="005B0796" w:rsidRDefault="00E54791" w:rsidP="00E54791">
      <w:pPr>
        <w:pStyle w:val="Bullet"/>
      </w:pPr>
      <w:r w:rsidRPr="005B0796">
        <w:rPr>
          <w:b/>
        </w:rPr>
        <w:t>Medical discharge:</w:t>
      </w:r>
      <w:r w:rsidRPr="005B0796">
        <w:t xml:space="preserve"> Involuntary termination of the client</w:t>
      </w:r>
      <w:r w:rsidR="00462A0C" w:rsidRPr="005B0796">
        <w:t>’</w:t>
      </w:r>
      <w:r w:rsidRPr="005B0796">
        <w:t>s employment by the ADF on the grounds of permanent or at least long-term unfitness to serve, or unfitness for deployment to operational (war-like) service</w:t>
      </w:r>
    </w:p>
    <w:p w:rsidR="00E54791" w:rsidRPr="005B0796" w:rsidRDefault="00E54791" w:rsidP="00E54791">
      <w:pPr>
        <w:pStyle w:val="Bullet"/>
      </w:pPr>
      <w:r w:rsidRPr="005B0796">
        <w:rPr>
          <w:b/>
        </w:rPr>
        <w:t xml:space="preserve">Other: </w:t>
      </w:r>
      <w:r w:rsidRPr="005B0796">
        <w:t>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w:t>
      </w:r>
      <w:r w:rsidRPr="005B0796">
        <w:noBreakHyphen/>
        <w:t>voluntary administrative discharge.</w:t>
      </w:r>
    </w:p>
    <w:p w:rsidR="00E54791" w:rsidRPr="005B0796" w:rsidRDefault="00E54791" w:rsidP="00E54791">
      <w:r w:rsidRPr="005B0796">
        <w:rPr>
          <w:b/>
        </w:rPr>
        <w:t>Repatriation Pharmaceutical Benefits Scheme (RPBS)</w:t>
      </w:r>
      <w:r w:rsidRPr="005B0796">
        <w:t xml:space="preserve"> – The benefits listed in the RPBS can only be prescribed for Department of Veterans</w:t>
      </w:r>
      <w:r w:rsidR="00462A0C" w:rsidRPr="005B0796">
        <w:t>’</w:t>
      </w:r>
      <w:r w:rsidRPr="005B0796">
        <w:t xml:space="preserve"> Affairs beneficiaries who hold a Gold, White or Orange card. Health Care Utili</w:t>
      </w:r>
      <w:r w:rsidR="00520FC8" w:rsidRPr="005B0796">
        <w:t>s</w:t>
      </w:r>
      <w:r w:rsidRPr="005B0796">
        <w:t xml:space="preserve">ation, Cost and Pharmaceutical Benefit Scheme data/ Repatriation Pharmaceutical Benefits Scheme data were obtained for consenting serving and Ex-Serving ADF members as part of the current programme of research. </w:t>
      </w:r>
    </w:p>
    <w:p w:rsidR="00E54791" w:rsidRPr="005B0796" w:rsidRDefault="00E54791" w:rsidP="00E54791">
      <w:pPr>
        <w:keepNext/>
      </w:pPr>
      <w:r w:rsidRPr="005B0796">
        <w:rPr>
          <w:b/>
        </w:rPr>
        <w:t xml:space="preserve">Service status </w:t>
      </w:r>
      <w:r w:rsidRPr="005B0796">
        <w:t>– The ADF is comprised of:</w:t>
      </w:r>
    </w:p>
    <w:p w:rsidR="00E54791" w:rsidRPr="005B0796" w:rsidRDefault="00E54791" w:rsidP="00E54791">
      <w:pPr>
        <w:pStyle w:val="Bullet"/>
      </w:pPr>
      <w:r w:rsidRPr="005B0796">
        <w:rPr>
          <w:b/>
        </w:rPr>
        <w:t xml:space="preserve">Royal Australian Navy: </w:t>
      </w:r>
      <w:r w:rsidRPr="005B0796">
        <w:t>A maritime force that contributes to regional security, supports global interests, shapes the strategic environment and protects national interests</w:t>
      </w:r>
    </w:p>
    <w:p w:rsidR="00E54791" w:rsidRPr="005B0796" w:rsidRDefault="00E54791" w:rsidP="00E54791">
      <w:pPr>
        <w:pStyle w:val="Bullet"/>
      </w:pPr>
      <w:r w:rsidRPr="005B0796">
        <w:rPr>
          <w:b/>
        </w:rPr>
        <w:t>Australian Army:</w:t>
      </w:r>
      <w:r w:rsidRPr="005B0796">
        <w:t xml:space="preserve"> The military land force, a potent, versatile and modern army that contributes to the security of Australia, protecting its interests and people</w:t>
      </w:r>
    </w:p>
    <w:p w:rsidR="00E54791" w:rsidRPr="005B0796" w:rsidRDefault="00E54791" w:rsidP="00E54791">
      <w:pPr>
        <w:pStyle w:val="Bullet"/>
      </w:pPr>
      <w:r w:rsidRPr="005B0796">
        <w:rPr>
          <w:b/>
        </w:rPr>
        <w:t xml:space="preserve">Royal Australian Air Force: </w:t>
      </w:r>
      <w:r w:rsidRPr="005B0796">
        <w:t>An air force that provides immediate and responsive military options across the spectrum of operations as part of a whole-of-government joint or coalition response, either from Australia or deployment overseas. It does this through its key air power roles – control of the air; precision strikes; intelligence, surveillance and responses; and air mobility – enabled by combat and operational support.</w:t>
      </w:r>
    </w:p>
    <w:p w:rsidR="00E54791" w:rsidRPr="005B0796" w:rsidRDefault="00E54791" w:rsidP="00E54791">
      <w:r w:rsidRPr="005B0796">
        <w:rPr>
          <w:b/>
        </w:rPr>
        <w:t>Social phobia</w:t>
      </w:r>
      <w:r w:rsidRPr="005B0796">
        <w:t xml:space="preserve"> – The marked fear or avoidance of being the centre of attention or in situations where it is possible to behave in a humiliating or embarrassing way, accompanied by anxiety symptoms, as well as either blushing, fear of vomiting, or fear of defecation or micturition.</w:t>
      </w:r>
    </w:p>
    <w:p w:rsidR="00E54791" w:rsidRPr="005B0796" w:rsidRDefault="00E54791" w:rsidP="00E54791">
      <w:r w:rsidRPr="005B0796">
        <w:rPr>
          <w:b/>
        </w:rPr>
        <w:t>Specific phobia</w:t>
      </w:r>
      <w:r w:rsidRPr="005B0796">
        <w:t xml:space="preserve"> – The marked fear or avoidance of a specific object or situation such as animals, birds, insects, heights, thunder, flying, small enclosed spaces, sight of blood or injury, injections, dentists or hospitals, and accompanied by anxiety symptoms as described in </w:t>
      </w:r>
      <w:r w:rsidR="00462A0C" w:rsidRPr="005B0796">
        <w:t>‘</w:t>
      </w:r>
      <w:r w:rsidRPr="005B0796">
        <w:t>agoraphobia</w:t>
      </w:r>
      <w:r w:rsidR="00462A0C" w:rsidRPr="005B0796">
        <w:t>’</w:t>
      </w:r>
      <w:r w:rsidRPr="005B0796">
        <w:t>.</w:t>
      </w:r>
    </w:p>
    <w:p w:rsidR="00E54791" w:rsidRPr="005B0796" w:rsidRDefault="00E54791" w:rsidP="00E54791">
      <w:pPr>
        <w:rPr>
          <w:rFonts w:eastAsia="Times New Roman"/>
          <w:sz w:val="24"/>
          <w:lang w:eastAsia="en-GB"/>
        </w:rPr>
      </w:pPr>
      <w:r w:rsidRPr="005B0796">
        <w:rPr>
          <w:b/>
        </w:rPr>
        <w:t>Stratification</w:t>
      </w:r>
      <w:r w:rsidRPr="005B0796">
        <w:t xml:space="preserve"> – Grouping outcomes by variables of interest. In Report 1, 12-month diagnosable mental disorder and self-reported suicidality were stratified by age, sex, rank, service, years of service in the Regular ADF, deployment status, transition status, years since transition, reason for transition and DVA client</w:t>
      </w:r>
      <w:r w:rsidR="00462A0C" w:rsidRPr="005B0796">
        <w:t xml:space="preserve"> </w:t>
      </w:r>
      <w:r w:rsidRPr="005B0796">
        <w:t>status.</w:t>
      </w:r>
    </w:p>
    <w:p w:rsidR="00E54791" w:rsidRPr="005B0796" w:rsidRDefault="00E54791" w:rsidP="00E54791">
      <w:r w:rsidRPr="005B0796">
        <w:rPr>
          <w:b/>
        </w:rPr>
        <w:t xml:space="preserve">Study Roll </w:t>
      </w:r>
      <w:r w:rsidRPr="005B0796">
        <w:t>– Participants</w:t>
      </w:r>
      <w:r w:rsidR="00462A0C" w:rsidRPr="005B0796">
        <w:t>’</w:t>
      </w:r>
      <w:r w:rsidRPr="005B0796">
        <w:t xml:space="preserve"> contact details and demographic information were obtained via the creation of a study roll by the Australian Institute of Health and Welfare. This process involved integrating contact information from the following sources: </w:t>
      </w:r>
    </w:p>
    <w:p w:rsidR="00E54791" w:rsidRPr="005B0796" w:rsidRDefault="00E54791" w:rsidP="00E54791">
      <w:pPr>
        <w:pStyle w:val="Bullet"/>
        <w:spacing w:after="0"/>
      </w:pPr>
      <w:r w:rsidRPr="005B0796">
        <w:t>Defence Personnel Management Key Solution database</w:t>
      </w:r>
    </w:p>
    <w:p w:rsidR="00E54791" w:rsidRPr="005B0796" w:rsidRDefault="00E54791" w:rsidP="00E54791">
      <w:pPr>
        <w:pStyle w:val="Bullet"/>
        <w:spacing w:after="0"/>
      </w:pPr>
      <w:r w:rsidRPr="005B0796">
        <w:t>DVA client databases</w:t>
      </w:r>
    </w:p>
    <w:p w:rsidR="00E54791" w:rsidRPr="005B0796" w:rsidRDefault="00E54791" w:rsidP="00E54791">
      <w:pPr>
        <w:pStyle w:val="Bullet"/>
        <w:spacing w:after="0"/>
      </w:pPr>
      <w:r w:rsidRPr="005B0796">
        <w:t>National Death Index</w:t>
      </w:r>
    </w:p>
    <w:p w:rsidR="00E54791" w:rsidRPr="005B0796" w:rsidRDefault="00E54791" w:rsidP="00E54791">
      <w:pPr>
        <w:pStyle w:val="Bullet"/>
        <w:spacing w:after="0"/>
      </w:pPr>
      <w:r w:rsidRPr="005B0796">
        <w:t>ComSuper member database</w:t>
      </w:r>
    </w:p>
    <w:p w:rsidR="00E54791" w:rsidRPr="005B0796" w:rsidRDefault="00E54791" w:rsidP="00E54791">
      <w:pPr>
        <w:pStyle w:val="Bullet"/>
      </w:pPr>
      <w:r w:rsidRPr="005B0796">
        <w:t>Military Health Outcomes Program (MilHOP) dataset.</w:t>
      </w:r>
    </w:p>
    <w:p w:rsidR="00E54791" w:rsidRPr="005B0796" w:rsidRDefault="00E54791" w:rsidP="00E54791">
      <w:pPr>
        <w:rPr>
          <w:color w:val="262626"/>
        </w:rPr>
      </w:pPr>
      <w:r w:rsidRPr="005B0796">
        <w:rPr>
          <w:b/>
        </w:rPr>
        <w:t>Suicidal ideation</w:t>
      </w:r>
      <w:r w:rsidRPr="005B0796">
        <w:t xml:space="preserve"> – Serious thoughts about taking one</w:t>
      </w:r>
      <w:r w:rsidR="00462A0C" w:rsidRPr="005B0796">
        <w:t>’</w:t>
      </w:r>
      <w:r w:rsidRPr="005B0796">
        <w:t>s own life.</w:t>
      </w:r>
    </w:p>
    <w:p w:rsidR="00E54791" w:rsidRPr="005B0796" w:rsidRDefault="00E54791" w:rsidP="00E54791">
      <w:r w:rsidRPr="005B0796">
        <w:rPr>
          <w:b/>
        </w:rPr>
        <w:t xml:space="preserve">Suicidality </w:t>
      </w:r>
      <w:r w:rsidRPr="005B0796">
        <w:t>– Suicidal ideation (serious thoughts about taking one</w:t>
      </w:r>
      <w:r w:rsidR="00462A0C" w:rsidRPr="005B0796">
        <w:t>’</w:t>
      </w:r>
      <w:r w:rsidRPr="005B0796">
        <w:t>s own life), suicide plans and</w:t>
      </w:r>
      <w:r w:rsidR="00462A0C" w:rsidRPr="005B0796">
        <w:t xml:space="preserve"> </w:t>
      </w:r>
      <w:r w:rsidRPr="005B0796">
        <w:t>attempts.</w:t>
      </w:r>
    </w:p>
    <w:p w:rsidR="00E54791" w:rsidRPr="005B0796" w:rsidRDefault="00E54791" w:rsidP="00E54791">
      <w:pPr>
        <w:rPr>
          <w:b/>
        </w:rPr>
      </w:pPr>
      <w:r w:rsidRPr="005B0796">
        <w:rPr>
          <w:b/>
        </w:rPr>
        <w:t>Sub</w:t>
      </w:r>
      <w:r w:rsidR="00520FC8" w:rsidRPr="005B0796">
        <w:rPr>
          <w:b/>
        </w:rPr>
        <w:t>-</w:t>
      </w:r>
      <w:r w:rsidRPr="005B0796">
        <w:rPr>
          <w:b/>
        </w:rPr>
        <w:t>syndromal disorder</w:t>
      </w:r>
      <w:r w:rsidRPr="005B0796">
        <w:rPr>
          <w:rFonts w:cs="Times"/>
          <w:color w:val="2D2F32"/>
        </w:rPr>
        <w:t xml:space="preserve"> – C</w:t>
      </w:r>
      <w:r w:rsidRPr="005B0796">
        <w:t>haracterised by or exhibiting symptoms that are not severe enough for diagnosis as a clinically recognised syndrome.</w:t>
      </w:r>
    </w:p>
    <w:p w:rsidR="00E54791" w:rsidRPr="005B0796" w:rsidRDefault="00E54791" w:rsidP="00E54791">
      <w:r w:rsidRPr="005B0796">
        <w:rPr>
          <w:b/>
        </w:rPr>
        <w:t xml:space="preserve">Transitioned ADF/ADF members </w:t>
      </w:r>
      <w:r w:rsidRPr="005B0796">
        <w:t>– ADF members who have left military service. For the purpose of the current study, this included all ADF members who transitioned from the Regular ADF between 2010 and 2014, including those who transitioned into the Active Reserve and Inactive Reserve.</w:t>
      </w:r>
      <w:r w:rsidRPr="005B0796">
        <w:rPr>
          <w:i/>
        </w:rPr>
        <w:t xml:space="preserve"> </w:t>
      </w:r>
    </w:p>
    <w:p w:rsidR="00E54791" w:rsidRPr="005B0796" w:rsidRDefault="00E54791" w:rsidP="00E54791">
      <w:r w:rsidRPr="005B0796">
        <w:rPr>
          <w:b/>
        </w:rPr>
        <w:t xml:space="preserve">Transitioned status </w:t>
      </w:r>
      <w:r w:rsidRPr="005B0796">
        <w:t xml:space="preserve">– Transitioned ADF members were categorised into one of three groups, which broadly represented their level of continued association and contact with Defence and their potential access to support services provided by Defence: </w:t>
      </w:r>
    </w:p>
    <w:p w:rsidR="00E54791" w:rsidRPr="005B0796" w:rsidRDefault="00E54791" w:rsidP="00E54791">
      <w:pPr>
        <w:pStyle w:val="Bullet"/>
        <w:rPr>
          <w:b/>
        </w:rPr>
      </w:pPr>
      <w:r w:rsidRPr="005B0796">
        <w:rPr>
          <w:b/>
        </w:rPr>
        <w:t xml:space="preserve">Ex-serving: </w:t>
      </w:r>
      <w:r w:rsidRPr="005B0796">
        <w:t>A person who was a Regular ADF member before 2010, has since transitioned out of the ADF and is no longer engaged with Defence in a Reservist role. The individual is classified as discharged from Defence</w:t>
      </w:r>
    </w:p>
    <w:p w:rsidR="00E54791" w:rsidRPr="005B0796" w:rsidRDefault="00E54791" w:rsidP="00E54791">
      <w:pPr>
        <w:pStyle w:val="Bullet"/>
      </w:pPr>
      <w:r w:rsidRPr="005B0796">
        <w:rPr>
          <w:b/>
        </w:rPr>
        <w:t xml:space="preserve">Inactive Reservist: </w:t>
      </w:r>
      <w:r w:rsidRPr="005B0796">
        <w:t xml:space="preserve">A person who was a Regular ADF member before 2010, but has since transitioned into an Inactive Reservist role </w:t>
      </w:r>
    </w:p>
    <w:p w:rsidR="00E54791" w:rsidRPr="005B0796" w:rsidRDefault="00E54791" w:rsidP="00E54791">
      <w:pPr>
        <w:pStyle w:val="Bullet"/>
        <w:rPr>
          <w:b/>
        </w:rPr>
      </w:pPr>
      <w:r w:rsidRPr="005B0796">
        <w:rPr>
          <w:b/>
        </w:rPr>
        <w:t xml:space="preserve">Active Reservist: </w:t>
      </w:r>
      <w:r w:rsidRPr="005B0796">
        <w:t>A person who was a Regular ADF member before 2010, but has since transitioned into an Active Reservist role.</w:t>
      </w:r>
    </w:p>
    <w:p w:rsidR="00E54791" w:rsidRPr="005B0796" w:rsidRDefault="00E54791" w:rsidP="00E54791">
      <w:r w:rsidRPr="005B0796">
        <w:rPr>
          <w:b/>
        </w:rPr>
        <w:t xml:space="preserve">Two-phase design </w:t>
      </w:r>
      <w:r w:rsidRPr="005B0796">
        <w:t>–</w:t>
      </w:r>
      <w:r w:rsidRPr="005B0796">
        <w:rPr>
          <w:b/>
        </w:rPr>
        <w:t xml:space="preserve"> </w:t>
      </w:r>
      <w:r w:rsidRPr="005B0796">
        <w:t xml:space="preserve">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rsidR="00E54791" w:rsidRPr="005B0796" w:rsidRDefault="00E54791" w:rsidP="00E54791">
      <w:r w:rsidRPr="005B0796">
        <w:rPr>
          <w:b/>
          <w:shd w:val="clear" w:color="auto" w:fill="FFFFFF"/>
        </w:rPr>
        <w:t>Veterans</w:t>
      </w:r>
      <w:r w:rsidR="00462A0C" w:rsidRPr="005B0796">
        <w:rPr>
          <w:b/>
          <w:shd w:val="clear" w:color="auto" w:fill="FFFFFF"/>
        </w:rPr>
        <w:t>’</w:t>
      </w:r>
      <w:r w:rsidRPr="005B0796">
        <w:t xml:space="preserve"> </w:t>
      </w:r>
      <w:r w:rsidRPr="005B0796">
        <w:rPr>
          <w:b/>
          <w:shd w:val="clear" w:color="auto" w:fill="FFFFFF"/>
        </w:rPr>
        <w:t xml:space="preserve">health cards </w:t>
      </w:r>
      <w:r w:rsidRPr="005B0796">
        <w:rPr>
          <w:shd w:val="clear" w:color="auto" w:fill="FFFFFF"/>
        </w:rPr>
        <w:t xml:space="preserve">– </w:t>
      </w:r>
      <w:r w:rsidRPr="005B0796">
        <w:t>DVA, on behalf of the Australian Government, uses the health cards as a convenient method for veterans, war widows and their eligible dependants to access health and other care services. Arrangements are based on providing access to clinically appropriate treatment that is evidence-based. There are Gold, White and Orange</w:t>
      </w:r>
      <w:r w:rsidRPr="005B0796" w:rsidDel="004331E7">
        <w:t xml:space="preserve"> </w:t>
      </w:r>
      <w:r w:rsidRPr="005B0796">
        <w:t>health cards.</w:t>
      </w:r>
    </w:p>
    <w:p w:rsidR="00E54791" w:rsidRPr="005B0796" w:rsidRDefault="00E54791" w:rsidP="00E54791">
      <w:r w:rsidRPr="005B0796">
        <w:rPr>
          <w:b/>
          <w:shd w:val="clear" w:color="auto" w:fill="FFFFFF"/>
        </w:rPr>
        <w:t xml:space="preserve">Weighting </w:t>
      </w:r>
      <w:r w:rsidRPr="005B0796">
        <w:rPr>
          <w:shd w:val="clear" w:color="auto" w:fill="FFFFFF"/>
        </w:rPr>
        <w:t>–</w:t>
      </w:r>
      <w:r w:rsidRPr="005B0796">
        <w:t xml:space="preserve"> Allowing for the inference of results for the entire population. Weighting involved allocating a representative value or </w:t>
      </w:r>
      <w:r w:rsidR="00462A0C" w:rsidRPr="005B0796">
        <w:t>‘</w:t>
      </w:r>
      <w:r w:rsidRPr="005B0796">
        <w:t>weight</w:t>
      </w:r>
      <w:r w:rsidR="00462A0C" w:rsidRPr="005B0796">
        <w:t>’</w:t>
      </w:r>
      <w:r w:rsidRPr="005B0796">
        <w:t xml:space="preserve"> to the data for each responder, based on key variables. The weight indicated how many individuals in the entire population were represented by each responder. Weighting was applied to:</w:t>
      </w:r>
    </w:p>
    <w:p w:rsidR="00E54791" w:rsidRPr="005B0796" w:rsidRDefault="00E54791" w:rsidP="00E54791">
      <w:pPr>
        <w:pStyle w:val="Bullet"/>
      </w:pPr>
      <w:r w:rsidRPr="005B0796">
        <w:t>correct for differential non-response</w:t>
      </w:r>
    </w:p>
    <w:p w:rsidR="00E54791" w:rsidRPr="005B0796" w:rsidRDefault="00E54791" w:rsidP="00E54791">
      <w:pPr>
        <w:pStyle w:val="Bullet"/>
      </w:pPr>
      <w:r w:rsidRPr="005B0796">
        <w:t>adjust for any systematic biases in the responders (for example, oversampling of high scorers for the CIDI).</w:t>
      </w:r>
    </w:p>
    <w:p w:rsidR="00E54791" w:rsidRPr="005B0796" w:rsidRDefault="00E54791" w:rsidP="00E54791">
      <w:r w:rsidRPr="005B0796">
        <w:rPr>
          <w:b/>
        </w:rPr>
        <w:t xml:space="preserve">White Card </w:t>
      </w:r>
      <w:r w:rsidRPr="005B0796">
        <w:t xml:space="preserve">– A </w:t>
      </w:r>
      <w:r w:rsidRPr="005B0796">
        <w:rPr>
          <w:bCs/>
        </w:rPr>
        <w:t>DVA health card for specific conditions</w:t>
      </w:r>
      <w:r w:rsidRPr="005B0796">
        <w:t>. A White Card entitles the holder to care and treatment for:</w:t>
      </w:r>
    </w:p>
    <w:p w:rsidR="00E54791" w:rsidRPr="005B0796" w:rsidRDefault="00E54791" w:rsidP="00E54791">
      <w:pPr>
        <w:pStyle w:val="Bullet"/>
      </w:pPr>
      <w:r w:rsidRPr="005B0796">
        <w:t>injuries or conditions that are accepted as being caused by war or service-related</w:t>
      </w:r>
    </w:p>
    <w:p w:rsidR="00E54791" w:rsidRPr="005B0796" w:rsidRDefault="00E54791" w:rsidP="00E54791">
      <w:pPr>
        <w:pStyle w:val="Bullet"/>
      </w:pPr>
      <w:r w:rsidRPr="005B0796">
        <w:t xml:space="preserve">malignant cancer, pulmonary tuberculosis, posttraumatic stress disorder, anxiety and/or depression, whether or not it was caused by war </w:t>
      </w:r>
    </w:p>
    <w:p w:rsidR="00E54791" w:rsidRPr="005B0796" w:rsidRDefault="00E54791" w:rsidP="00E54791">
      <w:pPr>
        <w:pStyle w:val="Bullet"/>
      </w:pPr>
      <w:r w:rsidRPr="005B0796">
        <w:t>symptoms of unidentifiable conditions that arise within 15 years of service (other than peacetime service).</w:t>
      </w:r>
    </w:p>
    <w:p w:rsidR="00E54791" w:rsidRPr="005B0796" w:rsidRDefault="00E54791" w:rsidP="00E54791">
      <w:r w:rsidRPr="005B0796">
        <w:t xml:space="preserve">Services covered by a White Card are the same as those for a Gold Card, but must be for treatment of conditions that are accepted as being caused by war or service-related. </w:t>
      </w:r>
    </w:p>
    <w:p w:rsidR="00E54791" w:rsidRPr="005B0796" w:rsidRDefault="00E54791" w:rsidP="00E54791">
      <w:r w:rsidRPr="005B0796">
        <w:rPr>
          <w:b/>
        </w:rPr>
        <w:t>World Mental Health Survey Initiative Version of the World Health Organization Composite International Diagnostic Interview – version 3</w:t>
      </w:r>
      <w:r w:rsidRPr="005B0796" w:rsidDel="00DD734F">
        <w:rPr>
          <w:b/>
          <w:bCs/>
        </w:rPr>
        <w:t xml:space="preserve"> </w:t>
      </w:r>
      <w:r w:rsidRPr="005B0796">
        <w:rPr>
          <w:b/>
          <w:bCs/>
        </w:rPr>
        <w:t>(CIDI)</w:t>
      </w:r>
      <w:r w:rsidRPr="005B0796">
        <w:rPr>
          <w:bCs/>
        </w:rPr>
        <w:t xml:space="preserve"> –</w:t>
      </w:r>
      <w:r w:rsidRPr="005B0796">
        <w:t xml:space="preserve"> The CIDI </w:t>
      </w:r>
      <w:r w:rsidRPr="005B0796">
        <w:fldChar w:fldCharType="begin"/>
      </w:r>
      <w:r w:rsidRPr="005B0796">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5B0796">
        <w:fldChar w:fldCharType="separate"/>
      </w:r>
      <w:r w:rsidRPr="005B0796">
        <w:t>(Kessler &amp; Ustun, 2004)</w:t>
      </w:r>
      <w:r w:rsidRPr="005B0796">
        <w:fldChar w:fldCharType="end"/>
      </w:r>
      <w:r w:rsidRPr="005B0796">
        <w:t xml:space="preserve"> provides an assessment of mental disorders based on the definitions and criteria of two classification systems: the </w:t>
      </w:r>
      <w:r w:rsidRPr="005B0796">
        <w:rPr>
          <w:i/>
        </w:rPr>
        <w:t>Diagnostic and Statistical Manual of Mental Disorders, Fourth Edition</w:t>
      </w:r>
      <w:r w:rsidRPr="005B0796">
        <w:t xml:space="preserve"> (DSM-IV) and the International Statistical Classification of Diseases and Related Health Problems – 10th Revision (ICD-10) </w:t>
      </w:r>
      <w:r w:rsidRPr="005B0796">
        <w:fldChar w:fldCharType="begin"/>
      </w:r>
      <w:r w:rsidRPr="005B0796">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5B0796">
        <w:fldChar w:fldCharType="separate"/>
      </w:r>
      <w:r w:rsidRPr="005B0796">
        <w:t>(World Health Organization, 1994)</w:t>
      </w:r>
      <w:r w:rsidRPr="005B0796">
        <w:fldChar w:fldCharType="end"/>
      </w:r>
      <w:r w:rsidRPr="005B0796">
        <w:t>. This instrument was used in phase 2 of the Programme.</w:t>
      </w:r>
    </w:p>
    <w:p w:rsidR="00E54791" w:rsidRPr="005B0796" w:rsidRDefault="00E54791" w:rsidP="00E54791">
      <w:r w:rsidRPr="005B0796">
        <w:rPr>
          <w:b/>
        </w:rPr>
        <w:t xml:space="preserve">Years since transition </w:t>
      </w:r>
      <w:r w:rsidRPr="005B0796">
        <w:t>– To ascertain the number of years since transition from Regular Service, participants were asked to indicate what year they transitioned to Active Reserves, Inactive Reserves or were discharged out of the Service (Ex-Serving). Options included: zero, one, two, three, four or five years.</w:t>
      </w:r>
    </w:p>
    <w:p w:rsidR="00E54791" w:rsidRPr="005B0796" w:rsidRDefault="00E54791" w:rsidP="00E54791">
      <w:pPr>
        <w:rPr>
          <w:b/>
        </w:rPr>
      </w:pPr>
      <w:r w:rsidRPr="005B0796">
        <w:rPr>
          <w:b/>
        </w:rPr>
        <w:t xml:space="preserve">Years of Regular Service </w:t>
      </w:r>
      <w:r w:rsidRPr="005B0796">
        <w:t>–</w:t>
      </w:r>
      <w:r w:rsidRPr="005B0796">
        <w:rPr>
          <w:b/>
        </w:rPr>
        <w:t xml:space="preserve"> </w:t>
      </w:r>
      <w:r w:rsidRPr="005B0796">
        <w:t>The following categories were used in the Mental Health and Wellbeing Transition Study to define the number of years of Regular Service: 3</w:t>
      </w:r>
      <w:r w:rsidR="004F17A6" w:rsidRPr="005B0796">
        <w:t> </w:t>
      </w:r>
      <w:r w:rsidRPr="005B0796">
        <w:t>months – 3.9 years, 4–7.9 years, 8–11.9 years, 12–15.9 years, 16–19.9 years and 20+</w:t>
      </w:r>
      <w:r w:rsidR="004F17A6" w:rsidRPr="005B0796">
        <w:t> </w:t>
      </w:r>
      <w:r w:rsidRPr="005B0796">
        <w:t>years.</w:t>
      </w:r>
    </w:p>
    <w:p w:rsidR="00E54791" w:rsidRPr="005B0796" w:rsidRDefault="00E54791" w:rsidP="00E54791"/>
    <w:p w:rsidR="00E54791" w:rsidRPr="005B0796" w:rsidRDefault="00E54791" w:rsidP="00E54791">
      <w:pPr>
        <w:sectPr w:rsidR="00E54791" w:rsidRPr="005B0796" w:rsidSect="00D123CA">
          <w:type w:val="oddPage"/>
          <w:pgSz w:w="9979" w:h="14170" w:code="243"/>
          <w:pgMar w:top="1440" w:right="1152" w:bottom="1440" w:left="1728" w:header="576" w:footer="576" w:gutter="0"/>
          <w:cols w:space="708"/>
          <w:docGrid w:linePitch="360"/>
        </w:sectPr>
      </w:pPr>
    </w:p>
    <w:p w:rsidR="007247A9" w:rsidRPr="005B0796" w:rsidRDefault="00903BB7" w:rsidP="00134AF3">
      <w:pPr>
        <w:pStyle w:val="Heading1b"/>
        <w:numPr>
          <w:ilvl w:val="0"/>
          <w:numId w:val="0"/>
        </w:numPr>
      </w:pPr>
      <w:bookmarkStart w:id="1676" w:name="_Toc494449824"/>
      <w:bookmarkStart w:id="1677" w:name="_Toc511900394"/>
      <w:r w:rsidRPr="005B0796">
        <w:t>References</w:t>
      </w:r>
      <w:bookmarkEnd w:id="1676"/>
      <w:bookmarkEnd w:id="1677"/>
    </w:p>
    <w:p w:rsidR="001C1F34" w:rsidRPr="005B0796" w:rsidRDefault="001C1F34" w:rsidP="001C1F34">
      <w:pPr>
        <w:pStyle w:val="References"/>
        <w:spacing w:after="120"/>
      </w:pPr>
      <w:r w:rsidRPr="005B0796">
        <w:fldChar w:fldCharType="begin"/>
      </w:r>
      <w:r w:rsidRPr="005B0796">
        <w:instrText xml:space="preserve"> ADDIN EN.REFLIST </w:instrText>
      </w:r>
      <w:r w:rsidRPr="005B0796">
        <w:fldChar w:fldCharType="separate"/>
      </w:r>
      <w:r w:rsidRPr="005B0796">
        <w:t xml:space="preserve">Adler, A. B., Britt, T. W., Castro, C. A., McGurk, D. &amp; Bliese, P. D. (2011). Effect of transition home from combat on risk-taking and health-related behaviors. </w:t>
      </w:r>
      <w:r w:rsidRPr="005B0796">
        <w:rPr>
          <w:i/>
        </w:rPr>
        <w:t>Journal of Traumatic Stress,</w:t>
      </w:r>
      <w:r w:rsidRPr="005B0796">
        <w:t xml:space="preserve"> 24 (4), 381–389.</w:t>
      </w:r>
    </w:p>
    <w:p w:rsidR="001C1F34" w:rsidRPr="005B0796" w:rsidRDefault="001C1F34" w:rsidP="001C1F34">
      <w:pPr>
        <w:pStyle w:val="References"/>
        <w:spacing w:after="120"/>
      </w:pPr>
      <w:r w:rsidRPr="005B0796">
        <w:t xml:space="preserve">Adler, D. A., McLaughlin, T. J., Rogers, W. H., Chang, H., Lapitsky, L. &amp; Lerner, D. (2006). Job performance deficits due to depression. </w:t>
      </w:r>
      <w:r w:rsidRPr="005B0796">
        <w:rPr>
          <w:i/>
        </w:rPr>
        <w:t>American Journal of Psychiatry,</w:t>
      </w:r>
      <w:r w:rsidRPr="005B0796">
        <w:t xml:space="preserve"> 163 (9), 1569–1576.</w:t>
      </w:r>
    </w:p>
    <w:p w:rsidR="001C1F34" w:rsidRPr="005B0796" w:rsidRDefault="001C1F34" w:rsidP="001C1F34">
      <w:pPr>
        <w:pStyle w:val="References"/>
        <w:spacing w:after="120"/>
      </w:pPr>
      <w:r w:rsidRPr="005B0796">
        <w:t>Ahern, J., Worthen, M., Masters, J., Lippman, S. A., Ozer, E. J. &amp; Moos, R. (2015). The Challenges of Afghanistan and Iraq Veterans</w:t>
      </w:r>
      <w:r w:rsidR="00462A0C" w:rsidRPr="005B0796">
        <w:rPr>
          <w:rFonts w:asciiTheme="minorHAnsi" w:eastAsia="Times New Roman" w:hAnsiTheme="minorHAnsi"/>
          <w:sz w:val="18"/>
          <w:szCs w:val="18"/>
        </w:rPr>
        <w:t>’</w:t>
      </w:r>
      <w:r w:rsidRPr="005B0796">
        <w:t xml:space="preserve"> Transition from Military to Civilian Life and Approaches to Reconnection. </w:t>
      </w:r>
      <w:r w:rsidRPr="005B0796">
        <w:rPr>
          <w:i/>
        </w:rPr>
        <w:t>PLOS One,</w:t>
      </w:r>
      <w:r w:rsidRPr="005B0796">
        <w:t xml:space="preserve"> 10 (7), e0128599.</w:t>
      </w:r>
    </w:p>
    <w:p w:rsidR="001C1F34" w:rsidRPr="005B0796" w:rsidRDefault="001C1F34" w:rsidP="001C1F34">
      <w:pPr>
        <w:pStyle w:val="References"/>
        <w:spacing w:after="120"/>
      </w:pPr>
      <w:r w:rsidRPr="005B0796">
        <w:t xml:space="preserve">Allen, N. J. &amp; Meyer, J. P. (1990). The measurement and antecedents of affective, continuance, and normative commitment to the organization. </w:t>
      </w:r>
      <w:r w:rsidRPr="005B0796">
        <w:rPr>
          <w:i/>
        </w:rPr>
        <w:t>Journal of Occupational Psychology,</w:t>
      </w:r>
      <w:r w:rsidRPr="005B0796">
        <w:t xml:space="preserve"> 63, 1–18.</w:t>
      </w:r>
    </w:p>
    <w:p w:rsidR="001C1F34" w:rsidRPr="005B0796" w:rsidRDefault="001C1F34" w:rsidP="001C1F34">
      <w:pPr>
        <w:pStyle w:val="References"/>
        <w:spacing w:after="120"/>
      </w:pPr>
      <w:r w:rsidRPr="005B0796">
        <w:t xml:space="preserve">Altemus, M., Sarvaiya, N. &amp; Epperson, C. N. (2014). Sex differences in anxiety and depression clinical perspectives. </w:t>
      </w:r>
      <w:r w:rsidRPr="005B0796">
        <w:rPr>
          <w:i/>
        </w:rPr>
        <w:t>Frontiers in neuroendocrinology,</w:t>
      </w:r>
      <w:r w:rsidRPr="005B0796">
        <w:t xml:space="preserve"> 35 (3), 320–330.</w:t>
      </w:r>
    </w:p>
    <w:p w:rsidR="001C1F34" w:rsidRPr="005B0796" w:rsidRDefault="001C1F34" w:rsidP="001C1F34">
      <w:pPr>
        <w:pStyle w:val="References"/>
        <w:spacing w:after="120"/>
      </w:pPr>
      <w:r w:rsidRPr="005B0796">
        <w:t xml:space="preserve">Andrews , F. M. &amp; Crandall, R. (1976). The validity of measures of self-reported well-being. </w:t>
      </w:r>
      <w:r w:rsidRPr="005B0796">
        <w:rPr>
          <w:i/>
        </w:rPr>
        <w:t>Social Indicators Research,</w:t>
      </w:r>
      <w:r w:rsidRPr="005B0796">
        <w:t xml:space="preserve"> 3, 1–19.</w:t>
      </w:r>
    </w:p>
    <w:p w:rsidR="001C1F34" w:rsidRPr="005B0796" w:rsidRDefault="001C1F34" w:rsidP="001C1F34">
      <w:pPr>
        <w:pStyle w:val="References"/>
        <w:spacing w:after="120"/>
      </w:pPr>
      <w:r w:rsidRPr="005B0796">
        <w:t xml:space="preserve">Angst, J., Cui, L., Swendsen, J., Rothen, S., Cravchik, A., Kessler, R. C. &amp; Merikangas, K. R. (2010). Major depressive disorder with subthreshold bipolarity in the National Comorbidity Survey Replication. </w:t>
      </w:r>
      <w:r w:rsidRPr="005B0796">
        <w:rPr>
          <w:i/>
        </w:rPr>
        <w:t>American Journal of Psychiatry,</w:t>
      </w:r>
      <w:r w:rsidRPr="005B0796">
        <w:t xml:space="preserve"> 167 (10), 1194–1201.</w:t>
      </w:r>
    </w:p>
    <w:p w:rsidR="001C1F34" w:rsidRPr="005B0796" w:rsidRDefault="001C1F34" w:rsidP="001C1F34">
      <w:pPr>
        <w:pStyle w:val="References"/>
        <w:spacing w:after="120"/>
      </w:pPr>
      <w:r w:rsidRPr="005B0796">
        <w:t xml:space="preserve">Ashcroft, M. (2014). </w:t>
      </w:r>
      <w:r w:rsidRPr="005B0796">
        <w:rPr>
          <w:i/>
        </w:rPr>
        <w:t xml:space="preserve">Veterans Transition Review, </w:t>
      </w:r>
      <w:r w:rsidRPr="005B0796">
        <w:t>London, England.</w:t>
      </w:r>
    </w:p>
    <w:p w:rsidR="001C1F34" w:rsidRPr="005B0796" w:rsidRDefault="001C1F34" w:rsidP="001C1F34">
      <w:pPr>
        <w:pStyle w:val="References"/>
        <w:spacing w:after="120"/>
      </w:pPr>
      <w:r w:rsidRPr="005B0796">
        <w:t xml:space="preserve">Australian Bureau of Statistics. (2008). </w:t>
      </w:r>
      <w:r w:rsidRPr="005B0796">
        <w:rPr>
          <w:i/>
        </w:rPr>
        <w:t>2007 National Survey of Mental Health and Wellbeing: Summary of Results,</w:t>
      </w:r>
      <w:r w:rsidRPr="005B0796">
        <w:t xml:space="preserve"> Cat. no. 4326.0. Canberra: Australian Bureau of Statistics.</w:t>
      </w:r>
    </w:p>
    <w:p w:rsidR="001C1F34" w:rsidRPr="005B0796" w:rsidRDefault="001C1F34" w:rsidP="001C1F34">
      <w:pPr>
        <w:pStyle w:val="References"/>
        <w:spacing w:after="120"/>
      </w:pPr>
      <w:r w:rsidRPr="005B0796">
        <w:t xml:space="preserve">Australian Bureau of Statistics. (2010). Health and socioeconomic disadvantage. Available: </w:t>
      </w:r>
      <w:hyperlink r:id="rId307" w:history="1">
        <w:r w:rsidRPr="005B0796">
          <w:rPr>
            <w:rStyle w:val="Hyperlink"/>
          </w:rPr>
          <w:t>www.ausstats.abs.gov.au/Ausstats/subscriber.nsf/0/5703A93771AE2E4ECA2576E70016C8D3/$File/41020_%20healthandseifa.pdf</w:t>
        </w:r>
      </w:hyperlink>
      <w:r w:rsidRPr="005B0796">
        <w:t>.</w:t>
      </w:r>
    </w:p>
    <w:p w:rsidR="001C1F34" w:rsidRPr="005B0796" w:rsidRDefault="001C1F34" w:rsidP="001C1F34">
      <w:pPr>
        <w:pStyle w:val="References"/>
        <w:spacing w:after="120"/>
      </w:pPr>
      <w:r w:rsidRPr="005B0796">
        <w:t xml:space="preserve">Australian Bureau of Statistics. (2011). </w:t>
      </w:r>
      <w:r w:rsidRPr="005B0796">
        <w:rPr>
          <w:i/>
        </w:rPr>
        <w:t>General Social Survey: Summary of Results,</w:t>
      </w:r>
      <w:r w:rsidRPr="005B0796">
        <w:t xml:space="preserve"> Cat. no. 4159.0. Canberrra: Australian Bureau of Statistics.</w:t>
      </w:r>
    </w:p>
    <w:p w:rsidR="001C1F34" w:rsidRPr="005B0796" w:rsidRDefault="001C1F34" w:rsidP="001C1F34">
      <w:pPr>
        <w:pStyle w:val="References"/>
        <w:spacing w:after="120"/>
      </w:pPr>
      <w:r w:rsidRPr="005B0796">
        <w:t xml:space="preserve">Australian Bureau of Statistics. (2012). </w:t>
      </w:r>
      <w:r w:rsidRPr="005B0796">
        <w:rPr>
          <w:i/>
        </w:rPr>
        <w:t xml:space="preserve">Australian Health Survey: First Results, 2011–12, </w:t>
      </w:r>
      <w:r w:rsidRPr="005B0796">
        <w:t>Cat. no. 4364.0.55.001. Canberra: Australian Bureau of Statistics.</w:t>
      </w:r>
    </w:p>
    <w:p w:rsidR="001C1F34" w:rsidRPr="005B0796" w:rsidRDefault="001C1F34" w:rsidP="001C1F34">
      <w:pPr>
        <w:pStyle w:val="References"/>
        <w:spacing w:after="120"/>
      </w:pPr>
      <w:r w:rsidRPr="005B0796">
        <w:t xml:space="preserve">Australian Bureau of Statistics. (2015). </w:t>
      </w:r>
      <w:r w:rsidRPr="005B0796">
        <w:rPr>
          <w:i/>
        </w:rPr>
        <w:t>National Health Survey: First Results 2014–15</w:t>
      </w:r>
      <w:r w:rsidRPr="005B0796">
        <w:t>. Cat. no. 4364.0.55.001. Canberra: Australian Bureau of Statistics.</w:t>
      </w:r>
    </w:p>
    <w:p w:rsidR="001C1F34" w:rsidRPr="005B0796" w:rsidRDefault="001C1F34" w:rsidP="001C1F34">
      <w:pPr>
        <w:pStyle w:val="References"/>
        <w:spacing w:after="120"/>
      </w:pPr>
      <w:r w:rsidRPr="005B0796">
        <w:t xml:space="preserve">Australian Government Department of Defence. (2016). </w:t>
      </w:r>
      <w:r w:rsidRPr="005B0796">
        <w:rPr>
          <w:i/>
        </w:rPr>
        <w:t xml:space="preserve">Defence Annual Report 2015–16. </w:t>
      </w:r>
      <w:r w:rsidRPr="005B0796">
        <w:t>Canberra: Department of Defence.</w:t>
      </w:r>
    </w:p>
    <w:p w:rsidR="001C1F34" w:rsidRPr="005B0796" w:rsidRDefault="001C1F34" w:rsidP="001C1F34">
      <w:pPr>
        <w:pStyle w:val="References"/>
        <w:spacing w:after="120"/>
      </w:pPr>
      <w:r w:rsidRPr="005B0796">
        <w:t xml:space="preserve">Australian Institute of Health and Welfare. (2011). </w:t>
      </w:r>
      <w:r w:rsidRPr="005B0796">
        <w:rPr>
          <w:i/>
        </w:rPr>
        <w:t>2010 National Drug Strategy Household Survey report.</w:t>
      </w:r>
      <w:r w:rsidRPr="005B0796">
        <w:t xml:space="preserve"> Canberra.</w:t>
      </w:r>
    </w:p>
    <w:p w:rsidR="001C1F34" w:rsidRPr="005B0796" w:rsidRDefault="001C1F34" w:rsidP="001C1F34">
      <w:pPr>
        <w:pStyle w:val="References"/>
        <w:spacing w:after="120"/>
      </w:pPr>
      <w:r w:rsidRPr="005B0796">
        <w:t xml:space="preserve">Australian Institute of Health and Welfare. (2013). 2013 National Drug Strategy Household Survey. Available: </w:t>
      </w:r>
      <w:hyperlink r:id="rId308" w:history="1">
        <w:r w:rsidRPr="005B0796">
          <w:rPr>
            <w:rStyle w:val="Hyperlink"/>
          </w:rPr>
          <w:t>www.aihw.gov.au/WorkArea/DownloadAsset.aspx?id=60129548125</w:t>
        </w:r>
      </w:hyperlink>
      <w:r w:rsidRPr="005B0796">
        <w:t>.</w:t>
      </w:r>
    </w:p>
    <w:p w:rsidR="001C1F34" w:rsidRPr="005B0796" w:rsidRDefault="001C1F34" w:rsidP="001C1F34">
      <w:pPr>
        <w:pStyle w:val="References"/>
        <w:spacing w:after="120"/>
      </w:pPr>
      <w:r w:rsidRPr="005B0796">
        <w:t>Australian Institute of Health and Welfare. (2016). Incidence of suicide among serving and ex-serving Australian Defence Force personnel 2001–2014. Viewed 4 July 2017. Available: &lt;</w:t>
      </w:r>
      <w:hyperlink r:id="rId309" w:history="1">
        <w:r w:rsidRPr="005B0796">
          <w:rPr>
            <w:rStyle w:val="Hyperlink"/>
          </w:rPr>
          <w:t>www.aihw.gov.au/publication-detail/?id=60129557674</w:t>
        </w:r>
      </w:hyperlink>
      <w:r w:rsidRPr="005B0796">
        <w:t>&gt;.</w:t>
      </w:r>
    </w:p>
    <w:p w:rsidR="001C1F34" w:rsidRPr="005B0796" w:rsidRDefault="001C1F34" w:rsidP="001C1F34">
      <w:pPr>
        <w:pStyle w:val="References"/>
        <w:spacing w:after="120"/>
      </w:pPr>
      <w:r w:rsidRPr="005B0796">
        <w:t xml:space="preserve">Australian Institute of Health and Welfare. (2017a). </w:t>
      </w:r>
      <w:r w:rsidRPr="005B0796">
        <w:rPr>
          <w:i/>
        </w:rPr>
        <w:t>Incidence of suicide among serving and ex</w:t>
      </w:r>
      <w:r w:rsidRPr="005B0796">
        <w:rPr>
          <w:i/>
        </w:rPr>
        <w:noBreakHyphen/>
        <w:t xml:space="preserve">serving Australian Defence Force personnel 2001–2015 </w:t>
      </w:r>
      <w:r w:rsidRPr="005B0796">
        <w:t xml:space="preserve">[Online]. Cat. no. PHE 213. Canberra: AIHW. Available: </w:t>
      </w:r>
      <w:hyperlink r:id="rId310" w:history="1">
        <w:r w:rsidRPr="005B0796">
          <w:rPr>
            <w:rStyle w:val="Hyperlink"/>
          </w:rPr>
          <w:t>www.aihw.gov.au/WorkArea/DownloadAsset.aspx?id=60129559899</w:t>
        </w:r>
      </w:hyperlink>
      <w:r w:rsidRPr="005B0796">
        <w:t>.</w:t>
      </w:r>
    </w:p>
    <w:p w:rsidR="001C1F34" w:rsidRPr="005B0796" w:rsidRDefault="001C1F34" w:rsidP="001C1F34">
      <w:pPr>
        <w:pStyle w:val="References"/>
        <w:spacing w:after="120"/>
      </w:pPr>
      <w:r w:rsidRPr="005B0796">
        <w:t xml:space="preserve">Australian Institute of Health and Welfare. (2017b). National Drug Strategy Household Survey (NDSHS) 2016 key findings. Available: </w:t>
      </w:r>
      <w:hyperlink r:id="rId311" w:history="1">
        <w:r w:rsidRPr="005B0796">
          <w:rPr>
            <w:rStyle w:val="Hyperlink"/>
          </w:rPr>
          <w:t>www.aihw.gov.au/alcohol-and-other-drugs/data-sources/ndshs-2016/key-findings/</w:t>
        </w:r>
      </w:hyperlink>
      <w:r w:rsidRPr="005B0796">
        <w:t>.</w:t>
      </w:r>
    </w:p>
    <w:p w:rsidR="001C1F34" w:rsidRPr="005B0796" w:rsidRDefault="001C1F34" w:rsidP="001C1F34">
      <w:pPr>
        <w:pStyle w:val="References"/>
        <w:spacing w:after="120"/>
      </w:pPr>
      <w:r w:rsidRPr="005B0796">
        <w:t xml:space="preserve">Australian Liberal Party. (2017). </w:t>
      </w:r>
      <w:r w:rsidRPr="005B0796">
        <w:rPr>
          <w:i/>
        </w:rPr>
        <w:t xml:space="preserve">Strengthen mental health care in Australia </w:t>
      </w:r>
      <w:r w:rsidRPr="005B0796">
        <w:t xml:space="preserve">[Online]. Available: </w:t>
      </w:r>
      <w:hyperlink r:id="rId312" w:history="1">
        <w:r w:rsidRPr="005B0796">
          <w:rPr>
            <w:rStyle w:val="Hyperlink"/>
          </w:rPr>
          <w:t>https://www.dva.gov.au/health-and-wellbeing/mental-health/national-mental-health-commission-review</w:t>
        </w:r>
      </w:hyperlink>
      <w:r w:rsidRPr="005B0796">
        <w:t>.</w:t>
      </w:r>
    </w:p>
    <w:p w:rsidR="001C1F34" w:rsidRPr="005B0796" w:rsidRDefault="001C1F34" w:rsidP="001C1F34">
      <w:pPr>
        <w:pStyle w:val="References"/>
        <w:spacing w:after="120"/>
      </w:pPr>
      <w:r w:rsidRPr="005B0796">
        <w:t xml:space="preserve">Babor, E., Fuente, J., Saunders, J. &amp; Grant, M. (1989). </w:t>
      </w:r>
      <w:r w:rsidRPr="005B0796">
        <w:rPr>
          <w:i/>
        </w:rPr>
        <w:t xml:space="preserve">The Alcohol Use Disorder Identification Test: Guidelines for use in primary health care. </w:t>
      </w:r>
      <w:r w:rsidRPr="005B0796">
        <w:t xml:space="preserve">Geneva: World Health Organization, Division of Mental Health. </w:t>
      </w:r>
    </w:p>
    <w:p w:rsidR="001C1F34" w:rsidRPr="005B0796" w:rsidRDefault="001C1F34" w:rsidP="001C1F34">
      <w:pPr>
        <w:pStyle w:val="References"/>
        <w:spacing w:after="120"/>
      </w:pPr>
      <w:r w:rsidRPr="005B0796">
        <w:t xml:space="preserve">Babor, T. F., Higgins-Biddle, J., Saunders, J. B. &amp; Monteiro, M. (2001). </w:t>
      </w:r>
      <w:r w:rsidRPr="005B0796">
        <w:rPr>
          <w:i/>
        </w:rPr>
        <w:t xml:space="preserve">The Alcohol Use Disorders Identification Test (AUDIT): Guidelines for use in primary care. </w:t>
      </w:r>
      <w:r w:rsidRPr="005B0796">
        <w:t>Geneva: World Health Organization, Department of Mental Health and Substance Dependence.</w:t>
      </w:r>
    </w:p>
    <w:p w:rsidR="001C1F34" w:rsidRPr="005B0796" w:rsidRDefault="001C1F34" w:rsidP="001C1F34">
      <w:pPr>
        <w:pStyle w:val="References"/>
        <w:spacing w:after="120"/>
      </w:pPr>
      <w:r w:rsidRPr="005B0796">
        <w:t xml:space="preserve">Barrett, E. L., Mills, K. L. &amp; Teesson, M. (2013). Mental health correlates of anger in the general population: Findings from the 2007 National Survey of Mental Health and Wellbeing. </w:t>
      </w:r>
      <w:r w:rsidRPr="005B0796">
        <w:rPr>
          <w:i/>
        </w:rPr>
        <w:t>Australian and New Zealand Journal of Psychiatry,</w:t>
      </w:r>
      <w:r w:rsidRPr="005B0796">
        <w:t xml:space="preserve"> 47, 470–476.</w:t>
      </w:r>
    </w:p>
    <w:p w:rsidR="001C1F34" w:rsidRPr="005B0796" w:rsidRDefault="001C1F34" w:rsidP="001C1F34">
      <w:pPr>
        <w:pStyle w:val="References"/>
        <w:spacing w:after="120"/>
      </w:pPr>
      <w:r w:rsidRPr="005B0796">
        <w:t xml:space="preserve">Bastien, C. H., Vallieres, A. &amp; Morin, C. M. (2001). Validation of the Insomnia Severity Index as an outcome measure for insomnia research. </w:t>
      </w:r>
      <w:r w:rsidRPr="005B0796">
        <w:rPr>
          <w:i/>
        </w:rPr>
        <w:t>Sleep Medicine,</w:t>
      </w:r>
      <w:r w:rsidRPr="005B0796">
        <w:t xml:space="preserve"> 2 (4), 297–307.</w:t>
      </w:r>
    </w:p>
    <w:p w:rsidR="001C1F34" w:rsidRPr="005B0796" w:rsidRDefault="001C1F34" w:rsidP="001C1F34">
      <w:pPr>
        <w:pStyle w:val="References"/>
        <w:spacing w:after="120"/>
      </w:pPr>
      <w:r w:rsidRPr="005B0796">
        <w:t xml:space="preserve">Beautrais, A. L., Joyce, P. R., Mulder, R. T., Fergusson, D. M., Deavoll, B. J. &amp; Nightingale, S. K. (1996). Prevalence and comorbidity of mental disorders in persons making serious suicide attempts: a case-control study. </w:t>
      </w:r>
      <w:r w:rsidRPr="005B0796">
        <w:rPr>
          <w:i/>
        </w:rPr>
        <w:t>American Journal of Psychiatry,</w:t>
      </w:r>
      <w:r w:rsidRPr="005B0796">
        <w:t xml:space="preserve"> 153 (8), 1009–1014.</w:t>
      </w:r>
    </w:p>
    <w:p w:rsidR="001C1F34" w:rsidRPr="005B0796" w:rsidRDefault="001C1F34" w:rsidP="001C1F34">
      <w:pPr>
        <w:pStyle w:val="References"/>
        <w:spacing w:after="120"/>
      </w:pPr>
      <w:r w:rsidRPr="005B0796">
        <w:t xml:space="preserve">Bentley, K. H., Franklin, J. C., Ribeiro, J. D., Kleiman, E. M., Fox, K. R. &amp; Nock, M. K. (2016). Anxiety and its disorders as risk factors for suicidal thoughts and behaviors: a meta-analytic review. </w:t>
      </w:r>
      <w:r w:rsidRPr="005B0796">
        <w:rPr>
          <w:i/>
        </w:rPr>
        <w:t>Clinical Psychology Review,</w:t>
      </w:r>
      <w:r w:rsidRPr="005B0796">
        <w:t xml:space="preserve"> 43, 30–46.</w:t>
      </w:r>
    </w:p>
    <w:p w:rsidR="001C1F34" w:rsidRPr="005B0796" w:rsidRDefault="001C1F34" w:rsidP="001C1F34">
      <w:pPr>
        <w:pStyle w:val="References"/>
        <w:spacing w:after="120"/>
      </w:pPr>
      <w:r w:rsidRPr="005B0796">
        <w:t xml:space="preserve">Bergman, B. P., Burdett, H. J. &amp; Greenberg, N. (2014). Service Life and Beyond – Institution or Culture? </w:t>
      </w:r>
      <w:r w:rsidRPr="005B0796">
        <w:rPr>
          <w:i/>
        </w:rPr>
        <w:t>The RUSI Journal,</w:t>
      </w:r>
      <w:r w:rsidRPr="005B0796">
        <w:t xml:space="preserve"> 159 (5), 60–68.</w:t>
      </w:r>
    </w:p>
    <w:p w:rsidR="001C1F34" w:rsidRPr="005B0796" w:rsidRDefault="001C1F34" w:rsidP="001C1F34">
      <w:pPr>
        <w:pStyle w:val="References"/>
        <w:spacing w:after="120"/>
      </w:pPr>
      <w:r w:rsidRPr="005B0796">
        <w:t xml:space="preserve">Boscarino, J. A., Kirchner, H. L., Hoffman, S. N., Sartorius, J. &amp; Adams, R. E. (2011). PTSD and alcohol use after the World Trade Center attacks: a longitudinal study. </w:t>
      </w:r>
      <w:r w:rsidRPr="005B0796">
        <w:rPr>
          <w:i/>
        </w:rPr>
        <w:t>Journal of Traumatic Stress,</w:t>
      </w:r>
      <w:r w:rsidRPr="005B0796">
        <w:t xml:space="preserve"> 24 (5), 515–525.</w:t>
      </w:r>
    </w:p>
    <w:p w:rsidR="001C1F34" w:rsidRPr="005B0796" w:rsidRDefault="001C1F34" w:rsidP="001C1F34">
      <w:pPr>
        <w:pStyle w:val="References"/>
        <w:spacing w:after="120"/>
      </w:pPr>
      <w:r w:rsidRPr="005B0796">
        <w:t xml:space="preserve">Bowling, A. (2005). Mode of questionnaire administration can have serious effects on data quality. </w:t>
      </w:r>
      <w:r w:rsidRPr="005B0796">
        <w:rPr>
          <w:i/>
        </w:rPr>
        <w:t>Journal of Public Health,</w:t>
      </w:r>
      <w:r w:rsidRPr="005B0796">
        <w:t xml:space="preserve"> 27 (3), 281–291.</w:t>
      </w:r>
    </w:p>
    <w:p w:rsidR="001C1F34" w:rsidRPr="005B0796" w:rsidRDefault="001C1F34" w:rsidP="001C1F34">
      <w:pPr>
        <w:pStyle w:val="References"/>
        <w:spacing w:after="120"/>
      </w:pPr>
      <w:r w:rsidRPr="005B0796">
        <w:t xml:space="preserve">Bray, R. M., Pemberton, M. R., Lane, M. E., Hourani, L. L., Mattiko, M. J. &amp; Babeu, L. A. (2010). Substance use and mental health trends among US military active duty personnel: key findings from the 2008 DoD Health Behavior Survey. </w:t>
      </w:r>
      <w:r w:rsidRPr="005B0796">
        <w:rPr>
          <w:i/>
        </w:rPr>
        <w:t>Military Medicine,</w:t>
      </w:r>
      <w:r w:rsidRPr="005B0796">
        <w:t xml:space="preserve"> 175 (6), 390–399.</w:t>
      </w:r>
    </w:p>
    <w:p w:rsidR="001C1F34" w:rsidRPr="005B0796" w:rsidRDefault="001C1F34" w:rsidP="001C1F34">
      <w:pPr>
        <w:pStyle w:val="References"/>
        <w:spacing w:after="120"/>
      </w:pPr>
      <w:r w:rsidRPr="005B0796">
        <w:t xml:space="preserve">Brenner, L. A. &amp; Barnes, S. M. (2012). Facilitating treatment engagement during high-risk transition periods: a potential suicide prevention strategy. </w:t>
      </w:r>
      <w:r w:rsidRPr="005B0796">
        <w:rPr>
          <w:i/>
        </w:rPr>
        <w:t>American Journal of Public Health,</w:t>
      </w:r>
      <w:r w:rsidRPr="005B0796">
        <w:t xml:space="preserve"> 102, S1–2.</w:t>
      </w:r>
    </w:p>
    <w:p w:rsidR="001C1F34" w:rsidRPr="005B0796" w:rsidRDefault="001C1F34" w:rsidP="001C1F34">
      <w:pPr>
        <w:pStyle w:val="References"/>
        <w:spacing w:after="120"/>
      </w:pPr>
      <w:r w:rsidRPr="005B0796">
        <w:t xml:space="preserve">Brugha, T., Bebbington, P., Tennant, C. &amp; Hurry, J. (1985). The List of Threatening Experiences: a subset of 12 life event categories with considerable long-term contextual threat. </w:t>
      </w:r>
      <w:r w:rsidRPr="005B0796">
        <w:rPr>
          <w:i/>
        </w:rPr>
        <w:t>Psychological Medicine,</w:t>
      </w:r>
      <w:r w:rsidRPr="005B0796">
        <w:t xml:space="preserve"> 15 (1), 189–194.</w:t>
      </w:r>
    </w:p>
    <w:p w:rsidR="001C1F34" w:rsidRPr="005B0796" w:rsidRDefault="001C1F34" w:rsidP="001C1F34">
      <w:pPr>
        <w:pStyle w:val="References"/>
        <w:spacing w:after="120"/>
      </w:pPr>
      <w:r w:rsidRPr="005B0796">
        <w:t>Bryant, R. A., Nickerson, A., Creamer, M., O</w:t>
      </w:r>
      <w:r w:rsidR="00462A0C" w:rsidRPr="005B0796">
        <w:t>’</w:t>
      </w:r>
      <w:r w:rsidRPr="005B0796">
        <w:t>Donnell, M., Forbes, D., Galatzer-Levy, I., McFarlane, A. C. &amp; Silove, D. (2015). Trajectory of post-traumatic stress following traumatic injury: 6</w:t>
      </w:r>
      <w:r w:rsidRPr="005B0796">
        <w:noBreakHyphen/>
        <w:t xml:space="preserve">year follow-up. </w:t>
      </w:r>
      <w:r w:rsidRPr="005B0796">
        <w:rPr>
          <w:i/>
        </w:rPr>
        <w:t>The</w:t>
      </w:r>
      <w:r w:rsidRPr="005B0796">
        <w:t xml:space="preserve"> </w:t>
      </w:r>
      <w:r w:rsidRPr="005B0796">
        <w:rPr>
          <w:i/>
        </w:rPr>
        <w:t>British Journal of Psychiatry,</w:t>
      </w:r>
      <w:r w:rsidRPr="005B0796">
        <w:t xml:space="preserve"> 206 (5), 417–423.</w:t>
      </w:r>
    </w:p>
    <w:p w:rsidR="001C1F34" w:rsidRPr="005B0796" w:rsidRDefault="001C1F34" w:rsidP="001C1F34">
      <w:pPr>
        <w:pStyle w:val="References"/>
        <w:spacing w:after="120"/>
      </w:pPr>
      <w:r w:rsidRPr="005B0796">
        <w:t xml:space="preserve">Buckman, J. E., Forbes, H. J., Clayton, T., Jones, M., Jones, N., Greenberg, N., Sundin, J., Hull, L., Wessely, S. &amp; Fear, N. T. (2013). Early Service leavers: a study of the factors associated with premature separation from the UK Armed Forces and the mental health of those that leave early. </w:t>
      </w:r>
      <w:r w:rsidRPr="005B0796">
        <w:rPr>
          <w:i/>
        </w:rPr>
        <w:t>European Journal of Public Health,</w:t>
      </w:r>
      <w:r w:rsidRPr="005B0796">
        <w:t xml:space="preserve"> 23 (3), 410–415.</w:t>
      </w:r>
    </w:p>
    <w:p w:rsidR="001C1F34" w:rsidRPr="005B0796" w:rsidRDefault="001C1F34" w:rsidP="001C1F34">
      <w:pPr>
        <w:pStyle w:val="References"/>
        <w:spacing w:after="120"/>
      </w:pPr>
      <w:r w:rsidRPr="005B0796">
        <w:t xml:space="preserve">Burdett, H., Greenberg, N., Fear, N. T. &amp; Jones, N. (2014). The mental health of military veterans in the UK. </w:t>
      </w:r>
      <w:r w:rsidRPr="005B0796">
        <w:rPr>
          <w:i/>
        </w:rPr>
        <w:t>International Psychiatry,</w:t>
      </w:r>
      <w:r w:rsidRPr="005B0796">
        <w:t xml:space="preserve"> 11 (2), 88–89.</w:t>
      </w:r>
    </w:p>
    <w:p w:rsidR="001C1F34" w:rsidRPr="005B0796" w:rsidRDefault="001C1F34" w:rsidP="001C1F34">
      <w:pPr>
        <w:pStyle w:val="References"/>
        <w:spacing w:after="120"/>
      </w:pPr>
      <w:r w:rsidRPr="005B0796">
        <w:t xml:space="preserve">Burdett, H., Woodhead, C., Iversen, A. C., Wessely, S., Dandeker, C. &amp; Fear, N. T. (2013). </w:t>
      </w:r>
      <w:r w:rsidR="00462A0C" w:rsidRPr="005B0796">
        <w:t>‘</w:t>
      </w:r>
      <w:r w:rsidRPr="005B0796">
        <w:t>Are You a Veteran?</w:t>
      </w:r>
      <w:r w:rsidR="00462A0C" w:rsidRPr="005B0796">
        <w:t>’</w:t>
      </w:r>
      <w:r w:rsidRPr="005B0796">
        <w:t xml:space="preserve"> Understanding of the Term </w:t>
      </w:r>
      <w:r w:rsidR="00462A0C" w:rsidRPr="005B0796">
        <w:t>‘</w:t>
      </w:r>
      <w:r w:rsidRPr="005B0796">
        <w:t>Veteran</w:t>
      </w:r>
      <w:r w:rsidR="00462A0C" w:rsidRPr="005B0796">
        <w:t>’</w:t>
      </w:r>
      <w:r w:rsidRPr="005B0796">
        <w:t xml:space="preserve"> among UK Ex-Service Personnel: A Research Note. </w:t>
      </w:r>
      <w:r w:rsidRPr="005B0796">
        <w:rPr>
          <w:i/>
        </w:rPr>
        <w:t>Armed Forces &amp; Society,</w:t>
      </w:r>
      <w:r w:rsidRPr="005B0796">
        <w:t xml:space="preserve"> 39 (4), 751–759.</w:t>
      </w:r>
    </w:p>
    <w:p w:rsidR="001C1F34" w:rsidRPr="005B0796" w:rsidRDefault="001C1F34" w:rsidP="001C1F34">
      <w:pPr>
        <w:pStyle w:val="References"/>
        <w:spacing w:after="120"/>
      </w:pPr>
      <w:r w:rsidRPr="005B0796">
        <w:t xml:space="preserve">Burney, P., Luczynska, C., Chinn, S. &amp; Jarvis, D. (1994). The European Community Respiratory Health Survey. </w:t>
      </w:r>
      <w:r w:rsidRPr="005B0796">
        <w:rPr>
          <w:i/>
        </w:rPr>
        <w:t>European Respiratory Journal,</w:t>
      </w:r>
      <w:r w:rsidRPr="005B0796">
        <w:t xml:space="preserve"> 7, 954–960.</w:t>
      </w:r>
    </w:p>
    <w:p w:rsidR="001C1F34" w:rsidRPr="005B0796" w:rsidRDefault="001C1F34" w:rsidP="001C1F34">
      <w:pPr>
        <w:pStyle w:val="References"/>
        <w:spacing w:after="120"/>
      </w:pPr>
      <w:r w:rsidRPr="005B0796">
        <w:t xml:space="preserve">Burns, J. M., Davenport, T. A., Christensen, H., Luscombe, G. M., Mendoza, J. A., Bresnan, A., Blanchard, M. E., Hickie, I. B. (2013). </w:t>
      </w:r>
      <w:r w:rsidRPr="005B0796">
        <w:rPr>
          <w:i/>
        </w:rPr>
        <w:t>Game On: Exploring the Impact of Technologies on Young Men</w:t>
      </w:r>
      <w:r w:rsidR="00462A0C" w:rsidRPr="005B0796">
        <w:rPr>
          <w:i/>
        </w:rPr>
        <w:t>’</w:t>
      </w:r>
      <w:r w:rsidRPr="005B0796">
        <w:rPr>
          <w:i/>
        </w:rPr>
        <w:t xml:space="preserve">s Mental Health and Wellbeing – Findings from the first Young and Well National Survey. </w:t>
      </w:r>
      <w:r w:rsidRPr="005B0796">
        <w:t>Melbourne: Young and Well Cooperative Research Centre.</w:t>
      </w:r>
    </w:p>
    <w:p w:rsidR="001C1F34" w:rsidRPr="005B0796" w:rsidRDefault="001C1F34" w:rsidP="001C1F34">
      <w:pPr>
        <w:pStyle w:val="References"/>
        <w:spacing w:after="120"/>
      </w:pPr>
      <w:r w:rsidRPr="005B0796">
        <w:t xml:space="preserve">Butterworth, P., Leach, L. S., McManus, S. &amp; Stansfeld, S. A. (2013). Common mental disorders, unemployment and psychosocial job quality: is a poor job better than no job at all? </w:t>
      </w:r>
      <w:r w:rsidRPr="005B0796">
        <w:rPr>
          <w:i/>
        </w:rPr>
        <w:t>Psychological Medicine,</w:t>
      </w:r>
      <w:r w:rsidRPr="005B0796">
        <w:t xml:space="preserve"> 43 (8), 1763–1772.</w:t>
      </w:r>
    </w:p>
    <w:p w:rsidR="001C1F34" w:rsidRPr="005B0796" w:rsidRDefault="001C1F34" w:rsidP="001C1F34">
      <w:pPr>
        <w:pStyle w:val="References"/>
        <w:spacing w:after="120"/>
      </w:pPr>
      <w:r w:rsidRPr="005B0796">
        <w:t xml:space="preserve">Butterworth, P., Leach, L. S., Strazdins, L., Olesen, S. C., Rodgers, B. &amp; Broom, D. H. (2011). The psychosocial quality of work determines whether employment has benefits for mental health: results from a longitudinal national household panel survey. </w:t>
      </w:r>
      <w:r w:rsidRPr="005B0796">
        <w:rPr>
          <w:i/>
        </w:rPr>
        <w:t>Occupational and Environmental Medicine,</w:t>
      </w:r>
      <w:r w:rsidRPr="005B0796">
        <w:t xml:space="preserve"> 68 (11), 806–812.</w:t>
      </w:r>
    </w:p>
    <w:p w:rsidR="001C1F34" w:rsidRPr="005B0796" w:rsidRDefault="001C1F34" w:rsidP="001C1F34">
      <w:pPr>
        <w:pStyle w:val="References"/>
        <w:spacing w:after="120"/>
      </w:pPr>
      <w:r w:rsidRPr="005B0796">
        <w:t xml:space="preserve">Carvalho, A. F., Takwoingi, Y., Sales, P. M. G., Soczynska, J. K., Köhler, C. A., Freitas, T. H., Quevedo, J., Hyphantis, T. N., McIntyre, R. S. &amp; Vieta, E. (2015). Screening for bipolar spectrum disorders: a comprehensive meta-analysis of accuracy studies. </w:t>
      </w:r>
      <w:r w:rsidRPr="005B0796">
        <w:rPr>
          <w:i/>
        </w:rPr>
        <w:t>Journal of Affective Disorders,</w:t>
      </w:r>
      <w:r w:rsidRPr="005B0796">
        <w:t xml:space="preserve"> 172, 337–346.</w:t>
      </w:r>
    </w:p>
    <w:p w:rsidR="001C1F34" w:rsidRPr="005B0796" w:rsidRDefault="001C1F34" w:rsidP="001C1F34">
      <w:pPr>
        <w:pStyle w:val="References"/>
        <w:spacing w:after="120"/>
      </w:pPr>
      <w:r w:rsidRPr="005B0796">
        <w:t xml:space="preserve">Castro, C. A. &amp; Kintzle, S. (2014). Suicides in the military: the post-modern combat veteran and the Hemingway effect. </w:t>
      </w:r>
      <w:r w:rsidRPr="005B0796">
        <w:rPr>
          <w:i/>
        </w:rPr>
        <w:t>Current Psychiatry Reports,</w:t>
      </w:r>
      <w:r w:rsidRPr="005B0796">
        <w:t xml:space="preserve"> 16 (8), 460.</w:t>
      </w:r>
    </w:p>
    <w:p w:rsidR="001C1F34" w:rsidRPr="005B0796" w:rsidRDefault="001C1F34" w:rsidP="001C1F34">
      <w:pPr>
        <w:pStyle w:val="References"/>
        <w:spacing w:after="120"/>
      </w:pPr>
      <w:r w:rsidRPr="005B0796">
        <w:t xml:space="preserve">Chantarujikapong, S. I., Scherrer, J. F., Xian, H., Eisen, S. A., Lyons, M. J., Goldberg, J., Tsuang, M. &amp; True, W. R. (2001). A twin study of generalized anxiety disorder symptoms, panic disorder symptoms and post-traumatic stress disorder in men. </w:t>
      </w:r>
      <w:r w:rsidRPr="005B0796">
        <w:rPr>
          <w:i/>
        </w:rPr>
        <w:t>Psychiatry Research,</w:t>
      </w:r>
      <w:r w:rsidRPr="005B0796">
        <w:t xml:space="preserve"> 103 (2), 133–145.</w:t>
      </w:r>
    </w:p>
    <w:p w:rsidR="001C1F34" w:rsidRPr="005B0796" w:rsidRDefault="001C1F34" w:rsidP="001C1F34">
      <w:pPr>
        <w:pStyle w:val="References"/>
        <w:spacing w:after="120"/>
      </w:pPr>
      <w:r w:rsidRPr="005B0796">
        <w:t xml:space="preserve">Chou, K.-L., Mackenzie, C. S., Liang, K. &amp; Sareen, J. (2011). Three-Year Incidence and Predictors of First-Onset of DSM-IV Mood, Anxiety, and Substance Use Disorders in Older Adults: Results From Wave 2 of the National Epidemiologic Survey on Alcohol and Related Conditions [CME]. </w:t>
      </w:r>
      <w:r w:rsidRPr="005B0796">
        <w:rPr>
          <w:i/>
        </w:rPr>
        <w:t>Journal of Clinical Psychiatry,</w:t>
      </w:r>
      <w:r w:rsidRPr="005B0796">
        <w:t xml:space="preserve"> 72 (2), 144–155.</w:t>
      </w:r>
    </w:p>
    <w:p w:rsidR="001C1F34" w:rsidRPr="005B0796" w:rsidRDefault="001C1F34" w:rsidP="001C1F34">
      <w:pPr>
        <w:pStyle w:val="References"/>
        <w:spacing w:after="120"/>
      </w:pPr>
      <w:r w:rsidRPr="005B0796">
        <w:t xml:space="preserve">Clancy, C. P., Graybeal, A., Tompson, W. P., Badgett, K. S., Feldman, M. E., Calhoun, P. S., Erkanli, A., Hertzberg, M. A. &amp; Beckham, J. C. (2006). Lifetime trauma exposure in veterans with military-related posttraumatic stress disorder: association with current symptomatology. </w:t>
      </w:r>
      <w:r w:rsidRPr="005B0796">
        <w:rPr>
          <w:i/>
        </w:rPr>
        <w:t>Journal of Clinical Psychiatry,</w:t>
      </w:r>
      <w:r w:rsidRPr="005B0796">
        <w:t xml:space="preserve"> 67 (9), 1346–1353.</w:t>
      </w:r>
    </w:p>
    <w:p w:rsidR="001C1F34" w:rsidRPr="005B0796" w:rsidRDefault="001C1F34" w:rsidP="001C1F34">
      <w:pPr>
        <w:pStyle w:val="References"/>
        <w:spacing w:after="120"/>
      </w:pPr>
      <w:r w:rsidRPr="005B0796">
        <w:t xml:space="preserve">Coll, J. E., Weiss, E. L. &amp; Yarvis, J. S. (2011). No One Leaves Unchanged: Insights for Civilian Mental Health Care Professionals Into the Military Experience and Culture. </w:t>
      </w:r>
      <w:r w:rsidRPr="005B0796">
        <w:rPr>
          <w:i/>
        </w:rPr>
        <w:t>Social Work in Health Care,</w:t>
      </w:r>
      <w:r w:rsidRPr="005B0796">
        <w:t xml:space="preserve"> 50 (7), 487–500.</w:t>
      </w:r>
    </w:p>
    <w:p w:rsidR="001C1F34" w:rsidRPr="005B0796" w:rsidRDefault="001C1F34" w:rsidP="001C1F34">
      <w:pPr>
        <w:pStyle w:val="References"/>
        <w:spacing w:after="120"/>
      </w:pPr>
      <w:r w:rsidRPr="005B0796">
        <w:t xml:space="preserve">Commonwealth of Australia. (2013). </w:t>
      </w:r>
      <w:r w:rsidRPr="005B0796">
        <w:rPr>
          <w:i/>
        </w:rPr>
        <w:t xml:space="preserve">Veteran Mental Health Strategy: A ten year framwork – 2013-2023. </w:t>
      </w:r>
      <w:r w:rsidRPr="005B0796">
        <w:t>Canberra: Department of Veteran</w:t>
      </w:r>
      <w:r w:rsidR="00462A0C" w:rsidRPr="005B0796">
        <w:t>’</w:t>
      </w:r>
      <w:r w:rsidRPr="005B0796">
        <w:t>s Affairs.</w:t>
      </w:r>
    </w:p>
    <w:p w:rsidR="001C1F34" w:rsidRPr="005B0796" w:rsidRDefault="001C1F34" w:rsidP="001C1F34">
      <w:pPr>
        <w:pStyle w:val="References"/>
        <w:spacing w:after="120"/>
      </w:pPr>
      <w:r w:rsidRPr="005B0796">
        <w:t xml:space="preserve">Commonwealth of Australia. (2017). </w:t>
      </w:r>
      <w:r w:rsidRPr="005B0796">
        <w:rPr>
          <w:i/>
        </w:rPr>
        <w:t xml:space="preserve">Australian Government response to the National Mental Health Commission Review into the suicide and self-harm prevention services available to current and former serving ADF members and their families </w:t>
      </w:r>
      <w:r w:rsidRPr="005B0796">
        <w:t>[Online]. Canberra: Department of Veteran</w:t>
      </w:r>
      <w:r w:rsidR="00462A0C" w:rsidRPr="005B0796">
        <w:t>’</w:t>
      </w:r>
      <w:r w:rsidRPr="005B0796">
        <w:t xml:space="preserve">s Affairs. Available: </w:t>
      </w:r>
      <w:hyperlink r:id="rId313" w:history="1">
        <w:r w:rsidRPr="005B0796">
          <w:rPr>
            <w:rStyle w:val="Hyperlink"/>
          </w:rPr>
          <w:t>https://www.dva.gov.au/sites/default/files/files/health%20and%20wellbeing/mental/govtresponse.pdf</w:t>
        </w:r>
      </w:hyperlink>
      <w:r w:rsidRPr="005B0796">
        <w:t xml:space="preserve">. </w:t>
      </w:r>
    </w:p>
    <w:p w:rsidR="001C1F34" w:rsidRPr="005B0796" w:rsidRDefault="001C1F34" w:rsidP="001C1F34">
      <w:pPr>
        <w:pStyle w:val="References"/>
        <w:spacing w:after="120"/>
      </w:pPr>
      <w:r w:rsidRPr="005B0796">
        <w:t xml:space="preserve">Corrigan, J. D. &amp; Bogner, J. A. (2007). Initial reliability and validity of the OSU TBI Identification Method. </w:t>
      </w:r>
      <w:r w:rsidRPr="005B0796">
        <w:rPr>
          <w:i/>
        </w:rPr>
        <w:t>Journal of Head Trauma Rehabilitation,</w:t>
      </w:r>
      <w:r w:rsidRPr="005B0796">
        <w:t xml:space="preserve"> 22 (6), 38–329.</w:t>
      </w:r>
    </w:p>
    <w:p w:rsidR="001C1F34" w:rsidRPr="005B0796" w:rsidRDefault="001C1F34" w:rsidP="001C1F34">
      <w:pPr>
        <w:pStyle w:val="References"/>
        <w:spacing w:after="120"/>
      </w:pPr>
      <w:r w:rsidRPr="005B0796">
        <w:t xml:space="preserve">Crum-Cianflone, N. F., Powell, T. M., LeardMann, C. A., Russell, D. W. &amp; Boyko, E. J. (2016). Mental Health and Comorbidities in U.S. Military Members. </w:t>
      </w:r>
      <w:r w:rsidRPr="005B0796">
        <w:rPr>
          <w:i/>
        </w:rPr>
        <w:t>Military Medicine,</w:t>
      </w:r>
      <w:r w:rsidRPr="005B0796">
        <w:t xml:space="preserve"> 181 (6), 537–545.</w:t>
      </w:r>
    </w:p>
    <w:p w:rsidR="001C1F34" w:rsidRPr="005B0796" w:rsidRDefault="001C1F34" w:rsidP="001C1F34">
      <w:pPr>
        <w:pStyle w:val="References"/>
        <w:spacing w:after="120"/>
      </w:pPr>
      <w:r w:rsidRPr="005B0796">
        <w:t xml:space="preserve">Crum, R. M., Mojtabai, R., Lazareck, S., Bolton, J. M., Robinson, J., Sareen, J., Green, K. M., Stuart, E. A., La Flair, L., Alvanzo, A. A. &amp; Storr, C. L. (2013). A prospective assessment of reports of drinking to self-medicate mood symptoms with the incidence and persistence of alcohol dependence. </w:t>
      </w:r>
      <w:r w:rsidRPr="005B0796">
        <w:rPr>
          <w:i/>
        </w:rPr>
        <w:t>JAMA Psychiatry,</w:t>
      </w:r>
      <w:r w:rsidRPr="005B0796">
        <w:t xml:space="preserve"> 70 (7), 718–726.</w:t>
      </w:r>
    </w:p>
    <w:p w:rsidR="001C1F34" w:rsidRPr="005B0796" w:rsidRDefault="001C1F34" w:rsidP="001C1F34">
      <w:pPr>
        <w:pStyle w:val="References"/>
        <w:spacing w:after="120"/>
      </w:pPr>
      <w:r w:rsidRPr="005B0796">
        <w:t xml:space="preserve">Dao, J. &amp; Frosch, D. (2010). Feeling warehoused in army trauma care units. </w:t>
      </w:r>
      <w:r w:rsidRPr="005B0796">
        <w:rPr>
          <w:i/>
        </w:rPr>
        <w:t>The New York Times,</w:t>
      </w:r>
      <w:r w:rsidRPr="005B0796">
        <w:t xml:space="preserve"> April 24, 2010.</w:t>
      </w:r>
    </w:p>
    <w:p w:rsidR="001C1F34" w:rsidRPr="005B0796" w:rsidRDefault="001C1F34" w:rsidP="001C1F34">
      <w:pPr>
        <w:pStyle w:val="References"/>
        <w:spacing w:after="120"/>
      </w:pPr>
      <w:r w:rsidRPr="005B0796">
        <w:t xml:space="preserve">Davis, T. A., Jovanovic, T., Norrholm, S. D., Glover, E. M., Swanson, M., Spann, S. &amp; Bradley, B. (2013). Substance Use Attenuates Physiological Responses Associated With PTSD among Individuals with Co-Morbid PTSD and SUDs. </w:t>
      </w:r>
      <w:r w:rsidRPr="005B0796">
        <w:rPr>
          <w:i/>
        </w:rPr>
        <w:t>Journal of Psychology &amp; Psychotherapy,</w:t>
      </w:r>
      <w:r w:rsidRPr="005B0796">
        <w:t xml:space="preserve"> Suppl 7.</w:t>
      </w:r>
    </w:p>
    <w:p w:rsidR="001C1F34" w:rsidRPr="005B0796" w:rsidRDefault="001C1F34" w:rsidP="001C1F34">
      <w:pPr>
        <w:pStyle w:val="References"/>
        <w:spacing w:after="120"/>
      </w:pPr>
      <w:r w:rsidRPr="005B0796">
        <w:t>Davy, C., Dobson, A., Lawrence-Wood, E., Lorimer, M., Moores, K., Lawrence, A., Horsley, K., Crockett, A., McFarlane, A. (2012). The Middle East Area of Operations (MEAO) Health Study: Prospective Study Report. Adelaide, Australia: University of Adelaide, Centre for Military and Veterans</w:t>
      </w:r>
      <w:r w:rsidR="00462A0C" w:rsidRPr="005B0796">
        <w:t>’</w:t>
      </w:r>
      <w:r w:rsidRPr="005B0796">
        <w:t xml:space="preserve"> Health. </w:t>
      </w:r>
    </w:p>
    <w:p w:rsidR="001C1F34" w:rsidRPr="005B0796" w:rsidRDefault="001C1F34" w:rsidP="001C1F34">
      <w:pPr>
        <w:pStyle w:val="References"/>
        <w:spacing w:after="120"/>
      </w:pPr>
      <w:r w:rsidRPr="005B0796">
        <w:t xml:space="preserve">Dedert, E. A., Green, K. T., Calhoun, P. S., Yoash-Gantz, R., Taber, K. H., Mumford, M. M., Tupler, L. A., Morey, R. A., Marx, C. E., Weiner, R. D. &amp; Beckham, J. C. (2009). Association of trauma exposure with psychiatric morbidity in military veterans who have served since September 11, 2001. </w:t>
      </w:r>
      <w:r w:rsidRPr="005B0796">
        <w:rPr>
          <w:i/>
        </w:rPr>
        <w:t>Journal of Psychiatric Research,</w:t>
      </w:r>
      <w:r w:rsidRPr="005B0796">
        <w:t xml:space="preserve"> 43 (9), 830–836.</w:t>
      </w:r>
    </w:p>
    <w:p w:rsidR="001C1F34" w:rsidRPr="005B0796" w:rsidRDefault="001C1F34" w:rsidP="001C1F34">
      <w:pPr>
        <w:pStyle w:val="References"/>
        <w:spacing w:after="120"/>
      </w:pPr>
      <w:r w:rsidRPr="005B0796">
        <w:t xml:space="preserve">Defence Health. (2017). Military Health Outcomes Program (MiLHOP). Available: </w:t>
      </w:r>
      <w:hyperlink r:id="rId314" w:history="1">
        <w:r w:rsidRPr="005B0796">
          <w:rPr>
            <w:rStyle w:val="Hyperlink"/>
          </w:rPr>
          <w:t>www.defence.gov.au/health/home/milhop.asp</w:t>
        </w:r>
      </w:hyperlink>
      <w:r w:rsidRPr="005B0796">
        <w:t>.</w:t>
      </w:r>
    </w:p>
    <w:p w:rsidR="001C1F34" w:rsidRPr="005B0796" w:rsidRDefault="001C1F34" w:rsidP="001C1F34">
      <w:pPr>
        <w:pStyle w:val="References"/>
        <w:spacing w:after="120"/>
      </w:pPr>
      <w:r w:rsidRPr="005B0796">
        <w:t xml:space="preserve">Defence Health Bulletin (15/03)-Please check date-EG. </w:t>
      </w:r>
      <w:r w:rsidRPr="005B0796">
        <w:rPr>
          <w:i/>
        </w:rPr>
        <w:t>Alcohol Use disorders Identification Test.</w:t>
      </w:r>
      <w:r w:rsidRPr="005B0796">
        <w:t xml:space="preserve"> Defence Health Services, Department of Defence.</w:t>
      </w:r>
    </w:p>
    <w:p w:rsidR="001C1F34" w:rsidRPr="005B0796" w:rsidRDefault="001C1F34" w:rsidP="001C1F34">
      <w:pPr>
        <w:pStyle w:val="References"/>
        <w:spacing w:after="120"/>
      </w:pPr>
      <w:r w:rsidRPr="005B0796">
        <w:t xml:space="preserve">Dekel, S., Solomon, Z., Horesh, D. &amp; Ein-Dor, T. (2014). Posttraumatic stress disorder and depressive symptoms: joined or independent sequelae of trauma? </w:t>
      </w:r>
      <w:r w:rsidRPr="005B0796">
        <w:rPr>
          <w:i/>
        </w:rPr>
        <w:t>Journal of Psychiatric Research,</w:t>
      </w:r>
      <w:r w:rsidRPr="005B0796">
        <w:t xml:space="preserve"> 54, 64–69.</w:t>
      </w:r>
    </w:p>
    <w:p w:rsidR="001C1F34" w:rsidRPr="005B0796" w:rsidRDefault="001C1F34" w:rsidP="001C1F34">
      <w:pPr>
        <w:pStyle w:val="References"/>
        <w:spacing w:after="120"/>
      </w:pPr>
      <w:r w:rsidRPr="005B0796">
        <w:t xml:space="preserve">Del Gaizo, A. L., Elhai, J. D. &amp; Weaver, T. L. (2011). Posttraumatic stress disorder, poor physical health and substance use behaviors in a national trauma-exposed sample. </w:t>
      </w:r>
      <w:r w:rsidRPr="005B0796">
        <w:rPr>
          <w:i/>
        </w:rPr>
        <w:t>Psychiatry Research,</w:t>
      </w:r>
      <w:r w:rsidRPr="005B0796">
        <w:t xml:space="preserve"> 188 (3), 390–395.</w:t>
      </w:r>
    </w:p>
    <w:p w:rsidR="001C1F34" w:rsidRPr="005B0796" w:rsidRDefault="001C1F34" w:rsidP="001C1F34">
      <w:pPr>
        <w:pStyle w:val="References"/>
        <w:spacing w:after="120"/>
      </w:pPr>
      <w:r w:rsidRPr="005B0796">
        <w:t>Dell</w:t>
      </w:r>
      <w:r w:rsidR="00462A0C" w:rsidRPr="005B0796">
        <w:t>’</w:t>
      </w:r>
      <w:r w:rsidRPr="005B0796">
        <w:t xml:space="preserve">Aglio, J. C., Jr., Basso, L. A., Argimon, I.I. &amp; Arteche, A. (2013). Systematic review of the prevalence of bipolar disorder and bipolar spectrum disorders in population-based studies. </w:t>
      </w:r>
      <w:r w:rsidRPr="005B0796">
        <w:rPr>
          <w:i/>
        </w:rPr>
        <w:t>Trends in Psychiatry and Psychotherapy,</w:t>
      </w:r>
      <w:r w:rsidRPr="005B0796">
        <w:t xml:space="preserve"> 35 (2), 99–105.</w:t>
      </w:r>
    </w:p>
    <w:p w:rsidR="001C1F34" w:rsidRPr="005B0796" w:rsidRDefault="001C1F34" w:rsidP="001C1F34">
      <w:pPr>
        <w:pStyle w:val="References"/>
        <w:spacing w:after="120"/>
      </w:pPr>
      <w:r w:rsidRPr="005B0796">
        <w:t xml:space="preserve">Demers, A. (2011). When veterans return: the role of community in reintegration. </w:t>
      </w:r>
      <w:r w:rsidRPr="005B0796">
        <w:rPr>
          <w:i/>
        </w:rPr>
        <w:t>Journal of Loss and Trauma,</w:t>
      </w:r>
      <w:r w:rsidRPr="005B0796">
        <w:t xml:space="preserve"> 16, 160–179. </w:t>
      </w:r>
    </w:p>
    <w:p w:rsidR="001C1F34" w:rsidRPr="005B0796" w:rsidRDefault="001C1F34" w:rsidP="001C1F34">
      <w:pPr>
        <w:pStyle w:val="References"/>
        <w:spacing w:after="120"/>
      </w:pPr>
      <w:r w:rsidRPr="005B0796">
        <w:t xml:space="preserve">Department of Veterans Affairs. (2016). </w:t>
      </w:r>
      <w:r w:rsidRPr="005B0796">
        <w:rPr>
          <w:i/>
        </w:rPr>
        <w:t xml:space="preserve">Annual Reports 2015–16 </w:t>
      </w:r>
      <w:r w:rsidRPr="005B0796">
        <w:t xml:space="preserve">[Online]. Canberra: Department of Veterans Affairs. Available: </w:t>
      </w:r>
      <w:hyperlink r:id="rId315" w:history="1">
        <w:r w:rsidRPr="005B0796">
          <w:rPr>
            <w:rStyle w:val="Hyperlink"/>
          </w:rPr>
          <w:t>https://www.dva.gov.au/sites/default/files/files/about%20dva/annual_report/2015-2016/annrep2015-16.pdf</w:t>
        </w:r>
      </w:hyperlink>
      <w:r w:rsidRPr="005B0796">
        <w:t>.</w:t>
      </w:r>
    </w:p>
    <w:p w:rsidR="001C1F34" w:rsidRPr="005B0796" w:rsidRDefault="001C1F34" w:rsidP="001C1F34">
      <w:pPr>
        <w:pStyle w:val="References"/>
        <w:spacing w:after="120"/>
      </w:pPr>
      <w:r w:rsidRPr="005B0796">
        <w:t xml:space="preserve">Department of Veterans Affairs. (2017). DVA Health cards summary. Available: </w:t>
      </w:r>
      <w:hyperlink r:id="rId316" w:history="1">
        <w:r w:rsidRPr="005B0796">
          <w:rPr>
            <w:rStyle w:val="Hyperlink"/>
          </w:rPr>
          <w:t>https://www.dva.gov.au/providers/dva-health-cards</w:t>
        </w:r>
      </w:hyperlink>
      <w:r w:rsidRPr="005B0796">
        <w:t>.</w:t>
      </w:r>
    </w:p>
    <w:p w:rsidR="001C1F34" w:rsidRPr="005B0796" w:rsidRDefault="001C1F34" w:rsidP="001C1F34">
      <w:pPr>
        <w:pStyle w:val="References"/>
        <w:spacing w:after="120"/>
      </w:pPr>
      <w:r w:rsidRPr="005B0796">
        <w:t xml:space="preserve">Dobson, A., Treloar, S., Zheng, W., Anderson, R., Bredhauer, K., Kanesarajah, J., Loos, C., Passmore, K. &amp; Waller, M. (2012). </w:t>
      </w:r>
      <w:r w:rsidRPr="005B0796">
        <w:rPr>
          <w:i/>
        </w:rPr>
        <w:t xml:space="preserve">The Middle East Area of Operations (MEAO) Health Study: Census Study Report. </w:t>
      </w:r>
      <w:r w:rsidRPr="005B0796">
        <w:t>Brisbane, Australia: The University of Queensland, Centre for Military and Veterans Health.</w:t>
      </w:r>
    </w:p>
    <w:p w:rsidR="001C1F34" w:rsidRPr="005B0796" w:rsidRDefault="001C1F34" w:rsidP="001C1F34">
      <w:pPr>
        <w:pStyle w:val="References"/>
        <w:spacing w:after="120"/>
      </w:pPr>
      <w:r w:rsidRPr="005B0796">
        <w:t xml:space="preserve">Drancourt, N., Etain, B., Lajnef, M., Henry, C., Raust, A., Cochet, B., Mathieu, F., Gard, S., MBailara, K. &amp; Zanouy, L. (2013). Duration of untreated bipolar disorder: missed opportunities on the long road to optimal treatment. </w:t>
      </w:r>
      <w:r w:rsidRPr="005B0796">
        <w:rPr>
          <w:i/>
        </w:rPr>
        <w:t>Acta Psychiatrica Scandinavica,</w:t>
      </w:r>
      <w:r w:rsidRPr="005B0796">
        <w:t xml:space="preserve"> 127 (2), 136–144.</w:t>
      </w:r>
    </w:p>
    <w:p w:rsidR="001C1F34" w:rsidRPr="005B0796" w:rsidRDefault="001C1F34" w:rsidP="001C1F34">
      <w:pPr>
        <w:pStyle w:val="References"/>
        <w:spacing w:after="120"/>
      </w:pPr>
      <w:r w:rsidRPr="005B0796">
        <w:t xml:space="preserve">Dunner, D. L. (2003). Clinical consequences of under-recognized bipolar spectrum disorder. </w:t>
      </w:r>
      <w:r w:rsidRPr="005B0796">
        <w:rPr>
          <w:i/>
        </w:rPr>
        <w:t>Bipolar Disorder,</w:t>
      </w:r>
      <w:r w:rsidRPr="005B0796">
        <w:t xml:space="preserve"> 5 (6), 456–463.</w:t>
      </w:r>
    </w:p>
    <w:p w:rsidR="001C1F34" w:rsidRPr="005B0796" w:rsidRDefault="001C1F34" w:rsidP="001C1F34">
      <w:pPr>
        <w:pStyle w:val="References"/>
        <w:spacing w:after="120"/>
      </w:pPr>
      <w:r w:rsidRPr="005B0796">
        <w:t xml:space="preserve">Dunt, D. R. (2009a). </w:t>
      </w:r>
      <w:r w:rsidRPr="005B0796">
        <w:rPr>
          <w:i/>
        </w:rPr>
        <w:t xml:space="preserve">Independent study into suicide in the ex-service community </w:t>
      </w:r>
      <w:r w:rsidRPr="005B0796">
        <w:t xml:space="preserve">[Online]. Victoria: Dunt Health Evaluation Services. Available: </w:t>
      </w:r>
      <w:hyperlink r:id="rId317" w:history="1">
        <w:r w:rsidRPr="005B0796">
          <w:rPr>
            <w:rStyle w:val="Hyperlink"/>
          </w:rPr>
          <w:t>https://www.dva.gov.au/sites/default/files/files/consultation%20and%20grants/healthstudies/Dunt%20Suicide%20Study%20Jan%202009.pdf</w:t>
        </w:r>
      </w:hyperlink>
      <w:r w:rsidRPr="005B0796">
        <w:t>.</w:t>
      </w:r>
    </w:p>
    <w:p w:rsidR="001C1F34" w:rsidRPr="005B0796" w:rsidRDefault="001C1F34" w:rsidP="001C1F34">
      <w:pPr>
        <w:pStyle w:val="References"/>
        <w:spacing w:after="120"/>
      </w:pPr>
      <w:r w:rsidRPr="005B0796">
        <w:t xml:space="preserve">Dunt, D. R. (2009b). </w:t>
      </w:r>
      <w:r w:rsidRPr="005B0796">
        <w:rPr>
          <w:i/>
        </w:rPr>
        <w:t xml:space="preserve">Review of mental health care in the ADF and transition through discharge. </w:t>
      </w:r>
      <w:r w:rsidRPr="005B0796">
        <w:t>Canberra: Department of Defence.</w:t>
      </w:r>
    </w:p>
    <w:p w:rsidR="001C1F34" w:rsidRPr="005B0796" w:rsidRDefault="001C1F34" w:rsidP="001C1F34">
      <w:pPr>
        <w:pStyle w:val="References"/>
        <w:spacing w:after="120"/>
      </w:pPr>
      <w:r w:rsidRPr="005B0796">
        <w:t xml:space="preserve">Fear, N. T., Jones, M., Murphy, D., Hull, L., Iversen, A. C., Coker, B., Machell, L., Sundin, J., Woodhead, C., Jones, N., Greenberg, N., Landau, S., Dandeker, C., Rona, R. J., Hotopf, M. &amp; Wessely, S. (2010). What are the consequences of deployment to Iraq and Afghanistan on the mental health of the UK armed forces? </w:t>
      </w:r>
      <w:r w:rsidRPr="005B0796">
        <w:rPr>
          <w:i/>
        </w:rPr>
        <w:t>Lancet,</w:t>
      </w:r>
      <w:r w:rsidRPr="005B0796">
        <w:t xml:space="preserve"> 375, 1783–1797.</w:t>
      </w:r>
    </w:p>
    <w:p w:rsidR="001C1F34" w:rsidRPr="005B0796" w:rsidRDefault="001C1F34" w:rsidP="001C1F34">
      <w:pPr>
        <w:pStyle w:val="References"/>
        <w:spacing w:after="120"/>
      </w:pPr>
      <w:r w:rsidRPr="005B0796">
        <w:t>Fear, N. T., Wood, D. &amp; Wessley, S. (2009). Health and social outcomes and health service experiences of UK military veterans. UK: The King</w:t>
      </w:r>
      <w:r w:rsidR="00462A0C" w:rsidRPr="005B0796">
        <w:t>’</w:t>
      </w:r>
      <w:r w:rsidRPr="005B0796">
        <w:t>s Centre for Military Health Research.</w:t>
      </w:r>
    </w:p>
    <w:p w:rsidR="001C1F34" w:rsidRPr="005B0796" w:rsidRDefault="001C1F34" w:rsidP="001C1F34">
      <w:pPr>
        <w:pStyle w:val="References"/>
        <w:spacing w:after="120"/>
      </w:pPr>
      <w:r w:rsidRPr="005B0796">
        <w:t xml:space="preserve">Fetzner, M. G., McMillan, K. A. &amp; Asmundson, G. J. (2012). Similarities in specific physical health disorder prevalence among formerly deployed Canadian forces veterans with full and subsyndromal PTSD. </w:t>
      </w:r>
      <w:r w:rsidRPr="005B0796">
        <w:rPr>
          <w:i/>
        </w:rPr>
        <w:t>Depression and Anxiety,</w:t>
      </w:r>
      <w:r w:rsidRPr="005B0796">
        <w:t xml:space="preserve"> 29 (11), 958–965. </w:t>
      </w:r>
    </w:p>
    <w:p w:rsidR="001C1F34" w:rsidRPr="005B0796" w:rsidRDefault="001C1F34" w:rsidP="001C1F34">
      <w:pPr>
        <w:pStyle w:val="References"/>
        <w:spacing w:after="120"/>
      </w:pPr>
      <w:r w:rsidRPr="005B0796">
        <w:t xml:space="preserve">Fichter, M. M., Kohlboeck , G. &amp; Quadflieg, N. (2008). The Upper Bavarian longitudinal community study 1975-2004. 2. Long-term course and outcome of depression. A controlled study. </w:t>
      </w:r>
      <w:r w:rsidRPr="005B0796">
        <w:rPr>
          <w:i/>
        </w:rPr>
        <w:t>European Archives of Psychiatry and Clinical Neuroscience,</w:t>
      </w:r>
      <w:r w:rsidRPr="005B0796">
        <w:t xml:space="preserve"> 258 (8), 476–488.</w:t>
      </w:r>
    </w:p>
    <w:p w:rsidR="001C1F34" w:rsidRPr="005B0796" w:rsidRDefault="001C1F34" w:rsidP="001C1F34">
      <w:pPr>
        <w:pStyle w:val="References"/>
        <w:spacing w:after="120"/>
      </w:pPr>
      <w:r w:rsidRPr="005B0796">
        <w:t xml:space="preserve">Fikretoglu, D., Blais, A.-R. &amp; Lam, Q. (2014). Development and validation of a new Theory of Planned Behavior Questionnaire for mental health service use. </w:t>
      </w:r>
      <w:r w:rsidRPr="005B0796">
        <w:rPr>
          <w:i/>
        </w:rPr>
        <w:t>Manuscript under revision</w:t>
      </w:r>
      <w:r w:rsidRPr="005B0796">
        <w:t>.</w:t>
      </w:r>
    </w:p>
    <w:p w:rsidR="001C1F34" w:rsidRPr="005B0796" w:rsidRDefault="001C1F34" w:rsidP="001C1F34">
      <w:pPr>
        <w:pStyle w:val="References"/>
        <w:spacing w:after="120"/>
      </w:pPr>
      <w:r w:rsidRPr="005B0796">
        <w:t xml:space="preserve">Forbes, D., Hawthorne, G., Elliott, P., McHugh, T., Biddle, D., Creamer, M. &amp; Novaco, R. W. (2004). A concise measure of anger in combat-related posttraumatic stress disorder. </w:t>
      </w:r>
      <w:r w:rsidRPr="005B0796">
        <w:rPr>
          <w:i/>
        </w:rPr>
        <w:t>Journal of Traumatic Stress,</w:t>
      </w:r>
      <w:r w:rsidRPr="005B0796">
        <w:t xml:space="preserve"> 17 (3), 249–256.</w:t>
      </w:r>
    </w:p>
    <w:p w:rsidR="001C1F34" w:rsidRPr="005B0796" w:rsidRDefault="001C1F34" w:rsidP="001C1F34">
      <w:pPr>
        <w:pStyle w:val="References"/>
        <w:spacing w:after="120"/>
      </w:pPr>
      <w:r w:rsidRPr="005B0796">
        <w:t xml:space="preserve">Forces in Mind Trust. (2013). </w:t>
      </w:r>
      <w:r w:rsidRPr="005B0796">
        <w:rPr>
          <w:i/>
        </w:rPr>
        <w:t xml:space="preserve">The transition mapping study: understanding the transition process for service personnel returning to civilian life. </w:t>
      </w:r>
      <w:r w:rsidRPr="005B0796">
        <w:t>London: Forces in Mind Trust.</w:t>
      </w:r>
    </w:p>
    <w:p w:rsidR="001C1F34" w:rsidRPr="005B0796" w:rsidRDefault="001C1F34" w:rsidP="001C1F34">
      <w:pPr>
        <w:pStyle w:val="References"/>
        <w:spacing w:after="120"/>
      </w:pPr>
      <w:r w:rsidRPr="005B0796">
        <w:t xml:space="preserve">Forrest, W., Edwards , B. &amp; Daraganova, G. (2014). </w:t>
      </w:r>
      <w:r w:rsidRPr="005B0796">
        <w:rPr>
          <w:i/>
        </w:rPr>
        <w:t xml:space="preserve">Vietnam Veterans Health Study. Volume 2, A Study of Health and Social Issues in Vietnam Veteran Sons and Daughters. </w:t>
      </w:r>
      <w:r w:rsidRPr="005B0796">
        <w:t>Melbourne: Australian Institute of Family Studies.</w:t>
      </w:r>
    </w:p>
    <w:p w:rsidR="001C1F34" w:rsidRPr="005B0796" w:rsidRDefault="001C1F34" w:rsidP="001C1F34">
      <w:pPr>
        <w:pStyle w:val="References"/>
        <w:spacing w:after="120"/>
      </w:pPr>
      <w:r w:rsidRPr="005B0796">
        <w:t xml:space="preserve">Fuehrlein, B. S., Mota, N., Arias, A. J., Trevisan, L. A., Kachadourian, L. K., Krystal, J. H., Southwick, S. M. &amp; Pietrzak, R. H. (2016). The burden of alcohol use disorders in US military veterans: results from the National Health and Resilience in Veterans Study. </w:t>
      </w:r>
      <w:r w:rsidRPr="005B0796">
        <w:rPr>
          <w:i/>
        </w:rPr>
        <w:t>Addiction,</w:t>
      </w:r>
      <w:r w:rsidRPr="005B0796">
        <w:t xml:space="preserve"> 111 (10), 17861794.</w:t>
      </w:r>
    </w:p>
    <w:p w:rsidR="001C1F34" w:rsidRPr="005B0796" w:rsidRDefault="001C1F34" w:rsidP="001C1F34">
      <w:pPr>
        <w:pStyle w:val="References"/>
        <w:spacing w:after="120"/>
      </w:pPr>
      <w:r w:rsidRPr="005B0796">
        <w:t xml:space="preserve">Fulton, J. J., Calhoun, P. S., Wagner, H., Schry, A. R., Hair, L. P., Feeling, N., Elbogen, E. &amp; Beckham, J. C. (2015). The prevalence of posttraumatic stress disorder in Operation Enduring Freedom/Operation Iraqi Freedom (OEF/OIF) veterans: A meta-analysis. </w:t>
      </w:r>
      <w:r w:rsidRPr="005B0796">
        <w:rPr>
          <w:i/>
        </w:rPr>
        <w:t>Journal of Anxiety Disorders,</w:t>
      </w:r>
      <w:r w:rsidRPr="005B0796">
        <w:t xml:space="preserve"> 31, 98–107.</w:t>
      </w:r>
    </w:p>
    <w:p w:rsidR="001C1F34" w:rsidRPr="005B0796" w:rsidRDefault="001C1F34" w:rsidP="001C1F34">
      <w:pPr>
        <w:pStyle w:val="References"/>
        <w:spacing w:after="120"/>
      </w:pPr>
      <w:r w:rsidRPr="005B0796">
        <w:t xml:space="preserve">Ghafoori, B., Neria, Y., Gameroff, M. J., Olfson, M., Lantigua, R., Shea, S. &amp; Weissman, M. M. (2009). Screening for generalized anxiety disorder symptoms in the wake of terrorist attacks: a study in primary care. </w:t>
      </w:r>
      <w:r w:rsidRPr="005B0796">
        <w:rPr>
          <w:i/>
        </w:rPr>
        <w:t>Journal of Traumatic Stress,</w:t>
      </w:r>
      <w:r w:rsidRPr="005B0796">
        <w:t xml:space="preserve"> 22 (3), 218–226.</w:t>
      </w:r>
    </w:p>
    <w:p w:rsidR="001C1F34" w:rsidRPr="005B0796" w:rsidRDefault="001C1F34" w:rsidP="001C1F34">
      <w:pPr>
        <w:pStyle w:val="References"/>
        <w:spacing w:after="120"/>
      </w:pPr>
      <w:r w:rsidRPr="005B0796">
        <w:t xml:space="preserve">Giebel, C. M., Clarkson, P. &amp; Challis, D. (2014). Demographic and clinical characteristics of UK military veterans attending a psychological therapies service. </w:t>
      </w:r>
      <w:r w:rsidRPr="005B0796">
        <w:rPr>
          <w:i/>
        </w:rPr>
        <w:t>Psychiatric Bulletin (2014),</w:t>
      </w:r>
      <w:r w:rsidRPr="005B0796">
        <w:t xml:space="preserve"> 38 (6), 270–275.</w:t>
      </w:r>
    </w:p>
    <w:p w:rsidR="001C1F34" w:rsidRPr="005B0796" w:rsidRDefault="001C1F34" w:rsidP="001C1F34">
      <w:pPr>
        <w:pStyle w:val="References"/>
        <w:spacing w:after="120"/>
      </w:pPr>
      <w:r w:rsidRPr="005B0796">
        <w:t xml:space="preserve">Gilbody, S., Richards, D., Brealey, S. &amp; Hewitt, C. (2007). Screening for depression in medical settings with the Patient Health Questionnaire (PHQ): a diagnostic meta-analysis. </w:t>
      </w:r>
      <w:r w:rsidRPr="005B0796">
        <w:rPr>
          <w:i/>
        </w:rPr>
        <w:t>Journal of General Internal Medicine,</w:t>
      </w:r>
      <w:r w:rsidRPr="005B0796">
        <w:t xml:space="preserve"> 22 (11), 1596–1602.</w:t>
      </w:r>
    </w:p>
    <w:p w:rsidR="001C1F34" w:rsidRPr="005B0796" w:rsidRDefault="001C1F34" w:rsidP="001C1F34">
      <w:pPr>
        <w:pStyle w:val="References"/>
        <w:spacing w:after="120"/>
      </w:pPr>
      <w:r w:rsidRPr="005B0796">
        <w:t xml:space="preserve">Goes, F. S. (2016). Genetics of bipolar disorder: recent update and future directions. </w:t>
      </w:r>
      <w:r w:rsidRPr="005B0796">
        <w:rPr>
          <w:i/>
        </w:rPr>
        <w:t>Psychiatric Clinics of North America,</w:t>
      </w:r>
      <w:r w:rsidRPr="005B0796">
        <w:t xml:space="preserve"> 39 (1), 139–155.</w:t>
      </w:r>
    </w:p>
    <w:p w:rsidR="001C1F34" w:rsidRPr="005B0796" w:rsidRDefault="001C1F34" w:rsidP="001C1F34">
      <w:pPr>
        <w:pStyle w:val="References"/>
        <w:spacing w:after="120"/>
      </w:pPr>
      <w:r w:rsidRPr="005B0796">
        <w:t xml:space="preserve">Gola, H., Engler, H., Sommershof, A., Adenauer, H., Kolassa, S., Schedlowski, M., Groettrup, M., Elbert, T. &amp; Kolassa, I.-T. (2013). Posttraumatic stress disorder is associated with an enhanced spontaneous production of pro-inflammatory cytokines by peripheral blood mononuclear cells. </w:t>
      </w:r>
      <w:r w:rsidRPr="005B0796">
        <w:rPr>
          <w:i/>
        </w:rPr>
        <w:t>BMC Psychiatry,</w:t>
      </w:r>
      <w:r w:rsidRPr="005B0796">
        <w:t xml:space="preserve"> 13 (1), 40.</w:t>
      </w:r>
    </w:p>
    <w:p w:rsidR="001C1F34" w:rsidRPr="005B0796" w:rsidRDefault="001C1F34" w:rsidP="001C1F34">
      <w:pPr>
        <w:pStyle w:val="References"/>
        <w:spacing w:after="120"/>
      </w:pPr>
      <w:r w:rsidRPr="005B0796">
        <w:t xml:space="preserve">Goldstein, B. I. &amp; Levitt, A. J. (2007). Prevalence and correlates of bipolar I disorder among adults with primary youth-onset anxiety disorders. </w:t>
      </w:r>
      <w:r w:rsidRPr="005B0796">
        <w:rPr>
          <w:i/>
        </w:rPr>
        <w:t>Journal of Affective Disorders,</w:t>
      </w:r>
      <w:r w:rsidRPr="005B0796">
        <w:t xml:space="preserve"> 103 (1), 187–195.</w:t>
      </w:r>
    </w:p>
    <w:p w:rsidR="001C1F34" w:rsidRPr="005B0796" w:rsidRDefault="001C1F34" w:rsidP="001C1F34">
      <w:pPr>
        <w:pStyle w:val="References"/>
        <w:spacing w:after="120"/>
      </w:pPr>
      <w:r w:rsidRPr="005B0796">
        <w:t xml:space="preserve">Golub, A. &amp; Bennett, A. S. (2014). Substance use over the military-veteran life course: an analysis of a sample of OEF/OIF veterans returning to low-income predominately minority communities. </w:t>
      </w:r>
      <w:r w:rsidRPr="005B0796">
        <w:rPr>
          <w:i/>
        </w:rPr>
        <w:t>Addictive Behavavoirs,</w:t>
      </w:r>
      <w:r w:rsidRPr="005B0796">
        <w:t xml:space="preserve"> 39 (2), 449–454.</w:t>
      </w:r>
    </w:p>
    <w:p w:rsidR="001C1F34" w:rsidRPr="005B0796" w:rsidRDefault="001C1F34" w:rsidP="001C1F34">
      <w:pPr>
        <w:pStyle w:val="References"/>
        <w:spacing w:after="120"/>
      </w:pPr>
      <w:r w:rsidRPr="005B0796">
        <w:t xml:space="preserve">Goodwin, R. D., Lieb, R., Hoefler, M., Pfister, H., Bittner, A., Beesdo, K. &amp; Wittchen, H.-U. (2004). Panic attack as a risk factor for severe psychopathology. </w:t>
      </w:r>
      <w:r w:rsidRPr="005B0796">
        <w:rPr>
          <w:i/>
        </w:rPr>
        <w:t>American Journal of Psychiatry,</w:t>
      </w:r>
      <w:r w:rsidRPr="005B0796">
        <w:t xml:space="preserve"> 161 (12), 2207–2214.</w:t>
      </w:r>
    </w:p>
    <w:p w:rsidR="001C1F34" w:rsidRPr="005B0796" w:rsidRDefault="001C1F34" w:rsidP="001C1F34">
      <w:pPr>
        <w:pStyle w:val="References"/>
        <w:spacing w:after="120"/>
      </w:pPr>
      <w:r w:rsidRPr="005B0796">
        <w:t xml:space="preserve">Gouvier, W. D., Cubic, B., Jones, G., Brantley, P. &amp; Cutlip, Q. (1992). Postconcussion symptoms and daily stress in normal and head injured college populations. </w:t>
      </w:r>
      <w:r w:rsidRPr="005B0796">
        <w:rPr>
          <w:i/>
        </w:rPr>
        <w:t>Archives of Clinical Neuropsychology,</w:t>
      </w:r>
      <w:r w:rsidRPr="005B0796">
        <w:t xml:space="preserve"> 7, 193–211.</w:t>
      </w:r>
    </w:p>
    <w:p w:rsidR="001C1F34" w:rsidRPr="005B0796" w:rsidRDefault="001C1F34" w:rsidP="001C1F34">
      <w:pPr>
        <w:pStyle w:val="References"/>
        <w:spacing w:after="120"/>
      </w:pPr>
      <w:r w:rsidRPr="005B0796">
        <w:t xml:space="preserve">Gray, M., &amp; Sanson, A. (2005). Growing up in Australia: The Longitudinal Study of Australian Children. </w:t>
      </w:r>
      <w:r w:rsidRPr="005B0796">
        <w:rPr>
          <w:i/>
        </w:rPr>
        <w:t>Family Matters,</w:t>
      </w:r>
      <w:r w:rsidRPr="005B0796">
        <w:t xml:space="preserve"> 72, 4–9.</w:t>
      </w:r>
    </w:p>
    <w:p w:rsidR="001C1F34" w:rsidRPr="005B0796" w:rsidRDefault="001C1F34" w:rsidP="001C1F34">
      <w:pPr>
        <w:pStyle w:val="References"/>
        <w:spacing w:after="120"/>
      </w:pPr>
      <w:r w:rsidRPr="005B0796">
        <w:t xml:space="preserve">Haller, H., Cramer, H., Lauche, R., Gass, F. &amp; Dobos, G. J. (2014). The prevalence and burden of subthreshold generalized anxiety disorder: a systematic review. </w:t>
      </w:r>
      <w:r w:rsidRPr="005B0796">
        <w:rPr>
          <w:i/>
        </w:rPr>
        <w:t>BMC Psychiatry,</w:t>
      </w:r>
      <w:r w:rsidRPr="005B0796">
        <w:t xml:space="preserve"> 14, 128.</w:t>
      </w:r>
    </w:p>
    <w:p w:rsidR="001C1F34" w:rsidRPr="005B0796" w:rsidRDefault="001C1F34" w:rsidP="001C1F34">
      <w:pPr>
        <w:pStyle w:val="References"/>
        <w:spacing w:after="120"/>
      </w:pPr>
      <w:r w:rsidRPr="005B0796">
        <w:t xml:space="preserve">Haller, M., Angkaw, A. C., Hendricks, B. A. &amp; Norman, S. B. (2016). Does reintegration stress contribute to suicidal ideation among returning veterans seeking PTSD treatment? </w:t>
      </w:r>
      <w:r w:rsidRPr="005B0796">
        <w:rPr>
          <w:i/>
        </w:rPr>
        <w:t>Suicide and Life-Threatening Behavior,</w:t>
      </w:r>
      <w:r w:rsidRPr="005B0796">
        <w:t xml:space="preserve"> 46 (2), 160–171.</w:t>
      </w:r>
    </w:p>
    <w:p w:rsidR="001C1F34" w:rsidRPr="005B0796" w:rsidRDefault="001C1F34" w:rsidP="001C1F34">
      <w:pPr>
        <w:pStyle w:val="References"/>
        <w:spacing w:after="120"/>
      </w:pPr>
      <w:r w:rsidRPr="005B0796">
        <w:t xml:space="preserve">Haller, M. &amp; Chassin, L. (2014). Risk pathways among traumatic stress, posttraumatic stress disorder symptoms, and alcohol and drug problems: A test of four hypotheses. </w:t>
      </w:r>
      <w:r w:rsidRPr="005B0796">
        <w:rPr>
          <w:i/>
        </w:rPr>
        <w:t>Psychology of Addictive Behaviors,</w:t>
      </w:r>
      <w:r w:rsidRPr="005B0796">
        <w:t xml:space="preserve"> 28 (3), 841–851.</w:t>
      </w:r>
    </w:p>
    <w:p w:rsidR="001C1F34" w:rsidRPr="005B0796" w:rsidRDefault="001C1F34" w:rsidP="001C1F34">
      <w:pPr>
        <w:pStyle w:val="References"/>
        <w:spacing w:after="120"/>
      </w:pPr>
      <w:r w:rsidRPr="005B0796">
        <w:t xml:space="preserve">Halpern, J., Maunder, R. G., Schwartz, B. &amp; Gurevich, M. (2011). Identifying risk of emotional sequelae after critical incidents. </w:t>
      </w:r>
      <w:r w:rsidRPr="005B0796">
        <w:rPr>
          <w:i/>
        </w:rPr>
        <w:t>Emergency Medicine Journal,</w:t>
      </w:r>
      <w:r w:rsidRPr="005B0796">
        <w:t xml:space="preserve"> 28 (1), 51–56.</w:t>
      </w:r>
    </w:p>
    <w:p w:rsidR="001C1F34" w:rsidRPr="005B0796" w:rsidRDefault="001C1F34" w:rsidP="001C1F34">
      <w:pPr>
        <w:pStyle w:val="References"/>
        <w:spacing w:after="120"/>
      </w:pPr>
      <w:r w:rsidRPr="005B0796">
        <w:t xml:space="preserve">Haro, J. M., Arbabzadeh-Bouchez, S., Brugha, T. S., De Girolamo, G., Guyer, M. E., Jin, R., Lepine, J. P., Mazzi, F., Reneses, B., Vilagut, G., Sampson, N. A. &amp; Kessler, R. C. (2006). Concordance of the Composite International Diagnostic Interview Version 3.0 (CIDI 3.0) with standardized clinical assessments in the WHO World Mental Health Surveys. </w:t>
      </w:r>
      <w:r w:rsidRPr="005B0796">
        <w:rPr>
          <w:i/>
        </w:rPr>
        <w:t>International Journal of Methods in Psychiatric Research,</w:t>
      </w:r>
      <w:r w:rsidRPr="005B0796">
        <w:t xml:space="preserve"> 15 (4), 167–180.</w:t>
      </w:r>
    </w:p>
    <w:p w:rsidR="001C1F34" w:rsidRPr="005B0796" w:rsidRDefault="001C1F34" w:rsidP="001C1F34">
      <w:pPr>
        <w:pStyle w:val="References"/>
        <w:spacing w:after="120"/>
      </w:pPr>
      <w:r w:rsidRPr="005B0796">
        <w:t xml:space="preserve">Harvey, S. B., Hatch, S. L., Jones, M., Hull, L., Jones, N., Greenberg, N., Dandeker, C., Fear, N. T. &amp; Wessely, S. (2011). Coming home: social functioning and the mental health of UK reservists on return from deployment to Iraq or Afghanistan. </w:t>
      </w:r>
      <w:r w:rsidRPr="005B0796">
        <w:rPr>
          <w:i/>
        </w:rPr>
        <w:t>Annals of Epidemiology,</w:t>
      </w:r>
      <w:r w:rsidRPr="005B0796">
        <w:t xml:space="preserve"> 21 (9), 666–672.</w:t>
      </w:r>
    </w:p>
    <w:p w:rsidR="001C1F34" w:rsidRPr="005B0796" w:rsidRDefault="001C1F34" w:rsidP="001C1F34">
      <w:pPr>
        <w:pStyle w:val="References"/>
        <w:spacing w:after="120"/>
      </w:pPr>
      <w:r w:rsidRPr="005B0796">
        <w:t xml:space="preserve">Hatch, S. L., Harvey, S. B., Dandeker, C., Burdett, H., Greenberg, N., Fear, N. T. &amp; Wessely, S. (2013). Life in and after the Armed Forces: social networks and mental health in the UK military. </w:t>
      </w:r>
      <w:r w:rsidRPr="005B0796">
        <w:rPr>
          <w:i/>
        </w:rPr>
        <w:t>Sociology of Health and Illness,</w:t>
      </w:r>
      <w:r w:rsidRPr="005B0796">
        <w:t xml:space="preserve"> 35 (7), 1045–1064.</w:t>
      </w:r>
    </w:p>
    <w:p w:rsidR="001C1F34" w:rsidRPr="005B0796" w:rsidRDefault="001C1F34" w:rsidP="001C1F34">
      <w:pPr>
        <w:pStyle w:val="References"/>
        <w:spacing w:after="120"/>
      </w:pPr>
      <w:r w:rsidRPr="005B0796">
        <w:t xml:space="preserve">Heinzelmann, M. &amp; Gill, J. (2013). Epigenetic mechanisms shape the biological response to trauma and risk for PTSD: a critical review. </w:t>
      </w:r>
      <w:r w:rsidRPr="005B0796">
        <w:rPr>
          <w:i/>
        </w:rPr>
        <w:t>Nursing research and practice,</w:t>
      </w:r>
      <w:r w:rsidRPr="005B0796">
        <w:t xml:space="preserve"> 2013.</w:t>
      </w:r>
    </w:p>
    <w:p w:rsidR="001C1F34" w:rsidRPr="005B0796" w:rsidRDefault="001C1F34" w:rsidP="001C1F34">
      <w:pPr>
        <w:pStyle w:val="References"/>
        <w:spacing w:after="120"/>
      </w:pPr>
      <w:r w:rsidRPr="005B0796">
        <w:t xml:space="preserve">Hoggatt, K. J., Williams, E. C., Der-Martirosian, C., Yano, E. M. &amp; Washington, D. L. (2015). National prevalence and correlates of alcohol misuse in women veterans. </w:t>
      </w:r>
      <w:r w:rsidRPr="005B0796">
        <w:rPr>
          <w:i/>
        </w:rPr>
        <w:t>Journal of Substance Abuse Treatment,</w:t>
      </w:r>
      <w:r w:rsidRPr="005B0796">
        <w:t xml:space="preserve"> 52, 10–16-Correct?-EG.</w:t>
      </w:r>
    </w:p>
    <w:p w:rsidR="001C1F34" w:rsidRPr="005B0796" w:rsidRDefault="001C1F34" w:rsidP="001C1F34">
      <w:pPr>
        <w:pStyle w:val="References"/>
        <w:spacing w:after="120"/>
      </w:pPr>
      <w:r w:rsidRPr="005B0796">
        <w:t xml:space="preserve">Hourani, L., Bender, R. H., Weimer, B., Peeler, R., Bradshaw, M., Lane, M. &amp; Larson, G. (2012). Longitudinal study of resilience and mental health in marines leaving military service. </w:t>
      </w:r>
      <w:r w:rsidRPr="005B0796">
        <w:rPr>
          <w:i/>
        </w:rPr>
        <w:t>Journal of Affective Disorders,</w:t>
      </w:r>
      <w:r w:rsidRPr="005B0796">
        <w:t xml:space="preserve"> 139 (2), 154–165.</w:t>
      </w:r>
    </w:p>
    <w:p w:rsidR="001C1F34" w:rsidRPr="005B0796" w:rsidRDefault="001C1F34" w:rsidP="001C1F34">
      <w:pPr>
        <w:pStyle w:val="References"/>
        <w:spacing w:after="120"/>
      </w:pPr>
      <w:r w:rsidRPr="005B0796">
        <w:t xml:space="preserve">Hruska, B., Irish, L. A., Pacella, M. L., Sledjeski, E. M. &amp; Delahanty, D. L. (2014). PTSD symptom severity and psychiatric comorbidity in recent motor vehicle accident victims: A latent class analysis. </w:t>
      </w:r>
      <w:r w:rsidRPr="005B0796">
        <w:rPr>
          <w:i/>
        </w:rPr>
        <w:t>Journal of Anxiety Disorders,</w:t>
      </w:r>
      <w:r w:rsidRPr="005B0796">
        <w:t xml:space="preserve"> 28 (7), 644–649.</w:t>
      </w:r>
    </w:p>
    <w:p w:rsidR="001C1F34" w:rsidRPr="005B0796" w:rsidRDefault="001C1F34" w:rsidP="001C1F34">
      <w:pPr>
        <w:pStyle w:val="References"/>
        <w:spacing w:after="120"/>
      </w:pPr>
      <w:r w:rsidRPr="005B0796">
        <w:t xml:space="preserve">Interian, A., Kline, A., Callahan, L. &amp; Losonczy, M. (2012). Readjustment stressors and early mental health treatment seeking by returning National Guard soldiers with PTSD. </w:t>
      </w:r>
      <w:r w:rsidRPr="005B0796">
        <w:rPr>
          <w:i/>
        </w:rPr>
        <w:t>Psychiatric Services,</w:t>
      </w:r>
      <w:r w:rsidRPr="005B0796">
        <w:t xml:space="preserve"> 63 (9), 855–861.</w:t>
      </w:r>
    </w:p>
    <w:p w:rsidR="001C1F34" w:rsidRPr="005B0796" w:rsidRDefault="001C1F34" w:rsidP="001C1F34">
      <w:pPr>
        <w:pStyle w:val="References"/>
        <w:spacing w:after="120"/>
      </w:pPr>
      <w:r w:rsidRPr="005B0796">
        <w:t>IOM (Institute of Medicine). (2013). Returning home from Iraq and Afghanistan: Assessment of readjustment needs of veterans, service members and their families. Washington DC: The National Academies Press.</w:t>
      </w:r>
    </w:p>
    <w:p w:rsidR="001C1F34" w:rsidRPr="005B0796" w:rsidRDefault="001C1F34" w:rsidP="001C1F34">
      <w:pPr>
        <w:pStyle w:val="References"/>
        <w:spacing w:after="120"/>
      </w:pPr>
      <w:r w:rsidRPr="005B0796">
        <w:t xml:space="preserve">IPAQ. 2002. </w:t>
      </w:r>
      <w:r w:rsidRPr="005B0796">
        <w:rPr>
          <w:i/>
        </w:rPr>
        <w:t xml:space="preserve">The International Physical Activity Questionniare </w:t>
      </w:r>
      <w:r w:rsidRPr="005B0796">
        <w:t>[Online]. Accessed 8 November 2016.</w:t>
      </w:r>
    </w:p>
    <w:p w:rsidR="001C1F34" w:rsidRPr="005B0796" w:rsidRDefault="001C1F34" w:rsidP="001C1F34">
      <w:pPr>
        <w:pStyle w:val="References"/>
        <w:spacing w:after="120"/>
      </w:pPr>
      <w:r w:rsidRPr="005B0796">
        <w:t xml:space="preserve">Available: </w:t>
      </w:r>
      <w:hyperlink r:id="rId318" w:history="1">
        <w:r w:rsidRPr="005B0796">
          <w:rPr>
            <w:rStyle w:val="Hyperlink"/>
          </w:rPr>
          <w:t>www.ipaq.ki.se</w:t>
        </w:r>
      </w:hyperlink>
      <w:r w:rsidRPr="005B0796">
        <w:t xml:space="preserve">. </w:t>
      </w:r>
    </w:p>
    <w:p w:rsidR="001C1F34" w:rsidRPr="005B0796" w:rsidRDefault="001C1F34" w:rsidP="001C1F34">
      <w:pPr>
        <w:pStyle w:val="References"/>
        <w:spacing w:after="120"/>
      </w:pPr>
      <w:r w:rsidRPr="005B0796">
        <w:t xml:space="preserve">Iversen, A., Dyson, C., Smith, N., Greenberg, N., Walwyn, R., Unwin, C., Hull, L., Hotopf, M., Dandeker, C., Ross, J. &amp; Wessely, S. (2005a). </w:t>
      </w:r>
      <w:r w:rsidR="00462A0C" w:rsidRPr="005B0796">
        <w:t>‘</w:t>
      </w:r>
      <w:r w:rsidRPr="005B0796">
        <w:t>Goodbye and good luck</w:t>
      </w:r>
      <w:r w:rsidR="00462A0C" w:rsidRPr="005B0796">
        <w:t>’</w:t>
      </w:r>
      <w:r w:rsidRPr="005B0796">
        <w:t xml:space="preserve">: the mental health needs and treatment experiences of British ex-service personnel. </w:t>
      </w:r>
      <w:r w:rsidRPr="005B0796">
        <w:rPr>
          <w:i/>
        </w:rPr>
        <w:t>British Journal of Psychiatry,</w:t>
      </w:r>
      <w:r w:rsidRPr="005B0796">
        <w:t xml:space="preserve"> 186, 480–486.</w:t>
      </w:r>
    </w:p>
    <w:p w:rsidR="001C1F34" w:rsidRPr="005B0796" w:rsidRDefault="001C1F34" w:rsidP="001C1F34">
      <w:pPr>
        <w:pStyle w:val="References"/>
        <w:spacing w:after="120"/>
      </w:pPr>
      <w:r w:rsidRPr="005B0796">
        <w:t xml:space="preserve">Iversen, A., Nikolaou, V., Greenberg, N., Unwin, C., Hull, L., Hotopf, M., Dandeker, C., Ross, J. &amp; Wessely, S. (2005b). What happens to British veterans when they leave the armed forces? </w:t>
      </w:r>
      <w:r w:rsidRPr="005B0796">
        <w:rPr>
          <w:i/>
        </w:rPr>
        <w:t>European Journal of Public Health,</w:t>
      </w:r>
      <w:r w:rsidRPr="005B0796">
        <w:t xml:space="preserve"> 15 (2), 175–184.</w:t>
      </w:r>
    </w:p>
    <w:p w:rsidR="001C1F34" w:rsidRPr="005B0796" w:rsidRDefault="001C1F34" w:rsidP="001C1F34">
      <w:pPr>
        <w:pStyle w:val="References"/>
        <w:spacing w:after="120"/>
      </w:pPr>
      <w:r w:rsidRPr="005B0796">
        <w:t xml:space="preserve">Iversen, A. C., Fear, N. T., Simonoff, E., Hull, L., Horn, O., Greenberg, N., Hotopf, M., Rona, R. &amp; Wessely, S. (2007). Influence of childhood adversity on health among male UK military personnel. </w:t>
      </w:r>
      <w:r w:rsidRPr="005B0796">
        <w:rPr>
          <w:i/>
        </w:rPr>
        <w:t>British Journal of Psychiatry,</w:t>
      </w:r>
      <w:r w:rsidRPr="005B0796">
        <w:t xml:space="preserve"> 191 (6), 506–511.</w:t>
      </w:r>
    </w:p>
    <w:p w:rsidR="001C1F34" w:rsidRPr="005B0796" w:rsidRDefault="001C1F34" w:rsidP="001C1F34">
      <w:pPr>
        <w:pStyle w:val="References"/>
        <w:spacing w:after="120"/>
      </w:pPr>
      <w:r w:rsidRPr="005B0796">
        <w:t xml:space="preserve">Iversen, A. C., van Staden, L., Hughes, J. H., Browne, T., Hull, L., Hall, J., Greenberg, N., Rona, R. J., Hotopf, M., Wessely, S. &amp; Fear, N. T. (2009). The prevalence of common mental disorders and PTSD in the UK military: Using data from a clinical interview-based study. </w:t>
      </w:r>
      <w:r w:rsidRPr="005B0796">
        <w:rPr>
          <w:i/>
        </w:rPr>
        <w:t>BMC Psychiatry,</w:t>
      </w:r>
      <w:r w:rsidRPr="005B0796">
        <w:t xml:space="preserve"> 9.</w:t>
      </w:r>
    </w:p>
    <w:p w:rsidR="001C1F34" w:rsidRPr="005B0796" w:rsidRDefault="001C1F34" w:rsidP="001C1F34">
      <w:pPr>
        <w:pStyle w:val="References"/>
        <w:spacing w:after="120"/>
      </w:pPr>
      <w:r w:rsidRPr="005B0796">
        <w:t xml:space="preserve">Jacobsen, L. K., Southwick, S. M. &amp; Kosten, T. R. (2001). Substance use disorders in patients with posttraumatic stress disorder: a review of the literature. </w:t>
      </w:r>
      <w:r w:rsidRPr="005B0796">
        <w:rPr>
          <w:i/>
        </w:rPr>
        <w:t>American Journal of Psychiatry,</w:t>
      </w:r>
      <w:r w:rsidRPr="005B0796">
        <w:t xml:space="preserve"> 158 (8), 1184–1190.</w:t>
      </w:r>
    </w:p>
    <w:p w:rsidR="001C1F34" w:rsidRPr="005B0796" w:rsidRDefault="001C1F34" w:rsidP="001C1F34">
      <w:pPr>
        <w:pStyle w:val="References"/>
        <w:spacing w:after="120"/>
      </w:pPr>
      <w:r w:rsidRPr="005B0796">
        <w:t xml:space="preserve">Jakupcak, M., Conybeare, D., Phelps, L., Hunt, S., Holmes, H. A., Felker, B., Klevens, M. &amp; McFall, M. E. (2007). Anger, hostility, and aggression among Iraq and Afghanistan war veterans reporting PTSD and subthreshold PTSD. </w:t>
      </w:r>
      <w:r w:rsidRPr="005B0796">
        <w:rPr>
          <w:i/>
        </w:rPr>
        <w:t>Journal of Traumatic Stress,</w:t>
      </w:r>
      <w:r w:rsidRPr="005B0796">
        <w:t xml:space="preserve"> 20 (6), 945–954.</w:t>
      </w:r>
    </w:p>
    <w:p w:rsidR="001C1F34" w:rsidRPr="005B0796" w:rsidRDefault="001C1F34" w:rsidP="001C1F34">
      <w:pPr>
        <w:pStyle w:val="References"/>
        <w:spacing w:after="120"/>
      </w:pPr>
      <w:r w:rsidRPr="005B0796">
        <w:t xml:space="preserve">Johnston, D. W., Shields, M. A. &amp; Siminski, P. (2016). Long-term health effects of Vietnam-era military service: A quasi-experiment using Australian conscription lotteries. </w:t>
      </w:r>
      <w:r w:rsidRPr="005B0796">
        <w:rPr>
          <w:i/>
        </w:rPr>
        <w:t>Journal of health economics,</w:t>
      </w:r>
      <w:r w:rsidRPr="005B0796">
        <w:t xml:space="preserve"> 45, 12–26.</w:t>
      </w:r>
    </w:p>
    <w:p w:rsidR="001C1F34" w:rsidRPr="005B0796" w:rsidRDefault="001C1F34" w:rsidP="001C1F34">
      <w:pPr>
        <w:pStyle w:val="References"/>
        <w:spacing w:after="120"/>
      </w:pPr>
      <w:r w:rsidRPr="005B0796">
        <w:t xml:space="preserve">Jones, M., Sundin, J., Goodwin, L., Hull, L., Fear, N. T., Wessely, S. &amp; Rona, R. J. (2013). What explains post-traumatic stress disorder (PTSD) in UK service personnel: deployment or something else? </w:t>
      </w:r>
      <w:r w:rsidRPr="005B0796">
        <w:rPr>
          <w:i/>
        </w:rPr>
        <w:t>Psychological Medicine,</w:t>
      </w:r>
      <w:r w:rsidRPr="005B0796">
        <w:t xml:space="preserve"> 43 (8), 1703–1712.</w:t>
      </w:r>
    </w:p>
    <w:p w:rsidR="001C1F34" w:rsidRPr="005B0796" w:rsidRDefault="001C1F34" w:rsidP="001C1F34">
      <w:pPr>
        <w:pStyle w:val="References"/>
        <w:spacing w:after="120"/>
      </w:pPr>
      <w:r w:rsidRPr="005B0796">
        <w:t xml:space="preserve">Judd, L. L., Paulus , M., Wells, K. B. &amp; Rapaport, M. (1996). Socioeconomic burden of subsyndromal depressive symptoms and major depression in a sample of the general population. </w:t>
      </w:r>
      <w:r w:rsidRPr="005B0796">
        <w:rPr>
          <w:i/>
        </w:rPr>
        <w:t>American Journal of Psychiatry,</w:t>
      </w:r>
      <w:r w:rsidRPr="005B0796">
        <w:t xml:space="preserve"> 153 (11), 1411–1417.</w:t>
      </w:r>
    </w:p>
    <w:p w:rsidR="001C1F34" w:rsidRPr="005B0796" w:rsidRDefault="001C1F34" w:rsidP="001C1F34">
      <w:pPr>
        <w:pStyle w:val="References"/>
        <w:spacing w:after="120"/>
      </w:pPr>
      <w:r w:rsidRPr="005B0796">
        <w:t xml:space="preserve">Kapur, N., While, D., Blatchley, N., Bray, I. &amp; Harrison, K. (2009). Suicide after leaving the UK armed forces – a cohort study. </w:t>
      </w:r>
      <w:r w:rsidRPr="005B0796">
        <w:rPr>
          <w:i/>
        </w:rPr>
        <w:t>PLOS Med,</w:t>
      </w:r>
      <w:r w:rsidRPr="005B0796">
        <w:t xml:space="preserve"> 6 (3), e26.</w:t>
      </w:r>
    </w:p>
    <w:p w:rsidR="001C1F34" w:rsidRPr="005B0796" w:rsidRDefault="001C1F34" w:rsidP="001C1F34">
      <w:pPr>
        <w:pStyle w:val="References"/>
        <w:spacing w:after="120"/>
      </w:pPr>
      <w:r w:rsidRPr="005B0796">
        <w:t xml:space="preserve">Karam, E. G., Friedman, M. J., Hill, E. D., Kessler, R. C., McLaughlin, K. A., Petukhova, M., Sampson, L., Shahly, V., Angermeyer, M. C., Bromet, E. J., de Girolamo, G., de Graaf, R., Demyttenaere, K., Ferry, F., Florescu, S. E., Haro, J. M., He, Y., Karam, A. N., Kawakami, N., Kovess-Masfety, V., Medina-Mora, M. E., Browne, M. A., Posada-Villa, J. A., Shalev, A. Y., Stein, D. J., Viana, M. C., Zarkov, Z. &amp; Koenen, K. C. (2014). Cumulative traumas and risk thresholds: 12-month PTSD in the World Mental Health (WMH) surveys. </w:t>
      </w:r>
      <w:r w:rsidRPr="005B0796">
        <w:rPr>
          <w:i/>
        </w:rPr>
        <w:t>Depression and Anxiety,</w:t>
      </w:r>
      <w:r w:rsidRPr="005B0796">
        <w:t xml:space="preserve"> 31 (2), 130–142.</w:t>
      </w:r>
    </w:p>
    <w:p w:rsidR="001C1F34" w:rsidRPr="005B0796" w:rsidRDefault="001C1F34" w:rsidP="001C1F34">
      <w:pPr>
        <w:pStyle w:val="References"/>
        <w:spacing w:after="120"/>
      </w:pPr>
      <w:r w:rsidRPr="005B0796">
        <w:t xml:space="preserve">Karsten, J., Nolen, W., Penninx , B. W. &amp; Hartman, C. (2011). Subthreshold anxiety better defined by symptom self-report than by diagnostic interview. </w:t>
      </w:r>
      <w:r w:rsidRPr="005B0796">
        <w:rPr>
          <w:i/>
        </w:rPr>
        <w:t>Journal of Affective Disorders,</w:t>
      </w:r>
      <w:r w:rsidRPr="005B0796">
        <w:t xml:space="preserve"> 129 (1–3), 236–243.</w:t>
      </w:r>
    </w:p>
    <w:p w:rsidR="001C1F34" w:rsidRPr="005B0796" w:rsidRDefault="001C1F34" w:rsidP="001C1F34">
      <w:pPr>
        <w:pStyle w:val="References"/>
        <w:spacing w:after="120"/>
      </w:pPr>
      <w:r w:rsidRPr="005B0796">
        <w:t xml:space="preserve">Karsten, J., Penninx , B. W., Verboom, C., Nolen, W. &amp; Hartman, C. (2013). Course and risk factors of functional impairment in subthreshold depression and anxiety. </w:t>
      </w:r>
      <w:r w:rsidRPr="005B0796">
        <w:rPr>
          <w:i/>
        </w:rPr>
        <w:t>Depression and Anxiety,</w:t>
      </w:r>
      <w:r w:rsidRPr="005B0796">
        <w:t xml:space="preserve"> 30 (4), 386–394.</w:t>
      </w:r>
    </w:p>
    <w:p w:rsidR="001C1F34" w:rsidRPr="005B0796" w:rsidRDefault="001C1F34" w:rsidP="001C1F34">
      <w:pPr>
        <w:pStyle w:val="References"/>
        <w:spacing w:after="120"/>
      </w:pPr>
      <w:r w:rsidRPr="005B0796">
        <w:t xml:space="preserve">Kessler, R. C., Andrews, G., Colpe, L. J., Hiripi, E., Mroczek, D. K., Normand, S. L. T., Walters, E. E. &amp; Zaslaversusky, A. M. (2002). Short screening scales to monitor population prevalences and trends in non-specific psychological distress. </w:t>
      </w:r>
      <w:r w:rsidRPr="005B0796">
        <w:rPr>
          <w:i/>
        </w:rPr>
        <w:t>Psychological Medicine,</w:t>
      </w:r>
      <w:r w:rsidRPr="005B0796">
        <w:t xml:space="preserve"> 32 (6), 959–976.</w:t>
      </w:r>
    </w:p>
    <w:p w:rsidR="001C1F34" w:rsidRPr="005B0796" w:rsidRDefault="001C1F34" w:rsidP="001C1F34">
      <w:pPr>
        <w:pStyle w:val="References"/>
        <w:spacing w:after="120"/>
      </w:pPr>
      <w:r w:rsidRPr="005B0796">
        <w:t xml:space="preserve">Kessler, R. C. &amp; Ustun, T. B. (2004). The World Mental Health (WMH) Survey Initiative Version of the World Health Organization (WHO) Composite International Diagnostic Interview (CIDI). </w:t>
      </w:r>
      <w:r w:rsidRPr="005B0796">
        <w:rPr>
          <w:i/>
        </w:rPr>
        <w:t>International Journal of Methods in Psychiatric Research,</w:t>
      </w:r>
      <w:r w:rsidRPr="005B0796">
        <w:t xml:space="preserve"> 13 (2), 93–117.</w:t>
      </w:r>
    </w:p>
    <w:p w:rsidR="001C1F34" w:rsidRPr="005B0796" w:rsidRDefault="001C1F34" w:rsidP="001C1F34">
      <w:pPr>
        <w:pStyle w:val="References"/>
        <w:spacing w:after="120"/>
      </w:pPr>
      <w:r w:rsidRPr="005B0796">
        <w:t>King</w:t>
      </w:r>
      <w:r w:rsidR="00462A0C" w:rsidRPr="005B0796">
        <w:t>’</w:t>
      </w:r>
      <w:r w:rsidRPr="005B0796">
        <w:t>s Centre for Military Health Research Academic Department of Military Mental Health. (2014). The mental health of the UK armed forces (summary). London: Kings College London.</w:t>
      </w:r>
    </w:p>
    <w:p w:rsidR="001C1F34" w:rsidRPr="005B0796" w:rsidRDefault="001C1F34" w:rsidP="001C1F34">
      <w:pPr>
        <w:pStyle w:val="References"/>
        <w:spacing w:after="120"/>
      </w:pPr>
      <w:r w:rsidRPr="005B0796">
        <w:t>King</w:t>
      </w:r>
      <w:r w:rsidR="00462A0C" w:rsidRPr="005B0796">
        <w:t>’</w:t>
      </w:r>
      <w:r w:rsidRPr="005B0796">
        <w:t>s Centre for Military Health Research Academic Department of Military Mental Health. (2010). King</w:t>
      </w:r>
      <w:r w:rsidR="00462A0C" w:rsidRPr="005B0796">
        <w:t>’</w:t>
      </w:r>
      <w:r w:rsidRPr="005B0796">
        <w:t>s Centre for Military Health Research: A fifteen year report. London: Kings College London.</w:t>
      </w:r>
    </w:p>
    <w:p w:rsidR="001C1F34" w:rsidRPr="005B0796" w:rsidRDefault="001C1F34" w:rsidP="001C1F34">
      <w:pPr>
        <w:pStyle w:val="References"/>
        <w:spacing w:after="120"/>
      </w:pPr>
      <w:r w:rsidRPr="005B0796">
        <w:t>Kirby, S. N., and Naftel, S. (1998). The Effect of Mobilization on Retention of Enlisted Reservists After Operation Desert Shield/Storm. Santa Monica, CA: RAND Corporation.</w:t>
      </w:r>
    </w:p>
    <w:p w:rsidR="001C1F34" w:rsidRPr="005B0796" w:rsidRDefault="001C1F34" w:rsidP="001C1F34">
      <w:pPr>
        <w:pStyle w:val="References"/>
        <w:spacing w:after="120"/>
      </w:pPr>
      <w:r w:rsidRPr="005B0796">
        <w:t xml:space="preserve">Kline, A., Ciccone, D. S., Falca-Dodson, M. &amp; Losonsczy, M. (2011). Suicidal ideation among National Guard troops deployed to Iraq: The association with postdeployment readjustment problems. </w:t>
      </w:r>
      <w:r w:rsidRPr="005B0796">
        <w:rPr>
          <w:i/>
        </w:rPr>
        <w:t>Journal of Nervous &amp; Mental Disease,</w:t>
      </w:r>
      <w:r w:rsidRPr="005B0796">
        <w:t xml:space="preserve"> 199 (12), 914–920.</w:t>
      </w:r>
    </w:p>
    <w:p w:rsidR="001C1F34" w:rsidRPr="005B0796" w:rsidRDefault="001C1F34" w:rsidP="001C1F34">
      <w:pPr>
        <w:pStyle w:val="References"/>
        <w:spacing w:after="120"/>
      </w:pPr>
      <w:r w:rsidRPr="005B0796">
        <w:t xml:space="preserve">Kornfield, S., Klaus, J., McKay, C., Helstrom, A. &amp; Oslin, D. W. (2012). Subsyndromal posttraumatic stress disorder symptomatology in primary care military veterans: treatment and applications. </w:t>
      </w:r>
      <w:r w:rsidRPr="005B0796">
        <w:rPr>
          <w:i/>
        </w:rPr>
        <w:t>Psychological Services,</w:t>
      </w:r>
      <w:r w:rsidRPr="005B0796">
        <w:t xml:space="preserve"> 9, 383–389.</w:t>
      </w:r>
    </w:p>
    <w:p w:rsidR="001C1F34" w:rsidRPr="005B0796" w:rsidRDefault="001C1F34" w:rsidP="001C1F34">
      <w:pPr>
        <w:pStyle w:val="References"/>
        <w:spacing w:after="120"/>
      </w:pPr>
      <w:r w:rsidRPr="005B0796">
        <w:t xml:space="preserve">Kroenke, K., Spitzer, R. L. &amp; Williams, J. B. (2001). The PHQ-9: validity of a brief depression severity measure. </w:t>
      </w:r>
      <w:r w:rsidRPr="005B0796">
        <w:rPr>
          <w:i/>
        </w:rPr>
        <w:t>Journal of General Internal Medicine,</w:t>
      </w:r>
      <w:r w:rsidRPr="005B0796">
        <w:t xml:space="preserve"> 16 (9), 606–613.</w:t>
      </w:r>
    </w:p>
    <w:p w:rsidR="001C1F34" w:rsidRPr="005B0796" w:rsidRDefault="001C1F34" w:rsidP="001C1F34">
      <w:pPr>
        <w:pStyle w:val="References"/>
        <w:spacing w:after="120"/>
      </w:pPr>
      <w:r w:rsidRPr="005B0796">
        <w:t xml:space="preserve">Krysinska, K. &amp; Lester, D. (2010). Post-traumatic stress disorder and suicide risk: a systematic review. </w:t>
      </w:r>
      <w:r w:rsidRPr="005B0796">
        <w:rPr>
          <w:i/>
        </w:rPr>
        <w:t>Archives of Suicide Research,</w:t>
      </w:r>
      <w:r w:rsidRPr="005B0796">
        <w:t xml:space="preserve"> 14 (1), 1–23.</w:t>
      </w:r>
    </w:p>
    <w:p w:rsidR="001C1F34" w:rsidRPr="005B0796" w:rsidRDefault="001C1F34" w:rsidP="001C1F34">
      <w:pPr>
        <w:pStyle w:val="References"/>
        <w:spacing w:after="120"/>
      </w:pPr>
      <w:r w:rsidRPr="005B0796">
        <w:t xml:space="preserve">Kukla, M., Rattray, N. A. &amp; Salyers, M. P. (2015). Mixed methods study examining work reintegration experiences from perspectives of Veterans with mental health disorders. </w:t>
      </w:r>
      <w:r w:rsidRPr="005B0796">
        <w:rPr>
          <w:i/>
        </w:rPr>
        <w:t>Journal of Rehabilitation Research and Development,</w:t>
      </w:r>
      <w:r w:rsidRPr="005B0796">
        <w:t xml:space="preserve"> 52 (4), 477–490.</w:t>
      </w:r>
    </w:p>
    <w:p w:rsidR="001C1F34" w:rsidRPr="005B0796" w:rsidRDefault="001C1F34" w:rsidP="001C1F34">
      <w:pPr>
        <w:pStyle w:val="References"/>
        <w:spacing w:after="120"/>
      </w:pPr>
      <w:r w:rsidRPr="005B0796">
        <w:t xml:space="preserve">Langdon, K. J., Fox, A. B., King, L. A., King, D. W., Eisen, S. &amp; Vogt, D. (2016). Examination of the dynamic interplay between posttraumatic stress symptoms and alcohol misuse among combat-exposed Operation Enduring Freedom (OEF)/Operation Iraqi Freedom (OIF) Veterans. </w:t>
      </w:r>
      <w:r w:rsidRPr="005B0796">
        <w:rPr>
          <w:i/>
        </w:rPr>
        <w:t>Journal of Affective Disorders,</w:t>
      </w:r>
      <w:r w:rsidRPr="005B0796">
        <w:t xml:space="preserve"> 196, 234–242.</w:t>
      </w:r>
    </w:p>
    <w:p w:rsidR="001C1F34" w:rsidRPr="005B0796" w:rsidRDefault="001C1F34" w:rsidP="001C1F34">
      <w:pPr>
        <w:pStyle w:val="References"/>
        <w:spacing w:after="120"/>
      </w:pPr>
      <w:r w:rsidRPr="005B0796">
        <w:t xml:space="preserve">Lawrence-Wood, E., McFarlane A., Searle A., van Hooff, M. &amp; Davy, C. (2014). </w:t>
      </w:r>
      <w:r w:rsidRPr="005B0796">
        <w:rPr>
          <w:i/>
        </w:rPr>
        <w:t xml:space="preserve">Exploration of the association between inflammation and psychological distress in deployed Australian Defence Force personnel. </w:t>
      </w:r>
      <w:r w:rsidRPr="005B0796">
        <w:t>Paper presented at the Australasian Military Medicine Association annual conference, Sydney, Australia.</w:t>
      </w:r>
    </w:p>
    <w:p w:rsidR="001C1F34" w:rsidRPr="005B0796" w:rsidRDefault="001C1F34" w:rsidP="001C1F34">
      <w:pPr>
        <w:pStyle w:val="References"/>
        <w:spacing w:after="120"/>
      </w:pPr>
      <w:r w:rsidRPr="005B0796">
        <w:t xml:space="preserve">Leach, L. S., Butterworth, P., Strazdins, L., Rodgers, B., Broom, D. H. &amp; Olesen, S. C. (2010). The limitations of employment as a tool for social inclusion. </w:t>
      </w:r>
      <w:r w:rsidRPr="005B0796">
        <w:rPr>
          <w:i/>
        </w:rPr>
        <w:t>BMC Public Health,</w:t>
      </w:r>
      <w:r w:rsidRPr="005B0796">
        <w:t xml:space="preserve"> 10, 621.</w:t>
      </w:r>
    </w:p>
    <w:p w:rsidR="001C1F34" w:rsidRPr="005B0796" w:rsidRDefault="001C1F34" w:rsidP="001C1F34">
      <w:pPr>
        <w:pStyle w:val="References"/>
        <w:spacing w:after="120"/>
      </w:pPr>
      <w:r w:rsidRPr="005B0796">
        <w:t xml:space="preserve">LeardMann, C. A., Powell, T. M., Smith, T. C., Bell, M. R., Smith, B., Boyko, E. J., Hooper, T. I., Gackstetter, G. D., Ghamsary, M. &amp; Hoge, C. W. (2013). Risk factors associated with suicide in current and former US military personnel. </w:t>
      </w:r>
      <w:r w:rsidRPr="005B0796">
        <w:rPr>
          <w:i/>
        </w:rPr>
        <w:t>JAMA,</w:t>
      </w:r>
      <w:r w:rsidRPr="005B0796">
        <w:t xml:space="preserve"> 310 (5), 496–506.</w:t>
      </w:r>
    </w:p>
    <w:p w:rsidR="001C1F34" w:rsidRPr="005B0796" w:rsidRDefault="001C1F34" w:rsidP="001C1F34">
      <w:pPr>
        <w:pStyle w:val="References"/>
        <w:spacing w:after="120"/>
      </w:pPr>
      <w:r w:rsidRPr="005B0796">
        <w:t xml:space="preserve">LeBouthillier, D. M., McMillan, K. A., Thibodeau, M. A. &amp; Asmundson, G. J. (2015). Types and Number of Traumas Associated With Suicidal Ideation and Suicide Attempts in PTSD: Findings From a U.S. Nationally Representative Sample. </w:t>
      </w:r>
      <w:r w:rsidRPr="005B0796">
        <w:rPr>
          <w:i/>
        </w:rPr>
        <w:t>Journal of Traumatic Stress,</w:t>
      </w:r>
      <w:r w:rsidRPr="005B0796">
        <w:t xml:space="preserve"> 28 (3), 183–190.</w:t>
      </w:r>
    </w:p>
    <w:p w:rsidR="001C1F34" w:rsidRPr="005B0796" w:rsidRDefault="001C1F34" w:rsidP="001C1F34">
      <w:pPr>
        <w:pStyle w:val="References"/>
        <w:spacing w:after="120"/>
      </w:pPr>
      <w:r w:rsidRPr="005B0796">
        <w:t xml:space="preserve">Leeies, M., Pagura, J., Sareen, J. &amp; Bolton, J. M. (2010). The use of alcohol and drugs to self-medicate symptoms of posttraumatic stress disorder. </w:t>
      </w:r>
      <w:r w:rsidRPr="005B0796">
        <w:rPr>
          <w:i/>
        </w:rPr>
        <w:t>Depression and Anxiety,</w:t>
      </w:r>
      <w:r w:rsidRPr="005B0796">
        <w:t xml:space="preserve"> 27 (8), 731–736.</w:t>
      </w:r>
    </w:p>
    <w:p w:rsidR="001C1F34" w:rsidRPr="005B0796" w:rsidRDefault="001C1F34" w:rsidP="001C1F34">
      <w:pPr>
        <w:pStyle w:val="References"/>
        <w:spacing w:after="120"/>
      </w:pPr>
      <w:r w:rsidRPr="005B0796">
        <w:t xml:space="preserve">Lish, J. D., Dime-Meenan, S., Whybrow, P. C., Price, R. A. &amp; Hirschfeld, R. M. (1994). The National Depressive and Manic-depressive Association (DMDA) survey of bipolar members. </w:t>
      </w:r>
      <w:r w:rsidRPr="005B0796">
        <w:rPr>
          <w:i/>
        </w:rPr>
        <w:t>Journal of Affective Disorders,</w:t>
      </w:r>
      <w:r w:rsidRPr="005B0796">
        <w:t xml:space="preserve"> 31 (4), 281–294.</w:t>
      </w:r>
    </w:p>
    <w:p w:rsidR="001C1F34" w:rsidRPr="005B0796" w:rsidRDefault="001C1F34" w:rsidP="001C1F34">
      <w:pPr>
        <w:pStyle w:val="References"/>
        <w:spacing w:after="120"/>
      </w:pPr>
      <w:r w:rsidRPr="005B0796">
        <w:t xml:space="preserve">Lohr, J. B., Palmer, B. W., Eidt, C. A., Aailaboyina, S., Mausbach, B. T., Wolkowitz, O. M., Thorp, S. R. &amp; Jeste, D. V. (2015). Is Post-Traumatic Stress Disorder Associated with Premature Senescence? A Review of the Literature. </w:t>
      </w:r>
      <w:r w:rsidRPr="005B0796">
        <w:rPr>
          <w:i/>
        </w:rPr>
        <w:t>American Journal of Geriatric Psychiatry,</w:t>
      </w:r>
      <w:r w:rsidRPr="005B0796">
        <w:t xml:space="preserve"> 23 (7), 709–725.</w:t>
      </w:r>
    </w:p>
    <w:p w:rsidR="001C1F34" w:rsidRPr="005B0796" w:rsidRDefault="001C1F34" w:rsidP="001C1F34">
      <w:pPr>
        <w:pStyle w:val="References"/>
        <w:spacing w:after="120"/>
      </w:pPr>
      <w:r w:rsidRPr="005B0796">
        <w:t xml:space="preserve">MacLean, M. B., Van Til, L., Thompson, J. M., Sweet, J., Poirier, A., Sudom, K. &amp; Pedlar, D. J. (2014). Postmilitary adjustment to civilian life: potential risks and protective factors. </w:t>
      </w:r>
      <w:r w:rsidRPr="005B0796">
        <w:rPr>
          <w:i/>
        </w:rPr>
        <w:t>Physical Therapy,</w:t>
      </w:r>
      <w:r w:rsidRPr="005B0796">
        <w:t xml:space="preserve"> 94 (8), 1186–1195.</w:t>
      </w:r>
    </w:p>
    <w:p w:rsidR="001C1F34" w:rsidRPr="005B0796" w:rsidRDefault="001C1F34" w:rsidP="001C1F34">
      <w:pPr>
        <w:pStyle w:val="References"/>
        <w:spacing w:after="120"/>
      </w:pPr>
      <w:r w:rsidRPr="005B0796">
        <w:t xml:space="preserve">Maercker, A., Brewin, C. R., Bryant, R. A., Cloitre, M., Reed, G. M., van Ommeren, M., Humayun, A., Jones, L. M., Kagee, A. &amp; Llosa, A. E. (2013). Proposals for mental disorders specifically associated with stress in the International Classification of Diseases-11. </w:t>
      </w:r>
      <w:r w:rsidRPr="005B0796">
        <w:rPr>
          <w:i/>
        </w:rPr>
        <w:t>The Lancet,</w:t>
      </w:r>
      <w:r w:rsidRPr="005B0796">
        <w:t xml:space="preserve"> 381 (9878), 1683.</w:t>
      </w:r>
    </w:p>
    <w:p w:rsidR="001C1F34" w:rsidRPr="005B0796" w:rsidRDefault="001C1F34" w:rsidP="001C1F34">
      <w:pPr>
        <w:pStyle w:val="References"/>
        <w:spacing w:after="120"/>
      </w:pPr>
      <w:r w:rsidRPr="005B0796">
        <w:t xml:space="preserve">Manea, L., Gilbody, S. &amp; McMillan, D. (2012). Optimal cut-off score for diagnosing depression with the Patient Health Questionnaire (PHQ-9): a meta-analysis. </w:t>
      </w:r>
      <w:r w:rsidRPr="005B0796">
        <w:rPr>
          <w:i/>
        </w:rPr>
        <w:t>Canadian Medical Association Journal,</w:t>
      </w:r>
      <w:r w:rsidRPr="005B0796">
        <w:t xml:space="preserve"> 184 (3), E191–6.</w:t>
      </w:r>
    </w:p>
    <w:p w:rsidR="001C1F34" w:rsidRPr="005B0796" w:rsidRDefault="001C1F34" w:rsidP="001C1F34">
      <w:pPr>
        <w:pStyle w:val="References"/>
        <w:spacing w:after="120"/>
      </w:pPr>
      <w:r w:rsidRPr="005B0796">
        <w:t xml:space="preserve">Marangell, L. (2004). The importance of subsyndromal symptoms in bipolar disorder. </w:t>
      </w:r>
      <w:r w:rsidRPr="005B0796">
        <w:rPr>
          <w:i/>
        </w:rPr>
        <w:t>Journal of Clinical Psychiatry,</w:t>
      </w:r>
      <w:r w:rsidRPr="005B0796">
        <w:t xml:space="preserve"> 65 Suppl (10), 24–27.</w:t>
      </w:r>
    </w:p>
    <w:p w:rsidR="001C1F34" w:rsidRPr="005B0796" w:rsidRDefault="001C1F34" w:rsidP="001C1F34">
      <w:pPr>
        <w:pStyle w:val="References"/>
        <w:spacing w:after="120"/>
      </w:pPr>
      <w:r w:rsidRPr="005B0796">
        <w:t xml:space="preserve">Marmar, C. R., Schlenger, W., Henn-Haase, C., Qian, M., Purchia, E., Li, M., Corry, N., Williams, C. S., Ho, C. L., Horesh, D., Karstoft, K. I., Shalev, A. &amp; Kulka, R. A. (2015). Course of Posttraumatic Stress Disorder 40 Years After the Vietnam War: Findings From the National Vietnam Veterans Longitudinal Study. </w:t>
      </w:r>
      <w:r w:rsidRPr="005B0796">
        <w:rPr>
          <w:i/>
        </w:rPr>
        <w:t>JAMA Psychiatry</w:t>
      </w:r>
      <w:r w:rsidRPr="005B0796">
        <w:t>.</w:t>
      </w:r>
    </w:p>
    <w:p w:rsidR="001C1F34" w:rsidRPr="005B0796" w:rsidRDefault="001C1F34" w:rsidP="001C1F34">
      <w:pPr>
        <w:pStyle w:val="References"/>
        <w:spacing w:after="120"/>
      </w:pPr>
      <w:r w:rsidRPr="005B0796">
        <w:t xml:space="preserve">Marshall-Berenz, E. C., Vujanovic, A. A. &amp; Zvolensky, M. J. (2011). Main and interactive effects of a nonclinical panic attack history and distress tolerance in relation to PTSD symptom severity. </w:t>
      </w:r>
      <w:r w:rsidRPr="005B0796">
        <w:rPr>
          <w:i/>
        </w:rPr>
        <w:t>Journal of Anxiety Disorders,</w:t>
      </w:r>
      <w:r w:rsidRPr="005B0796">
        <w:t xml:space="preserve"> 25 (2), 185–191.</w:t>
      </w:r>
    </w:p>
    <w:p w:rsidR="001C1F34" w:rsidRPr="005B0796" w:rsidRDefault="001C1F34" w:rsidP="001C1F34">
      <w:pPr>
        <w:pStyle w:val="References"/>
        <w:spacing w:after="120"/>
      </w:pPr>
      <w:r w:rsidRPr="005B0796">
        <w:t xml:space="preserve">Marshall, R. D., Olfson, M., Hellman, F., Blanco, C., Guardino, M. &amp; Struening, E. L. (2001). Comorbidity, Impairment, and Suicidality in Subthreshold PTSD. </w:t>
      </w:r>
      <w:r w:rsidRPr="005B0796">
        <w:rPr>
          <w:i/>
        </w:rPr>
        <w:t>American Journal of Psychiatry,</w:t>
      </w:r>
      <w:r w:rsidRPr="005B0796">
        <w:t xml:space="preserve"> 158 (9), 1467–1473.</w:t>
      </w:r>
    </w:p>
    <w:p w:rsidR="001C1F34" w:rsidRPr="005B0796" w:rsidRDefault="001C1F34" w:rsidP="001C1F34">
      <w:pPr>
        <w:pStyle w:val="References"/>
        <w:spacing w:after="120"/>
      </w:pPr>
      <w:r w:rsidRPr="005B0796">
        <w:t xml:space="preserve">McEwen, B. S. (2003). Mood disorders and allostatic load. </w:t>
      </w:r>
      <w:r w:rsidRPr="005B0796">
        <w:rPr>
          <w:i/>
        </w:rPr>
        <w:t>Biological Psychiatry,</w:t>
      </w:r>
      <w:r w:rsidRPr="005B0796">
        <w:t xml:space="preserve"> 54 (3), 200–207.</w:t>
      </w:r>
    </w:p>
    <w:p w:rsidR="001C1F34" w:rsidRPr="005B0796" w:rsidRDefault="001C1F34" w:rsidP="001C1F34">
      <w:pPr>
        <w:pStyle w:val="References"/>
        <w:spacing w:after="120"/>
      </w:pPr>
      <w:r w:rsidRPr="005B0796">
        <w:t xml:space="preserve">McFarlane, A. C. (2010). The long-term costs of traumatic stress: intertwined physical and psychological consequences. </w:t>
      </w:r>
      <w:r w:rsidRPr="005B0796">
        <w:rPr>
          <w:i/>
        </w:rPr>
        <w:t>World Psychiatry,</w:t>
      </w:r>
      <w:r w:rsidRPr="005B0796">
        <w:t xml:space="preserve"> 9 (1), 3–10.</w:t>
      </w:r>
    </w:p>
    <w:p w:rsidR="001C1F34" w:rsidRPr="005B0796" w:rsidRDefault="001C1F34" w:rsidP="001C1F34">
      <w:pPr>
        <w:pStyle w:val="References"/>
        <w:spacing w:after="120"/>
      </w:pPr>
      <w:r w:rsidRPr="005B0796">
        <w:t xml:space="preserve">McFarlane, A. C. (2014). PTSD and DSM-5: unintended consequences of change. </w:t>
      </w:r>
      <w:r w:rsidRPr="005B0796">
        <w:rPr>
          <w:i/>
        </w:rPr>
        <w:t>Lancet Psychiatry,</w:t>
      </w:r>
      <w:r w:rsidRPr="005B0796">
        <w:t xml:space="preserve"> 1 (4), 246–247.</w:t>
      </w:r>
    </w:p>
    <w:p w:rsidR="001C1F34" w:rsidRPr="005B0796" w:rsidRDefault="001C1F34" w:rsidP="001C1F34">
      <w:pPr>
        <w:pStyle w:val="References"/>
        <w:spacing w:after="120"/>
      </w:pPr>
      <w:r w:rsidRPr="005B0796">
        <w:t xml:space="preserve">McFarlane, A. C. (2017). Post-traumatic stress disorder is a systemic illness, not a mental disorder: is Cartesian dualism dead? </w:t>
      </w:r>
      <w:r w:rsidRPr="005B0796">
        <w:rPr>
          <w:i/>
        </w:rPr>
        <w:t>Medical Journal of Australia,</w:t>
      </w:r>
      <w:r w:rsidRPr="005B0796">
        <w:t xml:space="preserve"> 206 (6), 248–249.</w:t>
      </w:r>
    </w:p>
    <w:p w:rsidR="001C1F34" w:rsidRPr="005B0796" w:rsidRDefault="001C1F34" w:rsidP="001C1F34">
      <w:pPr>
        <w:pStyle w:val="References"/>
        <w:spacing w:after="120"/>
      </w:pPr>
      <w:r w:rsidRPr="005B0796">
        <w:t xml:space="preserve">McFarlane, A. C. &amp; Bryant, R. (2013). </w:t>
      </w:r>
      <w:r w:rsidRPr="005B0796">
        <w:rPr>
          <w:i/>
        </w:rPr>
        <w:t>Predicted trajectories of morbidity for the Australian Defence Force</w:t>
      </w:r>
      <w:r w:rsidRPr="005B0796">
        <w:t>: Centre for Traumatic Stress Studies.</w:t>
      </w:r>
    </w:p>
    <w:p w:rsidR="001C1F34" w:rsidRPr="005B0796" w:rsidRDefault="001C1F34" w:rsidP="001C1F34">
      <w:pPr>
        <w:pStyle w:val="References"/>
        <w:spacing w:after="120"/>
      </w:pPr>
      <w:r w:rsidRPr="005B0796">
        <w:t xml:space="preserve">McFarlane, A. C., Hodson, S., Van Hooff, M. &amp; Davies, C. (2011). </w:t>
      </w:r>
      <w:r w:rsidRPr="005B0796">
        <w:rPr>
          <w:i/>
        </w:rPr>
        <w:t xml:space="preserve">Mental health in the Australian Defence Force: 2010 ADF Mental Health Prevalence and Wellbeing Study: Full Report. </w:t>
      </w:r>
      <w:r w:rsidRPr="005B0796">
        <w:t>Department of Defence: Canberra.</w:t>
      </w:r>
    </w:p>
    <w:p w:rsidR="001C1F34" w:rsidRPr="005B0796" w:rsidRDefault="001C1F34" w:rsidP="001C1F34">
      <w:pPr>
        <w:pStyle w:val="References"/>
        <w:spacing w:after="120"/>
      </w:pPr>
      <w:r w:rsidRPr="005B0796">
        <w:t xml:space="preserve">McFarlane, A. C., Lawrence-Wood, E., Van Hooff, M., Malhi, G. S. &amp; Yehuda, R. (2017). The Need to Take a Staging Approach to the Biological Mechanisms of PTSD and its Treatment. </w:t>
      </w:r>
      <w:r w:rsidRPr="005B0796">
        <w:rPr>
          <w:i/>
        </w:rPr>
        <w:t>Current Psychiatry Reports,</w:t>
      </w:r>
      <w:r w:rsidRPr="005B0796">
        <w:t xml:space="preserve"> 19 (2), 10.</w:t>
      </w:r>
    </w:p>
    <w:p w:rsidR="001C1F34" w:rsidRPr="005B0796" w:rsidRDefault="001C1F34" w:rsidP="001C1F34">
      <w:pPr>
        <w:pStyle w:val="References"/>
        <w:spacing w:after="120"/>
      </w:pPr>
      <w:r w:rsidRPr="005B0796">
        <w:t xml:space="preserve">McGorry, P., Keshavan, M., Goldstone, S., Amminger, P., Allott, K., Berk, M., Lavoie, S., Pantelis, C., Yung, A. &amp; Wood, S. (2014). Biomarkers and clinical staging in psychiatry. </w:t>
      </w:r>
      <w:r w:rsidRPr="005B0796">
        <w:rPr>
          <w:i/>
        </w:rPr>
        <w:t>World Psychiatry,</w:t>
      </w:r>
      <w:r w:rsidRPr="005B0796">
        <w:t xml:space="preserve"> 13 (3), 211–223.</w:t>
      </w:r>
    </w:p>
    <w:p w:rsidR="001C1F34" w:rsidRPr="005B0796" w:rsidRDefault="001C1F34" w:rsidP="001C1F34">
      <w:pPr>
        <w:pStyle w:val="References"/>
        <w:spacing w:after="120"/>
      </w:pPr>
      <w:r w:rsidRPr="005B0796">
        <w:t xml:space="preserve">McGorry, P. &amp; Nelson, B. (2016). Why We Need a Transdiagnostic Staging Approach to Emerging Psychopathology, Early Diagnosis, and Treatment. </w:t>
      </w:r>
      <w:r w:rsidRPr="005B0796">
        <w:rPr>
          <w:i/>
        </w:rPr>
        <w:t>JAMA Psychiatry,</w:t>
      </w:r>
      <w:r w:rsidRPr="005B0796">
        <w:t xml:space="preserve"> 73 (3), 191–192.</w:t>
      </w:r>
    </w:p>
    <w:p w:rsidR="001C1F34" w:rsidRPr="005B0796" w:rsidRDefault="001C1F34" w:rsidP="001C1F34">
      <w:pPr>
        <w:pStyle w:val="References"/>
        <w:spacing w:after="120"/>
      </w:pPr>
      <w:r w:rsidRPr="005B0796">
        <w:t xml:space="preserve">McGorry, P. D., Hickie, I. B., Yung, A. R., Pantelis, C. &amp; Jackson, H. J. (2006). Clinical staging of psychiatric disorders: a heuristic framework for choosing earlier, safer and more effective interventions. </w:t>
      </w:r>
      <w:r w:rsidRPr="005B0796">
        <w:rPr>
          <w:i/>
        </w:rPr>
        <w:t>Australian and New Zealand Journal of Psychiatry,</w:t>
      </w:r>
      <w:r w:rsidRPr="005B0796">
        <w:t xml:space="preserve"> 40 (8), 616–622.</w:t>
      </w:r>
    </w:p>
    <w:p w:rsidR="001C1F34" w:rsidRPr="005B0796" w:rsidRDefault="001C1F34" w:rsidP="001C1F34">
      <w:pPr>
        <w:pStyle w:val="References"/>
        <w:spacing w:after="120"/>
      </w:pPr>
      <w:r w:rsidRPr="005B0796">
        <w:t>McGuire, A., Runge, C., Cosgrove, L., Bredhauer, K., Anderson, R., Waller, M., Kanesarajah, J., Dobson, A. &amp; Nasveld, P. (2012). Timor-Leste family study 2012: technical report. University of Queensland, Centre for Military and Veterans</w:t>
      </w:r>
      <w:r w:rsidR="00462A0C" w:rsidRPr="005B0796">
        <w:t>’</w:t>
      </w:r>
      <w:r w:rsidRPr="005B0796">
        <w:t xml:space="preserve"> Health </w:t>
      </w:r>
    </w:p>
    <w:p w:rsidR="001C1F34" w:rsidRPr="005B0796" w:rsidRDefault="001C1F34" w:rsidP="001C1F34">
      <w:pPr>
        <w:pStyle w:val="References"/>
        <w:spacing w:after="120"/>
      </w:pPr>
      <w:r w:rsidRPr="005B0796">
        <w:t xml:space="preserve">McLay, R. N., Ram, V., Webb-Murphy, J., Baird, A., Hickey, A. &amp; Johnston, S. (2014). Apparent comorbidity of bipolar disorder in a population with combat-related post-traumatic stress disorder. </w:t>
      </w:r>
      <w:r w:rsidRPr="005B0796">
        <w:rPr>
          <w:i/>
        </w:rPr>
        <w:t>Military Medicine,</w:t>
      </w:r>
      <w:r w:rsidRPr="005B0796">
        <w:t xml:space="preserve"> 179 (2), 157. </w:t>
      </w:r>
    </w:p>
    <w:p w:rsidR="001C1F34" w:rsidRPr="005B0796" w:rsidRDefault="001C1F34" w:rsidP="001C1F34">
      <w:pPr>
        <w:pStyle w:val="References"/>
        <w:spacing w:after="120"/>
      </w:pPr>
      <w:r w:rsidRPr="005B0796">
        <w:t xml:space="preserve">Meffert, S. M., Henn-Haase, C., Metzler, T. J., Qian, M., Best, S., Hirschfeld, A., McCaslin, S., Inslicht, S., Neylan, T. C. &amp; Marmar, C. R. (2014). Prospective study of police officer spouse/partners: a new pathway to secondary trauma and relationship violence? </w:t>
      </w:r>
      <w:r w:rsidRPr="005B0796">
        <w:rPr>
          <w:i/>
        </w:rPr>
        <w:t>PLOS One,</w:t>
      </w:r>
      <w:r w:rsidRPr="005B0796">
        <w:t xml:space="preserve"> 9 (7), e100663.</w:t>
      </w:r>
    </w:p>
    <w:p w:rsidR="001C1F34" w:rsidRPr="005B0796" w:rsidRDefault="001C1F34" w:rsidP="001C1F34">
      <w:pPr>
        <w:pStyle w:val="References"/>
        <w:spacing w:after="120"/>
      </w:pPr>
      <w:r w:rsidRPr="005B0796">
        <w:t xml:space="preserve">Mitchell, P., Johnston, A. K., Frankland, A., Slade, T., Green, M., Roberts, G., Wright, A., Corry, J. &amp; Hadzi-Pavlovic, D. (2013). Bipolar disorder in a national survey using the World Mental Health Version of the Composite International Diagnostic Interview: the impact of differing diagnostic algorithms. </w:t>
      </w:r>
      <w:r w:rsidRPr="005B0796">
        <w:rPr>
          <w:i/>
        </w:rPr>
        <w:t>Acta Psychiatrica Scandinavica,</w:t>
      </w:r>
      <w:r w:rsidRPr="005B0796">
        <w:t xml:space="preserve"> 127 (5), 381–393.</w:t>
      </w:r>
    </w:p>
    <w:p w:rsidR="001C1F34" w:rsidRPr="005B0796" w:rsidRDefault="001C1F34" w:rsidP="001C1F34">
      <w:pPr>
        <w:pStyle w:val="References"/>
        <w:spacing w:after="120"/>
      </w:pPr>
      <w:r w:rsidRPr="005B0796">
        <w:t xml:space="preserve">Moffitt, T. E., Harrington, H., Caspi, A., Kim-Cohen, J., Goldberg, D., Gregory, A. M. &amp; Poulton, R. (2007). Depression and generalized anxiety disorder: cumulative and sequential comorbidity in a birth cohort followed prospectively to age 32 years. </w:t>
      </w:r>
      <w:r w:rsidRPr="005B0796">
        <w:rPr>
          <w:i/>
        </w:rPr>
        <w:t>Archives of General Psychiatry,</w:t>
      </w:r>
      <w:r w:rsidRPr="005B0796">
        <w:t xml:space="preserve"> 64 (6), 651–660.</w:t>
      </w:r>
    </w:p>
    <w:p w:rsidR="001C1F34" w:rsidRPr="005B0796" w:rsidRDefault="001C1F34" w:rsidP="001C1F34">
      <w:pPr>
        <w:pStyle w:val="References"/>
        <w:spacing w:after="120"/>
      </w:pPr>
      <w:r w:rsidRPr="005B0796">
        <w:t xml:space="preserve">Morina, N., Ajdukovic, D., Bogic, M., Franciskovic, T., Kucukalic, A., Lecic-Toseversuski, D., Morina, L., Popoversuski, M. &amp; Priebe, S. (2013). Co-occurrence of major depressive episode and posttraumatic stress disorder among survivors of war: how is it different from either condition alone? </w:t>
      </w:r>
      <w:r w:rsidRPr="005B0796">
        <w:rPr>
          <w:i/>
        </w:rPr>
        <w:t>Journal of Clinical Psychiatry,</w:t>
      </w:r>
      <w:r w:rsidRPr="005B0796">
        <w:t xml:space="preserve"> 74 (3), e212–8.</w:t>
      </w:r>
    </w:p>
    <w:p w:rsidR="001C1F34" w:rsidRPr="005B0796" w:rsidRDefault="001C1F34" w:rsidP="001C1F34">
      <w:pPr>
        <w:pStyle w:val="References"/>
        <w:spacing w:after="120"/>
      </w:pPr>
      <w:r w:rsidRPr="005B0796">
        <w:t xml:space="preserve">Mota, N., Tsai, J., Kirwin, P. D., Harpaz-Rotem, I., Krystal, J. H., Southwick, S. M. &amp; Pietrzak, R. H. (2016). Late-life exacerbation of PTSD symptoms in US veterans: results from the National Health and Resilience in Veterans Study. </w:t>
      </w:r>
      <w:r w:rsidRPr="005B0796">
        <w:rPr>
          <w:i/>
        </w:rPr>
        <w:t>Journal of Clinical Psychiatry,</w:t>
      </w:r>
      <w:r w:rsidRPr="005B0796">
        <w:t xml:space="preserve"> 77 (3), 348–354.</w:t>
      </w:r>
    </w:p>
    <w:p w:rsidR="001C1F34" w:rsidRPr="005B0796" w:rsidRDefault="001C1F34" w:rsidP="001C1F34">
      <w:pPr>
        <w:pStyle w:val="References"/>
        <w:spacing w:after="120"/>
      </w:pPr>
      <w:r w:rsidRPr="005B0796">
        <w:t xml:space="preserve">National Mental Health Commisson. (2017). Review into the Suicide and Self-Harm Prevention Services Available to current and former serving ADF members and their families. Available: </w:t>
      </w:r>
      <w:hyperlink r:id="rId319" w:history="1">
        <w:r w:rsidRPr="005B0796">
          <w:rPr>
            <w:rStyle w:val="Hyperlink"/>
          </w:rPr>
          <w:t>https://www.dva.gov.au/health-and-wellbeing/mental-health/national-mental-health-commission-review</w:t>
        </w:r>
      </w:hyperlink>
      <w:r w:rsidRPr="005B0796">
        <w:t>.</w:t>
      </w:r>
    </w:p>
    <w:p w:rsidR="001C1F34" w:rsidRPr="005B0796" w:rsidRDefault="001C1F34" w:rsidP="001C1F34">
      <w:pPr>
        <w:pStyle w:val="References"/>
        <w:spacing w:after="120"/>
      </w:pPr>
      <w:r w:rsidRPr="005B0796">
        <w:t>O</w:t>
      </w:r>
      <w:r w:rsidR="00462A0C" w:rsidRPr="005B0796">
        <w:t>’</w:t>
      </w:r>
      <w:r w:rsidRPr="005B0796">
        <w:t xml:space="preserve">Donnell, M. (2013). Explanation of delayed-onset posttraumatic stress disorder after severe injury. </w:t>
      </w:r>
      <w:r w:rsidRPr="005B0796">
        <w:rPr>
          <w:i/>
        </w:rPr>
        <w:t>Psychological Medicine,</w:t>
      </w:r>
      <w:r w:rsidRPr="005B0796">
        <w:t xml:space="preserve"> 75, 68–75.</w:t>
      </w:r>
    </w:p>
    <w:p w:rsidR="001C1F34" w:rsidRPr="005B0796" w:rsidRDefault="001C1F34" w:rsidP="001C1F34">
      <w:pPr>
        <w:pStyle w:val="References"/>
        <w:spacing w:after="120"/>
      </w:pPr>
      <w:r w:rsidRPr="005B0796">
        <w:t>O</w:t>
      </w:r>
      <w:r w:rsidR="00462A0C" w:rsidRPr="005B0796">
        <w:t>’</w:t>
      </w:r>
      <w:r w:rsidRPr="005B0796">
        <w:t xml:space="preserve">Toole, B. I. &amp; Catts, S. V. (2017). The Course and Correlates of Combat-Related PTSD in Australian Vietnam Veterans in the Three Decades After the War. </w:t>
      </w:r>
      <w:r w:rsidRPr="005B0796">
        <w:rPr>
          <w:i/>
        </w:rPr>
        <w:t>Journal of Traumatic Stress,</w:t>
      </w:r>
      <w:r w:rsidRPr="005B0796">
        <w:t xml:space="preserve"> 30 (1), 27–35. </w:t>
      </w:r>
    </w:p>
    <w:p w:rsidR="001C1F34" w:rsidRPr="005B0796" w:rsidRDefault="001C1F34" w:rsidP="001C1F34">
      <w:pPr>
        <w:pStyle w:val="References"/>
        <w:spacing w:after="120"/>
      </w:pPr>
      <w:r w:rsidRPr="005B0796">
        <w:t>O</w:t>
      </w:r>
      <w:r w:rsidR="00462A0C" w:rsidRPr="005B0796">
        <w:t>’</w:t>
      </w:r>
      <w:r w:rsidRPr="005B0796">
        <w:t xml:space="preserve">Donnell, M., Dell, L., Fletcher, S., Couineau, A. &amp; Forbes, D. (2014). </w:t>
      </w:r>
      <w:r w:rsidRPr="005B0796">
        <w:rPr>
          <w:i/>
        </w:rPr>
        <w:t xml:space="preserve">The Australian Defence Force Mental Health Screening Continuum Framework: Full Report. </w:t>
      </w:r>
      <w:r w:rsidRPr="005B0796">
        <w:t>Canberra: Department of Defence.</w:t>
      </w:r>
    </w:p>
    <w:p w:rsidR="001C1F34" w:rsidRPr="005B0796" w:rsidRDefault="001C1F34" w:rsidP="001C1F34">
      <w:pPr>
        <w:pStyle w:val="References"/>
        <w:spacing w:after="120"/>
      </w:pPr>
      <w:r w:rsidRPr="005B0796">
        <w:t>O</w:t>
      </w:r>
      <w:r w:rsidR="00462A0C" w:rsidRPr="005B0796">
        <w:t>’</w:t>
      </w:r>
      <w:r w:rsidRPr="005B0796">
        <w:t xml:space="preserve">Donovan, A., Cohen, B. E., Seal, K. H., Bertenthal, D., Margaretten, M., Nishimi, K. &amp; Neylan, T. C. (2015). Elevated risk for autoimmune disorders in Iraq and Afghanistan veterans with posttraumatic stress disorder. </w:t>
      </w:r>
      <w:r w:rsidRPr="005B0796">
        <w:rPr>
          <w:i/>
        </w:rPr>
        <w:t>Biological Psychiatry,</w:t>
      </w:r>
      <w:r w:rsidRPr="005B0796">
        <w:t xml:space="preserve"> 77 (4), 365–374.</w:t>
      </w:r>
    </w:p>
    <w:p w:rsidR="001C1F34" w:rsidRPr="005B0796" w:rsidRDefault="001C1F34" w:rsidP="001C1F34">
      <w:pPr>
        <w:pStyle w:val="References"/>
        <w:spacing w:after="120"/>
      </w:pPr>
      <w:r w:rsidRPr="005B0796">
        <w:t xml:space="preserve">Pacella, M. L., Hruska, B. &amp; Delahanty, D. L. (2013). The physical health consequences of PTSD and PTSD symptoms: a meta-analytic review. </w:t>
      </w:r>
      <w:r w:rsidRPr="005B0796">
        <w:rPr>
          <w:i/>
        </w:rPr>
        <w:t>Journal of Anxiety Disorders,</w:t>
      </w:r>
      <w:r w:rsidRPr="005B0796">
        <w:t xml:space="preserve"> 27 (1), 33–46.</w:t>
      </w:r>
    </w:p>
    <w:p w:rsidR="001C1F34" w:rsidRPr="005B0796" w:rsidRDefault="001C1F34" w:rsidP="001C1F34">
      <w:pPr>
        <w:pStyle w:val="References"/>
        <w:spacing w:after="120"/>
      </w:pPr>
      <w:r w:rsidRPr="005B0796">
        <w:t xml:space="preserve">Panagioti, M., Gooding, P. A. &amp; Tarrier, N. (2012). A meta-analysis of the association between posttraumatic stress disorder and suicidality: the role of comorbid depression. </w:t>
      </w:r>
      <w:r w:rsidRPr="005B0796">
        <w:rPr>
          <w:i/>
        </w:rPr>
        <w:t>Comprehensive Psychiatry,</w:t>
      </w:r>
      <w:r w:rsidRPr="005B0796">
        <w:t xml:space="preserve"> 53 (7), 915–930.</w:t>
      </w:r>
    </w:p>
    <w:p w:rsidR="001C1F34" w:rsidRPr="005B0796" w:rsidRDefault="001C1F34" w:rsidP="001C1F34">
      <w:pPr>
        <w:pStyle w:val="References"/>
        <w:spacing w:after="120"/>
      </w:pPr>
      <w:r w:rsidRPr="005B0796">
        <w:t xml:space="preserve">Paterson, G. &amp; Sanson, A. (1999). The Association of Behavioural Adjustment to Temperament, Parenting and Family Characteristics among 5-Year-Old Children. </w:t>
      </w:r>
      <w:r w:rsidRPr="005B0796">
        <w:rPr>
          <w:i/>
        </w:rPr>
        <w:t>Social Development,</w:t>
      </w:r>
      <w:r w:rsidRPr="005B0796">
        <w:t xml:space="preserve"> 8 (3), 293–309.</w:t>
      </w:r>
    </w:p>
    <w:p w:rsidR="001C1F34" w:rsidRPr="005B0796" w:rsidRDefault="001C1F34" w:rsidP="001C1F34">
      <w:pPr>
        <w:pStyle w:val="References"/>
        <w:spacing w:after="120"/>
      </w:pPr>
      <w:r w:rsidRPr="005B0796">
        <w:t xml:space="preserve">Pease, J. L., Billera, M. &amp; Gerard, G. (2016). Military Culture and the Transition to Civilian Life: Suicide Risk and Other Considerations. </w:t>
      </w:r>
      <w:r w:rsidRPr="005B0796">
        <w:rPr>
          <w:i/>
        </w:rPr>
        <w:t>Social Work,</w:t>
      </w:r>
      <w:r w:rsidRPr="005B0796">
        <w:t xml:space="preserve"> 61 (1), 83–86.</w:t>
      </w:r>
    </w:p>
    <w:p w:rsidR="001C1F34" w:rsidRPr="005B0796" w:rsidRDefault="001C1F34" w:rsidP="001C1F34">
      <w:pPr>
        <w:pStyle w:val="References"/>
        <w:spacing w:after="120"/>
      </w:pPr>
      <w:r w:rsidRPr="005B0796">
        <w:t>Pedlar, D. &amp; Thompson, J. M. (2016). Toward a Military-Civilian Transition theory and conceptual framework: report of the International Summit held at the University of Southern California in March 2016. Los Angeles, CA.: University of Southern CAlifornia.</w:t>
      </w:r>
    </w:p>
    <w:p w:rsidR="001C1F34" w:rsidRPr="005B0796" w:rsidRDefault="001C1F34" w:rsidP="001C1F34">
      <w:pPr>
        <w:pStyle w:val="References"/>
        <w:spacing w:after="120"/>
      </w:pPr>
      <w:r w:rsidRPr="005B0796">
        <w:t>Pew Research Center. (2011). The military-civilian gap: war and sacrifice in the post-9/11 era. Washington DC: Pew Research Center.</w:t>
      </w:r>
    </w:p>
    <w:p w:rsidR="001C1F34" w:rsidRPr="005B0796" w:rsidRDefault="001C1F34" w:rsidP="001C1F34">
      <w:pPr>
        <w:pStyle w:val="References"/>
        <w:spacing w:after="120"/>
      </w:pPr>
      <w:r w:rsidRPr="005B0796">
        <w:t xml:space="preserve">Pickett, T., Rothman, D., Crawford, E. F., Brancu, M., Fairbank, J. A. &amp; Kudler, H. S. (2015). Mental Health Among Military Personnel and Veterans. </w:t>
      </w:r>
      <w:r w:rsidRPr="005B0796">
        <w:rPr>
          <w:i/>
        </w:rPr>
        <w:t>North Carolina Medical Journal,</w:t>
      </w:r>
      <w:r w:rsidRPr="005B0796">
        <w:t xml:space="preserve"> 76 (5), 299–306.</w:t>
      </w:r>
    </w:p>
    <w:p w:rsidR="001C1F34" w:rsidRPr="005B0796" w:rsidRDefault="001C1F34" w:rsidP="001C1F34">
      <w:pPr>
        <w:pStyle w:val="References"/>
        <w:spacing w:after="120"/>
      </w:pPr>
      <w:r w:rsidRPr="005B0796">
        <w:t xml:space="preserve">Pietrzak, E. (2013). Trajectories of PTSD risk and resilience in World Trade Centre responders: an 8 year prospective cohort study. </w:t>
      </w:r>
      <w:r w:rsidRPr="005B0796">
        <w:rPr>
          <w:i/>
        </w:rPr>
        <w:t>Psychological Medicine,</w:t>
      </w:r>
      <w:r w:rsidRPr="005B0796">
        <w:t xml:space="preserve"> 3 (April ), 1–15.</w:t>
      </w:r>
    </w:p>
    <w:p w:rsidR="001C1F34" w:rsidRPr="005B0796" w:rsidRDefault="001C1F34" w:rsidP="001C1F34">
      <w:pPr>
        <w:pStyle w:val="References"/>
        <w:spacing w:after="120"/>
      </w:pPr>
      <w:r w:rsidRPr="005B0796">
        <w:t xml:space="preserve">Pietrzak, R., Feder, A., Singh, R., Schechter, C., Bromet, E. J., Katz, C., Reissman, D., Ozbay, F., Sharma, V. &amp; Crane, M. (2014). Trajectories of PTSD risk and resilience in World Trade Center responders: an 8-year prospective cohort study. </w:t>
      </w:r>
      <w:r w:rsidRPr="005B0796">
        <w:rPr>
          <w:i/>
        </w:rPr>
        <w:t>Psychological Medicine,</w:t>
      </w:r>
      <w:r w:rsidRPr="005B0796">
        <w:t xml:space="preserve"> 44 (01), 205–219.</w:t>
      </w:r>
    </w:p>
    <w:p w:rsidR="001C1F34" w:rsidRPr="005B0796" w:rsidRDefault="001C1F34" w:rsidP="001C1F34">
      <w:pPr>
        <w:pStyle w:val="References"/>
        <w:spacing w:after="120"/>
      </w:pPr>
      <w:r w:rsidRPr="005B0796">
        <w:t xml:space="preserve">Pietrzak, R. H., Goldstein, M. B., Malley, J. C., Johnson, D. C. &amp; Southwick, S. M. (2009). Subsyndromal posttraumatic stress disorder is associated with health and psychosocial difficulties in veterans of Operations Enduring Freedom and Iraqi Freedom. </w:t>
      </w:r>
      <w:r w:rsidRPr="005B0796">
        <w:rPr>
          <w:i/>
        </w:rPr>
        <w:t>Depression and Anxiety,</w:t>
      </w:r>
      <w:r w:rsidRPr="005B0796">
        <w:t xml:space="preserve"> 26 (8), 739–744.</w:t>
      </w:r>
    </w:p>
    <w:p w:rsidR="001C1F34" w:rsidRPr="005B0796" w:rsidRDefault="001C1F34" w:rsidP="001C1F34">
      <w:pPr>
        <w:pStyle w:val="References"/>
        <w:spacing w:after="120"/>
      </w:pPr>
      <w:r w:rsidRPr="005B0796">
        <w:t xml:space="preserve">Pinder, R. J., Greenberg, N., Boyko, E. J., Gackstetter, G. D., Hooper, T. I., Murphy, D., Ryan, M. A., Smith, B., Smith, T. C., Wells, T. S. &amp; Wessely, S. (2012a). Profile of two cohorts: UK and US prospective studies of military health. </w:t>
      </w:r>
      <w:r w:rsidRPr="005B0796">
        <w:rPr>
          <w:i/>
        </w:rPr>
        <w:t>International Journal of Epidemiology,</w:t>
      </w:r>
      <w:r w:rsidRPr="005B0796">
        <w:t xml:space="preserve"> 41 (5), 1272–1282.</w:t>
      </w:r>
    </w:p>
    <w:p w:rsidR="001C1F34" w:rsidRPr="005B0796" w:rsidRDefault="001C1F34" w:rsidP="001C1F34">
      <w:pPr>
        <w:pStyle w:val="References"/>
        <w:spacing w:after="120"/>
      </w:pPr>
      <w:r w:rsidRPr="005B0796">
        <w:t xml:space="preserve">Pinder, R. J., Iversen, A. C., Kapur, N., Wessely, S. &amp; Fear, N. T. (2012b). Self-harm and attempted suicide among UK armed forces personnel: results of a cross-sectional survey. </w:t>
      </w:r>
      <w:r w:rsidRPr="005B0796">
        <w:rPr>
          <w:i/>
        </w:rPr>
        <w:t>International Journal of Social Psychiatry,</w:t>
      </w:r>
      <w:r w:rsidRPr="005B0796">
        <w:t xml:space="preserve"> 58 (4), 433–439.</w:t>
      </w:r>
    </w:p>
    <w:p w:rsidR="001C1F34" w:rsidRPr="005B0796" w:rsidRDefault="001C1F34" w:rsidP="001C1F34">
      <w:pPr>
        <w:pStyle w:val="References"/>
        <w:spacing w:after="120"/>
      </w:pPr>
      <w:r w:rsidRPr="005B0796">
        <w:t>Pine, D. S., Cohen, E., Cohen, P. &amp; Brook, J. (1999). Adolescent depressive symptoms as predictors of adult depression: moodiness or mood disorder?</w:t>
      </w:r>
      <w:r w:rsidRPr="005B0796">
        <w:rPr>
          <w:i/>
        </w:rPr>
        <w:t xml:space="preserve"> American Journal of Psychiatry,</w:t>
      </w:r>
      <w:r w:rsidRPr="005B0796">
        <w:t xml:space="preserve"> 56 (1), 133–135.</w:t>
      </w:r>
    </w:p>
    <w:p w:rsidR="001C1F34" w:rsidRPr="005B0796" w:rsidRDefault="001C1F34" w:rsidP="001C1F34">
      <w:pPr>
        <w:pStyle w:val="References"/>
        <w:spacing w:after="120"/>
      </w:pPr>
      <w:r w:rsidRPr="005B0796">
        <w:t>Post, R. M. &amp; Weiss, S. R. (1998). Sensitization and kindling phenomena in mood, anxiety, and obsessive</w:t>
      </w:r>
      <w:r w:rsidRPr="005B0796">
        <w:softHyphen/>
        <w:t xml:space="preserve">-compulsive disorders: the role of serotonergic mechanisms in illness progression. </w:t>
      </w:r>
      <w:r w:rsidRPr="005B0796">
        <w:rPr>
          <w:i/>
        </w:rPr>
        <w:t>Biological Psychiatry,</w:t>
      </w:r>
      <w:r w:rsidRPr="005B0796">
        <w:t xml:space="preserve"> 44 (3), 193–206.</w:t>
      </w:r>
    </w:p>
    <w:p w:rsidR="001C1F34" w:rsidRPr="005B0796" w:rsidRDefault="001C1F34" w:rsidP="001C1F34">
      <w:pPr>
        <w:pStyle w:val="References"/>
        <w:spacing w:after="120"/>
      </w:pPr>
      <w:r w:rsidRPr="005B0796">
        <w:t xml:space="preserve">Raja, M. &amp; Azzoni, A. (2004). Suicide attempts: differences between unipolar and bipolar patients and among groups with different lethality risk. </w:t>
      </w:r>
      <w:r w:rsidRPr="005B0796">
        <w:rPr>
          <w:i/>
        </w:rPr>
        <w:t>Journal of Affective Disorders,</w:t>
      </w:r>
      <w:r w:rsidRPr="005B0796">
        <w:t xml:space="preserve"> 82 (3), 437–442.</w:t>
      </w:r>
    </w:p>
    <w:p w:rsidR="001C1F34" w:rsidRPr="005B0796" w:rsidRDefault="001C1F34" w:rsidP="001C1F34">
      <w:pPr>
        <w:pStyle w:val="References"/>
        <w:spacing w:after="120"/>
      </w:pPr>
      <w:r w:rsidRPr="005B0796">
        <w:t xml:space="preserve">Ramchand, R., Rudaversusky, R., Grant, S., Tanielian, T. &amp; Jaycox, L. (2015). Prevalence of, risk factors for, and consequences of posttraumatic stress disorder and other mental health problems in military populations deployed to Iraq and Afghanistan. </w:t>
      </w:r>
      <w:r w:rsidRPr="005B0796">
        <w:rPr>
          <w:i/>
        </w:rPr>
        <w:t>Current Psychiatry Reports,</w:t>
      </w:r>
      <w:r w:rsidRPr="005B0796">
        <w:t xml:space="preserve"> 17 (5), 37.</w:t>
      </w:r>
    </w:p>
    <w:p w:rsidR="001C1F34" w:rsidRPr="005B0796" w:rsidRDefault="001C1F34" w:rsidP="001C1F34">
      <w:pPr>
        <w:pStyle w:val="References"/>
        <w:spacing w:after="120"/>
      </w:pPr>
      <w:r w:rsidRPr="005B0796">
        <w:t xml:space="preserve">Ray, S. L. &amp; Heaslip, K. (2011). Canadian military transitioning to civilian life: a discussion paper. </w:t>
      </w:r>
      <w:r w:rsidRPr="005B0796">
        <w:rPr>
          <w:i/>
        </w:rPr>
        <w:t>Journal of Psychiatric and Mental Health Nursing,</w:t>
      </w:r>
      <w:r w:rsidRPr="005B0796">
        <w:t xml:space="preserve"> 18 (3), 198–204.</w:t>
      </w:r>
    </w:p>
    <w:p w:rsidR="001C1F34" w:rsidRPr="005B0796" w:rsidRDefault="001C1F34" w:rsidP="001C1F34">
      <w:pPr>
        <w:pStyle w:val="References"/>
        <w:spacing w:after="120"/>
      </w:pPr>
      <w:r w:rsidRPr="005B0796">
        <w:t xml:space="preserve">Reddy, M. K., Meyer, T. D., Wittlin, N. M., Miller, I. W. &amp; Weinstock, L. M. (2017). Bipolar I disorder with comorbid PTSD: Demographic and clinical correlates in a sample of hospitalized patients. </w:t>
      </w:r>
      <w:r w:rsidRPr="005B0796">
        <w:rPr>
          <w:i/>
        </w:rPr>
        <w:t>Comprehensive Psychiatry,</w:t>
      </w:r>
      <w:r w:rsidRPr="005B0796">
        <w:t xml:space="preserve"> 72, 13–17.</w:t>
      </w:r>
    </w:p>
    <w:p w:rsidR="001C1F34" w:rsidRPr="005B0796" w:rsidRDefault="001C1F34" w:rsidP="001C1F34">
      <w:pPr>
        <w:pStyle w:val="References"/>
        <w:spacing w:after="120"/>
      </w:pPr>
      <w:r w:rsidRPr="005B0796">
        <w:t xml:space="preserve">Reed, R. L., Masters, S. &amp; Roeger, L. S. (2016). The Australian Defence Force Post-discharge GP Health Assessment. </w:t>
      </w:r>
      <w:r w:rsidRPr="005B0796">
        <w:rPr>
          <w:i/>
        </w:rPr>
        <w:t>Australian Family Physician,</w:t>
      </w:r>
      <w:r w:rsidRPr="005B0796">
        <w:t xml:space="preserve"> 45 (3), 94.</w:t>
      </w:r>
    </w:p>
    <w:p w:rsidR="001C1F34" w:rsidRPr="005B0796" w:rsidRDefault="001C1F34" w:rsidP="001C1F34">
      <w:pPr>
        <w:pStyle w:val="References"/>
        <w:spacing w:after="120"/>
      </w:pPr>
      <w:r w:rsidRPr="005B0796">
        <w:t xml:space="preserve">Ribeiro, J., Franklin, J., Fox, K., Bentley, K., Kleiman, E., Chang, B. &amp; Nock, M. (2016). Self-injurious thoughts and behaviors as risk factors for future suicide ideation, attempts, and death: a meta-analysis of longitudinal studies. </w:t>
      </w:r>
      <w:r w:rsidRPr="005B0796">
        <w:rPr>
          <w:i/>
        </w:rPr>
        <w:t>Psychological Medicine,</w:t>
      </w:r>
      <w:r w:rsidRPr="005B0796">
        <w:t xml:space="preserve"> 46 (02), 225–236.</w:t>
      </w:r>
    </w:p>
    <w:p w:rsidR="001C1F34" w:rsidRPr="005B0796" w:rsidRDefault="001C1F34" w:rsidP="001C1F34">
      <w:pPr>
        <w:pStyle w:val="References"/>
        <w:spacing w:after="120"/>
      </w:pPr>
      <w:r w:rsidRPr="005B0796">
        <w:t xml:space="preserve">Richardson, L. K., Frueh, B. C. &amp; Acierno, R. (2010). Prevalence estimates of combat-related post-traumatic stress disorder: critical review. </w:t>
      </w:r>
      <w:r w:rsidRPr="005B0796">
        <w:rPr>
          <w:i/>
        </w:rPr>
        <w:t>Australian and New Zealand Journal of Psychiatry,</w:t>
      </w:r>
      <w:r w:rsidRPr="005B0796">
        <w:t xml:space="preserve"> 44 (1), 4–19.</w:t>
      </w:r>
    </w:p>
    <w:p w:rsidR="001C1F34" w:rsidRPr="005B0796" w:rsidRDefault="001C1F34" w:rsidP="001C1F34">
      <w:pPr>
        <w:pStyle w:val="References"/>
        <w:spacing w:after="120"/>
      </w:pPr>
      <w:r w:rsidRPr="005B0796">
        <w:t xml:space="preserve">Riviere, L. A., Kendall-Robbins, A., McGurk, D., Castro, C. A., Hoge, C. W. (2011). Coming home may hurt: risk factors for mental ill health in US reservists after deployment in Iraq. </w:t>
      </w:r>
      <w:r w:rsidRPr="005B0796">
        <w:rPr>
          <w:i/>
        </w:rPr>
        <w:t>The British Journal of Psychiatry,</w:t>
      </w:r>
      <w:r w:rsidRPr="005B0796">
        <w:t xml:space="preserve"> 198, 136–142.</w:t>
      </w:r>
    </w:p>
    <w:p w:rsidR="001C1F34" w:rsidRPr="005B0796" w:rsidRDefault="001C1F34" w:rsidP="001C1F34">
      <w:pPr>
        <w:pStyle w:val="References"/>
        <w:spacing w:after="120"/>
      </w:pPr>
      <w:r w:rsidRPr="005B0796">
        <w:t xml:space="preserve">Rodenburg, J., Heesink, L. &amp; Drožđek, B. (2016). PTSD, Anger, and Aggression: Epidemiology, Etiology and Clinical Practice. </w:t>
      </w:r>
      <w:r w:rsidRPr="005B0796">
        <w:rPr>
          <w:i/>
        </w:rPr>
        <w:t>Comprehensive Guide to Post-Traumatic Stress Disorders</w:t>
      </w:r>
      <w:r w:rsidRPr="005B0796">
        <w:t>, 739–758.</w:t>
      </w:r>
    </w:p>
    <w:p w:rsidR="001C1F34" w:rsidRPr="005B0796" w:rsidRDefault="001C1F34" w:rsidP="001C1F34">
      <w:pPr>
        <w:pStyle w:val="References"/>
        <w:spacing w:after="120"/>
      </w:pPr>
      <w:r w:rsidRPr="005B0796">
        <w:t xml:space="preserve">Rumpf, H. J., Hapke, U., Meyer, C. &amp; John, U. (2002). Screening for alcohol use disorders and at-risk drinking in the general population: Psychometric performance of three questionnaires. </w:t>
      </w:r>
      <w:r w:rsidRPr="005B0796">
        <w:rPr>
          <w:i/>
        </w:rPr>
        <w:t>Alcohol and Alcoholism,</w:t>
      </w:r>
      <w:r w:rsidRPr="005B0796">
        <w:t xml:space="preserve"> 37 (3), 261–268.</w:t>
      </w:r>
    </w:p>
    <w:p w:rsidR="001C1F34" w:rsidRPr="005B0796" w:rsidRDefault="001C1F34" w:rsidP="001C1F34">
      <w:pPr>
        <w:pStyle w:val="References"/>
        <w:spacing w:after="120"/>
      </w:pPr>
      <w:r w:rsidRPr="005B0796">
        <w:t xml:space="preserve">Rytwinski, N. K., Scur, M. D., Feeny, N. C. &amp; Youngstrom, E. A. (2013). The co-occurrence of major depressive disorder among individuals with posttraumatic stress disorder: a meta-analysis. </w:t>
      </w:r>
      <w:r w:rsidRPr="005B0796">
        <w:rPr>
          <w:i/>
        </w:rPr>
        <w:t>Journal of Traumatic Stress,</w:t>
      </w:r>
      <w:r w:rsidRPr="005B0796">
        <w:t xml:space="preserve"> 26 (3), 299–309.</w:t>
      </w:r>
    </w:p>
    <w:p w:rsidR="001C1F34" w:rsidRPr="005B0796" w:rsidRDefault="001C1F34" w:rsidP="001C1F34">
      <w:pPr>
        <w:pStyle w:val="References"/>
        <w:spacing w:after="120"/>
      </w:pPr>
      <w:r w:rsidRPr="005B0796">
        <w:t xml:space="preserve">Salim, A. &amp; Welsh, A. H. (2009). Designing 2-phase prevalence studies in the absence of a </w:t>
      </w:r>
      <w:r w:rsidR="00462A0C" w:rsidRPr="005B0796">
        <w:t>‘</w:t>
      </w:r>
      <w:r w:rsidRPr="005B0796">
        <w:t>gold standard</w:t>
      </w:r>
      <w:r w:rsidR="00462A0C" w:rsidRPr="005B0796">
        <w:t>’</w:t>
      </w:r>
      <w:r w:rsidRPr="005B0796">
        <w:t xml:space="preserve"> test. </w:t>
      </w:r>
      <w:r w:rsidRPr="005B0796">
        <w:rPr>
          <w:i/>
        </w:rPr>
        <w:t>American Journal of Epidemiology,</w:t>
      </w:r>
      <w:r w:rsidRPr="005B0796">
        <w:t xml:space="preserve"> 170 (3), 369–378.</w:t>
      </w:r>
    </w:p>
    <w:p w:rsidR="001C1F34" w:rsidRPr="005B0796" w:rsidRDefault="001C1F34" w:rsidP="001C1F34">
      <w:pPr>
        <w:pStyle w:val="References"/>
        <w:spacing w:after="120"/>
      </w:pPr>
      <w:r w:rsidRPr="005B0796">
        <w:t xml:space="preserve">Saunders, J. B., Aasland, O. G., Babor, T. F., de la Fuente, J. R. &amp; Grant, M. (1993). Development of the Alcohol Use Disorders Identification Test (AUDIT): WHO Collaborative Project on Early Detection of Persons with Harmful Alcohol Consumption-II. </w:t>
      </w:r>
      <w:r w:rsidRPr="005B0796">
        <w:rPr>
          <w:i/>
        </w:rPr>
        <w:t>Addiction,</w:t>
      </w:r>
      <w:r w:rsidRPr="005B0796">
        <w:t xml:space="preserve"> 88 (6), 791–804.</w:t>
      </w:r>
    </w:p>
    <w:p w:rsidR="001C1F34" w:rsidRPr="005B0796" w:rsidRDefault="001C1F34" w:rsidP="001C1F34">
      <w:pPr>
        <w:pStyle w:val="References"/>
        <w:spacing w:after="120"/>
      </w:pPr>
      <w:r w:rsidRPr="005B0796">
        <w:t xml:space="preserve">Sayer, N. A., Carlson, K. F. &amp; Frazier, P. A. (2014). Reintegration challenges in U.S. service members and veterans following combat deployment. </w:t>
      </w:r>
      <w:r w:rsidRPr="005B0796">
        <w:rPr>
          <w:i/>
        </w:rPr>
        <w:t>Social Issues and Policy Review,</w:t>
      </w:r>
      <w:r w:rsidRPr="005B0796">
        <w:t xml:space="preserve"> 8 (1), 33–73.</w:t>
      </w:r>
    </w:p>
    <w:p w:rsidR="001C1F34" w:rsidRPr="005B0796" w:rsidRDefault="001C1F34" w:rsidP="001C1F34">
      <w:pPr>
        <w:pStyle w:val="References"/>
        <w:spacing w:after="120"/>
      </w:pPr>
      <w:r w:rsidRPr="005B0796">
        <w:t xml:space="preserve">Sayer, N. A., Noorbaloochi, S., Frazier, P., Carlson, K., Gravely, A. &amp; Murdoch, M. (2010). Reintegration problems and treatment interests among Iraq and Afghanistan combat veterans receiving VA medical care. </w:t>
      </w:r>
      <w:r w:rsidRPr="005B0796">
        <w:rPr>
          <w:i/>
        </w:rPr>
        <w:t>Psychiatric Services,</w:t>
      </w:r>
      <w:r w:rsidRPr="005B0796">
        <w:t xml:space="preserve"> 61 (6), 589–597.</w:t>
      </w:r>
    </w:p>
    <w:p w:rsidR="001C1F34" w:rsidRPr="005B0796" w:rsidRDefault="001C1F34" w:rsidP="001C1F34">
      <w:pPr>
        <w:pStyle w:val="References"/>
        <w:spacing w:after="120"/>
      </w:pPr>
      <w:r w:rsidRPr="005B0796">
        <w:t xml:space="preserve">Sayer, N. A., Orazem, R. J., Noorbaloochi, S., Gravely, A., Frazier, P., Carlson, K. F., Schnurr, P. P. &amp; Oleson, H. (2015). Iraq and Afghanistan War veterans with reintegration problems: Differences by Veterans Affairs healthcare user status. </w:t>
      </w:r>
      <w:r w:rsidRPr="005B0796">
        <w:rPr>
          <w:i/>
        </w:rPr>
        <w:t>Administration and Policy in Mental Health and Mental Health Services Research,</w:t>
      </w:r>
      <w:r w:rsidRPr="005B0796">
        <w:t xml:space="preserve"> 42 (4), 493–503.</w:t>
      </w:r>
    </w:p>
    <w:p w:rsidR="001C1F34" w:rsidRPr="005B0796" w:rsidRDefault="001C1F34" w:rsidP="001C1F34">
      <w:pPr>
        <w:pStyle w:val="References"/>
        <w:spacing w:after="120"/>
      </w:pPr>
      <w:r w:rsidRPr="005B0796">
        <w:t xml:space="preserve">Schmidt, U. (2015). A plea for symptom-based research in psychiatry. </w:t>
      </w:r>
      <w:r w:rsidRPr="005B0796">
        <w:rPr>
          <w:i/>
        </w:rPr>
        <w:t>European Journal of Psychotraumatology,</w:t>
      </w:r>
      <w:r w:rsidRPr="005B0796">
        <w:t xml:space="preserve"> 6.</w:t>
      </w:r>
    </w:p>
    <w:p w:rsidR="001C1F34" w:rsidRPr="005B0796" w:rsidRDefault="001C1F34" w:rsidP="001C1F34">
      <w:pPr>
        <w:pStyle w:val="References"/>
        <w:spacing w:after="120"/>
      </w:pPr>
      <w:r w:rsidRPr="005B0796">
        <w:t xml:space="preserve">Schür, R. R., Boks, M. P., Geuze, E., Prinsen, H. C., Verhoeven-Duif, N. M., Joëls, M., Kahn, R. S., Vermetten, E. &amp; Vinkers, C. H. (2016). Development of psychopathology in deployed armed forces in relation to plasma GABA levels. </w:t>
      </w:r>
      <w:r w:rsidRPr="005B0796">
        <w:rPr>
          <w:i/>
        </w:rPr>
        <w:t>Psychoneuroendocrinology,</w:t>
      </w:r>
      <w:r w:rsidRPr="005B0796">
        <w:t xml:space="preserve"> 73, 263–270.</w:t>
      </w:r>
    </w:p>
    <w:p w:rsidR="001C1F34" w:rsidRPr="005B0796" w:rsidRDefault="001C1F34" w:rsidP="001C1F34">
      <w:pPr>
        <w:pStyle w:val="References"/>
        <w:spacing w:after="120"/>
      </w:pPr>
      <w:r w:rsidRPr="005B0796">
        <w:t xml:space="preserve">Schuster, T. L., Kessler, R. C. &amp; Aseltine, R. H. Jr. (1990). Supportive interactions, negative interactions, and depressed mood. </w:t>
      </w:r>
      <w:r w:rsidRPr="005B0796">
        <w:rPr>
          <w:i/>
        </w:rPr>
        <w:t>American Journal of Community Psychology,</w:t>
      </w:r>
      <w:r w:rsidRPr="005B0796">
        <w:t xml:space="preserve"> 18 (3), 423–438.</w:t>
      </w:r>
    </w:p>
    <w:p w:rsidR="001C1F34" w:rsidRPr="005B0796" w:rsidRDefault="001C1F34" w:rsidP="001C1F34">
      <w:pPr>
        <w:pStyle w:val="References"/>
        <w:spacing w:after="120"/>
      </w:pPr>
      <w:r w:rsidRPr="005B0796">
        <w:t xml:space="preserve">Scott, J., Leboyer, M., Hickie, I., Berk, M., Kapczinski, F., Frank, E., Kupfer, D. &amp; McGorry, P. (2013). Clinical staging in psychiatry: a cross-cutting model of diagnosis with heuristic and practical value. </w:t>
      </w:r>
      <w:r w:rsidRPr="005B0796">
        <w:rPr>
          <w:i/>
        </w:rPr>
        <w:t>British Journal of Psychiatry,</w:t>
      </w:r>
      <w:r w:rsidRPr="005B0796">
        <w:t xml:space="preserve"> 202 (4), 243–245.</w:t>
      </w:r>
    </w:p>
    <w:p w:rsidR="001C1F34" w:rsidRPr="005B0796" w:rsidRDefault="001C1F34" w:rsidP="001C1F34">
      <w:pPr>
        <w:pStyle w:val="References"/>
        <w:spacing w:after="120"/>
      </w:pPr>
      <w:r w:rsidRPr="005B0796">
        <w:t xml:space="preserve">Seal, K. H., Bertenthal, D., Miner, C. R., Sen, S. &amp; Marmar, C. R. (2007). Bringing the war back home. Mental health disorders among 103,788 US veterans returning from Iraq and Afghanistan seen at the Department of Veterans Affairs facilities. </w:t>
      </w:r>
      <w:r w:rsidRPr="005B0796">
        <w:rPr>
          <w:i/>
        </w:rPr>
        <w:t>Archives of Internal Medicine,</w:t>
      </w:r>
      <w:r w:rsidRPr="005B0796">
        <w:t xml:space="preserve"> 167 (5), 476–482.</w:t>
      </w:r>
    </w:p>
    <w:p w:rsidR="001C1F34" w:rsidRPr="005B0796" w:rsidRDefault="001C1F34" w:rsidP="001C1F34">
      <w:pPr>
        <w:pStyle w:val="References"/>
        <w:spacing w:after="120"/>
      </w:pPr>
      <w:r w:rsidRPr="005B0796">
        <w:t>Searle, A. K., Fairweather-Schmidt, A. K., Saccone, E., McFarlane, A. C., Van Hooff, M., Tran, T., Hedges, L. &amp; Lorimer, M. (2013). Detailed associations between deployment and disorder in the Australian Defence Force: Results from the 2010 ADF Mental Health Prevalence and Wellbeing dataset. Report for Joint Health Command. Canberra: Department of Defence.</w:t>
      </w:r>
    </w:p>
    <w:p w:rsidR="001C1F34" w:rsidRPr="005B0796" w:rsidRDefault="001C1F34" w:rsidP="001C1F34">
      <w:pPr>
        <w:pStyle w:val="References"/>
        <w:spacing w:after="120"/>
      </w:pPr>
      <w:r w:rsidRPr="005B0796">
        <w:t xml:space="preserve">Searle, A. K., Van Hooff, M., McFarlane, A. C., Davies, C. E., Fairweather-Schmidt, A. K., Hodson, S. E., Benassi, H. &amp; Steele, N. (2015). The validity of military screening for mental health problems: Diagnostic accuracy of the PCL, K10 and AUDIT scales in an entire military population. </w:t>
      </w:r>
      <w:r w:rsidRPr="005B0796">
        <w:rPr>
          <w:i/>
        </w:rPr>
        <w:t>International Journal of Methods in Psychiatric Research,</w:t>
      </w:r>
      <w:r w:rsidRPr="005B0796">
        <w:t xml:space="preserve"> 24 (1), 32–45.</w:t>
      </w:r>
    </w:p>
    <w:p w:rsidR="001C1F34" w:rsidRPr="005B0796" w:rsidRDefault="001C1F34" w:rsidP="001C1F34">
      <w:pPr>
        <w:pStyle w:val="References"/>
        <w:spacing w:after="120"/>
      </w:pPr>
      <w:r w:rsidRPr="005B0796">
        <w:t xml:space="preserve">Sheehan, D. V. (1983). </w:t>
      </w:r>
      <w:r w:rsidRPr="005B0796">
        <w:rPr>
          <w:i/>
        </w:rPr>
        <w:t xml:space="preserve">The Anxiety Disease, </w:t>
      </w:r>
      <w:r w:rsidRPr="005B0796">
        <w:t>New York: Charles Scribner and Sons.</w:t>
      </w:r>
    </w:p>
    <w:p w:rsidR="001C1F34" w:rsidRPr="005B0796" w:rsidRDefault="001C1F34" w:rsidP="001C1F34">
      <w:pPr>
        <w:pStyle w:val="References"/>
        <w:spacing w:after="120"/>
      </w:pPr>
      <w:r w:rsidRPr="005B0796">
        <w:t>Shi</w:t>
      </w:r>
      <w:r w:rsidR="00FF4FBE">
        <w:t>e</w:t>
      </w:r>
      <w:r w:rsidRPr="005B0796">
        <w:t xml:space="preserve">lds, D. M., Kuhl, D., Lutz, K., Freder, J., Baumann, N. &amp; Lopresti, P. (2016). </w:t>
      </w:r>
      <w:r w:rsidRPr="005B0796">
        <w:rPr>
          <w:i/>
        </w:rPr>
        <w:t xml:space="preserve">Mental health and well-being of military veterans during military to civilian transition: review and analysis of the recent literature, </w:t>
      </w:r>
      <w:r w:rsidRPr="005B0796">
        <w:t>Canada: Canadian Institute for Military and Veteran Health Research &amp; Scientific Authority, Veterans Affairs Canada.</w:t>
      </w:r>
    </w:p>
    <w:p w:rsidR="001C1F34" w:rsidRPr="005B0796" w:rsidRDefault="001C1F34" w:rsidP="001C1F34">
      <w:pPr>
        <w:pStyle w:val="References"/>
        <w:spacing w:after="120"/>
      </w:pPr>
      <w:r w:rsidRPr="005B0796">
        <w:t xml:space="preserve">Shirt, L. (2012). </w:t>
      </w:r>
      <w:r w:rsidRPr="005B0796">
        <w:rPr>
          <w:i/>
        </w:rPr>
        <w:t xml:space="preserve">2011 Australian Defence Force Exit Survey Preliminary Report. </w:t>
      </w:r>
      <w:r w:rsidRPr="005B0796">
        <w:t>Commonwealth of Australia: Directorate of Strategic Personnel Policy Research.</w:t>
      </w:r>
    </w:p>
    <w:p w:rsidR="001C1F34" w:rsidRPr="005B0796" w:rsidRDefault="001C1F34" w:rsidP="001C1F34">
      <w:pPr>
        <w:pStyle w:val="References"/>
        <w:spacing w:after="120"/>
      </w:pPr>
      <w:r w:rsidRPr="005B0796">
        <w:t xml:space="preserve">Sim, M. R., Clarke, D., Forbes, A. B., Glass, D., Gwini, S., Ikin, J. F., Kelsall, H. L., McKenzie, D. P. &amp; Wright, B. 2015. </w:t>
      </w:r>
      <w:r w:rsidRPr="005B0796">
        <w:rPr>
          <w:i/>
        </w:rPr>
        <w:t xml:space="preserve">Australian Gulf War Follow up Health Study: Technical Report </w:t>
      </w:r>
      <w:r w:rsidRPr="005B0796">
        <w:t xml:space="preserve">[Online]. Melbourne: Monash University. Available: </w:t>
      </w:r>
      <w:hyperlink r:id="rId320" w:history="1">
        <w:r w:rsidRPr="005B0796">
          <w:rPr>
            <w:rStyle w:val="Hyperlink"/>
          </w:rPr>
          <w:t>www.coeh.monash.org/gwfollowup.html</w:t>
        </w:r>
      </w:hyperlink>
      <w:r w:rsidRPr="005B0796">
        <w:t>.</w:t>
      </w:r>
    </w:p>
    <w:p w:rsidR="001C1F34" w:rsidRPr="005B0796" w:rsidRDefault="001C1F34" w:rsidP="001C1F34">
      <w:pPr>
        <w:pStyle w:val="References"/>
        <w:spacing w:after="120"/>
      </w:pPr>
      <w:r w:rsidRPr="005B0796">
        <w:t xml:space="preserve">Simpson, T. L., Stappenbeck, C. A., Luterek, J. A., Lehavot, K. &amp; Kaysen, D. L. (2014). Drinking motives moderate daily relationships between PTSD symptoms and alcohol use. </w:t>
      </w:r>
      <w:r w:rsidRPr="005B0796">
        <w:rPr>
          <w:i/>
        </w:rPr>
        <w:t>Journal of Abnormal Psychology,</w:t>
      </w:r>
      <w:r w:rsidRPr="005B0796">
        <w:t xml:space="preserve"> 123 (1), 237.</w:t>
      </w:r>
    </w:p>
    <w:p w:rsidR="001C1F34" w:rsidRPr="005B0796" w:rsidRDefault="001C1F34" w:rsidP="001C1F34">
      <w:pPr>
        <w:pStyle w:val="References"/>
        <w:spacing w:after="120"/>
      </w:pPr>
      <w:r w:rsidRPr="005B0796">
        <w:t xml:space="preserve">Simpson, T. L., Stappenbeck, C. A., Varra, A. A., Moore, S. A. &amp; Kaysen, D. (2012). Symptoms of posttraumatic stress predict craving among alcohol treatment seekers: Results of a daily monitoring study. </w:t>
      </w:r>
      <w:r w:rsidRPr="005B0796">
        <w:rPr>
          <w:i/>
        </w:rPr>
        <w:t>Psychology of Addictive Behaviors,</w:t>
      </w:r>
      <w:r w:rsidRPr="005B0796">
        <w:t xml:space="preserve"> 26 (4), 724.</w:t>
      </w:r>
    </w:p>
    <w:p w:rsidR="001C1F34" w:rsidRPr="005B0796" w:rsidRDefault="001C1F34" w:rsidP="001C1F34">
      <w:pPr>
        <w:pStyle w:val="References"/>
        <w:spacing w:after="120"/>
      </w:pPr>
      <w:r w:rsidRPr="005B0796">
        <w:t xml:space="preserve">Slade, T., Johnston, A., Oakley Browne, M. A., Andrews, G. &amp; Whiteford, H. (2009). 2007 National Survey of Mental Health and Wellbeing: methods and key findings. </w:t>
      </w:r>
      <w:r w:rsidRPr="005B0796">
        <w:rPr>
          <w:i/>
        </w:rPr>
        <w:t>Australian and New Zealand Journal of Psychiatry,</w:t>
      </w:r>
      <w:r w:rsidRPr="005B0796">
        <w:t xml:space="preserve"> 43 (7), 594–605.</w:t>
      </w:r>
    </w:p>
    <w:p w:rsidR="001C1F34" w:rsidRPr="005B0796" w:rsidRDefault="001C1F34" w:rsidP="001C1F34">
      <w:pPr>
        <w:pStyle w:val="References"/>
        <w:spacing w:after="120"/>
      </w:pPr>
      <w:r w:rsidRPr="005B0796">
        <w:t xml:space="preserve">Slade, T., Johnston, A., Teesson, M., Whiteford, H., Burgess, P., Pirkis, J. &amp; Saw, S. (2007). </w:t>
      </w:r>
      <w:r w:rsidRPr="005B0796">
        <w:rPr>
          <w:i/>
        </w:rPr>
        <w:t xml:space="preserve">The Mental Health of Australians 2. Report on the 2007 National Survey of Mental Health and Wellbeing. </w:t>
      </w:r>
      <w:r w:rsidRPr="005B0796">
        <w:t>Department of Health and Ageing: Canberra.</w:t>
      </w:r>
    </w:p>
    <w:p w:rsidR="001C1F34" w:rsidRPr="005B0796" w:rsidRDefault="001C1F34" w:rsidP="001C1F34">
      <w:pPr>
        <w:pStyle w:val="References"/>
        <w:spacing w:after="120"/>
      </w:pPr>
      <w:r w:rsidRPr="005B0796">
        <w:t>Smart, D., Vassallo, S., Sanson, A., Cockfield, S., Harris, A., Harrison, W. and McIntyre, A. (2005). In the driver</w:t>
      </w:r>
      <w:r w:rsidR="00462A0C" w:rsidRPr="005B0796">
        <w:t>’</w:t>
      </w:r>
      <w:r w:rsidRPr="005B0796">
        <w:t>s seat: Understanding young adults</w:t>
      </w:r>
      <w:r w:rsidR="00462A0C" w:rsidRPr="005B0796">
        <w:t>’</w:t>
      </w:r>
      <w:r w:rsidRPr="005B0796">
        <w:t xml:space="preserve"> driving behaviour. Research report No. 12. Melbourne, Victoria: Australian Institute of Family Studies. </w:t>
      </w:r>
    </w:p>
    <w:p w:rsidR="001C1F34" w:rsidRPr="005B0796" w:rsidRDefault="001C1F34" w:rsidP="001C1F34">
      <w:pPr>
        <w:pStyle w:val="References"/>
        <w:spacing w:after="120"/>
      </w:pPr>
      <w:r w:rsidRPr="005B0796">
        <w:t xml:space="preserve">Smid, G. E., Kleber, R. J., Rademaker, A. R., van Zuiden, M. &amp; Vermetten, E. (2013). The role of stress sensitization in progression of posttraumatic distress following deployment. </w:t>
      </w:r>
      <w:r w:rsidRPr="005B0796">
        <w:rPr>
          <w:i/>
        </w:rPr>
        <w:t>Social Psychiatry + Psychiatric Epidemiolology,</w:t>
      </w:r>
      <w:r w:rsidRPr="005B0796">
        <w:t xml:space="preserve"> 48 (11), 1743–1754.</w:t>
      </w:r>
    </w:p>
    <w:p w:rsidR="001C1F34" w:rsidRPr="005B0796" w:rsidRDefault="001C1F34" w:rsidP="001C1F34">
      <w:pPr>
        <w:pStyle w:val="References"/>
        <w:spacing w:after="120"/>
      </w:pPr>
      <w:r w:rsidRPr="005B0796">
        <w:t xml:space="preserve">Smith, B. W., Dalen, J., Wiggins, K., Tooley, E., Christopher, P. &amp; Bernard, J. (2008). The brief resilience scale: assessing the ability to bounce back. </w:t>
      </w:r>
      <w:r w:rsidRPr="005B0796">
        <w:rPr>
          <w:i/>
        </w:rPr>
        <w:t>International Journal of Behavioral Medicine,</w:t>
      </w:r>
      <w:r w:rsidRPr="005B0796">
        <w:t xml:space="preserve"> 15 (3), 194–200.</w:t>
      </w:r>
    </w:p>
    <w:p w:rsidR="001C1F34" w:rsidRPr="005B0796" w:rsidRDefault="001C1F34" w:rsidP="001C1F34">
      <w:pPr>
        <w:pStyle w:val="References"/>
        <w:spacing w:after="120"/>
      </w:pPr>
      <w:r w:rsidRPr="005B0796">
        <w:t xml:space="preserve">Spitzer, R. L., Kroenke, K., Williams, J. B. &amp; Löwe, B. (2006). A brief measure for assessing generalized anxiety disorder: The GAD-7. </w:t>
      </w:r>
      <w:r w:rsidRPr="005B0796">
        <w:rPr>
          <w:i/>
        </w:rPr>
        <w:t>Archives of Internal Medicine,</w:t>
      </w:r>
      <w:r w:rsidRPr="005B0796">
        <w:t xml:space="preserve"> 166 (10), 1092–1097.</w:t>
      </w:r>
    </w:p>
    <w:p w:rsidR="001C1F34" w:rsidRPr="005B0796" w:rsidRDefault="001C1F34" w:rsidP="001C1F34">
      <w:pPr>
        <w:pStyle w:val="References"/>
        <w:spacing w:after="120"/>
      </w:pPr>
      <w:r w:rsidRPr="005B0796">
        <w:t>St George</w:t>
      </w:r>
      <w:r w:rsidR="00462A0C" w:rsidRPr="005B0796">
        <w:t>’</w:t>
      </w:r>
      <w:r w:rsidRPr="005B0796">
        <w:t>s House. (2014). Back to Civvy Street: How can we better support individuals to lead successful civilian lives after a career in the UK Armed Forces? Windsor: Windsor Castle College of St George.</w:t>
      </w:r>
    </w:p>
    <w:p w:rsidR="001C1F34" w:rsidRPr="005B0796" w:rsidRDefault="001C1F34" w:rsidP="001C1F34">
      <w:pPr>
        <w:pStyle w:val="References"/>
        <w:spacing w:after="120"/>
      </w:pPr>
      <w:r w:rsidRPr="005B0796">
        <w:t xml:space="preserve">Stanley, I. H., Hom, M. A., Hagan, C. R. &amp; Joiner, T. E. (2015). Career prevalence and correlates of suicidal thoughts and behaviors among firefighters. </w:t>
      </w:r>
      <w:r w:rsidRPr="005B0796">
        <w:rPr>
          <w:i/>
        </w:rPr>
        <w:t>Journal of Affective Disorders,</w:t>
      </w:r>
      <w:r w:rsidRPr="005B0796">
        <w:t xml:space="preserve"> 187, 163–171.</w:t>
      </w:r>
    </w:p>
    <w:p w:rsidR="001C1F34" w:rsidRPr="005B0796" w:rsidRDefault="001C1F34" w:rsidP="001C1F34">
      <w:pPr>
        <w:pStyle w:val="References"/>
        <w:spacing w:after="120"/>
      </w:pPr>
      <w:r w:rsidRPr="005B0796">
        <w:t xml:space="preserve">Statistics Canada. (2003). </w:t>
      </w:r>
      <w:r w:rsidRPr="005B0796">
        <w:rPr>
          <w:i/>
        </w:rPr>
        <w:t xml:space="preserve">National Longitudinal Survey of Children and Youth Cycle 4 Survey Instruments 2000-2001, Book 1 – Parent, Child &amp; Youth, </w:t>
      </w:r>
      <w:r w:rsidRPr="005B0796">
        <w:t>Cat. no. 89FOO77XPE, no. 4a. Canada: Statistics Canada.</w:t>
      </w:r>
    </w:p>
    <w:p w:rsidR="001C1F34" w:rsidRPr="005B0796" w:rsidRDefault="001C1F34" w:rsidP="001C1F34">
      <w:pPr>
        <w:pStyle w:val="References"/>
        <w:spacing w:after="120"/>
      </w:pPr>
      <w:r w:rsidRPr="005B0796">
        <w:t xml:space="preserve">Steele, N. &amp; Goodman, M. (2006). </w:t>
      </w:r>
      <w:r w:rsidRPr="005B0796">
        <w:rPr>
          <w:i/>
        </w:rPr>
        <w:t xml:space="preserve">History of ADF Mental Health Screening 1999–2005. </w:t>
      </w:r>
      <w:r w:rsidRPr="005B0796">
        <w:t>In PRTG technical brief 4/2006 (ed). Canberra: Defence Force Psychology Organisation, Department of Defence.</w:t>
      </w:r>
    </w:p>
    <w:p w:rsidR="001C1F34" w:rsidRPr="005B0796" w:rsidRDefault="001C1F34" w:rsidP="001C1F34">
      <w:pPr>
        <w:pStyle w:val="References"/>
        <w:spacing w:after="120"/>
      </w:pPr>
      <w:r w:rsidRPr="005B0796">
        <w:t xml:space="preserve">Steudte-Schmiedgen, S., Stalder, T., Schönfeld, S., Wittchen, H.-U., Trautmann, S., Alexander, N., Miller, R. &amp; Kirschbaum, C. (2015). Hair cortisol concentrations and cortisol stress reactivity predict PTSD symptom increase after trauma exposure during military deployment. </w:t>
      </w:r>
      <w:r w:rsidRPr="005B0796">
        <w:rPr>
          <w:i/>
        </w:rPr>
        <w:t>Psychoneuroendocrinology,</w:t>
      </w:r>
      <w:r w:rsidRPr="005B0796">
        <w:t xml:space="preserve"> 59, 123–133.</w:t>
      </w:r>
    </w:p>
    <w:p w:rsidR="001C1F34" w:rsidRPr="005B0796" w:rsidRDefault="001C1F34" w:rsidP="001C1F34">
      <w:pPr>
        <w:pStyle w:val="References"/>
        <w:spacing w:after="120"/>
      </w:pPr>
      <w:r w:rsidRPr="005B0796">
        <w:t xml:space="preserve">Stewart, I. J., Sosnov, J. A., Howard, J. T., Orman, J. A., Fang, R., Morrow, B. D., Zonies, D. H., Bollinger, M., Tuman, C., Freedman, B. A. &amp; Chung, K. K. (2015). Retrospective Analysis of Long-Term Outcomes After Combat Injury: A Hidden Cost of War. </w:t>
      </w:r>
      <w:r w:rsidRPr="005B0796">
        <w:rPr>
          <w:i/>
        </w:rPr>
        <w:t>Circulation,</w:t>
      </w:r>
      <w:r w:rsidRPr="005B0796">
        <w:t xml:space="preserve"> 132 (22), 2126–2133.</w:t>
      </w:r>
    </w:p>
    <w:p w:rsidR="001C1F34" w:rsidRPr="005B0796" w:rsidRDefault="001C1F34" w:rsidP="001C1F34">
      <w:pPr>
        <w:pStyle w:val="References"/>
        <w:spacing w:after="120"/>
      </w:pPr>
      <w:r w:rsidRPr="005B0796">
        <w:t xml:space="preserve">Stinchfield, R., Govoni, R., &amp; Frisch, G. R. (2007). A review of screening and assessment instruments for problem and pathological gambling. </w:t>
      </w:r>
      <w:r w:rsidRPr="005B0796">
        <w:rPr>
          <w:i/>
        </w:rPr>
        <w:t>Research and Measurement Issues in Gambling Studies,</w:t>
      </w:r>
      <w:r w:rsidRPr="005B0796">
        <w:t xml:space="preserve"> 1, 179–213. </w:t>
      </w:r>
    </w:p>
    <w:p w:rsidR="001C1F34" w:rsidRPr="005B0796" w:rsidRDefault="001C1F34" w:rsidP="001C1F34">
      <w:pPr>
        <w:pStyle w:val="References"/>
        <w:spacing w:after="120"/>
      </w:pPr>
      <w:r w:rsidRPr="005B0796">
        <w:t>Strazdins, L., D</w:t>
      </w:r>
      <w:r w:rsidR="00462A0C" w:rsidRPr="005B0796">
        <w:t>’</w:t>
      </w:r>
      <w:r w:rsidRPr="005B0796">
        <w:t xml:space="preserve">Souza, R. M., Clements, M., Broom, D. H., Rodgers, B. &amp; Berry, H. L. (2011). Could better jobs improve mental health? A prospective study of change in work conditions and mental health in mid-aged adults. </w:t>
      </w:r>
      <w:r w:rsidRPr="005B0796">
        <w:rPr>
          <w:i/>
        </w:rPr>
        <w:t>Journal of Epidemiology and Community Health,</w:t>
      </w:r>
      <w:r w:rsidRPr="005B0796">
        <w:t xml:space="preserve"> 65 (6), 529–534.</w:t>
      </w:r>
    </w:p>
    <w:p w:rsidR="001C1F34" w:rsidRPr="005B0796" w:rsidRDefault="001C1F34" w:rsidP="001C1F34">
      <w:pPr>
        <w:pStyle w:val="References"/>
        <w:spacing w:after="120"/>
      </w:pPr>
      <w:r w:rsidRPr="005B0796">
        <w:t xml:space="preserve">Sundin, J., Herrell, R. K., Hoge, C. W., Fear, N. T., Adler, A. B., Greenberg, N., Riviere, L. A., Thomas, J. L., Wessely, S. &amp; Bliese, P. D. (2014). Mental health outcomes in US and UK military personnel returning from Iraq. </w:t>
      </w:r>
      <w:r w:rsidRPr="005B0796">
        <w:rPr>
          <w:i/>
        </w:rPr>
        <w:t>British Journal of Psychiatry,</w:t>
      </w:r>
      <w:r w:rsidRPr="005B0796">
        <w:t xml:space="preserve"> 204 (3), 200–207.</w:t>
      </w:r>
    </w:p>
    <w:p w:rsidR="001C1F34" w:rsidRPr="005B0796" w:rsidRDefault="001C1F34" w:rsidP="001C1F34">
      <w:pPr>
        <w:pStyle w:val="References"/>
        <w:spacing w:after="120"/>
      </w:pPr>
      <w:r w:rsidRPr="005B0796">
        <w:t xml:space="preserve">Tanielian, T. &amp; Jaycox, L. H. (eds.) 2008. </w:t>
      </w:r>
      <w:r w:rsidRPr="005B0796">
        <w:rPr>
          <w:i/>
        </w:rPr>
        <w:t xml:space="preserve">Invisible wounds of war: Psychological and cognitive injuries, their consequences, and services to assist recovery. </w:t>
      </w:r>
      <w:r w:rsidRPr="005B0796">
        <w:t>Santa Monica, SA: RAND Corporation.</w:t>
      </w:r>
    </w:p>
    <w:p w:rsidR="001C1F34" w:rsidRPr="005B0796" w:rsidRDefault="001C1F34" w:rsidP="001C1F34">
      <w:pPr>
        <w:pStyle w:val="References"/>
        <w:spacing w:after="120"/>
      </w:pPr>
      <w:r w:rsidRPr="005B0796">
        <w:t xml:space="preserve">Teesson, M., Slade, T. &amp; Mills, K. (2009). Comorbidity in Australia: findings of the 2007 National Survey of Mental Health and Wellbeing. </w:t>
      </w:r>
      <w:r w:rsidRPr="005B0796">
        <w:rPr>
          <w:i/>
        </w:rPr>
        <w:t>Australian and New Zealand Journal of Psychiatry,</w:t>
      </w:r>
      <w:r w:rsidRPr="005B0796">
        <w:t xml:space="preserve"> 43 (7), 606–614.</w:t>
      </w:r>
    </w:p>
    <w:p w:rsidR="001C1F34" w:rsidRPr="005B0796" w:rsidRDefault="001C1F34" w:rsidP="001C1F34">
      <w:pPr>
        <w:pStyle w:val="References"/>
        <w:spacing w:after="120"/>
      </w:pPr>
      <w:r w:rsidRPr="005B0796">
        <w:t xml:space="preserve">Thomas, J. L., Wilk, J. E., Riviere, L. A., et al. (2010). Prevalence of Mental Health Problems and Functional Impairment Among Active Component and National Guard Soldiers 3 and 12 Months Following Combat in Iraq. </w:t>
      </w:r>
      <w:r w:rsidRPr="005B0796">
        <w:rPr>
          <w:i/>
        </w:rPr>
        <w:t>Archives of General Psychiatry,</w:t>
      </w:r>
      <w:r w:rsidRPr="005B0796">
        <w:t xml:space="preserve"> 67 (6), 614–623.</w:t>
      </w:r>
    </w:p>
    <w:p w:rsidR="001C1F34" w:rsidRPr="005B0796" w:rsidRDefault="001C1F34" w:rsidP="001C1F34">
      <w:pPr>
        <w:pStyle w:val="References"/>
        <w:spacing w:after="120"/>
      </w:pPr>
      <w:r w:rsidRPr="005B0796">
        <w:t xml:space="preserve">Thompson, J., Hopman, W., Sweet, J., VanTil, L., MacLean, M., VanDenKerkhof, E., Sudom, K., Poirier, A. &amp; Pedlar, D. (2013). Health-related Quality of Life of Canadian Forces Veterans After Transition to Civilian Life. </w:t>
      </w:r>
      <w:r w:rsidRPr="005B0796">
        <w:rPr>
          <w:i/>
        </w:rPr>
        <w:t>Canadian Journal of Public Health,</w:t>
      </w:r>
      <w:r w:rsidRPr="005B0796">
        <w:t xml:space="preserve"> 104 (1), e15–e21.</w:t>
      </w:r>
    </w:p>
    <w:p w:rsidR="001C1F34" w:rsidRPr="005B0796" w:rsidRDefault="001C1F34" w:rsidP="001C1F34">
      <w:pPr>
        <w:pStyle w:val="References"/>
        <w:spacing w:after="120"/>
      </w:pPr>
      <w:r w:rsidRPr="005B0796">
        <w:t xml:space="preserve">Thompson, J., MacLean, M. B., Van Til, L., Sweet, J., Poirier, A. &amp; Pedlar, D. (2011a). </w:t>
      </w:r>
      <w:r w:rsidRPr="005B0796">
        <w:rPr>
          <w:i/>
        </w:rPr>
        <w:t xml:space="preserve">Survey on transition to civilian life: Report on regular force veterans, </w:t>
      </w:r>
      <w:r w:rsidRPr="005B0796">
        <w:t>Research Directorate, Veterans Affairs Canada, Chalottetown: Director General Military Personnel Research and Analysis, Department of National Defence, Ottowa.</w:t>
      </w:r>
    </w:p>
    <w:p w:rsidR="001C1F34" w:rsidRPr="005B0796" w:rsidRDefault="001C1F34" w:rsidP="001C1F34">
      <w:pPr>
        <w:pStyle w:val="References"/>
        <w:spacing w:after="120"/>
      </w:pPr>
      <w:r w:rsidRPr="005B0796">
        <w:t xml:space="preserve">Thompson, J., Sweet, J., Poirier, A. &amp; VanTil, L. (2011b). </w:t>
      </w:r>
      <w:r w:rsidRPr="005B0796">
        <w:rPr>
          <w:i/>
        </w:rPr>
        <w:t xml:space="preserve">Suicide ideation and attempt findings in the Survey on Transition to Civilian Life: Descriptive analysis. </w:t>
      </w:r>
      <w:r w:rsidRPr="005B0796">
        <w:t>Charlottetown, PEI: Veterans Affairs Canada technical report. 30 November 2011-OK-EG.</w:t>
      </w:r>
    </w:p>
    <w:p w:rsidR="001C1F34" w:rsidRPr="005B0796" w:rsidRDefault="001C1F34" w:rsidP="001C1F34">
      <w:pPr>
        <w:pStyle w:val="References"/>
        <w:spacing w:after="120"/>
      </w:pPr>
      <w:r w:rsidRPr="005B0796">
        <w:t xml:space="preserve">Thompson, J., Van Til, L., Sweet, J., Poirier, A., McKinnon, K., Dursun, S., Sudom, K., Zamorski, M., Sareen, J., Ross, D., Hoskins, C. &amp; Pedlar, D. (2015). </w:t>
      </w:r>
      <w:r w:rsidRPr="005B0796">
        <w:rPr>
          <w:i/>
        </w:rPr>
        <w:t xml:space="preserve">Canadian armed forces veterans: mental health findings from the 2013 Life After Service Survey. </w:t>
      </w:r>
      <w:r w:rsidRPr="005B0796">
        <w:t>Charlottetown PE Research Directorate: Veterans Affairs Canada. Research Directorate Technical Report. 19 March 2105.</w:t>
      </w:r>
    </w:p>
    <w:p w:rsidR="001C1F34" w:rsidRPr="005B0796" w:rsidRDefault="001C1F34" w:rsidP="001C1F34">
      <w:pPr>
        <w:pStyle w:val="References"/>
        <w:spacing w:after="120"/>
      </w:pPr>
      <w:r w:rsidRPr="005B0796">
        <w:t xml:space="preserve">Thompson, J. M., Van Til, L., Poirier, A., Sweet, J., McKinnon, K., Sudom, K., Dursun, S. &amp; Pedlar, D. (2014). </w:t>
      </w:r>
      <w:r w:rsidRPr="005B0796">
        <w:rPr>
          <w:i/>
        </w:rPr>
        <w:t xml:space="preserve">Health and well-being of Canadian Armed Forces Veterans: Findings from the 2013 Life After Service Survey. </w:t>
      </w:r>
      <w:r w:rsidRPr="005B0796">
        <w:t>Charlottetown PE: Research Directorate: Veterans Affairs Canada. Research Directorate Technical Report. 03 July 2014.</w:t>
      </w:r>
    </w:p>
    <w:p w:rsidR="001C1F34" w:rsidRPr="005B0796" w:rsidRDefault="001C1F34" w:rsidP="001C1F34">
      <w:pPr>
        <w:pStyle w:val="References"/>
        <w:spacing w:after="120"/>
      </w:pPr>
      <w:r w:rsidRPr="005B0796">
        <w:t xml:space="preserve">Ursano, R. J., Kessler, R. C., Stein, M. B., Naifeh, J. A., Aliaga, P. A., Fullerton, C. S., Wynn, G. H., Vegella, P. L., Ng, T. H. H. &amp; Zhang, B. G. (2016). Risk factors, methods, and timing of suicide attempts among US Army soldiers. </w:t>
      </w:r>
      <w:r w:rsidRPr="005B0796">
        <w:rPr>
          <w:i/>
        </w:rPr>
        <w:t>JAMA Psychiatry,</w:t>
      </w:r>
      <w:r w:rsidRPr="005B0796">
        <w:t xml:space="preserve"> 73 (7), 741–749.</w:t>
      </w:r>
    </w:p>
    <w:p w:rsidR="001C1F34" w:rsidRPr="005B0796" w:rsidRDefault="001C1F34" w:rsidP="001C1F34">
      <w:pPr>
        <w:pStyle w:val="References"/>
        <w:spacing w:after="120"/>
      </w:pPr>
      <w:r w:rsidRPr="005B0796">
        <w:t xml:space="preserve">Van Hooff, M., McFarlane, A. C., Lorimer, M., Saccone, E. J., Searle, A. K. &amp; Fairweather-Schmidt, A. K. (2012). </w:t>
      </w:r>
      <w:r w:rsidRPr="005B0796">
        <w:rPr>
          <w:i/>
        </w:rPr>
        <w:t xml:space="preserve">The prevalence of ICD 10 Trauma Exposure in the Australian Defence Force: Results from the 2010 ADF Mental Health Prevalence and Wellbeing Dataset. </w:t>
      </w:r>
      <w:r w:rsidRPr="005B0796">
        <w:t>Canberra: Department of Defence.</w:t>
      </w:r>
    </w:p>
    <w:p w:rsidR="001C1F34" w:rsidRPr="005B0796" w:rsidRDefault="001C1F34" w:rsidP="001C1F34">
      <w:pPr>
        <w:pStyle w:val="References"/>
        <w:spacing w:after="120"/>
      </w:pPr>
      <w:r w:rsidRPr="005B0796">
        <w:t xml:space="preserve">van Staden, L., Fear, N. T., Iversen, A. C., French, C. E., Dandeker, C. &amp; Wessely, S. (2007). Transition back into civilian life: a study of personnel leaving the U.K. armed forces via </w:t>
      </w:r>
      <w:r w:rsidR="00462A0C" w:rsidRPr="005B0796">
        <w:t>‘</w:t>
      </w:r>
      <w:r w:rsidRPr="005B0796">
        <w:t>military prison</w:t>
      </w:r>
      <w:r w:rsidR="00462A0C" w:rsidRPr="005B0796">
        <w:t>’</w:t>
      </w:r>
      <w:r w:rsidRPr="005B0796">
        <w:t xml:space="preserve">. </w:t>
      </w:r>
      <w:r w:rsidRPr="005B0796">
        <w:rPr>
          <w:i/>
        </w:rPr>
        <w:t>Military Medicine,</w:t>
      </w:r>
      <w:r w:rsidRPr="005B0796">
        <w:t xml:space="preserve"> 172 (9), 925–930.</w:t>
      </w:r>
    </w:p>
    <w:p w:rsidR="001C1F34" w:rsidRPr="005B0796" w:rsidRDefault="001C1F34" w:rsidP="001C1F34">
      <w:pPr>
        <w:pStyle w:val="References"/>
        <w:spacing w:after="120"/>
      </w:pPr>
      <w:r w:rsidRPr="005B0796">
        <w:t xml:space="preserve">Van Til, L., Macintosh, S., Thomspon, J., MacLean, M. B., Campbell, L. &amp; Pedlar, D. (2014a). </w:t>
      </w:r>
      <w:r w:rsidRPr="005B0796">
        <w:rPr>
          <w:i/>
        </w:rPr>
        <w:t xml:space="preserve">2013 Synthesis of Life After Service Studies. </w:t>
      </w:r>
      <w:r w:rsidRPr="005B0796">
        <w:t>Charlottetown (PE): Veterans Affairs Canada, Research Directorate Synthesis Report, 3 July 2014.</w:t>
      </w:r>
    </w:p>
    <w:p w:rsidR="001C1F34" w:rsidRPr="005B0796" w:rsidRDefault="001C1F34" w:rsidP="001C1F34">
      <w:pPr>
        <w:pStyle w:val="References"/>
        <w:spacing w:after="120"/>
      </w:pPr>
      <w:r w:rsidRPr="005B0796">
        <w:t xml:space="preserve">Van Til, L., Poirier, A., Sweet, J., McKinnon, K. &amp; MacLean, M. B. (2014b). </w:t>
      </w:r>
      <w:r w:rsidRPr="005B0796">
        <w:rPr>
          <w:i/>
        </w:rPr>
        <w:t xml:space="preserve">Methodology: Life After Service Studies 2013. </w:t>
      </w:r>
      <w:r w:rsidRPr="005B0796">
        <w:t>Charlottetown (PE): Veterans Affairs Canada: Research Directorate technical report: 31 December 2014.</w:t>
      </w:r>
    </w:p>
    <w:p w:rsidR="001C1F34" w:rsidRPr="005B0796" w:rsidRDefault="001C1F34" w:rsidP="001C1F34">
      <w:pPr>
        <w:pStyle w:val="References"/>
        <w:spacing w:after="120"/>
      </w:pPr>
      <w:r w:rsidRPr="005B0796">
        <w:t xml:space="preserve">van Zuiden, M., Kavelaars, A., Vermetten, E., Olff, M., Geuze, E. &amp; Heijnen, C. (2015). Pre-deployment differences in glucocorticoid sensitivity of leukocytes in soldiers developing symptoms of PTSD, depression or fatigue persist after return from military deployment. </w:t>
      </w:r>
      <w:r w:rsidRPr="005B0796">
        <w:rPr>
          <w:i/>
        </w:rPr>
        <w:t>Psychoneuroendocrinology,</w:t>
      </w:r>
      <w:r w:rsidRPr="005B0796">
        <w:t xml:space="preserve"> 51, 513–524.</w:t>
      </w:r>
    </w:p>
    <w:p w:rsidR="001C1F34" w:rsidRPr="005B0796" w:rsidRDefault="001C1F34" w:rsidP="001C1F34">
      <w:pPr>
        <w:pStyle w:val="References"/>
        <w:spacing w:after="120"/>
      </w:pPr>
      <w:r w:rsidRPr="005B0796">
        <w:t xml:space="preserve">Vermetten, E., Baker, D. &amp; Yehuda, R. (2015). New findings from prospective studies. </w:t>
      </w:r>
      <w:r w:rsidRPr="005B0796">
        <w:rPr>
          <w:i/>
        </w:rPr>
        <w:t>Psychoneuroendocrinology,</w:t>
      </w:r>
      <w:r w:rsidRPr="005B0796">
        <w:t xml:space="preserve"> 51, 441–443.</w:t>
      </w:r>
    </w:p>
    <w:p w:rsidR="001C1F34" w:rsidRPr="005B0796" w:rsidRDefault="001C1F34" w:rsidP="001C1F34">
      <w:pPr>
        <w:pStyle w:val="References"/>
        <w:spacing w:after="120"/>
      </w:pPr>
      <w:r w:rsidRPr="005B0796">
        <w:t>Villatte, J. L., O</w:t>
      </w:r>
      <w:r w:rsidR="00462A0C" w:rsidRPr="005B0796">
        <w:t>’</w:t>
      </w:r>
      <w:r w:rsidRPr="005B0796">
        <w:t xml:space="preserve">Connor, S. S., Leitner, R., Kerbrat, A. H., Johnson, L. L. &amp; Gutierrez, P. M. (2015). Suicide attempt characteristics among veterans and active-duty service members receiving mental health services: A pooled data analysis. </w:t>
      </w:r>
      <w:r w:rsidRPr="005B0796">
        <w:rPr>
          <w:i/>
        </w:rPr>
        <w:t>Military Behavioral Health,</w:t>
      </w:r>
      <w:r w:rsidRPr="005B0796">
        <w:t xml:space="preserve"> 3 (4), 316–327.</w:t>
      </w:r>
    </w:p>
    <w:p w:rsidR="001C1F34" w:rsidRPr="005B0796" w:rsidRDefault="001C1F34" w:rsidP="001C1F34">
      <w:pPr>
        <w:pStyle w:val="References"/>
        <w:spacing w:after="120"/>
      </w:pPr>
      <w:r w:rsidRPr="005B0796">
        <w:t xml:space="preserve">Wainwright, V., McDonnell, S., Lennox, C., Shaw, J. &amp; Senior, J. (2016). Soldier, civilian, criminal: identifying pathways to offending of ex-armed forces personnel in prison. </w:t>
      </w:r>
      <w:r w:rsidRPr="005B0796">
        <w:rPr>
          <w:i/>
        </w:rPr>
        <w:t>Psychology, Crime &amp; Law,</w:t>
      </w:r>
      <w:r w:rsidRPr="005B0796">
        <w:t xml:space="preserve"> 22 (8), 741–757. </w:t>
      </w:r>
    </w:p>
    <w:p w:rsidR="001C1F34" w:rsidRPr="005B0796" w:rsidRDefault="001C1F34" w:rsidP="001C1F34">
      <w:pPr>
        <w:pStyle w:val="References"/>
        <w:spacing w:after="120"/>
      </w:pPr>
      <w:r w:rsidRPr="005B0796">
        <w:t xml:space="preserve">Wang, P. S., Simon, G. E., Avorn, J., Azocar, F., Ludman, E. J., McCulloch, J., Petukhova, M. Z. &amp; Kessler, R. C. (2007). Telephone screening, outreach, and care management for depressed workers and impact on clinical and work productivity outcomes: a randomized controlled trial. </w:t>
      </w:r>
      <w:r w:rsidRPr="005B0796">
        <w:rPr>
          <w:i/>
        </w:rPr>
        <w:t>JAMA,</w:t>
      </w:r>
      <w:r w:rsidRPr="005B0796">
        <w:t xml:space="preserve"> 298 (12), 1401–1411.</w:t>
      </w:r>
    </w:p>
    <w:p w:rsidR="001C1F34" w:rsidRPr="005B0796" w:rsidRDefault="001C1F34" w:rsidP="001C1F34">
      <w:pPr>
        <w:pStyle w:val="References"/>
        <w:spacing w:after="120"/>
      </w:pPr>
      <w:r w:rsidRPr="005B0796">
        <w:t xml:space="preserve">Ware, J. E. &amp; Sherbourne, C.D. (1992). The MOS 36-item short-form health survey (SF-36). I. Conceptual framework and item selection. </w:t>
      </w:r>
      <w:r w:rsidRPr="005B0796">
        <w:rPr>
          <w:i/>
        </w:rPr>
        <w:t>Medical Care,</w:t>
      </w:r>
      <w:r w:rsidRPr="005B0796">
        <w:t xml:space="preserve"> (Jun 30(6)), 473–483.</w:t>
      </w:r>
    </w:p>
    <w:p w:rsidR="001C1F34" w:rsidRPr="005B0796" w:rsidRDefault="001C1F34" w:rsidP="001C1F34">
      <w:pPr>
        <w:pStyle w:val="References"/>
        <w:spacing w:after="120"/>
      </w:pPr>
      <w:r w:rsidRPr="005B0796">
        <w:t xml:space="preserve">Watkins, L. E., Sippel, L. M., Pietrzak, R. H., Hoff, R. &amp; Harpaz-Rotem, I. (2017). Co-occurring aggression and suicide attempt among veterans entering residential treatment for PTSD: The role of PTSD symptom clusters and alcohol misuse. </w:t>
      </w:r>
      <w:r w:rsidRPr="005B0796">
        <w:rPr>
          <w:i/>
        </w:rPr>
        <w:t>Journal of Psychiatric Research,</w:t>
      </w:r>
      <w:r w:rsidRPr="005B0796">
        <w:t xml:space="preserve"> 87, 8–14.</w:t>
      </w:r>
    </w:p>
    <w:p w:rsidR="001C1F34" w:rsidRPr="005B0796" w:rsidRDefault="001C1F34" w:rsidP="001C1F34">
      <w:pPr>
        <w:pStyle w:val="References"/>
        <w:spacing w:after="120"/>
      </w:pPr>
      <w:r w:rsidRPr="005B0796">
        <w:t xml:space="preserve">Watson, N. &amp; Wooden, M. (2002). </w:t>
      </w:r>
      <w:r w:rsidRPr="005B0796">
        <w:rPr>
          <w:i/>
        </w:rPr>
        <w:t xml:space="preserve">The Household, Income and Labour Dynamics in Australia (HILDA) Survey: Wave 1 Survey Methodology. </w:t>
      </w:r>
      <w:r w:rsidRPr="005B0796">
        <w:t>Melbourne Institute HILDA Technical Paper Series vol no. 1/02.</w:t>
      </w:r>
    </w:p>
    <w:p w:rsidR="001C1F34" w:rsidRPr="005B0796" w:rsidRDefault="001C1F34" w:rsidP="001C1F34">
      <w:pPr>
        <w:pStyle w:val="References"/>
        <w:spacing w:after="120"/>
      </w:pPr>
      <w:r w:rsidRPr="005B0796">
        <w:t>Weathers, F. W., Litz, B. T., Herman, D. S., Huska, J. A., &amp; Keane, T. M. (1993). The PTSD Checklist (PCL): Reliability, validity, and diagnostic utility. Paper presented at the 9th Annual Conference of the ISTSS</w:t>
      </w:r>
      <w:r w:rsidRPr="005B0796">
        <w:rPr>
          <w:i/>
        </w:rPr>
        <w:t>.</w:t>
      </w:r>
      <w:r w:rsidRPr="005B0796">
        <w:t xml:space="preserve"> San Antonio, TX.</w:t>
      </w:r>
    </w:p>
    <w:p w:rsidR="001C1F34" w:rsidRPr="005B0796" w:rsidRDefault="001C1F34" w:rsidP="001C1F34">
      <w:pPr>
        <w:pStyle w:val="References"/>
        <w:spacing w:after="120"/>
      </w:pPr>
      <w:r w:rsidRPr="005B0796">
        <w:t xml:space="preserve">Wiborg, J. F., Rademaker, A. R., Geuze, E., Twisk, J., Vermetten, E. &amp; Knoop, H. (2016). Course and Predictors of Postdeployment Fatigue: A Prospective Cohort Study in the Dutch Armed Forces. </w:t>
      </w:r>
      <w:r w:rsidRPr="005B0796">
        <w:rPr>
          <w:i/>
        </w:rPr>
        <w:t>Journal of Clinical Psychiatry,</w:t>
      </w:r>
      <w:r w:rsidRPr="005B0796">
        <w:t xml:space="preserve"> 77 (8), 1074–1079.</w:t>
      </w:r>
    </w:p>
    <w:p w:rsidR="001C1F34" w:rsidRPr="005B0796" w:rsidRDefault="001C1F34" w:rsidP="001C1F34">
      <w:pPr>
        <w:pStyle w:val="References"/>
        <w:spacing w:after="120"/>
      </w:pPr>
      <w:r w:rsidRPr="005B0796">
        <w:t xml:space="preserve">Wisco, B. E., Marx, B. P., Wolf, E. J., Miller, M. W., Southwick, S. M. &amp; Pietrzak, R. H. (2014). Posttraumatic stress disorder in the US veteran population: results from the National Health and Resilience in Veterans Study. </w:t>
      </w:r>
      <w:r w:rsidRPr="005B0796">
        <w:rPr>
          <w:i/>
        </w:rPr>
        <w:t>Journal of Clinical Psychiatry,</w:t>
      </w:r>
      <w:r w:rsidRPr="005B0796">
        <w:t xml:space="preserve"> 75 (12), 1338–1346.</w:t>
      </w:r>
    </w:p>
    <w:p w:rsidR="001C1F34" w:rsidRPr="005B0796" w:rsidRDefault="001C1F34" w:rsidP="001C1F34">
      <w:pPr>
        <w:pStyle w:val="References"/>
        <w:spacing w:after="120"/>
      </w:pPr>
      <w:r w:rsidRPr="005B0796">
        <w:t xml:space="preserve">Wittkampf, K. A., Naeije, L., Schene, A. H., Huyser, J. &amp; van Weert, H. C. (2007). Diagnostic accuracy of the mood module of the Patient Health Questionnaire: a systematic review. </w:t>
      </w:r>
      <w:r w:rsidRPr="005B0796">
        <w:rPr>
          <w:i/>
        </w:rPr>
        <w:t>General Hospital Psychiatry,</w:t>
      </w:r>
      <w:r w:rsidRPr="005B0796">
        <w:t xml:space="preserve"> 29 (5), 388–395.</w:t>
      </w:r>
    </w:p>
    <w:p w:rsidR="001C1F34" w:rsidRPr="005B0796" w:rsidRDefault="001C1F34" w:rsidP="001C1F34">
      <w:pPr>
        <w:pStyle w:val="References"/>
        <w:spacing w:after="120"/>
      </w:pPr>
      <w:r w:rsidRPr="005B0796">
        <w:t xml:space="preserve">World Health Organization. (1992). </w:t>
      </w:r>
      <w:r w:rsidRPr="005B0796">
        <w:rPr>
          <w:i/>
        </w:rPr>
        <w:t>International Statistical Classification of Diseases and Health Related Problems, v</w:t>
      </w:r>
      <w:r w:rsidRPr="005B0796">
        <w:t>ol. 10, Geneva: World Health Organization.</w:t>
      </w:r>
    </w:p>
    <w:p w:rsidR="001C1F34" w:rsidRPr="005B0796" w:rsidRDefault="001C1F34" w:rsidP="001C1F34">
      <w:pPr>
        <w:pStyle w:val="References"/>
        <w:spacing w:after="120"/>
      </w:pPr>
      <w:r w:rsidRPr="005B0796">
        <w:t xml:space="preserve">World Health Organization. (1994). </w:t>
      </w:r>
      <w:r w:rsidRPr="005B0796">
        <w:rPr>
          <w:i/>
        </w:rPr>
        <w:t xml:space="preserve">ICD-10 International Statistical Classification of Diseases and Related Health Problems, </w:t>
      </w:r>
      <w:r w:rsidRPr="005B0796">
        <w:t>Geneva: World Health Organization.</w:t>
      </w:r>
    </w:p>
    <w:p w:rsidR="001C1F34" w:rsidRPr="005B0796" w:rsidRDefault="001C1F34" w:rsidP="001C1F34">
      <w:pPr>
        <w:pStyle w:val="References"/>
        <w:spacing w:after="120"/>
      </w:pPr>
      <w:r w:rsidRPr="005B0796">
        <w:t xml:space="preserve">Young and Well Cooperative Research Centre. (2013). </w:t>
      </w:r>
      <w:r w:rsidRPr="005B0796">
        <w:rPr>
          <w:i/>
        </w:rPr>
        <w:t xml:space="preserve">Young and Well CRC Standard Measures </w:t>
      </w:r>
      <w:r w:rsidRPr="005B0796">
        <w:t xml:space="preserve">[Online]. Sydney: Young and Well CRC. Available: </w:t>
      </w:r>
      <w:hyperlink r:id="rId321" w:history="1">
        <w:r w:rsidRPr="005B0796">
          <w:rPr>
            <w:rStyle w:val="Hyperlink"/>
          </w:rPr>
          <w:t>www.youngandwellcrc.org.au</w:t>
        </w:r>
      </w:hyperlink>
      <w:r w:rsidRPr="005B0796">
        <w:t>.</w:t>
      </w:r>
    </w:p>
    <w:p w:rsidR="001C1F34" w:rsidRPr="005B0796" w:rsidRDefault="001C1F34" w:rsidP="001C1F34">
      <w:pPr>
        <w:pStyle w:val="References"/>
        <w:spacing w:after="120"/>
      </w:pPr>
      <w:r w:rsidRPr="005B0796">
        <w:t xml:space="preserve">Zannas, A. S., Provençal, N. &amp; Binder, E. B. (2015). Epigenetics of posttraumatic stress disorder: current evidence, challenges, and future directions. </w:t>
      </w:r>
      <w:r w:rsidRPr="005B0796">
        <w:rPr>
          <w:i/>
        </w:rPr>
        <w:t>Biological Psychiatry,</w:t>
      </w:r>
      <w:r w:rsidRPr="005B0796">
        <w:t xml:space="preserve"> 78 (5), 327–335.</w:t>
      </w:r>
    </w:p>
    <w:p w:rsidR="001C1F34" w:rsidRPr="005B0796" w:rsidRDefault="001C1F34" w:rsidP="001C1F34">
      <w:pPr>
        <w:pStyle w:val="References"/>
        <w:spacing w:after="120"/>
      </w:pPr>
      <w:r w:rsidRPr="005B0796">
        <w:t xml:space="preserve">Zimmermann, P., Brückl, T., Nocon, A., Pfister, H., Lieb, R., Wittchen, H.-U., Holsboer, F. &amp; Angst, J. (2009). Heterogeneity of DSM-IV major depressive disorder as a consequence of subthreshold bipolarity. </w:t>
      </w:r>
      <w:r w:rsidRPr="005B0796">
        <w:rPr>
          <w:i/>
        </w:rPr>
        <w:t>Archives of General Psychiatry,</w:t>
      </w:r>
      <w:r w:rsidRPr="005B0796">
        <w:t xml:space="preserve"> 66 (12), 1341–1352.</w:t>
      </w:r>
    </w:p>
    <w:p w:rsidR="00D123CA" w:rsidRPr="005B0796" w:rsidRDefault="001C1F34" w:rsidP="001C1F34">
      <w:r w:rsidRPr="005B0796">
        <w:fldChar w:fldCharType="end"/>
      </w:r>
    </w:p>
    <w:p w:rsidR="00371BEB" w:rsidRPr="005B0796" w:rsidRDefault="00371BEB" w:rsidP="00E54791"/>
    <w:sectPr w:rsidR="00371BEB" w:rsidRPr="005B0796" w:rsidSect="00D123CA">
      <w:type w:val="oddPage"/>
      <w:pgSz w:w="9979" w:h="14170" w:code="243"/>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FB5" w:rsidRDefault="00746FB5" w:rsidP="00746525">
      <w:pPr>
        <w:spacing w:after="0" w:line="240" w:lineRule="auto"/>
      </w:pPr>
      <w:r>
        <w:separator/>
      </w:r>
    </w:p>
  </w:endnote>
  <w:endnote w:type="continuationSeparator" w:id="0">
    <w:p w:rsidR="00746FB5" w:rsidRDefault="00746FB5"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INOT-Light">
    <w:altName w:val="DINOT-Light"/>
    <w:panose1 w:val="00000000000000000000"/>
    <w:charset w:val="00"/>
    <w:family w:val="swiss"/>
    <w:notTrueType/>
    <w:pitch w:val="default"/>
    <w:sig w:usb0="00000003" w:usb1="00000000" w:usb2="00000000" w:usb3="00000000" w:csb0="00000001" w:csb1="00000000"/>
  </w:font>
  <w:font w:name="MS Gothiw Roman">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헤드라인A">
    <w:charset w:val="81"/>
    <w:family w:val="swiss"/>
    <w:pitch w:val="variable"/>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GillSans">
    <w:charset w:val="00"/>
    <w:family w:val="swiss"/>
    <w:pitch w:val="variable"/>
    <w:sig w:usb0="80000267" w:usb1="00000000" w:usb2="00000000" w:usb3="00000000" w:csb0="000001F7" w:csb1="00000000"/>
  </w:font>
  <w:font w:name="\I'48ﬁˇøÊ∞—">
    <w:altName w:val="Cambria"/>
    <w:panose1 w:val="00000000000000000000"/>
    <w:charset w:val="4D"/>
    <w:family w:val="auto"/>
    <w:notTrueType/>
    <w:pitch w:val="default"/>
    <w:sig w:usb0="00000003" w:usb1="00000000" w:usb2="00000000" w:usb3="00000000" w:csb0="00000001" w:csb1="00000000"/>
  </w:font>
  <w:font w:name="@필기체">
    <w:charset w:val="81"/>
    <w:family w:val="script"/>
    <w:pitch w:val="variable"/>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5F5B14">
    <w:pPr>
      <w:pStyle w:val="Footer"/>
      <w:pBdr>
        <w:top w:val="none" w:sz="0" w:space="0" w:color="auto"/>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64384" behindDoc="0" locked="1" layoutInCell="0" allowOverlap="1" wp14:anchorId="2A1DB432" wp14:editId="5096B4BC">
              <wp:simplePos x="0" y="0"/>
              <wp:positionH relativeFrom="page">
                <wp:posOffset>355600</wp:posOffset>
              </wp:positionH>
              <wp:positionV relativeFrom="page">
                <wp:posOffset>1118870</wp:posOffset>
              </wp:positionV>
              <wp:extent cx="200660" cy="4608195"/>
              <wp:effectExtent l="0" t="0" r="889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31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DB432" id="_x0000_t202" coordsize="21600,21600" o:spt="202" path="m,l,21600r21600,l21600,xe">
              <v:stroke joinstyle="miter"/>
              <v:path gradientshapeok="t" o:connecttype="rect"/>
            </v:shapetype>
            <v:shape id="_x0000_s1073" type="#_x0000_t202" style="position:absolute;margin-left:28pt;margin-top:88.1pt;width:15.8pt;height:362.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F//wEAAOk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4ugRf/8BAADpAwAADgAAAAAA&#10;AAAAAAAAAAAuAgAAZHJzL2Uyb0RvYy54bWxQSwECLQAUAAYACAAAACEALGJXrOEAAAAJAQAADwAA&#10;AAAAAAAAAAAAAABZBAAAZHJzL2Rvd25yZXYueG1sUEsFBgAAAAAEAAQA8wAAAGc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31</w:t>
                    </w:r>
                    <w:r w:rsidRPr="00746525">
                      <w:rPr>
                        <w:b/>
                      </w:rPr>
                      <w:fldChar w:fldCharType="end"/>
                    </w:r>
                  </w:p>
                </w:txbxContent>
              </v:textbox>
              <w10:wrap anchorx="page" anchory="page"/>
              <w10:anchorlock/>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170</w:t>
    </w:r>
    <w:r w:rsidRPr="00E14F7B">
      <w:rPr>
        <w:b/>
        <w:color w:val="720829"/>
      </w:rPr>
      <w:fldChar w:fldCharType="end"/>
    </w:r>
    <w:r>
      <w:rPr>
        <w:b/>
        <w:color w:val="720829"/>
      </w:rPr>
      <w:tab/>
    </w:r>
    <w:r w:rsidRPr="00746525">
      <w:rPr>
        <w:b/>
        <w:color w:val="720829"/>
      </w:rPr>
      <w:t>TRANSITION AND WELLBEING RESEARCH PROGRAMME</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171</w:t>
    </w:r>
    <w:r w:rsidRPr="00746525">
      <w:rPr>
        <w:b/>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5824" behindDoc="0" locked="1" layoutInCell="0" allowOverlap="1" wp14:anchorId="519A7C68" wp14:editId="2EA38DE7">
              <wp:simplePos x="0" y="0"/>
              <wp:positionH relativeFrom="page">
                <wp:posOffset>371475</wp:posOffset>
              </wp:positionH>
              <wp:positionV relativeFrom="page">
                <wp:posOffset>685800</wp:posOffset>
              </wp:positionV>
              <wp:extent cx="2374265" cy="4608830"/>
              <wp:effectExtent l="0" t="0" r="13335"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172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19A7C68" id="_x0000_t202" coordsize="21600,21600" o:spt="202" path="m,l,21600r21600,l21600,xe">
              <v:stroke joinstyle="miter"/>
              <v:path gradientshapeok="t" o:connecttype="rect"/>
            </v:shapetype>
            <v:shape id="_x0000_s1117" type="#_x0000_t202" style="position:absolute;left:0;text-align:left;margin-left:29.25pt;margin-top:54pt;width:186.95pt;height:362.9pt;z-index:2517258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D+nO4C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172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26848" behindDoc="0" locked="1" layoutInCell="0" allowOverlap="1" wp14:anchorId="5387B4E1" wp14:editId="1832ED0A">
              <wp:simplePos x="0" y="0"/>
              <wp:positionH relativeFrom="page">
                <wp:posOffset>355600</wp:posOffset>
              </wp:positionH>
              <wp:positionV relativeFrom="page">
                <wp:posOffset>1118870</wp:posOffset>
              </wp:positionV>
              <wp:extent cx="200660" cy="4608195"/>
              <wp:effectExtent l="0" t="0" r="8890" b="19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7B4E1" id="_x0000_t202" coordsize="21600,21600" o:spt="202" path="m,l,21600r21600,l21600,xe">
              <v:stroke joinstyle="miter"/>
              <v:path gradientshapeok="t" o:connecttype="rect"/>
            </v:shapetype>
            <v:shape id="_x0000_s1118" type="#_x0000_t202" style="position:absolute;margin-left:28pt;margin-top:88.1pt;width:15.8pt;height:362.8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KwcmPcDAgAA7AMAAA4A&#10;AAAAAAAAAAAAAAAALgIAAGRycy9lMm9Eb2MueG1sUEsBAi0AFAAGAAgAAAAhACxiV6zhAAAACQEA&#10;AA8AAAAAAAAAAAAAAAAAXQQAAGRycy9kb3ducmV2LnhtbFBLBQYAAAAABAAEAPMAAABr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179</w:t>
                    </w:r>
                    <w:r w:rsidRPr="00746525">
                      <w:rPr>
                        <w:b/>
                      </w:rPr>
                      <w:fldChar w:fldCharType="end"/>
                    </w:r>
                  </w:p>
                </w:txbxContent>
              </v:textbox>
              <w10:wrap anchorx="page" anchory="page"/>
              <w10:anchorlock/>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176</w:t>
    </w:r>
    <w:r w:rsidRPr="00E14F7B">
      <w:rPr>
        <w:b/>
        <w:color w:val="720829"/>
      </w:rPr>
      <w:fldChar w:fldCharType="end"/>
    </w:r>
    <w:r>
      <w:rPr>
        <w:b/>
        <w:color w:val="720829"/>
      </w:rPr>
      <w:tab/>
    </w:r>
    <w:r w:rsidRPr="00746525">
      <w:rPr>
        <w:b/>
        <w:color w:val="720829"/>
      </w:rPr>
      <w:t>TRANSITION AND WELLBEING RESEARCH PROGRAMME</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177</w:t>
    </w:r>
    <w:r w:rsidRPr="00746525">
      <w:rPr>
        <w:b/>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8896" behindDoc="0" locked="1" layoutInCell="0" allowOverlap="1" wp14:anchorId="7D982153" wp14:editId="50436869">
              <wp:simplePos x="0" y="0"/>
              <wp:positionH relativeFrom="page">
                <wp:posOffset>371475</wp:posOffset>
              </wp:positionH>
              <wp:positionV relativeFrom="page">
                <wp:posOffset>685800</wp:posOffset>
              </wp:positionV>
              <wp:extent cx="2374265" cy="4608830"/>
              <wp:effectExtent l="0" t="0" r="13335"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178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D982153" id="_x0000_t202" coordsize="21600,21600" o:spt="202" path="m,l,21600r21600,l21600,xe">
              <v:stroke joinstyle="miter"/>
              <v:path gradientshapeok="t" o:connecttype="rect"/>
            </v:shapetype>
            <v:shape id="_x0000_s1119" type="#_x0000_t202" style="position:absolute;left:0;text-align:left;margin-left:29.25pt;margin-top:54pt;width:186.95pt;height:362.9pt;z-index:2517288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AC6PSd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178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29920" behindDoc="0" locked="1" layoutInCell="0" allowOverlap="1" wp14:anchorId="45095657" wp14:editId="12422B6A">
              <wp:simplePos x="0" y="0"/>
              <wp:positionH relativeFrom="page">
                <wp:posOffset>355600</wp:posOffset>
              </wp:positionH>
              <wp:positionV relativeFrom="page">
                <wp:posOffset>1118870</wp:posOffset>
              </wp:positionV>
              <wp:extent cx="200660" cy="4608195"/>
              <wp:effectExtent l="0" t="0" r="8890" b="190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95657" id="_x0000_t202" coordsize="21600,21600" o:spt="202" path="m,l,21600r21600,l21600,xe">
              <v:stroke joinstyle="miter"/>
              <v:path gradientshapeok="t" o:connecttype="rect"/>
            </v:shapetype>
            <v:shape id="_x0000_s1120" type="#_x0000_t202" style="position:absolute;margin-left:28pt;margin-top:88.1pt;width:15.8pt;height:362.8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1+AgIAAOw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0R3dfg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185</w:t>
                    </w:r>
                    <w:r w:rsidRPr="00746525">
                      <w:rPr>
                        <w:b/>
                      </w:rPr>
                      <w:fldChar w:fldCharType="end"/>
                    </w:r>
                  </w:p>
                </w:txbxContent>
              </v:textbox>
              <w10:wrap anchorx="page" anchory="page"/>
              <w10:anchorlock/>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182</w:t>
    </w:r>
    <w:r w:rsidRPr="00E14F7B">
      <w:rPr>
        <w:b/>
        <w:color w:val="720829"/>
      </w:rPr>
      <w:fldChar w:fldCharType="end"/>
    </w:r>
    <w:r>
      <w:rPr>
        <w:b/>
        <w:color w:val="720829"/>
      </w:rPr>
      <w:tab/>
    </w:r>
    <w:r w:rsidRPr="00746525">
      <w:rPr>
        <w:b/>
        <w:color w:val="720829"/>
      </w:rPr>
      <w:t>TRANSITION AND WELLBEING RESEARCH PROGRAMME</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183</w:t>
    </w:r>
    <w:r w:rsidRPr="00746525">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3A5AD5">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34</w:t>
    </w:r>
    <w:r w:rsidRPr="00E14F7B">
      <w:rPr>
        <w:b/>
        <w:color w:val="720829"/>
      </w:rPr>
      <w:fldChar w:fldCharType="end"/>
    </w:r>
    <w:r>
      <w:rPr>
        <w:b/>
        <w:color w:val="720829"/>
      </w:rPr>
      <w:tab/>
    </w:r>
    <w:r w:rsidRPr="00746525">
      <w:rPr>
        <w:b/>
        <w:color w:val="720829"/>
      </w:rPr>
      <w:t>TRANSITION AND WELLBEING RESEARCH PROGRAMME</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1968" behindDoc="0" locked="1" layoutInCell="0" allowOverlap="1" wp14:anchorId="29AB6D78" wp14:editId="30935914">
              <wp:simplePos x="0" y="0"/>
              <wp:positionH relativeFrom="page">
                <wp:posOffset>371475</wp:posOffset>
              </wp:positionH>
              <wp:positionV relativeFrom="page">
                <wp:posOffset>685800</wp:posOffset>
              </wp:positionV>
              <wp:extent cx="2374265" cy="4608830"/>
              <wp:effectExtent l="0" t="0" r="13335" b="127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184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9AB6D78" id="_x0000_t202" coordsize="21600,21600" o:spt="202" path="m,l,21600r21600,l21600,xe">
              <v:stroke joinstyle="miter"/>
              <v:path gradientshapeok="t" o:connecttype="rect"/>
            </v:shapetype>
            <v:shape id="_x0000_s1121" type="#_x0000_t202" style="position:absolute;left:0;text-align:left;margin-left:29.25pt;margin-top:54pt;width:186.95pt;height:362.9pt;z-index:25173196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dbBgIAAO0DAAAOAAAAZHJzL2Uyb0RvYy54bWysU8GO2yAQvVfqPyDujR1nk6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4mTHWw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184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32992" behindDoc="0" locked="1" layoutInCell="0" allowOverlap="1" wp14:anchorId="1FCD2EDB" wp14:editId="1D8B5231">
              <wp:simplePos x="0" y="0"/>
              <wp:positionH relativeFrom="page">
                <wp:posOffset>355600</wp:posOffset>
              </wp:positionH>
              <wp:positionV relativeFrom="page">
                <wp:posOffset>1118870</wp:posOffset>
              </wp:positionV>
              <wp:extent cx="200660" cy="4608195"/>
              <wp:effectExtent l="0" t="0" r="8890" b="19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D2EDB" id="_x0000_t202" coordsize="21600,21600" o:spt="202" path="m,l,21600r21600,l21600,xe">
              <v:stroke joinstyle="miter"/>
              <v:path gradientshapeok="t" o:connecttype="rect"/>
            </v:shapetype>
            <v:shape id="_x0000_s1122" type="#_x0000_t202" style="position:absolute;margin-left:28pt;margin-top:88.1pt;width:15.8pt;height:362.8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DPAgIAAOw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CxFQzw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185</w:t>
                    </w:r>
                    <w:r w:rsidRPr="00746525">
                      <w:rPr>
                        <w:b/>
                      </w:rPr>
                      <w:fldChar w:fldCharType="end"/>
                    </w:r>
                  </w:p>
                </w:txbxContent>
              </v:textbox>
              <w10:wrap anchorx="page" anchory="page"/>
              <w10:anchorlock/>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188</w:t>
    </w:r>
    <w:r w:rsidRPr="00E14F7B">
      <w:rPr>
        <w:b/>
        <w:color w:val="720829"/>
      </w:rPr>
      <w:fldChar w:fldCharType="end"/>
    </w:r>
    <w:r>
      <w:rPr>
        <w:b/>
        <w:color w:val="720829"/>
      </w:rPr>
      <w:tab/>
    </w:r>
    <w:r w:rsidRPr="00746525">
      <w:rPr>
        <w:b/>
        <w:color w:val="720829"/>
      </w:rPr>
      <w:t>TRANSITION AND WELLBEING RESEARCH PROGRAMME</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187</w:t>
    </w:r>
    <w:r w:rsidRPr="00746525">
      <w:rPr>
        <w:b/>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5040" behindDoc="0" locked="1" layoutInCell="0" allowOverlap="1" wp14:anchorId="1F65A9CA" wp14:editId="1A2F6069">
              <wp:simplePos x="0" y="0"/>
              <wp:positionH relativeFrom="page">
                <wp:posOffset>371475</wp:posOffset>
              </wp:positionH>
              <wp:positionV relativeFrom="page">
                <wp:posOffset>685800</wp:posOffset>
              </wp:positionV>
              <wp:extent cx="2374265" cy="4608830"/>
              <wp:effectExtent l="0" t="0" r="13335" b="12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190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F65A9CA" id="_x0000_t202" coordsize="21600,21600" o:spt="202" path="m,l,21600r21600,l21600,xe">
              <v:stroke joinstyle="miter"/>
              <v:path gradientshapeok="t" o:connecttype="rect"/>
            </v:shapetype>
            <v:shape id="_x0000_s1123" type="#_x0000_t202" style="position:absolute;left:0;text-align:left;margin-left:29.25pt;margin-top:54pt;width:186.95pt;height:362.9pt;z-index:2517350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WYCAIAAO0DAAAOAAAAZHJzL2Uyb0RvYy54bWysU8GO2yAQvVfqPyDujR1nk2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BWvhWY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190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36064" behindDoc="0" locked="1" layoutInCell="0" allowOverlap="1" wp14:anchorId="26924E33" wp14:editId="55CEBAE4">
              <wp:simplePos x="0" y="0"/>
              <wp:positionH relativeFrom="page">
                <wp:posOffset>355600</wp:posOffset>
              </wp:positionH>
              <wp:positionV relativeFrom="page">
                <wp:posOffset>1118870</wp:posOffset>
              </wp:positionV>
              <wp:extent cx="200660" cy="4608195"/>
              <wp:effectExtent l="0" t="0" r="8890" b="190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189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4E33" id="_x0000_t202" coordsize="21600,21600" o:spt="202" path="m,l,21600r21600,l21600,xe">
              <v:stroke joinstyle="miter"/>
              <v:path gradientshapeok="t" o:connecttype="rect"/>
            </v:shapetype>
            <v:shape id="_x0000_s1124" type="#_x0000_t202" style="position:absolute;margin-left:28pt;margin-top:88.1pt;width:15.8pt;height:362.8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W85NxwICAADr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189</w:t>
                    </w:r>
                    <w:r w:rsidRPr="00746525">
                      <w:rPr>
                        <w:b/>
                      </w:rPr>
                      <w:fldChar w:fldCharType="end"/>
                    </w:r>
                  </w:p>
                </w:txbxContent>
              </v:textbox>
              <w10:wrap anchorx="page" anchory="page"/>
              <w10:anchorlock/>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190</w:t>
    </w:r>
    <w:r w:rsidRPr="00E14F7B">
      <w:rPr>
        <w:b/>
        <w:color w:val="720829"/>
      </w:rPr>
      <w:fldChar w:fldCharType="end"/>
    </w:r>
    <w:r>
      <w:rPr>
        <w:b/>
        <w:color w:val="720829"/>
      </w:rPr>
      <w:tab/>
    </w:r>
    <w:r w:rsidRPr="00746525">
      <w:rPr>
        <w:b/>
        <w:color w:val="720829"/>
      </w:rPr>
      <w:t>TRANSITION AND WELLBEING RESEARCH PROGRAMME</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191</w:t>
    </w:r>
    <w:r w:rsidRPr="00746525">
      <w:rPr>
        <w:b/>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8112" behindDoc="0" locked="1" layoutInCell="0" allowOverlap="1" wp14:anchorId="4B2110B4" wp14:editId="4E8AB8A9">
              <wp:simplePos x="0" y="0"/>
              <wp:positionH relativeFrom="page">
                <wp:posOffset>371475</wp:posOffset>
              </wp:positionH>
              <wp:positionV relativeFrom="page">
                <wp:posOffset>685800</wp:posOffset>
              </wp:positionV>
              <wp:extent cx="2374265" cy="4608830"/>
              <wp:effectExtent l="0" t="0" r="13335"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192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B2110B4" id="_x0000_t202" coordsize="21600,21600" o:spt="202" path="m,l,21600r21600,l21600,xe">
              <v:stroke joinstyle="miter"/>
              <v:path gradientshapeok="t" o:connecttype="rect"/>
            </v:shapetype>
            <v:shape id="_x0000_s1125" type="#_x0000_t202" style="position:absolute;left:0;text-align:left;margin-left:29.25pt;margin-top:54pt;width:186.95pt;height:362.9pt;z-index:2517381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H1qeu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192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39136" behindDoc="0" locked="1" layoutInCell="0" allowOverlap="1" wp14:anchorId="3ADAFB1E" wp14:editId="7DE091ED">
              <wp:simplePos x="0" y="0"/>
              <wp:positionH relativeFrom="page">
                <wp:posOffset>355600</wp:posOffset>
              </wp:positionH>
              <wp:positionV relativeFrom="page">
                <wp:posOffset>1118870</wp:posOffset>
              </wp:positionV>
              <wp:extent cx="200660" cy="4608195"/>
              <wp:effectExtent l="0" t="0" r="8890" b="190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193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AFB1E" id="_x0000_t202" coordsize="21600,21600" o:spt="202" path="m,l,21600r21600,l21600,xe">
              <v:stroke joinstyle="miter"/>
              <v:path gradientshapeok="t" o:connecttype="rect"/>
            </v:shapetype>
            <v:shape id="_x0000_s1126" type="#_x0000_t202" style="position:absolute;margin-left:28pt;margin-top:88.1pt;width:15.8pt;height:362.8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O/AgIAAOsDAAAOAAAAZHJzL2Uyb0RvYy54bWysU1Fv0zAQfkfiP1h+p0kr2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qtQzvwICAADr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193</w:t>
                    </w:r>
                    <w:r w:rsidRPr="00746525">
                      <w:rPr>
                        <w:b/>
                      </w:rPr>
                      <w:fldChar w:fldCharType="end"/>
                    </w:r>
                  </w:p>
                </w:txbxContent>
              </v:textbox>
              <w10:wrap anchorx="page" anchory="page"/>
              <w10:anchorlock/>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014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33</w:t>
    </w:r>
    <w:r w:rsidRPr="00746525">
      <w:rPr>
        <w:b/>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196</w:t>
    </w:r>
    <w:r w:rsidRPr="00E14F7B">
      <w:rPr>
        <w:b/>
        <w:color w:val="720829"/>
      </w:rPr>
      <w:fldChar w:fldCharType="end"/>
    </w:r>
    <w:r>
      <w:rPr>
        <w:b/>
        <w:color w:val="720829"/>
      </w:rPr>
      <w:tab/>
    </w:r>
    <w:r w:rsidRPr="00746525">
      <w:rPr>
        <w:b/>
        <w:color w:val="720829"/>
      </w:rPr>
      <w:t>TRANSITION AND WELLBEING RESEARCH PROGRAMME</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195</w:t>
    </w:r>
    <w:r w:rsidRPr="00746525">
      <w:rPr>
        <w:b/>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1184" behindDoc="0" locked="1" layoutInCell="0" allowOverlap="1" wp14:anchorId="007389F8" wp14:editId="6B809A06">
              <wp:simplePos x="0" y="0"/>
              <wp:positionH relativeFrom="page">
                <wp:posOffset>371475</wp:posOffset>
              </wp:positionH>
              <wp:positionV relativeFrom="page">
                <wp:posOffset>685800</wp:posOffset>
              </wp:positionV>
              <wp:extent cx="2374265" cy="4608830"/>
              <wp:effectExtent l="0" t="0" r="1333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198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07389F8" id="_x0000_t202" coordsize="21600,21600" o:spt="202" path="m,l,21600r21600,l21600,xe">
              <v:stroke joinstyle="miter"/>
              <v:path gradientshapeok="t" o:connecttype="rect"/>
            </v:shapetype>
            <v:shape id="_x0000_s1127" type="#_x0000_t202" style="position:absolute;left:0;text-align:left;margin-left:29.25pt;margin-top:54pt;width:186.95pt;height:362.9pt;z-index:25174118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XHyDD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198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42208" behindDoc="0" locked="1" layoutInCell="0" allowOverlap="1" wp14:anchorId="3FA1DB75" wp14:editId="3F6CDF83">
              <wp:simplePos x="0" y="0"/>
              <wp:positionH relativeFrom="page">
                <wp:posOffset>355600</wp:posOffset>
              </wp:positionH>
              <wp:positionV relativeFrom="page">
                <wp:posOffset>1118870</wp:posOffset>
              </wp:positionV>
              <wp:extent cx="200660" cy="4608195"/>
              <wp:effectExtent l="0" t="0" r="8890" b="190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197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1DB75" id="_x0000_t202" coordsize="21600,21600" o:spt="202" path="m,l,21600r21600,l21600,xe">
              <v:stroke joinstyle="miter"/>
              <v:path gradientshapeok="t" o:connecttype="rect"/>
            </v:shapetype>
            <v:shape id="_x0000_s1128" type="#_x0000_t202" style="position:absolute;margin-left:28pt;margin-top:88.1pt;width:15.8pt;height:362.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FmXLMcAAgAA6wMAAA4AAAAA&#10;AAAAAAAAAAAALgIAAGRycy9lMm9Eb2MueG1sUEsBAi0AFAAGAAgAAAAhACxiV6zhAAAACQEAAA8A&#10;AAAAAAAAAAAAAAAAWgQAAGRycy9kb3ducmV2LnhtbFBLBQYAAAAABAAEAPMAAABo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197</w:t>
                    </w:r>
                    <w:r w:rsidRPr="00746525">
                      <w:rPr>
                        <w:b/>
                      </w:rPr>
                      <w:fldChar w:fldCharType="end"/>
                    </w:r>
                  </w:p>
                </w:txbxContent>
              </v:textbox>
              <w10:wrap anchorx="page" anchory="page"/>
              <w10:anchorlock/>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204</w:t>
    </w:r>
    <w:r w:rsidRPr="00E14F7B">
      <w:rPr>
        <w:b/>
        <w:color w:val="720829"/>
      </w:rPr>
      <w:fldChar w:fldCharType="end"/>
    </w:r>
    <w:r>
      <w:rPr>
        <w:b/>
        <w:color w:val="720829"/>
      </w:rPr>
      <w:tab/>
    </w:r>
    <w:r w:rsidRPr="00746525">
      <w:rPr>
        <w:b/>
        <w:color w:val="720829"/>
      </w:rPr>
      <w:t>TRANSITION AND WELLBEING RESEARCH PROGRAMME</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203</w:t>
    </w:r>
    <w:r w:rsidRPr="00746525">
      <w:rPr>
        <w:b/>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25152" behindDoc="0" locked="1" layoutInCell="0" allowOverlap="1" wp14:anchorId="4EC76D6B" wp14:editId="53BD90FD">
              <wp:simplePos x="0" y="0"/>
              <wp:positionH relativeFrom="page">
                <wp:posOffset>371475</wp:posOffset>
              </wp:positionH>
              <wp:positionV relativeFrom="page">
                <wp:posOffset>685800</wp:posOffset>
              </wp:positionV>
              <wp:extent cx="2374265" cy="4608830"/>
              <wp:effectExtent l="0" t="0" r="13335" b="12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206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EC76D6B" id="_x0000_t202" coordsize="21600,21600" o:spt="202" path="m,l,21600r21600,l21600,xe">
              <v:stroke joinstyle="miter"/>
              <v:path gradientshapeok="t" o:connecttype="rect"/>
            </v:shapetype>
            <v:shape id="_x0000_s1129" type="#_x0000_t202" style="position:absolute;left:0;text-align:left;margin-left:29.25pt;margin-top:54pt;width:186.95pt;height:362.9pt;z-index:2518251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A3OdoC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206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826176" behindDoc="0" locked="1" layoutInCell="0" allowOverlap="1" wp14:anchorId="2A702210" wp14:editId="2AD785B9">
              <wp:simplePos x="0" y="0"/>
              <wp:positionH relativeFrom="page">
                <wp:posOffset>355600</wp:posOffset>
              </wp:positionH>
              <wp:positionV relativeFrom="page">
                <wp:posOffset>1118870</wp:posOffset>
              </wp:positionV>
              <wp:extent cx="200660" cy="4608195"/>
              <wp:effectExtent l="0" t="0" r="8890" b="19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207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02210" id="_x0000_t202" coordsize="21600,21600" o:spt="202" path="m,l,21600r21600,l21600,xe">
              <v:stroke joinstyle="miter"/>
              <v:path gradientshapeok="t" o:connecttype="rect"/>
            </v:shapetype>
            <v:shape id="_x0000_s1130" type="#_x0000_t202" style="position:absolute;margin-left:28pt;margin-top:88.1pt;width:15.8pt;height:362.8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tcAgIAAOw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eZ2bXA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207</w:t>
                    </w:r>
                    <w:r w:rsidRPr="00746525">
                      <w:rPr>
                        <w:b/>
                      </w:rPr>
                      <w:fldChar w:fldCharType="end"/>
                    </w:r>
                  </w:p>
                </w:txbxContent>
              </v:textbox>
              <w10:wrap anchorx="page" anchory="page"/>
              <w10:anchorlock/>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212</w:t>
    </w:r>
    <w:r w:rsidRPr="00E14F7B">
      <w:rPr>
        <w:b/>
        <w:color w:val="720829"/>
      </w:rPr>
      <w:fldChar w:fldCharType="end"/>
    </w:r>
    <w:r>
      <w:rPr>
        <w:b/>
        <w:color w:val="720829"/>
      </w:rPr>
      <w:tab/>
    </w:r>
    <w:r w:rsidRPr="00746525">
      <w:rPr>
        <w:b/>
        <w:color w:val="720829"/>
      </w:rPr>
      <w:t>TRANSITION AND WELLBEING RESEARCH PROGRAMME</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211</w:t>
    </w:r>
    <w:r w:rsidRPr="00746525">
      <w:rPr>
        <w:b/>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9504" behindDoc="0" locked="1" layoutInCell="0" allowOverlap="1" wp14:anchorId="40A07094" wp14:editId="660BC743">
              <wp:simplePos x="0" y="0"/>
              <wp:positionH relativeFrom="page">
                <wp:posOffset>371475</wp:posOffset>
              </wp:positionH>
              <wp:positionV relativeFrom="page">
                <wp:posOffset>685800</wp:posOffset>
              </wp:positionV>
              <wp:extent cx="2374265" cy="4608830"/>
              <wp:effectExtent l="0" t="0" r="13335"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36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0A07094" id="_x0000_t202" coordsize="21600,21600" o:spt="202" path="m,l,21600r21600,l21600,xe">
              <v:stroke joinstyle="miter"/>
              <v:path gradientshapeok="t" o:connecttype="rect"/>
            </v:shapetype>
            <v:shape id="_x0000_s1074" type="#_x0000_t202" style="position:absolute;left:0;text-align:left;margin-left:29.25pt;margin-top:54pt;width:186.95pt;height:362.9pt;z-index:2516695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eQBQIAAOs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fvMeQ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36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28224" behindDoc="0" locked="1" layoutInCell="0" allowOverlap="1" wp14:anchorId="2931CFBE" wp14:editId="76FB7513">
              <wp:simplePos x="0" y="0"/>
              <wp:positionH relativeFrom="page">
                <wp:posOffset>371475</wp:posOffset>
              </wp:positionH>
              <wp:positionV relativeFrom="page">
                <wp:posOffset>685800</wp:posOffset>
              </wp:positionV>
              <wp:extent cx="2374265" cy="4608830"/>
              <wp:effectExtent l="0" t="0" r="13335" b="127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214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931CFBE" id="_x0000_t202" coordsize="21600,21600" o:spt="202" path="m,l,21600r21600,l21600,xe">
              <v:stroke joinstyle="miter"/>
              <v:path gradientshapeok="t" o:connecttype="rect"/>
            </v:shapetype>
            <v:shape id="_x0000_s1131" type="#_x0000_t202" style="position:absolute;left:0;text-align:left;margin-left:29.25pt;margin-top:54pt;width:186.95pt;height:362.9pt;z-index:2518282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44BgIAAO0DAAAOAAAAZHJzL2Uyb0RvYy54bWysU8GO2yAQvVfqPyDujR1nk6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1xpeOA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214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829248" behindDoc="0" locked="1" layoutInCell="0" allowOverlap="1" wp14:anchorId="27C75DEE" wp14:editId="266B28E3">
              <wp:simplePos x="0" y="0"/>
              <wp:positionH relativeFrom="page">
                <wp:posOffset>355600</wp:posOffset>
              </wp:positionH>
              <wp:positionV relativeFrom="page">
                <wp:posOffset>1118870</wp:posOffset>
              </wp:positionV>
              <wp:extent cx="200660" cy="4608195"/>
              <wp:effectExtent l="0" t="0" r="8890" b="190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75DEE" id="_x0000_t202" coordsize="21600,21600" o:spt="202" path="m,l,21600r21600,l21600,xe">
              <v:stroke joinstyle="miter"/>
              <v:path gradientshapeok="t" o:connecttype="rect"/>
            </v:shapetype>
            <v:shape id="_x0000_s1132" type="#_x0000_t202" style="position:absolute;margin-left:28pt;margin-top:88.1pt;width:15.8pt;height:362.8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GHAgIAAOw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Qcchhw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213</w:t>
                    </w:r>
                    <w:r w:rsidRPr="00746525">
                      <w:rPr>
                        <w:b/>
                      </w:rPr>
                      <w:fldChar w:fldCharType="end"/>
                    </w:r>
                  </w:p>
                </w:txbxContent>
              </v:textbox>
              <w10:wrap anchorx="page" anchory="page"/>
              <w10:anchorlock/>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216</w:t>
    </w:r>
    <w:r w:rsidRPr="00E14F7B">
      <w:rPr>
        <w:b/>
        <w:color w:val="720829"/>
      </w:rPr>
      <w:fldChar w:fldCharType="end"/>
    </w:r>
    <w:r>
      <w:rPr>
        <w:b/>
        <w:color w:val="720829"/>
      </w:rPr>
      <w:tab/>
    </w:r>
    <w:r w:rsidRPr="00746525">
      <w:rPr>
        <w:b/>
        <w:color w:val="720829"/>
      </w:rPr>
      <w:t>TRANSITION AND WELLBEING RESEARCH PROGRAMME</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215</w:t>
    </w:r>
    <w:r w:rsidRPr="00746525">
      <w:rPr>
        <w:b/>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31296" behindDoc="0" locked="1" layoutInCell="0" allowOverlap="1" wp14:anchorId="780C537E" wp14:editId="0BEC1079">
              <wp:simplePos x="0" y="0"/>
              <wp:positionH relativeFrom="page">
                <wp:posOffset>371475</wp:posOffset>
              </wp:positionH>
              <wp:positionV relativeFrom="page">
                <wp:posOffset>685800</wp:posOffset>
              </wp:positionV>
              <wp:extent cx="2374265" cy="4608830"/>
              <wp:effectExtent l="0" t="0" r="13335" b="127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218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80C537E" id="_x0000_t202" coordsize="21600,21600" o:spt="202" path="m,l,21600r21600,l21600,xe">
              <v:stroke joinstyle="miter"/>
              <v:path gradientshapeok="t" o:connecttype="rect"/>
            </v:shapetype>
            <v:shape id="_x0000_s1133" type="#_x0000_t202" style="position:absolute;left:0;text-align:left;margin-left:29.25pt;margin-top:54pt;width:186.95pt;height:362.9pt;z-index:2518312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CIBwIAAO0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KqdIIg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218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832320" behindDoc="0" locked="1" layoutInCell="0" allowOverlap="1" wp14:anchorId="7A40A3A2" wp14:editId="1CD2681A">
              <wp:simplePos x="0" y="0"/>
              <wp:positionH relativeFrom="page">
                <wp:posOffset>355600</wp:posOffset>
              </wp:positionH>
              <wp:positionV relativeFrom="page">
                <wp:posOffset>1118870</wp:posOffset>
              </wp:positionV>
              <wp:extent cx="200660" cy="4608195"/>
              <wp:effectExtent l="0" t="0" r="8890" b="190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0A3A2" id="_x0000_t202" coordsize="21600,21600" o:spt="202" path="m,l,21600r21600,l21600,xe">
              <v:stroke joinstyle="miter"/>
              <v:path gradientshapeok="t" o:connecttype="rect"/>
            </v:shapetype>
            <v:shape id="_x0000_s1134" type="#_x0000_t202" style="position:absolute;margin-left:28pt;margin-top:88.1pt;width:15.8pt;height:362.8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pnoz+AQIAAOw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217</w:t>
                    </w:r>
                    <w:r w:rsidRPr="00746525">
                      <w:rPr>
                        <w:b/>
                      </w:rPr>
                      <w:fldChar w:fldCharType="end"/>
                    </w:r>
                  </w:p>
                </w:txbxContent>
              </v:textbox>
              <w10:wrap anchorx="page" anchory="page"/>
              <w10:anchorlock/>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220</w:t>
    </w:r>
    <w:r w:rsidRPr="00E14F7B">
      <w:rPr>
        <w:b/>
        <w:color w:val="720829"/>
      </w:rPr>
      <w:fldChar w:fldCharType="end"/>
    </w:r>
    <w:r>
      <w:rPr>
        <w:b/>
        <w:color w:val="720829"/>
      </w:rPr>
      <w:tab/>
    </w:r>
    <w:r w:rsidRPr="00746525">
      <w:rPr>
        <w:b/>
        <w:color w:val="720829"/>
      </w:rPr>
      <w:t>TRANSITION AND WELLBEING RESEARCH PROGRAMME</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219</w:t>
    </w:r>
    <w:r w:rsidRPr="00746525">
      <w:rPr>
        <w:b/>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6B0AC1">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36416" behindDoc="0" locked="1" layoutInCell="0" allowOverlap="1" wp14:anchorId="4EF076A6" wp14:editId="7A04A9E6">
              <wp:simplePos x="0" y="0"/>
              <wp:positionH relativeFrom="page">
                <wp:posOffset>371475</wp:posOffset>
              </wp:positionH>
              <wp:positionV relativeFrom="page">
                <wp:posOffset>685800</wp:posOffset>
              </wp:positionV>
              <wp:extent cx="2374265" cy="4608830"/>
              <wp:effectExtent l="0" t="0" r="13335" b="12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6B0AC1">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220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EF076A6" id="_x0000_t202" coordsize="21600,21600" o:spt="202" path="m,l,21600r21600,l21600,xe">
              <v:stroke joinstyle="miter"/>
              <v:path gradientshapeok="t" o:connecttype="rect"/>
            </v:shapetype>
            <v:shape id="_x0000_s1135" type="#_x0000_t202" style="position:absolute;left:0;text-align:left;margin-left:29.25pt;margin-top:54pt;width:186.95pt;height:362.9pt;z-index:2518364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BguCcD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6B0AC1">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220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6B0AC1">
    <w:pPr>
      <w:pStyle w:val="Footer"/>
      <w:pBdr>
        <w:top w:val="none" w:sz="0" w:space="0" w:color="auto"/>
      </w:pBdr>
    </w:pPr>
    <w:r>
      <w:rPr>
        <w:lang w:eastAsia="en-AU"/>
      </w:rPr>
      <mc:AlternateContent>
        <mc:Choice Requires="wps">
          <w:drawing>
            <wp:anchor distT="0" distB="0" distL="114300" distR="114300" simplePos="0" relativeHeight="251834368" behindDoc="0" locked="1" layoutInCell="0" allowOverlap="1" wp14:anchorId="1FF6D677" wp14:editId="5B8E5B16">
              <wp:simplePos x="0" y="0"/>
              <wp:positionH relativeFrom="page">
                <wp:posOffset>355600</wp:posOffset>
              </wp:positionH>
              <wp:positionV relativeFrom="page">
                <wp:posOffset>1118870</wp:posOffset>
              </wp:positionV>
              <wp:extent cx="200660" cy="4608195"/>
              <wp:effectExtent l="0" t="0" r="8890" b="190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6B0AC1">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221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6D677" id="_x0000_t202" coordsize="21600,21600" o:spt="202" path="m,l,21600r21600,l21600,xe">
              <v:stroke joinstyle="miter"/>
              <v:path gradientshapeok="t" o:connecttype="rect"/>
            </v:shapetype>
            <v:shape id="_x0000_s1136" type="#_x0000_t202" style="position:absolute;margin-left:28pt;margin-top:88.1pt;width:15.8pt;height:362.8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FMpbP0DAgAA7AMAAA4A&#10;AAAAAAAAAAAAAAAALgIAAGRycy9lMm9Eb2MueG1sUEsBAi0AFAAGAAgAAAAhACxiV6zhAAAACQEA&#10;AA8AAAAAAAAAAAAAAAAAXQQAAGRycy9kb3ducmV2LnhtbFBLBQYAAAAABAAEAPMAAABrBQAAAAA=&#10;" o:allowincell="f" filled="f" stroked="f">
              <v:textbox style="layout-flow:vertical" inset="0,0,0,0">
                <w:txbxContent>
                  <w:p w:rsidR="00A1139F" w:rsidRDefault="00A1139F" w:rsidP="006B0AC1">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221</w:t>
                    </w:r>
                    <w:r w:rsidRPr="00746525">
                      <w:rPr>
                        <w:b/>
                      </w:rPr>
                      <w:fldChar w:fldCharType="end"/>
                    </w:r>
                  </w:p>
                </w:txbxContent>
              </v:textbox>
              <w10:wrap anchorx="page" anchory="page"/>
              <w10:anchorlock/>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70528" behindDoc="0" locked="1" layoutInCell="0" allowOverlap="1" wp14:anchorId="6CE84BF3" wp14:editId="26B697B9">
              <wp:simplePos x="0" y="0"/>
              <wp:positionH relativeFrom="page">
                <wp:posOffset>355600</wp:posOffset>
              </wp:positionH>
              <wp:positionV relativeFrom="page">
                <wp:posOffset>1118870</wp:posOffset>
              </wp:positionV>
              <wp:extent cx="200660" cy="4608195"/>
              <wp:effectExtent l="0" t="0" r="889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35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84BF3" id="_x0000_t202" coordsize="21600,21600" o:spt="202" path="m,l,21600r21600,l21600,xe">
              <v:stroke joinstyle="miter"/>
              <v:path gradientshapeok="t" o:connecttype="rect"/>
            </v:shapetype>
            <v:shape id="_x0000_s1075" type="#_x0000_t202" style="position:absolute;margin-left:28pt;margin-top:88.1pt;width:15.8pt;height:362.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Ehh6Bv8BAADqAwAADgAAAAAA&#10;AAAAAAAAAAAuAgAAZHJzL2Uyb0RvYy54bWxQSwECLQAUAAYACAAAACEALGJXrOEAAAAJAQAADwAA&#10;AAAAAAAAAAAAAABZBAAAZHJzL2Rvd25yZXYueG1sUEsFBgAAAAAEAAQA8wAAAGc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35</w:t>
                    </w:r>
                    <w:r w:rsidRPr="00746525">
                      <w:rPr>
                        <w:b/>
                      </w:rPr>
                      <w:fldChar w:fldCharType="end"/>
                    </w:r>
                  </w:p>
                </w:txbxContent>
              </v:textbox>
              <w10:wrap anchorx="page" anchory="page"/>
              <w10:anchorlock/>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270</w:t>
    </w:r>
    <w:r w:rsidRPr="00E14F7B">
      <w:rPr>
        <w:b/>
        <w:color w:val="720829"/>
      </w:rPr>
      <w:fldChar w:fldCharType="end"/>
    </w:r>
    <w:r>
      <w:rPr>
        <w:b/>
        <w:color w:val="720829"/>
      </w:rPr>
      <w:tab/>
    </w:r>
    <w:r w:rsidRPr="00746525">
      <w:rPr>
        <w:b/>
        <w:color w:val="720829"/>
      </w:rPr>
      <w:t>TRANSITION AND WELLBEING RESEARCH PROGRAMME</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271</w:t>
    </w:r>
    <w:r w:rsidRPr="00746525">
      <w:rPr>
        <w:b/>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4F17A6">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50752" behindDoc="0" locked="1" layoutInCell="0" allowOverlap="1" wp14:anchorId="7F493C3F" wp14:editId="37993440">
              <wp:simplePos x="0" y="0"/>
              <wp:positionH relativeFrom="page">
                <wp:posOffset>371475</wp:posOffset>
              </wp:positionH>
              <wp:positionV relativeFrom="page">
                <wp:posOffset>685800</wp:posOffset>
              </wp:positionV>
              <wp:extent cx="2374265" cy="4608830"/>
              <wp:effectExtent l="0" t="0" r="1333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4F17A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272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F493C3F" id="_x0000_t202" coordsize="21600,21600" o:spt="202" path="m,l,21600r21600,l21600,xe">
              <v:stroke joinstyle="miter"/>
              <v:path gradientshapeok="t" o:connecttype="rect"/>
            </v:shapetype>
            <v:shape id="_x0000_s1137" type="#_x0000_t202" style="position:absolute;left:0;text-align:left;margin-left:29.25pt;margin-top:54pt;width:186.95pt;height:362.9pt;z-index:2518507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IeEdxM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4F17A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272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17A6">
    <w:pPr>
      <w:pStyle w:val="Footer"/>
      <w:pBdr>
        <w:top w:val="none" w:sz="0" w:space="0" w:color="auto"/>
      </w:pBdr>
    </w:pPr>
    <w:r>
      <w:rPr>
        <w:lang w:eastAsia="en-AU"/>
      </w:rPr>
      <mc:AlternateContent>
        <mc:Choice Requires="wps">
          <w:drawing>
            <wp:anchor distT="0" distB="0" distL="114300" distR="114300" simplePos="0" relativeHeight="251848704" behindDoc="0" locked="1" layoutInCell="0" allowOverlap="1" wp14:anchorId="0B763C5E" wp14:editId="51F68FB4">
              <wp:simplePos x="0" y="0"/>
              <wp:positionH relativeFrom="page">
                <wp:posOffset>355600</wp:posOffset>
              </wp:positionH>
              <wp:positionV relativeFrom="page">
                <wp:posOffset>1118870</wp:posOffset>
              </wp:positionV>
              <wp:extent cx="200660" cy="4608195"/>
              <wp:effectExtent l="0" t="0" r="8890" b="190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4F17A6">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273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63C5E" id="_x0000_t202" coordsize="21600,21600" o:spt="202" path="m,l,21600r21600,l21600,xe">
              <v:stroke joinstyle="miter"/>
              <v:path gradientshapeok="t" o:connecttype="rect"/>
            </v:shapetype>
            <v:shape id="_x0000_s1138" type="#_x0000_t202" style="position:absolute;margin-left:28pt;margin-top:88.1pt;width:15.8pt;height:362.8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SYhFSAQIAAOw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4F17A6">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273</w:t>
                    </w:r>
                    <w:r w:rsidRPr="00746525">
                      <w:rPr>
                        <w:b/>
                      </w:rPr>
                      <w:fldChar w:fldCharType="end"/>
                    </w:r>
                  </w:p>
                </w:txbxContent>
              </v:textbox>
              <w10:wrap anchorx="page" anchory="page"/>
              <w10:anchorlock/>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312</w:t>
    </w:r>
    <w:r w:rsidRPr="00E14F7B">
      <w:rPr>
        <w:b/>
        <w:color w:val="720829"/>
      </w:rPr>
      <w:fldChar w:fldCharType="end"/>
    </w:r>
    <w:r>
      <w:rPr>
        <w:b/>
        <w:color w:val="720829"/>
      </w:rPr>
      <w:tab/>
    </w:r>
    <w:r w:rsidRPr="00746525">
      <w:rPr>
        <w:b/>
        <w:color w:val="720829"/>
      </w:rPr>
      <w:t>TRANSITION AND WELLBEING RESEARCH PROGRAMME</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321</w:t>
    </w:r>
    <w:r w:rsidRPr="00746525">
      <w:rPr>
        <w:b/>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6066C9">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46656" behindDoc="0" locked="1" layoutInCell="0" allowOverlap="1" wp14:anchorId="5AF56EA5" wp14:editId="14A29207">
              <wp:simplePos x="0" y="0"/>
              <wp:positionH relativeFrom="page">
                <wp:posOffset>371475</wp:posOffset>
              </wp:positionH>
              <wp:positionV relativeFrom="page">
                <wp:posOffset>685800</wp:posOffset>
              </wp:positionV>
              <wp:extent cx="2374265" cy="4608830"/>
              <wp:effectExtent l="0" t="0" r="1333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6066C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314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AF56EA5" id="_x0000_t202" coordsize="21600,21600" o:spt="202" path="m,l,21600r21600,l21600,xe">
              <v:stroke joinstyle="miter"/>
              <v:path gradientshapeok="t" o:connecttype="rect"/>
            </v:shapetype>
            <v:shape id="_x0000_s1139" type="#_x0000_t202" style="position:absolute;left:0;text-align:left;margin-left:29.25pt;margin-top:54pt;width:186.95pt;height:362.9pt;z-index:2518466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L9dA1g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6066C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314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CE607E">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320</w:t>
    </w:r>
    <w:r w:rsidRPr="00E14F7B">
      <w:rPr>
        <w:b/>
        <w:color w:val="720829"/>
      </w:rPr>
      <w:fldChar w:fldCharType="end"/>
    </w:r>
    <w:r>
      <w:rPr>
        <w:b/>
        <w:color w:val="720829"/>
      </w:rPr>
      <w:tab/>
    </w:r>
    <w:r w:rsidRPr="00746525">
      <w:rPr>
        <w:b/>
        <w:color w:val="720829"/>
      </w:rPr>
      <w:t>TRANSITION AND WELLBEING RESEARCH PROGRAMME</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2576" behindDoc="0" locked="1" layoutInCell="0" allowOverlap="1" wp14:anchorId="686271F0" wp14:editId="23B9EFB6">
              <wp:simplePos x="0" y="0"/>
              <wp:positionH relativeFrom="page">
                <wp:posOffset>371475</wp:posOffset>
              </wp:positionH>
              <wp:positionV relativeFrom="page">
                <wp:posOffset>685800</wp:posOffset>
              </wp:positionV>
              <wp:extent cx="2374265" cy="4608830"/>
              <wp:effectExtent l="0" t="0" r="13335"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322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86271F0" id="_x0000_t202" coordsize="21600,21600" o:spt="202" path="m,l,21600r21600,l21600,xe">
              <v:stroke joinstyle="miter"/>
              <v:path gradientshapeok="t" o:connecttype="rect"/>
            </v:shapetype>
            <v:shape id="_x0000_s1140" type="#_x0000_t202" style="position:absolute;left:0;text-align:left;margin-left:29.25pt;margin-top:54pt;width:186.95pt;height:362.9pt;z-index:2516725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jtkhG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322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73600" behindDoc="0" locked="1" layoutInCell="0" allowOverlap="1" wp14:anchorId="2F2DE5B2" wp14:editId="0ED1A992">
              <wp:simplePos x="0" y="0"/>
              <wp:positionH relativeFrom="page">
                <wp:posOffset>355600</wp:posOffset>
              </wp:positionH>
              <wp:positionV relativeFrom="page">
                <wp:posOffset>1118870</wp:posOffset>
              </wp:positionV>
              <wp:extent cx="200660" cy="4608195"/>
              <wp:effectExtent l="0" t="0" r="889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335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DE5B2" id="_x0000_t202" coordsize="21600,21600" o:spt="202" path="m,l,21600r21600,l21600,xe">
              <v:stroke joinstyle="miter"/>
              <v:path gradientshapeok="t" o:connecttype="rect"/>
            </v:shapetype>
            <v:shape id="_x0000_s1141" type="#_x0000_t202" style="position:absolute;margin-left:28pt;margin-top:88.1pt;width:15.8pt;height:362.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TNAQIAAOsDAAAOAAAAZHJzL2Uyb0RvYy54bWysU8Fu2zAMvQ/YPwi6L3aCJUu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YFvTN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335</w:t>
                    </w:r>
                    <w:r w:rsidRPr="00746525">
                      <w:rPr>
                        <w:b/>
                      </w:rPr>
                      <w:fldChar w:fldCharType="end"/>
                    </w:r>
                  </w:p>
                </w:txbxContent>
              </v:textbox>
              <w10:wrap anchorx="page" anchory="pag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42</w:t>
    </w:r>
    <w:r w:rsidRPr="00E14F7B">
      <w:rPr>
        <w:b/>
        <w:color w:val="720829"/>
      </w:rPr>
      <w:fldChar w:fldCharType="end"/>
    </w:r>
    <w:r>
      <w:rPr>
        <w:b/>
        <w:color w:val="720829"/>
      </w:rPr>
      <w:tab/>
    </w:r>
    <w:r w:rsidRPr="00746525">
      <w:rPr>
        <w:b/>
        <w:color w:val="720829"/>
      </w:rPr>
      <w:t>TRANSITION AND WELLBEING RESEARCH PROGRAMME</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3A5AD5">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360</w:t>
    </w:r>
    <w:r w:rsidRPr="00E14F7B">
      <w:rPr>
        <w:b/>
        <w:color w:val="720829"/>
      </w:rPr>
      <w:fldChar w:fldCharType="end"/>
    </w:r>
    <w:r>
      <w:rPr>
        <w:b/>
        <w:color w:val="720829"/>
      </w:rPr>
      <w:tab/>
    </w:r>
    <w:r w:rsidRPr="00746525">
      <w:rPr>
        <w:b/>
        <w:color w:val="720829"/>
      </w:rPr>
      <w:t>TRANSITION AND WELLBEING RESEARCH PROGRAMME</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014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359</w:t>
    </w:r>
    <w:r w:rsidRPr="00746525">
      <w:rPr>
        <w:b/>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746525">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39</w:t>
    </w:r>
    <w:r w:rsidRPr="00746525">
      <w:rPr>
        <w:b/>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746525">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43</w:t>
    </w:r>
    <w:r w:rsidRPr="00746525">
      <w:rP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5648" behindDoc="0" locked="1" layoutInCell="0" allowOverlap="1" wp14:anchorId="45E76401" wp14:editId="58F4655C">
              <wp:simplePos x="0" y="0"/>
              <wp:positionH relativeFrom="page">
                <wp:posOffset>371475</wp:posOffset>
              </wp:positionH>
              <wp:positionV relativeFrom="page">
                <wp:posOffset>685800</wp:posOffset>
              </wp:positionV>
              <wp:extent cx="2374265" cy="4608830"/>
              <wp:effectExtent l="0" t="0" r="13335"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46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5E76401" id="_x0000_t202" coordsize="21600,21600" o:spt="202" path="m,l,21600r21600,l21600,xe">
              <v:stroke joinstyle="miter"/>
              <v:path gradientshapeok="t" o:connecttype="rect"/>
            </v:shapetype>
            <v:shape id="_x0000_s1076" type="#_x0000_t202" style="position:absolute;left:0;text-align:left;margin-left:29.25pt;margin-top:54pt;width:186.95pt;height:362.9pt;z-index:2516756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46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76672" behindDoc="0" locked="1" layoutInCell="0" allowOverlap="1" wp14:anchorId="32E162F3" wp14:editId="0B9DC6AB">
              <wp:simplePos x="0" y="0"/>
              <wp:positionH relativeFrom="page">
                <wp:posOffset>355600</wp:posOffset>
              </wp:positionH>
              <wp:positionV relativeFrom="page">
                <wp:posOffset>1118870</wp:posOffset>
              </wp:positionV>
              <wp:extent cx="200660" cy="4608195"/>
              <wp:effectExtent l="0" t="0" r="889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45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162F3" id="_x0000_t202" coordsize="21600,21600" o:spt="202" path="m,l,21600r21600,l21600,xe">
              <v:stroke joinstyle="miter"/>
              <v:path gradientshapeok="t" o:connecttype="rect"/>
            </v:shapetype>
            <v:shape id="_x0000_s1077" type="#_x0000_t202" style="position:absolute;margin-left:28pt;margin-top:88.1pt;width:15.8pt;height:362.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Im1DZ8AAgAA6gMAAA4AAAAA&#10;AAAAAAAAAAAALgIAAGRycy9lMm9Eb2MueG1sUEsBAi0AFAAGAAgAAAAhACxiV6zhAAAACQEAAA8A&#10;AAAAAAAAAAAAAAAAWgQAAGRycy9kb3ducmV2LnhtbFBLBQYAAAAABAAEAPMAAABo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45</w:t>
                    </w:r>
                    <w:r w:rsidRPr="00746525">
                      <w:rPr>
                        <w:b/>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F5B14">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B71CED">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56</w:t>
    </w:r>
    <w:r w:rsidRPr="00E14F7B">
      <w:rPr>
        <w:b/>
        <w:color w:val="720829"/>
      </w:rPr>
      <w:fldChar w:fldCharType="end"/>
    </w:r>
    <w:r>
      <w:rPr>
        <w:b/>
        <w:color w:val="720829"/>
      </w:rPr>
      <w:tab/>
    </w:r>
    <w:r w:rsidRPr="00746525">
      <w:rPr>
        <w:b/>
        <w:color w:val="720829"/>
      </w:rPr>
      <w:t>TRANSITION AND WELLBEING RESEARCH PROGRAMME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746525">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57</w:t>
    </w:r>
    <w:r w:rsidRPr="00746525">
      <w:rPr>
        <w:b/>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F83362">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4560" behindDoc="0" locked="1" layoutInCell="0" allowOverlap="1" wp14:anchorId="3EDB3F0D" wp14:editId="7C0EA0A6">
              <wp:simplePos x="0" y="0"/>
              <wp:positionH relativeFrom="page">
                <wp:posOffset>371475</wp:posOffset>
              </wp:positionH>
              <wp:positionV relativeFrom="page">
                <wp:posOffset>685800</wp:posOffset>
              </wp:positionV>
              <wp:extent cx="2374265" cy="4608830"/>
              <wp:effectExtent l="0" t="0" r="1333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F8336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58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EDB3F0D" id="_x0000_t202" coordsize="21600,21600" o:spt="202" path="m,l,21600r21600,l21600,xe">
              <v:stroke joinstyle="miter"/>
              <v:path gradientshapeok="t" o:connecttype="rect"/>
            </v:shapetype>
            <v:shape id="_x0000_s1078" type="#_x0000_t202" style="position:absolute;left:0;text-align:left;margin-left:29.25pt;margin-top:54pt;width:186.95pt;height:362.9pt;z-index:2517145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iGWZf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F8336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58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F83362">
    <w:pPr>
      <w:pStyle w:val="Footer"/>
      <w:pBdr>
        <w:top w:val="none" w:sz="0" w:space="0" w:color="auto"/>
      </w:pBdr>
    </w:pPr>
    <w:r>
      <w:rPr>
        <w:lang w:eastAsia="en-AU"/>
      </w:rPr>
      <mc:AlternateContent>
        <mc:Choice Requires="wps">
          <w:drawing>
            <wp:anchor distT="0" distB="0" distL="114300" distR="114300" simplePos="0" relativeHeight="251712512" behindDoc="0" locked="1" layoutInCell="0" allowOverlap="1" wp14:anchorId="5835F2B8" wp14:editId="28AD64C5">
              <wp:simplePos x="0" y="0"/>
              <wp:positionH relativeFrom="page">
                <wp:posOffset>355600</wp:posOffset>
              </wp:positionH>
              <wp:positionV relativeFrom="page">
                <wp:posOffset>1118870</wp:posOffset>
              </wp:positionV>
              <wp:extent cx="200660" cy="4608195"/>
              <wp:effectExtent l="0" t="0" r="8890" b="19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F83362">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5F2B8" id="_x0000_t202" coordsize="21600,21600" o:spt="202" path="m,l,21600r21600,l21600,xe">
              <v:stroke joinstyle="miter"/>
              <v:path gradientshapeok="t" o:connecttype="rect"/>
            </v:shapetype>
            <v:shape id="_x0000_s1079" type="#_x0000_t202" style="position:absolute;margin-left:28pt;margin-top:88.1pt;width:15.8pt;height:362.8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f6AQIAAOoDAAAOAAAAZHJzL2Uyb0RvYy54bWysU9uO2yAQfa/Uf0C8N3bSJtp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sGFf6AQIAAOo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F83362">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59</w:t>
                    </w:r>
                    <w:r w:rsidRPr="00746525">
                      <w:rPr>
                        <w:b/>
                      </w:rPr>
                      <w:fldChar w:fldCharType="end"/>
                    </w:r>
                  </w:p>
                </w:txbxContent>
              </v:textbox>
              <w10:wrap anchorx="page" anchory="page"/>
              <w10:anchorlock/>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B71CED">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60</w:t>
    </w:r>
    <w:r w:rsidRPr="00E14F7B">
      <w:rPr>
        <w:b/>
        <w:color w:val="720829"/>
      </w:rPr>
      <w:fldChar w:fldCharType="end"/>
    </w:r>
    <w:r>
      <w:rPr>
        <w:b/>
        <w:color w:val="720829"/>
      </w:rPr>
      <w:tab/>
    </w:r>
    <w:r w:rsidRPr="00746525">
      <w:rPr>
        <w:b/>
        <w:color w:val="720829"/>
      </w:rPr>
      <w:t>TRANSITION AND WELLBEING RESEARCH PROGRAMME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746525">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59</w:t>
    </w:r>
    <w:r w:rsidRPr="00746525">
      <w:rPr>
        <w:b/>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8720" behindDoc="0" locked="1" layoutInCell="0" allowOverlap="1" wp14:anchorId="1EFFB0EF" wp14:editId="523392B8">
              <wp:simplePos x="0" y="0"/>
              <wp:positionH relativeFrom="page">
                <wp:posOffset>371475</wp:posOffset>
              </wp:positionH>
              <wp:positionV relativeFrom="page">
                <wp:posOffset>685800</wp:posOffset>
              </wp:positionV>
              <wp:extent cx="2374265" cy="4608830"/>
              <wp:effectExtent l="0" t="0" r="1333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EFFB0EF" id="_x0000_t202" coordsize="21600,21600" o:spt="202" path="m,l,21600r21600,l21600,xe">
              <v:stroke joinstyle="miter"/>
              <v:path gradientshapeok="t" o:connecttype="rect"/>
            </v:shapetype>
            <v:shape id="_x0000_s1080" type="#_x0000_t202" style="position:absolute;left:0;text-align:left;margin-left:29.25pt;margin-top:54pt;width:186.95pt;height:362.9pt;z-index:2516787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wI0mo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79744" behindDoc="0" locked="1" layoutInCell="0" allowOverlap="1" wp14:anchorId="1F908B24" wp14:editId="0736A5F2">
              <wp:simplePos x="0" y="0"/>
              <wp:positionH relativeFrom="page">
                <wp:posOffset>355600</wp:posOffset>
              </wp:positionH>
              <wp:positionV relativeFrom="page">
                <wp:posOffset>1118870</wp:posOffset>
              </wp:positionV>
              <wp:extent cx="200660" cy="4608195"/>
              <wp:effectExtent l="0" t="0" r="889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08B24" id="_x0000_t202" coordsize="21600,21600" o:spt="202" path="m,l,21600r21600,l21600,xe">
              <v:stroke joinstyle="miter"/>
              <v:path gradientshapeok="t" o:connecttype="rect"/>
            </v:shapetype>
            <v:shape id="_x0000_s1081" type="#_x0000_t202" style="position:absolute;margin-left:28pt;margin-top:88.1pt;width:15.8pt;height:362.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owGKQP8BAADrAwAADgAAAAAA&#10;AAAAAAAAAAAuAgAAZHJzL2Uyb0RvYy54bWxQSwECLQAUAAYACAAAACEALGJXrOEAAAAJAQAADwAA&#10;AAAAAAAAAAAAAABZBAAAZHJzL2Rvd25yZXYueG1sUEsFBgAAAAAEAAQA8wAAAGc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61</w:t>
                    </w:r>
                    <w:r w:rsidRPr="00746525">
                      <w:rPr>
                        <w:b/>
                      </w:rPr>
                      <w:fldChar w:fldCharType="end"/>
                    </w:r>
                  </w:p>
                </w:txbxContent>
              </v:textbox>
              <w10:wrap anchorx="page" anchory="page"/>
              <w10:anchorlock/>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66</w:t>
    </w:r>
    <w:r w:rsidRPr="00E14F7B">
      <w:rPr>
        <w:b/>
        <w:color w:val="720829"/>
      </w:rPr>
      <w:fldChar w:fldCharType="end"/>
    </w:r>
    <w:r>
      <w:rPr>
        <w:b/>
        <w:color w:val="720829"/>
      </w:rPr>
      <w:tab/>
    </w:r>
    <w:r w:rsidRPr="00746525">
      <w:rPr>
        <w:b/>
        <w:color w:val="720829"/>
      </w:rPr>
      <w:t>TRANSITION AND WELLBEING RESEARCH PROGRAMME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67</w:t>
    </w:r>
    <w:r w:rsidRPr="00746525">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xii</w:t>
    </w:r>
    <w:r w:rsidRPr="00E14F7B">
      <w:rPr>
        <w:b/>
        <w:color w:val="720829"/>
      </w:rPr>
      <w:fldChar w:fldCharType="end"/>
    </w:r>
    <w:r>
      <w:rPr>
        <w:b/>
        <w:color w:val="720829"/>
      </w:rPr>
      <w:tab/>
    </w:r>
    <w:r w:rsidRPr="00746525">
      <w:rPr>
        <w:b/>
        <w:color w:val="720829"/>
      </w:rPr>
      <w:t>TRANSITION AND WELLBEING RESEARCH PROGRAMME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1792" behindDoc="0" locked="1" layoutInCell="0" allowOverlap="1" wp14:anchorId="5688DB6D" wp14:editId="5B56CC5F">
              <wp:simplePos x="0" y="0"/>
              <wp:positionH relativeFrom="page">
                <wp:posOffset>371475</wp:posOffset>
              </wp:positionH>
              <wp:positionV relativeFrom="page">
                <wp:posOffset>685800</wp:posOffset>
              </wp:positionV>
              <wp:extent cx="2374265" cy="4608830"/>
              <wp:effectExtent l="0" t="0" r="13335"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68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688DB6D" id="_x0000_t202" coordsize="21600,21600" o:spt="202" path="m,l,21600r21600,l21600,xe">
              <v:stroke joinstyle="miter"/>
              <v:path gradientshapeok="t" o:connecttype="rect"/>
            </v:shapetype>
            <v:shape id="_x0000_s1082" type="#_x0000_t202" style="position:absolute;left:0;text-align:left;margin-left:29.25pt;margin-top:54pt;width:186.95pt;height:362.9pt;z-index:2516817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mr6wB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68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82816" behindDoc="0" locked="1" layoutInCell="0" allowOverlap="1" wp14:anchorId="2BEB484E" wp14:editId="7C41B279">
              <wp:simplePos x="0" y="0"/>
              <wp:positionH relativeFrom="page">
                <wp:posOffset>355600</wp:posOffset>
              </wp:positionH>
              <wp:positionV relativeFrom="page">
                <wp:posOffset>1118870</wp:posOffset>
              </wp:positionV>
              <wp:extent cx="200660" cy="4608195"/>
              <wp:effectExtent l="0" t="0" r="889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69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B484E" id="_x0000_t202" coordsize="21600,21600" o:spt="202" path="m,l,21600r21600,l21600,xe">
              <v:stroke joinstyle="miter"/>
              <v:path gradientshapeok="t" o:connecttype="rect"/>
            </v:shapetype>
            <v:shape id="_x0000_s1083" type="#_x0000_t202" style="position:absolute;margin-left:28pt;margin-top:88.1pt;width:15.8pt;height:362.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uMAgIAAOs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H4yLjAICAADr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69</w:t>
                    </w:r>
                    <w:r w:rsidRPr="00746525">
                      <w:rPr>
                        <w:b/>
                      </w:rPr>
                      <w:fldChar w:fldCharType="end"/>
                    </w:r>
                  </w:p>
                </w:txbxContent>
              </v:textbox>
              <w10:wrap anchorx="page" anchory="page"/>
              <w10:anchorlock/>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B56435">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70</w:t>
    </w:r>
    <w:r w:rsidRPr="00E14F7B">
      <w:rPr>
        <w:b/>
        <w:color w:val="720829"/>
      </w:rPr>
      <w:fldChar w:fldCharType="end"/>
    </w:r>
    <w:r>
      <w:rPr>
        <w:b/>
        <w:color w:val="720829"/>
      </w:rPr>
      <w:tab/>
    </w:r>
    <w:r w:rsidRPr="00746525">
      <w:rPr>
        <w:b/>
        <w:color w:val="720829"/>
      </w:rPr>
      <w:t>TRANSITION AND WELLBEING RESEARCH PROGRAMME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71</w:t>
    </w:r>
    <w:r w:rsidRPr="00746525">
      <w:rPr>
        <w:b/>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4864" behindDoc="0" locked="1" layoutInCell="0" allowOverlap="1" wp14:anchorId="7F68B980" wp14:editId="6FA152C4">
              <wp:simplePos x="0" y="0"/>
              <wp:positionH relativeFrom="page">
                <wp:posOffset>371475</wp:posOffset>
              </wp:positionH>
              <wp:positionV relativeFrom="page">
                <wp:posOffset>685800</wp:posOffset>
              </wp:positionV>
              <wp:extent cx="2374265" cy="4608830"/>
              <wp:effectExtent l="0" t="0" r="1333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72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F68B980" id="_x0000_t202" coordsize="21600,21600" o:spt="202" path="m,l,21600r21600,l21600,xe">
              <v:stroke joinstyle="miter"/>
              <v:path gradientshapeok="t" o:connecttype="rect"/>
            </v:shapetype>
            <v:shape id="_x0000_s1084" type="#_x0000_t202" style="position:absolute;left:0;text-align:left;margin-left:29.25pt;margin-top:54pt;width:186.95pt;height:362.9pt;z-index:2516848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7d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BTVe3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72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85888" behindDoc="0" locked="1" layoutInCell="0" allowOverlap="1" wp14:anchorId="1AF11F5E" wp14:editId="2F4D1DDC">
              <wp:simplePos x="0" y="0"/>
              <wp:positionH relativeFrom="page">
                <wp:posOffset>355600</wp:posOffset>
              </wp:positionH>
              <wp:positionV relativeFrom="page">
                <wp:posOffset>1118870</wp:posOffset>
              </wp:positionV>
              <wp:extent cx="200660" cy="4608195"/>
              <wp:effectExtent l="0" t="0" r="889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71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11F5E" id="_x0000_t202" coordsize="21600,21600" o:spt="202" path="m,l,21600r21600,l21600,xe">
              <v:stroke joinstyle="miter"/>
              <v:path gradientshapeok="t" o:connecttype="rect"/>
            </v:shapetype>
            <v:shape id="_x0000_s1085" type="#_x0000_t202" style="position:absolute;margin-left:28pt;margin-top:88.1pt;width:15.8pt;height:362.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ByAQ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mxVBy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71</w:t>
                    </w:r>
                    <w:r w:rsidRPr="00746525">
                      <w:rPr>
                        <w:b/>
                      </w:rPr>
                      <w:fldChar w:fldCharType="end"/>
                    </w:r>
                  </w:p>
                </w:txbxContent>
              </v:textbox>
              <w10:wrap anchorx="page" anchory="page"/>
              <w10:anchorlock/>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78</w:t>
    </w:r>
    <w:r w:rsidRPr="00E14F7B">
      <w:rPr>
        <w:b/>
        <w:color w:val="720829"/>
      </w:rPr>
      <w:fldChar w:fldCharType="end"/>
    </w:r>
    <w:r>
      <w:rPr>
        <w:b/>
        <w:color w:val="720829"/>
      </w:rPr>
      <w:tab/>
    </w:r>
    <w:r w:rsidRPr="00746525">
      <w:rPr>
        <w:b/>
        <w:color w:val="720829"/>
      </w:rPr>
      <w:t>TRANSITION AND WELLBEING RESEARCH PROGRAMME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77</w:t>
    </w:r>
    <w:r w:rsidRPr="00746525">
      <w:rPr>
        <w:b/>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76000" behindDoc="0" locked="1" layoutInCell="0" allowOverlap="1" wp14:anchorId="3C7F4A0D" wp14:editId="7A48B959">
              <wp:simplePos x="0" y="0"/>
              <wp:positionH relativeFrom="page">
                <wp:posOffset>355600</wp:posOffset>
              </wp:positionH>
              <wp:positionV relativeFrom="page">
                <wp:posOffset>1118870</wp:posOffset>
              </wp:positionV>
              <wp:extent cx="200660" cy="4608195"/>
              <wp:effectExtent l="0" t="0" r="8890" b="190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79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F4A0D" id="_x0000_t202" coordsize="21600,21600" o:spt="202" path="m,l,21600r21600,l21600,xe">
              <v:stroke joinstyle="miter"/>
              <v:path gradientshapeok="t" o:connecttype="rect"/>
            </v:shapetype>
            <v:shape id="_x0000_s1086" type="#_x0000_t202" style="position:absolute;margin-left:28pt;margin-top:88.1pt;width:15.8pt;height:362.8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MWAwIAAOwDAAAOAAAAZHJzL2Uyb0RvYy54bWysU1Fv0zAQfkfiP1h+p0k7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llecWTA0&#10;pFc5RPYBB7ZI+vQuVHTtxdHFONA2zTlzDe4JxY/ALN53YHfyznvsOwkN9TdPmcVF6ogTEsi2/4IN&#10;lYF9xAw0tN4k8UgORug0p+N5NqkVQZtp2Cs6EXT0flVez2+WuQRUU7bzIX6SaFgKau5p9hkdDk8h&#10;pm6gmq6kYhYfldZ5/tqyvuY3y8UyJ1ycGBXJnlqZml+X6RsNk0h+tE1OjqD0GFMBbU+sE9GRchy2&#10;QxZ4vprU3GJzJB08jnak50NBWjnryYo1Dz/34CVn+rMlLZNvp8BPwXYKwIoOydGUPIb3Mft75HhH&#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LN0QxYDAgAA7AMAAA4A&#10;AAAAAAAAAAAAAAAALgIAAGRycy9lMm9Eb2MueG1sUEsBAi0AFAAGAAgAAAAhACxiV6zhAAAACQEA&#10;AA8AAAAAAAAAAAAAAAAAXQQAAGRycy9kb3ducmV2LnhtbFBLBQYAAAAABAAEAPMAAABr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79</w:t>
                    </w:r>
                    <w:r w:rsidRPr="00746525">
                      <w:rPr>
                        <w:b/>
                      </w:rPr>
                      <w:fldChar w:fldCharType="end"/>
                    </w:r>
                  </w:p>
                </w:txbxContent>
              </v:textbox>
              <w10:wrap anchorx="page" anchory="page"/>
              <w10:anchorlock/>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80</w:t>
    </w:r>
    <w:r w:rsidRPr="00E14F7B">
      <w:rPr>
        <w:b/>
        <w:color w:val="720829"/>
      </w:rPr>
      <w:fldChar w:fldCharType="end"/>
    </w:r>
    <w:r>
      <w:rPr>
        <w:b/>
        <w:color w:val="720829"/>
      </w:rPr>
      <w:tab/>
    </w:r>
    <w:r w:rsidRPr="00746525">
      <w:rPr>
        <w:b/>
        <w:color w:val="720829"/>
      </w:rPr>
      <w:t>TRANSITION AND WELLBEING RESEARCH PROGRAMME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746525">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xiii</w:t>
    </w:r>
    <w:r w:rsidRPr="00746525">
      <w:rPr>
        <w:b/>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80096" behindDoc="0" locked="1" layoutInCell="0" allowOverlap="1" wp14:anchorId="52FB895C" wp14:editId="16D17C32">
              <wp:simplePos x="0" y="0"/>
              <wp:positionH relativeFrom="page">
                <wp:posOffset>355600</wp:posOffset>
              </wp:positionH>
              <wp:positionV relativeFrom="page">
                <wp:posOffset>1118870</wp:posOffset>
              </wp:positionV>
              <wp:extent cx="200660" cy="4608195"/>
              <wp:effectExtent l="0" t="0" r="8890" b="190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81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B895C" id="_x0000_t202" coordsize="21600,21600" o:spt="202" path="m,l,21600r21600,l21600,xe">
              <v:stroke joinstyle="miter"/>
              <v:path gradientshapeok="t" o:connecttype="rect"/>
            </v:shapetype>
            <v:shape id="_x0000_s1087" type="#_x0000_t202" style="position:absolute;margin-left:28pt;margin-top:88.1pt;width:15.8pt;height:362.8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ibAwIAAOw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L3UGJsDAgAA7AMAAA4A&#10;AAAAAAAAAAAAAAAALgIAAGRycy9lMm9Eb2MueG1sUEsBAi0AFAAGAAgAAAAhACxiV6zhAAAACQEA&#10;AA8AAAAAAAAAAAAAAAAAXQQAAGRycy9kb3ducmV2LnhtbFBLBQYAAAAABAAEAPMAAABr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81</w:t>
                    </w:r>
                    <w:r w:rsidRPr="00746525">
                      <w:rPr>
                        <w:b/>
                      </w:rPr>
                      <w:fldChar w:fldCharType="end"/>
                    </w:r>
                  </w:p>
                </w:txbxContent>
              </v:textbox>
              <w10:wrap anchorx="page" anchory="page"/>
              <w10:anchorlock/>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86</w:t>
    </w:r>
    <w:r w:rsidRPr="00E14F7B">
      <w:rPr>
        <w:b/>
        <w:color w:val="720829"/>
      </w:rPr>
      <w:fldChar w:fldCharType="end"/>
    </w:r>
    <w:r>
      <w:rPr>
        <w:b/>
        <w:color w:val="720829"/>
      </w:rPr>
      <w:tab/>
    </w:r>
    <w:r w:rsidRPr="00746525">
      <w:rPr>
        <w:b/>
        <w:color w:val="720829"/>
      </w:rPr>
      <w:t>TRANSITION AND WELLBEING RESEARCH PROGRAMME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85</w:t>
    </w:r>
    <w:r w:rsidRPr="00746525">
      <w:rPr>
        <w:b/>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7936" behindDoc="0" locked="1" layoutInCell="0" allowOverlap="1" wp14:anchorId="7D96419C" wp14:editId="085FE766">
              <wp:simplePos x="0" y="0"/>
              <wp:positionH relativeFrom="page">
                <wp:posOffset>371475</wp:posOffset>
              </wp:positionH>
              <wp:positionV relativeFrom="page">
                <wp:posOffset>685800</wp:posOffset>
              </wp:positionV>
              <wp:extent cx="2374265" cy="4608830"/>
              <wp:effectExtent l="0" t="0" r="13335"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D96419C" id="_x0000_t202" coordsize="21600,21600" o:spt="202" path="m,l,21600r21600,l21600,xe">
              <v:stroke joinstyle="miter"/>
              <v:path gradientshapeok="t" o:connecttype="rect"/>
            </v:shapetype>
            <v:shape id="_x0000_s1088" type="#_x0000_t202" style="position:absolute;left:0;text-align:left;margin-left:29.25pt;margin-top:54pt;width:186.95pt;height:362.9pt;z-index:25168793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PnH1Ec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88960" behindDoc="0" locked="1" layoutInCell="0" allowOverlap="1" wp14:anchorId="623CF2EB" wp14:editId="57400A6B">
              <wp:simplePos x="0" y="0"/>
              <wp:positionH relativeFrom="page">
                <wp:posOffset>355600</wp:posOffset>
              </wp:positionH>
              <wp:positionV relativeFrom="page">
                <wp:posOffset>1118870</wp:posOffset>
              </wp:positionV>
              <wp:extent cx="200660" cy="4608195"/>
              <wp:effectExtent l="0" t="0" r="889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87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CF2EB" id="_x0000_t202" coordsize="21600,21600" o:spt="202" path="m,l,21600r21600,l21600,xe">
              <v:stroke joinstyle="miter"/>
              <v:path gradientshapeok="t" o:connecttype="rect"/>
            </v:shapetype>
            <v:shape id="_x0000_s1089" type="#_x0000_t202" style="position:absolute;margin-left:28pt;margin-top:88.1pt;width:15.8pt;height:362.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cRAQIAAOsDAAAOAAAAZHJzL2Uyb0RvYy54bWysU9uO2yAQfa/Uf0C8N3bSJtp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jsccR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87</w:t>
                    </w:r>
                    <w:r w:rsidRPr="00746525">
                      <w:rPr>
                        <w:b/>
                      </w:rPr>
                      <w:fldChar w:fldCharType="end"/>
                    </w:r>
                  </w:p>
                </w:txbxContent>
              </v:textbox>
              <w10:wrap anchorx="page" anchory="page"/>
              <w10:anchorlock/>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92</w:t>
    </w:r>
    <w:r w:rsidRPr="00E14F7B">
      <w:rPr>
        <w:b/>
        <w:color w:val="720829"/>
      </w:rPr>
      <w:fldChar w:fldCharType="end"/>
    </w:r>
    <w:r>
      <w:rPr>
        <w:b/>
        <w:color w:val="720829"/>
      </w:rPr>
      <w:tab/>
    </w:r>
    <w:r w:rsidRPr="00746525">
      <w:rPr>
        <w:b/>
        <w:color w:val="720829"/>
      </w:rPr>
      <w:t>TRANSITION AND WELLBEING RESEARCH PROGRAMME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93</w:t>
    </w:r>
    <w:r w:rsidRPr="00746525">
      <w:rPr>
        <w:b/>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1008" behindDoc="0" locked="1" layoutInCell="0" allowOverlap="1" wp14:anchorId="4EDC9E09" wp14:editId="00A7A015">
              <wp:simplePos x="0" y="0"/>
              <wp:positionH relativeFrom="page">
                <wp:posOffset>371475</wp:posOffset>
              </wp:positionH>
              <wp:positionV relativeFrom="page">
                <wp:posOffset>685800</wp:posOffset>
              </wp:positionV>
              <wp:extent cx="2374265" cy="4608830"/>
              <wp:effectExtent l="0" t="0" r="1333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96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EDC9E09" id="_x0000_t202" coordsize="21600,21600" o:spt="202" path="m,l,21600r21600,l21600,xe">
              <v:stroke joinstyle="miter"/>
              <v:path gradientshapeok="t" o:connecttype="rect"/>
            </v:shapetype>
            <v:shape id="_x0000_s1090" type="#_x0000_t202" style="position:absolute;left:0;text-align:left;margin-left:29.25pt;margin-top:54pt;width:186.95pt;height:362.9pt;z-index:2516910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8ip4L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96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92032" behindDoc="0" locked="1" layoutInCell="0" allowOverlap="1" wp14:anchorId="39B4ECD1" wp14:editId="6CEDE7B0">
              <wp:simplePos x="0" y="0"/>
              <wp:positionH relativeFrom="page">
                <wp:posOffset>355600</wp:posOffset>
              </wp:positionH>
              <wp:positionV relativeFrom="page">
                <wp:posOffset>1118870</wp:posOffset>
              </wp:positionV>
              <wp:extent cx="200660" cy="4608195"/>
              <wp:effectExtent l="0" t="0" r="8890" b="19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95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4ECD1" id="_x0000_t202" coordsize="21600,21600" o:spt="202" path="m,l,21600r21600,l21600,xe">
              <v:stroke joinstyle="miter"/>
              <v:path gradientshapeok="t" o:connecttype="rect"/>
            </v:shapetype>
            <v:shape id="_x0000_s1091" type="#_x0000_t202" style="position:absolute;margin-left:28pt;margin-top:88.1pt;width:15.8pt;height:362.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x/Zzv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95</w:t>
                    </w:r>
                    <w:r w:rsidRPr="00746525">
                      <w:rPr>
                        <w:b/>
                      </w:rPr>
                      <w:fldChar w:fldCharType="end"/>
                    </w:r>
                  </w:p>
                </w:txbxContent>
              </v:textbox>
              <w10:wrap anchorx="page" anchory="page"/>
              <w10:anchorlock/>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102</w:t>
    </w:r>
    <w:r w:rsidRPr="00E14F7B">
      <w:rPr>
        <w:b/>
        <w:color w:val="720829"/>
      </w:rPr>
      <w:fldChar w:fldCharType="end"/>
    </w:r>
    <w:r>
      <w:rPr>
        <w:b/>
        <w:color w:val="720829"/>
      </w:rPr>
      <w:tab/>
    </w:r>
    <w:r w:rsidRPr="00746525">
      <w:rPr>
        <w:b/>
        <w:color w:val="720829"/>
      </w:rPr>
      <w:t>TRANSITION AND WELLBEING RESEARCH PROGRAMME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9264" behindDoc="0" locked="1" layoutInCell="0" allowOverlap="1" wp14:anchorId="159252CD" wp14:editId="297F5100">
              <wp:simplePos x="0" y="0"/>
              <wp:positionH relativeFrom="page">
                <wp:posOffset>371475</wp:posOffset>
              </wp:positionH>
              <wp:positionV relativeFrom="page">
                <wp:posOffset>685800</wp:posOffset>
              </wp:positionV>
              <wp:extent cx="2374265" cy="4608830"/>
              <wp:effectExtent l="0" t="0" r="1333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59252CD" id="_x0000_t202" coordsize="21600,21600" o:spt="202" path="m,l,21600r21600,l21600,xe">
              <v:stroke joinstyle="miter"/>
              <v:path gradientshapeok="t" o:connecttype="rect"/>
            </v:shapetype>
            <v:shape id="Text Box 2" o:spid="_x0000_s1070" type="#_x0000_t202" style="position:absolute;left:0;text-align:left;margin-left:29.25pt;margin-top:54pt;width:186.95pt;height:362.9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103</w:t>
    </w:r>
    <w:r w:rsidRPr="00746525">
      <w:rPr>
        <w:b/>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4080" behindDoc="0" locked="1" layoutInCell="0" allowOverlap="1" wp14:anchorId="7DDE4777" wp14:editId="53689C16">
              <wp:simplePos x="0" y="0"/>
              <wp:positionH relativeFrom="page">
                <wp:posOffset>371475</wp:posOffset>
              </wp:positionH>
              <wp:positionV relativeFrom="page">
                <wp:posOffset>685800</wp:posOffset>
              </wp:positionV>
              <wp:extent cx="2374265" cy="4608830"/>
              <wp:effectExtent l="0" t="0" r="13335"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104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DDE4777" id="_x0000_t202" coordsize="21600,21600" o:spt="202" path="m,l,21600r21600,l21600,xe">
              <v:stroke joinstyle="miter"/>
              <v:path gradientshapeok="t" o:connecttype="rect"/>
            </v:shapetype>
            <v:shape id="_x0000_s1092" type="#_x0000_t202" style="position:absolute;left:0;text-align:left;margin-left:29.25pt;margin-top:54pt;width:186.95pt;height:362.9pt;z-index:2516940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qAxoB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104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95104" behindDoc="0" locked="1" layoutInCell="0" allowOverlap="1" wp14:anchorId="6F38DB92" wp14:editId="734C593C">
              <wp:simplePos x="0" y="0"/>
              <wp:positionH relativeFrom="page">
                <wp:posOffset>355600</wp:posOffset>
              </wp:positionH>
              <wp:positionV relativeFrom="page">
                <wp:posOffset>1118870</wp:posOffset>
              </wp:positionV>
              <wp:extent cx="200660" cy="4608195"/>
              <wp:effectExtent l="0" t="0" r="889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8DB92" id="_x0000_t202" coordsize="21600,21600" o:spt="202" path="m,l,21600r21600,l21600,xe">
              <v:stroke joinstyle="miter"/>
              <v:path gradientshapeok="t" o:connecttype="rect"/>
            </v:shapetype>
            <v:shape id="_x0000_s1093" type="#_x0000_t202" style="position:absolute;margin-left:28pt;margin-top:88.1pt;width:15.8pt;height:362.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zsAgIAAOs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y0p87AICAADr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103</w:t>
                    </w:r>
                    <w:r w:rsidRPr="00746525">
                      <w:rPr>
                        <w:b/>
                      </w:rPr>
                      <w:fldChar w:fldCharType="end"/>
                    </w:r>
                  </w:p>
                </w:txbxContent>
              </v:textbox>
              <w10:wrap anchorx="page" anchory="page"/>
              <w10:anchorlock/>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108</w:t>
    </w:r>
    <w:r w:rsidRPr="00E14F7B">
      <w:rPr>
        <w:b/>
        <w:color w:val="720829"/>
      </w:rPr>
      <w:fldChar w:fldCharType="end"/>
    </w:r>
    <w:r>
      <w:rPr>
        <w:b/>
        <w:color w:val="720829"/>
      </w:rPr>
      <w:tab/>
    </w:r>
    <w:r w:rsidRPr="00746525">
      <w:rPr>
        <w:b/>
        <w:color w:val="720829"/>
      </w:rPr>
      <w:t>TRANSITION AND WELLBEING RESEARCH PROGRAMME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109</w:t>
    </w:r>
    <w:r w:rsidRPr="00746525">
      <w:rPr>
        <w:b/>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7152" behindDoc="0" locked="1" layoutInCell="0" allowOverlap="1" wp14:anchorId="530853E6" wp14:editId="01877733">
              <wp:simplePos x="0" y="0"/>
              <wp:positionH relativeFrom="page">
                <wp:posOffset>371475</wp:posOffset>
              </wp:positionH>
              <wp:positionV relativeFrom="page">
                <wp:posOffset>685800</wp:posOffset>
              </wp:positionV>
              <wp:extent cx="2374265" cy="4608830"/>
              <wp:effectExtent l="0" t="0" r="13335"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30853E6" id="_x0000_t202" coordsize="21600,21600" o:spt="202" path="m,l,21600r21600,l21600,xe">
              <v:stroke joinstyle="miter"/>
              <v:path gradientshapeok="t" o:connecttype="rect"/>
            </v:shapetype>
            <v:shape id="_x0000_s1094" type="#_x0000_t202" style="position:absolute;left:0;text-align:left;margin-left:29.25pt;margin-top:54pt;width:186.95pt;height:362.9pt;z-index:2516971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D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gSVvw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98176" behindDoc="0" locked="1" layoutInCell="0" allowOverlap="1" wp14:anchorId="44F48E6F" wp14:editId="750906EC">
              <wp:simplePos x="0" y="0"/>
              <wp:positionH relativeFrom="page">
                <wp:posOffset>355600</wp:posOffset>
              </wp:positionH>
              <wp:positionV relativeFrom="page">
                <wp:posOffset>1118870</wp:posOffset>
              </wp:positionV>
              <wp:extent cx="200660" cy="4608195"/>
              <wp:effectExtent l="0" t="0" r="8890"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48E6F" id="_x0000_t202" coordsize="21600,21600" o:spt="202" path="m,l,21600r21600,l21600,xe">
              <v:stroke joinstyle="miter"/>
              <v:path gradientshapeok="t" o:connecttype="rect"/>
            </v:shapetype>
            <v:shape id="_x0000_s1095" type="#_x0000_t202" style="position:absolute;margin-left:28pt;margin-top:88.1pt;width:15.8pt;height:362.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cSAQ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yA6cS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109</w:t>
                    </w:r>
                    <w:r w:rsidRPr="00746525">
                      <w:rPr>
                        <w:b/>
                      </w:rPr>
                      <w:fldChar w:fldCharType="end"/>
                    </w:r>
                  </w:p>
                </w:txbxContent>
              </v:textbox>
              <w10:wrap anchorx="page" anchory="page"/>
              <w10:anchorlock/>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111</w:t>
    </w:r>
    <w:r w:rsidRPr="00746525">
      <w:rPr>
        <w:b/>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0224" behindDoc="0" locked="1" layoutInCell="0" allowOverlap="1" wp14:anchorId="765B85CA" wp14:editId="3028928A">
              <wp:simplePos x="0" y="0"/>
              <wp:positionH relativeFrom="page">
                <wp:posOffset>371475</wp:posOffset>
              </wp:positionH>
              <wp:positionV relativeFrom="page">
                <wp:posOffset>685800</wp:posOffset>
              </wp:positionV>
              <wp:extent cx="2374265" cy="4608830"/>
              <wp:effectExtent l="0" t="0" r="13335"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65B85CA" id="_x0000_t202" coordsize="21600,21600" o:spt="202" path="m,l,21600r21600,l21600,xe">
              <v:stroke joinstyle="miter"/>
              <v:path gradientshapeok="t" o:connecttype="rect"/>
            </v:shapetype>
            <v:shape id="_x0000_s1096" type="#_x0000_t202" style="position:absolute;left:0;text-align:left;margin-left:29.25pt;margin-top:54pt;width:186.95pt;height:362.9pt;z-index:2517002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HvQmG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01248" behindDoc="0" locked="1" layoutInCell="0" allowOverlap="1" wp14:anchorId="1F8A913A" wp14:editId="21F2106D">
              <wp:simplePos x="0" y="0"/>
              <wp:positionH relativeFrom="page">
                <wp:posOffset>355600</wp:posOffset>
              </wp:positionH>
              <wp:positionV relativeFrom="page">
                <wp:posOffset>1118870</wp:posOffset>
              </wp:positionV>
              <wp:extent cx="200660" cy="4608195"/>
              <wp:effectExtent l="0" t="0" r="8890" b="19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A913A" id="_x0000_t202" coordsize="21600,21600" o:spt="202" path="m,l,21600r21600,l21600,xe">
              <v:stroke joinstyle="miter"/>
              <v:path gradientshapeok="t" o:connecttype="rect"/>
            </v:shapetype>
            <v:shape id="_x0000_s1097" type="#_x0000_t202" style="position:absolute;margin-left:28pt;margin-top:88.1pt;width:15.8pt;height:362.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HxAgIAAOsDAAAOAAAAZHJzL2Uyb0RvYy54bWysU9uO2yAQfa/Uf0C8N3aiJs1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2jnB8QICAADr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113</w:t>
                    </w:r>
                    <w:r w:rsidRPr="00746525">
                      <w:rPr>
                        <w:b/>
                      </w:rPr>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661312" behindDoc="0" locked="1" layoutInCell="0" allowOverlap="1" wp14:anchorId="14532E44" wp14:editId="5622A232">
              <wp:simplePos x="0" y="0"/>
              <wp:positionH relativeFrom="page">
                <wp:posOffset>355600</wp:posOffset>
              </wp:positionH>
              <wp:positionV relativeFrom="page">
                <wp:posOffset>1118870</wp:posOffset>
              </wp:positionV>
              <wp:extent cx="200660" cy="4608195"/>
              <wp:effectExtent l="0" t="0" r="889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32E44" id="_x0000_t202" coordsize="21600,21600" o:spt="202" path="m,l,21600r21600,l21600,xe">
              <v:stroke joinstyle="miter"/>
              <v:path gradientshapeok="t" o:connecttype="rect"/>
            </v:shapetype>
            <v:shape id="_x0000_s1071" type="#_x0000_t202" style="position:absolute;margin-left:28pt;margin-top:88.1pt;width:15.8pt;height:36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u5/wEAAOkDAAAOAAAAZHJzL2Uyb0RvYy54bWysU8Fu2zAMvQ/YPwi6L3aCJUu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7Y5ruf8BAADpAwAADgAAAAAA&#10;AAAAAAAAAAAuAgAAZHJzL2Uyb0RvYy54bWxQSwECLQAUAAYACAAAACEALGJXrOEAAAAJAQAADwAA&#10;AAAAAAAAAAAAAABZBAAAZHJzL2Rvd25yZXYueG1sUEsFBgAAAAAEAAQA8wAAAGc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27</w:t>
                    </w:r>
                    <w:r w:rsidRPr="00746525">
                      <w:rPr>
                        <w:b/>
                      </w:rPr>
                      <w:fldChar w:fldCharType="end"/>
                    </w:r>
                  </w:p>
                </w:txbxContent>
              </v:textbox>
              <w10:wrap anchorx="page" anchory="page"/>
              <w10:anchorlock/>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116</w:t>
    </w:r>
    <w:r w:rsidRPr="00E14F7B">
      <w:rPr>
        <w:b/>
        <w:color w:val="720829"/>
      </w:rPr>
      <w:fldChar w:fldCharType="end"/>
    </w:r>
    <w:r>
      <w:rPr>
        <w:b/>
        <w:color w:val="720829"/>
      </w:rPr>
      <w:tab/>
    </w:r>
    <w:r w:rsidRPr="00746525">
      <w:rPr>
        <w:b/>
        <w:color w:val="720829"/>
      </w:rPr>
      <w:t>TRANSITION AND WELLBEING RESEARCH PROGRAMME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117</w:t>
    </w:r>
    <w:r w:rsidRPr="00746525">
      <w:rPr>
        <w:b/>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8C39CE">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44608" behindDoc="0" locked="1" layoutInCell="0" allowOverlap="1" wp14:anchorId="5E6CDB78" wp14:editId="112C7B70">
              <wp:simplePos x="0" y="0"/>
              <wp:positionH relativeFrom="page">
                <wp:posOffset>371475</wp:posOffset>
              </wp:positionH>
              <wp:positionV relativeFrom="page">
                <wp:posOffset>685800</wp:posOffset>
              </wp:positionV>
              <wp:extent cx="2374265" cy="4608830"/>
              <wp:effectExtent l="0" t="0" r="1333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8C39CE">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E6CDB78" id="_x0000_t202" coordsize="21600,21600" o:spt="202" path="m,l,21600r21600,l21600,xe">
              <v:stroke joinstyle="miter"/>
              <v:path gradientshapeok="t" o:connecttype="rect"/>
            </v:shapetype>
            <v:shape id="_x0000_s1098" type="#_x0000_t202" style="position:absolute;left:0;text-align:left;margin-left:29.25pt;margin-top:54pt;width:186.95pt;height:362.9pt;z-index:2518446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PdQaww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8C39CE">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118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804672" behindDoc="0" locked="1" layoutInCell="0" allowOverlap="1" wp14:anchorId="7288404A" wp14:editId="70175775">
              <wp:simplePos x="0" y="0"/>
              <wp:positionH relativeFrom="page">
                <wp:posOffset>355600</wp:posOffset>
              </wp:positionH>
              <wp:positionV relativeFrom="page">
                <wp:posOffset>1118870</wp:posOffset>
              </wp:positionV>
              <wp:extent cx="200660" cy="4608195"/>
              <wp:effectExtent l="0" t="0" r="889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119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8404A" id="_x0000_t202" coordsize="21600,21600" o:spt="202" path="m,l,21600r21600,l21600,xe">
              <v:stroke joinstyle="miter"/>
              <v:path gradientshapeok="t" o:connecttype="rect"/>
            </v:shapetype>
            <v:shape id="_x0000_s1099" type="#_x0000_t202" style="position:absolute;margin-left:28pt;margin-top:88.1pt;width:15.8pt;height:362.8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NJ89k8DAgAA7AMAAA4A&#10;AAAAAAAAAAAAAAAALgIAAGRycy9lMm9Eb2MueG1sUEsBAi0AFAAGAAgAAAAhACxiV6zhAAAACQEA&#10;AA8AAAAAAAAAAAAAAAAAXQQAAGRycy9kb3ducmV2LnhtbFBLBQYAAAAABAAEAPMAAABr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119</w:t>
                    </w:r>
                    <w:r w:rsidRPr="00746525">
                      <w:rPr>
                        <w:b/>
                      </w:rPr>
                      <w:fldChar w:fldCharType="end"/>
                    </w:r>
                  </w:p>
                </w:txbxContent>
              </v:textbox>
              <w10:wrap anchorx="page" anchory="page"/>
              <w10:anchorlock/>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120</w:t>
    </w:r>
    <w:r w:rsidRPr="00E14F7B">
      <w:rPr>
        <w:b/>
        <w:color w:val="720829"/>
      </w:rPr>
      <w:fldChar w:fldCharType="end"/>
    </w:r>
    <w:r>
      <w:rPr>
        <w:b/>
        <w:color w:val="720829"/>
      </w:rPr>
      <w:tab/>
    </w:r>
    <w:r w:rsidRPr="00746525">
      <w:rPr>
        <w:b/>
        <w:color w:val="720829"/>
      </w:rPr>
      <w:t>TRANSITION AND WELLBEING RESEARCH PROGRAMME</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119</w:t>
    </w:r>
    <w:r w:rsidRPr="00746525">
      <w:rPr>
        <w:b/>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10816" behindDoc="0" locked="1" layoutInCell="0" allowOverlap="1" wp14:anchorId="4A831804" wp14:editId="223D3CAD">
              <wp:simplePos x="0" y="0"/>
              <wp:positionH relativeFrom="page">
                <wp:posOffset>371475</wp:posOffset>
              </wp:positionH>
              <wp:positionV relativeFrom="page">
                <wp:posOffset>685800</wp:posOffset>
              </wp:positionV>
              <wp:extent cx="2374265" cy="4608830"/>
              <wp:effectExtent l="0" t="0" r="13335" b="127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122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A831804" id="_x0000_t202" coordsize="21600,21600" o:spt="202" path="m,l,21600r21600,l21600,xe">
              <v:stroke joinstyle="miter"/>
              <v:path gradientshapeok="t" o:connecttype="rect"/>
            </v:shapetype>
            <v:shape id="_x0000_s1100" type="#_x0000_t202" style="position:absolute;left:0;text-align:left;margin-left:29.25pt;margin-top:54pt;width:186.95pt;height:362.9pt;z-index:2518108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qA6u7BQIAAO0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122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A87EE3">
    <w:pPr>
      <w:pStyle w:val="Footer"/>
      <w:pBdr>
        <w:top w:val="none" w:sz="0" w:space="0" w:color="auto"/>
      </w:pBdr>
    </w:pPr>
    <w:r>
      <w:rPr>
        <w:lang w:eastAsia="en-AU"/>
      </w:rPr>
      <mc:AlternateContent>
        <mc:Choice Requires="wps">
          <w:drawing>
            <wp:anchor distT="0" distB="0" distL="114300" distR="114300" simplePos="0" relativeHeight="251842560" behindDoc="0" locked="1" layoutInCell="0" allowOverlap="1" wp14:anchorId="224D8FEB" wp14:editId="1496E066">
              <wp:simplePos x="0" y="0"/>
              <wp:positionH relativeFrom="page">
                <wp:posOffset>355600</wp:posOffset>
              </wp:positionH>
              <wp:positionV relativeFrom="page">
                <wp:posOffset>1118870</wp:posOffset>
              </wp:positionV>
              <wp:extent cx="200660" cy="4608195"/>
              <wp:effectExtent l="0" t="0" r="889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A87EE3">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121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D8FEB" id="_x0000_t202" coordsize="21600,21600" o:spt="202" path="m,l,21600r21600,l21600,xe">
              <v:stroke joinstyle="miter"/>
              <v:path gradientshapeok="t" o:connecttype="rect"/>
            </v:shapetype>
            <v:shape id="_x0000_s1101" type="#_x0000_t202" style="position:absolute;margin-left:28pt;margin-top:88.1pt;width:15.8pt;height:362.8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QQUTOP8BAADqAwAADgAAAAAA&#10;AAAAAAAAAAAuAgAAZHJzL2Uyb0RvYy54bWxQSwECLQAUAAYACAAAACEALGJXrOEAAAAJAQAADwAA&#10;AAAAAAAAAAAAAABZBAAAZHJzL2Rvd25yZXYueG1sUEsFBgAAAAAEAAQA8wAAAGcFAAAAAA==&#10;" o:allowincell="f" filled="f" stroked="f">
              <v:textbox style="layout-flow:vertical" inset="0,0,0,0">
                <w:txbxContent>
                  <w:p w:rsidR="00A1139F" w:rsidRDefault="00A1139F" w:rsidP="00A87EE3">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121</w:t>
                    </w:r>
                    <w:r w:rsidRPr="00746525">
                      <w:rPr>
                        <w:b/>
                      </w:rPr>
                      <w:fldChar w:fldCharType="end"/>
                    </w:r>
                  </w:p>
                </w:txbxContent>
              </v:textbox>
              <w10:wrap anchorx="page" anchory="page"/>
              <w10:anchorlock/>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122</w:t>
    </w:r>
    <w:r w:rsidRPr="00E14F7B">
      <w:rPr>
        <w:b/>
        <w:color w:val="720829"/>
      </w:rPr>
      <w:fldChar w:fldCharType="end"/>
    </w:r>
    <w:r>
      <w:rPr>
        <w:b/>
        <w:color w:val="720829"/>
      </w:rPr>
      <w:tab/>
    </w:r>
    <w:r w:rsidRPr="00746525">
      <w:rPr>
        <w:b/>
        <w:color w:val="720829"/>
      </w:rPr>
      <w:t>TRANSITION AND WELLBEING RESEARCH PROGRAMME</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123</w:t>
    </w:r>
    <w:r w:rsidRPr="00746525">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14A4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30</w:t>
    </w:r>
    <w:r w:rsidRPr="00E14F7B">
      <w:rPr>
        <w:b/>
        <w:color w:val="720829"/>
      </w:rPr>
      <w:fldChar w:fldCharType="end"/>
    </w:r>
    <w:r>
      <w:rPr>
        <w:b/>
        <w:color w:val="720829"/>
      </w:rPr>
      <w:tab/>
    </w:r>
    <w:r w:rsidRPr="00746525">
      <w:rPr>
        <w:b/>
        <w:color w:val="720829"/>
      </w:rPr>
      <w:t>TRANSITION AND WELLBEING RESEARCH PROGRAMME</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D56CB0">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40512" behindDoc="0" locked="1" layoutInCell="0" allowOverlap="1" wp14:anchorId="7B2B5B1A" wp14:editId="49530189">
              <wp:simplePos x="0" y="0"/>
              <wp:positionH relativeFrom="page">
                <wp:posOffset>371475</wp:posOffset>
              </wp:positionH>
              <wp:positionV relativeFrom="page">
                <wp:posOffset>685800</wp:posOffset>
              </wp:positionV>
              <wp:extent cx="2374265" cy="4608830"/>
              <wp:effectExtent l="0" t="0" r="13335" b="127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D56CB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B2B5B1A" id="_x0000_t202" coordsize="21600,21600" o:spt="202" path="m,l,21600r21600,l21600,xe">
              <v:stroke joinstyle="miter"/>
              <v:path gradientshapeok="t" o:connecttype="rect"/>
            </v:shapetype>
            <v:shape id="_x0000_s1102" type="#_x0000_t202" style="position:absolute;left:0;text-align:left;margin-left:29.25pt;margin-top:54pt;width:186.95pt;height:362.9pt;z-index:2518405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bu3mIg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A1139F" w:rsidRPr="00746525" w:rsidRDefault="00A1139F" w:rsidP="00D56CB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816960" behindDoc="0" locked="1" layoutInCell="0" allowOverlap="1" wp14:anchorId="106EBFD0" wp14:editId="03C13647">
              <wp:simplePos x="0" y="0"/>
              <wp:positionH relativeFrom="page">
                <wp:posOffset>355600</wp:posOffset>
              </wp:positionH>
              <wp:positionV relativeFrom="page">
                <wp:posOffset>1118870</wp:posOffset>
              </wp:positionV>
              <wp:extent cx="200660" cy="4608195"/>
              <wp:effectExtent l="0" t="0" r="8890" b="190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125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EBFD0" id="_x0000_t202" coordsize="21600,21600" o:spt="202" path="m,l,21600r21600,l21600,xe">
              <v:stroke joinstyle="miter"/>
              <v:path gradientshapeok="t" o:connecttype="rect"/>
            </v:shapetype>
            <v:shape id="_x0000_s1103" type="#_x0000_t202" style="position:absolute;margin-left:28pt;margin-top:88.1pt;width:15.8pt;height:362.8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Xfo92Q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125</w:t>
                    </w:r>
                    <w:r w:rsidRPr="00746525">
                      <w:rPr>
                        <w:b/>
                      </w:rPr>
                      <w:fldChar w:fldCharType="end"/>
                    </w:r>
                  </w:p>
                </w:txbxContent>
              </v:textbox>
              <w10:wrap anchorx="page" anchory="page"/>
              <w10:anchorlock/>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126</w:t>
    </w:r>
    <w:r w:rsidRPr="00E14F7B">
      <w:rPr>
        <w:b/>
        <w:color w:val="720829"/>
      </w:rPr>
      <w:fldChar w:fldCharType="end"/>
    </w:r>
    <w:r>
      <w:rPr>
        <w:b/>
        <w:color w:val="720829"/>
      </w:rPr>
      <w:tab/>
    </w:r>
    <w:r w:rsidRPr="00746525">
      <w:rPr>
        <w:b/>
        <w:color w:val="720829"/>
      </w:rPr>
      <w:t>TRANSITION AND WELLBEING RESEARCH PROGRAMME</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D56CB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125</w:t>
    </w:r>
    <w:r w:rsidRPr="00746525">
      <w:rPr>
        <w:b/>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3296" behindDoc="0" locked="1" layoutInCell="0" allowOverlap="1" wp14:anchorId="264BFF9C" wp14:editId="4C99D7E4">
              <wp:simplePos x="0" y="0"/>
              <wp:positionH relativeFrom="page">
                <wp:posOffset>371475</wp:posOffset>
              </wp:positionH>
              <wp:positionV relativeFrom="page">
                <wp:posOffset>685800</wp:posOffset>
              </wp:positionV>
              <wp:extent cx="2374265" cy="4608830"/>
              <wp:effectExtent l="0" t="0" r="13335"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64BFF9C" id="_x0000_t202" coordsize="21600,21600" o:spt="202" path="m,l,21600r21600,l21600,xe">
              <v:stroke joinstyle="miter"/>
              <v:path gradientshapeok="t" o:connecttype="rect"/>
            </v:shapetype>
            <v:shape id="_x0000_s1104" type="#_x0000_t202" style="position:absolute;left:0;text-align:left;margin-left:29.25pt;margin-top:54pt;width:186.95pt;height:362.9pt;z-index:2517032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MQFbU4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04320" behindDoc="0" locked="1" layoutInCell="0" allowOverlap="1" wp14:anchorId="44FC25F6" wp14:editId="184929EF">
              <wp:simplePos x="0" y="0"/>
              <wp:positionH relativeFrom="page">
                <wp:posOffset>355600</wp:posOffset>
              </wp:positionH>
              <wp:positionV relativeFrom="page">
                <wp:posOffset>1118870</wp:posOffset>
              </wp:positionV>
              <wp:extent cx="200660" cy="4608195"/>
              <wp:effectExtent l="0" t="0" r="8890" b="19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127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C25F6" id="_x0000_t202" coordsize="21600,21600" o:spt="202" path="m,l,21600r21600,l21600,xe">
              <v:stroke joinstyle="miter"/>
              <v:path gradientshapeok="t" o:connecttype="rect"/>
            </v:shapetype>
            <v:shape id="_x0000_s1105" type="#_x0000_t202" style="position:absolute;margin-left:28pt;margin-top:88.1pt;width:15.8pt;height:362.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3uAQ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X4h3u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127</w:t>
                    </w:r>
                    <w:r w:rsidRPr="00746525">
                      <w:rPr>
                        <w:b/>
                      </w:rPr>
                      <w:fldChar w:fldCharType="end"/>
                    </w:r>
                  </w:p>
                </w:txbxContent>
              </v:textbox>
              <w10:wrap anchorx="page" anchory="page"/>
              <w10:anchorlock/>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127</w:t>
    </w:r>
    <w:r w:rsidRPr="00746525">
      <w:rPr>
        <w:b/>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823104" behindDoc="0" locked="1" layoutInCell="0" allowOverlap="1" wp14:anchorId="49DA67F3" wp14:editId="5AD2C2F9">
              <wp:simplePos x="0" y="0"/>
              <wp:positionH relativeFrom="page">
                <wp:posOffset>371475</wp:posOffset>
              </wp:positionH>
              <wp:positionV relativeFrom="page">
                <wp:posOffset>685800</wp:posOffset>
              </wp:positionV>
              <wp:extent cx="2374265" cy="4608830"/>
              <wp:effectExtent l="0" t="0" r="13335" b="127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9DA67F3" id="_x0000_t202" coordsize="21600,21600" o:spt="202" path="m,l,21600r21600,l21600,xe">
              <v:stroke joinstyle="miter"/>
              <v:path gradientshapeok="t" o:connecttype="rect"/>
            </v:shapetype>
            <v:shape id="_x0000_s1106" type="#_x0000_t202" style="position:absolute;left:0;text-align:left;margin-left:29.25pt;margin-top:54pt;width:186.95pt;height:362.9pt;z-index:2518231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IeHwqk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130</w:t>
    </w:r>
    <w:r w:rsidRPr="00E14F7B">
      <w:rPr>
        <w:b/>
        <w:color w:val="720829"/>
      </w:rPr>
      <w:fldChar w:fldCharType="end"/>
    </w:r>
    <w:r>
      <w:rPr>
        <w:b/>
        <w:color w:val="720829"/>
      </w:rPr>
      <w:tab/>
    </w:r>
    <w:r w:rsidRPr="00746525">
      <w:rPr>
        <w:b/>
        <w:color w:val="720829"/>
      </w:rPr>
      <w:t>TRANSITION AND WELLBEING RESEARCH PROGRAMME</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129</w:t>
    </w:r>
    <w:r w:rsidRPr="00746525">
      <w:rPr>
        <w: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014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29</w:t>
    </w:r>
    <w:r w:rsidRPr="00746525">
      <w:rPr>
        <w:b/>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6368" behindDoc="0" locked="1" layoutInCell="0" allowOverlap="1" wp14:anchorId="628EA14C" wp14:editId="14CECE75">
              <wp:simplePos x="0" y="0"/>
              <wp:positionH relativeFrom="page">
                <wp:posOffset>371475</wp:posOffset>
              </wp:positionH>
              <wp:positionV relativeFrom="page">
                <wp:posOffset>685800</wp:posOffset>
              </wp:positionV>
              <wp:extent cx="2374265" cy="4608830"/>
              <wp:effectExtent l="0" t="0" r="1333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28EA14C" id="_x0000_t202" coordsize="21600,21600" o:spt="202" path="m,l,21600r21600,l21600,xe">
              <v:stroke joinstyle="miter"/>
              <v:path gradientshapeok="t" o:connecttype="rect"/>
            </v:shapetype>
            <v:shape id="_x0000_s1107" type="#_x0000_t202" style="position:absolute;left:0;text-align:left;margin-left:29.25pt;margin-top:54pt;width:186.95pt;height:362.9pt;z-index:25170636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O4fODg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07392" behindDoc="0" locked="1" layoutInCell="0" allowOverlap="1" wp14:anchorId="5CD31CEB" wp14:editId="2A0948FA">
              <wp:simplePos x="0" y="0"/>
              <wp:positionH relativeFrom="page">
                <wp:posOffset>355600</wp:posOffset>
              </wp:positionH>
              <wp:positionV relativeFrom="page">
                <wp:posOffset>1118870</wp:posOffset>
              </wp:positionV>
              <wp:extent cx="200660" cy="4608195"/>
              <wp:effectExtent l="0" t="0" r="8890" b="190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131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31CEB" id="_x0000_t202" coordsize="21600,21600" o:spt="202" path="m,l,21600r21600,l21600,xe">
              <v:stroke joinstyle="miter"/>
              <v:path gradientshapeok="t" o:connecttype="rect"/>
            </v:shapetype>
            <v:shape id="_x0000_s1108" type="#_x0000_t202" style="position:absolute;margin-left:28pt;margin-top:88.1pt;width:15.8pt;height:362.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udAQIAAOs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oOtudAQIAAOsDAAAOAAAA&#10;AAAAAAAAAAAAAC4CAABkcnMvZTJvRG9jLnhtbFBLAQItABQABgAIAAAAIQAsYles4QAAAAkBAAAP&#10;AAAAAAAAAAAAAAAAAFsEAABkcnMvZG93bnJldi54bWxQSwUGAAAAAAQABADzAAAAaQU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131</w:t>
                    </w:r>
                    <w:r w:rsidRPr="00746525">
                      <w:rPr>
                        <w:b/>
                      </w:rPr>
                      <w:fldChar w:fldCharType="end"/>
                    </w:r>
                  </w:p>
                </w:txbxContent>
              </v:textbox>
              <w10:wrap anchorx="page" anchory="page"/>
              <w10:anchorlock/>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BE5E98">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132</w:t>
    </w:r>
    <w:r w:rsidRPr="00E14F7B">
      <w:rPr>
        <w:b/>
        <w:color w:val="720829"/>
      </w:rPr>
      <w:fldChar w:fldCharType="end"/>
    </w:r>
    <w:r>
      <w:rPr>
        <w:b/>
        <w:color w:val="720829"/>
      </w:rPr>
      <w:tab/>
    </w:r>
    <w:r w:rsidRPr="00746525">
      <w:rPr>
        <w:b/>
        <w:color w:val="720829"/>
      </w:rPr>
      <w:t>TRANSITION AND WELLBEING RESEARCH PROGRAMME</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133</w:t>
    </w:r>
    <w:r w:rsidRPr="00746525">
      <w:rPr>
        <w:b/>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9440" behindDoc="0" locked="1" layoutInCell="0" allowOverlap="1" wp14:anchorId="41415DFC" wp14:editId="03BF6B1C">
              <wp:simplePos x="0" y="0"/>
              <wp:positionH relativeFrom="page">
                <wp:posOffset>371475</wp:posOffset>
              </wp:positionH>
              <wp:positionV relativeFrom="page">
                <wp:posOffset>685800</wp:posOffset>
              </wp:positionV>
              <wp:extent cx="2374265" cy="4608830"/>
              <wp:effectExtent l="0" t="0" r="13335"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1415DFC" id="_x0000_t202" coordsize="21600,21600" o:spt="202" path="m,l,21600r21600,l21600,xe">
              <v:stroke joinstyle="miter"/>
              <v:path gradientshapeok="t" o:connecttype="rect"/>
            </v:shapetype>
            <v:shape id="_x0000_s1109" type="#_x0000_t202" style="position:absolute;left:0;text-align:left;margin-left:29.25pt;margin-top:54pt;width:186.95pt;height:362.9pt;z-index:2517094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zFBwIAAOwDAAAOAAAAZHJzL2Uyb0RvYy54bWysU8GO2yAQvVfqPyDujR1nk2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Ep/zMU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10464" behindDoc="0" locked="1" layoutInCell="0" allowOverlap="1" wp14:anchorId="617CCD7D" wp14:editId="0BE416B8">
              <wp:simplePos x="0" y="0"/>
              <wp:positionH relativeFrom="page">
                <wp:posOffset>355600</wp:posOffset>
              </wp:positionH>
              <wp:positionV relativeFrom="page">
                <wp:posOffset>1118870</wp:posOffset>
              </wp:positionV>
              <wp:extent cx="200660" cy="4608195"/>
              <wp:effectExtent l="0" t="0" r="8890" b="19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133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CCD7D" id="_x0000_t202" coordsize="21600,21600" o:spt="202" path="m,l,21600r21600,l21600,xe">
              <v:stroke joinstyle="miter"/>
              <v:path gradientshapeok="t" o:connecttype="rect"/>
            </v:shapetype>
            <v:shape id="_x0000_s1110" type="#_x0000_t202" style="position:absolute;margin-left:28pt;margin-top:88.1pt;width:15.8pt;height:362.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oEAA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Nog6gQAAgAA6wMAAA4AAAAA&#10;AAAAAAAAAAAALgIAAGRycy9lMm9Eb2MueG1sUEsBAi0AFAAGAAgAAAAhACxiV6zhAAAACQEAAA8A&#10;AAAAAAAAAAAAAAAAWgQAAGRycy9kb3ducmV2LnhtbFBLBQYAAAAABAAEAPMAAABoBQ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133</w:t>
                    </w:r>
                    <w:r w:rsidRPr="00746525">
                      <w:rPr>
                        <w:b/>
                      </w:rPr>
                      <w:fldChar w:fldCharType="end"/>
                    </w:r>
                  </w:p>
                </w:txbxContent>
              </v:textbox>
              <w10:wrap anchorx="page" anchory="page"/>
              <w10:anchorlock/>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136</w:t>
    </w:r>
    <w:r w:rsidRPr="00E14F7B">
      <w:rPr>
        <w:b/>
        <w:color w:val="720829"/>
      </w:rPr>
      <w:fldChar w:fldCharType="end"/>
    </w:r>
    <w:r>
      <w:rPr>
        <w:b/>
        <w:color w:val="720829"/>
      </w:rPr>
      <w:tab/>
    </w:r>
    <w:r w:rsidRPr="00746525">
      <w:rPr>
        <w:b/>
        <w:color w:val="720829"/>
      </w:rPr>
      <w:t>TRANSITION AND WELLBEING RESEARCH PROGRAMME</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137</w:t>
    </w:r>
    <w:r w:rsidRPr="00746525">
      <w:rPr>
        <w:b/>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146</w:t>
    </w:r>
    <w:r w:rsidRPr="00E14F7B">
      <w:rPr>
        <w:b/>
        <w:color w:val="720829"/>
      </w:rPr>
      <w:fldChar w:fldCharType="end"/>
    </w:r>
    <w:r>
      <w:rPr>
        <w:b/>
        <w:color w:val="720829"/>
      </w:rPr>
      <w:tab/>
    </w:r>
    <w:r w:rsidRPr="00746525">
      <w:rPr>
        <w:b/>
        <w:color w:val="720829"/>
      </w:rPr>
      <w:t>TRANSITION AND WELLBEING RESEARCH PROGRAMME</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147</w:t>
    </w:r>
    <w:r w:rsidRPr="00746525">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3360" behindDoc="0" locked="1" layoutInCell="0" allowOverlap="1" wp14:anchorId="09B53A8C" wp14:editId="0893D34C">
              <wp:simplePos x="0" y="0"/>
              <wp:positionH relativeFrom="page">
                <wp:posOffset>371475</wp:posOffset>
              </wp:positionH>
              <wp:positionV relativeFrom="page">
                <wp:posOffset>685800</wp:posOffset>
              </wp:positionV>
              <wp:extent cx="2374265" cy="4608830"/>
              <wp:effectExtent l="0" t="0" r="1333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9B53A8C" id="_x0000_t202" coordsize="21600,21600" o:spt="202" path="m,l,21600r21600,l21600,xe">
              <v:stroke joinstyle="miter"/>
              <v:path gradientshapeok="t" o:connecttype="rect"/>
            </v:shapetype>
            <v:shape id="_x0000_s1072" type="#_x0000_t202" style="position:absolute;left:0;text-align:left;margin-left:29.25pt;margin-top:54pt;width:186.95pt;height:362.9pt;z-index:2516633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30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6608" behindDoc="0" locked="1" layoutInCell="0" allowOverlap="1" wp14:anchorId="4848504F" wp14:editId="193DBAC5">
              <wp:simplePos x="0" y="0"/>
              <wp:positionH relativeFrom="page">
                <wp:posOffset>371475</wp:posOffset>
              </wp:positionH>
              <wp:positionV relativeFrom="page">
                <wp:posOffset>685800</wp:posOffset>
              </wp:positionV>
              <wp:extent cx="2374265" cy="4608830"/>
              <wp:effectExtent l="0" t="0" r="1333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148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848504F" id="_x0000_t202" coordsize="21600,21600" o:spt="202" path="m,l,21600r21600,l21600,xe">
              <v:stroke joinstyle="miter"/>
              <v:path gradientshapeok="t" o:connecttype="rect"/>
            </v:shapetype>
            <v:shape id="_x0000_s1111" type="#_x0000_t202" style="position:absolute;left:0;text-align:left;margin-left:29.25pt;margin-top:54pt;width:186.95pt;height:362.9pt;z-index:2517166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2lBQIAAOwDAAAOAAAAZHJzL2Uyb0RvYy54bWysU8GO2yAQvVfqPyDujR1vkq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5o02l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148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17632" behindDoc="0" locked="1" layoutInCell="0" allowOverlap="1" wp14:anchorId="7032E9C3" wp14:editId="6C3EC1A4">
              <wp:simplePos x="0" y="0"/>
              <wp:positionH relativeFrom="page">
                <wp:posOffset>355600</wp:posOffset>
              </wp:positionH>
              <wp:positionV relativeFrom="page">
                <wp:posOffset>1118870</wp:posOffset>
              </wp:positionV>
              <wp:extent cx="200660" cy="4608195"/>
              <wp:effectExtent l="0" t="0" r="8890" b="19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155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2E9C3" id="_x0000_t202" coordsize="21600,21600" o:spt="202" path="m,l,21600r21600,l21600,xe">
              <v:stroke joinstyle="miter"/>
              <v:path gradientshapeok="t" o:connecttype="rect"/>
            </v:shapetype>
            <v:shape id="_x0000_s1112" type="#_x0000_t202" style="position:absolute;margin-left:28pt;margin-top:88.1pt;width:15.8pt;height:362.8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7scfew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155</w:t>
                    </w:r>
                    <w:r w:rsidRPr="00746525">
                      <w:rPr>
                        <w:b/>
                      </w:rPr>
                      <w:fldChar w:fldCharType="end"/>
                    </w:r>
                  </w:p>
                </w:txbxContent>
              </v:textbox>
              <w10:wrap anchorx="page" anchory="page"/>
              <w10:anchorlock/>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152</w:t>
    </w:r>
    <w:r w:rsidRPr="00E14F7B">
      <w:rPr>
        <w:b/>
        <w:color w:val="720829"/>
      </w:rPr>
      <w:fldChar w:fldCharType="end"/>
    </w:r>
    <w:r>
      <w:rPr>
        <w:b/>
        <w:color w:val="720829"/>
      </w:rPr>
      <w:tab/>
    </w:r>
    <w:r w:rsidRPr="00746525">
      <w:rPr>
        <w:b/>
        <w:color w:val="720829"/>
      </w:rPr>
      <w:t>TRANSITION AND WELLBEING RESEARCH PROGRAMME</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153</w:t>
    </w:r>
    <w:r w:rsidRPr="00746525">
      <w:rPr>
        <w:b/>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9680" behindDoc="0" locked="1" layoutInCell="0" allowOverlap="1" wp14:anchorId="3E97AEAF" wp14:editId="5C153E06">
              <wp:simplePos x="0" y="0"/>
              <wp:positionH relativeFrom="page">
                <wp:posOffset>371475</wp:posOffset>
              </wp:positionH>
              <wp:positionV relativeFrom="page">
                <wp:posOffset>685800</wp:posOffset>
              </wp:positionV>
              <wp:extent cx="2374265" cy="4608830"/>
              <wp:effectExtent l="0" t="0" r="1333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E97AEAF" id="_x0000_t202" coordsize="21600,21600" o:spt="202" path="m,l,21600r21600,l21600,xe">
              <v:stroke joinstyle="miter"/>
              <v:path gradientshapeok="t" o:connecttype="rect"/>
            </v:shapetype>
            <v:shape id="_x0000_s1113" type="#_x0000_t202" style="position:absolute;left:0;text-align:left;margin-left:29.25pt;margin-top:54pt;width:186.95pt;height:362.9pt;z-index:2517196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B56QlN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20704" behindDoc="0" locked="1" layoutInCell="0" allowOverlap="1" wp14:anchorId="35F94CD7" wp14:editId="380593B8">
              <wp:simplePos x="0" y="0"/>
              <wp:positionH relativeFrom="page">
                <wp:posOffset>355600</wp:posOffset>
              </wp:positionH>
              <wp:positionV relativeFrom="page">
                <wp:posOffset>1118870</wp:posOffset>
              </wp:positionV>
              <wp:extent cx="200660" cy="4608195"/>
              <wp:effectExtent l="0" t="0" r="8890" b="19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94CD7" id="_x0000_t202" coordsize="21600,21600" o:spt="202" path="m,l,21600r21600,l21600,xe">
              <v:stroke joinstyle="miter"/>
              <v:path gradientshapeok="t" o:connecttype="rect"/>
            </v:shapetype>
            <v:shape id="_x0000_s1114" type="#_x0000_t202" style="position:absolute;margin-left:28pt;margin-top:88.1pt;width:15.8pt;height:362.8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mPTh6Q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161</w:t>
                    </w:r>
                    <w:r w:rsidRPr="00746525">
                      <w:rPr>
                        <w:b/>
                      </w:rPr>
                      <w:fldChar w:fldCharType="end"/>
                    </w:r>
                  </w:p>
                </w:txbxContent>
              </v:textbox>
              <w10:wrap anchorx="page" anchory="page"/>
              <w10:anchorlock/>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07440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164</w:t>
    </w:r>
    <w:r w:rsidRPr="00E14F7B">
      <w:rPr>
        <w:b/>
        <w:color w:val="720829"/>
      </w:rPr>
      <w:fldChar w:fldCharType="end"/>
    </w:r>
    <w:r>
      <w:rPr>
        <w:b/>
        <w:color w:val="720829"/>
      </w:rPr>
      <w:tab/>
    </w:r>
    <w:r w:rsidRPr="00746525">
      <w:rPr>
        <w:b/>
        <w:color w:val="720829"/>
      </w:rPr>
      <w:t>TRANSITION AND WELLBEING RESEARCH PROGRAMME</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4F757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E0148">
      <w:rPr>
        <w:b/>
      </w:rPr>
      <w:t>165</w:t>
    </w:r>
    <w:r w:rsidRPr="00746525">
      <w:rPr>
        <w:b/>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Pr="00746525" w:rsidRDefault="00A1139F"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2752" behindDoc="0" locked="1" layoutInCell="0" allowOverlap="1" wp14:anchorId="6829649D" wp14:editId="1705B7E0">
              <wp:simplePos x="0" y="0"/>
              <wp:positionH relativeFrom="page">
                <wp:posOffset>371475</wp:posOffset>
              </wp:positionH>
              <wp:positionV relativeFrom="page">
                <wp:posOffset>685800</wp:posOffset>
              </wp:positionV>
              <wp:extent cx="2374265" cy="4608830"/>
              <wp:effectExtent l="0" t="0" r="13335" b="12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166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829649D" id="_x0000_t202" coordsize="21600,21600" o:spt="202" path="m,l,21600r21600,l21600,xe">
              <v:stroke joinstyle="miter"/>
              <v:path gradientshapeok="t" o:connecttype="rect"/>
            </v:shapetype>
            <v:shape id="_x0000_s1115" type="#_x0000_t202" style="position:absolute;left:0;text-align:left;margin-left:29.25pt;margin-top:54pt;width:186.95pt;height:362.9pt;z-index:2517227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B2O1c1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rsidR="00A1139F" w:rsidRPr="00746525" w:rsidRDefault="00A1139F"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E0148">
                      <w:rPr>
                        <w:b/>
                        <w:color w:val="720829"/>
                      </w:rPr>
                      <w:t>166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535A40">
    <w:pPr>
      <w:pStyle w:val="Footer"/>
      <w:pBdr>
        <w:top w:val="none" w:sz="0" w:space="0" w:color="auto"/>
      </w:pBdr>
    </w:pPr>
    <w:r>
      <w:rPr>
        <w:lang w:eastAsia="en-AU"/>
      </w:rPr>
      <mc:AlternateContent>
        <mc:Choice Requires="wps">
          <w:drawing>
            <wp:anchor distT="0" distB="0" distL="114300" distR="114300" simplePos="0" relativeHeight="251723776" behindDoc="0" locked="1" layoutInCell="0" allowOverlap="1" wp14:anchorId="516BC1E0" wp14:editId="2DF97C60">
              <wp:simplePos x="0" y="0"/>
              <wp:positionH relativeFrom="page">
                <wp:posOffset>355600</wp:posOffset>
              </wp:positionH>
              <wp:positionV relativeFrom="page">
                <wp:posOffset>1118870</wp:posOffset>
              </wp:positionV>
              <wp:extent cx="200660" cy="4608195"/>
              <wp:effectExtent l="0" t="0" r="8890" b="19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BC1E0" id="_x0000_t202" coordsize="21600,21600" o:spt="202" path="m,l,21600r21600,l21600,xe">
              <v:stroke joinstyle="miter"/>
              <v:path gradientshapeok="t" o:connecttype="rect"/>
            </v:shapetype>
            <v:shape id="_x0000_s1116" type="#_x0000_t202" style="position:absolute;margin-left:28pt;margin-top:88.1pt;width:15.8pt;height:362.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oAgIAAOw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xbInKAICAADsAwAADgAA&#10;AAAAAAAAAAAAAAAuAgAAZHJzL2Uyb0RvYy54bWxQSwECLQAUAAYACAAAACEALGJXrOEAAAAJAQAA&#10;DwAAAAAAAAAAAAAAAABcBAAAZHJzL2Rvd25yZXYueG1sUEsFBgAAAAAEAAQA8wAAAGoFAAAAAA==&#10;" o:allowincell="f" filled="f" stroked="f">
              <v:textbox style="layout-flow:vertical" inset="0,0,0,0">
                <w:txbxContent>
                  <w:p w:rsidR="00A1139F" w:rsidRDefault="00A1139F" w:rsidP="00535A40">
                    <w:pPr>
                      <w:pStyle w:val="Footer"/>
                    </w:pPr>
                    <w:r w:rsidRPr="00746525">
                      <w:t>MENTAL HEALTH AND WELLBEING TRANSITION STUDY: Mental health prevalence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173</w:t>
                    </w:r>
                    <w:r w:rsidRPr="00746525">
                      <w:rPr>
                        <w:b/>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FB5" w:rsidRDefault="00746FB5" w:rsidP="00746525">
      <w:pPr>
        <w:spacing w:after="0" w:line="240" w:lineRule="auto"/>
      </w:pPr>
      <w:r>
        <w:separator/>
      </w:r>
    </w:p>
  </w:footnote>
  <w:footnote w:type="continuationSeparator" w:id="0">
    <w:p w:rsidR="00746FB5" w:rsidRDefault="00746FB5" w:rsidP="007465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rsidP="00014A4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9F" w:rsidRDefault="00A11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D610F"/>
    <w:multiLevelType w:val="hybridMultilevel"/>
    <w:tmpl w:val="F7A6346E"/>
    <w:lvl w:ilvl="0" w:tplc="A99EB666">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36F1E"/>
    <w:multiLevelType w:val="hybridMultilevel"/>
    <w:tmpl w:val="510E1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3D6E7E"/>
    <w:multiLevelType w:val="hybridMultilevel"/>
    <w:tmpl w:val="67D82AA4"/>
    <w:lvl w:ilvl="0" w:tplc="21AE860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FA61C4"/>
    <w:multiLevelType w:val="multilevel"/>
    <w:tmpl w:val="7A4C453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5D4439A"/>
    <w:multiLevelType w:val="hybridMultilevel"/>
    <w:tmpl w:val="58DC4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78E51F8"/>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0691E5D"/>
    <w:multiLevelType w:val="hybridMultilevel"/>
    <w:tmpl w:val="2382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9322887"/>
    <w:multiLevelType w:val="multilevel"/>
    <w:tmpl w:val="F0A81EE2"/>
    <w:lvl w:ilvl="0">
      <w:start w:val="1"/>
      <w:numFmt w:val="upperLetter"/>
      <w:lvlText w:val="Annex %1"/>
      <w:lvlJc w:val="left"/>
      <w:pPr>
        <w:ind w:left="0" w:firstLine="0"/>
      </w:pPr>
      <w:rPr>
        <w:rFonts w:hint="default"/>
      </w:rPr>
    </w:lvl>
    <w:lvl w:ilvl="1">
      <w:start w:val="1"/>
      <w:numFmt w:val="decimal"/>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5B7436D7"/>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9C278E"/>
    <w:multiLevelType w:val="hybridMultilevel"/>
    <w:tmpl w:val="A84AA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2F77F3"/>
    <w:multiLevelType w:val="hybridMultilevel"/>
    <w:tmpl w:val="53D46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227005E"/>
    <w:multiLevelType w:val="hybridMultilevel"/>
    <w:tmpl w:val="2578D4B6"/>
    <w:lvl w:ilvl="0" w:tplc="C23C2ED6">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9D398E"/>
    <w:multiLevelType w:val="hybridMultilevel"/>
    <w:tmpl w:val="AE847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4"/>
  </w:num>
  <w:num w:numId="4">
    <w:abstractNumId w:val="6"/>
  </w:num>
  <w:num w:numId="5">
    <w:abstractNumId w:val="0"/>
  </w:num>
  <w:num w:numId="6">
    <w:abstractNumId w:val="11"/>
  </w:num>
  <w:num w:numId="7">
    <w:abstractNumId w:val="5"/>
  </w:num>
  <w:num w:numId="8">
    <w:abstractNumId w:val="12"/>
  </w:num>
  <w:num w:numId="9">
    <w:abstractNumId w:val="1"/>
  </w:num>
  <w:num w:numId="10">
    <w:abstractNumId w:val="13"/>
  </w:num>
  <w:num w:numId="11">
    <w:abstractNumId w:val="8"/>
  </w:num>
  <w:num w:numId="12">
    <w:abstractNumId w:val="4"/>
  </w:num>
  <w:num w:numId="13">
    <w:abstractNumId w:val="16"/>
  </w:num>
  <w:num w:numId="14">
    <w:abstractNumId w:val="9"/>
  </w:num>
  <w:num w:numId="15">
    <w:abstractNumId w:val="15"/>
  </w:num>
  <w:num w:numId="16">
    <w:abstractNumId w:val="10"/>
  </w:num>
  <w:num w:numId="1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AFB"/>
    <w:rsid w:val="0000066A"/>
    <w:rsid w:val="00002629"/>
    <w:rsid w:val="00007D3E"/>
    <w:rsid w:val="00014A40"/>
    <w:rsid w:val="0002363D"/>
    <w:rsid w:val="000268B6"/>
    <w:rsid w:val="00045B87"/>
    <w:rsid w:val="00046B29"/>
    <w:rsid w:val="00051EE3"/>
    <w:rsid w:val="00052ECC"/>
    <w:rsid w:val="00053D42"/>
    <w:rsid w:val="000553CD"/>
    <w:rsid w:val="00060BAD"/>
    <w:rsid w:val="00062A28"/>
    <w:rsid w:val="000660AA"/>
    <w:rsid w:val="00067D67"/>
    <w:rsid w:val="0007440B"/>
    <w:rsid w:val="0008078F"/>
    <w:rsid w:val="000A040C"/>
    <w:rsid w:val="000A15EE"/>
    <w:rsid w:val="000B08E6"/>
    <w:rsid w:val="000B335D"/>
    <w:rsid w:val="000C0E27"/>
    <w:rsid w:val="000C15B8"/>
    <w:rsid w:val="000C2A5F"/>
    <w:rsid w:val="000D0609"/>
    <w:rsid w:val="000D5AA2"/>
    <w:rsid w:val="000D7AA2"/>
    <w:rsid w:val="000E0B73"/>
    <w:rsid w:val="000E4D49"/>
    <w:rsid w:val="000F0097"/>
    <w:rsid w:val="000F3073"/>
    <w:rsid w:val="00100FDE"/>
    <w:rsid w:val="00107AAA"/>
    <w:rsid w:val="0011113E"/>
    <w:rsid w:val="001171B3"/>
    <w:rsid w:val="00123234"/>
    <w:rsid w:val="001301BD"/>
    <w:rsid w:val="00130FE9"/>
    <w:rsid w:val="0013232E"/>
    <w:rsid w:val="00134AF3"/>
    <w:rsid w:val="001557B7"/>
    <w:rsid w:val="00157CE2"/>
    <w:rsid w:val="001602E0"/>
    <w:rsid w:val="00161D81"/>
    <w:rsid w:val="00163FB4"/>
    <w:rsid w:val="00164318"/>
    <w:rsid w:val="001701EA"/>
    <w:rsid w:val="00171F0C"/>
    <w:rsid w:val="0017603F"/>
    <w:rsid w:val="00181189"/>
    <w:rsid w:val="001828B4"/>
    <w:rsid w:val="00183D82"/>
    <w:rsid w:val="00186778"/>
    <w:rsid w:val="0018795F"/>
    <w:rsid w:val="00187CC7"/>
    <w:rsid w:val="00191932"/>
    <w:rsid w:val="0019239D"/>
    <w:rsid w:val="001923B9"/>
    <w:rsid w:val="00194C8F"/>
    <w:rsid w:val="001973CC"/>
    <w:rsid w:val="001A0E53"/>
    <w:rsid w:val="001A2A60"/>
    <w:rsid w:val="001A3129"/>
    <w:rsid w:val="001B0335"/>
    <w:rsid w:val="001C1F34"/>
    <w:rsid w:val="001C4F66"/>
    <w:rsid w:val="001C50D0"/>
    <w:rsid w:val="001D2F98"/>
    <w:rsid w:val="001E3E3A"/>
    <w:rsid w:val="001E64C2"/>
    <w:rsid w:val="001F4DC8"/>
    <w:rsid w:val="00206433"/>
    <w:rsid w:val="00207427"/>
    <w:rsid w:val="00210E6A"/>
    <w:rsid w:val="00224F17"/>
    <w:rsid w:val="00225A60"/>
    <w:rsid w:val="002275D6"/>
    <w:rsid w:val="00230B2E"/>
    <w:rsid w:val="00231128"/>
    <w:rsid w:val="002509FC"/>
    <w:rsid w:val="002559F0"/>
    <w:rsid w:val="00263825"/>
    <w:rsid w:val="00266E4C"/>
    <w:rsid w:val="002730A1"/>
    <w:rsid w:val="00273129"/>
    <w:rsid w:val="002735C8"/>
    <w:rsid w:val="0028305D"/>
    <w:rsid w:val="002848A0"/>
    <w:rsid w:val="00284965"/>
    <w:rsid w:val="00291296"/>
    <w:rsid w:val="002A0139"/>
    <w:rsid w:val="002A5555"/>
    <w:rsid w:val="002B2CFD"/>
    <w:rsid w:val="002D08FD"/>
    <w:rsid w:val="002F24F8"/>
    <w:rsid w:val="00303A90"/>
    <w:rsid w:val="00303DE0"/>
    <w:rsid w:val="003052C1"/>
    <w:rsid w:val="003129E9"/>
    <w:rsid w:val="0032007D"/>
    <w:rsid w:val="00325071"/>
    <w:rsid w:val="003266FC"/>
    <w:rsid w:val="00326F83"/>
    <w:rsid w:val="0033018C"/>
    <w:rsid w:val="003347E7"/>
    <w:rsid w:val="00340AFB"/>
    <w:rsid w:val="00340FA8"/>
    <w:rsid w:val="00341409"/>
    <w:rsid w:val="00342DC9"/>
    <w:rsid w:val="00343865"/>
    <w:rsid w:val="00345574"/>
    <w:rsid w:val="00352B18"/>
    <w:rsid w:val="003531FE"/>
    <w:rsid w:val="00353621"/>
    <w:rsid w:val="00354A92"/>
    <w:rsid w:val="0035777C"/>
    <w:rsid w:val="00360462"/>
    <w:rsid w:val="00361023"/>
    <w:rsid w:val="003624B8"/>
    <w:rsid w:val="0036484C"/>
    <w:rsid w:val="00366EB6"/>
    <w:rsid w:val="00371BEB"/>
    <w:rsid w:val="00377F82"/>
    <w:rsid w:val="00383C5C"/>
    <w:rsid w:val="00387F26"/>
    <w:rsid w:val="00392583"/>
    <w:rsid w:val="00395119"/>
    <w:rsid w:val="00395E49"/>
    <w:rsid w:val="003A5AD5"/>
    <w:rsid w:val="003A5B34"/>
    <w:rsid w:val="003B0C11"/>
    <w:rsid w:val="003B5F81"/>
    <w:rsid w:val="003C56FB"/>
    <w:rsid w:val="003D31FD"/>
    <w:rsid w:val="003E5C03"/>
    <w:rsid w:val="003F0D3E"/>
    <w:rsid w:val="003F53A8"/>
    <w:rsid w:val="004001D3"/>
    <w:rsid w:val="00400445"/>
    <w:rsid w:val="00401C52"/>
    <w:rsid w:val="004038AC"/>
    <w:rsid w:val="00411B45"/>
    <w:rsid w:val="004128D4"/>
    <w:rsid w:val="004128E2"/>
    <w:rsid w:val="004165F4"/>
    <w:rsid w:val="0042191E"/>
    <w:rsid w:val="00434EDB"/>
    <w:rsid w:val="00445732"/>
    <w:rsid w:val="00452191"/>
    <w:rsid w:val="00456145"/>
    <w:rsid w:val="00462A0C"/>
    <w:rsid w:val="0047223A"/>
    <w:rsid w:val="0047769E"/>
    <w:rsid w:val="00492B66"/>
    <w:rsid w:val="00493D83"/>
    <w:rsid w:val="004953B3"/>
    <w:rsid w:val="00495C3C"/>
    <w:rsid w:val="00497778"/>
    <w:rsid w:val="00497F38"/>
    <w:rsid w:val="004A2853"/>
    <w:rsid w:val="004A3390"/>
    <w:rsid w:val="004B160E"/>
    <w:rsid w:val="004B5E7A"/>
    <w:rsid w:val="004C5775"/>
    <w:rsid w:val="004C7568"/>
    <w:rsid w:val="004C7633"/>
    <w:rsid w:val="004D2283"/>
    <w:rsid w:val="004D40C7"/>
    <w:rsid w:val="004E26AA"/>
    <w:rsid w:val="004E563C"/>
    <w:rsid w:val="004E5E0D"/>
    <w:rsid w:val="004E699B"/>
    <w:rsid w:val="004E7AC5"/>
    <w:rsid w:val="004F17A6"/>
    <w:rsid w:val="004F40E4"/>
    <w:rsid w:val="004F7570"/>
    <w:rsid w:val="005035B4"/>
    <w:rsid w:val="005050DC"/>
    <w:rsid w:val="005068AA"/>
    <w:rsid w:val="00520A12"/>
    <w:rsid w:val="00520FC8"/>
    <w:rsid w:val="00535A40"/>
    <w:rsid w:val="00536233"/>
    <w:rsid w:val="00545711"/>
    <w:rsid w:val="005465CE"/>
    <w:rsid w:val="0054766D"/>
    <w:rsid w:val="00552BB4"/>
    <w:rsid w:val="005551EA"/>
    <w:rsid w:val="00564689"/>
    <w:rsid w:val="005721DD"/>
    <w:rsid w:val="005738E6"/>
    <w:rsid w:val="0057443B"/>
    <w:rsid w:val="00575717"/>
    <w:rsid w:val="00577C92"/>
    <w:rsid w:val="005926ED"/>
    <w:rsid w:val="00596B4D"/>
    <w:rsid w:val="005A3ECF"/>
    <w:rsid w:val="005A477D"/>
    <w:rsid w:val="005B0796"/>
    <w:rsid w:val="005B681B"/>
    <w:rsid w:val="005C3E97"/>
    <w:rsid w:val="005C5710"/>
    <w:rsid w:val="005D4151"/>
    <w:rsid w:val="005E226C"/>
    <w:rsid w:val="005E27B8"/>
    <w:rsid w:val="005E4270"/>
    <w:rsid w:val="005F585B"/>
    <w:rsid w:val="005F5B14"/>
    <w:rsid w:val="006066C9"/>
    <w:rsid w:val="00611091"/>
    <w:rsid w:val="00611FDB"/>
    <w:rsid w:val="006137D0"/>
    <w:rsid w:val="0061597C"/>
    <w:rsid w:val="00616631"/>
    <w:rsid w:val="00624AEC"/>
    <w:rsid w:val="00627FEE"/>
    <w:rsid w:val="00630520"/>
    <w:rsid w:val="00634709"/>
    <w:rsid w:val="0064122F"/>
    <w:rsid w:val="0064656B"/>
    <w:rsid w:val="0065221A"/>
    <w:rsid w:val="006537CC"/>
    <w:rsid w:val="0065489E"/>
    <w:rsid w:val="006607EB"/>
    <w:rsid w:val="0066773E"/>
    <w:rsid w:val="00674D5A"/>
    <w:rsid w:val="0067590B"/>
    <w:rsid w:val="00685E20"/>
    <w:rsid w:val="006866ED"/>
    <w:rsid w:val="00687F6B"/>
    <w:rsid w:val="00690234"/>
    <w:rsid w:val="00691F28"/>
    <w:rsid w:val="006929F0"/>
    <w:rsid w:val="006A04F9"/>
    <w:rsid w:val="006B0AC1"/>
    <w:rsid w:val="006C0BCF"/>
    <w:rsid w:val="006C3B6C"/>
    <w:rsid w:val="006C652D"/>
    <w:rsid w:val="006D3B58"/>
    <w:rsid w:val="006D73D6"/>
    <w:rsid w:val="006E0148"/>
    <w:rsid w:val="006E021C"/>
    <w:rsid w:val="006E2189"/>
    <w:rsid w:val="006E384B"/>
    <w:rsid w:val="006E64BB"/>
    <w:rsid w:val="006E71F8"/>
    <w:rsid w:val="006F51CF"/>
    <w:rsid w:val="00700D82"/>
    <w:rsid w:val="00711057"/>
    <w:rsid w:val="00720C8C"/>
    <w:rsid w:val="00720C92"/>
    <w:rsid w:val="00721678"/>
    <w:rsid w:val="007247A9"/>
    <w:rsid w:val="00730DF8"/>
    <w:rsid w:val="00735191"/>
    <w:rsid w:val="00736125"/>
    <w:rsid w:val="00742BF9"/>
    <w:rsid w:val="00743016"/>
    <w:rsid w:val="007448A6"/>
    <w:rsid w:val="00746525"/>
    <w:rsid w:val="00746FB5"/>
    <w:rsid w:val="00750496"/>
    <w:rsid w:val="00751C86"/>
    <w:rsid w:val="00755C03"/>
    <w:rsid w:val="00760F9C"/>
    <w:rsid w:val="007653D8"/>
    <w:rsid w:val="00785264"/>
    <w:rsid w:val="0078635A"/>
    <w:rsid w:val="00786452"/>
    <w:rsid w:val="00786B1D"/>
    <w:rsid w:val="00795A2B"/>
    <w:rsid w:val="00795CE7"/>
    <w:rsid w:val="007A7F0B"/>
    <w:rsid w:val="007B7052"/>
    <w:rsid w:val="007C15E5"/>
    <w:rsid w:val="007C4D86"/>
    <w:rsid w:val="007D2E28"/>
    <w:rsid w:val="007E47A1"/>
    <w:rsid w:val="007E5D54"/>
    <w:rsid w:val="008048C5"/>
    <w:rsid w:val="008055E1"/>
    <w:rsid w:val="00812098"/>
    <w:rsid w:val="0082317F"/>
    <w:rsid w:val="008234C7"/>
    <w:rsid w:val="00824287"/>
    <w:rsid w:val="008259C3"/>
    <w:rsid w:val="0083605F"/>
    <w:rsid w:val="00841699"/>
    <w:rsid w:val="00841F2B"/>
    <w:rsid w:val="0084663B"/>
    <w:rsid w:val="00846642"/>
    <w:rsid w:val="00855912"/>
    <w:rsid w:val="00855B43"/>
    <w:rsid w:val="0085632B"/>
    <w:rsid w:val="0086093B"/>
    <w:rsid w:val="00874D15"/>
    <w:rsid w:val="008756D4"/>
    <w:rsid w:val="008814E1"/>
    <w:rsid w:val="00885916"/>
    <w:rsid w:val="00893AD6"/>
    <w:rsid w:val="008A1658"/>
    <w:rsid w:val="008A174F"/>
    <w:rsid w:val="008A1DE7"/>
    <w:rsid w:val="008B5F4A"/>
    <w:rsid w:val="008B6918"/>
    <w:rsid w:val="008C2520"/>
    <w:rsid w:val="008C39CE"/>
    <w:rsid w:val="008C557E"/>
    <w:rsid w:val="008D06AC"/>
    <w:rsid w:val="008D3AC8"/>
    <w:rsid w:val="008D5982"/>
    <w:rsid w:val="008E1DD1"/>
    <w:rsid w:val="008F1A13"/>
    <w:rsid w:val="008F5D9B"/>
    <w:rsid w:val="008F7AA7"/>
    <w:rsid w:val="00903BB7"/>
    <w:rsid w:val="00904E4A"/>
    <w:rsid w:val="009051AE"/>
    <w:rsid w:val="009066FB"/>
    <w:rsid w:val="00906A1A"/>
    <w:rsid w:val="0091707F"/>
    <w:rsid w:val="00917282"/>
    <w:rsid w:val="00920385"/>
    <w:rsid w:val="00930A1E"/>
    <w:rsid w:val="00930EBB"/>
    <w:rsid w:val="00932E64"/>
    <w:rsid w:val="00933801"/>
    <w:rsid w:val="00941427"/>
    <w:rsid w:val="00941897"/>
    <w:rsid w:val="009432D6"/>
    <w:rsid w:val="009506AF"/>
    <w:rsid w:val="00960C38"/>
    <w:rsid w:val="0096221F"/>
    <w:rsid w:val="0096352E"/>
    <w:rsid w:val="00963618"/>
    <w:rsid w:val="009720C7"/>
    <w:rsid w:val="00974184"/>
    <w:rsid w:val="00983267"/>
    <w:rsid w:val="00986BE4"/>
    <w:rsid w:val="0099117C"/>
    <w:rsid w:val="00997E39"/>
    <w:rsid w:val="009A5464"/>
    <w:rsid w:val="009B0BFF"/>
    <w:rsid w:val="009B20BD"/>
    <w:rsid w:val="009C42AA"/>
    <w:rsid w:val="009C4349"/>
    <w:rsid w:val="009E0336"/>
    <w:rsid w:val="009E08C4"/>
    <w:rsid w:val="009E1108"/>
    <w:rsid w:val="009E72D3"/>
    <w:rsid w:val="009F3CBE"/>
    <w:rsid w:val="009F5E01"/>
    <w:rsid w:val="009F76D4"/>
    <w:rsid w:val="00A03BC2"/>
    <w:rsid w:val="00A0646A"/>
    <w:rsid w:val="00A1139F"/>
    <w:rsid w:val="00A2063B"/>
    <w:rsid w:val="00A31946"/>
    <w:rsid w:val="00A3675D"/>
    <w:rsid w:val="00A438DE"/>
    <w:rsid w:val="00A46262"/>
    <w:rsid w:val="00A53009"/>
    <w:rsid w:val="00A55B02"/>
    <w:rsid w:val="00A60746"/>
    <w:rsid w:val="00A624AE"/>
    <w:rsid w:val="00A64C3D"/>
    <w:rsid w:val="00A7183F"/>
    <w:rsid w:val="00A85062"/>
    <w:rsid w:val="00A87EE3"/>
    <w:rsid w:val="00A913AB"/>
    <w:rsid w:val="00AA5E9D"/>
    <w:rsid w:val="00AB586F"/>
    <w:rsid w:val="00AB5DA2"/>
    <w:rsid w:val="00AD2254"/>
    <w:rsid w:val="00AD2A8E"/>
    <w:rsid w:val="00AD3797"/>
    <w:rsid w:val="00AD56D5"/>
    <w:rsid w:val="00AD7C92"/>
    <w:rsid w:val="00AE103C"/>
    <w:rsid w:val="00AE3A46"/>
    <w:rsid w:val="00AE5CFC"/>
    <w:rsid w:val="00AF01DD"/>
    <w:rsid w:val="00AF36A8"/>
    <w:rsid w:val="00B010AD"/>
    <w:rsid w:val="00B0763D"/>
    <w:rsid w:val="00B10759"/>
    <w:rsid w:val="00B341F4"/>
    <w:rsid w:val="00B56435"/>
    <w:rsid w:val="00B60A95"/>
    <w:rsid w:val="00B61F18"/>
    <w:rsid w:val="00B67226"/>
    <w:rsid w:val="00B71CED"/>
    <w:rsid w:val="00B80199"/>
    <w:rsid w:val="00B81E95"/>
    <w:rsid w:val="00B823BF"/>
    <w:rsid w:val="00BA1316"/>
    <w:rsid w:val="00BB46BC"/>
    <w:rsid w:val="00BB56F2"/>
    <w:rsid w:val="00BB6C7A"/>
    <w:rsid w:val="00BB73DC"/>
    <w:rsid w:val="00BC63E2"/>
    <w:rsid w:val="00BD49BF"/>
    <w:rsid w:val="00BD510A"/>
    <w:rsid w:val="00BE414B"/>
    <w:rsid w:val="00BE43ED"/>
    <w:rsid w:val="00BE5E98"/>
    <w:rsid w:val="00BE61A2"/>
    <w:rsid w:val="00BE66A5"/>
    <w:rsid w:val="00BE715D"/>
    <w:rsid w:val="00BF35AC"/>
    <w:rsid w:val="00BF3D17"/>
    <w:rsid w:val="00BF4089"/>
    <w:rsid w:val="00BF6EDF"/>
    <w:rsid w:val="00BF795F"/>
    <w:rsid w:val="00C00593"/>
    <w:rsid w:val="00C01061"/>
    <w:rsid w:val="00C01282"/>
    <w:rsid w:val="00C02BB8"/>
    <w:rsid w:val="00C106D7"/>
    <w:rsid w:val="00C11D51"/>
    <w:rsid w:val="00C220F4"/>
    <w:rsid w:val="00C22128"/>
    <w:rsid w:val="00C24AA4"/>
    <w:rsid w:val="00C37D89"/>
    <w:rsid w:val="00C4632A"/>
    <w:rsid w:val="00C47024"/>
    <w:rsid w:val="00C50EC9"/>
    <w:rsid w:val="00C52696"/>
    <w:rsid w:val="00C52C4C"/>
    <w:rsid w:val="00C53E1B"/>
    <w:rsid w:val="00C56433"/>
    <w:rsid w:val="00C61786"/>
    <w:rsid w:val="00C64763"/>
    <w:rsid w:val="00C73E19"/>
    <w:rsid w:val="00C76968"/>
    <w:rsid w:val="00C77924"/>
    <w:rsid w:val="00C8460C"/>
    <w:rsid w:val="00C95D88"/>
    <w:rsid w:val="00C95E4A"/>
    <w:rsid w:val="00CA40D1"/>
    <w:rsid w:val="00CB4287"/>
    <w:rsid w:val="00CB47B9"/>
    <w:rsid w:val="00CB685C"/>
    <w:rsid w:val="00CD1CEE"/>
    <w:rsid w:val="00CD7866"/>
    <w:rsid w:val="00CE251C"/>
    <w:rsid w:val="00CE3C8B"/>
    <w:rsid w:val="00CE42B1"/>
    <w:rsid w:val="00CE607E"/>
    <w:rsid w:val="00CF5739"/>
    <w:rsid w:val="00CF748E"/>
    <w:rsid w:val="00D060FC"/>
    <w:rsid w:val="00D123CA"/>
    <w:rsid w:val="00D13778"/>
    <w:rsid w:val="00D15A1E"/>
    <w:rsid w:val="00D16406"/>
    <w:rsid w:val="00D17469"/>
    <w:rsid w:val="00D17C3E"/>
    <w:rsid w:val="00D17FC2"/>
    <w:rsid w:val="00D21AC7"/>
    <w:rsid w:val="00D30A3C"/>
    <w:rsid w:val="00D3192D"/>
    <w:rsid w:val="00D32008"/>
    <w:rsid w:val="00D33302"/>
    <w:rsid w:val="00D44CC3"/>
    <w:rsid w:val="00D55E70"/>
    <w:rsid w:val="00D565FD"/>
    <w:rsid w:val="00D56CB0"/>
    <w:rsid w:val="00D6629A"/>
    <w:rsid w:val="00D6667F"/>
    <w:rsid w:val="00D70032"/>
    <w:rsid w:val="00D844BE"/>
    <w:rsid w:val="00D84781"/>
    <w:rsid w:val="00D8616A"/>
    <w:rsid w:val="00D86734"/>
    <w:rsid w:val="00D929FC"/>
    <w:rsid w:val="00D97F99"/>
    <w:rsid w:val="00DA779A"/>
    <w:rsid w:val="00DB5776"/>
    <w:rsid w:val="00DC09EF"/>
    <w:rsid w:val="00DC4EA0"/>
    <w:rsid w:val="00DD7654"/>
    <w:rsid w:val="00DE0FC8"/>
    <w:rsid w:val="00DE2EDB"/>
    <w:rsid w:val="00DF223B"/>
    <w:rsid w:val="00DF2CC0"/>
    <w:rsid w:val="00DF3425"/>
    <w:rsid w:val="00DF71CD"/>
    <w:rsid w:val="00E024E8"/>
    <w:rsid w:val="00E02C00"/>
    <w:rsid w:val="00E12860"/>
    <w:rsid w:val="00E13799"/>
    <w:rsid w:val="00E14F7B"/>
    <w:rsid w:val="00E21BD4"/>
    <w:rsid w:val="00E35275"/>
    <w:rsid w:val="00E4744F"/>
    <w:rsid w:val="00E54791"/>
    <w:rsid w:val="00E54F55"/>
    <w:rsid w:val="00E63C7D"/>
    <w:rsid w:val="00E65950"/>
    <w:rsid w:val="00E70BD6"/>
    <w:rsid w:val="00E765E4"/>
    <w:rsid w:val="00E94D17"/>
    <w:rsid w:val="00E969AD"/>
    <w:rsid w:val="00E96C28"/>
    <w:rsid w:val="00EA5FE6"/>
    <w:rsid w:val="00EA7252"/>
    <w:rsid w:val="00EB2D65"/>
    <w:rsid w:val="00EC0D33"/>
    <w:rsid w:val="00EC5C6F"/>
    <w:rsid w:val="00ED24F4"/>
    <w:rsid w:val="00ED2BE5"/>
    <w:rsid w:val="00EE2CFA"/>
    <w:rsid w:val="00EF46AC"/>
    <w:rsid w:val="00EF53A1"/>
    <w:rsid w:val="00EF7180"/>
    <w:rsid w:val="00F1299E"/>
    <w:rsid w:val="00F12D9E"/>
    <w:rsid w:val="00F20772"/>
    <w:rsid w:val="00F20C22"/>
    <w:rsid w:val="00F21A4B"/>
    <w:rsid w:val="00F23E63"/>
    <w:rsid w:val="00F26E45"/>
    <w:rsid w:val="00F2742E"/>
    <w:rsid w:val="00F275C0"/>
    <w:rsid w:val="00F31394"/>
    <w:rsid w:val="00F31C78"/>
    <w:rsid w:val="00F345D3"/>
    <w:rsid w:val="00F404E6"/>
    <w:rsid w:val="00F47EFE"/>
    <w:rsid w:val="00F5278A"/>
    <w:rsid w:val="00F54676"/>
    <w:rsid w:val="00F6614D"/>
    <w:rsid w:val="00F75CF7"/>
    <w:rsid w:val="00F773A8"/>
    <w:rsid w:val="00F776E9"/>
    <w:rsid w:val="00F83362"/>
    <w:rsid w:val="00F872E0"/>
    <w:rsid w:val="00F926F5"/>
    <w:rsid w:val="00F938E0"/>
    <w:rsid w:val="00F947DD"/>
    <w:rsid w:val="00F94CE8"/>
    <w:rsid w:val="00FA70D8"/>
    <w:rsid w:val="00FD0729"/>
    <w:rsid w:val="00FD1711"/>
    <w:rsid w:val="00FD3AB7"/>
    <w:rsid w:val="00FE1EA7"/>
    <w:rsid w:val="00FE271A"/>
    <w:rsid w:val="00FE278F"/>
    <w:rsid w:val="00FE34E2"/>
    <w:rsid w:val="00FE3FD6"/>
    <w:rsid w:val="00FE709E"/>
    <w:rsid w:val="00FF0D6A"/>
    <w:rsid w:val="00FF2225"/>
    <w:rsid w:val="00FF4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8C"/>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191932"/>
    <w:pPr>
      <w:keepNext/>
      <w:keepLines/>
      <w:numPr>
        <w:numId w:val="1"/>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8055E1"/>
    <w:pPr>
      <w:keepNext/>
      <w:keepLines/>
      <w:numPr>
        <w:ilvl w:val="1"/>
        <w:numId w:val="1"/>
      </w:numPr>
      <w:spacing w:before="280" w:after="160" w:line="240" w:lineRule="auto"/>
      <w:ind w:left="720" w:hanging="720"/>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4D40C7"/>
    <w:pPr>
      <w:keepNext/>
      <w:keepLines/>
      <w:numPr>
        <w:ilvl w:val="2"/>
        <w:numId w:val="1"/>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720C8C"/>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7448A6"/>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unhideWhenUsed/>
    <w:qFormat/>
    <w:rsid w:val="0047223A"/>
    <w:pPr>
      <w:keepNext/>
      <w:keepLines/>
      <w:numPr>
        <w:ilvl w:val="5"/>
        <w:numId w:val="1"/>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unhideWhenUsed/>
    <w:qFormat/>
    <w:rsid w:val="0047223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47223A"/>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unhideWhenUsed/>
    <w:qFormat/>
    <w:rsid w:val="0047223A"/>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91932"/>
    <w:rPr>
      <w:rFonts w:ascii="Calibri" w:eastAsiaTheme="majorEastAsia" w:hAnsi="Calibri" w:cstheme="majorBidi"/>
      <w:b/>
      <w:bCs/>
      <w:color w:val="002561"/>
      <w:sz w:val="32"/>
      <w:szCs w:val="28"/>
    </w:rPr>
  </w:style>
  <w:style w:type="character" w:customStyle="1" w:styleId="Heading2Char">
    <w:name w:val="Heading 2 Char"/>
    <w:basedOn w:val="DefaultParagraphFont"/>
    <w:link w:val="Heading2"/>
    <w:uiPriority w:val="99"/>
    <w:rsid w:val="00720C8C"/>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4D40C7"/>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720C8C"/>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7448A6"/>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rsid w:val="0047223A"/>
    <w:rPr>
      <w:rFonts w:asciiTheme="majorHAnsi" w:eastAsiaTheme="majorEastAsia" w:hAnsiTheme="majorHAnsi" w:cstheme="majorBidi"/>
      <w:i/>
      <w:iCs/>
      <w:color w:val="404040" w:themeColor="text1" w:themeTint="BF"/>
    </w:rPr>
  </w:style>
  <w:style w:type="paragraph" w:customStyle="1" w:styleId="Heading1a">
    <w:name w:val="Heading 1a"/>
    <w:basedOn w:val="Heading1"/>
    <w:rsid w:val="0047223A"/>
    <w:pPr>
      <w:numPr>
        <w:numId w:val="0"/>
      </w:numPr>
      <w:outlineLvl w:val="9"/>
    </w:pPr>
  </w:style>
  <w:style w:type="paragraph" w:customStyle="1" w:styleId="TableName">
    <w:name w:val="TableName"/>
    <w:basedOn w:val="Normal"/>
    <w:qFormat/>
    <w:rsid w:val="00C53E1B"/>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AD56D5"/>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023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986BE4"/>
    <w:pPr>
      <w:keepNext/>
      <w:spacing w:before="40" w:after="40" w:line="240" w:lineRule="auto"/>
    </w:pPr>
    <w:rPr>
      <w:rFonts w:ascii="Arial Narrow" w:hAnsi="Arial Narrow"/>
      <w:sz w:val="14"/>
    </w:rPr>
  </w:style>
  <w:style w:type="paragraph" w:customStyle="1" w:styleId="TableNotes">
    <w:name w:val="TableNotes"/>
    <w:basedOn w:val="TableText"/>
    <w:qFormat/>
    <w:rsid w:val="0013232E"/>
    <w:pPr>
      <w:keepNext w:val="0"/>
      <w:keepLines/>
      <w:spacing w:before="50" w:after="240"/>
      <w:contextualSpacing/>
    </w:pPr>
    <w:rPr>
      <w:szCs w:val="16"/>
    </w:rPr>
  </w:style>
  <w:style w:type="paragraph" w:customStyle="1" w:styleId="Bullet">
    <w:name w:val="Bullet"/>
    <w:basedOn w:val="Normal"/>
    <w:qFormat/>
    <w:rsid w:val="0002363D"/>
    <w:pPr>
      <w:numPr>
        <w:numId w:val="2"/>
      </w:numPr>
      <w:ind w:left="360"/>
    </w:pPr>
    <w:rPr>
      <w:bCs/>
    </w:rPr>
  </w:style>
  <w:style w:type="paragraph" w:customStyle="1" w:styleId="FigureName">
    <w:name w:val="FigureName"/>
    <w:basedOn w:val="TableName"/>
    <w:qFormat/>
    <w:rsid w:val="00690234"/>
  </w:style>
  <w:style w:type="paragraph" w:customStyle="1" w:styleId="FigurePara">
    <w:name w:val="FigurePara"/>
    <w:basedOn w:val="Normal"/>
    <w:qFormat/>
    <w:rsid w:val="005E27B8"/>
    <w:pPr>
      <w:keepNext/>
      <w:spacing w:after="40" w:line="240" w:lineRule="auto"/>
    </w:pPr>
  </w:style>
  <w:style w:type="paragraph" w:styleId="TOC1">
    <w:name w:val="toc 1"/>
    <w:basedOn w:val="Normal"/>
    <w:next w:val="Normal"/>
    <w:autoRedefine/>
    <w:uiPriority w:val="39"/>
    <w:unhideWhenUsed/>
    <w:rsid w:val="00E35275"/>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903BB7"/>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903BB7"/>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0E0B73"/>
    <w:pPr>
      <w:numPr>
        <w:ilvl w:val="0"/>
        <w:numId w:val="0"/>
      </w:numPr>
      <w:outlineLvl w:val="9"/>
    </w:pPr>
  </w:style>
  <w:style w:type="paragraph" w:styleId="TOC4">
    <w:name w:val="toc 4"/>
    <w:basedOn w:val="Normal"/>
    <w:next w:val="Normal"/>
    <w:autoRedefine/>
    <w:uiPriority w:val="39"/>
    <w:unhideWhenUsed/>
    <w:rsid w:val="00700D82"/>
    <w:pPr>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7465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525"/>
    <w:rPr>
      <w:rFonts w:ascii="Calibri" w:hAnsi="Calibri"/>
      <w:color w:val="000000"/>
    </w:rPr>
  </w:style>
  <w:style w:type="paragraph" w:styleId="Footer">
    <w:name w:val="footer"/>
    <w:basedOn w:val="Normal"/>
    <w:link w:val="FooterChar"/>
    <w:uiPriority w:val="99"/>
    <w:unhideWhenUsed/>
    <w:rsid w:val="00746525"/>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746525"/>
    <w:rPr>
      <w:rFonts w:ascii="Calibri" w:hAnsi="Calibri"/>
      <w:noProof/>
      <w:color w:val="002561"/>
      <w:sz w:val="18"/>
    </w:rPr>
  </w:style>
  <w:style w:type="paragraph" w:styleId="Quote">
    <w:name w:val="Quote"/>
    <w:basedOn w:val="Normal"/>
    <w:next w:val="Normal"/>
    <w:link w:val="QuoteChar"/>
    <w:uiPriority w:val="29"/>
    <w:rsid w:val="005C5710"/>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5C5710"/>
    <w:rPr>
      <w:rFonts w:ascii="Calibri" w:hAnsi="Calibri"/>
      <w:iCs/>
      <w:color w:val="000000" w:themeColor="text1"/>
      <w:sz w:val="18"/>
    </w:rPr>
  </w:style>
  <w:style w:type="paragraph" w:customStyle="1" w:styleId="ShadedBoxText">
    <w:name w:val="ShadedBoxText"/>
    <w:basedOn w:val="Normal"/>
    <w:rsid w:val="00700D82"/>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ullet">
    <w:name w:val="ShadedBullet"/>
    <w:basedOn w:val="ShadedBoxText"/>
    <w:rsid w:val="00700D82"/>
    <w:pPr>
      <w:numPr>
        <w:numId w:val="3"/>
      </w:numPr>
      <w:ind w:left="360"/>
    </w:pPr>
  </w:style>
  <w:style w:type="character" w:styleId="Hyperlink">
    <w:name w:val="Hyperlink"/>
    <w:basedOn w:val="DefaultParagraphFont"/>
    <w:uiPriority w:val="99"/>
    <w:unhideWhenUsed/>
    <w:rsid w:val="001C1F34"/>
    <w:rPr>
      <w:color w:val="002561"/>
      <w:u w:val="none"/>
    </w:rPr>
  </w:style>
  <w:style w:type="paragraph" w:customStyle="1" w:styleId="References">
    <w:name w:val="References"/>
    <w:basedOn w:val="Normal"/>
    <w:rsid w:val="001C1F34"/>
    <w:pPr>
      <w:keepLines/>
      <w:spacing w:line="240" w:lineRule="atLeast"/>
      <w:ind w:left="720" w:hanging="720"/>
    </w:pPr>
    <w:rPr>
      <w:rFonts w:eastAsia="MS Mincho" w:cs="Calibri"/>
      <w:lang w:eastAsia="en-AU"/>
    </w:rPr>
  </w:style>
  <w:style w:type="paragraph" w:styleId="CommentText">
    <w:name w:val="annotation text"/>
    <w:basedOn w:val="Normal"/>
    <w:link w:val="CommentTextChar"/>
    <w:uiPriority w:val="99"/>
    <w:unhideWhenUsed/>
    <w:rsid w:val="00720C92"/>
    <w:pPr>
      <w:spacing w:after="240" w:line="240" w:lineRule="auto"/>
    </w:pPr>
    <w:rPr>
      <w:rFonts w:ascii="Times New Roman" w:eastAsia="MS Mincho" w:hAnsi="Times New Roman"/>
      <w:color w:val="auto"/>
      <w:sz w:val="24"/>
      <w:lang w:val="en-US" w:eastAsia="en-AU"/>
    </w:rPr>
  </w:style>
  <w:style w:type="character" w:customStyle="1" w:styleId="CommentTextChar">
    <w:name w:val="Comment Text Char"/>
    <w:basedOn w:val="DefaultParagraphFont"/>
    <w:link w:val="CommentText"/>
    <w:uiPriority w:val="99"/>
    <w:rsid w:val="00720C92"/>
    <w:rPr>
      <w:rFonts w:eastAsia="MS Mincho"/>
      <w:sz w:val="24"/>
      <w:lang w:val="en-US" w:eastAsia="en-AU"/>
    </w:rPr>
  </w:style>
  <w:style w:type="character" w:styleId="CommentReference">
    <w:name w:val="annotation reference"/>
    <w:uiPriority w:val="99"/>
    <w:unhideWhenUsed/>
    <w:rsid w:val="00720C92"/>
    <w:rPr>
      <w:rFonts w:ascii="Times New Roman" w:hAnsi="Times New Roman" w:cs="Times New Roman" w:hint="default"/>
      <w:sz w:val="16"/>
    </w:rPr>
  </w:style>
  <w:style w:type="paragraph" w:styleId="z-BottomofForm">
    <w:name w:val="HTML Bottom of Form"/>
    <w:basedOn w:val="Normal"/>
    <w:next w:val="Normal"/>
    <w:link w:val="z-BottomofFormChar"/>
    <w:hidden/>
    <w:uiPriority w:val="99"/>
    <w:unhideWhenUsed/>
    <w:rsid w:val="008756D4"/>
    <w:pPr>
      <w:pBdr>
        <w:top w:val="single" w:sz="6" w:space="1" w:color="auto"/>
      </w:pBdr>
      <w:spacing w:after="0" w:line="240" w:lineRule="auto"/>
      <w:jc w:val="center"/>
    </w:pPr>
    <w:rPr>
      <w:rFonts w:ascii="Arial" w:eastAsia="MS ??" w:hAnsi="Arial" w:cs="Arial"/>
      <w:vanish/>
      <w:color w:val="auto"/>
      <w:sz w:val="16"/>
      <w:szCs w:val="16"/>
    </w:rPr>
  </w:style>
  <w:style w:type="character" w:customStyle="1" w:styleId="z-BottomofFormChar">
    <w:name w:val="z-Bottom of Form Char"/>
    <w:basedOn w:val="DefaultParagraphFont"/>
    <w:link w:val="z-BottomofForm"/>
    <w:uiPriority w:val="99"/>
    <w:rsid w:val="008756D4"/>
    <w:rPr>
      <w:rFonts w:ascii="Arial" w:eastAsia="MS ??" w:hAnsi="Arial" w:cs="Arial"/>
      <w:vanish/>
      <w:sz w:val="16"/>
      <w:szCs w:val="16"/>
    </w:rPr>
  </w:style>
  <w:style w:type="paragraph" w:styleId="z-TopofForm">
    <w:name w:val="HTML Top of Form"/>
    <w:basedOn w:val="Normal"/>
    <w:next w:val="Normal"/>
    <w:link w:val="z-TopofFormChar"/>
    <w:hidden/>
    <w:uiPriority w:val="99"/>
    <w:unhideWhenUsed/>
    <w:rsid w:val="008756D4"/>
    <w:pPr>
      <w:pBdr>
        <w:bottom w:val="single" w:sz="6" w:space="1" w:color="auto"/>
      </w:pBdr>
      <w:spacing w:after="0" w:line="240" w:lineRule="auto"/>
      <w:jc w:val="center"/>
    </w:pPr>
    <w:rPr>
      <w:rFonts w:ascii="Arial" w:eastAsia="MS ??" w:hAnsi="Arial" w:cs="Arial"/>
      <w:vanish/>
      <w:color w:val="auto"/>
      <w:sz w:val="16"/>
      <w:szCs w:val="16"/>
    </w:rPr>
  </w:style>
  <w:style w:type="character" w:customStyle="1" w:styleId="z-TopofFormChar">
    <w:name w:val="z-Top of Form Char"/>
    <w:basedOn w:val="DefaultParagraphFont"/>
    <w:link w:val="z-TopofForm"/>
    <w:uiPriority w:val="99"/>
    <w:rsid w:val="008756D4"/>
    <w:rPr>
      <w:rFonts w:ascii="Arial" w:eastAsia="MS ??" w:hAnsi="Arial" w:cs="Arial"/>
      <w:vanish/>
      <w:sz w:val="16"/>
      <w:szCs w:val="16"/>
    </w:rPr>
  </w:style>
  <w:style w:type="paragraph" w:customStyle="1" w:styleId="ShadedBoxSubheading">
    <w:name w:val="ShadedBoxSubheading"/>
    <w:basedOn w:val="ShadedBoxText"/>
    <w:rsid w:val="00700D82"/>
    <w:pPr>
      <w:keepNext/>
    </w:pPr>
    <w:rPr>
      <w:b/>
      <w:lang w:eastAsia="en-AU"/>
    </w:rPr>
  </w:style>
  <w:style w:type="paragraph" w:customStyle="1" w:styleId="ShadedBoxTitle">
    <w:name w:val="ShadedBoxTitle"/>
    <w:basedOn w:val="ShadedBoxText"/>
    <w:rsid w:val="00493D83"/>
    <w:pPr>
      <w:keepNext/>
    </w:pPr>
    <w:rPr>
      <w:b/>
      <w:sz w:val="24"/>
      <w:lang w:eastAsia="en-AU"/>
    </w:rPr>
  </w:style>
  <w:style w:type="paragraph" w:customStyle="1" w:styleId="ShadedDash">
    <w:name w:val="ShadedDash"/>
    <w:basedOn w:val="ShadedBoxText"/>
    <w:rsid w:val="00493D83"/>
    <w:pPr>
      <w:tabs>
        <w:tab w:val="left" w:pos="360"/>
        <w:tab w:val="left" w:pos="720"/>
      </w:tabs>
      <w:ind w:left="720" w:hanging="720"/>
    </w:pPr>
    <w:rPr>
      <w:lang w:eastAsia="en-AU"/>
    </w:rPr>
  </w:style>
  <w:style w:type="paragraph" w:customStyle="1" w:styleId="Dash">
    <w:name w:val="Dash"/>
    <w:basedOn w:val="Normal"/>
    <w:qFormat/>
    <w:rsid w:val="007247A9"/>
    <w:pPr>
      <w:numPr>
        <w:numId w:val="4"/>
      </w:numPr>
    </w:pPr>
  </w:style>
  <w:style w:type="paragraph" w:customStyle="1" w:styleId="Dot">
    <w:name w:val="Dot"/>
    <w:basedOn w:val="Normal"/>
    <w:rsid w:val="00B81E95"/>
    <w:pPr>
      <w:numPr>
        <w:numId w:val="6"/>
      </w:numPr>
      <w:ind w:left="1080"/>
    </w:pPr>
  </w:style>
  <w:style w:type="paragraph" w:styleId="Revision">
    <w:name w:val="Revision"/>
    <w:hidden/>
    <w:uiPriority w:val="99"/>
    <w:semiHidden/>
    <w:rsid w:val="00181189"/>
    <w:rPr>
      <w:rFonts w:ascii="Calibri" w:hAnsi="Calibri"/>
      <w:color w:val="000000"/>
    </w:rPr>
  </w:style>
  <w:style w:type="paragraph" w:styleId="BalloonText">
    <w:name w:val="Balloon Text"/>
    <w:basedOn w:val="Normal"/>
    <w:link w:val="BalloonTextChar"/>
    <w:uiPriority w:val="99"/>
    <w:semiHidden/>
    <w:unhideWhenUsed/>
    <w:rsid w:val="00181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189"/>
    <w:rPr>
      <w:rFonts w:ascii="Tahoma" w:hAnsi="Tahoma" w:cs="Tahoma"/>
      <w:color w:val="000000"/>
      <w:sz w:val="16"/>
      <w:szCs w:val="16"/>
    </w:rPr>
  </w:style>
  <w:style w:type="paragraph" w:customStyle="1" w:styleId="Heading1b">
    <w:name w:val="Heading 1b"/>
    <w:basedOn w:val="Heading1"/>
    <w:rsid w:val="00134AF3"/>
    <w:pPr>
      <w:numPr>
        <w:numId w:val="7"/>
      </w:numPr>
      <w:ind w:left="1440" w:hanging="1440"/>
    </w:pPr>
  </w:style>
  <w:style w:type="paragraph" w:customStyle="1" w:styleId="Heading2b">
    <w:name w:val="Heading 2b"/>
    <w:basedOn w:val="Heading2"/>
    <w:rsid w:val="00751C86"/>
    <w:pPr>
      <w:numPr>
        <w:numId w:val="7"/>
      </w:numPr>
      <w:ind w:left="720" w:hanging="720"/>
      <w:outlineLvl w:val="9"/>
    </w:pPr>
    <w:rPr>
      <w:rFonts w:eastAsia="MS Gothic" w:cstheme="minorBidi"/>
      <w:lang w:eastAsia="en-AU"/>
    </w:rPr>
  </w:style>
  <w:style w:type="paragraph" w:customStyle="1" w:styleId="Heading3b">
    <w:name w:val="Heading 3b"/>
    <w:basedOn w:val="Heading3"/>
    <w:rsid w:val="00751C86"/>
    <w:pPr>
      <w:numPr>
        <w:numId w:val="7"/>
      </w:numPr>
      <w:ind w:left="720" w:hanging="720"/>
      <w:outlineLvl w:val="9"/>
    </w:pPr>
    <w:rPr>
      <w:rFonts w:cs="Calibri"/>
      <w:bCs w:val="0"/>
      <w:szCs w:val="22"/>
    </w:rPr>
  </w:style>
  <w:style w:type="paragraph" w:styleId="TOC5">
    <w:name w:val="toc 5"/>
    <w:basedOn w:val="Normal"/>
    <w:next w:val="Normal"/>
    <w:autoRedefine/>
    <w:uiPriority w:val="39"/>
    <w:unhideWhenUsed/>
    <w:rsid w:val="001923B9"/>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1923B9"/>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1923B9"/>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1923B9"/>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1923B9"/>
    <w:pPr>
      <w:spacing w:after="100" w:line="276" w:lineRule="auto"/>
      <w:ind w:left="1760"/>
    </w:pPr>
    <w:rPr>
      <w:rFonts w:asciiTheme="minorHAnsi" w:eastAsiaTheme="minorEastAsia" w:hAnsiTheme="minorHAnsi" w:cstheme="minorBidi"/>
      <w:color w:val="auto"/>
      <w:sz w:val="22"/>
      <w:szCs w:val="22"/>
      <w:lang w:eastAsia="en-AU"/>
    </w:rPr>
  </w:style>
  <w:style w:type="paragraph" w:customStyle="1" w:styleId="TableBullet">
    <w:name w:val="TableBullet"/>
    <w:basedOn w:val="TableText"/>
    <w:qFormat/>
    <w:rsid w:val="004038AC"/>
    <w:pPr>
      <w:numPr>
        <w:numId w:val="15"/>
      </w:numPr>
      <w:tabs>
        <w:tab w:val="left" w:pos="216"/>
      </w:tabs>
      <w:ind w:left="216" w:hanging="216"/>
    </w:pPr>
    <w:rPr>
      <w:lang w:eastAsia="en-AU"/>
    </w:rPr>
  </w:style>
  <w:style w:type="paragraph" w:styleId="CommentSubject">
    <w:name w:val="annotation subject"/>
    <w:basedOn w:val="CommentText"/>
    <w:next w:val="CommentText"/>
    <w:link w:val="CommentSubjectChar"/>
    <w:uiPriority w:val="99"/>
    <w:semiHidden/>
    <w:unhideWhenUsed/>
    <w:rsid w:val="00751C86"/>
    <w:pPr>
      <w:spacing w:after="200"/>
    </w:pPr>
    <w:rPr>
      <w:rFonts w:ascii="Calibri" w:eastAsiaTheme="minorHAnsi" w:hAnsi="Calibri"/>
      <w:b/>
      <w:bCs/>
      <w:color w:val="000000"/>
      <w:sz w:val="20"/>
      <w:lang w:val="en-AU" w:eastAsia="en-US"/>
    </w:rPr>
  </w:style>
  <w:style w:type="character" w:customStyle="1" w:styleId="CommentSubjectChar">
    <w:name w:val="Comment Subject Char"/>
    <w:basedOn w:val="CommentTextChar"/>
    <w:link w:val="CommentSubject"/>
    <w:uiPriority w:val="99"/>
    <w:semiHidden/>
    <w:rsid w:val="00751C86"/>
    <w:rPr>
      <w:rFonts w:ascii="Calibri" w:eastAsia="MS Mincho" w:hAnsi="Calibri"/>
      <w:b/>
      <w:bCs/>
      <w:color w:val="000000"/>
      <w:sz w:val="24"/>
      <w:lang w:val="en-US" w:eastAsia="en-AU"/>
    </w:rPr>
  </w:style>
  <w:style w:type="paragraph" w:customStyle="1" w:styleId="FigureText">
    <w:name w:val="FigureText"/>
    <w:basedOn w:val="Normal"/>
    <w:rsid w:val="0085632B"/>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85632B"/>
    <w:rPr>
      <w:color w:val="FFFFFF"/>
    </w:rPr>
  </w:style>
  <w:style w:type="paragraph" w:customStyle="1" w:styleId="BodyText1">
    <w:name w:val="Body Text1"/>
    <w:basedOn w:val="Normal"/>
    <w:uiPriority w:val="99"/>
    <w:rsid w:val="00A53009"/>
    <w:pPr>
      <w:widowControl w:val="0"/>
      <w:suppressAutoHyphens/>
      <w:autoSpaceDE w:val="0"/>
      <w:autoSpaceDN w:val="0"/>
      <w:adjustRightInd w:val="0"/>
      <w:spacing w:after="170" w:line="240" w:lineRule="atLeast"/>
      <w:textAlignment w:val="center"/>
    </w:pPr>
    <w:rPr>
      <w:rFonts w:ascii="DINOT-Light" w:eastAsiaTheme="minorEastAsia" w:hAnsi="DINOT-Light" w:cs="DINOT-Light"/>
      <w:lang w:val="en-GB"/>
    </w:rPr>
  </w:style>
  <w:style w:type="paragraph" w:customStyle="1" w:styleId="Heading3a">
    <w:name w:val="Heading 3a"/>
    <w:basedOn w:val="Heading3"/>
    <w:rsid w:val="00E35275"/>
    <w:pPr>
      <w:numPr>
        <w:ilvl w:val="0"/>
        <w:numId w:val="0"/>
      </w:numPr>
      <w:outlineLvl w:val="9"/>
    </w:pPr>
  </w:style>
  <w:style w:type="paragraph" w:customStyle="1" w:styleId="FindingsBullet">
    <w:name w:val="FindingsBullet"/>
    <w:basedOn w:val="Bullet"/>
    <w:rsid w:val="0047769E"/>
    <w:pPr>
      <w:numPr>
        <w:numId w:val="0"/>
      </w:numPr>
      <w:pBdr>
        <w:top w:val="single" w:sz="2" w:space="4" w:color="002561"/>
        <w:left w:val="single" w:sz="2" w:space="4" w:color="002561"/>
        <w:bottom w:val="single" w:sz="2" w:space="4" w:color="002561"/>
        <w:right w:val="single" w:sz="2" w:space="4" w:color="002561"/>
      </w:pBdr>
      <w:shd w:val="clear" w:color="002561" w:fill="C1D9FF"/>
      <w:tabs>
        <w:tab w:val="num" w:pos="360"/>
      </w:tabs>
      <w:ind w:left="360" w:hanging="360"/>
    </w:pPr>
  </w:style>
  <w:style w:type="paragraph" w:customStyle="1" w:styleId="FindingsHeading">
    <w:name w:val="FindingsHeading"/>
    <w:basedOn w:val="Heading2a"/>
    <w:rsid w:val="0047769E"/>
    <w:pPr>
      <w:pBdr>
        <w:top w:val="single" w:sz="2" w:space="4" w:color="002561"/>
        <w:left w:val="single" w:sz="2" w:space="4" w:color="002561"/>
        <w:bottom w:val="single" w:sz="2" w:space="4" w:color="002561"/>
        <w:right w:val="single" w:sz="2" w:space="4" w:color="002561"/>
      </w:pBdr>
      <w:shd w:val="clear" w:color="002561" w:fill="C1D9FF"/>
      <w:spacing w:before="240"/>
    </w:pPr>
    <w:rPr>
      <w:rFonts w:eastAsia="Calibri"/>
      <w:lang w:eastAsia="en-GB"/>
    </w:rPr>
  </w:style>
  <w:style w:type="paragraph" w:customStyle="1" w:styleId="FindingsSubheading">
    <w:name w:val="FindingsSubheading"/>
    <w:basedOn w:val="Heading3a"/>
    <w:rsid w:val="0047769E"/>
    <w:pPr>
      <w:pBdr>
        <w:top w:val="single" w:sz="2" w:space="4" w:color="002561"/>
        <w:left w:val="single" w:sz="2" w:space="4" w:color="002561"/>
        <w:bottom w:val="single" w:sz="2" w:space="4" w:color="002561"/>
        <w:right w:val="single" w:sz="2" w:space="4" w:color="002561"/>
      </w:pBdr>
      <w:shd w:val="clear" w:color="002561" w:fill="C1D9FF"/>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header" Target="header58.xml"/><Relationship Id="rId303" Type="http://schemas.openxmlformats.org/officeDocument/2006/relationships/header" Target="header60.xml"/><Relationship Id="rId21" Type="http://schemas.openxmlformats.org/officeDocument/2006/relationships/footer" Target="footer8.xml"/><Relationship Id="rId42" Type="http://schemas.openxmlformats.org/officeDocument/2006/relationships/chart" Target="charts/chart1.xml"/><Relationship Id="rId63" Type="http://schemas.openxmlformats.org/officeDocument/2006/relationships/footer" Target="footer32.xml"/><Relationship Id="rId84" Type="http://schemas.openxmlformats.org/officeDocument/2006/relationships/header" Target="header17.xml"/><Relationship Id="rId138" Type="http://schemas.openxmlformats.org/officeDocument/2006/relationships/footer" Target="footer68.xml"/><Relationship Id="rId159" Type="http://schemas.openxmlformats.org/officeDocument/2006/relationships/footer" Target="footer81.xml"/><Relationship Id="rId170" Type="http://schemas.openxmlformats.org/officeDocument/2006/relationships/footer" Target="footer86.xml"/><Relationship Id="rId191" Type="http://schemas.openxmlformats.org/officeDocument/2006/relationships/chart" Target="charts/chart50.xml"/><Relationship Id="rId205" Type="http://schemas.openxmlformats.org/officeDocument/2006/relationships/footer" Target="footer100.xml"/><Relationship Id="rId226" Type="http://schemas.openxmlformats.org/officeDocument/2006/relationships/header" Target="header43.xml"/><Relationship Id="rId247" Type="http://schemas.openxmlformats.org/officeDocument/2006/relationships/footer" Target="footer121.xml"/><Relationship Id="rId107" Type="http://schemas.openxmlformats.org/officeDocument/2006/relationships/footer" Target="footer51.xml"/><Relationship Id="rId268" Type="http://schemas.openxmlformats.org/officeDocument/2006/relationships/footer" Target="footer130.xml"/><Relationship Id="rId289" Type="http://schemas.openxmlformats.org/officeDocument/2006/relationships/hyperlink" Target="http://www.melbourneinstitute.com/hilda/" TargetMode="External"/><Relationship Id="rId11" Type="http://schemas.openxmlformats.org/officeDocument/2006/relationships/footer" Target="footer1.xml"/><Relationship Id="rId32" Type="http://schemas.openxmlformats.org/officeDocument/2006/relationships/footer" Target="footer16.xml"/><Relationship Id="rId53" Type="http://schemas.openxmlformats.org/officeDocument/2006/relationships/chart" Target="charts/chart4.xml"/><Relationship Id="rId74" Type="http://schemas.openxmlformats.org/officeDocument/2006/relationships/chart" Target="charts/chart11.xml"/><Relationship Id="rId128" Type="http://schemas.openxmlformats.org/officeDocument/2006/relationships/footer" Target="footer60.xml"/><Relationship Id="rId149" Type="http://schemas.openxmlformats.org/officeDocument/2006/relationships/chart" Target="charts/chart36.xml"/><Relationship Id="rId314" Type="http://schemas.openxmlformats.org/officeDocument/2006/relationships/hyperlink" Target="http://www.defence.gov.au/health/home/milhop.asp" TargetMode="External"/><Relationship Id="rId5" Type="http://schemas.openxmlformats.org/officeDocument/2006/relationships/footnotes" Target="footnotes.xml"/><Relationship Id="rId95" Type="http://schemas.openxmlformats.org/officeDocument/2006/relationships/header" Target="header18.xml"/><Relationship Id="rId160" Type="http://schemas.openxmlformats.org/officeDocument/2006/relationships/chart" Target="charts/chart39.xml"/><Relationship Id="rId181" Type="http://schemas.openxmlformats.org/officeDocument/2006/relationships/chart" Target="charts/chart46.xml"/><Relationship Id="rId216" Type="http://schemas.openxmlformats.org/officeDocument/2006/relationships/footer" Target="footer105.xml"/><Relationship Id="rId237" Type="http://schemas.openxmlformats.org/officeDocument/2006/relationships/footer" Target="footer115.xml"/><Relationship Id="rId258" Type="http://schemas.openxmlformats.org/officeDocument/2006/relationships/header" Target="header50.xml"/><Relationship Id="rId279" Type="http://schemas.openxmlformats.org/officeDocument/2006/relationships/footer" Target="footer136.xml"/><Relationship Id="rId22" Type="http://schemas.openxmlformats.org/officeDocument/2006/relationships/header" Target="header3.xml"/><Relationship Id="rId43" Type="http://schemas.openxmlformats.org/officeDocument/2006/relationships/footer" Target="footer22.xml"/><Relationship Id="rId64" Type="http://schemas.openxmlformats.org/officeDocument/2006/relationships/footer" Target="footer33.xml"/><Relationship Id="rId118" Type="http://schemas.openxmlformats.org/officeDocument/2006/relationships/footer" Target="footer56.xml"/><Relationship Id="rId139" Type="http://schemas.openxmlformats.org/officeDocument/2006/relationships/footer" Target="footer69.xml"/><Relationship Id="rId290" Type="http://schemas.openxmlformats.org/officeDocument/2006/relationships/hyperlink" Target="http://www.melbourneinstitute.com/hilda/" TargetMode="External"/><Relationship Id="rId304" Type="http://schemas.openxmlformats.org/officeDocument/2006/relationships/footer" Target="footer150.xml"/><Relationship Id="rId85" Type="http://schemas.openxmlformats.org/officeDocument/2006/relationships/footer" Target="footer43.xml"/><Relationship Id="rId150" Type="http://schemas.openxmlformats.org/officeDocument/2006/relationships/footer" Target="footer76.xml"/><Relationship Id="rId171" Type="http://schemas.openxmlformats.org/officeDocument/2006/relationships/footer" Target="footer87.xml"/><Relationship Id="rId192" Type="http://schemas.openxmlformats.org/officeDocument/2006/relationships/chart" Target="charts/chart51.xml"/><Relationship Id="rId206" Type="http://schemas.openxmlformats.org/officeDocument/2006/relationships/footer" Target="footer101.xml"/><Relationship Id="rId227" Type="http://schemas.openxmlformats.org/officeDocument/2006/relationships/footer" Target="footer110.xml"/><Relationship Id="rId248" Type="http://schemas.openxmlformats.org/officeDocument/2006/relationships/chart" Target="charts/chart69.xml"/><Relationship Id="rId269" Type="http://schemas.openxmlformats.org/officeDocument/2006/relationships/footer" Target="footer131.xml"/><Relationship Id="rId12" Type="http://schemas.openxmlformats.org/officeDocument/2006/relationships/footer" Target="footer2.xml"/><Relationship Id="rId33" Type="http://schemas.openxmlformats.org/officeDocument/2006/relationships/header" Target="header6.xml"/><Relationship Id="rId108" Type="http://schemas.openxmlformats.org/officeDocument/2006/relationships/footer" Target="footer52.xml"/><Relationship Id="rId129" Type="http://schemas.openxmlformats.org/officeDocument/2006/relationships/footer" Target="footer61.xml"/><Relationship Id="rId280" Type="http://schemas.openxmlformats.org/officeDocument/2006/relationships/footer" Target="footer137.xml"/><Relationship Id="rId315" Type="http://schemas.openxmlformats.org/officeDocument/2006/relationships/hyperlink" Target="https://www.dva.gov.au/sites/default/files/files/about%20dva/annual_report/2015-2016/annrep2015-16.pdf" TargetMode="External"/><Relationship Id="rId54" Type="http://schemas.openxmlformats.org/officeDocument/2006/relationships/chart" Target="charts/chart5.xml"/><Relationship Id="rId75" Type="http://schemas.openxmlformats.org/officeDocument/2006/relationships/footer" Target="footer38.xml"/><Relationship Id="rId96" Type="http://schemas.openxmlformats.org/officeDocument/2006/relationships/header" Target="header19.xml"/><Relationship Id="rId140" Type="http://schemas.openxmlformats.org/officeDocument/2006/relationships/footer" Target="footer70.xml"/><Relationship Id="rId161" Type="http://schemas.openxmlformats.org/officeDocument/2006/relationships/footer" Target="footer82.xml"/><Relationship Id="rId182" Type="http://schemas.openxmlformats.org/officeDocument/2006/relationships/chart" Target="charts/chart47.xml"/><Relationship Id="rId217" Type="http://schemas.openxmlformats.org/officeDocument/2006/relationships/header" Target="header40.xml"/><Relationship Id="rId6" Type="http://schemas.openxmlformats.org/officeDocument/2006/relationships/endnotes" Target="endnotes.xml"/><Relationship Id="rId238" Type="http://schemas.openxmlformats.org/officeDocument/2006/relationships/chart" Target="charts/chart67.xml"/><Relationship Id="rId259" Type="http://schemas.openxmlformats.org/officeDocument/2006/relationships/header" Target="header51.xml"/><Relationship Id="rId23" Type="http://schemas.openxmlformats.org/officeDocument/2006/relationships/footer" Target="footer9.xml"/><Relationship Id="rId119" Type="http://schemas.openxmlformats.org/officeDocument/2006/relationships/chart" Target="charts/chart29.xml"/><Relationship Id="rId270" Type="http://schemas.openxmlformats.org/officeDocument/2006/relationships/chart" Target="charts/chart75.xml"/><Relationship Id="rId291" Type="http://schemas.openxmlformats.org/officeDocument/2006/relationships/hyperlink" Target="http://www.melbourneinstitute.com/hilda/" TargetMode="External"/><Relationship Id="rId305" Type="http://schemas.openxmlformats.org/officeDocument/2006/relationships/footer" Target="footer151.xml"/><Relationship Id="rId44" Type="http://schemas.openxmlformats.org/officeDocument/2006/relationships/footer" Target="footer23.xml"/><Relationship Id="rId65" Type="http://schemas.openxmlformats.org/officeDocument/2006/relationships/chart" Target="charts/chart8.xml"/><Relationship Id="rId86" Type="http://schemas.openxmlformats.org/officeDocument/2006/relationships/footer" Target="footer44.xml"/><Relationship Id="rId130" Type="http://schemas.openxmlformats.org/officeDocument/2006/relationships/footer" Target="footer62.xml"/><Relationship Id="rId151" Type="http://schemas.openxmlformats.org/officeDocument/2006/relationships/footer" Target="footer77.xml"/><Relationship Id="rId172" Type="http://schemas.openxmlformats.org/officeDocument/2006/relationships/chart" Target="charts/chart43.xml"/><Relationship Id="rId193" Type="http://schemas.openxmlformats.org/officeDocument/2006/relationships/chart" Target="charts/chart52.xml"/><Relationship Id="rId207" Type="http://schemas.openxmlformats.org/officeDocument/2006/relationships/header" Target="header38.xml"/><Relationship Id="rId228" Type="http://schemas.openxmlformats.org/officeDocument/2006/relationships/footer" Target="footer111.xml"/><Relationship Id="rId249" Type="http://schemas.openxmlformats.org/officeDocument/2006/relationships/header" Target="header48.xml"/><Relationship Id="rId13" Type="http://schemas.openxmlformats.org/officeDocument/2006/relationships/footer" Target="footer3.xml"/><Relationship Id="rId109" Type="http://schemas.openxmlformats.org/officeDocument/2006/relationships/chart" Target="charts/chart25.xml"/><Relationship Id="rId260" Type="http://schemas.openxmlformats.org/officeDocument/2006/relationships/footer" Target="footer126.xml"/><Relationship Id="rId281" Type="http://schemas.openxmlformats.org/officeDocument/2006/relationships/chart" Target="charts/chart78.xml"/><Relationship Id="rId316" Type="http://schemas.openxmlformats.org/officeDocument/2006/relationships/hyperlink" Target="https://www.dva.gov.au/providers/dva-health-cards" TargetMode="External"/><Relationship Id="rId34" Type="http://schemas.openxmlformats.org/officeDocument/2006/relationships/footer" Target="footer17.xml"/><Relationship Id="rId55" Type="http://schemas.openxmlformats.org/officeDocument/2006/relationships/chart" Target="charts/chart6.xml"/><Relationship Id="rId76" Type="http://schemas.openxmlformats.org/officeDocument/2006/relationships/footer" Target="footer39.xml"/><Relationship Id="rId97" Type="http://schemas.openxmlformats.org/officeDocument/2006/relationships/footer" Target="footer47.xml"/><Relationship Id="rId120" Type="http://schemas.openxmlformats.org/officeDocument/2006/relationships/footer" Target="footer57.xml"/><Relationship Id="rId141" Type="http://schemas.openxmlformats.org/officeDocument/2006/relationships/footer" Target="footer71.xml"/><Relationship Id="rId7" Type="http://schemas.openxmlformats.org/officeDocument/2006/relationships/hyperlink" Target="https://creativecommons.org/licenses/by/3.0/au/legalcode" TargetMode="External"/><Relationship Id="rId162" Type="http://schemas.openxmlformats.org/officeDocument/2006/relationships/footer" Target="footer83.xml"/><Relationship Id="rId183" Type="http://schemas.openxmlformats.org/officeDocument/2006/relationships/footer" Target="footer92.xml"/><Relationship Id="rId218" Type="http://schemas.openxmlformats.org/officeDocument/2006/relationships/header" Target="header41.xml"/><Relationship Id="rId239" Type="http://schemas.openxmlformats.org/officeDocument/2006/relationships/footer" Target="footer116.xml"/><Relationship Id="rId250" Type="http://schemas.openxmlformats.org/officeDocument/2006/relationships/header" Target="header49.xml"/><Relationship Id="rId271" Type="http://schemas.openxmlformats.org/officeDocument/2006/relationships/chart" Target="charts/chart76.xml"/><Relationship Id="rId292" Type="http://schemas.openxmlformats.org/officeDocument/2006/relationships/hyperlink" Target="http://www.melbourneinstitute.com/hilda/" TargetMode="External"/><Relationship Id="rId306" Type="http://schemas.openxmlformats.org/officeDocument/2006/relationships/hyperlink" Target="https://aifs.gov.au/our-work" TargetMode="External"/><Relationship Id="rId24" Type="http://schemas.openxmlformats.org/officeDocument/2006/relationships/footer" Target="footer10.xml"/><Relationship Id="rId45" Type="http://schemas.openxmlformats.org/officeDocument/2006/relationships/chart" Target="charts/chart2.xml"/><Relationship Id="rId66" Type="http://schemas.openxmlformats.org/officeDocument/2006/relationships/header" Target="header14.xml"/><Relationship Id="rId87" Type="http://schemas.openxmlformats.org/officeDocument/2006/relationships/chart" Target="charts/chart15.xml"/><Relationship Id="rId110" Type="http://schemas.openxmlformats.org/officeDocument/2006/relationships/chart" Target="charts/chart26.xml"/><Relationship Id="rId131" Type="http://schemas.openxmlformats.org/officeDocument/2006/relationships/footer" Target="footer63.xml"/><Relationship Id="rId152" Type="http://schemas.openxmlformats.org/officeDocument/2006/relationships/chart" Target="charts/chart37.xml"/><Relationship Id="rId173" Type="http://schemas.openxmlformats.org/officeDocument/2006/relationships/chart" Target="charts/chart44.xml"/><Relationship Id="rId194" Type="http://schemas.openxmlformats.org/officeDocument/2006/relationships/chart" Target="charts/chart53.xml"/><Relationship Id="rId208" Type="http://schemas.openxmlformats.org/officeDocument/2006/relationships/header" Target="header39.xml"/><Relationship Id="rId229" Type="http://schemas.openxmlformats.org/officeDocument/2006/relationships/chart" Target="charts/chart64.xml"/><Relationship Id="rId19" Type="http://schemas.openxmlformats.org/officeDocument/2006/relationships/header" Target="header2.xml"/><Relationship Id="rId224" Type="http://schemas.openxmlformats.org/officeDocument/2006/relationships/footer" Target="footer109.xml"/><Relationship Id="rId240" Type="http://schemas.openxmlformats.org/officeDocument/2006/relationships/footer" Target="footer117.xml"/><Relationship Id="rId245" Type="http://schemas.openxmlformats.org/officeDocument/2006/relationships/footer" Target="footer119.xml"/><Relationship Id="rId261" Type="http://schemas.openxmlformats.org/officeDocument/2006/relationships/footer" Target="footer127.xml"/><Relationship Id="rId266" Type="http://schemas.openxmlformats.org/officeDocument/2006/relationships/header" Target="header52.xml"/><Relationship Id="rId287" Type="http://schemas.openxmlformats.org/officeDocument/2006/relationships/footer" Target="footer142.xml"/><Relationship Id="rId14" Type="http://schemas.openxmlformats.org/officeDocument/2006/relationships/footer" Target="footer4.xml"/><Relationship Id="rId30" Type="http://schemas.openxmlformats.org/officeDocument/2006/relationships/header" Target="header5.xml"/><Relationship Id="rId35" Type="http://schemas.openxmlformats.org/officeDocument/2006/relationships/header" Target="header7.xml"/><Relationship Id="rId56" Type="http://schemas.openxmlformats.org/officeDocument/2006/relationships/footer" Target="footer28.xml"/><Relationship Id="rId77" Type="http://schemas.openxmlformats.org/officeDocument/2006/relationships/chart" Target="charts/chart12.xml"/><Relationship Id="rId100" Type="http://schemas.openxmlformats.org/officeDocument/2006/relationships/chart" Target="charts/chart22.xml"/><Relationship Id="rId105" Type="http://schemas.openxmlformats.org/officeDocument/2006/relationships/header" Target="header20.xml"/><Relationship Id="rId126" Type="http://schemas.openxmlformats.org/officeDocument/2006/relationships/chart" Target="charts/chart31.xml"/><Relationship Id="rId147" Type="http://schemas.openxmlformats.org/officeDocument/2006/relationships/footer" Target="footer74.xml"/><Relationship Id="rId168" Type="http://schemas.openxmlformats.org/officeDocument/2006/relationships/chart" Target="charts/chart41.xml"/><Relationship Id="rId282" Type="http://schemas.openxmlformats.org/officeDocument/2006/relationships/footer" Target="footer138.xml"/><Relationship Id="rId312" Type="http://schemas.openxmlformats.org/officeDocument/2006/relationships/hyperlink" Target="https://www.dva.gov.au/health-and-wellbeing/mental-health/national-mental-health-commission-review" TargetMode="External"/><Relationship Id="rId317" Type="http://schemas.openxmlformats.org/officeDocument/2006/relationships/hyperlink" Target="https://www.dva.gov.au/sites/default/files/files/consultation%20and%20grants/healthstudies/Dunt%20Suicide%20Study%20Jan%202009.pdf" TargetMode="External"/><Relationship Id="rId8" Type="http://schemas.openxmlformats.org/officeDocument/2006/relationships/hyperlink" Target="mailto:publications@dva.gov.au" TargetMode="External"/><Relationship Id="rId51" Type="http://schemas.openxmlformats.org/officeDocument/2006/relationships/footer" Target="footer26.xml"/><Relationship Id="rId72" Type="http://schemas.openxmlformats.org/officeDocument/2006/relationships/footer" Target="footer36.xml"/><Relationship Id="rId93" Type="http://schemas.openxmlformats.org/officeDocument/2006/relationships/footer" Target="footer45.xml"/><Relationship Id="rId98" Type="http://schemas.openxmlformats.org/officeDocument/2006/relationships/footer" Target="footer48.xml"/><Relationship Id="rId121" Type="http://schemas.openxmlformats.org/officeDocument/2006/relationships/header" Target="header24.xml"/><Relationship Id="rId142" Type="http://schemas.openxmlformats.org/officeDocument/2006/relationships/chart" Target="charts/chart35.xml"/><Relationship Id="rId163" Type="http://schemas.openxmlformats.org/officeDocument/2006/relationships/header" Target="header30.xml"/><Relationship Id="rId184" Type="http://schemas.openxmlformats.org/officeDocument/2006/relationships/footer" Target="footer93.xml"/><Relationship Id="rId189" Type="http://schemas.openxmlformats.org/officeDocument/2006/relationships/chart" Target="charts/chart48.xml"/><Relationship Id="rId219" Type="http://schemas.openxmlformats.org/officeDocument/2006/relationships/footer" Target="footer106.xml"/><Relationship Id="rId3" Type="http://schemas.openxmlformats.org/officeDocument/2006/relationships/settings" Target="settings.xml"/><Relationship Id="rId214" Type="http://schemas.openxmlformats.org/officeDocument/2006/relationships/chart" Target="charts/chart61.xml"/><Relationship Id="rId230" Type="http://schemas.openxmlformats.org/officeDocument/2006/relationships/chart" Target="charts/chart65.xml"/><Relationship Id="rId235" Type="http://schemas.openxmlformats.org/officeDocument/2006/relationships/header" Target="header45.xml"/><Relationship Id="rId251" Type="http://schemas.openxmlformats.org/officeDocument/2006/relationships/footer" Target="footer122.xml"/><Relationship Id="rId256" Type="http://schemas.openxmlformats.org/officeDocument/2006/relationships/footer" Target="footer125.xml"/><Relationship Id="rId277" Type="http://schemas.openxmlformats.org/officeDocument/2006/relationships/footer" Target="footer134.xml"/><Relationship Id="rId298" Type="http://schemas.openxmlformats.org/officeDocument/2006/relationships/header" Target="header57.xml"/><Relationship Id="rId25" Type="http://schemas.openxmlformats.org/officeDocument/2006/relationships/header" Target="header4.xml"/><Relationship Id="rId46" Type="http://schemas.openxmlformats.org/officeDocument/2006/relationships/footer" Target="footer24.xml"/><Relationship Id="rId67" Type="http://schemas.openxmlformats.org/officeDocument/2006/relationships/header" Target="header15.xml"/><Relationship Id="rId116" Type="http://schemas.openxmlformats.org/officeDocument/2006/relationships/header" Target="header23.xml"/><Relationship Id="rId137" Type="http://schemas.openxmlformats.org/officeDocument/2006/relationships/chart" Target="charts/chart34.xml"/><Relationship Id="rId158" Type="http://schemas.openxmlformats.org/officeDocument/2006/relationships/footer" Target="footer80.xml"/><Relationship Id="rId272" Type="http://schemas.openxmlformats.org/officeDocument/2006/relationships/footer" Target="footer132.xml"/><Relationship Id="rId293" Type="http://schemas.openxmlformats.org/officeDocument/2006/relationships/hyperlink" Target="http://www.melbourneinstitute.com/hilda/" TargetMode="External"/><Relationship Id="rId302" Type="http://schemas.openxmlformats.org/officeDocument/2006/relationships/header" Target="header59.xml"/><Relationship Id="rId307" Type="http://schemas.openxmlformats.org/officeDocument/2006/relationships/hyperlink" Target="http://www.ausstats.abs.gov.au/Ausstats/subscriber.nsf/0/5703A93771AE2E4ECA2576E70016C8D3/$File/41020_%20healthandseifa.pdf" TargetMode="External"/><Relationship Id="rId323"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21.xml"/><Relationship Id="rId62" Type="http://schemas.openxmlformats.org/officeDocument/2006/relationships/footer" Target="footer31.xml"/><Relationship Id="rId83" Type="http://schemas.openxmlformats.org/officeDocument/2006/relationships/header" Target="header16.xml"/><Relationship Id="rId88" Type="http://schemas.openxmlformats.org/officeDocument/2006/relationships/chart" Target="charts/chart16.xml"/><Relationship Id="rId111" Type="http://schemas.openxmlformats.org/officeDocument/2006/relationships/chart" Target="charts/chart27.xml"/><Relationship Id="rId132" Type="http://schemas.openxmlformats.org/officeDocument/2006/relationships/footer" Target="footer64.xml"/><Relationship Id="rId153" Type="http://schemas.openxmlformats.org/officeDocument/2006/relationships/chart" Target="charts/chart38.xml"/><Relationship Id="rId174" Type="http://schemas.openxmlformats.org/officeDocument/2006/relationships/footer" Target="footer88.xml"/><Relationship Id="rId179" Type="http://schemas.openxmlformats.org/officeDocument/2006/relationships/footer" Target="footer91.xml"/><Relationship Id="rId195" Type="http://schemas.openxmlformats.org/officeDocument/2006/relationships/chart" Target="charts/chart54.xml"/><Relationship Id="rId209" Type="http://schemas.openxmlformats.org/officeDocument/2006/relationships/footer" Target="footer102.xml"/><Relationship Id="rId190" Type="http://schemas.openxmlformats.org/officeDocument/2006/relationships/chart" Target="charts/chart49.xml"/><Relationship Id="rId204" Type="http://schemas.openxmlformats.org/officeDocument/2006/relationships/chart" Target="charts/chart57.xml"/><Relationship Id="rId220" Type="http://schemas.openxmlformats.org/officeDocument/2006/relationships/footer" Target="footer107.xml"/><Relationship Id="rId225" Type="http://schemas.openxmlformats.org/officeDocument/2006/relationships/header" Target="header42.xml"/><Relationship Id="rId241" Type="http://schemas.openxmlformats.org/officeDocument/2006/relationships/chart" Target="charts/chart68.xml"/><Relationship Id="rId246" Type="http://schemas.openxmlformats.org/officeDocument/2006/relationships/footer" Target="footer120.xml"/><Relationship Id="rId267" Type="http://schemas.openxmlformats.org/officeDocument/2006/relationships/header" Target="header53.xml"/><Relationship Id="rId288" Type="http://schemas.openxmlformats.org/officeDocument/2006/relationships/footer" Target="footer143.xml"/><Relationship Id="rId15" Type="http://schemas.openxmlformats.org/officeDocument/2006/relationships/image" Target="media/image1.jpeg"/><Relationship Id="rId36" Type="http://schemas.openxmlformats.org/officeDocument/2006/relationships/header" Target="header8.xml"/><Relationship Id="rId57" Type="http://schemas.openxmlformats.org/officeDocument/2006/relationships/footer" Target="footer29.xml"/><Relationship Id="rId106" Type="http://schemas.openxmlformats.org/officeDocument/2006/relationships/header" Target="header21.xml"/><Relationship Id="rId127" Type="http://schemas.openxmlformats.org/officeDocument/2006/relationships/chart" Target="charts/chart32.xml"/><Relationship Id="rId262" Type="http://schemas.openxmlformats.org/officeDocument/2006/relationships/chart" Target="charts/chart73.xml"/><Relationship Id="rId283" Type="http://schemas.openxmlformats.org/officeDocument/2006/relationships/footer" Target="footer139.xml"/><Relationship Id="rId313" Type="http://schemas.openxmlformats.org/officeDocument/2006/relationships/hyperlink" Target="https://www.dva.gov.au/sites/default/files/files/health%20and%20wellbeing/mental/govtresponse.pdf" TargetMode="External"/><Relationship Id="rId318" Type="http://schemas.openxmlformats.org/officeDocument/2006/relationships/hyperlink" Target="http://www.ipaq.ki.se/" TargetMode="External"/><Relationship Id="rId10" Type="http://schemas.openxmlformats.org/officeDocument/2006/relationships/hyperlink" Target="http://www.dva.gov.au/mental-health-prevalence-report" TargetMode="External"/><Relationship Id="rId31" Type="http://schemas.openxmlformats.org/officeDocument/2006/relationships/footer" Target="footer15.xml"/><Relationship Id="rId52" Type="http://schemas.openxmlformats.org/officeDocument/2006/relationships/footer" Target="footer27.xml"/><Relationship Id="rId73" Type="http://schemas.openxmlformats.org/officeDocument/2006/relationships/footer" Target="footer37.xml"/><Relationship Id="rId78" Type="http://schemas.openxmlformats.org/officeDocument/2006/relationships/footer" Target="footer40.xml"/><Relationship Id="rId94" Type="http://schemas.openxmlformats.org/officeDocument/2006/relationships/footer" Target="footer46.xml"/><Relationship Id="rId99" Type="http://schemas.openxmlformats.org/officeDocument/2006/relationships/chart" Target="charts/chart21.xml"/><Relationship Id="rId101" Type="http://schemas.openxmlformats.org/officeDocument/2006/relationships/chart" Target="charts/chart23.xml"/><Relationship Id="rId122" Type="http://schemas.openxmlformats.org/officeDocument/2006/relationships/header" Target="header25.xml"/><Relationship Id="rId143" Type="http://schemas.openxmlformats.org/officeDocument/2006/relationships/footer" Target="footer72.xml"/><Relationship Id="rId148" Type="http://schemas.openxmlformats.org/officeDocument/2006/relationships/footer" Target="footer75.xml"/><Relationship Id="rId164" Type="http://schemas.openxmlformats.org/officeDocument/2006/relationships/header" Target="header31.xml"/><Relationship Id="rId169" Type="http://schemas.openxmlformats.org/officeDocument/2006/relationships/chart" Target="charts/chart42.xml"/><Relationship Id="rId185"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yperlink" Target="http://www.defence.gov.au/Health/DMH/ResearchSurveillancePlan.asp" TargetMode="External"/><Relationship Id="rId180" Type="http://schemas.openxmlformats.org/officeDocument/2006/relationships/chart" Target="charts/chart45.xml"/><Relationship Id="rId210" Type="http://schemas.openxmlformats.org/officeDocument/2006/relationships/footer" Target="footer103.xml"/><Relationship Id="rId215" Type="http://schemas.openxmlformats.org/officeDocument/2006/relationships/footer" Target="footer104.xml"/><Relationship Id="rId236" Type="http://schemas.openxmlformats.org/officeDocument/2006/relationships/footer" Target="footer114.xml"/><Relationship Id="rId257" Type="http://schemas.openxmlformats.org/officeDocument/2006/relationships/chart" Target="charts/chart72.xml"/><Relationship Id="rId278" Type="http://schemas.openxmlformats.org/officeDocument/2006/relationships/footer" Target="footer135.xml"/><Relationship Id="rId26" Type="http://schemas.openxmlformats.org/officeDocument/2006/relationships/footer" Target="footer11.xml"/><Relationship Id="rId231" Type="http://schemas.openxmlformats.org/officeDocument/2006/relationships/chart" Target="charts/chart66.xml"/><Relationship Id="rId252" Type="http://schemas.openxmlformats.org/officeDocument/2006/relationships/footer" Target="footer123.xml"/><Relationship Id="rId273" Type="http://schemas.openxmlformats.org/officeDocument/2006/relationships/footer" Target="footer133.xml"/><Relationship Id="rId294" Type="http://schemas.openxmlformats.org/officeDocument/2006/relationships/footer" Target="footer144.xml"/><Relationship Id="rId308" Type="http://schemas.openxmlformats.org/officeDocument/2006/relationships/hyperlink" Target="http://www.aihw.gov.au/WorkArea/DownloadAsset.aspx?id=60129548125" TargetMode="External"/><Relationship Id="rId47" Type="http://schemas.openxmlformats.org/officeDocument/2006/relationships/footer" Target="footer25.xml"/><Relationship Id="rId68" Type="http://schemas.openxmlformats.org/officeDocument/2006/relationships/footer" Target="footer34.xml"/><Relationship Id="rId89" Type="http://schemas.openxmlformats.org/officeDocument/2006/relationships/chart" Target="charts/chart17.xml"/><Relationship Id="rId112" Type="http://schemas.openxmlformats.org/officeDocument/2006/relationships/chart" Target="charts/chart28.xml"/><Relationship Id="rId133" Type="http://schemas.openxmlformats.org/officeDocument/2006/relationships/footer" Target="footer65.xml"/><Relationship Id="rId154" Type="http://schemas.openxmlformats.org/officeDocument/2006/relationships/footer" Target="footer78.xml"/><Relationship Id="rId175" Type="http://schemas.openxmlformats.org/officeDocument/2006/relationships/footer" Target="footer89.xml"/><Relationship Id="rId196" Type="http://schemas.openxmlformats.org/officeDocument/2006/relationships/footer" Target="footer96.xml"/><Relationship Id="rId200" Type="http://schemas.openxmlformats.org/officeDocument/2006/relationships/footer" Target="footer98.xml"/><Relationship Id="rId16" Type="http://schemas.openxmlformats.org/officeDocument/2006/relationships/footer" Target="footer5.xml"/><Relationship Id="rId221" Type="http://schemas.openxmlformats.org/officeDocument/2006/relationships/chart" Target="charts/chart62.xml"/><Relationship Id="rId242" Type="http://schemas.openxmlformats.org/officeDocument/2006/relationships/header" Target="header46.xml"/><Relationship Id="rId263" Type="http://schemas.openxmlformats.org/officeDocument/2006/relationships/chart" Target="charts/chart74.xml"/><Relationship Id="rId284" Type="http://schemas.openxmlformats.org/officeDocument/2006/relationships/footer" Target="footer140.xml"/><Relationship Id="rId319" Type="http://schemas.openxmlformats.org/officeDocument/2006/relationships/hyperlink" Target="https://www.dva.gov.au/health-and-wellbeing/mental-health/national-mental-health-commission-review" TargetMode="External"/><Relationship Id="rId37" Type="http://schemas.openxmlformats.org/officeDocument/2006/relationships/footer" Target="footer18.xml"/><Relationship Id="rId58" Type="http://schemas.openxmlformats.org/officeDocument/2006/relationships/chart" Target="charts/chart7.xml"/><Relationship Id="rId79" Type="http://schemas.openxmlformats.org/officeDocument/2006/relationships/chart" Target="charts/chart13.xml"/><Relationship Id="rId102" Type="http://schemas.openxmlformats.org/officeDocument/2006/relationships/chart" Target="charts/chart24.xml"/><Relationship Id="rId123" Type="http://schemas.openxmlformats.org/officeDocument/2006/relationships/footer" Target="footer58.xml"/><Relationship Id="rId144" Type="http://schemas.openxmlformats.org/officeDocument/2006/relationships/footer" Target="footer73.xml"/><Relationship Id="rId90" Type="http://schemas.openxmlformats.org/officeDocument/2006/relationships/chart" Target="charts/chart18.xml"/><Relationship Id="rId165" Type="http://schemas.openxmlformats.org/officeDocument/2006/relationships/footer" Target="footer84.xml"/><Relationship Id="rId186" Type="http://schemas.openxmlformats.org/officeDocument/2006/relationships/header" Target="header35.xml"/><Relationship Id="rId211" Type="http://schemas.openxmlformats.org/officeDocument/2006/relationships/chart" Target="charts/chart58.xml"/><Relationship Id="rId232" Type="http://schemas.openxmlformats.org/officeDocument/2006/relationships/footer" Target="footer112.xml"/><Relationship Id="rId253" Type="http://schemas.openxmlformats.org/officeDocument/2006/relationships/chart" Target="charts/chart70.xml"/><Relationship Id="rId274" Type="http://schemas.openxmlformats.org/officeDocument/2006/relationships/chart" Target="charts/chart77.xml"/><Relationship Id="rId295" Type="http://schemas.openxmlformats.org/officeDocument/2006/relationships/footer" Target="footer145.xml"/><Relationship Id="rId309" Type="http://schemas.openxmlformats.org/officeDocument/2006/relationships/hyperlink" Target="http://www.aihw.gov.au/publication-detail/?id=60129557674" TargetMode="External"/><Relationship Id="rId27" Type="http://schemas.openxmlformats.org/officeDocument/2006/relationships/footer" Target="footer12.xml"/><Relationship Id="rId48" Type="http://schemas.openxmlformats.org/officeDocument/2006/relationships/chart" Target="charts/chart3.xml"/><Relationship Id="rId69" Type="http://schemas.openxmlformats.org/officeDocument/2006/relationships/footer" Target="footer35.xml"/><Relationship Id="rId113" Type="http://schemas.openxmlformats.org/officeDocument/2006/relationships/footer" Target="footer53.xml"/><Relationship Id="rId134" Type="http://schemas.openxmlformats.org/officeDocument/2006/relationships/footer" Target="footer66.xml"/><Relationship Id="rId320" Type="http://schemas.openxmlformats.org/officeDocument/2006/relationships/hyperlink" Target="http://www.coeh.monash.org/gwfollowup.html" TargetMode="External"/><Relationship Id="rId80" Type="http://schemas.openxmlformats.org/officeDocument/2006/relationships/chart" Target="charts/chart14.xml"/><Relationship Id="rId155" Type="http://schemas.openxmlformats.org/officeDocument/2006/relationships/footer" Target="footer79.xml"/><Relationship Id="rId176" Type="http://schemas.openxmlformats.org/officeDocument/2006/relationships/header" Target="header32.xml"/><Relationship Id="rId197" Type="http://schemas.openxmlformats.org/officeDocument/2006/relationships/footer" Target="footer97.xml"/><Relationship Id="rId201" Type="http://schemas.openxmlformats.org/officeDocument/2006/relationships/footer" Target="footer99.xml"/><Relationship Id="rId222" Type="http://schemas.openxmlformats.org/officeDocument/2006/relationships/chart" Target="charts/chart63.xml"/><Relationship Id="rId243" Type="http://schemas.openxmlformats.org/officeDocument/2006/relationships/header" Target="header47.xml"/><Relationship Id="rId264" Type="http://schemas.openxmlformats.org/officeDocument/2006/relationships/footer" Target="footer128.xml"/><Relationship Id="rId285" Type="http://schemas.openxmlformats.org/officeDocument/2006/relationships/footer" Target="footer141.xml"/><Relationship Id="rId17" Type="http://schemas.openxmlformats.org/officeDocument/2006/relationships/footer" Target="footer6.xml"/><Relationship Id="rId38" Type="http://schemas.openxmlformats.org/officeDocument/2006/relationships/footer" Target="footer19.xml"/><Relationship Id="rId59" Type="http://schemas.openxmlformats.org/officeDocument/2006/relationships/header" Target="header12.xml"/><Relationship Id="rId103" Type="http://schemas.openxmlformats.org/officeDocument/2006/relationships/footer" Target="footer49.xml"/><Relationship Id="rId124" Type="http://schemas.openxmlformats.org/officeDocument/2006/relationships/footer" Target="footer59.xml"/><Relationship Id="rId310" Type="http://schemas.openxmlformats.org/officeDocument/2006/relationships/hyperlink" Target="http://www.aihw.gov.au/WorkArea/DownloadAsset.aspx?id=60129559899" TargetMode="External"/><Relationship Id="rId70" Type="http://schemas.openxmlformats.org/officeDocument/2006/relationships/chart" Target="charts/chart9.xml"/><Relationship Id="rId91" Type="http://schemas.openxmlformats.org/officeDocument/2006/relationships/chart" Target="charts/chart19.xml"/><Relationship Id="rId145" Type="http://schemas.openxmlformats.org/officeDocument/2006/relationships/header" Target="header26.xml"/><Relationship Id="rId166" Type="http://schemas.openxmlformats.org/officeDocument/2006/relationships/footer" Target="footer85.xml"/><Relationship Id="rId187" Type="http://schemas.openxmlformats.org/officeDocument/2006/relationships/footer" Target="footer94.xml"/><Relationship Id="rId1" Type="http://schemas.openxmlformats.org/officeDocument/2006/relationships/numbering" Target="numbering.xml"/><Relationship Id="rId212" Type="http://schemas.openxmlformats.org/officeDocument/2006/relationships/chart" Target="charts/chart59.xml"/><Relationship Id="rId233" Type="http://schemas.openxmlformats.org/officeDocument/2006/relationships/footer" Target="footer113.xml"/><Relationship Id="rId254" Type="http://schemas.openxmlformats.org/officeDocument/2006/relationships/chart" Target="charts/chart71.xml"/><Relationship Id="rId28" Type="http://schemas.openxmlformats.org/officeDocument/2006/relationships/footer" Target="footer13.xml"/><Relationship Id="rId49" Type="http://schemas.openxmlformats.org/officeDocument/2006/relationships/header" Target="header10.xml"/><Relationship Id="rId114" Type="http://schemas.openxmlformats.org/officeDocument/2006/relationships/footer" Target="footer54.xml"/><Relationship Id="rId275" Type="http://schemas.openxmlformats.org/officeDocument/2006/relationships/header" Target="header54.xml"/><Relationship Id="rId296" Type="http://schemas.openxmlformats.org/officeDocument/2006/relationships/footer" Target="footer146.xml"/><Relationship Id="rId300" Type="http://schemas.openxmlformats.org/officeDocument/2006/relationships/footer" Target="footer148.xml"/><Relationship Id="rId60" Type="http://schemas.openxmlformats.org/officeDocument/2006/relationships/header" Target="header13.xml"/><Relationship Id="rId81" Type="http://schemas.openxmlformats.org/officeDocument/2006/relationships/footer" Target="footer41.xml"/><Relationship Id="rId135" Type="http://schemas.openxmlformats.org/officeDocument/2006/relationships/footer" Target="footer67.xml"/><Relationship Id="rId156" Type="http://schemas.openxmlformats.org/officeDocument/2006/relationships/header" Target="header28.xml"/><Relationship Id="rId177" Type="http://schemas.openxmlformats.org/officeDocument/2006/relationships/header" Target="header33.xml"/><Relationship Id="rId198" Type="http://schemas.openxmlformats.org/officeDocument/2006/relationships/header" Target="header36.xml"/><Relationship Id="rId321" Type="http://schemas.openxmlformats.org/officeDocument/2006/relationships/hyperlink" Target="http://www.youngandwellcrc.org.au/" TargetMode="External"/><Relationship Id="rId202" Type="http://schemas.openxmlformats.org/officeDocument/2006/relationships/chart" Target="charts/chart55.xml"/><Relationship Id="rId223" Type="http://schemas.openxmlformats.org/officeDocument/2006/relationships/footer" Target="footer108.xml"/><Relationship Id="rId244" Type="http://schemas.openxmlformats.org/officeDocument/2006/relationships/footer" Target="footer118.xml"/><Relationship Id="rId18" Type="http://schemas.openxmlformats.org/officeDocument/2006/relationships/header" Target="header1.xml"/><Relationship Id="rId39" Type="http://schemas.openxmlformats.org/officeDocument/2006/relationships/header" Target="header9.xml"/><Relationship Id="rId265" Type="http://schemas.openxmlformats.org/officeDocument/2006/relationships/footer" Target="footer129.xml"/><Relationship Id="rId286" Type="http://schemas.openxmlformats.org/officeDocument/2006/relationships/header" Target="header56.xml"/><Relationship Id="rId50" Type="http://schemas.openxmlformats.org/officeDocument/2006/relationships/header" Target="header11.xml"/><Relationship Id="rId104" Type="http://schemas.openxmlformats.org/officeDocument/2006/relationships/footer" Target="footer50.xml"/><Relationship Id="rId125" Type="http://schemas.openxmlformats.org/officeDocument/2006/relationships/chart" Target="charts/chart30.xml"/><Relationship Id="rId146" Type="http://schemas.openxmlformats.org/officeDocument/2006/relationships/header" Target="header27.xml"/><Relationship Id="rId167" Type="http://schemas.openxmlformats.org/officeDocument/2006/relationships/chart" Target="charts/chart40.xml"/><Relationship Id="rId188" Type="http://schemas.openxmlformats.org/officeDocument/2006/relationships/footer" Target="footer95.xml"/><Relationship Id="rId311" Type="http://schemas.openxmlformats.org/officeDocument/2006/relationships/hyperlink" Target="http://www.aihw.gov.au/alcohol-and-other-drugs/data-sources/ndshs-2016/key-findings/" TargetMode="External"/><Relationship Id="rId71" Type="http://schemas.openxmlformats.org/officeDocument/2006/relationships/chart" Target="charts/chart10.xml"/><Relationship Id="rId92" Type="http://schemas.openxmlformats.org/officeDocument/2006/relationships/chart" Target="charts/chart20.xml"/><Relationship Id="rId213" Type="http://schemas.openxmlformats.org/officeDocument/2006/relationships/chart" Target="charts/chart60.xml"/><Relationship Id="rId234" Type="http://schemas.openxmlformats.org/officeDocument/2006/relationships/header" Target="header44.xml"/><Relationship Id="rId2" Type="http://schemas.openxmlformats.org/officeDocument/2006/relationships/styles" Target="styles.xml"/><Relationship Id="rId29" Type="http://schemas.openxmlformats.org/officeDocument/2006/relationships/footer" Target="footer14.xml"/><Relationship Id="rId255" Type="http://schemas.openxmlformats.org/officeDocument/2006/relationships/footer" Target="footer124.xml"/><Relationship Id="rId276" Type="http://schemas.openxmlformats.org/officeDocument/2006/relationships/header" Target="header55.xml"/><Relationship Id="rId297" Type="http://schemas.openxmlformats.org/officeDocument/2006/relationships/footer" Target="footer147.xml"/><Relationship Id="rId40" Type="http://schemas.openxmlformats.org/officeDocument/2006/relationships/footer" Target="footer20.xml"/><Relationship Id="rId115" Type="http://schemas.openxmlformats.org/officeDocument/2006/relationships/header" Target="header22.xml"/><Relationship Id="rId136" Type="http://schemas.openxmlformats.org/officeDocument/2006/relationships/chart" Target="charts/chart33.xml"/><Relationship Id="rId157" Type="http://schemas.openxmlformats.org/officeDocument/2006/relationships/header" Target="header29.xml"/><Relationship Id="rId178" Type="http://schemas.openxmlformats.org/officeDocument/2006/relationships/footer" Target="footer90.xml"/><Relationship Id="rId301" Type="http://schemas.openxmlformats.org/officeDocument/2006/relationships/footer" Target="footer149.xml"/><Relationship Id="rId322" Type="http://schemas.openxmlformats.org/officeDocument/2006/relationships/fontTable" Target="fontTable.xml"/><Relationship Id="rId61" Type="http://schemas.openxmlformats.org/officeDocument/2006/relationships/footer" Target="footer30.xml"/><Relationship Id="rId82" Type="http://schemas.openxmlformats.org/officeDocument/2006/relationships/footer" Target="footer42.xml"/><Relationship Id="rId199" Type="http://schemas.openxmlformats.org/officeDocument/2006/relationships/header" Target="header37.xml"/><Relationship Id="rId203" Type="http://schemas.openxmlformats.org/officeDocument/2006/relationships/chart" Target="charts/chart5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5.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8.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8712153658618"/>
          <c:y val="6.4229249011857698E-2"/>
          <c:w val="0.86194533214728919"/>
          <c:h val="0.58769624655813724"/>
        </c:manualLayout>
      </c:layout>
      <c:barChart>
        <c:barDir val="col"/>
        <c:grouping val="clustered"/>
        <c:varyColors val="0"/>
        <c:ser>
          <c:idx val="0"/>
          <c:order val="0"/>
          <c:tx>
            <c:strRef>
              <c:f>Sheet1!$B$1</c:f>
              <c:strCache>
                <c:ptCount val="1"/>
                <c:pt idx="0">
                  <c:v>Ex-Serving </c:v>
                </c:pt>
              </c:strCache>
            </c:strRef>
          </c:tx>
          <c:invertIfNegative val="0"/>
          <c:dLbls>
            <c:dLbl>
              <c:idx val="4"/>
              <c:layout/>
              <c:tx>
                <c:rich>
                  <a:bodyPr/>
                  <a:lstStyle/>
                  <a:p>
                    <a:r>
                      <a:rPr lang="en-US"/>
                      <a:t>12.0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B2-401F-B9CF-6EC50EBB483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23.5</c:v>
                </c:pt>
                <c:pt idx="1">
                  <c:v>7.8</c:v>
                </c:pt>
                <c:pt idx="2">
                  <c:v>18.2</c:v>
                </c:pt>
                <c:pt idx="3">
                  <c:v>15.9</c:v>
                </c:pt>
                <c:pt idx="4">
                  <c:v>12</c:v>
                </c:pt>
                <c:pt idx="5">
                  <c:v>6.2</c:v>
                </c:pt>
                <c:pt idx="6">
                  <c:v>2.9</c:v>
                </c:pt>
                <c:pt idx="7">
                  <c:v>21.3</c:v>
                </c:pt>
                <c:pt idx="8">
                  <c:v>44.6</c:v>
                </c:pt>
              </c:numCache>
            </c:numRef>
          </c:val>
          <c:extLst xmlns:c16r2="http://schemas.microsoft.com/office/drawing/2015/06/chart">
            <c:ext xmlns:c16="http://schemas.microsoft.com/office/drawing/2014/chart" uri="{C3380CC4-5D6E-409C-BE32-E72D297353CC}">
              <c16:uniqueId val="{00000000-8B51-4854-9642-DF8C30A0E8D1}"/>
            </c:ext>
          </c:extLst>
        </c:ser>
        <c:ser>
          <c:idx val="1"/>
          <c:order val="1"/>
          <c:tx>
            <c:strRef>
              <c:f>Sheet1!$C$1</c:f>
              <c:strCache>
                <c:ptCount val="1"/>
                <c:pt idx="0">
                  <c:v>Inactive Reservist </c:v>
                </c:pt>
              </c:strCache>
            </c:strRef>
          </c:tx>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10.199999999999999</c:v>
                </c:pt>
                <c:pt idx="1">
                  <c:v>2.2999999999999998</c:v>
                </c:pt>
                <c:pt idx="2">
                  <c:v>6.6</c:v>
                </c:pt>
                <c:pt idx="3">
                  <c:v>9.9</c:v>
                </c:pt>
                <c:pt idx="4">
                  <c:v>2.6</c:v>
                </c:pt>
                <c:pt idx="5">
                  <c:v>1.2</c:v>
                </c:pt>
                <c:pt idx="6">
                  <c:v>4.8</c:v>
                </c:pt>
                <c:pt idx="7">
                  <c:v>15.6</c:v>
                </c:pt>
                <c:pt idx="8">
                  <c:v>29.5</c:v>
                </c:pt>
              </c:numCache>
            </c:numRef>
          </c:val>
          <c:extLst xmlns:c16r2="http://schemas.microsoft.com/office/drawing/2015/06/chart">
            <c:ext xmlns:c16="http://schemas.microsoft.com/office/drawing/2014/chart" uri="{C3380CC4-5D6E-409C-BE32-E72D297353CC}">
              <c16:uniqueId val="{00000001-8B51-4854-9642-DF8C30A0E8D1}"/>
            </c:ext>
          </c:extLst>
        </c:ser>
        <c:ser>
          <c:idx val="2"/>
          <c:order val="2"/>
          <c:tx>
            <c:strRef>
              <c:f>Sheet1!$D$1</c:f>
              <c:strCache>
                <c:ptCount val="1"/>
                <c:pt idx="0">
                  <c:v>Active Reservist </c:v>
                </c:pt>
              </c:strCache>
            </c:strRef>
          </c:tx>
          <c:invertIfNegative val="0"/>
          <c:dLbls>
            <c:dLbl>
              <c:idx val="5"/>
              <c:layout/>
              <c:tx>
                <c:rich>
                  <a:bodyPr/>
                  <a:lstStyle/>
                  <a:p>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B2-401F-B9CF-6EC50EBB483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Sheet1!$D$2:$D$10</c:f>
              <c:numCache>
                <c:formatCode>General</c:formatCode>
                <c:ptCount val="9"/>
                <c:pt idx="0">
                  <c:v>13.1</c:v>
                </c:pt>
                <c:pt idx="1">
                  <c:v>4.5</c:v>
                </c:pt>
                <c:pt idx="2">
                  <c:v>6.8</c:v>
                </c:pt>
                <c:pt idx="3">
                  <c:v>3.5</c:v>
                </c:pt>
                <c:pt idx="4">
                  <c:v>6.1</c:v>
                </c:pt>
                <c:pt idx="5">
                  <c:v>2</c:v>
                </c:pt>
                <c:pt idx="6">
                  <c:v>5.5</c:v>
                </c:pt>
                <c:pt idx="7">
                  <c:v>13.6</c:v>
                </c:pt>
                <c:pt idx="8">
                  <c:v>31.9</c:v>
                </c:pt>
              </c:numCache>
            </c:numRef>
          </c:val>
          <c:extLst xmlns:c16r2="http://schemas.microsoft.com/office/drawing/2015/06/chart">
            <c:ext xmlns:c16="http://schemas.microsoft.com/office/drawing/2014/chart" uri="{C3380CC4-5D6E-409C-BE32-E72D297353CC}">
              <c16:uniqueId val="{00000002-8B51-4854-9642-DF8C30A0E8D1}"/>
            </c:ext>
          </c:extLst>
        </c:ser>
        <c:dLbls>
          <c:showLegendKey val="0"/>
          <c:showVal val="0"/>
          <c:showCatName val="0"/>
          <c:showSerName val="0"/>
          <c:showPercent val="0"/>
          <c:showBubbleSize val="0"/>
        </c:dLbls>
        <c:gapWidth val="150"/>
        <c:axId val="440850032"/>
        <c:axId val="440855912"/>
      </c:barChart>
      <c:catAx>
        <c:axId val="440850032"/>
        <c:scaling>
          <c:orientation val="minMax"/>
        </c:scaling>
        <c:delete val="0"/>
        <c:axPos val="b"/>
        <c:numFmt formatCode="General" sourceLinked="0"/>
        <c:majorTickMark val="out"/>
        <c:minorTickMark val="none"/>
        <c:tickLblPos val="nextTo"/>
        <c:crossAx val="440855912"/>
        <c:crosses val="autoZero"/>
        <c:auto val="1"/>
        <c:lblAlgn val="ctr"/>
        <c:lblOffset val="100"/>
        <c:noMultiLvlLbl val="0"/>
      </c:catAx>
      <c:valAx>
        <c:axId val="440855912"/>
        <c:scaling>
          <c:orientation val="minMax"/>
        </c:scaling>
        <c:delete val="0"/>
        <c:axPos val="l"/>
        <c:majorGridlines>
          <c:spPr>
            <a:ln>
              <a:solidFill>
                <a:schemeClr val="bg2"/>
              </a:solidFill>
            </a:ln>
          </c:spPr>
        </c:majorGridlines>
        <c:title>
          <c:tx>
            <c:rich>
              <a:bodyPr rot="-5400000" vert="horz"/>
              <a:lstStyle/>
              <a:p>
                <a:pPr>
                  <a:defRPr/>
                </a:pPr>
                <a:r>
                  <a:rPr lang="en-US"/>
                  <a:t>Percentage</a:t>
                </a:r>
              </a:p>
            </c:rich>
          </c:tx>
          <c:layout>
            <c:manualLayout>
              <c:xMode val="edge"/>
              <c:yMode val="edge"/>
              <c:x val="5.1664020167957177E-4"/>
              <c:y val="0.25599189341838602"/>
            </c:manualLayout>
          </c:layout>
          <c:overlay val="0"/>
        </c:title>
        <c:numFmt formatCode="General" sourceLinked="1"/>
        <c:majorTickMark val="out"/>
        <c:minorTickMark val="none"/>
        <c:tickLblPos val="nextTo"/>
        <c:crossAx val="440850032"/>
        <c:crosses val="autoZero"/>
        <c:crossBetween val="between"/>
      </c:valAx>
    </c:plotArea>
    <c:legend>
      <c:legendPos val="r"/>
      <c:layout>
        <c:manualLayout>
          <c:xMode val="edge"/>
          <c:yMode val="edge"/>
          <c:x val="0.54465838339854089"/>
          <c:y val="0.11600792232259312"/>
          <c:w val="0.22768373552933432"/>
          <c:h val="0.16328595289225201"/>
        </c:manualLayout>
      </c:layout>
      <c:overlay val="0"/>
    </c:legend>
    <c:plotVisOnly val="1"/>
    <c:dispBlanksAs val="gap"/>
    <c:showDLblsOverMax val="0"/>
  </c:chart>
  <c:txPr>
    <a:bodyPr/>
    <a:lstStyle/>
    <a:p>
      <a:pPr>
        <a:defRPr sz="800" baseline="0">
          <a:latin typeface="Calibri" panose="020F050202020403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08351476855413"/>
          <c:y val="6.0529368433850407E-2"/>
          <c:w val="0.84093484156476284"/>
          <c:h val="0.60879458187617552"/>
        </c:manualLayout>
      </c:layout>
      <c:barChart>
        <c:barDir val="col"/>
        <c:grouping val="clustered"/>
        <c:varyColors val="0"/>
        <c:ser>
          <c:idx val="0"/>
          <c:order val="0"/>
          <c:tx>
            <c:strRef>
              <c:f>Sheet1!$B$1</c:f>
              <c:strCache>
                <c:ptCount val="1"/>
                <c:pt idx="0">
                  <c:v>Not a DVA client</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8.9</c:v>
                </c:pt>
                <c:pt idx="1">
                  <c:v>3.6</c:v>
                </c:pt>
                <c:pt idx="2">
                  <c:v>4.8</c:v>
                </c:pt>
                <c:pt idx="3">
                  <c:v>4.0999999999999996</c:v>
                </c:pt>
                <c:pt idx="4">
                  <c:v>3.1</c:v>
                </c:pt>
                <c:pt idx="5">
                  <c:v>0.5</c:v>
                </c:pt>
                <c:pt idx="6">
                  <c:v>1.8</c:v>
                </c:pt>
                <c:pt idx="7">
                  <c:v>8.5</c:v>
                </c:pt>
                <c:pt idx="8">
                  <c:v>22.3</c:v>
                </c:pt>
              </c:numCache>
            </c:numRef>
          </c:val>
          <c:extLst xmlns:c16r2="http://schemas.microsoft.com/office/drawing/2015/06/chart">
            <c:ext xmlns:c16="http://schemas.microsoft.com/office/drawing/2014/chart" uri="{C3380CC4-5D6E-409C-BE32-E72D297353CC}">
              <c16:uniqueId val="{00000000-BA4E-402D-B79D-41D0F665F0E9}"/>
            </c:ext>
          </c:extLst>
        </c:ser>
        <c:ser>
          <c:idx val="1"/>
          <c:order val="1"/>
          <c:tx>
            <c:strRef>
              <c:f>Sheet1!$C$1</c:f>
              <c:strCache>
                <c:ptCount val="1"/>
                <c:pt idx="0">
                  <c:v>DVA client</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21.1</c:v>
                </c:pt>
                <c:pt idx="1">
                  <c:v>6.6</c:v>
                </c:pt>
                <c:pt idx="2">
                  <c:v>17.2</c:v>
                </c:pt>
                <c:pt idx="3">
                  <c:v>13.8</c:v>
                </c:pt>
                <c:pt idx="4">
                  <c:v>10.9</c:v>
                </c:pt>
                <c:pt idx="5">
                  <c:v>5.8</c:v>
                </c:pt>
                <c:pt idx="6">
                  <c:v>4.9000000000000004</c:v>
                </c:pt>
                <c:pt idx="7">
                  <c:v>22.6</c:v>
                </c:pt>
                <c:pt idx="8">
                  <c:v>45.3</c:v>
                </c:pt>
              </c:numCache>
            </c:numRef>
          </c:val>
          <c:extLst xmlns:c16r2="http://schemas.microsoft.com/office/drawing/2015/06/chart">
            <c:ext xmlns:c16="http://schemas.microsoft.com/office/drawing/2014/chart" uri="{C3380CC4-5D6E-409C-BE32-E72D297353CC}">
              <c16:uniqueId val="{00000001-BA4E-402D-B79D-41D0F665F0E9}"/>
            </c:ext>
          </c:extLst>
        </c:ser>
        <c:dLbls>
          <c:showLegendKey val="0"/>
          <c:showVal val="0"/>
          <c:showCatName val="0"/>
          <c:showSerName val="0"/>
          <c:showPercent val="0"/>
          <c:showBubbleSize val="0"/>
        </c:dLbls>
        <c:gapWidth val="150"/>
        <c:axId val="571599080"/>
        <c:axId val="571599864"/>
      </c:barChart>
      <c:catAx>
        <c:axId val="571599080"/>
        <c:scaling>
          <c:orientation val="minMax"/>
        </c:scaling>
        <c:delete val="0"/>
        <c:axPos val="b"/>
        <c:numFmt formatCode="General" sourceLinked="0"/>
        <c:majorTickMark val="out"/>
        <c:minorTickMark val="none"/>
        <c:tickLblPos val="nextTo"/>
        <c:crossAx val="571599864"/>
        <c:crosses val="autoZero"/>
        <c:auto val="1"/>
        <c:lblAlgn val="ctr"/>
        <c:lblOffset val="100"/>
        <c:noMultiLvlLbl val="0"/>
      </c:catAx>
      <c:valAx>
        <c:axId val="57159986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1024385985015911E-3"/>
              <c:y val="0.27960408218727428"/>
            </c:manualLayout>
          </c:layout>
          <c:overlay val="0"/>
        </c:title>
        <c:numFmt formatCode="General" sourceLinked="1"/>
        <c:majorTickMark val="out"/>
        <c:minorTickMark val="none"/>
        <c:tickLblPos val="nextTo"/>
        <c:crossAx val="571599080"/>
        <c:crosses val="autoZero"/>
        <c:crossBetween val="between"/>
      </c:valAx>
    </c:plotArea>
    <c:legend>
      <c:legendPos val="r"/>
      <c:layout>
        <c:manualLayout>
          <c:xMode val="edge"/>
          <c:yMode val="edge"/>
          <c:x val="0.57227233290225421"/>
          <c:y val="9.8066038747881307E-2"/>
          <c:w val="0.22030917652964896"/>
          <c:h val="0.1110140387764880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51457069842554271"/>
          <c:y val="2.6925443843329108E-2"/>
          <c:w val="0.45564387455520622"/>
          <c:h val="0.87584804786237758"/>
        </c:manualLayout>
      </c:layout>
      <c:barChart>
        <c:barDir val="bar"/>
        <c:grouping val="clustered"/>
        <c:varyColors val="0"/>
        <c:ser>
          <c:idx val="1"/>
          <c:order val="0"/>
          <c:spPr>
            <a:solidFill>
              <a:schemeClr val="accent1"/>
            </a:solidFill>
            <a:ln>
              <a:noFill/>
            </a:ln>
            <a:effectLst/>
          </c:spPr>
          <c:invertIfNegative val="0"/>
          <c:dLbls>
            <c:dLbl>
              <c:idx val="0"/>
              <c:layout/>
              <c:tx>
                <c:rich>
                  <a:bodyPr/>
                  <a:lstStyle/>
                  <a:p>
                    <a:r>
                      <a:rPr lang="en-US"/>
                      <a:t>58.0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84-461F-BABE-D1C34F22C5DD}"/>
                </c:ext>
                <c:ext xmlns:c15="http://schemas.microsoft.com/office/drawing/2012/chart" uri="{CE6537A1-D6FC-4f65-9D91-7224C49458BB}">
                  <c15:layout/>
                </c:ext>
              </c:extLst>
            </c:dLbl>
            <c:dLbl>
              <c:idx val="1"/>
              <c:layout/>
              <c:tx>
                <c:rich>
                  <a:bodyPr/>
                  <a:lstStyle/>
                  <a:p>
                    <a:r>
                      <a:rPr lang="en-US"/>
                      <a:t>43.0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84-461F-BABE-D1C34F22C5DD}"/>
                </c:ext>
                <c:ext xmlns:c15="http://schemas.microsoft.com/office/drawing/2012/chart" uri="{CE6537A1-D6FC-4f65-9D91-7224C49458BB}">
                  <c15:layout/>
                </c:ext>
              </c:extLst>
            </c:dLbl>
            <c:dLbl>
              <c:idx val="11"/>
              <c:layout/>
              <c:tx>
                <c:rich>
                  <a:bodyPr/>
                  <a:lstStyle/>
                  <a:p>
                    <a:r>
                      <a:rPr lang="en-US"/>
                      <a:t>17.0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84-461F-BABE-D1C34F22C5DD}"/>
                </c:ext>
                <c:ext xmlns:c15="http://schemas.microsoft.com/office/drawing/2012/chart" uri="{CE6537A1-D6FC-4f65-9D91-7224C49458BB}">
                  <c15:layout/>
                </c:ext>
              </c:extLst>
            </c:dLbl>
            <c:dLbl>
              <c:idx val="18"/>
              <c:layout/>
              <c:tx>
                <c:rich>
                  <a:bodyPr/>
                  <a:lstStyle/>
                  <a:p>
                    <a:r>
                      <a:rPr lang="en-US"/>
                      <a:t>9.0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84-461F-BABE-D1C34F22C5DD}"/>
                </c:ext>
                <c:ext xmlns:c15="http://schemas.microsoft.com/office/drawing/2012/chart" uri="{CE6537A1-D6FC-4f65-9D91-7224C49458BB}">
                  <c15:layout/>
                </c:ext>
              </c:extLst>
            </c:dLbl>
            <c:dLbl>
              <c:idx val="21"/>
              <c:layout/>
              <c:tx>
                <c:rich>
                  <a:bodyPr/>
                  <a:lstStyle/>
                  <a:p>
                    <a:r>
                      <a:rPr lang="en-US"/>
                      <a:t>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84-461F-BABE-D1C34F22C5DD}"/>
                </c:ext>
                <c:ext xmlns:c15="http://schemas.microsoft.com/office/drawing/2012/chart" uri="{CE6537A1-D6FC-4f65-9D91-7224C49458BB}">
                  <c15:layout/>
                </c:ext>
              </c:extLst>
            </c:dLbl>
            <c:dLbl>
              <c:idx val="23"/>
              <c:layout/>
              <c:tx>
                <c:rich>
                  <a:bodyPr/>
                  <a:lstStyle/>
                  <a:p>
                    <a:r>
                      <a:rPr lang="en-US"/>
                      <a:t>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84-461F-BABE-D1C34F22C5DD}"/>
                </c:ext>
                <c:ext xmlns:c15="http://schemas.microsoft.com/office/drawing/2012/chart" uri="{CE6537A1-D6FC-4f65-9D91-7224C49458BB}">
                  <c15:layout/>
                </c:ext>
              </c:extLst>
            </c:dLbl>
            <c:dLbl>
              <c:idx val="24"/>
              <c:layout/>
              <c:tx>
                <c:rich>
                  <a:bodyPr/>
                  <a:lstStyle/>
                  <a:p>
                    <a:r>
                      <a:rPr lang="en-US"/>
                      <a:t>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84-461F-BABE-D1C34F22C5DD}"/>
                </c:ex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Saw someone badly injured/killed or unexpectedly saw a dead body</c:v>
                </c:pt>
                <c:pt idx="1">
                  <c:v>Exposed to a toxic chemical that could cause harm</c:v>
                </c:pt>
                <c:pt idx="2">
                  <c:v>Someone close died unexpectedly</c:v>
                </c:pt>
                <c:pt idx="3">
                  <c:v>Combat (military or organised group)</c:v>
                </c:pt>
                <c:pt idx="4">
                  <c:v>Peacekeeper (in a war zone or place of ongoing terror)</c:v>
                </c:pt>
                <c:pt idx="5">
                  <c:v>Life-threatening motor vehicle accident</c:v>
                </c:pt>
                <c:pt idx="6">
                  <c:v>Mugged, held up, threatened with a weapon</c:v>
                </c:pt>
                <c:pt idx="7">
                  <c:v>Man-made disaster</c:v>
                </c:pt>
                <c:pt idx="8">
                  <c:v>Major natural disaster</c:v>
                </c:pt>
                <c:pt idx="9">
                  <c:v>Saw atrocities or carnage such as mutilated bodies or mass killings</c:v>
                </c:pt>
                <c:pt idx="10">
                  <c:v>Other life-threatening accident</c:v>
                </c:pt>
                <c:pt idx="11">
                  <c:v>Other traumatic event</c:v>
                </c:pt>
                <c:pt idx="12">
                  <c:v>Life-threatening illness</c:v>
                </c:pt>
                <c:pt idx="13">
                  <c:v>Badly beaten by anyone else</c:v>
                </c:pt>
                <c:pt idx="14">
                  <c:v>Sexually assaulted</c:v>
                </c:pt>
                <c:pt idx="15">
                  <c:v>Other traumatic event they don’t want to talk about</c:v>
                </c:pt>
                <c:pt idx="16">
                  <c:v>Someone close had traumatic experience</c:v>
                </c:pt>
                <c:pt idx="17">
                  <c:v>Witnessed fight or assault as a child</c:v>
                </c:pt>
                <c:pt idx="18">
                  <c:v>Purposely injured/tortured/killed someone</c:v>
                </c:pt>
                <c:pt idx="19">
                  <c:v>Stalked</c:v>
                </c:pt>
                <c:pt idx="20">
                  <c:v>Child had life-threatening illness/injury</c:v>
                </c:pt>
                <c:pt idx="21">
                  <c:v>Unarmed civilian (in a place of war, revolution, military coup or invasion)</c:v>
                </c:pt>
                <c:pt idx="22">
                  <c:v>Beaten by parent</c:v>
                </c:pt>
                <c:pt idx="23">
                  <c:v>Raped</c:v>
                </c:pt>
                <c:pt idx="24">
                  <c:v>Accidently injured/killed someone</c:v>
                </c:pt>
                <c:pt idx="25">
                  <c:v>Beaten by spouse/romantic partner</c:v>
                </c:pt>
                <c:pt idx="26">
                  <c:v>Lived as a civilian (in a place of ongoing terror for political, ethnic, religious or other reason)</c:v>
                </c:pt>
                <c:pt idx="27">
                  <c:v>Kidnapped or held captive</c:v>
                </c:pt>
                <c:pt idx="28">
                  <c:v>Refugee</c:v>
                </c:pt>
              </c:strCache>
            </c:strRef>
          </c:cat>
          <c:val>
            <c:numRef>
              <c:f>Sheet1!$B$2:$B$30</c:f>
              <c:numCache>
                <c:formatCode>General</c:formatCode>
                <c:ptCount val="29"/>
                <c:pt idx="0">
                  <c:v>58</c:v>
                </c:pt>
                <c:pt idx="1">
                  <c:v>43</c:v>
                </c:pt>
                <c:pt idx="2">
                  <c:v>42.3</c:v>
                </c:pt>
                <c:pt idx="3">
                  <c:v>41.6</c:v>
                </c:pt>
                <c:pt idx="4">
                  <c:v>33.5</c:v>
                </c:pt>
                <c:pt idx="5">
                  <c:v>30.2</c:v>
                </c:pt>
                <c:pt idx="6">
                  <c:v>28.9</c:v>
                </c:pt>
                <c:pt idx="7">
                  <c:v>27.1</c:v>
                </c:pt>
                <c:pt idx="8">
                  <c:v>26.1</c:v>
                </c:pt>
                <c:pt idx="9">
                  <c:v>22.3</c:v>
                </c:pt>
                <c:pt idx="10">
                  <c:v>20.2</c:v>
                </c:pt>
                <c:pt idx="11">
                  <c:v>17</c:v>
                </c:pt>
                <c:pt idx="12">
                  <c:v>16.5</c:v>
                </c:pt>
                <c:pt idx="13">
                  <c:v>14.8</c:v>
                </c:pt>
                <c:pt idx="14">
                  <c:v>12.9</c:v>
                </c:pt>
                <c:pt idx="15">
                  <c:v>12.6</c:v>
                </c:pt>
                <c:pt idx="16">
                  <c:v>12.4</c:v>
                </c:pt>
                <c:pt idx="17">
                  <c:v>9.6</c:v>
                </c:pt>
                <c:pt idx="18">
                  <c:v>9</c:v>
                </c:pt>
                <c:pt idx="19">
                  <c:v>7.5</c:v>
                </c:pt>
                <c:pt idx="20">
                  <c:v>6.7</c:v>
                </c:pt>
                <c:pt idx="21">
                  <c:v>7</c:v>
                </c:pt>
                <c:pt idx="22">
                  <c:v>6.1</c:v>
                </c:pt>
                <c:pt idx="23">
                  <c:v>6</c:v>
                </c:pt>
                <c:pt idx="24">
                  <c:v>6</c:v>
                </c:pt>
                <c:pt idx="25">
                  <c:v>3.6</c:v>
                </c:pt>
                <c:pt idx="26">
                  <c:v>3.5</c:v>
                </c:pt>
                <c:pt idx="27">
                  <c:v>0.8</c:v>
                </c:pt>
                <c:pt idx="28">
                  <c:v>0.5</c:v>
                </c:pt>
              </c:numCache>
            </c:numRef>
          </c:val>
          <c:extLst xmlns:c16r2="http://schemas.microsoft.com/office/drawing/2015/06/chart">
            <c:ext xmlns:c16="http://schemas.microsoft.com/office/drawing/2014/chart" uri="{C3380CC4-5D6E-409C-BE32-E72D297353CC}">
              <c16:uniqueId val="{00000007-C784-461F-BABE-D1C34F22C5DD}"/>
            </c:ext>
          </c:extLst>
        </c:ser>
        <c:dLbls>
          <c:showLegendKey val="0"/>
          <c:showVal val="0"/>
          <c:showCatName val="0"/>
          <c:showSerName val="0"/>
          <c:showPercent val="0"/>
          <c:showBubbleSize val="0"/>
        </c:dLbls>
        <c:gapWidth val="170"/>
        <c:axId val="571605744"/>
        <c:axId val="571605352"/>
      </c:barChart>
      <c:catAx>
        <c:axId val="57160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71605352"/>
        <c:crosses val="autoZero"/>
        <c:auto val="1"/>
        <c:lblAlgn val="ctr"/>
        <c:lblOffset val="100"/>
        <c:noMultiLvlLbl val="0"/>
      </c:catAx>
      <c:valAx>
        <c:axId val="571605352"/>
        <c:scaling>
          <c:orientation val="minMax"/>
        </c:scaling>
        <c:delete val="0"/>
        <c:axPos val="b"/>
        <c:majorGridlines>
          <c:spPr>
            <a:ln w="9525" cap="flat" cmpd="sng" algn="ctr">
              <a:solidFill>
                <a:sysClr val="window" lastClr="FFFFFF">
                  <a:lumMod val="75000"/>
                  <a:alpha val="26000"/>
                </a:sysClr>
              </a:solidFill>
              <a:round/>
            </a:ln>
            <a:effectLst/>
          </c:spPr>
        </c:majorGridlines>
        <c:title>
          <c:tx>
            <c:rich>
              <a:bodyPr rot="0" vert="horz"/>
              <a:lstStyle/>
              <a:p>
                <a:pPr>
                  <a:defRPr/>
                </a:pPr>
                <a:r>
                  <a:rPr lang="en-GB"/>
                  <a:t>Percentage</a:t>
                </a:r>
              </a:p>
            </c:rich>
          </c:tx>
          <c:layout>
            <c:manualLayout>
              <c:xMode val="edge"/>
              <c:yMode val="edge"/>
              <c:x val="0.73595108911781282"/>
              <c:y val="0.9607654362353641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71605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50" baseline="0">
          <a:latin typeface="Calibri" panose="020F050202020403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Sheet1!$B$1</c:f>
              <c:strCache>
                <c:ptCount val="1"/>
                <c:pt idx="0">
                  <c:v>Series 3</c:v>
                </c:pt>
              </c:strCache>
            </c:strRef>
          </c:tx>
          <c:spPr>
            <a:solidFill>
              <a:schemeClr val="accent1"/>
            </a:solidFill>
            <a:ln>
              <a:noFill/>
            </a:ln>
            <a:effectLst/>
          </c:spPr>
          <c:invertIfNegative val="0"/>
          <c:dLbls>
            <c:dLbl>
              <c:idx val="13"/>
              <c:layout/>
              <c:tx>
                <c:rich>
                  <a:bodyPr/>
                  <a:lstStyle/>
                  <a:p>
                    <a:r>
                      <a:rPr lang="en-US"/>
                      <a:t>25.0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DB-4124-BEBF-98B7A60FEF74}"/>
                </c:ext>
                <c:ext xmlns:c15="http://schemas.microsoft.com/office/drawing/2012/chart" uri="{CE6537A1-D6FC-4f65-9D91-7224C49458BB}">
                  <c15:layout/>
                </c:ext>
              </c:extLst>
            </c:dLbl>
            <c:dLbl>
              <c:idx val="15"/>
              <c:layout/>
              <c:tx>
                <c:rich>
                  <a:bodyPr/>
                  <a:lstStyle/>
                  <a:p>
                    <a:r>
                      <a:rPr lang="en-US"/>
                      <a:t>24.0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DB-4124-BEBF-98B7A60FEF74}"/>
                </c:ext>
                <c:ext xmlns:c15="http://schemas.microsoft.com/office/drawing/2012/chart" uri="{CE6537A1-D6FC-4f65-9D91-7224C49458BB}">
                  <c15:layout/>
                </c:ext>
              </c:extLst>
            </c:dLbl>
            <c:dLbl>
              <c:idx val="16"/>
              <c:layout/>
              <c:tx>
                <c:rich>
                  <a:bodyPr/>
                  <a:lstStyle/>
                  <a:p>
                    <a:r>
                      <a:rPr lang="en-US"/>
                      <a:t>23.0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DB-4124-BEBF-98B7A60FEF74}"/>
                </c:ext>
                <c:ext xmlns:c15="http://schemas.microsoft.com/office/drawing/2012/chart" uri="{CE6537A1-D6FC-4f65-9D91-7224C49458BB}">
                  <c15:layout/>
                </c:ext>
              </c:extLst>
            </c:dLbl>
            <c:dLbl>
              <c:idx val="20"/>
              <c:layout/>
              <c:tx>
                <c:rich>
                  <a:bodyPr/>
                  <a:lstStyle/>
                  <a:p>
                    <a:r>
                      <a:rPr lang="en-US"/>
                      <a:t>20.0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DB-4124-BEBF-98B7A60FEF74}"/>
                </c:ext>
                <c:ext xmlns:c15="http://schemas.microsoft.com/office/drawing/2012/chart" uri="{CE6537A1-D6FC-4f65-9D91-7224C49458BB}">
                  <c15:layout/>
                </c:ext>
              </c:extLst>
            </c:dLbl>
            <c:dLbl>
              <c:idx val="21"/>
              <c:layout/>
              <c:tx>
                <c:rich>
                  <a:bodyPr/>
                  <a:lstStyle/>
                  <a:p>
                    <a:r>
                      <a:rPr lang="en-US"/>
                      <a:t>20.0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DB-4124-BEBF-98B7A60FEF74}"/>
                </c:ex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Other traumatic event they don’t want to talk about</c:v>
                </c:pt>
                <c:pt idx="1">
                  <c:v>Raped</c:v>
                </c:pt>
                <c:pt idx="2">
                  <c:v>Beaten by parent</c:v>
                </c:pt>
                <c:pt idx="3">
                  <c:v>Kidnapped or held captive</c:v>
                </c:pt>
                <c:pt idx="4">
                  <c:v>Accidently injured/killed someone</c:v>
                </c:pt>
                <c:pt idx="5">
                  <c:v>Purposely injured/tortured/killed someone</c:v>
                </c:pt>
                <c:pt idx="6">
                  <c:v>Other traumatic event</c:v>
                </c:pt>
                <c:pt idx="7">
                  <c:v>Saw atrocities or carnage such as mutilated bodies or mass killings</c:v>
                </c:pt>
                <c:pt idx="8">
                  <c:v>Combat (military or organised group)</c:v>
                </c:pt>
                <c:pt idx="9">
                  <c:v>Other life-threatening accident</c:v>
                </c:pt>
                <c:pt idx="10">
                  <c:v>Badly beaten by anyone else</c:v>
                </c:pt>
                <c:pt idx="11">
                  <c:v>Child had life-threatening illness/injury</c:v>
                </c:pt>
                <c:pt idx="12">
                  <c:v>Sexually assaulted</c:v>
                </c:pt>
                <c:pt idx="13">
                  <c:v>Beaten by spouse/romantic partner</c:v>
                </c:pt>
                <c:pt idx="14">
                  <c:v>Mugged, held up, threatened with a weapon</c:v>
                </c:pt>
                <c:pt idx="15">
                  <c:v>Man-made disaster</c:v>
                </c:pt>
                <c:pt idx="16">
                  <c:v>Saw someone badly injured/killed or unexpectedly saw a dead body</c:v>
                </c:pt>
                <c:pt idx="17">
                  <c:v>Life-threatening illness</c:v>
                </c:pt>
                <c:pt idx="18">
                  <c:v>Someone close died unexpectedly</c:v>
                </c:pt>
                <c:pt idx="19">
                  <c:v>Major natural disaster</c:v>
                </c:pt>
                <c:pt idx="20">
                  <c:v>Someone close had traumatic experience</c:v>
                </c:pt>
                <c:pt idx="21">
                  <c:v>Witnessed fight or assault as a child</c:v>
                </c:pt>
                <c:pt idx="22">
                  <c:v>Lived as a civilian (in a place of ongoing terror for political, ethnic, religious or other reason)</c:v>
                </c:pt>
                <c:pt idx="23">
                  <c:v>Exposed to a toxic chemical that could cause harm</c:v>
                </c:pt>
                <c:pt idx="24">
                  <c:v>Stalked</c:v>
                </c:pt>
                <c:pt idx="25">
                  <c:v>Life-threatening motor vehicle accident</c:v>
                </c:pt>
                <c:pt idx="26">
                  <c:v>Peacekeeper (in a war zone or place of ongoing terror)</c:v>
                </c:pt>
                <c:pt idx="27">
                  <c:v>Unarmed civilian (in a place of war, revolution, military coup or invasion)</c:v>
                </c:pt>
                <c:pt idx="28">
                  <c:v>Refugee</c:v>
                </c:pt>
              </c:strCache>
            </c:strRef>
          </c:cat>
          <c:val>
            <c:numRef>
              <c:f>Sheet1!$B$2:$B$30</c:f>
              <c:numCache>
                <c:formatCode>General</c:formatCode>
                <c:ptCount val="29"/>
                <c:pt idx="0">
                  <c:v>41.3</c:v>
                </c:pt>
                <c:pt idx="1">
                  <c:v>38.6</c:v>
                </c:pt>
                <c:pt idx="2">
                  <c:v>38</c:v>
                </c:pt>
                <c:pt idx="3">
                  <c:v>35.5</c:v>
                </c:pt>
                <c:pt idx="4">
                  <c:v>33.200000000000003</c:v>
                </c:pt>
                <c:pt idx="5">
                  <c:v>32.1</c:v>
                </c:pt>
                <c:pt idx="6">
                  <c:v>29.7</c:v>
                </c:pt>
                <c:pt idx="7">
                  <c:v>29.3</c:v>
                </c:pt>
                <c:pt idx="8">
                  <c:v>27.8</c:v>
                </c:pt>
                <c:pt idx="9">
                  <c:v>27.6</c:v>
                </c:pt>
                <c:pt idx="10">
                  <c:v>26.1</c:v>
                </c:pt>
                <c:pt idx="11">
                  <c:v>26.1</c:v>
                </c:pt>
                <c:pt idx="12">
                  <c:v>25.5</c:v>
                </c:pt>
                <c:pt idx="13">
                  <c:v>25</c:v>
                </c:pt>
                <c:pt idx="14">
                  <c:v>24.8</c:v>
                </c:pt>
                <c:pt idx="15">
                  <c:v>24</c:v>
                </c:pt>
                <c:pt idx="16">
                  <c:v>23</c:v>
                </c:pt>
                <c:pt idx="17">
                  <c:v>22.1</c:v>
                </c:pt>
                <c:pt idx="18">
                  <c:v>21.6</c:v>
                </c:pt>
                <c:pt idx="19">
                  <c:v>20.2</c:v>
                </c:pt>
                <c:pt idx="20">
                  <c:v>20</c:v>
                </c:pt>
                <c:pt idx="21">
                  <c:v>20</c:v>
                </c:pt>
                <c:pt idx="22">
                  <c:v>19.899999999999999</c:v>
                </c:pt>
                <c:pt idx="23">
                  <c:v>19.399999999999999</c:v>
                </c:pt>
                <c:pt idx="24">
                  <c:v>18.3</c:v>
                </c:pt>
                <c:pt idx="25">
                  <c:v>17.899999999999999</c:v>
                </c:pt>
                <c:pt idx="26">
                  <c:v>17.5</c:v>
                </c:pt>
                <c:pt idx="27">
                  <c:v>17.100000000000001</c:v>
                </c:pt>
                <c:pt idx="28">
                  <c:v>0</c:v>
                </c:pt>
              </c:numCache>
            </c:numRef>
          </c:val>
          <c:extLst xmlns:c16r2="http://schemas.microsoft.com/office/drawing/2015/06/chart">
            <c:ext xmlns:c16="http://schemas.microsoft.com/office/drawing/2014/chart" uri="{C3380CC4-5D6E-409C-BE32-E72D297353CC}">
              <c16:uniqueId val="{00000005-2BDB-4124-BEBF-98B7A60FEF74}"/>
            </c:ext>
          </c:extLst>
        </c:ser>
        <c:dLbls>
          <c:showLegendKey val="0"/>
          <c:showVal val="0"/>
          <c:showCatName val="0"/>
          <c:showSerName val="0"/>
          <c:showPercent val="0"/>
          <c:showBubbleSize val="0"/>
        </c:dLbls>
        <c:gapWidth val="170"/>
        <c:axId val="571603784"/>
        <c:axId val="571603392"/>
      </c:barChart>
      <c:catAx>
        <c:axId val="571603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71603392"/>
        <c:crosses val="autoZero"/>
        <c:auto val="1"/>
        <c:lblAlgn val="ctr"/>
        <c:lblOffset val="100"/>
        <c:noMultiLvlLbl val="0"/>
      </c:catAx>
      <c:valAx>
        <c:axId val="571603392"/>
        <c:scaling>
          <c:orientation val="minMax"/>
        </c:scaling>
        <c:delete val="0"/>
        <c:axPos val="b"/>
        <c:majorGridlines>
          <c:spPr>
            <a:ln w="9525" cap="flat" cmpd="sng" algn="ctr">
              <a:solidFill>
                <a:sysClr val="window" lastClr="FFFFFF">
                  <a:lumMod val="75000"/>
                  <a:alpha val="26000"/>
                </a:sysClr>
              </a:solidFill>
              <a:round/>
            </a:ln>
            <a:effectLst/>
          </c:spPr>
        </c:majorGridlines>
        <c:title>
          <c:tx>
            <c:rich>
              <a:bodyPr rot="0" vert="horz"/>
              <a:lstStyle/>
              <a:p>
                <a:pPr>
                  <a:defRPr/>
                </a:pPr>
                <a:r>
                  <a:rPr lang="en-GB"/>
                  <a:t>Percentage</a:t>
                </a:r>
              </a:p>
            </c:rich>
          </c:tx>
          <c:layout>
            <c:manualLayout>
              <c:xMode val="edge"/>
              <c:yMode val="edge"/>
              <c:x val="0.64892366302313476"/>
              <c:y val="0.9566720013656829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71603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50" baseline="0">
          <a:latin typeface="Calibri" panose="020F05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720732693223474"/>
          <c:y val="4.9703658837517102E-2"/>
          <c:w val="0.82306521811355848"/>
          <c:h val="0.7982206911636045"/>
        </c:manualLayout>
      </c:layout>
      <c:barChart>
        <c:barDir val="col"/>
        <c:grouping val="clustered"/>
        <c:varyColors val="0"/>
        <c:ser>
          <c:idx val="0"/>
          <c:order val="0"/>
          <c:tx>
            <c:strRef>
              <c:f>Sheet1!$B$1</c:f>
              <c:strCache>
                <c:ptCount val="1"/>
                <c:pt idx="0">
                  <c:v>Ex-Serving</c:v>
                </c:pt>
              </c:strCache>
            </c:strRef>
          </c:tx>
          <c:spPr>
            <a:solidFill>
              <a:schemeClr val="accent1"/>
            </a:solidFill>
            <a:effectLst/>
          </c:spPr>
          <c:invertIfNegative val="0"/>
          <c:dLbls>
            <c:dLbl>
              <c:idx val="3"/>
              <c:layout>
                <c:manualLayout>
                  <c:x val="0"/>
                  <c:y val="1.14700822022558E-2"/>
                </c:manualLayout>
              </c:layout>
              <c:tx>
                <c:rich>
                  <a:bodyPr/>
                  <a:lstStyle/>
                  <a:p>
                    <a:r>
                      <a:rPr lang="en-US"/>
                      <a:t>32.9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DC-407F-9FD3-5E79DDE8280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0.0</c:formatCode>
                <c:ptCount val="4"/>
                <c:pt idx="0" formatCode="General">
                  <c:v>16.399999999999999</c:v>
                </c:pt>
                <c:pt idx="1">
                  <c:v>6</c:v>
                </c:pt>
                <c:pt idx="2" formatCode="General">
                  <c:v>13.9</c:v>
                </c:pt>
                <c:pt idx="3" formatCode="General">
                  <c:v>32.9</c:v>
                </c:pt>
              </c:numCache>
            </c:numRef>
          </c:val>
          <c:extLst xmlns:c16r2="http://schemas.microsoft.com/office/drawing/2015/06/chart">
            <c:ext xmlns:c16="http://schemas.microsoft.com/office/drawing/2014/chart" uri="{C3380CC4-5D6E-409C-BE32-E72D297353CC}">
              <c16:uniqueId val="{00000001-A1DC-407F-9FD3-5E79DDE8280E}"/>
            </c:ext>
          </c:extLst>
        </c:ser>
        <c:ser>
          <c:idx val="1"/>
          <c:order val="1"/>
          <c:tx>
            <c:strRef>
              <c:f>Sheet1!$C$1</c:f>
              <c:strCache>
                <c:ptCount val="1"/>
                <c:pt idx="0">
                  <c:v>Inactive Reservist</c:v>
                </c:pt>
              </c:strCache>
            </c:strRef>
          </c:tx>
          <c:spPr>
            <a:solidFill>
              <a:schemeClr val="accent2"/>
            </a:solidFill>
            <a:effectLst/>
          </c:spPr>
          <c:invertIfNegative val="0"/>
          <c:dLbls>
            <c:dLbl>
              <c:idx val="0"/>
              <c:layout/>
              <c:tx>
                <c:rich>
                  <a:bodyPr/>
                  <a:lstStyle/>
                  <a:p>
                    <a:r>
                      <a:rPr lang="en-US"/>
                      <a:t>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1DC-407F-9FD3-5E79DDE8280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8.7000000000000011</c:v>
                </c:pt>
                <c:pt idx="1">
                  <c:v>3.2</c:v>
                </c:pt>
                <c:pt idx="2">
                  <c:v>7.2</c:v>
                </c:pt>
                <c:pt idx="3" formatCode="0.0">
                  <c:v>17</c:v>
                </c:pt>
              </c:numCache>
            </c:numRef>
          </c:val>
          <c:extLst xmlns:c16r2="http://schemas.microsoft.com/office/drawing/2015/06/chart">
            <c:ext xmlns:c16="http://schemas.microsoft.com/office/drawing/2014/chart" uri="{C3380CC4-5D6E-409C-BE32-E72D297353CC}">
              <c16:uniqueId val="{00000003-A1DC-407F-9FD3-5E79DDE8280E}"/>
            </c:ext>
          </c:extLst>
        </c:ser>
        <c:ser>
          <c:idx val="2"/>
          <c:order val="2"/>
          <c:tx>
            <c:strRef>
              <c:f>Sheet1!$D$1</c:f>
              <c:strCache>
                <c:ptCount val="1"/>
                <c:pt idx="0">
                  <c:v>Active Reservist</c:v>
                </c:pt>
              </c:strCache>
            </c:strRef>
          </c:tx>
          <c:spPr>
            <a:solidFill>
              <a:schemeClr val="accent3"/>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Depressive episodes</c:v>
                </c:pt>
                <c:pt idx="1">
                  <c:v>Dysthymia</c:v>
                </c:pt>
                <c:pt idx="2">
                  <c:v>Bipolar affective disorder</c:v>
                </c:pt>
                <c:pt idx="3">
                  <c:v>Any affective disorder</c:v>
                </c:pt>
              </c:strCache>
            </c:strRef>
          </c:cat>
          <c:val>
            <c:numRef>
              <c:f>Sheet1!$D$2:$D$5</c:f>
              <c:numCache>
                <c:formatCode>General</c:formatCode>
                <c:ptCount val="4"/>
                <c:pt idx="0">
                  <c:v>4.7</c:v>
                </c:pt>
                <c:pt idx="1">
                  <c:v>3.6</c:v>
                </c:pt>
                <c:pt idx="2">
                  <c:v>5.4</c:v>
                </c:pt>
                <c:pt idx="3">
                  <c:v>12.5</c:v>
                </c:pt>
              </c:numCache>
            </c:numRef>
          </c:val>
          <c:extLst xmlns:c16r2="http://schemas.microsoft.com/office/drawing/2015/06/chart">
            <c:ext xmlns:c16="http://schemas.microsoft.com/office/drawing/2014/chart" uri="{C3380CC4-5D6E-409C-BE32-E72D297353CC}">
              <c16:uniqueId val="{00000004-A1DC-407F-9FD3-5E79DDE8280E}"/>
            </c:ext>
          </c:extLst>
        </c:ser>
        <c:dLbls>
          <c:showLegendKey val="0"/>
          <c:showVal val="0"/>
          <c:showCatName val="0"/>
          <c:showSerName val="0"/>
          <c:showPercent val="0"/>
          <c:showBubbleSize val="0"/>
        </c:dLbls>
        <c:gapWidth val="150"/>
        <c:axId val="571604176"/>
        <c:axId val="571604960"/>
      </c:barChart>
      <c:catAx>
        <c:axId val="571604176"/>
        <c:scaling>
          <c:orientation val="minMax"/>
        </c:scaling>
        <c:delete val="0"/>
        <c:axPos val="b"/>
        <c:numFmt formatCode="General" sourceLinked="0"/>
        <c:majorTickMark val="out"/>
        <c:minorTickMark val="none"/>
        <c:tickLblPos val="nextTo"/>
        <c:crossAx val="571604960"/>
        <c:crosses val="autoZero"/>
        <c:auto val="1"/>
        <c:lblAlgn val="ctr"/>
        <c:lblOffset val="100"/>
        <c:noMultiLvlLbl val="0"/>
      </c:catAx>
      <c:valAx>
        <c:axId val="571604960"/>
        <c:scaling>
          <c:orientation val="minMax"/>
        </c:scaling>
        <c:delete val="0"/>
        <c:axPos val="l"/>
        <c:majorGridlines>
          <c:spPr>
            <a:ln>
              <a:solidFill>
                <a:schemeClr val="bg1">
                  <a:lumMod val="75000"/>
                  <a:alpha val="26000"/>
                </a:schemeClr>
              </a:solidFill>
            </a:ln>
          </c:spPr>
        </c:majorGridlines>
        <c:title>
          <c:tx>
            <c:rich>
              <a:bodyPr rot="-5400000" vert="horz"/>
              <a:lstStyle/>
              <a:p>
                <a:pPr>
                  <a:defRPr/>
                </a:pPr>
                <a:r>
                  <a:rPr lang="en-US"/>
                  <a:t>Percentage</a:t>
                </a:r>
              </a:p>
            </c:rich>
          </c:tx>
          <c:layout>
            <c:manualLayout>
              <c:xMode val="edge"/>
              <c:yMode val="edge"/>
              <c:x val="6.3798354319634099E-3"/>
              <c:y val="0.35664789764527299"/>
            </c:manualLayout>
          </c:layout>
          <c:overlay val="0"/>
        </c:title>
        <c:numFmt formatCode="General" sourceLinked="1"/>
        <c:majorTickMark val="out"/>
        <c:minorTickMark val="none"/>
        <c:tickLblPos val="nextTo"/>
        <c:crossAx val="571604176"/>
        <c:crosses val="autoZero"/>
        <c:crossBetween val="between"/>
      </c:valAx>
    </c:plotArea>
    <c:legend>
      <c:legendPos val="r"/>
      <c:layout>
        <c:manualLayout>
          <c:xMode val="edge"/>
          <c:yMode val="edge"/>
          <c:x val="0.21643354707243875"/>
          <c:y val="0.12112973057854948"/>
          <c:w val="0.25495376369093103"/>
          <c:h val="0.1542981058991557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343273580164182"/>
          <c:y val="5.1587301587301598E-2"/>
          <c:w val="0.82831473725358784"/>
          <c:h val="0.79325459317585301"/>
        </c:manualLayout>
      </c:layout>
      <c:barChart>
        <c:barDir val="col"/>
        <c:grouping val="clustered"/>
        <c:varyColors val="0"/>
        <c:ser>
          <c:idx val="0"/>
          <c:order val="0"/>
          <c:tx>
            <c:strRef>
              <c:f>Sheet1!$B$1</c:f>
              <c:strCache>
                <c:ptCount val="1"/>
                <c:pt idx="0">
                  <c:v>Transitioned males</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General</c:formatCode>
                <c:ptCount val="4"/>
                <c:pt idx="0">
                  <c:v>10.3</c:v>
                </c:pt>
                <c:pt idx="1">
                  <c:v>4.5</c:v>
                </c:pt>
                <c:pt idx="2">
                  <c:v>10.5</c:v>
                </c:pt>
                <c:pt idx="3">
                  <c:v>23.1</c:v>
                </c:pt>
              </c:numCache>
            </c:numRef>
          </c:val>
          <c:extLst xmlns:c16r2="http://schemas.microsoft.com/office/drawing/2015/06/chart">
            <c:ext xmlns:c16="http://schemas.microsoft.com/office/drawing/2014/chart" uri="{C3380CC4-5D6E-409C-BE32-E72D297353CC}">
              <c16:uniqueId val="{00000000-EC65-4012-86EC-892D933801E1}"/>
            </c:ext>
          </c:extLst>
        </c:ser>
        <c:ser>
          <c:idx val="1"/>
          <c:order val="1"/>
          <c:tx>
            <c:strRef>
              <c:f>Sheet1!$C$1</c:f>
              <c:strCache>
                <c:ptCount val="1"/>
                <c:pt idx="0">
                  <c:v>Transitioned females</c:v>
                </c:pt>
              </c:strCache>
            </c:strRef>
          </c:tx>
          <c:spPr>
            <a:solidFill>
              <a:schemeClr val="accent2"/>
            </a:solidFill>
            <a:effectLst/>
          </c:spPr>
          <c:invertIfNegative val="0"/>
          <c:dLbls>
            <c:dLbl>
              <c:idx val="3"/>
              <c:layout/>
              <c:tx>
                <c:rich>
                  <a:bodyPr/>
                  <a:lstStyle/>
                  <a:p>
                    <a:r>
                      <a:rPr lang="en-US"/>
                      <a:t>23.0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65-4012-86EC-892D933801E1}"/>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16.600000000000001</c:v>
                </c:pt>
                <c:pt idx="1">
                  <c:v>5.0999999999999996</c:v>
                </c:pt>
                <c:pt idx="2">
                  <c:v>4.8</c:v>
                </c:pt>
                <c:pt idx="3">
                  <c:v>23</c:v>
                </c:pt>
              </c:numCache>
            </c:numRef>
          </c:val>
          <c:extLst xmlns:c16r2="http://schemas.microsoft.com/office/drawing/2015/06/chart">
            <c:ext xmlns:c16="http://schemas.microsoft.com/office/drawing/2014/chart" uri="{C3380CC4-5D6E-409C-BE32-E72D297353CC}">
              <c16:uniqueId val="{00000002-EC65-4012-86EC-892D933801E1}"/>
            </c:ext>
          </c:extLst>
        </c:ser>
        <c:dLbls>
          <c:showLegendKey val="0"/>
          <c:showVal val="0"/>
          <c:showCatName val="0"/>
          <c:showSerName val="0"/>
          <c:showPercent val="0"/>
          <c:showBubbleSize val="0"/>
        </c:dLbls>
        <c:gapWidth val="150"/>
        <c:axId val="571601040"/>
        <c:axId val="571602216"/>
      </c:barChart>
      <c:catAx>
        <c:axId val="571601040"/>
        <c:scaling>
          <c:orientation val="minMax"/>
        </c:scaling>
        <c:delete val="0"/>
        <c:axPos val="b"/>
        <c:numFmt formatCode="General" sourceLinked="0"/>
        <c:majorTickMark val="out"/>
        <c:minorTickMark val="none"/>
        <c:tickLblPos val="nextTo"/>
        <c:crossAx val="571602216"/>
        <c:crosses val="autoZero"/>
        <c:auto val="1"/>
        <c:lblAlgn val="ctr"/>
        <c:lblOffset val="100"/>
        <c:noMultiLvlLbl val="0"/>
      </c:catAx>
      <c:valAx>
        <c:axId val="57160221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4271960685765344E-2"/>
              <c:y val="0.33402427821522307"/>
            </c:manualLayout>
          </c:layout>
          <c:overlay val="0"/>
        </c:title>
        <c:numFmt formatCode="General" sourceLinked="1"/>
        <c:majorTickMark val="out"/>
        <c:minorTickMark val="none"/>
        <c:tickLblPos val="nextTo"/>
        <c:crossAx val="571601040"/>
        <c:crosses val="autoZero"/>
        <c:crossBetween val="between"/>
      </c:valAx>
    </c:plotArea>
    <c:legend>
      <c:legendPos val="r"/>
      <c:layout>
        <c:manualLayout>
          <c:xMode val="edge"/>
          <c:yMode val="edge"/>
          <c:x val="0.43264503762755802"/>
          <c:y val="9.3576684417338005E-2"/>
          <c:w val="0.27911175003539496"/>
          <c:h val="0.1128687815757134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219261053906723"/>
          <c:y val="6.3181406671992096E-2"/>
          <c:w val="0.81465323190533401"/>
          <c:h val="0.78426396297237044"/>
        </c:manualLayout>
      </c:layout>
      <c:barChart>
        <c:barDir val="col"/>
        <c:grouping val="clustered"/>
        <c:varyColors val="0"/>
        <c:ser>
          <c:idx val="0"/>
          <c:order val="0"/>
          <c:tx>
            <c:strRef>
              <c:f>Sheet1!$B$1</c:f>
              <c:strCache>
                <c:ptCount val="1"/>
                <c:pt idx="0">
                  <c:v>18–27 </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0.0</c:formatCode>
                <c:ptCount val="4"/>
                <c:pt idx="0">
                  <c:v>13.7</c:v>
                </c:pt>
                <c:pt idx="1">
                  <c:v>0.38</c:v>
                </c:pt>
                <c:pt idx="2">
                  <c:v>13.93</c:v>
                </c:pt>
                <c:pt idx="3">
                  <c:v>27.63</c:v>
                </c:pt>
              </c:numCache>
            </c:numRef>
          </c:val>
          <c:extLst xmlns:c16r2="http://schemas.microsoft.com/office/drawing/2015/06/chart">
            <c:ext xmlns:c16="http://schemas.microsoft.com/office/drawing/2014/chart" uri="{C3380CC4-5D6E-409C-BE32-E72D297353CC}">
              <c16:uniqueId val="{00000000-D3F0-4E6A-81FD-2565BEDC17C5}"/>
            </c:ext>
          </c:extLst>
        </c:ser>
        <c:ser>
          <c:idx val="1"/>
          <c:order val="1"/>
          <c:tx>
            <c:strRef>
              <c:f>Sheet1!$C$1</c:f>
              <c:strCache>
                <c:ptCount val="1"/>
                <c:pt idx="0">
                  <c:v>28–37 </c:v>
                </c:pt>
              </c:strCache>
            </c:strRef>
          </c:tx>
          <c:spPr>
            <a:solidFill>
              <a:schemeClr val="accent2"/>
            </a:solidFill>
            <a:effectLst/>
          </c:spPr>
          <c:invertIfNegative val="0"/>
          <c:dLbls>
            <c:dLbl>
              <c:idx val="0"/>
              <c:layout/>
              <c:tx>
                <c:rich>
                  <a:bodyPr/>
                  <a:lstStyle/>
                  <a:p>
                    <a:r>
                      <a:rPr lang="en-US"/>
                      <a:t>11.0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F0-4E6A-81FD-2565BEDC17C5}"/>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0.0</c:formatCode>
                <c:ptCount val="4"/>
                <c:pt idx="0">
                  <c:v>11</c:v>
                </c:pt>
                <c:pt idx="1">
                  <c:v>3.2</c:v>
                </c:pt>
                <c:pt idx="2">
                  <c:v>11.6</c:v>
                </c:pt>
                <c:pt idx="3">
                  <c:v>24</c:v>
                </c:pt>
              </c:numCache>
            </c:numRef>
          </c:val>
          <c:extLst xmlns:c16r2="http://schemas.microsoft.com/office/drawing/2015/06/chart">
            <c:ext xmlns:c16="http://schemas.microsoft.com/office/drawing/2014/chart" uri="{C3380CC4-5D6E-409C-BE32-E72D297353CC}">
              <c16:uniqueId val="{00000002-D3F0-4E6A-81FD-2565BEDC17C5}"/>
            </c:ext>
          </c:extLst>
        </c:ser>
        <c:ser>
          <c:idx val="2"/>
          <c:order val="2"/>
          <c:tx>
            <c:strRef>
              <c:f>Sheet1!$D$1</c:f>
              <c:strCache>
                <c:ptCount val="1"/>
                <c:pt idx="0">
                  <c:v>38–47 </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Sheet1!$D$2:$D$5</c:f>
              <c:numCache>
                <c:formatCode>0.0</c:formatCode>
                <c:ptCount val="4"/>
                <c:pt idx="0">
                  <c:v>14.4</c:v>
                </c:pt>
                <c:pt idx="1">
                  <c:v>11.81</c:v>
                </c:pt>
                <c:pt idx="2">
                  <c:v>8.01</c:v>
                </c:pt>
                <c:pt idx="3">
                  <c:v>29.81</c:v>
                </c:pt>
              </c:numCache>
            </c:numRef>
          </c:val>
          <c:extLst xmlns:c16r2="http://schemas.microsoft.com/office/drawing/2015/06/chart">
            <c:ext xmlns:c16="http://schemas.microsoft.com/office/drawing/2014/chart" uri="{C3380CC4-5D6E-409C-BE32-E72D297353CC}">
              <c16:uniqueId val="{00000003-D3F0-4E6A-81FD-2565BEDC17C5}"/>
            </c:ext>
          </c:extLst>
        </c:ser>
        <c:ser>
          <c:idx val="3"/>
          <c:order val="3"/>
          <c:tx>
            <c:strRef>
              <c:f>Sheet1!$E$1</c:f>
              <c:strCache>
                <c:ptCount val="1"/>
                <c:pt idx="0">
                  <c:v>48–57 </c:v>
                </c:pt>
              </c:strCache>
            </c:strRef>
          </c:tx>
          <c:spPr>
            <a:solidFill>
              <a:schemeClr val="accent4"/>
            </a:solidFill>
            <a:effectLst/>
          </c:spPr>
          <c:invertIfNegative val="0"/>
          <c:dLbls>
            <c:dLbl>
              <c:idx val="0"/>
              <c:layout/>
              <c:tx>
                <c:rich>
                  <a:bodyPr/>
                  <a:lstStyle/>
                  <a:p>
                    <a:r>
                      <a:rPr lang="en-US"/>
                      <a:t>11.1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F0-4E6A-81FD-2565BEDC17C5}"/>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Sheet1!$E$2:$E$5</c:f>
              <c:numCache>
                <c:formatCode>0.0</c:formatCode>
                <c:ptCount val="4"/>
                <c:pt idx="0">
                  <c:v>11.12</c:v>
                </c:pt>
                <c:pt idx="1">
                  <c:v>6.48</c:v>
                </c:pt>
                <c:pt idx="2">
                  <c:v>6.78</c:v>
                </c:pt>
                <c:pt idx="3">
                  <c:v>18.95</c:v>
                </c:pt>
              </c:numCache>
            </c:numRef>
          </c:val>
          <c:extLst xmlns:c16r2="http://schemas.microsoft.com/office/drawing/2015/06/chart">
            <c:ext xmlns:c16="http://schemas.microsoft.com/office/drawing/2014/chart" uri="{C3380CC4-5D6E-409C-BE32-E72D297353CC}">
              <c16:uniqueId val="{00000005-D3F0-4E6A-81FD-2565BEDC17C5}"/>
            </c:ext>
          </c:extLst>
        </c:ser>
        <c:ser>
          <c:idx val="4"/>
          <c:order val="4"/>
          <c:tx>
            <c:strRef>
              <c:f>Sheet1!$F$1</c:f>
              <c:strCache>
                <c:ptCount val="1"/>
                <c:pt idx="0">
                  <c:v>58+ </c:v>
                </c:pt>
              </c:strCache>
            </c:strRef>
          </c:tx>
          <c:spPr>
            <a:solidFill>
              <a:schemeClr val="accent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Sheet1!$F$2:$F$5</c:f>
              <c:numCache>
                <c:formatCode>0.0</c:formatCode>
                <c:ptCount val="4"/>
                <c:pt idx="0">
                  <c:v>4.08</c:v>
                </c:pt>
                <c:pt idx="1">
                  <c:v>1.1499999999999999</c:v>
                </c:pt>
                <c:pt idx="2">
                  <c:v>6.23</c:v>
                </c:pt>
                <c:pt idx="3">
                  <c:v>10.76</c:v>
                </c:pt>
              </c:numCache>
            </c:numRef>
          </c:val>
          <c:extLst xmlns:c16r2="http://schemas.microsoft.com/office/drawing/2015/06/chart">
            <c:ext xmlns:c16="http://schemas.microsoft.com/office/drawing/2014/chart" uri="{C3380CC4-5D6E-409C-BE32-E72D297353CC}">
              <c16:uniqueId val="{00000006-D3F0-4E6A-81FD-2565BEDC17C5}"/>
            </c:ext>
          </c:extLst>
        </c:ser>
        <c:dLbls>
          <c:showLegendKey val="0"/>
          <c:showVal val="0"/>
          <c:showCatName val="0"/>
          <c:showSerName val="0"/>
          <c:showPercent val="0"/>
          <c:showBubbleSize val="0"/>
        </c:dLbls>
        <c:gapWidth val="150"/>
        <c:axId val="643384480"/>
        <c:axId val="643385264"/>
      </c:barChart>
      <c:catAx>
        <c:axId val="643384480"/>
        <c:scaling>
          <c:orientation val="minMax"/>
        </c:scaling>
        <c:delete val="0"/>
        <c:axPos val="b"/>
        <c:numFmt formatCode="General" sourceLinked="0"/>
        <c:majorTickMark val="out"/>
        <c:minorTickMark val="none"/>
        <c:tickLblPos val="nextTo"/>
        <c:crossAx val="643385264"/>
        <c:crosses val="autoZero"/>
        <c:auto val="1"/>
        <c:lblAlgn val="ctr"/>
        <c:lblOffset val="100"/>
        <c:noMultiLvlLbl val="0"/>
      </c:catAx>
      <c:valAx>
        <c:axId val="64338526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0245496859670088E-2"/>
              <c:y val="0.35146411046445281"/>
            </c:manualLayout>
          </c:layout>
          <c:overlay val="0"/>
        </c:title>
        <c:numFmt formatCode="0.0" sourceLinked="1"/>
        <c:majorTickMark val="out"/>
        <c:minorTickMark val="none"/>
        <c:tickLblPos val="nextTo"/>
        <c:crossAx val="643384480"/>
        <c:crosses val="autoZero"/>
        <c:crossBetween val="between"/>
      </c:valAx>
    </c:plotArea>
    <c:legend>
      <c:legendPos val="r"/>
      <c:layout>
        <c:manualLayout>
          <c:xMode val="edge"/>
          <c:yMode val="edge"/>
          <c:x val="0.25665515303310577"/>
          <c:y val="9.5285784929057787E-2"/>
          <c:w val="0.18724704110530882"/>
          <c:h val="0.2346514511772984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5302501744244"/>
          <c:y val="6.4422207640711576E-2"/>
          <c:w val="0.81576443569553803"/>
          <c:h val="0.80723498104403613"/>
        </c:manualLayout>
      </c:layout>
      <c:barChart>
        <c:barDir val="col"/>
        <c:grouping val="clustered"/>
        <c:varyColors val="0"/>
        <c:ser>
          <c:idx val="0"/>
          <c:order val="0"/>
          <c:tx>
            <c:strRef>
              <c:f>Sheet1!$B$1</c:f>
              <c:strCache>
                <c:ptCount val="1"/>
                <c:pt idx="0">
                  <c:v>Navy</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0.0</c:formatCode>
                <c:ptCount val="4"/>
                <c:pt idx="0">
                  <c:v>13.4</c:v>
                </c:pt>
                <c:pt idx="1">
                  <c:v>6</c:v>
                </c:pt>
                <c:pt idx="2">
                  <c:v>6.8</c:v>
                </c:pt>
                <c:pt idx="3">
                  <c:v>23.1</c:v>
                </c:pt>
              </c:numCache>
            </c:numRef>
          </c:val>
          <c:extLst xmlns:c16r2="http://schemas.microsoft.com/office/drawing/2015/06/chart">
            <c:ext xmlns:c16="http://schemas.microsoft.com/office/drawing/2014/chart" uri="{C3380CC4-5D6E-409C-BE32-E72D297353CC}">
              <c16:uniqueId val="{00000000-95A5-40A6-84DF-DF0BA000EE28}"/>
            </c:ext>
          </c:extLst>
        </c:ser>
        <c:ser>
          <c:idx val="1"/>
          <c:order val="1"/>
          <c:tx>
            <c:strRef>
              <c:f>Sheet1!$C$1</c:f>
              <c:strCache>
                <c:ptCount val="1"/>
                <c:pt idx="0">
                  <c:v>Army</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0.0</c:formatCode>
                <c:ptCount val="4"/>
                <c:pt idx="0">
                  <c:v>9.8000000000000007</c:v>
                </c:pt>
                <c:pt idx="1">
                  <c:v>3</c:v>
                </c:pt>
                <c:pt idx="2">
                  <c:v>12.3</c:v>
                </c:pt>
                <c:pt idx="3">
                  <c:v>23.8</c:v>
                </c:pt>
              </c:numCache>
            </c:numRef>
          </c:val>
          <c:extLst xmlns:c16r2="http://schemas.microsoft.com/office/drawing/2015/06/chart">
            <c:ext xmlns:c16="http://schemas.microsoft.com/office/drawing/2014/chart" uri="{C3380CC4-5D6E-409C-BE32-E72D297353CC}">
              <c16:uniqueId val="{00000001-95A5-40A6-84DF-DF0BA000EE28}"/>
            </c:ext>
          </c:extLst>
        </c:ser>
        <c:ser>
          <c:idx val="2"/>
          <c:order val="2"/>
          <c:tx>
            <c:strRef>
              <c:f>Sheet1!$D$1</c:f>
              <c:strCache>
                <c:ptCount val="1"/>
                <c:pt idx="0">
                  <c:v>Airforce</c:v>
                </c:pt>
              </c:strCache>
            </c:strRef>
          </c:tx>
          <c:spPr>
            <a:solidFill>
              <a:schemeClr val="accent3"/>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Sheet1!$D$2:$D$5</c:f>
              <c:numCache>
                <c:formatCode>0.0</c:formatCode>
                <c:ptCount val="4"/>
                <c:pt idx="0">
                  <c:v>13.1</c:v>
                </c:pt>
                <c:pt idx="1">
                  <c:v>8.1999999999999993</c:v>
                </c:pt>
                <c:pt idx="2">
                  <c:v>5</c:v>
                </c:pt>
                <c:pt idx="3">
                  <c:v>20.6</c:v>
                </c:pt>
              </c:numCache>
            </c:numRef>
          </c:val>
          <c:extLst xmlns:c16r2="http://schemas.microsoft.com/office/drawing/2015/06/chart">
            <c:ext xmlns:c16="http://schemas.microsoft.com/office/drawing/2014/chart" uri="{C3380CC4-5D6E-409C-BE32-E72D297353CC}">
              <c16:uniqueId val="{00000002-95A5-40A6-84DF-DF0BA000EE28}"/>
            </c:ext>
          </c:extLst>
        </c:ser>
        <c:dLbls>
          <c:showLegendKey val="0"/>
          <c:showVal val="0"/>
          <c:showCatName val="0"/>
          <c:showSerName val="0"/>
          <c:showPercent val="0"/>
          <c:showBubbleSize val="0"/>
        </c:dLbls>
        <c:gapWidth val="150"/>
        <c:axId val="643386440"/>
        <c:axId val="643383304"/>
      </c:barChart>
      <c:catAx>
        <c:axId val="643386440"/>
        <c:scaling>
          <c:orientation val="minMax"/>
        </c:scaling>
        <c:delete val="0"/>
        <c:axPos val="b"/>
        <c:numFmt formatCode="General" sourceLinked="0"/>
        <c:majorTickMark val="out"/>
        <c:minorTickMark val="none"/>
        <c:tickLblPos val="nextTo"/>
        <c:crossAx val="643383304"/>
        <c:crosses val="autoZero"/>
        <c:auto val="1"/>
        <c:lblAlgn val="ctr"/>
        <c:lblOffset val="100"/>
        <c:noMultiLvlLbl val="0"/>
      </c:catAx>
      <c:valAx>
        <c:axId val="64338330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701451875477591E-2"/>
              <c:y val="0.37942693451407217"/>
            </c:manualLayout>
          </c:layout>
          <c:overlay val="0"/>
        </c:title>
        <c:numFmt formatCode="0.0" sourceLinked="1"/>
        <c:majorTickMark val="out"/>
        <c:minorTickMark val="none"/>
        <c:tickLblPos val="nextTo"/>
        <c:crossAx val="643386440"/>
        <c:crosses val="autoZero"/>
        <c:crossBetween val="between"/>
      </c:valAx>
    </c:plotArea>
    <c:legend>
      <c:legendPos val="r"/>
      <c:layout>
        <c:manualLayout>
          <c:xMode val="edge"/>
          <c:yMode val="edge"/>
          <c:x val="0.51423923275413363"/>
          <c:y val="7.9736114066822725E-2"/>
          <c:w val="0.14838460956862801"/>
          <c:h val="0.1611286816294777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30179891396665"/>
          <c:y val="8.2174832312627594E-2"/>
          <c:w val="0.83323390458545599"/>
          <c:h val="0.7850885826771653"/>
        </c:manualLayout>
      </c:layout>
      <c:barChart>
        <c:barDir val="col"/>
        <c:grouping val="clustered"/>
        <c:varyColors val="0"/>
        <c:ser>
          <c:idx val="0"/>
          <c:order val="0"/>
          <c:tx>
            <c:strRef>
              <c:f>Sheet1!$B$1</c:f>
              <c:strCache>
                <c:ptCount val="1"/>
                <c:pt idx="0">
                  <c:v>OFFR</c:v>
                </c:pt>
              </c:strCache>
            </c:strRef>
          </c:tx>
          <c:spPr>
            <a:solidFill>
              <a:schemeClr val="accent1"/>
            </a:solidFill>
            <a:effectLst/>
          </c:spPr>
          <c:invertIfNegative val="0"/>
          <c:dLbls>
            <c:dLbl>
              <c:idx val="0"/>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CE-4780-9263-5755A0471453}"/>
                </c:ext>
                <c:ext xmlns:c15="http://schemas.microsoft.com/office/drawing/2012/chart" uri="{CE6537A1-D6FC-4f65-9D91-7224C49458BB}">
                  <c15:layout/>
                </c:ext>
              </c:extLst>
            </c:dLbl>
            <c:dLbl>
              <c:idx val="1"/>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CE-4780-9263-5755A0471453}"/>
                </c:ext>
                <c:ext xmlns:c15="http://schemas.microsoft.com/office/drawing/2012/chart" uri="{CE6537A1-D6FC-4f65-9D91-7224C49458BB}">
                  <c15:layout/>
                </c:ext>
              </c:extLst>
            </c:dLbl>
            <c:dLbl>
              <c:idx val="2"/>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CE-4780-9263-5755A0471453}"/>
                </c:ext>
                <c:ext xmlns:c15="http://schemas.microsoft.com/office/drawing/2012/chart" uri="{CE6537A1-D6FC-4f65-9D91-7224C49458BB}">
                  <c15:layout/>
                </c:ext>
              </c:extLst>
            </c:dLbl>
            <c:dLbl>
              <c:idx val="3"/>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CE-4780-9263-5755A0471453}"/>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General</c:formatCode>
                <c:ptCount val="4"/>
                <c:pt idx="0">
                  <c:v>8.6</c:v>
                </c:pt>
                <c:pt idx="1">
                  <c:v>3.6</c:v>
                </c:pt>
                <c:pt idx="2">
                  <c:v>3.5</c:v>
                </c:pt>
                <c:pt idx="3">
                  <c:v>13.1</c:v>
                </c:pt>
              </c:numCache>
            </c:numRef>
          </c:val>
          <c:extLst xmlns:c16r2="http://schemas.microsoft.com/office/drawing/2015/06/chart">
            <c:ext xmlns:c16="http://schemas.microsoft.com/office/drawing/2014/chart" uri="{C3380CC4-5D6E-409C-BE32-E72D297353CC}">
              <c16:uniqueId val="{00000004-35CE-4780-9263-5755A0471453}"/>
            </c:ext>
          </c:extLst>
        </c:ser>
        <c:ser>
          <c:idx val="1"/>
          <c:order val="1"/>
          <c:tx>
            <c:strRef>
              <c:f>Sheet1!$C$1</c:f>
              <c:strCache>
                <c:ptCount val="1"/>
                <c:pt idx="0">
                  <c:v>NCO</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13.1</c:v>
                </c:pt>
                <c:pt idx="1">
                  <c:v>5.9</c:v>
                </c:pt>
                <c:pt idx="2">
                  <c:v>5.7</c:v>
                </c:pt>
                <c:pt idx="3">
                  <c:v>20.100000000000001</c:v>
                </c:pt>
              </c:numCache>
            </c:numRef>
          </c:val>
          <c:extLst xmlns:c16r2="http://schemas.microsoft.com/office/drawing/2015/06/chart">
            <c:ext xmlns:c16="http://schemas.microsoft.com/office/drawing/2014/chart" uri="{C3380CC4-5D6E-409C-BE32-E72D297353CC}">
              <c16:uniqueId val="{00000005-35CE-4780-9263-5755A0471453}"/>
            </c:ext>
          </c:extLst>
        </c:ser>
        <c:ser>
          <c:idx val="2"/>
          <c:order val="2"/>
          <c:tx>
            <c:strRef>
              <c:f>Sheet1!$D$1</c:f>
              <c:strCache>
                <c:ptCount val="1"/>
                <c:pt idx="0">
                  <c:v>Other Ranks</c:v>
                </c:pt>
              </c:strCache>
            </c:strRef>
          </c:tx>
          <c:spPr>
            <a:solidFill>
              <a:schemeClr val="accent3"/>
            </a:solidFill>
            <a:effectLst/>
          </c:spPr>
          <c:invertIfNegative val="0"/>
          <c:dLbls>
            <c:dLbl>
              <c:idx val="3"/>
              <c:layout/>
              <c:tx>
                <c:rich>
                  <a:bodyPr/>
                  <a:lstStyle/>
                  <a:p>
                    <a:r>
                      <a:rPr lang="en-US" b="0"/>
                      <a:t>28.0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CE-4780-9263-5755A0471453}"/>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Sheet1!$D$2:$D$5</c:f>
              <c:numCache>
                <c:formatCode>General</c:formatCode>
                <c:ptCount val="4"/>
                <c:pt idx="0">
                  <c:v>10.8</c:v>
                </c:pt>
                <c:pt idx="1">
                  <c:v>4.0999999999999996</c:v>
                </c:pt>
                <c:pt idx="2">
                  <c:v>14.3</c:v>
                </c:pt>
                <c:pt idx="3">
                  <c:v>28</c:v>
                </c:pt>
              </c:numCache>
            </c:numRef>
          </c:val>
          <c:extLst xmlns:c16r2="http://schemas.microsoft.com/office/drawing/2015/06/chart">
            <c:ext xmlns:c16="http://schemas.microsoft.com/office/drawing/2014/chart" uri="{C3380CC4-5D6E-409C-BE32-E72D297353CC}">
              <c16:uniqueId val="{00000007-35CE-4780-9263-5755A0471453}"/>
            </c:ext>
          </c:extLst>
        </c:ser>
        <c:dLbls>
          <c:showLegendKey val="0"/>
          <c:showVal val="0"/>
          <c:showCatName val="0"/>
          <c:showSerName val="0"/>
          <c:showPercent val="0"/>
          <c:showBubbleSize val="0"/>
        </c:dLbls>
        <c:gapWidth val="150"/>
        <c:axId val="460522624"/>
        <c:axId val="460519880"/>
      </c:barChart>
      <c:catAx>
        <c:axId val="460522624"/>
        <c:scaling>
          <c:orientation val="minMax"/>
        </c:scaling>
        <c:delete val="0"/>
        <c:axPos val="b"/>
        <c:numFmt formatCode="General" sourceLinked="0"/>
        <c:majorTickMark val="out"/>
        <c:minorTickMark val="none"/>
        <c:tickLblPos val="nextTo"/>
        <c:crossAx val="460519880"/>
        <c:crosses val="autoZero"/>
        <c:auto val="1"/>
        <c:lblAlgn val="ctr"/>
        <c:lblOffset val="100"/>
        <c:noMultiLvlLbl val="0"/>
      </c:catAx>
      <c:valAx>
        <c:axId val="46051988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039633093879965E-2"/>
              <c:y val="0.32931758530183725"/>
            </c:manualLayout>
          </c:layout>
          <c:overlay val="0"/>
        </c:title>
        <c:numFmt formatCode="General" sourceLinked="1"/>
        <c:majorTickMark val="out"/>
        <c:minorTickMark val="none"/>
        <c:tickLblPos val="nextTo"/>
        <c:crossAx val="460522624"/>
        <c:crosses val="autoZero"/>
        <c:crossBetween val="between"/>
      </c:valAx>
    </c:plotArea>
    <c:legend>
      <c:legendPos val="r"/>
      <c:layout>
        <c:manualLayout>
          <c:xMode val="edge"/>
          <c:yMode val="edge"/>
          <c:x val="0.55378758239771175"/>
          <c:y val="9.7763404574428198E-2"/>
          <c:w val="0.2096583542923523"/>
          <c:h val="0.1565104361954755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927586683243543"/>
          <c:y val="6.76886322914593E-2"/>
          <c:w val="0.86592291753004569"/>
          <c:h val="0.78453011081948087"/>
        </c:manualLayout>
      </c:layout>
      <c:barChart>
        <c:barDir val="col"/>
        <c:grouping val="clustered"/>
        <c:varyColors val="0"/>
        <c:ser>
          <c:idx val="0"/>
          <c:order val="0"/>
          <c:tx>
            <c:strRef>
              <c:f>Sheet1!$B$1</c:f>
              <c:strCache>
                <c:ptCount val="1"/>
                <c:pt idx="0">
                  <c:v>Ever deployed</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General</c:formatCode>
                <c:ptCount val="4"/>
                <c:pt idx="0">
                  <c:v>11.3</c:v>
                </c:pt>
                <c:pt idx="1">
                  <c:v>5.5</c:v>
                </c:pt>
                <c:pt idx="2">
                  <c:v>9.6</c:v>
                </c:pt>
                <c:pt idx="3">
                  <c:v>23.6</c:v>
                </c:pt>
              </c:numCache>
            </c:numRef>
          </c:val>
          <c:extLst xmlns:c16r2="http://schemas.microsoft.com/office/drawing/2015/06/chart">
            <c:ext xmlns:c16="http://schemas.microsoft.com/office/drawing/2014/chart" uri="{C3380CC4-5D6E-409C-BE32-E72D297353CC}">
              <c16:uniqueId val="{00000000-3E79-46F7-B0D2-FD215FDFEE10}"/>
            </c:ext>
          </c:extLst>
        </c:ser>
        <c:ser>
          <c:idx val="1"/>
          <c:order val="1"/>
          <c:tx>
            <c:strRef>
              <c:f>Sheet1!$C$1</c:f>
              <c:strCache>
                <c:ptCount val="1"/>
                <c:pt idx="0">
                  <c:v>Never deployed </c:v>
                </c:pt>
              </c:strCache>
            </c:strRef>
          </c:tx>
          <c:spPr>
            <a:solidFill>
              <a:schemeClr val="accent2"/>
            </a:solidFill>
            <a:effectLst/>
          </c:spPr>
          <c:invertIfNegative val="0"/>
          <c:dLbls>
            <c:dLbl>
              <c:idx val="1"/>
              <c:layout/>
              <c:tx>
                <c:rich>
                  <a:bodyPr/>
                  <a:lstStyle/>
                  <a:p>
                    <a:r>
                      <a:rPr lang="en-US"/>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79-46F7-B0D2-FD215FDFEE10}"/>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11.3</c:v>
                </c:pt>
                <c:pt idx="1">
                  <c:v>1</c:v>
                </c:pt>
                <c:pt idx="2">
                  <c:v>11.1</c:v>
                </c:pt>
                <c:pt idx="3">
                  <c:v>22.4</c:v>
                </c:pt>
              </c:numCache>
            </c:numRef>
          </c:val>
          <c:extLst xmlns:c16r2="http://schemas.microsoft.com/office/drawing/2015/06/chart">
            <c:ext xmlns:c16="http://schemas.microsoft.com/office/drawing/2014/chart" uri="{C3380CC4-5D6E-409C-BE32-E72D297353CC}">
              <c16:uniqueId val="{00000002-3E79-46F7-B0D2-FD215FDFEE10}"/>
            </c:ext>
          </c:extLst>
        </c:ser>
        <c:dLbls>
          <c:showLegendKey val="0"/>
          <c:showVal val="0"/>
          <c:showCatName val="0"/>
          <c:showSerName val="0"/>
          <c:showPercent val="0"/>
          <c:showBubbleSize val="0"/>
        </c:dLbls>
        <c:gapWidth val="150"/>
        <c:axId val="460519096"/>
        <c:axId val="460521056"/>
      </c:barChart>
      <c:catAx>
        <c:axId val="460519096"/>
        <c:scaling>
          <c:orientation val="minMax"/>
        </c:scaling>
        <c:delete val="0"/>
        <c:axPos val="b"/>
        <c:numFmt formatCode="General" sourceLinked="0"/>
        <c:majorTickMark val="out"/>
        <c:minorTickMark val="none"/>
        <c:tickLblPos val="nextTo"/>
        <c:crossAx val="460521056"/>
        <c:crosses val="autoZero"/>
        <c:auto val="1"/>
        <c:lblAlgn val="ctr"/>
        <c:lblOffset val="100"/>
        <c:noMultiLvlLbl val="0"/>
      </c:catAx>
      <c:valAx>
        <c:axId val="46052105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5.5448542616383482E-3"/>
              <c:y val="0.34009748781402327"/>
            </c:manualLayout>
          </c:layout>
          <c:overlay val="0"/>
        </c:title>
        <c:numFmt formatCode="General" sourceLinked="1"/>
        <c:majorTickMark val="out"/>
        <c:minorTickMark val="none"/>
        <c:tickLblPos val="nextTo"/>
        <c:crossAx val="460519096"/>
        <c:crosses val="autoZero"/>
        <c:crossBetween val="between"/>
      </c:valAx>
    </c:plotArea>
    <c:legend>
      <c:legendPos val="r"/>
      <c:layout>
        <c:manualLayout>
          <c:xMode val="edge"/>
          <c:yMode val="edge"/>
          <c:x val="0.45584098862642164"/>
          <c:y val="0.1120164178696413"/>
          <c:w val="0.26619168393424508"/>
          <c:h val="0.1087530016194784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136067366579177"/>
          <c:y val="0.10220399533391659"/>
          <c:w val="0.82338035870516191"/>
          <c:h val="0.76289880431612711"/>
        </c:manualLayout>
      </c:layout>
      <c:barChart>
        <c:barDir val="col"/>
        <c:grouping val="clustered"/>
        <c:varyColors val="0"/>
        <c:ser>
          <c:idx val="0"/>
          <c:order val="0"/>
          <c:tx>
            <c:strRef>
              <c:f>Sheet1!$B$1</c:f>
              <c:strCache>
                <c:ptCount val="1"/>
                <c:pt idx="0">
                  <c:v>3 months – 3.9 years </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0.0</c:formatCode>
                <c:ptCount val="4"/>
                <c:pt idx="0">
                  <c:v>22.6</c:v>
                </c:pt>
                <c:pt idx="1">
                  <c:v>1.7</c:v>
                </c:pt>
                <c:pt idx="2">
                  <c:v>3.6</c:v>
                </c:pt>
                <c:pt idx="3">
                  <c:v>26.3</c:v>
                </c:pt>
              </c:numCache>
            </c:numRef>
          </c:val>
          <c:extLst xmlns:c16r2="http://schemas.microsoft.com/office/drawing/2015/06/chart">
            <c:ext xmlns:c16="http://schemas.microsoft.com/office/drawing/2014/chart" uri="{C3380CC4-5D6E-409C-BE32-E72D297353CC}">
              <c16:uniqueId val="{00000000-61D0-488D-BED1-29B6ABD1336D}"/>
            </c:ext>
          </c:extLst>
        </c:ser>
        <c:ser>
          <c:idx val="1"/>
          <c:order val="1"/>
          <c:tx>
            <c:strRef>
              <c:f>Sheet1!$C$1</c:f>
              <c:strCache>
                <c:ptCount val="1"/>
                <c:pt idx="0">
                  <c:v>4–7.9 years </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0.0</c:formatCode>
                <c:ptCount val="4"/>
                <c:pt idx="0">
                  <c:v>9.3000000000000007</c:v>
                </c:pt>
                <c:pt idx="1">
                  <c:v>2.7</c:v>
                </c:pt>
                <c:pt idx="2">
                  <c:v>14.6</c:v>
                </c:pt>
                <c:pt idx="3">
                  <c:v>26.3</c:v>
                </c:pt>
              </c:numCache>
            </c:numRef>
          </c:val>
          <c:extLst xmlns:c16r2="http://schemas.microsoft.com/office/drawing/2015/06/chart">
            <c:ext xmlns:c16="http://schemas.microsoft.com/office/drawing/2014/chart" uri="{C3380CC4-5D6E-409C-BE32-E72D297353CC}">
              <c16:uniqueId val="{00000001-61D0-488D-BED1-29B6ABD1336D}"/>
            </c:ext>
          </c:extLst>
        </c:ser>
        <c:ser>
          <c:idx val="2"/>
          <c:order val="2"/>
          <c:tx>
            <c:strRef>
              <c:f>Sheet1!$D$1</c:f>
              <c:strCache>
                <c:ptCount val="1"/>
                <c:pt idx="0">
                  <c:v>8–11.9 years </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Sheet1!$D$2:$D$5</c:f>
              <c:numCache>
                <c:formatCode>0.0</c:formatCode>
                <c:ptCount val="4"/>
                <c:pt idx="0">
                  <c:v>12.2</c:v>
                </c:pt>
                <c:pt idx="1">
                  <c:v>9.4</c:v>
                </c:pt>
                <c:pt idx="2">
                  <c:v>11.4</c:v>
                </c:pt>
                <c:pt idx="3">
                  <c:v>26.8</c:v>
                </c:pt>
              </c:numCache>
            </c:numRef>
          </c:val>
          <c:extLst xmlns:c16r2="http://schemas.microsoft.com/office/drawing/2015/06/chart">
            <c:ext xmlns:c16="http://schemas.microsoft.com/office/drawing/2014/chart" uri="{C3380CC4-5D6E-409C-BE32-E72D297353CC}">
              <c16:uniqueId val="{00000002-61D0-488D-BED1-29B6ABD1336D}"/>
            </c:ext>
          </c:extLst>
        </c:ser>
        <c:ser>
          <c:idx val="3"/>
          <c:order val="3"/>
          <c:tx>
            <c:strRef>
              <c:f>Sheet1!$E$1</c:f>
              <c:strCache>
                <c:ptCount val="1"/>
                <c:pt idx="0">
                  <c:v>12–15.9 years </c:v>
                </c:pt>
              </c:strCache>
            </c:strRef>
          </c:tx>
          <c:spPr>
            <a:solidFill>
              <a:schemeClr val="accent4"/>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Sheet1!$E$2:$E$5</c:f>
              <c:numCache>
                <c:formatCode>0.0</c:formatCode>
                <c:ptCount val="4"/>
                <c:pt idx="0">
                  <c:v>12.5</c:v>
                </c:pt>
                <c:pt idx="1">
                  <c:v>6.1</c:v>
                </c:pt>
                <c:pt idx="2">
                  <c:v>6</c:v>
                </c:pt>
                <c:pt idx="3">
                  <c:v>19.2</c:v>
                </c:pt>
              </c:numCache>
            </c:numRef>
          </c:val>
          <c:extLst xmlns:c16r2="http://schemas.microsoft.com/office/drawing/2015/06/chart">
            <c:ext xmlns:c16="http://schemas.microsoft.com/office/drawing/2014/chart" uri="{C3380CC4-5D6E-409C-BE32-E72D297353CC}">
              <c16:uniqueId val="{00000003-61D0-488D-BED1-29B6ABD1336D}"/>
            </c:ext>
          </c:extLst>
        </c:ser>
        <c:ser>
          <c:idx val="4"/>
          <c:order val="4"/>
          <c:tx>
            <c:strRef>
              <c:f>Sheet1!$F$1</c:f>
              <c:strCache>
                <c:ptCount val="1"/>
                <c:pt idx="0">
                  <c:v>16–19.9 years </c:v>
                </c:pt>
              </c:strCache>
            </c:strRef>
          </c:tx>
          <c:spPr>
            <a:solidFill>
              <a:schemeClr val="accent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Sheet1!$F$2:$F$5</c:f>
              <c:numCache>
                <c:formatCode>0.0</c:formatCode>
                <c:ptCount val="4"/>
                <c:pt idx="0">
                  <c:v>10</c:v>
                </c:pt>
                <c:pt idx="1">
                  <c:v>3.4</c:v>
                </c:pt>
                <c:pt idx="2">
                  <c:v>7.9</c:v>
                </c:pt>
                <c:pt idx="3">
                  <c:v>20</c:v>
                </c:pt>
              </c:numCache>
            </c:numRef>
          </c:val>
          <c:extLst xmlns:c16r2="http://schemas.microsoft.com/office/drawing/2015/06/chart">
            <c:ext xmlns:c16="http://schemas.microsoft.com/office/drawing/2014/chart" uri="{C3380CC4-5D6E-409C-BE32-E72D297353CC}">
              <c16:uniqueId val="{00000004-61D0-488D-BED1-29B6ABD1336D}"/>
            </c:ext>
          </c:extLst>
        </c:ser>
        <c:ser>
          <c:idx val="5"/>
          <c:order val="5"/>
          <c:tx>
            <c:strRef>
              <c:f>Sheet1!$G$1</c:f>
              <c:strCache>
                <c:ptCount val="1"/>
                <c:pt idx="0">
                  <c:v>&gt; 20 years </c:v>
                </c:pt>
              </c:strCache>
            </c:strRef>
          </c:tx>
          <c:spPr>
            <a:solidFill>
              <a:schemeClr val="accent6"/>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Sheet1!$G$2:$G$5</c:f>
              <c:numCache>
                <c:formatCode>0.0</c:formatCode>
                <c:ptCount val="4"/>
                <c:pt idx="0">
                  <c:v>11.5</c:v>
                </c:pt>
                <c:pt idx="1">
                  <c:v>6.1</c:v>
                </c:pt>
                <c:pt idx="2">
                  <c:v>4.5</c:v>
                </c:pt>
                <c:pt idx="3">
                  <c:v>18.600000000000001</c:v>
                </c:pt>
              </c:numCache>
            </c:numRef>
          </c:val>
          <c:extLst xmlns:c16r2="http://schemas.microsoft.com/office/drawing/2015/06/chart">
            <c:ext xmlns:c16="http://schemas.microsoft.com/office/drawing/2014/chart" uri="{C3380CC4-5D6E-409C-BE32-E72D297353CC}">
              <c16:uniqueId val="{00000005-61D0-488D-BED1-29B6ABD1336D}"/>
            </c:ext>
          </c:extLst>
        </c:ser>
        <c:dLbls>
          <c:showLegendKey val="0"/>
          <c:showVal val="0"/>
          <c:showCatName val="0"/>
          <c:showSerName val="0"/>
          <c:showPercent val="0"/>
          <c:showBubbleSize val="0"/>
        </c:dLbls>
        <c:gapWidth val="150"/>
        <c:axId val="460517136"/>
        <c:axId val="460513608"/>
      </c:barChart>
      <c:catAx>
        <c:axId val="460517136"/>
        <c:scaling>
          <c:orientation val="minMax"/>
        </c:scaling>
        <c:delete val="0"/>
        <c:axPos val="b"/>
        <c:numFmt formatCode="General" sourceLinked="0"/>
        <c:majorTickMark val="out"/>
        <c:minorTickMark val="none"/>
        <c:tickLblPos val="nextTo"/>
        <c:crossAx val="460513608"/>
        <c:crosses val="autoZero"/>
        <c:auto val="1"/>
        <c:lblAlgn val="ctr"/>
        <c:lblOffset val="100"/>
        <c:noMultiLvlLbl val="0"/>
      </c:catAx>
      <c:valAx>
        <c:axId val="460513608"/>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1.4046369203849522E-3"/>
              <c:y val="0.3700847124648341"/>
            </c:manualLayout>
          </c:layout>
          <c:overlay val="0"/>
        </c:title>
        <c:numFmt formatCode="0.0" sourceLinked="1"/>
        <c:majorTickMark val="out"/>
        <c:minorTickMark val="none"/>
        <c:tickLblPos val="nextTo"/>
        <c:crossAx val="460517136"/>
        <c:crosses val="autoZero"/>
        <c:crossBetween val="between"/>
      </c:valAx>
    </c:plotArea>
    <c:legend>
      <c:legendPos val="r"/>
      <c:layout>
        <c:manualLayout>
          <c:xMode val="edge"/>
          <c:yMode val="edge"/>
          <c:x val="0.28567169728783903"/>
          <c:y val="6.3974571985841222E-2"/>
          <c:w val="0.25477209098862641"/>
          <c:h val="0.3023169517603402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18804646274561"/>
          <c:y val="8.1776549091238201E-2"/>
          <c:w val="0.86651669307424395"/>
          <c:h val="0.56511638239577422"/>
        </c:manualLayout>
      </c:layout>
      <c:barChart>
        <c:barDir val="col"/>
        <c:grouping val="clustered"/>
        <c:varyColors val="0"/>
        <c:ser>
          <c:idx val="0"/>
          <c:order val="0"/>
          <c:tx>
            <c:strRef>
              <c:f>Sheet1!$B$1</c:f>
              <c:strCache>
                <c:ptCount val="1"/>
                <c:pt idx="0">
                  <c:v>Male </c:v>
                </c:pt>
              </c:strCache>
            </c:strRef>
          </c:tx>
          <c:spPr>
            <a:solidFill>
              <a:schemeClr val="accent1"/>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16.2</c:v>
                </c:pt>
                <c:pt idx="1">
                  <c:v>5.7</c:v>
                </c:pt>
                <c:pt idx="2">
                  <c:v>12.5</c:v>
                </c:pt>
                <c:pt idx="3">
                  <c:v>10.4</c:v>
                </c:pt>
                <c:pt idx="4">
                  <c:v>7.6</c:v>
                </c:pt>
                <c:pt idx="5">
                  <c:v>3.8</c:v>
                </c:pt>
                <c:pt idx="6">
                  <c:v>4.0999999999999996</c:v>
                </c:pt>
                <c:pt idx="7">
                  <c:v>16.600000000000001</c:v>
                </c:pt>
                <c:pt idx="8">
                  <c:v>36.299999999999997</c:v>
                </c:pt>
              </c:numCache>
            </c:numRef>
          </c:val>
          <c:extLst xmlns:c16r2="http://schemas.microsoft.com/office/drawing/2015/06/chart">
            <c:ext xmlns:c16="http://schemas.microsoft.com/office/drawing/2014/chart" uri="{C3380CC4-5D6E-409C-BE32-E72D297353CC}">
              <c16:uniqueId val="{00000000-DF45-4D36-8B59-D59E9B1C61FE}"/>
            </c:ext>
          </c:extLst>
        </c:ser>
        <c:ser>
          <c:idx val="1"/>
          <c:order val="1"/>
          <c:tx>
            <c:strRef>
              <c:f>Sheet1!$C$1</c:f>
              <c:strCache>
                <c:ptCount val="1"/>
                <c:pt idx="0">
                  <c:v>Female </c:v>
                </c:pt>
              </c:strCache>
            </c:strRef>
          </c:tx>
          <c:spPr>
            <a:solidFill>
              <a:schemeClr val="accent2"/>
            </a:solidFill>
            <a:effectLst/>
          </c:spPr>
          <c:invertIfNegative val="0"/>
          <c:dLbls>
            <c:dLbl>
              <c:idx val="1"/>
              <c:layout/>
              <c:tx>
                <c:rich>
                  <a:bodyPr/>
                  <a:lstStyle/>
                  <a:p>
                    <a:r>
                      <a:rPr lang="en-US"/>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B7-4DB9-BC44-08D2B7FD47B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22.8</c:v>
                </c:pt>
                <c:pt idx="1">
                  <c:v>3</c:v>
                </c:pt>
                <c:pt idx="2">
                  <c:v>7.9</c:v>
                </c:pt>
                <c:pt idx="3">
                  <c:v>14.9</c:v>
                </c:pt>
                <c:pt idx="4">
                  <c:v>8.6999999999999993</c:v>
                </c:pt>
                <c:pt idx="5">
                  <c:v>3.1</c:v>
                </c:pt>
                <c:pt idx="6">
                  <c:v>4.0999999999999996</c:v>
                </c:pt>
                <c:pt idx="7">
                  <c:v>24.8</c:v>
                </c:pt>
                <c:pt idx="8">
                  <c:v>41.9</c:v>
                </c:pt>
              </c:numCache>
            </c:numRef>
          </c:val>
          <c:extLst xmlns:c16r2="http://schemas.microsoft.com/office/drawing/2015/06/chart">
            <c:ext xmlns:c16="http://schemas.microsoft.com/office/drawing/2014/chart" uri="{C3380CC4-5D6E-409C-BE32-E72D297353CC}">
              <c16:uniqueId val="{00000001-DF45-4D36-8B59-D59E9B1C61FE}"/>
            </c:ext>
          </c:extLst>
        </c:ser>
        <c:dLbls>
          <c:showLegendKey val="0"/>
          <c:showVal val="0"/>
          <c:showCatName val="0"/>
          <c:showSerName val="0"/>
          <c:showPercent val="0"/>
          <c:showBubbleSize val="0"/>
        </c:dLbls>
        <c:gapWidth val="150"/>
        <c:axId val="440853560"/>
        <c:axId val="440858264"/>
      </c:barChart>
      <c:catAx>
        <c:axId val="440853560"/>
        <c:scaling>
          <c:orientation val="minMax"/>
        </c:scaling>
        <c:delete val="0"/>
        <c:axPos val="b"/>
        <c:numFmt formatCode="General" sourceLinked="0"/>
        <c:majorTickMark val="out"/>
        <c:minorTickMark val="none"/>
        <c:tickLblPos val="nextTo"/>
        <c:crossAx val="440858264"/>
        <c:crosses val="autoZero"/>
        <c:auto val="1"/>
        <c:lblAlgn val="ctr"/>
        <c:lblOffset val="100"/>
        <c:noMultiLvlLbl val="0"/>
      </c:catAx>
      <c:valAx>
        <c:axId val="44085826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5.1293902727567861E-3"/>
              <c:y val="0.28628868099951454"/>
            </c:manualLayout>
          </c:layout>
          <c:overlay val="0"/>
        </c:title>
        <c:numFmt formatCode="General" sourceLinked="1"/>
        <c:majorTickMark val="out"/>
        <c:minorTickMark val="none"/>
        <c:tickLblPos val="nextTo"/>
        <c:crossAx val="440853560"/>
        <c:crosses val="autoZero"/>
        <c:crossBetween val="between"/>
      </c:valAx>
    </c:plotArea>
    <c:legend>
      <c:legendPos val="r"/>
      <c:layout>
        <c:manualLayout>
          <c:xMode val="edge"/>
          <c:yMode val="edge"/>
          <c:x val="0.63116173371410333"/>
          <c:y val="9.7907009272743734E-2"/>
          <c:w val="0.11619165339215801"/>
          <c:h val="0.11139644753708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77848636689"/>
          <c:y val="6.7675159235668803E-2"/>
          <c:w val="0.83225662133142397"/>
          <c:h val="0.79671806649168853"/>
        </c:manualLayout>
      </c:layout>
      <c:barChart>
        <c:barDir val="col"/>
        <c:grouping val="clustered"/>
        <c:varyColors val="0"/>
        <c:ser>
          <c:idx val="0"/>
          <c:order val="0"/>
          <c:tx>
            <c:strRef>
              <c:f>Sheet1!$B$1</c:f>
              <c:strCache>
                <c:ptCount val="1"/>
                <c:pt idx="0">
                  <c:v>0 (under 1 year)</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General</c:formatCode>
                <c:ptCount val="4"/>
                <c:pt idx="0">
                  <c:v>8.3000000000000007</c:v>
                </c:pt>
                <c:pt idx="1">
                  <c:v>3.7</c:v>
                </c:pt>
                <c:pt idx="2">
                  <c:v>14.3</c:v>
                </c:pt>
                <c:pt idx="3">
                  <c:v>22.6</c:v>
                </c:pt>
              </c:numCache>
            </c:numRef>
          </c:val>
          <c:extLst xmlns:c16r2="http://schemas.microsoft.com/office/drawing/2015/06/chart">
            <c:ext xmlns:c16="http://schemas.microsoft.com/office/drawing/2014/chart" uri="{C3380CC4-5D6E-409C-BE32-E72D297353CC}">
              <c16:uniqueId val="{00000000-A89A-48E7-84A2-C826CAD2C71D}"/>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13.9</c:v>
                </c:pt>
                <c:pt idx="1">
                  <c:v>4.7</c:v>
                </c:pt>
                <c:pt idx="2">
                  <c:v>14.8</c:v>
                </c:pt>
                <c:pt idx="3">
                  <c:v>31.3</c:v>
                </c:pt>
              </c:numCache>
            </c:numRef>
          </c:val>
          <c:extLst xmlns:c16r2="http://schemas.microsoft.com/office/drawing/2015/06/chart">
            <c:ext xmlns:c16="http://schemas.microsoft.com/office/drawing/2014/chart" uri="{C3380CC4-5D6E-409C-BE32-E72D297353CC}">
              <c16:uniqueId val="{00000001-A89A-48E7-84A2-C826CAD2C71D}"/>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Sheet1!$D$2:$D$5</c:f>
              <c:numCache>
                <c:formatCode>General</c:formatCode>
                <c:ptCount val="4"/>
                <c:pt idx="0">
                  <c:v>9.2000000000000011</c:v>
                </c:pt>
                <c:pt idx="1">
                  <c:v>4.8</c:v>
                </c:pt>
                <c:pt idx="2">
                  <c:v>10.199999999999999</c:v>
                </c:pt>
                <c:pt idx="3">
                  <c:v>19.7</c:v>
                </c:pt>
              </c:numCache>
            </c:numRef>
          </c:val>
          <c:extLst xmlns:c16r2="http://schemas.microsoft.com/office/drawing/2015/06/chart">
            <c:ext xmlns:c16="http://schemas.microsoft.com/office/drawing/2014/chart" uri="{C3380CC4-5D6E-409C-BE32-E72D297353CC}">
              <c16:uniqueId val="{00000002-A89A-48E7-84A2-C826CAD2C71D}"/>
            </c:ext>
          </c:extLst>
        </c:ser>
        <c:ser>
          <c:idx val="3"/>
          <c:order val="3"/>
          <c:tx>
            <c:strRef>
              <c:f>Sheet1!$E$1</c:f>
              <c:strCache>
                <c:ptCount val="1"/>
                <c:pt idx="0">
                  <c:v>3 years</c:v>
                </c:pt>
              </c:strCache>
            </c:strRef>
          </c:tx>
          <c:spPr>
            <a:solidFill>
              <a:schemeClr val="accent4"/>
            </a:solidFill>
            <a:effectLst/>
          </c:spPr>
          <c:invertIfNegative val="0"/>
          <c:dLbls>
            <c:dLbl>
              <c:idx val="2"/>
              <c:layout/>
              <c:tx>
                <c:rich>
                  <a:bodyPr/>
                  <a:lstStyle/>
                  <a:p>
                    <a:r>
                      <a:rPr lang="en-US"/>
                      <a:t>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9A-48E7-84A2-C826CAD2C71D}"/>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Sheet1!$E$2:$E$5</c:f>
              <c:numCache>
                <c:formatCode>General</c:formatCode>
                <c:ptCount val="4"/>
                <c:pt idx="0">
                  <c:v>11.1</c:v>
                </c:pt>
                <c:pt idx="1">
                  <c:v>2.9</c:v>
                </c:pt>
                <c:pt idx="2">
                  <c:v>6</c:v>
                </c:pt>
                <c:pt idx="3">
                  <c:v>19.399999999999999</c:v>
                </c:pt>
              </c:numCache>
            </c:numRef>
          </c:val>
          <c:extLst xmlns:c16r2="http://schemas.microsoft.com/office/drawing/2015/06/chart">
            <c:ext xmlns:c16="http://schemas.microsoft.com/office/drawing/2014/chart" uri="{C3380CC4-5D6E-409C-BE32-E72D297353CC}">
              <c16:uniqueId val="{00000004-A89A-48E7-84A2-C826CAD2C71D}"/>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Sheet1!$F$2:$F$5</c:f>
              <c:numCache>
                <c:formatCode>General</c:formatCode>
                <c:ptCount val="4"/>
                <c:pt idx="0">
                  <c:v>15.4</c:v>
                </c:pt>
                <c:pt idx="1">
                  <c:v>8.1</c:v>
                </c:pt>
                <c:pt idx="2">
                  <c:v>8.9</c:v>
                </c:pt>
                <c:pt idx="3">
                  <c:v>28.8</c:v>
                </c:pt>
              </c:numCache>
            </c:numRef>
          </c:val>
          <c:extLst xmlns:c16r2="http://schemas.microsoft.com/office/drawing/2015/06/chart">
            <c:ext xmlns:c16="http://schemas.microsoft.com/office/drawing/2014/chart" uri="{C3380CC4-5D6E-409C-BE32-E72D297353CC}">
              <c16:uniqueId val="{00000005-A89A-48E7-84A2-C826CAD2C71D}"/>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Sheet1!$G$2:$G$5</c:f>
              <c:numCache>
                <c:formatCode>General</c:formatCode>
                <c:ptCount val="4"/>
                <c:pt idx="0">
                  <c:v>11.2</c:v>
                </c:pt>
                <c:pt idx="1">
                  <c:v>5.7</c:v>
                </c:pt>
                <c:pt idx="2">
                  <c:v>10.1</c:v>
                </c:pt>
                <c:pt idx="3">
                  <c:v>24.5</c:v>
                </c:pt>
              </c:numCache>
            </c:numRef>
          </c:val>
          <c:extLst xmlns:c16r2="http://schemas.microsoft.com/office/drawing/2015/06/chart">
            <c:ext xmlns:c16="http://schemas.microsoft.com/office/drawing/2014/chart" uri="{C3380CC4-5D6E-409C-BE32-E72D297353CC}">
              <c16:uniqueId val="{00000006-A89A-48E7-84A2-C826CAD2C71D}"/>
            </c:ext>
          </c:extLst>
        </c:ser>
        <c:dLbls>
          <c:showLegendKey val="0"/>
          <c:showVal val="0"/>
          <c:showCatName val="0"/>
          <c:showSerName val="0"/>
          <c:showPercent val="0"/>
          <c:showBubbleSize val="0"/>
        </c:dLbls>
        <c:gapWidth val="150"/>
        <c:axId val="460520272"/>
        <c:axId val="460515568"/>
      </c:barChart>
      <c:catAx>
        <c:axId val="460520272"/>
        <c:scaling>
          <c:orientation val="minMax"/>
        </c:scaling>
        <c:delete val="0"/>
        <c:axPos val="b"/>
        <c:numFmt formatCode="General" sourceLinked="0"/>
        <c:majorTickMark val="out"/>
        <c:minorTickMark val="none"/>
        <c:tickLblPos val="nextTo"/>
        <c:crossAx val="460515568"/>
        <c:crosses val="autoZero"/>
        <c:auto val="1"/>
        <c:lblAlgn val="ctr"/>
        <c:lblOffset val="100"/>
        <c:noMultiLvlLbl val="0"/>
      </c:catAx>
      <c:valAx>
        <c:axId val="46051556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5.464169919936479E-3"/>
              <c:y val="0.37420541182352207"/>
            </c:manualLayout>
          </c:layout>
          <c:overlay val="0"/>
        </c:title>
        <c:numFmt formatCode="General" sourceLinked="1"/>
        <c:majorTickMark val="out"/>
        <c:minorTickMark val="none"/>
        <c:tickLblPos val="nextTo"/>
        <c:crossAx val="460520272"/>
        <c:crosses val="autoZero"/>
        <c:crossBetween val="between"/>
      </c:valAx>
    </c:plotArea>
    <c:legend>
      <c:legendPos val="r"/>
      <c:layout>
        <c:manualLayout>
          <c:xMode val="edge"/>
          <c:yMode val="edge"/>
          <c:x val="0.30432379007017429"/>
          <c:y val="8.4316341191296024E-2"/>
          <c:w val="0.27978605615474539"/>
          <c:h val="0.2852430946131733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55197345614817"/>
          <c:y val="5.9473190851143609E-2"/>
          <c:w val="0.85515640733587561"/>
          <c:h val="0.81211661042369698"/>
        </c:manualLayout>
      </c:layout>
      <c:barChart>
        <c:barDir val="col"/>
        <c:grouping val="clustered"/>
        <c:varyColors val="0"/>
        <c:ser>
          <c:idx val="0"/>
          <c:order val="0"/>
          <c:tx>
            <c:strRef>
              <c:f>Sheet1!$B$1</c:f>
              <c:strCache>
                <c:ptCount val="1"/>
                <c:pt idx="0">
                  <c:v>Medical discharge</c:v>
                </c:pt>
              </c:strCache>
            </c:strRef>
          </c:tx>
          <c:spPr>
            <a:solidFill>
              <a:schemeClr val="accent1"/>
            </a:solidFill>
            <a:effectLst/>
          </c:spPr>
          <c:invertIfNegative val="0"/>
          <c:dLbls>
            <c:dLbl>
              <c:idx val="0"/>
              <c:layout/>
              <c:tx>
                <c:rich>
                  <a:bodyPr/>
                  <a:lstStyle/>
                  <a:p>
                    <a:r>
                      <a:rPr lang="en-US"/>
                      <a:t>18.2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CF-4019-B08C-0DAED9D19CE5}"/>
                </c:ext>
                <c:ext xmlns:c15="http://schemas.microsoft.com/office/drawing/2012/chart" uri="{CE6537A1-D6FC-4f65-9D91-7224C49458BB}">
                  <c15:layout/>
                </c:ext>
              </c:extLst>
            </c:dLbl>
            <c:dLbl>
              <c:idx val="1"/>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CF-4019-B08C-0DAED9D19CE5}"/>
                </c:ext>
                <c:ext xmlns:c15="http://schemas.microsoft.com/office/drawing/2012/chart" uri="{CE6537A1-D6FC-4f65-9D91-7224C49458BB}">
                  <c15:layout/>
                </c:ext>
              </c:extLst>
            </c:dLbl>
            <c:dLbl>
              <c:idx val="2"/>
              <c:layout/>
              <c:tx>
                <c:rich>
                  <a:bodyPr/>
                  <a:lstStyle/>
                  <a:p>
                    <a:r>
                      <a:rPr lang="en-US"/>
                      <a:t>17.2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CF-4019-B08C-0DAED9D19CE5}"/>
                </c:ext>
                <c:ext xmlns:c15="http://schemas.microsoft.com/office/drawing/2012/chart" uri="{CE6537A1-D6FC-4f65-9D91-7224C49458BB}">
                  <c15:layout/>
                </c:ext>
              </c:extLst>
            </c:dLbl>
            <c:dLbl>
              <c:idx val="3"/>
              <c:layout/>
              <c:tx>
                <c:rich>
                  <a:bodyPr/>
                  <a:lstStyle/>
                  <a:p>
                    <a:r>
                      <a:rPr lang="en-US"/>
                      <a:t>39.5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CF-4019-B08C-0DAED9D19CE5}"/>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General</c:formatCode>
                <c:ptCount val="4"/>
                <c:pt idx="0">
                  <c:v>18.2</c:v>
                </c:pt>
                <c:pt idx="1">
                  <c:v>9.1</c:v>
                </c:pt>
                <c:pt idx="2">
                  <c:v>17.2</c:v>
                </c:pt>
                <c:pt idx="3">
                  <c:v>39.5</c:v>
                </c:pt>
              </c:numCache>
            </c:numRef>
          </c:val>
          <c:extLst xmlns:c16r2="http://schemas.microsoft.com/office/drawing/2015/06/chart">
            <c:ext xmlns:c16="http://schemas.microsoft.com/office/drawing/2014/chart" uri="{C3380CC4-5D6E-409C-BE32-E72D297353CC}">
              <c16:uniqueId val="{00000004-DFCF-4019-B08C-0DAED9D19CE5}"/>
            </c:ext>
          </c:extLst>
        </c:ser>
        <c:ser>
          <c:idx val="1"/>
          <c:order val="1"/>
          <c:tx>
            <c:strRef>
              <c:f>Sheet1!$C$1</c:f>
              <c:strCache>
                <c:ptCount val="1"/>
                <c:pt idx="0">
                  <c:v>Other discharge type</c:v>
                </c:pt>
              </c:strCache>
            </c:strRef>
          </c:tx>
          <c:spPr>
            <a:solidFill>
              <a:schemeClr val="accent2"/>
            </a:solidFill>
            <a:effectLst/>
          </c:spPr>
          <c:invertIfNegative val="0"/>
          <c:dLbls>
            <c:dLbl>
              <c:idx val="1"/>
              <c:layout/>
              <c:tx>
                <c:rich>
                  <a:bodyPr/>
                  <a:lstStyle/>
                  <a:p>
                    <a:r>
                      <a:rPr lang="en-US"/>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CF-4019-B08C-0DAED9D19CE5}"/>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8.6999999999999993</c:v>
                </c:pt>
                <c:pt idx="1">
                  <c:v>3</c:v>
                </c:pt>
                <c:pt idx="2">
                  <c:v>7.2</c:v>
                </c:pt>
                <c:pt idx="3">
                  <c:v>17.399999999999999</c:v>
                </c:pt>
              </c:numCache>
            </c:numRef>
          </c:val>
          <c:extLst xmlns:c16r2="http://schemas.microsoft.com/office/drawing/2015/06/chart">
            <c:ext xmlns:c16="http://schemas.microsoft.com/office/drawing/2014/chart" uri="{C3380CC4-5D6E-409C-BE32-E72D297353CC}">
              <c16:uniqueId val="{00000006-DFCF-4019-B08C-0DAED9D19CE5}"/>
            </c:ext>
          </c:extLst>
        </c:ser>
        <c:dLbls>
          <c:showLegendKey val="0"/>
          <c:showVal val="0"/>
          <c:showCatName val="0"/>
          <c:showSerName val="0"/>
          <c:showPercent val="0"/>
          <c:showBubbleSize val="0"/>
        </c:dLbls>
        <c:gapWidth val="150"/>
        <c:axId val="460517528"/>
        <c:axId val="460514000"/>
      </c:barChart>
      <c:catAx>
        <c:axId val="460517528"/>
        <c:scaling>
          <c:orientation val="minMax"/>
        </c:scaling>
        <c:delete val="0"/>
        <c:axPos val="b"/>
        <c:numFmt formatCode="General" sourceLinked="0"/>
        <c:majorTickMark val="out"/>
        <c:minorTickMark val="none"/>
        <c:tickLblPos val="nextTo"/>
        <c:crossAx val="460514000"/>
        <c:crosses val="autoZero"/>
        <c:auto val="1"/>
        <c:lblAlgn val="ctr"/>
        <c:lblOffset val="100"/>
        <c:noMultiLvlLbl val="0"/>
      </c:catAx>
      <c:valAx>
        <c:axId val="46051400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9.6653955991350144E-3"/>
              <c:y val="0.35646387951506064"/>
            </c:manualLayout>
          </c:layout>
          <c:overlay val="0"/>
        </c:title>
        <c:numFmt formatCode="General" sourceLinked="1"/>
        <c:majorTickMark val="out"/>
        <c:minorTickMark val="none"/>
        <c:tickLblPos val="nextTo"/>
        <c:crossAx val="460517528"/>
        <c:crosses val="autoZero"/>
        <c:crossBetween val="between"/>
      </c:valAx>
    </c:plotArea>
    <c:legend>
      <c:legendPos val="r"/>
      <c:layout>
        <c:manualLayout>
          <c:xMode val="edge"/>
          <c:yMode val="edge"/>
          <c:x val="0.4522202963623258"/>
          <c:y val="8.3333333333333329E-2"/>
          <c:w val="0.28030483610932283"/>
          <c:h val="0.1178902637170353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5233304170312"/>
          <c:y val="6.7460317460317401E-2"/>
          <c:w val="0.83805676535777995"/>
          <c:h val="0.79889144065325168"/>
        </c:manualLayout>
      </c:layout>
      <c:barChart>
        <c:barDir val="col"/>
        <c:grouping val="clustered"/>
        <c:varyColors val="0"/>
        <c:ser>
          <c:idx val="0"/>
          <c:order val="0"/>
          <c:tx>
            <c:strRef>
              <c:f>Sheet1!$B$1</c:f>
              <c:strCache>
                <c:ptCount val="1"/>
                <c:pt idx="0">
                  <c:v>Not a DVA Client </c:v>
                </c:pt>
              </c:strCache>
            </c:strRef>
          </c:tx>
          <c:spPr>
            <a:solidFill>
              <a:schemeClr val="accent1"/>
            </a:solidFill>
            <a:effectLst/>
          </c:spPr>
          <c:invertIfNegative val="0"/>
          <c:dLbls>
            <c:dLbl>
              <c:idx val="2"/>
              <c:layout/>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95-44CF-B243-E863609A1D06}"/>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Sheet1!$B$2:$B$5</c:f>
              <c:numCache>
                <c:formatCode>General</c:formatCode>
                <c:ptCount val="4"/>
                <c:pt idx="0">
                  <c:v>6.4</c:v>
                </c:pt>
                <c:pt idx="1">
                  <c:v>1.3</c:v>
                </c:pt>
                <c:pt idx="2">
                  <c:v>10</c:v>
                </c:pt>
                <c:pt idx="3">
                  <c:v>16.600000000000001</c:v>
                </c:pt>
              </c:numCache>
            </c:numRef>
          </c:val>
          <c:extLst xmlns:c16r2="http://schemas.microsoft.com/office/drawing/2015/06/chart">
            <c:ext xmlns:c16="http://schemas.microsoft.com/office/drawing/2014/chart" uri="{C3380CC4-5D6E-409C-BE32-E72D297353CC}">
              <c16:uniqueId val="{00000001-AE95-44CF-B243-E863609A1D06}"/>
            </c:ext>
          </c:extLst>
        </c:ser>
        <c:ser>
          <c:idx val="1"/>
          <c:order val="1"/>
          <c:tx>
            <c:strRef>
              <c:f>Sheet1!$C$1</c:f>
              <c:strCache>
                <c:ptCount val="1"/>
                <c:pt idx="0">
                  <c:v>DVA Client </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Depressive episodes</c:v>
                </c:pt>
                <c:pt idx="1">
                  <c:v>Dysthymia</c:v>
                </c:pt>
                <c:pt idx="2">
                  <c:v>Bipolar affective disorder</c:v>
                </c:pt>
                <c:pt idx="3">
                  <c:v>Any affective disorder</c:v>
                </c:pt>
              </c:strCache>
            </c:strRef>
          </c:cat>
          <c:val>
            <c:numRef>
              <c:f>Sheet1!$C$2:$C$5</c:f>
              <c:numCache>
                <c:formatCode>General</c:formatCode>
                <c:ptCount val="4"/>
                <c:pt idx="0">
                  <c:v>14.7</c:v>
                </c:pt>
                <c:pt idx="1">
                  <c:v>6.9</c:v>
                </c:pt>
                <c:pt idx="2">
                  <c:v>10.199999999999999</c:v>
                </c:pt>
                <c:pt idx="3">
                  <c:v>28.4</c:v>
                </c:pt>
              </c:numCache>
            </c:numRef>
          </c:val>
          <c:extLst xmlns:c16r2="http://schemas.microsoft.com/office/drawing/2015/06/chart">
            <c:ext xmlns:c16="http://schemas.microsoft.com/office/drawing/2014/chart" uri="{C3380CC4-5D6E-409C-BE32-E72D297353CC}">
              <c16:uniqueId val="{00000002-AE95-44CF-B243-E863609A1D06}"/>
            </c:ext>
          </c:extLst>
        </c:ser>
        <c:dLbls>
          <c:showLegendKey val="0"/>
          <c:showVal val="0"/>
          <c:showCatName val="0"/>
          <c:showSerName val="0"/>
          <c:showPercent val="0"/>
          <c:showBubbleSize val="0"/>
        </c:dLbls>
        <c:gapWidth val="150"/>
        <c:axId val="460514392"/>
        <c:axId val="460517920"/>
      </c:barChart>
      <c:catAx>
        <c:axId val="460514392"/>
        <c:scaling>
          <c:orientation val="minMax"/>
        </c:scaling>
        <c:delete val="0"/>
        <c:axPos val="b"/>
        <c:numFmt formatCode="General" sourceLinked="0"/>
        <c:majorTickMark val="out"/>
        <c:minorTickMark val="none"/>
        <c:tickLblPos val="nextTo"/>
        <c:crossAx val="460517920"/>
        <c:crosses val="autoZero"/>
        <c:auto val="1"/>
        <c:lblAlgn val="ctr"/>
        <c:lblOffset val="100"/>
        <c:noMultiLvlLbl val="0"/>
      </c:catAx>
      <c:valAx>
        <c:axId val="46051792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551450722747707E-2"/>
              <c:y val="0.36636701662292215"/>
            </c:manualLayout>
          </c:layout>
          <c:overlay val="0"/>
        </c:title>
        <c:numFmt formatCode="General" sourceLinked="1"/>
        <c:majorTickMark val="out"/>
        <c:minorTickMark val="none"/>
        <c:tickLblPos val="nextTo"/>
        <c:crossAx val="460514392"/>
        <c:crosses val="autoZero"/>
        <c:crossBetween val="between"/>
      </c:valAx>
    </c:plotArea>
    <c:legend>
      <c:legendPos val="r"/>
      <c:layout>
        <c:manualLayout>
          <c:xMode val="edge"/>
          <c:yMode val="edge"/>
          <c:x val="0.56723066849348236"/>
          <c:y val="7.6973503312085995E-2"/>
          <c:w val="0.22628765743904652"/>
          <c:h val="0.12021341082364705"/>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759129951523357"/>
          <c:y val="6.340958122074504E-2"/>
          <c:w val="0.86929419986023759"/>
          <c:h val="0.84949298813376484"/>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Lbls>
            <c:dLbl>
              <c:idx val="2"/>
              <c:layout/>
              <c:tx>
                <c:rich>
                  <a:bodyPr/>
                  <a:lstStyle/>
                  <a:p>
                    <a:r>
                      <a:rPr lang="en-US" b="0"/>
                      <a:t>18.7</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ED-4490-894F-19DC2D946B5E}"/>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3.9</c:v>
                </c:pt>
                <c:pt idx="1">
                  <c:v>14.8</c:v>
                </c:pt>
                <c:pt idx="2">
                  <c:v>18.7</c:v>
                </c:pt>
              </c:numCache>
            </c:numRef>
          </c:val>
          <c:extLst xmlns:c16r2="http://schemas.microsoft.com/office/drawing/2015/06/chart">
            <c:ext xmlns:c16="http://schemas.microsoft.com/office/drawing/2014/chart" uri="{C3380CC4-5D6E-409C-BE32-E72D297353CC}">
              <c16:uniqueId val="{00000001-7CED-4490-894F-19DC2D946B5E}"/>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4.8</c:v>
                </c:pt>
                <c:pt idx="1">
                  <c:v>3.9</c:v>
                </c:pt>
                <c:pt idx="2">
                  <c:v>8.7000000000000011</c:v>
                </c:pt>
              </c:numCache>
            </c:numRef>
          </c:val>
          <c:extLst xmlns:c16r2="http://schemas.microsoft.com/office/drawing/2015/06/chart">
            <c:ext xmlns:c16="http://schemas.microsoft.com/office/drawing/2014/chart" uri="{C3380CC4-5D6E-409C-BE32-E72D297353CC}">
              <c16:uniqueId val="{00000002-7CED-4490-894F-19DC2D946B5E}"/>
            </c:ext>
          </c:extLst>
        </c:ser>
        <c:ser>
          <c:idx val="2"/>
          <c:order val="2"/>
          <c:tx>
            <c:strRef>
              <c:f>Sheet1!$D$1</c:f>
              <c:strCache>
                <c:ptCount val="1"/>
                <c:pt idx="0">
                  <c:v>Active Reservist </c:v>
                </c:pt>
              </c:strCache>
            </c:strRef>
          </c:tx>
          <c:spPr>
            <a:solidFill>
              <a:schemeClr val="accent3"/>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Sheet1!$D$2:$D$4</c:f>
              <c:numCache>
                <c:formatCode>General</c:formatCode>
                <c:ptCount val="3"/>
                <c:pt idx="0">
                  <c:v>2.5</c:v>
                </c:pt>
                <c:pt idx="1">
                  <c:v>4.8</c:v>
                </c:pt>
                <c:pt idx="2">
                  <c:v>7.3</c:v>
                </c:pt>
              </c:numCache>
            </c:numRef>
          </c:val>
          <c:extLst xmlns:c16r2="http://schemas.microsoft.com/office/drawing/2015/06/chart">
            <c:ext xmlns:c16="http://schemas.microsoft.com/office/drawing/2014/chart" uri="{C3380CC4-5D6E-409C-BE32-E72D297353CC}">
              <c16:uniqueId val="{00000003-7CED-4490-894F-19DC2D946B5E}"/>
            </c:ext>
          </c:extLst>
        </c:ser>
        <c:dLbls>
          <c:showLegendKey val="0"/>
          <c:showVal val="0"/>
          <c:showCatName val="0"/>
          <c:showSerName val="0"/>
          <c:showPercent val="0"/>
          <c:showBubbleSize val="0"/>
        </c:dLbls>
        <c:gapWidth val="150"/>
        <c:axId val="460512040"/>
        <c:axId val="460518312"/>
      </c:barChart>
      <c:catAx>
        <c:axId val="460512040"/>
        <c:scaling>
          <c:orientation val="minMax"/>
        </c:scaling>
        <c:delete val="0"/>
        <c:axPos val="b"/>
        <c:numFmt formatCode="General" sourceLinked="0"/>
        <c:majorTickMark val="out"/>
        <c:minorTickMark val="none"/>
        <c:tickLblPos val="nextTo"/>
        <c:crossAx val="460518312"/>
        <c:crosses val="autoZero"/>
        <c:auto val="1"/>
        <c:lblAlgn val="ctr"/>
        <c:lblOffset val="100"/>
        <c:noMultiLvlLbl val="0"/>
      </c:catAx>
      <c:valAx>
        <c:axId val="460518312"/>
        <c:scaling>
          <c:orientation val="minMax"/>
        </c:scaling>
        <c:delete val="0"/>
        <c:axPos val="l"/>
        <c:majorGridlines>
          <c:spPr>
            <a:ln>
              <a:solidFill>
                <a:schemeClr val="bg1">
                  <a:lumMod val="75000"/>
                  <a:alpha val="25000"/>
                </a:schemeClr>
              </a:solidFill>
            </a:ln>
          </c:spPr>
        </c:majorGridlines>
        <c:title>
          <c:tx>
            <c:rich>
              <a:bodyPr rot="-5400000" vert="horz"/>
              <a:lstStyle/>
              <a:p>
                <a:pPr>
                  <a:defRPr/>
                </a:pPr>
                <a:r>
                  <a:rPr lang="en-US"/>
                  <a:t>Percentage</a:t>
                </a:r>
              </a:p>
            </c:rich>
          </c:tx>
          <c:layout>
            <c:manualLayout>
              <c:xMode val="edge"/>
              <c:yMode val="edge"/>
              <c:x val="1.4999697364873417E-3"/>
              <c:y val="0.38313031654175755"/>
            </c:manualLayout>
          </c:layout>
          <c:overlay val="0"/>
        </c:title>
        <c:numFmt formatCode="General" sourceLinked="1"/>
        <c:majorTickMark val="out"/>
        <c:minorTickMark val="none"/>
        <c:tickLblPos val="nextTo"/>
        <c:crossAx val="460512040"/>
        <c:crosses val="autoZero"/>
        <c:crossBetween val="between"/>
      </c:valAx>
    </c:plotArea>
    <c:legend>
      <c:legendPos val="r"/>
      <c:layout>
        <c:manualLayout>
          <c:xMode val="edge"/>
          <c:yMode val="edge"/>
          <c:x val="0.14323863605099682"/>
          <c:y val="7.2289156626506021E-2"/>
          <c:w val="0.2686365462178863"/>
          <c:h val="0.1685665496632197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8919774902876179E-2"/>
          <c:y val="5.1587301587301598E-2"/>
          <c:w val="0.86052548233141002"/>
          <c:h val="0.85217406382760719"/>
        </c:manualLayout>
      </c:layout>
      <c:barChart>
        <c:barDir val="col"/>
        <c:grouping val="clustered"/>
        <c:varyColors val="0"/>
        <c:ser>
          <c:idx val="0"/>
          <c:order val="0"/>
          <c:tx>
            <c:strRef>
              <c:f>Sheet1!$B$1</c:f>
              <c:strCache>
                <c:ptCount val="1"/>
                <c:pt idx="0">
                  <c:v>Transitioned  males </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3.4</c:v>
                </c:pt>
                <c:pt idx="1">
                  <c:v>9.8000000000000007</c:v>
                </c:pt>
                <c:pt idx="2">
                  <c:v>13.1</c:v>
                </c:pt>
              </c:numCache>
            </c:numRef>
          </c:val>
          <c:extLst xmlns:c16r2="http://schemas.microsoft.com/office/drawing/2015/06/chart">
            <c:ext xmlns:c16="http://schemas.microsoft.com/office/drawing/2014/chart" uri="{C3380CC4-5D6E-409C-BE32-E72D297353CC}">
              <c16:uniqueId val="{00000000-01B0-4BE0-9DFE-E1559A23A925}"/>
            </c:ext>
          </c:extLst>
        </c:ser>
        <c:ser>
          <c:idx val="1"/>
          <c:order val="1"/>
          <c:tx>
            <c:strRef>
              <c:f>Sheet1!$C$1</c:f>
              <c:strCache>
                <c:ptCount val="1"/>
                <c:pt idx="0">
                  <c:v>Transitioned females </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6.6</c:v>
                </c:pt>
                <c:pt idx="1">
                  <c:v>4.8</c:v>
                </c:pt>
                <c:pt idx="2">
                  <c:v>11.4</c:v>
                </c:pt>
              </c:numCache>
            </c:numRef>
          </c:val>
          <c:extLst xmlns:c16r2="http://schemas.microsoft.com/office/drawing/2015/06/chart">
            <c:ext xmlns:c16="http://schemas.microsoft.com/office/drawing/2014/chart" uri="{C3380CC4-5D6E-409C-BE32-E72D297353CC}">
              <c16:uniqueId val="{00000001-01B0-4BE0-9DFE-E1559A23A925}"/>
            </c:ext>
          </c:extLst>
        </c:ser>
        <c:dLbls>
          <c:showLegendKey val="0"/>
          <c:showVal val="0"/>
          <c:showCatName val="0"/>
          <c:showSerName val="0"/>
          <c:showPercent val="0"/>
          <c:showBubbleSize val="0"/>
        </c:dLbls>
        <c:gapWidth val="150"/>
        <c:axId val="460523800"/>
        <c:axId val="460514784"/>
      </c:barChart>
      <c:catAx>
        <c:axId val="460523800"/>
        <c:scaling>
          <c:orientation val="minMax"/>
        </c:scaling>
        <c:delete val="0"/>
        <c:axPos val="b"/>
        <c:numFmt formatCode="General" sourceLinked="0"/>
        <c:majorTickMark val="out"/>
        <c:minorTickMark val="none"/>
        <c:tickLblPos val="nextTo"/>
        <c:crossAx val="460514784"/>
        <c:crosses val="autoZero"/>
        <c:auto val="1"/>
        <c:lblAlgn val="ctr"/>
        <c:lblOffset val="100"/>
        <c:noMultiLvlLbl val="0"/>
      </c:catAx>
      <c:valAx>
        <c:axId val="46051478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6296308472923137E-3"/>
              <c:y val="0.38765341248231822"/>
            </c:manualLayout>
          </c:layout>
          <c:overlay val="0"/>
        </c:title>
        <c:numFmt formatCode="General" sourceLinked="1"/>
        <c:majorTickMark val="out"/>
        <c:minorTickMark val="none"/>
        <c:tickLblPos val="nextTo"/>
        <c:crossAx val="460523800"/>
        <c:crosses val="autoZero"/>
        <c:crossBetween val="between"/>
      </c:valAx>
    </c:plotArea>
    <c:legend>
      <c:legendPos val="r"/>
      <c:layout>
        <c:manualLayout>
          <c:xMode val="edge"/>
          <c:yMode val="edge"/>
          <c:x val="0.15034449503832895"/>
          <c:y val="0.11605432203857401"/>
          <c:w val="0.25951791516665845"/>
          <c:h val="9.9702221906946317E-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215686274509803"/>
          <c:y val="6.2724442053438967E-2"/>
          <c:w val="0.85420984141688172"/>
          <c:h val="0.85138227286806545"/>
        </c:manualLayout>
      </c:layout>
      <c:barChart>
        <c:barDir val="col"/>
        <c:grouping val="clustered"/>
        <c:varyColors val="0"/>
        <c:ser>
          <c:idx val="0"/>
          <c:order val="0"/>
          <c:tx>
            <c:strRef>
              <c:f>Sheet1!$B$1</c:f>
              <c:strCache>
                <c:ptCount val="1"/>
                <c:pt idx="0">
                  <c:v>18–27 </c:v>
                </c:pt>
              </c:strCache>
            </c:strRef>
          </c:tx>
          <c:spPr>
            <a:solidFill>
              <a:schemeClr val="accent1"/>
            </a:solidFill>
            <a:effectLst/>
          </c:spPr>
          <c:invertIfNegative val="0"/>
          <c:dLbls>
            <c:dLbl>
              <c:idx val="0"/>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3C-458C-BA3B-C5A28D1253D7}"/>
                </c:ext>
                <c:ext xmlns:c15="http://schemas.microsoft.com/office/drawing/2012/chart" uri="{CE6537A1-D6FC-4f65-9D91-7224C49458BB}">
                  <c15:layout/>
                </c:ext>
              </c:extLst>
            </c:dLbl>
            <c:dLbl>
              <c:idx val="1"/>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3C-458C-BA3B-C5A28D1253D7}"/>
                </c:ext>
                <c:ext xmlns:c15="http://schemas.microsoft.com/office/drawing/2012/chart" uri="{CE6537A1-D6FC-4f65-9D91-7224C49458BB}">
                  <c15:layout/>
                </c:ext>
              </c:extLst>
            </c:dLbl>
            <c:dLbl>
              <c:idx val="2"/>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3C-458C-BA3B-C5A28D1253D7}"/>
                </c:ext>
                <c:ext xmlns:c15="http://schemas.microsoft.com/office/drawing/2012/chart" uri="{CE6537A1-D6FC-4f65-9D91-7224C49458BB}">
                  <c15:layout/>
                </c:ext>
              </c:extLst>
            </c:dLbl>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1.5</c:v>
                </c:pt>
                <c:pt idx="1">
                  <c:v>12.8</c:v>
                </c:pt>
                <c:pt idx="2">
                  <c:v>14.3</c:v>
                </c:pt>
              </c:numCache>
            </c:numRef>
          </c:val>
          <c:extLst xmlns:c16r2="http://schemas.microsoft.com/office/drawing/2015/06/chart">
            <c:ext xmlns:c16="http://schemas.microsoft.com/office/drawing/2014/chart" uri="{C3380CC4-5D6E-409C-BE32-E72D297353CC}">
              <c16:uniqueId val="{00000003-573C-458C-BA3B-C5A28D1253D7}"/>
            </c:ext>
          </c:extLst>
        </c:ser>
        <c:ser>
          <c:idx val="1"/>
          <c:order val="1"/>
          <c:tx>
            <c:strRef>
              <c:f>Sheet1!$C$1</c:f>
              <c:strCache>
                <c:ptCount val="1"/>
                <c:pt idx="0">
                  <c:v>28–37 </c:v>
                </c:pt>
              </c:strCache>
            </c:strRef>
          </c:tx>
          <c:spPr>
            <a:solidFill>
              <a:schemeClr val="accent2"/>
            </a:solidFill>
            <a:effectLst/>
          </c:spPr>
          <c:invertIfNegative val="0"/>
          <c:dLbls>
            <c:dLbl>
              <c:idx val="0"/>
              <c:layout/>
              <c:tx>
                <c:rich>
                  <a:bodyPr/>
                  <a:lstStyle/>
                  <a:p>
                    <a:r>
                      <a:rPr lang="en-US"/>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3C-458C-BA3B-C5A28D1253D7}"/>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5</c:v>
                </c:pt>
                <c:pt idx="1">
                  <c:v>11.8</c:v>
                </c:pt>
                <c:pt idx="2">
                  <c:v>16.8</c:v>
                </c:pt>
              </c:numCache>
            </c:numRef>
          </c:val>
          <c:extLst xmlns:c16r2="http://schemas.microsoft.com/office/drawing/2015/06/chart">
            <c:ext xmlns:c16="http://schemas.microsoft.com/office/drawing/2014/chart" uri="{C3380CC4-5D6E-409C-BE32-E72D297353CC}">
              <c16:uniqueId val="{00000005-573C-458C-BA3B-C5A28D1253D7}"/>
            </c:ext>
          </c:extLst>
        </c:ser>
        <c:ser>
          <c:idx val="2"/>
          <c:order val="2"/>
          <c:tx>
            <c:strRef>
              <c:f>Sheet1!$D$1</c:f>
              <c:strCache>
                <c:ptCount val="1"/>
                <c:pt idx="0">
                  <c:v>38–47 </c:v>
                </c:pt>
              </c:strCache>
            </c:strRef>
          </c:tx>
          <c:spPr>
            <a:solidFill>
              <a:schemeClr val="accent3"/>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Sheet1!$D$2:$D$4</c:f>
              <c:numCache>
                <c:formatCode>General</c:formatCode>
                <c:ptCount val="3"/>
                <c:pt idx="0">
                  <c:v>7.2</c:v>
                </c:pt>
                <c:pt idx="1">
                  <c:v>7.7</c:v>
                </c:pt>
                <c:pt idx="2">
                  <c:v>14.9</c:v>
                </c:pt>
              </c:numCache>
            </c:numRef>
          </c:val>
          <c:extLst xmlns:c16r2="http://schemas.microsoft.com/office/drawing/2015/06/chart">
            <c:ext xmlns:c16="http://schemas.microsoft.com/office/drawing/2014/chart" uri="{C3380CC4-5D6E-409C-BE32-E72D297353CC}">
              <c16:uniqueId val="{00000006-573C-458C-BA3B-C5A28D1253D7}"/>
            </c:ext>
          </c:extLst>
        </c:ser>
        <c:ser>
          <c:idx val="3"/>
          <c:order val="3"/>
          <c:tx>
            <c:strRef>
              <c:f>Sheet1!$E$1</c:f>
              <c:strCache>
                <c:ptCount val="1"/>
                <c:pt idx="0">
                  <c:v>48–57 </c:v>
                </c:pt>
              </c:strCache>
            </c:strRef>
          </c:tx>
          <c:spPr>
            <a:solidFill>
              <a:schemeClr val="accent4"/>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Sheet1!$E$2:$E$4</c:f>
              <c:numCache>
                <c:formatCode>General</c:formatCode>
                <c:ptCount val="3"/>
                <c:pt idx="0">
                  <c:v>2.7</c:v>
                </c:pt>
                <c:pt idx="1">
                  <c:v>4.2</c:v>
                </c:pt>
                <c:pt idx="2">
                  <c:v>6.9</c:v>
                </c:pt>
              </c:numCache>
            </c:numRef>
          </c:val>
          <c:extLst xmlns:c16r2="http://schemas.microsoft.com/office/drawing/2015/06/chart">
            <c:ext xmlns:c16="http://schemas.microsoft.com/office/drawing/2014/chart" uri="{C3380CC4-5D6E-409C-BE32-E72D297353CC}">
              <c16:uniqueId val="{00000007-573C-458C-BA3B-C5A28D1253D7}"/>
            </c:ext>
          </c:extLst>
        </c:ser>
        <c:ser>
          <c:idx val="4"/>
          <c:order val="4"/>
          <c:tx>
            <c:strRef>
              <c:f>Sheet1!$F$1</c:f>
              <c:strCache>
                <c:ptCount val="1"/>
                <c:pt idx="0">
                  <c:v>58+ </c:v>
                </c:pt>
              </c:strCache>
            </c:strRef>
          </c:tx>
          <c:spPr>
            <a:solidFill>
              <a:schemeClr val="accent5"/>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Sheet1!$F$2:$F$4</c:f>
              <c:numCache>
                <c:formatCode>General</c:formatCode>
                <c:ptCount val="3"/>
                <c:pt idx="0">
                  <c:v>0.5</c:v>
                </c:pt>
                <c:pt idx="1">
                  <c:v>5.6</c:v>
                </c:pt>
                <c:pt idx="2">
                  <c:v>6.1</c:v>
                </c:pt>
              </c:numCache>
            </c:numRef>
          </c:val>
          <c:extLst xmlns:c16r2="http://schemas.microsoft.com/office/drawing/2015/06/chart">
            <c:ext xmlns:c16="http://schemas.microsoft.com/office/drawing/2014/chart" uri="{C3380CC4-5D6E-409C-BE32-E72D297353CC}">
              <c16:uniqueId val="{00000008-573C-458C-BA3B-C5A28D1253D7}"/>
            </c:ext>
          </c:extLst>
        </c:ser>
        <c:dLbls>
          <c:showLegendKey val="0"/>
          <c:showVal val="0"/>
          <c:showCatName val="0"/>
          <c:showSerName val="0"/>
          <c:showPercent val="0"/>
          <c:showBubbleSize val="0"/>
        </c:dLbls>
        <c:gapWidth val="150"/>
        <c:axId val="460524192"/>
        <c:axId val="460519488"/>
      </c:barChart>
      <c:catAx>
        <c:axId val="460524192"/>
        <c:scaling>
          <c:orientation val="minMax"/>
        </c:scaling>
        <c:delete val="0"/>
        <c:axPos val="b"/>
        <c:numFmt formatCode="General" sourceLinked="0"/>
        <c:majorTickMark val="out"/>
        <c:minorTickMark val="none"/>
        <c:tickLblPos val="nextTo"/>
        <c:crossAx val="460519488"/>
        <c:crosses val="autoZero"/>
        <c:auto val="1"/>
        <c:lblAlgn val="ctr"/>
        <c:lblOffset val="100"/>
        <c:noMultiLvlLbl val="0"/>
      </c:catAx>
      <c:valAx>
        <c:axId val="46051948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8.6437724696177692E-3"/>
              <c:y val="0.37901371024274139"/>
            </c:manualLayout>
          </c:layout>
          <c:overlay val="0"/>
        </c:title>
        <c:numFmt formatCode="General" sourceLinked="1"/>
        <c:majorTickMark val="out"/>
        <c:minorTickMark val="none"/>
        <c:tickLblPos val="nextTo"/>
        <c:crossAx val="460524192"/>
        <c:crosses val="autoZero"/>
        <c:crossBetween val="between"/>
      </c:valAx>
    </c:plotArea>
    <c:legend>
      <c:legendPos val="r"/>
      <c:layout>
        <c:manualLayout>
          <c:xMode val="edge"/>
          <c:yMode val="edge"/>
          <c:x val="0.15885992192152454"/>
          <c:y val="8.5249995924422492E-2"/>
          <c:w val="0.13553916054610821"/>
          <c:h val="0.2587492867739358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38845729405028"/>
          <c:y val="5.1587301587301598E-2"/>
          <c:w val="0.85123359580052493"/>
          <c:h val="0.8600278278468203"/>
        </c:manualLayout>
      </c:layout>
      <c:barChart>
        <c:barDir val="col"/>
        <c:grouping val="clustered"/>
        <c:varyColors val="0"/>
        <c:ser>
          <c:idx val="0"/>
          <c:order val="0"/>
          <c:tx>
            <c:strRef>
              <c:f>Sheet1!$B$1</c:f>
              <c:strCache>
                <c:ptCount val="1"/>
                <c:pt idx="0">
                  <c:v>Navy </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4.3</c:v>
                </c:pt>
                <c:pt idx="1">
                  <c:v>9.1</c:v>
                </c:pt>
                <c:pt idx="2">
                  <c:v>13.4</c:v>
                </c:pt>
              </c:numCache>
            </c:numRef>
          </c:val>
          <c:extLst xmlns:c16r2="http://schemas.microsoft.com/office/drawing/2015/06/chart">
            <c:ext xmlns:c16="http://schemas.microsoft.com/office/drawing/2014/chart" uri="{C3380CC4-5D6E-409C-BE32-E72D297353CC}">
              <c16:uniqueId val="{00000000-D6E4-4F1C-9F9A-DAA1450A872A}"/>
            </c:ext>
          </c:extLst>
        </c:ser>
        <c:ser>
          <c:idx val="1"/>
          <c:order val="1"/>
          <c:tx>
            <c:strRef>
              <c:f>Sheet1!$C$1</c:f>
              <c:strCache>
                <c:ptCount val="1"/>
                <c:pt idx="0">
                  <c:v>Army </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4.5999999999999996</c:v>
                </c:pt>
                <c:pt idx="1">
                  <c:v>9.9</c:v>
                </c:pt>
                <c:pt idx="2">
                  <c:v>14.4</c:v>
                </c:pt>
              </c:numCache>
            </c:numRef>
          </c:val>
          <c:extLst xmlns:c16r2="http://schemas.microsoft.com/office/drawing/2015/06/chart">
            <c:ext xmlns:c16="http://schemas.microsoft.com/office/drawing/2014/chart" uri="{C3380CC4-5D6E-409C-BE32-E72D297353CC}">
              <c16:uniqueId val="{00000001-D6E4-4F1C-9F9A-DAA1450A872A}"/>
            </c:ext>
          </c:extLst>
        </c:ser>
        <c:ser>
          <c:idx val="2"/>
          <c:order val="2"/>
          <c:tx>
            <c:strRef>
              <c:f>Sheet1!$D$1</c:f>
              <c:strCache>
                <c:ptCount val="1"/>
                <c:pt idx="0">
                  <c:v>Air Force</c:v>
                </c:pt>
              </c:strCache>
            </c:strRef>
          </c:tx>
          <c:spPr>
            <a:solidFill>
              <a:schemeClr val="accent3"/>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Sheet1!$D$2:$D$4</c:f>
              <c:numCache>
                <c:formatCode>General</c:formatCode>
                <c:ptCount val="3"/>
                <c:pt idx="0">
                  <c:v>0.3</c:v>
                </c:pt>
                <c:pt idx="1">
                  <c:v>6.5</c:v>
                </c:pt>
                <c:pt idx="2">
                  <c:v>6.8</c:v>
                </c:pt>
              </c:numCache>
            </c:numRef>
          </c:val>
          <c:extLst xmlns:c16r2="http://schemas.microsoft.com/office/drawing/2015/06/chart">
            <c:ext xmlns:c16="http://schemas.microsoft.com/office/drawing/2014/chart" uri="{C3380CC4-5D6E-409C-BE32-E72D297353CC}">
              <c16:uniqueId val="{00000002-D6E4-4F1C-9F9A-DAA1450A872A}"/>
            </c:ext>
          </c:extLst>
        </c:ser>
        <c:dLbls>
          <c:showLegendKey val="0"/>
          <c:showVal val="0"/>
          <c:showCatName val="0"/>
          <c:showSerName val="0"/>
          <c:showPercent val="0"/>
          <c:showBubbleSize val="0"/>
        </c:dLbls>
        <c:gapWidth val="150"/>
        <c:axId val="460520664"/>
        <c:axId val="460516744"/>
      </c:barChart>
      <c:catAx>
        <c:axId val="460520664"/>
        <c:scaling>
          <c:orientation val="minMax"/>
        </c:scaling>
        <c:delete val="0"/>
        <c:axPos val="b"/>
        <c:numFmt formatCode="General" sourceLinked="0"/>
        <c:majorTickMark val="out"/>
        <c:minorTickMark val="none"/>
        <c:tickLblPos val="nextTo"/>
        <c:crossAx val="460516744"/>
        <c:crosses val="autoZero"/>
        <c:auto val="1"/>
        <c:lblAlgn val="ctr"/>
        <c:lblOffset val="100"/>
        <c:noMultiLvlLbl val="0"/>
      </c:catAx>
      <c:valAx>
        <c:axId val="46051674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4601723845062155E-3"/>
              <c:y val="0.38227864889657992"/>
            </c:manualLayout>
          </c:layout>
          <c:overlay val="0"/>
        </c:title>
        <c:numFmt formatCode="General" sourceLinked="1"/>
        <c:majorTickMark val="out"/>
        <c:minorTickMark val="none"/>
        <c:tickLblPos val="nextTo"/>
        <c:crossAx val="460520664"/>
        <c:crosses val="autoZero"/>
        <c:crossBetween val="between"/>
      </c:valAx>
    </c:plotArea>
    <c:legend>
      <c:legendPos val="r"/>
      <c:layout>
        <c:manualLayout>
          <c:xMode val="edge"/>
          <c:yMode val="edge"/>
          <c:x val="0.108996118976705"/>
          <c:y val="8.7008107573660301E-2"/>
          <c:w val="0.16467637866665147"/>
          <c:h val="0.140705182936470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982460177863988"/>
          <c:y val="5.6630254551514395E-2"/>
          <c:w val="0.8632564561997601"/>
          <c:h val="0.86250052076823736"/>
        </c:manualLayout>
      </c:layout>
      <c:barChart>
        <c:barDir val="col"/>
        <c:grouping val="clustered"/>
        <c:varyColors val="0"/>
        <c:ser>
          <c:idx val="0"/>
          <c:order val="0"/>
          <c:tx>
            <c:strRef>
              <c:f>Sheet1!$B$1</c:f>
              <c:strCache>
                <c:ptCount val="1"/>
                <c:pt idx="0">
                  <c:v>OFFR </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2.2000000000000002</c:v>
                </c:pt>
                <c:pt idx="1">
                  <c:v>4.2</c:v>
                </c:pt>
                <c:pt idx="2">
                  <c:v>6.5</c:v>
                </c:pt>
              </c:numCache>
            </c:numRef>
          </c:val>
          <c:extLst xmlns:c16r2="http://schemas.microsoft.com/office/drawing/2015/06/chart">
            <c:ext xmlns:c16="http://schemas.microsoft.com/office/drawing/2014/chart" uri="{C3380CC4-5D6E-409C-BE32-E72D297353CC}">
              <c16:uniqueId val="{00000000-5506-4083-881B-9C92F95D97E6}"/>
            </c:ext>
          </c:extLst>
        </c:ser>
        <c:ser>
          <c:idx val="1"/>
          <c:order val="1"/>
          <c:tx>
            <c:strRef>
              <c:f>Sheet1!$C$1</c:f>
              <c:strCache>
                <c:ptCount val="1"/>
                <c:pt idx="0">
                  <c:v>NCO </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3.5</c:v>
                </c:pt>
                <c:pt idx="1">
                  <c:v>3.8</c:v>
                </c:pt>
                <c:pt idx="2">
                  <c:v>7.3</c:v>
                </c:pt>
              </c:numCache>
            </c:numRef>
          </c:val>
          <c:extLst xmlns:c16r2="http://schemas.microsoft.com/office/drawing/2015/06/chart">
            <c:ext xmlns:c16="http://schemas.microsoft.com/office/drawing/2014/chart" uri="{C3380CC4-5D6E-409C-BE32-E72D297353CC}">
              <c16:uniqueId val="{00000001-5506-4083-881B-9C92F95D97E6}"/>
            </c:ext>
          </c:extLst>
        </c:ser>
        <c:ser>
          <c:idx val="2"/>
          <c:order val="2"/>
          <c:tx>
            <c:strRef>
              <c:f>Sheet1!$D$1</c:f>
              <c:strCache>
                <c:ptCount val="1"/>
                <c:pt idx="0">
                  <c:v>Other Ranks </c:v>
                </c:pt>
              </c:strCache>
            </c:strRef>
          </c:tx>
          <c:spPr>
            <a:solidFill>
              <a:schemeClr val="accent3"/>
            </a:solidFill>
            <a:effectLst/>
          </c:spPr>
          <c:invertIfNegative val="0"/>
          <c:dLbls>
            <c:dLbl>
              <c:idx val="2"/>
              <c:layout/>
              <c:tx>
                <c:rich>
                  <a:bodyPr/>
                  <a:lstStyle/>
                  <a:p>
                    <a:r>
                      <a:rPr lang="en-US" b="0"/>
                      <a:t>18.3</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06-4083-881B-9C92F95D97E6}"/>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Sheet1!$D$2:$D$4</c:f>
              <c:numCache>
                <c:formatCode>General</c:formatCode>
                <c:ptCount val="3"/>
                <c:pt idx="0">
                  <c:v>4.5</c:v>
                </c:pt>
                <c:pt idx="1">
                  <c:v>13.8</c:v>
                </c:pt>
                <c:pt idx="2">
                  <c:v>18.3</c:v>
                </c:pt>
              </c:numCache>
            </c:numRef>
          </c:val>
          <c:extLst xmlns:c16r2="http://schemas.microsoft.com/office/drawing/2015/06/chart">
            <c:ext xmlns:c16="http://schemas.microsoft.com/office/drawing/2014/chart" uri="{C3380CC4-5D6E-409C-BE32-E72D297353CC}">
              <c16:uniqueId val="{00000003-5506-4083-881B-9C92F95D97E6}"/>
            </c:ext>
          </c:extLst>
        </c:ser>
        <c:dLbls>
          <c:showLegendKey val="0"/>
          <c:showVal val="0"/>
          <c:showCatName val="0"/>
          <c:showSerName val="0"/>
          <c:showPercent val="0"/>
          <c:showBubbleSize val="0"/>
        </c:dLbls>
        <c:gapWidth val="150"/>
        <c:axId val="460530072"/>
        <c:axId val="460528896"/>
      </c:barChart>
      <c:catAx>
        <c:axId val="460530072"/>
        <c:scaling>
          <c:orientation val="minMax"/>
        </c:scaling>
        <c:delete val="0"/>
        <c:axPos val="b"/>
        <c:numFmt formatCode="General" sourceLinked="0"/>
        <c:majorTickMark val="out"/>
        <c:minorTickMark val="none"/>
        <c:tickLblPos val="nextTo"/>
        <c:crossAx val="460528896"/>
        <c:crosses val="autoZero"/>
        <c:auto val="1"/>
        <c:lblAlgn val="ctr"/>
        <c:lblOffset val="100"/>
        <c:noMultiLvlLbl val="0"/>
      </c:catAx>
      <c:valAx>
        <c:axId val="46052889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92665165288576E-3"/>
              <c:y val="0.36886187664041997"/>
            </c:manualLayout>
          </c:layout>
          <c:overlay val="0"/>
        </c:title>
        <c:numFmt formatCode="General" sourceLinked="1"/>
        <c:majorTickMark val="out"/>
        <c:minorTickMark val="none"/>
        <c:tickLblPos val="nextTo"/>
        <c:crossAx val="460530072"/>
        <c:crosses val="autoZero"/>
        <c:crossBetween val="between"/>
      </c:valAx>
    </c:plotArea>
    <c:legend>
      <c:legendPos val="r"/>
      <c:layout>
        <c:manualLayout>
          <c:xMode val="edge"/>
          <c:yMode val="edge"/>
          <c:x val="0.15512961714858711"/>
          <c:y val="9.8117454068241475E-2"/>
          <c:w val="0.2174464517613795"/>
          <c:h val="0.165427821522309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92748506028199"/>
          <c:y val="6.0039286890800798E-2"/>
          <c:w val="0.854844329341366"/>
          <c:h val="0.85567178263739307"/>
        </c:manualLayout>
      </c:layout>
      <c:barChart>
        <c:barDir val="col"/>
        <c:grouping val="clustered"/>
        <c:varyColors val="0"/>
        <c:ser>
          <c:idx val="0"/>
          <c:order val="0"/>
          <c:tx>
            <c:strRef>
              <c:f>Sheet1!$B$1</c:f>
              <c:strCache>
                <c:ptCount val="1"/>
                <c:pt idx="0">
                  <c:v>Ever deployed</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4.2</c:v>
                </c:pt>
                <c:pt idx="1">
                  <c:v>9.4</c:v>
                </c:pt>
                <c:pt idx="2">
                  <c:v>13.6</c:v>
                </c:pt>
              </c:numCache>
            </c:numRef>
          </c:val>
          <c:extLst xmlns:c16r2="http://schemas.microsoft.com/office/drawing/2015/06/chart">
            <c:ext xmlns:c16="http://schemas.microsoft.com/office/drawing/2014/chart" uri="{C3380CC4-5D6E-409C-BE32-E72D297353CC}">
              <c16:uniqueId val="{00000000-3032-4BB5-817D-AE349BF8CB7F}"/>
            </c:ext>
          </c:extLst>
        </c:ser>
        <c:ser>
          <c:idx val="1"/>
          <c:order val="1"/>
          <c:tx>
            <c:strRef>
              <c:f>Sheet1!$C$1</c:f>
              <c:strCache>
                <c:ptCount val="1"/>
                <c:pt idx="0">
                  <c:v>Never deployed</c:v>
                </c:pt>
              </c:strCache>
            </c:strRef>
          </c:tx>
          <c:spPr>
            <a:solidFill>
              <a:schemeClr val="accent2"/>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2.2999999999999998</c:v>
                </c:pt>
                <c:pt idx="1">
                  <c:v>8.5</c:v>
                </c:pt>
                <c:pt idx="2">
                  <c:v>10.8</c:v>
                </c:pt>
              </c:numCache>
            </c:numRef>
          </c:val>
          <c:extLst xmlns:c16r2="http://schemas.microsoft.com/office/drawing/2015/06/chart">
            <c:ext xmlns:c16="http://schemas.microsoft.com/office/drawing/2014/chart" uri="{C3380CC4-5D6E-409C-BE32-E72D297353CC}">
              <c16:uniqueId val="{00000001-3032-4BB5-817D-AE349BF8CB7F}"/>
            </c:ext>
          </c:extLst>
        </c:ser>
        <c:dLbls>
          <c:dLblPos val="outEnd"/>
          <c:showLegendKey val="0"/>
          <c:showVal val="1"/>
          <c:showCatName val="0"/>
          <c:showSerName val="0"/>
          <c:showPercent val="0"/>
          <c:showBubbleSize val="0"/>
        </c:dLbls>
        <c:gapWidth val="150"/>
        <c:axId val="460526544"/>
        <c:axId val="460526936"/>
      </c:barChart>
      <c:catAx>
        <c:axId val="460526544"/>
        <c:scaling>
          <c:orientation val="minMax"/>
        </c:scaling>
        <c:delete val="0"/>
        <c:axPos val="b"/>
        <c:numFmt formatCode="General" sourceLinked="0"/>
        <c:majorTickMark val="out"/>
        <c:minorTickMark val="none"/>
        <c:tickLblPos val="nextTo"/>
        <c:crossAx val="460526936"/>
        <c:crosses val="autoZero"/>
        <c:auto val="1"/>
        <c:lblAlgn val="ctr"/>
        <c:lblOffset val="100"/>
        <c:noMultiLvlLbl val="0"/>
      </c:catAx>
      <c:valAx>
        <c:axId val="4605269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9.062625000684936E-3"/>
              <c:y val="0.33800524934383203"/>
            </c:manualLayout>
          </c:layout>
          <c:overlay val="0"/>
        </c:title>
        <c:numFmt formatCode="General" sourceLinked="1"/>
        <c:majorTickMark val="out"/>
        <c:minorTickMark val="none"/>
        <c:tickLblPos val="nextTo"/>
        <c:crossAx val="460526544"/>
        <c:crosses val="autoZero"/>
        <c:crossBetween val="between"/>
      </c:valAx>
    </c:plotArea>
    <c:legend>
      <c:legendPos val="r"/>
      <c:layout>
        <c:manualLayout>
          <c:xMode val="edge"/>
          <c:yMode val="edge"/>
          <c:x val="0.15133552055993002"/>
          <c:y val="9.6439195100612427E-2"/>
          <c:w val="0.26107364971862862"/>
          <c:h val="0.1331022379598999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8651356080489944E-2"/>
          <c:y val="7.1974764622312115E-2"/>
          <c:w val="0.86863035870516192"/>
          <c:h val="0.83171727387287597"/>
        </c:manualLayout>
      </c:layout>
      <c:barChart>
        <c:barDir val="col"/>
        <c:grouping val="clustered"/>
        <c:varyColors val="0"/>
        <c:ser>
          <c:idx val="0"/>
          <c:order val="0"/>
          <c:tx>
            <c:strRef>
              <c:f>Sheet1!$B$1</c:f>
              <c:strCache>
                <c:ptCount val="1"/>
                <c:pt idx="0">
                  <c:v>3 months – 3.9 years </c:v>
                </c:pt>
              </c:strCache>
            </c:strRef>
          </c:tx>
          <c:spPr>
            <a:solidFill>
              <a:schemeClr val="accent1"/>
            </a:solidFill>
            <a:effectLst/>
          </c:spPr>
          <c:invertIfNegative val="0"/>
          <c:dLbls>
            <c:dLbl>
              <c:idx val="0"/>
              <c:layout/>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1E-4227-9735-67196023117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10</c:v>
                </c:pt>
                <c:pt idx="1">
                  <c:v>14.8</c:v>
                </c:pt>
                <c:pt idx="2">
                  <c:v>24.8</c:v>
                </c:pt>
              </c:numCache>
            </c:numRef>
          </c:val>
          <c:extLst xmlns:c16r2="http://schemas.microsoft.com/office/drawing/2015/06/chart">
            <c:ext xmlns:c16="http://schemas.microsoft.com/office/drawing/2014/chart" uri="{C3380CC4-5D6E-409C-BE32-E72D297353CC}">
              <c16:uniqueId val="{00000001-9B1E-4227-9735-671960231170}"/>
            </c:ext>
          </c:extLst>
        </c:ser>
        <c:ser>
          <c:idx val="1"/>
          <c:order val="1"/>
          <c:tx>
            <c:strRef>
              <c:f>Sheet1!$C$1</c:f>
              <c:strCache>
                <c:ptCount val="1"/>
                <c:pt idx="0">
                  <c:v>4–7.9 years </c:v>
                </c:pt>
              </c:strCache>
            </c:strRef>
          </c:tx>
          <c:spPr>
            <a:solidFill>
              <a:schemeClr val="accent2"/>
            </a:solidFill>
            <a:effectLst/>
          </c:spPr>
          <c:invertIfNegative val="0"/>
          <c:dLbls>
            <c:dLbl>
              <c:idx val="0"/>
              <c:layout/>
              <c:tx>
                <c:rich>
                  <a:bodyPr/>
                  <a:lstStyle/>
                  <a:p>
                    <a:r>
                      <a:rPr lang="en-US"/>
                      <a:t>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1E-4227-9735-67196023117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3</c:v>
                </c:pt>
                <c:pt idx="1">
                  <c:v>16.100000000000001</c:v>
                </c:pt>
                <c:pt idx="2">
                  <c:v>19.100000000000001</c:v>
                </c:pt>
              </c:numCache>
            </c:numRef>
          </c:val>
          <c:extLst xmlns:c16r2="http://schemas.microsoft.com/office/drawing/2015/06/chart">
            <c:ext xmlns:c16="http://schemas.microsoft.com/office/drawing/2014/chart" uri="{C3380CC4-5D6E-409C-BE32-E72D297353CC}">
              <c16:uniqueId val="{00000003-9B1E-4227-9735-671960231170}"/>
            </c:ext>
          </c:extLst>
        </c:ser>
        <c:ser>
          <c:idx val="2"/>
          <c:order val="2"/>
          <c:tx>
            <c:strRef>
              <c:f>Sheet1!$D$1</c:f>
              <c:strCache>
                <c:ptCount val="1"/>
                <c:pt idx="0">
                  <c:v>8–11.9 years </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Sheet1!$D$2:$D$4</c:f>
              <c:numCache>
                <c:formatCode>General</c:formatCode>
                <c:ptCount val="3"/>
                <c:pt idx="0">
                  <c:v>5.2</c:v>
                </c:pt>
                <c:pt idx="1">
                  <c:v>5.8</c:v>
                </c:pt>
                <c:pt idx="2">
                  <c:v>11.1</c:v>
                </c:pt>
              </c:numCache>
            </c:numRef>
          </c:val>
          <c:extLst xmlns:c16r2="http://schemas.microsoft.com/office/drawing/2015/06/chart">
            <c:ext xmlns:c16="http://schemas.microsoft.com/office/drawing/2014/chart" uri="{C3380CC4-5D6E-409C-BE32-E72D297353CC}">
              <c16:uniqueId val="{00000004-9B1E-4227-9735-671960231170}"/>
            </c:ext>
          </c:extLst>
        </c:ser>
        <c:ser>
          <c:idx val="3"/>
          <c:order val="3"/>
          <c:tx>
            <c:strRef>
              <c:f>Sheet1!$E$1</c:f>
              <c:strCache>
                <c:ptCount val="1"/>
                <c:pt idx="0">
                  <c:v>12–15.9 years </c:v>
                </c:pt>
              </c:strCache>
            </c:strRef>
          </c:tx>
          <c:spPr>
            <a:solidFill>
              <a:schemeClr val="accent4"/>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Sheet1!$E$2:$E$4</c:f>
              <c:numCache>
                <c:formatCode>General</c:formatCode>
                <c:ptCount val="3"/>
                <c:pt idx="0">
                  <c:v>3.7</c:v>
                </c:pt>
                <c:pt idx="1">
                  <c:v>1.6</c:v>
                </c:pt>
                <c:pt idx="2">
                  <c:v>5.3</c:v>
                </c:pt>
              </c:numCache>
            </c:numRef>
          </c:val>
          <c:extLst xmlns:c16r2="http://schemas.microsoft.com/office/drawing/2015/06/chart">
            <c:ext xmlns:c16="http://schemas.microsoft.com/office/drawing/2014/chart" uri="{C3380CC4-5D6E-409C-BE32-E72D297353CC}">
              <c16:uniqueId val="{00000005-9B1E-4227-9735-671960231170}"/>
            </c:ext>
          </c:extLst>
        </c:ser>
        <c:ser>
          <c:idx val="4"/>
          <c:order val="4"/>
          <c:tx>
            <c:strRef>
              <c:f>Sheet1!$F$1</c:f>
              <c:strCache>
                <c:ptCount val="1"/>
                <c:pt idx="0">
                  <c:v>16–19.9 years </c:v>
                </c:pt>
              </c:strCache>
            </c:strRef>
          </c:tx>
          <c:spPr>
            <a:solidFill>
              <a:schemeClr val="accent5"/>
            </a:solidFill>
            <a:effectLst/>
          </c:spPr>
          <c:invertIfNegative val="0"/>
          <c:dLbls>
            <c:dLbl>
              <c:idx val="2"/>
              <c:layout/>
              <c:tx>
                <c:rich>
                  <a:bodyPr/>
                  <a:lstStyle/>
                  <a:p>
                    <a:r>
                      <a:rPr lang="en-US"/>
                      <a:t>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1E-4227-9735-67196023117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Sheet1!$F$2:$F$4</c:f>
              <c:numCache>
                <c:formatCode>General</c:formatCode>
                <c:ptCount val="3"/>
                <c:pt idx="0">
                  <c:v>4.0999999999999996</c:v>
                </c:pt>
                <c:pt idx="1">
                  <c:v>3.9</c:v>
                </c:pt>
                <c:pt idx="2">
                  <c:v>8</c:v>
                </c:pt>
              </c:numCache>
            </c:numRef>
          </c:val>
          <c:extLst xmlns:c16r2="http://schemas.microsoft.com/office/drawing/2015/06/chart">
            <c:ext xmlns:c16="http://schemas.microsoft.com/office/drawing/2014/chart" uri="{C3380CC4-5D6E-409C-BE32-E72D297353CC}">
              <c16:uniqueId val="{00000007-9B1E-4227-9735-671960231170}"/>
            </c:ext>
          </c:extLst>
        </c:ser>
        <c:ser>
          <c:idx val="5"/>
          <c:order val="5"/>
          <c:tx>
            <c:strRef>
              <c:f>Sheet1!$G$1</c:f>
              <c:strCache>
                <c:ptCount val="1"/>
                <c:pt idx="0">
                  <c:v>&gt; 20 years </c:v>
                </c:pt>
              </c:strCache>
            </c:strRef>
          </c:tx>
          <c:spPr>
            <a:solidFill>
              <a:schemeClr val="accent6"/>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Sheet1!$G$2:$G$4</c:f>
              <c:numCache>
                <c:formatCode>General</c:formatCode>
                <c:ptCount val="3"/>
                <c:pt idx="0">
                  <c:v>3.2</c:v>
                </c:pt>
                <c:pt idx="1">
                  <c:v>3.1</c:v>
                </c:pt>
                <c:pt idx="2">
                  <c:v>6.4</c:v>
                </c:pt>
              </c:numCache>
            </c:numRef>
          </c:val>
          <c:extLst xmlns:c16r2="http://schemas.microsoft.com/office/drawing/2015/06/chart">
            <c:ext xmlns:c16="http://schemas.microsoft.com/office/drawing/2014/chart" uri="{C3380CC4-5D6E-409C-BE32-E72D297353CC}">
              <c16:uniqueId val="{00000008-9B1E-4227-9735-671960231170}"/>
            </c:ext>
          </c:extLst>
        </c:ser>
        <c:dLbls>
          <c:showLegendKey val="0"/>
          <c:showVal val="0"/>
          <c:showCatName val="0"/>
          <c:showSerName val="0"/>
          <c:showPercent val="0"/>
          <c:showBubbleSize val="0"/>
        </c:dLbls>
        <c:gapWidth val="150"/>
        <c:axId val="460529680"/>
        <c:axId val="460525760"/>
      </c:barChart>
      <c:catAx>
        <c:axId val="460529680"/>
        <c:scaling>
          <c:orientation val="minMax"/>
        </c:scaling>
        <c:delete val="0"/>
        <c:axPos val="b"/>
        <c:numFmt formatCode="General" sourceLinked="0"/>
        <c:majorTickMark val="out"/>
        <c:minorTickMark val="none"/>
        <c:tickLblPos val="nextTo"/>
        <c:crossAx val="460525760"/>
        <c:crosses val="autoZero"/>
        <c:auto val="1"/>
        <c:lblAlgn val="ctr"/>
        <c:lblOffset val="100"/>
        <c:noMultiLvlLbl val="0"/>
      </c:catAx>
      <c:valAx>
        <c:axId val="46052576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152668416447944E-3"/>
              <c:y val="0.38171783572924944"/>
            </c:manualLayout>
          </c:layout>
          <c:overlay val="0"/>
        </c:title>
        <c:numFmt formatCode="General" sourceLinked="1"/>
        <c:majorTickMark val="out"/>
        <c:minorTickMark val="none"/>
        <c:tickLblPos val="nextTo"/>
        <c:crossAx val="460529680"/>
        <c:crosses val="autoZero"/>
        <c:crossBetween val="between"/>
      </c:valAx>
    </c:plotArea>
    <c:legend>
      <c:legendPos val="r"/>
      <c:layout>
        <c:manualLayout>
          <c:xMode val="edge"/>
          <c:yMode val="edge"/>
          <c:x val="0.13061986001749781"/>
          <c:y val="9.1761740791575369E-2"/>
          <c:w val="0.29413495188101485"/>
          <c:h val="0.2962351217725691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0552612741589105E-2"/>
          <c:y val="6.27897181500158E-2"/>
          <c:w val="0.90085288023207621"/>
          <c:h val="0.79587095916807871"/>
        </c:manualLayout>
      </c:layout>
      <c:barChart>
        <c:barDir val="col"/>
        <c:grouping val="clustered"/>
        <c:varyColors val="0"/>
        <c:ser>
          <c:idx val="0"/>
          <c:order val="0"/>
          <c:tx>
            <c:strRef>
              <c:f>Sheet1!$B$1</c:f>
              <c:strCache>
                <c:ptCount val="1"/>
                <c:pt idx="0">
                  <c:v>18–27 </c:v>
                </c:pt>
              </c:strCache>
            </c:strRef>
          </c:tx>
          <c:spPr>
            <a:solidFill>
              <a:schemeClr val="accent1"/>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0-E589-41A2-B1F4-AB11BE55C14A}"/>
              </c:ext>
            </c:extLst>
          </c:dPt>
          <c:dLbls>
            <c:dLbl>
              <c:idx val="5"/>
              <c:layout/>
              <c:tx>
                <c:rich>
                  <a:bodyPr/>
                  <a:lstStyle/>
                  <a:p>
                    <a:r>
                      <a:rPr lang="en-US"/>
                      <a:t>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D0-4BA0-9BB4-1B3C5AD4311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15.3</c:v>
                </c:pt>
                <c:pt idx="1">
                  <c:v>4.8</c:v>
                </c:pt>
                <c:pt idx="2">
                  <c:v>9.8000000000000007</c:v>
                </c:pt>
                <c:pt idx="3">
                  <c:v>10.6</c:v>
                </c:pt>
                <c:pt idx="4">
                  <c:v>2.7</c:v>
                </c:pt>
                <c:pt idx="5">
                  <c:v>0</c:v>
                </c:pt>
                <c:pt idx="6">
                  <c:v>10.8</c:v>
                </c:pt>
                <c:pt idx="7">
                  <c:v>13.7</c:v>
                </c:pt>
                <c:pt idx="8">
                  <c:v>36.299999999999997</c:v>
                </c:pt>
              </c:numCache>
            </c:numRef>
          </c:val>
          <c:extLst xmlns:c16r2="http://schemas.microsoft.com/office/drawing/2015/06/chart">
            <c:ext xmlns:c16="http://schemas.microsoft.com/office/drawing/2014/chart" uri="{C3380CC4-5D6E-409C-BE32-E72D297353CC}">
              <c16:uniqueId val="{00000001-E589-41A2-B1F4-AB11BE55C14A}"/>
            </c:ext>
          </c:extLst>
        </c:ser>
        <c:ser>
          <c:idx val="1"/>
          <c:order val="1"/>
          <c:tx>
            <c:strRef>
              <c:f>Sheet1!$C$1</c:f>
              <c:strCache>
                <c:ptCount val="1"/>
                <c:pt idx="0">
                  <c:v>28–37 </c:v>
                </c:pt>
              </c:strCache>
            </c:strRef>
          </c:tx>
          <c:spPr>
            <a:solidFill>
              <a:schemeClr val="accent2"/>
            </a:solidFill>
            <a:effectLst/>
          </c:spPr>
          <c:invertIfNegative val="0"/>
          <c:dLbls>
            <c:dLbl>
              <c:idx val="1"/>
              <c:layout/>
              <c:tx>
                <c:rich>
                  <a:bodyPr/>
                  <a:lstStyle/>
                  <a:p>
                    <a:r>
                      <a:rPr lang="en-US"/>
                      <a:t>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D0-4BA0-9BB4-1B3C5AD4311E}"/>
                </c:ext>
                <c:ext xmlns:c15="http://schemas.microsoft.com/office/drawing/2012/chart" uri="{CE6537A1-D6FC-4f65-9D91-7224C49458BB}">
                  <c15:layout/>
                </c:ext>
              </c:extLst>
            </c:dLbl>
            <c:dLbl>
              <c:idx val="7"/>
              <c:layout/>
              <c:tx>
                <c:rich>
                  <a:bodyPr/>
                  <a:lstStyle/>
                  <a:p>
                    <a:r>
                      <a:rPr lang="en-US"/>
                      <a:t>17.0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D0-4BA0-9BB4-1B3C5AD4311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15.5</c:v>
                </c:pt>
                <c:pt idx="1">
                  <c:v>7</c:v>
                </c:pt>
                <c:pt idx="2">
                  <c:v>12.3</c:v>
                </c:pt>
                <c:pt idx="3">
                  <c:v>11.9</c:v>
                </c:pt>
                <c:pt idx="4">
                  <c:v>7.1</c:v>
                </c:pt>
                <c:pt idx="5">
                  <c:v>3.9</c:v>
                </c:pt>
                <c:pt idx="6">
                  <c:v>0.8</c:v>
                </c:pt>
                <c:pt idx="7">
                  <c:v>17</c:v>
                </c:pt>
                <c:pt idx="8">
                  <c:v>36.6</c:v>
                </c:pt>
              </c:numCache>
            </c:numRef>
          </c:val>
          <c:extLst xmlns:c16r2="http://schemas.microsoft.com/office/drawing/2015/06/chart">
            <c:ext xmlns:c16="http://schemas.microsoft.com/office/drawing/2014/chart" uri="{C3380CC4-5D6E-409C-BE32-E72D297353CC}">
              <c16:uniqueId val="{00000002-E589-41A2-B1F4-AB11BE55C14A}"/>
            </c:ext>
          </c:extLst>
        </c:ser>
        <c:ser>
          <c:idx val="2"/>
          <c:order val="2"/>
          <c:tx>
            <c:strRef>
              <c:f>Sheet1!$D$1</c:f>
              <c:strCache>
                <c:ptCount val="1"/>
                <c:pt idx="0">
                  <c:v>38–47 </c:v>
                </c:pt>
              </c:strCache>
            </c:strRef>
          </c:tx>
          <c:spPr>
            <a:solidFill>
              <a:schemeClr val="accent3"/>
            </a:solidFill>
            <a:effectLst/>
          </c:spPr>
          <c:invertIfNegative val="0"/>
          <c:dLbls>
            <c:dLbl>
              <c:idx val="1"/>
              <c:layout/>
              <c:tx>
                <c:rich>
                  <a:bodyPr/>
                  <a:lstStyle/>
                  <a:p>
                    <a:r>
                      <a:rPr lang="en-US"/>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D0-4BA0-9BB4-1B3C5AD4311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Sheet1!$D$2:$D$10</c:f>
              <c:numCache>
                <c:formatCode>General</c:formatCode>
                <c:ptCount val="9"/>
                <c:pt idx="0">
                  <c:v>17.399999999999999</c:v>
                </c:pt>
                <c:pt idx="1">
                  <c:v>5</c:v>
                </c:pt>
                <c:pt idx="2">
                  <c:v>16.600000000000001</c:v>
                </c:pt>
                <c:pt idx="3">
                  <c:v>11.1</c:v>
                </c:pt>
                <c:pt idx="4">
                  <c:v>9.1999999999999993</c:v>
                </c:pt>
                <c:pt idx="5">
                  <c:v>8.5</c:v>
                </c:pt>
                <c:pt idx="6">
                  <c:v>2.4</c:v>
                </c:pt>
                <c:pt idx="7">
                  <c:v>17.2</c:v>
                </c:pt>
                <c:pt idx="8">
                  <c:v>37.6</c:v>
                </c:pt>
              </c:numCache>
            </c:numRef>
          </c:val>
          <c:extLst xmlns:c16r2="http://schemas.microsoft.com/office/drawing/2015/06/chart">
            <c:ext xmlns:c16="http://schemas.microsoft.com/office/drawing/2014/chart" uri="{C3380CC4-5D6E-409C-BE32-E72D297353CC}">
              <c16:uniqueId val="{00000003-E589-41A2-B1F4-AB11BE55C14A}"/>
            </c:ext>
          </c:extLst>
        </c:ser>
        <c:ser>
          <c:idx val="3"/>
          <c:order val="3"/>
          <c:tx>
            <c:strRef>
              <c:f>Sheet1!$E$1</c:f>
              <c:strCache>
                <c:ptCount val="1"/>
                <c:pt idx="0">
                  <c:v>48–57 </c:v>
                </c:pt>
              </c:strCache>
            </c:strRef>
          </c:tx>
          <c:spPr>
            <a:solidFill>
              <a:schemeClr val="accent4"/>
            </a:solidFill>
            <a:effectLst/>
          </c:spPr>
          <c:invertIfNegative val="0"/>
          <c:dLbls>
            <c:dLbl>
              <c:idx val="1"/>
              <c:layout/>
              <c:tx>
                <c:rich>
                  <a:bodyPr/>
                  <a:lstStyle/>
                  <a:p>
                    <a:r>
                      <a:rPr lang="en-US"/>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D0-4BA0-9BB4-1B3C5AD4311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Sheet1!$E$2:$E$10</c:f>
              <c:numCache>
                <c:formatCode>General</c:formatCode>
                <c:ptCount val="9"/>
                <c:pt idx="0">
                  <c:v>17.2</c:v>
                </c:pt>
                <c:pt idx="1">
                  <c:v>5</c:v>
                </c:pt>
                <c:pt idx="2">
                  <c:v>10.8</c:v>
                </c:pt>
                <c:pt idx="3">
                  <c:v>9.5</c:v>
                </c:pt>
                <c:pt idx="4">
                  <c:v>12.7</c:v>
                </c:pt>
                <c:pt idx="5">
                  <c:v>3.7</c:v>
                </c:pt>
                <c:pt idx="6">
                  <c:v>3.9</c:v>
                </c:pt>
                <c:pt idx="7">
                  <c:v>18.100000000000001</c:v>
                </c:pt>
                <c:pt idx="8">
                  <c:v>34.299999999999997</c:v>
                </c:pt>
              </c:numCache>
            </c:numRef>
          </c:val>
          <c:extLst xmlns:c16r2="http://schemas.microsoft.com/office/drawing/2015/06/chart">
            <c:ext xmlns:c16="http://schemas.microsoft.com/office/drawing/2014/chart" uri="{C3380CC4-5D6E-409C-BE32-E72D297353CC}">
              <c16:uniqueId val="{00000004-E589-41A2-B1F4-AB11BE55C14A}"/>
            </c:ext>
          </c:extLst>
        </c:ser>
        <c:ser>
          <c:idx val="4"/>
          <c:order val="4"/>
          <c:tx>
            <c:strRef>
              <c:f>Sheet1!$F$1</c:f>
              <c:strCache>
                <c:ptCount val="1"/>
                <c:pt idx="0">
                  <c:v>58+ </c:v>
                </c:pt>
              </c:strCache>
            </c:strRef>
          </c:tx>
          <c:spPr>
            <a:solidFill>
              <a:schemeClr val="accent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Sheet1!$F$2:$F$10</c:f>
              <c:numCache>
                <c:formatCode>General</c:formatCode>
                <c:ptCount val="9"/>
                <c:pt idx="0">
                  <c:v>15.5</c:v>
                </c:pt>
                <c:pt idx="1">
                  <c:v>3.6</c:v>
                </c:pt>
                <c:pt idx="2">
                  <c:v>9.3000000000000007</c:v>
                </c:pt>
                <c:pt idx="3">
                  <c:v>3.5</c:v>
                </c:pt>
                <c:pt idx="4">
                  <c:v>9.4</c:v>
                </c:pt>
                <c:pt idx="5">
                  <c:v>1.3</c:v>
                </c:pt>
                <c:pt idx="6">
                  <c:v>6.3</c:v>
                </c:pt>
                <c:pt idx="7">
                  <c:v>18.600000000000001</c:v>
                </c:pt>
                <c:pt idx="8">
                  <c:v>36.5</c:v>
                </c:pt>
              </c:numCache>
            </c:numRef>
          </c:val>
          <c:extLst xmlns:c16r2="http://schemas.microsoft.com/office/drawing/2015/06/chart">
            <c:ext xmlns:c16="http://schemas.microsoft.com/office/drawing/2014/chart" uri="{C3380CC4-5D6E-409C-BE32-E72D297353CC}">
              <c16:uniqueId val="{00000005-E589-41A2-B1F4-AB11BE55C14A}"/>
            </c:ext>
          </c:extLst>
        </c:ser>
        <c:dLbls>
          <c:showLegendKey val="0"/>
          <c:showVal val="0"/>
          <c:showCatName val="0"/>
          <c:showSerName val="0"/>
          <c:showPercent val="0"/>
          <c:showBubbleSize val="0"/>
        </c:dLbls>
        <c:gapWidth val="150"/>
        <c:axId val="440851992"/>
        <c:axId val="440859048"/>
      </c:barChart>
      <c:catAx>
        <c:axId val="440851992"/>
        <c:scaling>
          <c:orientation val="minMax"/>
        </c:scaling>
        <c:delete val="0"/>
        <c:axPos val="b"/>
        <c:numFmt formatCode="General" sourceLinked="0"/>
        <c:majorTickMark val="out"/>
        <c:minorTickMark val="none"/>
        <c:tickLblPos val="nextTo"/>
        <c:txPr>
          <a:bodyPr rot="0"/>
          <a:lstStyle/>
          <a:p>
            <a:pPr>
              <a:defRPr/>
            </a:pPr>
            <a:endParaRPr lang="en-US"/>
          </a:p>
        </c:txPr>
        <c:crossAx val="440859048"/>
        <c:crosses val="autoZero"/>
        <c:auto val="1"/>
        <c:lblAlgn val="ctr"/>
        <c:lblOffset val="100"/>
        <c:tickLblSkip val="1"/>
        <c:noMultiLvlLbl val="0"/>
      </c:catAx>
      <c:valAx>
        <c:axId val="44085904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5694264632015325E-3"/>
              <c:y val="0.3651305358982026"/>
            </c:manualLayout>
          </c:layout>
          <c:overlay val="0"/>
        </c:title>
        <c:numFmt formatCode="General" sourceLinked="1"/>
        <c:majorTickMark val="out"/>
        <c:minorTickMark val="none"/>
        <c:tickLblPos val="nextTo"/>
        <c:crossAx val="440851992"/>
        <c:crosses val="autoZero"/>
        <c:crossBetween val="between"/>
      </c:valAx>
    </c:plotArea>
    <c:legend>
      <c:legendPos val="r"/>
      <c:layout>
        <c:manualLayout>
          <c:xMode val="edge"/>
          <c:yMode val="edge"/>
          <c:x val="0.6351328912833264"/>
          <c:y val="9.1139240506329114E-2"/>
          <c:w val="7.6108835671652705E-2"/>
          <c:h val="0.201690421608691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98154510435675"/>
          <c:y val="5.4442932140773899E-2"/>
          <c:w val="0.86793133113058163"/>
          <c:h val="0.85966384636703019"/>
        </c:manualLayout>
      </c:layout>
      <c:barChart>
        <c:barDir val="col"/>
        <c:grouping val="clustered"/>
        <c:varyColors val="0"/>
        <c:ser>
          <c:idx val="0"/>
          <c:order val="0"/>
          <c:tx>
            <c:strRef>
              <c:f>Sheet1!$B$1</c:f>
              <c:strCache>
                <c:ptCount val="1"/>
                <c:pt idx="0">
                  <c:v>0 (&lt; 1 year)</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7.4</c:v>
                </c:pt>
                <c:pt idx="1">
                  <c:v>3.8</c:v>
                </c:pt>
                <c:pt idx="2">
                  <c:v>11.1</c:v>
                </c:pt>
              </c:numCache>
            </c:numRef>
          </c:val>
          <c:extLst xmlns:c16r2="http://schemas.microsoft.com/office/drawing/2015/06/chart">
            <c:ext xmlns:c16="http://schemas.microsoft.com/office/drawing/2014/chart" uri="{C3380CC4-5D6E-409C-BE32-E72D297353CC}">
              <c16:uniqueId val="{00000000-818C-40C6-93D2-BDC61D2EE25C}"/>
            </c:ext>
          </c:extLst>
        </c:ser>
        <c:ser>
          <c:idx val="1"/>
          <c:order val="1"/>
          <c:tx>
            <c:strRef>
              <c:f>Sheet1!$C$1</c:f>
              <c:strCache>
                <c:ptCount val="1"/>
                <c:pt idx="0">
                  <c:v>1 year</c:v>
                </c:pt>
              </c:strCache>
            </c:strRef>
          </c:tx>
          <c:spPr>
            <a:solidFill>
              <a:schemeClr val="accent2"/>
            </a:solidFill>
            <a:effectLst/>
          </c:spPr>
          <c:invertIfNegative val="0"/>
          <c:dLbls>
            <c:dLbl>
              <c:idx val="0"/>
              <c:layout/>
              <c:tx>
                <c:rich>
                  <a:bodyPr/>
                  <a:lstStyle/>
                  <a:p>
                    <a:r>
                      <a:rPr lang="en-US"/>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8C-40C6-93D2-BDC61D2EE25C}"/>
                </c:ext>
                <c:ext xmlns:c15="http://schemas.microsoft.com/office/drawing/2012/chart" uri="{CE6537A1-D6FC-4f65-9D91-7224C49458BB}">
                  <c15:layout/>
                </c:ext>
              </c:extLst>
            </c:dLbl>
            <c:dLbl>
              <c:idx val="1"/>
              <c:layout/>
              <c:tx>
                <c:rich>
                  <a:bodyPr/>
                  <a:lstStyle/>
                  <a:p>
                    <a:r>
                      <a:rPr lang="en-US"/>
                      <a:t>17.0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8C-40C6-93D2-BDC61D2EE25C}"/>
                </c:ext>
                <c:ext xmlns:c15="http://schemas.microsoft.com/office/drawing/2012/chart" uri="{CE6537A1-D6FC-4f65-9D91-7224C49458BB}">
                  <c15:layout/>
                </c:ext>
              </c:extLst>
            </c:dLbl>
            <c:dLbl>
              <c:idx val="2"/>
              <c:layout/>
              <c:tx>
                <c:rich>
                  <a:bodyPr/>
                  <a:lstStyle/>
                  <a:p>
                    <a:r>
                      <a:rPr lang="en-US"/>
                      <a:t>18.0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8C-40C6-93D2-BDC61D2EE25C}"/>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1</c:v>
                </c:pt>
                <c:pt idx="1">
                  <c:v>17</c:v>
                </c:pt>
                <c:pt idx="2">
                  <c:v>18</c:v>
                </c:pt>
              </c:numCache>
            </c:numRef>
          </c:val>
          <c:extLst xmlns:c16r2="http://schemas.microsoft.com/office/drawing/2015/06/chart">
            <c:ext xmlns:c16="http://schemas.microsoft.com/office/drawing/2014/chart" uri="{C3380CC4-5D6E-409C-BE32-E72D297353CC}">
              <c16:uniqueId val="{00000004-818C-40C6-93D2-BDC61D2EE25C}"/>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Sheet1!$D$2:$D$4</c:f>
              <c:numCache>
                <c:formatCode>General</c:formatCode>
                <c:ptCount val="3"/>
                <c:pt idx="0">
                  <c:v>1.7</c:v>
                </c:pt>
                <c:pt idx="1">
                  <c:v>7.1</c:v>
                </c:pt>
                <c:pt idx="2">
                  <c:v>8.8000000000000007</c:v>
                </c:pt>
              </c:numCache>
            </c:numRef>
          </c:val>
          <c:extLst xmlns:c16r2="http://schemas.microsoft.com/office/drawing/2015/06/chart">
            <c:ext xmlns:c16="http://schemas.microsoft.com/office/drawing/2014/chart" uri="{C3380CC4-5D6E-409C-BE32-E72D297353CC}">
              <c16:uniqueId val="{00000005-818C-40C6-93D2-BDC61D2EE25C}"/>
            </c:ext>
          </c:extLst>
        </c:ser>
        <c:ser>
          <c:idx val="3"/>
          <c:order val="3"/>
          <c:tx>
            <c:strRef>
              <c:f>Sheet1!$E$1</c:f>
              <c:strCache>
                <c:ptCount val="1"/>
                <c:pt idx="0">
                  <c:v>3 years</c:v>
                </c:pt>
              </c:strCache>
            </c:strRef>
          </c:tx>
          <c:spPr>
            <a:solidFill>
              <a:schemeClr val="accent4"/>
            </a:solidFill>
            <a:effectLst/>
          </c:spPr>
          <c:invertIfNegative val="0"/>
          <c:dLbls>
            <c:dLbl>
              <c:idx val="0"/>
              <c:layout/>
              <c:tx>
                <c:rich>
                  <a:bodyPr/>
                  <a:lstStyle/>
                  <a:p>
                    <a:r>
                      <a:rPr lang="en-US"/>
                      <a:t>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18C-40C6-93D2-BDC61D2EE25C}"/>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Sheet1!$E$2:$E$4</c:f>
              <c:numCache>
                <c:formatCode>General</c:formatCode>
                <c:ptCount val="3"/>
                <c:pt idx="0">
                  <c:v>6</c:v>
                </c:pt>
                <c:pt idx="1">
                  <c:v>8.6</c:v>
                </c:pt>
                <c:pt idx="2">
                  <c:v>14.6</c:v>
                </c:pt>
              </c:numCache>
            </c:numRef>
          </c:val>
          <c:extLst xmlns:c16r2="http://schemas.microsoft.com/office/drawing/2015/06/chart">
            <c:ext xmlns:c16="http://schemas.microsoft.com/office/drawing/2014/chart" uri="{C3380CC4-5D6E-409C-BE32-E72D297353CC}">
              <c16:uniqueId val="{00000007-818C-40C6-93D2-BDC61D2EE25C}"/>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Sheet1!$F$2:$F$4</c:f>
              <c:numCache>
                <c:formatCode>General</c:formatCode>
                <c:ptCount val="3"/>
                <c:pt idx="0">
                  <c:v>6.6</c:v>
                </c:pt>
                <c:pt idx="1">
                  <c:v>8.3000000000000007</c:v>
                </c:pt>
                <c:pt idx="2">
                  <c:v>14.9</c:v>
                </c:pt>
              </c:numCache>
            </c:numRef>
          </c:val>
          <c:extLst xmlns:c16r2="http://schemas.microsoft.com/office/drawing/2015/06/chart">
            <c:ext xmlns:c16="http://schemas.microsoft.com/office/drawing/2014/chart" uri="{C3380CC4-5D6E-409C-BE32-E72D297353CC}">
              <c16:uniqueId val="{00000008-818C-40C6-93D2-BDC61D2EE25C}"/>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Sheet1!$G$2:$G$4</c:f>
              <c:numCache>
                <c:formatCode>General</c:formatCode>
                <c:ptCount val="3"/>
                <c:pt idx="0">
                  <c:v>2.2000000000000002</c:v>
                </c:pt>
                <c:pt idx="1">
                  <c:v>4.5999999999999996</c:v>
                </c:pt>
                <c:pt idx="2">
                  <c:v>6.8</c:v>
                </c:pt>
              </c:numCache>
            </c:numRef>
          </c:val>
          <c:extLst xmlns:c16r2="http://schemas.microsoft.com/office/drawing/2015/06/chart">
            <c:ext xmlns:c16="http://schemas.microsoft.com/office/drawing/2014/chart" uri="{C3380CC4-5D6E-409C-BE32-E72D297353CC}">
              <c16:uniqueId val="{00000009-818C-40C6-93D2-BDC61D2EE25C}"/>
            </c:ext>
          </c:extLst>
        </c:ser>
        <c:dLbls>
          <c:showLegendKey val="0"/>
          <c:showVal val="0"/>
          <c:showCatName val="0"/>
          <c:showSerName val="0"/>
          <c:showPercent val="0"/>
          <c:showBubbleSize val="0"/>
        </c:dLbls>
        <c:gapWidth val="150"/>
        <c:axId val="460527720"/>
        <c:axId val="460528112"/>
      </c:barChart>
      <c:catAx>
        <c:axId val="460527720"/>
        <c:scaling>
          <c:orientation val="minMax"/>
        </c:scaling>
        <c:delete val="0"/>
        <c:axPos val="b"/>
        <c:numFmt formatCode="General" sourceLinked="0"/>
        <c:majorTickMark val="out"/>
        <c:minorTickMark val="none"/>
        <c:tickLblPos val="nextTo"/>
        <c:crossAx val="460528112"/>
        <c:crosses val="autoZero"/>
        <c:auto val="1"/>
        <c:lblAlgn val="ctr"/>
        <c:lblOffset val="100"/>
        <c:noMultiLvlLbl val="0"/>
      </c:catAx>
      <c:valAx>
        <c:axId val="46052811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3.5496084910054296E-3"/>
              <c:y val="0.38296049950277955"/>
            </c:manualLayout>
          </c:layout>
          <c:overlay val="0"/>
          <c:spPr>
            <a:ln>
              <a:noFill/>
            </a:ln>
          </c:spPr>
        </c:title>
        <c:numFmt formatCode="General" sourceLinked="1"/>
        <c:majorTickMark val="out"/>
        <c:minorTickMark val="none"/>
        <c:tickLblPos val="nextTo"/>
        <c:crossAx val="460527720"/>
        <c:crosses val="autoZero"/>
        <c:crossBetween val="between"/>
      </c:valAx>
    </c:plotArea>
    <c:legend>
      <c:legendPos val="r"/>
      <c:layout>
        <c:manualLayout>
          <c:xMode val="edge"/>
          <c:yMode val="edge"/>
          <c:x val="0.133113934870876"/>
          <c:y val="9.711938181640338E-2"/>
          <c:w val="0.24338018290511182"/>
          <c:h val="0.2708391659375911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61663351580009"/>
          <c:y val="6.3428273246259645E-2"/>
          <c:w val="0.85650748771226137"/>
          <c:h val="0.84398638597475018"/>
        </c:manualLayout>
      </c:layout>
      <c:barChart>
        <c:barDir val="col"/>
        <c:grouping val="clustered"/>
        <c:varyColors val="0"/>
        <c:ser>
          <c:idx val="0"/>
          <c:order val="0"/>
          <c:tx>
            <c:strRef>
              <c:f>Sheet1!$B$1</c:f>
              <c:strCache>
                <c:ptCount val="1"/>
                <c:pt idx="0">
                  <c:v>Medical </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3.7</c:v>
                </c:pt>
                <c:pt idx="1">
                  <c:v>16.600000000000001</c:v>
                </c:pt>
                <c:pt idx="2">
                  <c:v>20.3</c:v>
                </c:pt>
              </c:numCache>
            </c:numRef>
          </c:val>
          <c:extLst xmlns:c16r2="http://schemas.microsoft.com/office/drawing/2015/06/chart">
            <c:ext xmlns:c16="http://schemas.microsoft.com/office/drawing/2014/chart" uri="{C3380CC4-5D6E-409C-BE32-E72D297353CC}">
              <c16:uniqueId val="{00000000-307B-4A33-BE63-200C44B6BD05}"/>
            </c:ext>
          </c:extLst>
        </c:ser>
        <c:ser>
          <c:idx val="1"/>
          <c:order val="1"/>
          <c:tx>
            <c:strRef>
              <c:f>Sheet1!$C$1</c:f>
              <c:strCache>
                <c:ptCount val="1"/>
                <c:pt idx="0">
                  <c:v>Other </c:v>
                </c:pt>
              </c:strCache>
            </c:strRef>
          </c:tx>
          <c:spPr>
            <a:solidFill>
              <a:schemeClr val="accent2"/>
            </a:solidFill>
            <a:effectLst/>
          </c:spPr>
          <c:invertIfNegative val="0"/>
          <c:dLbls>
            <c:dLbl>
              <c:idx val="0"/>
              <c:layout/>
              <c:tx>
                <c:rich>
                  <a:bodyPr/>
                  <a:lstStyle/>
                  <a:p>
                    <a:r>
                      <a:rPr lang="en-US"/>
                      <a:t>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7B-4A33-BE63-200C44B6BD05}"/>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4</c:v>
                </c:pt>
                <c:pt idx="1">
                  <c:v>6.5</c:v>
                </c:pt>
                <c:pt idx="2">
                  <c:v>10.4</c:v>
                </c:pt>
              </c:numCache>
            </c:numRef>
          </c:val>
          <c:extLst xmlns:c16r2="http://schemas.microsoft.com/office/drawing/2015/06/chart">
            <c:ext xmlns:c16="http://schemas.microsoft.com/office/drawing/2014/chart" uri="{C3380CC4-5D6E-409C-BE32-E72D297353CC}">
              <c16:uniqueId val="{00000002-307B-4A33-BE63-200C44B6BD05}"/>
            </c:ext>
          </c:extLst>
        </c:ser>
        <c:dLbls>
          <c:showLegendKey val="0"/>
          <c:showVal val="0"/>
          <c:showCatName val="0"/>
          <c:showSerName val="0"/>
          <c:showPercent val="0"/>
          <c:showBubbleSize val="0"/>
        </c:dLbls>
        <c:gapWidth val="150"/>
        <c:axId val="460529288"/>
        <c:axId val="460524976"/>
      </c:barChart>
      <c:catAx>
        <c:axId val="460529288"/>
        <c:scaling>
          <c:orientation val="minMax"/>
        </c:scaling>
        <c:delete val="0"/>
        <c:axPos val="b"/>
        <c:numFmt formatCode="General" sourceLinked="0"/>
        <c:majorTickMark val="out"/>
        <c:minorTickMark val="none"/>
        <c:tickLblPos val="nextTo"/>
        <c:crossAx val="460524976"/>
        <c:crosses val="autoZero"/>
        <c:auto val="1"/>
        <c:lblAlgn val="ctr"/>
        <c:lblOffset val="100"/>
        <c:noMultiLvlLbl val="0"/>
      </c:catAx>
      <c:valAx>
        <c:axId val="46052497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2751850695072302E-2"/>
              <c:y val="0.3766776482316565"/>
            </c:manualLayout>
          </c:layout>
          <c:overlay val="0"/>
        </c:title>
        <c:numFmt formatCode="General" sourceLinked="1"/>
        <c:majorTickMark val="out"/>
        <c:minorTickMark val="none"/>
        <c:tickLblPos val="nextTo"/>
        <c:crossAx val="460529288"/>
        <c:crosses val="autoZero"/>
        <c:crossBetween val="between"/>
      </c:valAx>
    </c:plotArea>
    <c:legend>
      <c:legendPos val="r"/>
      <c:layout>
        <c:manualLayout>
          <c:xMode val="edge"/>
          <c:yMode val="edge"/>
          <c:x val="0.15382484287585138"/>
          <c:y val="8.7042532146389712E-2"/>
          <c:w val="0.1541187622945879"/>
          <c:h val="0.119759807472137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691338582677164"/>
          <c:y val="6.3492063492063502E-2"/>
          <c:w val="0.83487423447069109"/>
          <c:h val="0.84784878151358678"/>
        </c:manualLayout>
      </c:layout>
      <c:barChart>
        <c:barDir val="col"/>
        <c:grouping val="clustered"/>
        <c:varyColors val="0"/>
        <c:ser>
          <c:idx val="0"/>
          <c:order val="0"/>
          <c:tx>
            <c:strRef>
              <c:f>Sheet1!$B$1</c:f>
              <c:strCache>
                <c:ptCount val="1"/>
                <c:pt idx="0">
                  <c:v>Not a DVA client </c:v>
                </c:pt>
              </c:strCache>
            </c:strRef>
          </c:tx>
          <c:spPr>
            <a:solidFill>
              <a:schemeClr val="accent1"/>
            </a:solidFill>
            <a:effectLst/>
          </c:spPr>
          <c:invertIfNegative val="0"/>
          <c:dLbls>
            <c:dLbl>
              <c:idx val="2"/>
              <c:layout/>
              <c:tx>
                <c:rich>
                  <a:bodyPr/>
                  <a:lstStyle/>
                  <a:p>
                    <a:r>
                      <a:rPr lang="en-US"/>
                      <a:t>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24-4890-8164-634A92CD0D34}"/>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Sheet1!$B$2:$B$4</c:f>
              <c:numCache>
                <c:formatCode>General</c:formatCode>
                <c:ptCount val="3"/>
                <c:pt idx="0">
                  <c:v>3.2</c:v>
                </c:pt>
                <c:pt idx="1">
                  <c:v>4.8</c:v>
                </c:pt>
                <c:pt idx="2">
                  <c:v>8</c:v>
                </c:pt>
              </c:numCache>
            </c:numRef>
          </c:val>
          <c:extLst xmlns:c16r2="http://schemas.microsoft.com/office/drawing/2015/06/chart">
            <c:ext xmlns:c16="http://schemas.microsoft.com/office/drawing/2014/chart" uri="{C3380CC4-5D6E-409C-BE32-E72D297353CC}">
              <c16:uniqueId val="{00000001-5324-4890-8164-634A92CD0D34}"/>
            </c:ext>
          </c:extLst>
        </c:ser>
        <c:ser>
          <c:idx val="1"/>
          <c:order val="1"/>
          <c:tx>
            <c:strRef>
              <c:f>Sheet1!$C$1</c:f>
              <c:strCache>
                <c:ptCount val="1"/>
                <c:pt idx="0">
                  <c:v>DVA client </c:v>
                </c:pt>
              </c:strCache>
            </c:strRef>
          </c:tx>
          <c:spPr>
            <a:solidFill>
              <a:schemeClr val="accent2"/>
            </a:solidFill>
            <a:effectLst/>
          </c:spPr>
          <c:invertIfNegative val="0"/>
          <c:dLbls>
            <c:dLbl>
              <c:idx val="2"/>
              <c:layout/>
              <c:tx>
                <c:rich>
                  <a:bodyPr/>
                  <a:lstStyle/>
                  <a:p>
                    <a:r>
                      <a:rPr lang="en-US" b="0"/>
                      <a:t>15.9</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24-4890-8164-634A92CD0D34}"/>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Alcohol harmful use</c:v>
                </c:pt>
                <c:pt idx="1">
                  <c:v>Alcohol dependence</c:v>
                </c:pt>
                <c:pt idx="2">
                  <c:v>Any alcohol disorder</c:v>
                </c:pt>
              </c:strCache>
            </c:strRef>
          </c:cat>
          <c:val>
            <c:numRef>
              <c:f>Sheet1!$C$2:$C$4</c:f>
              <c:numCache>
                <c:formatCode>General</c:formatCode>
                <c:ptCount val="3"/>
                <c:pt idx="0">
                  <c:v>4.0999999999999996</c:v>
                </c:pt>
                <c:pt idx="1">
                  <c:v>11.1</c:v>
                </c:pt>
                <c:pt idx="2">
                  <c:v>15.9</c:v>
                </c:pt>
              </c:numCache>
            </c:numRef>
          </c:val>
          <c:extLst xmlns:c16r2="http://schemas.microsoft.com/office/drawing/2015/06/chart">
            <c:ext xmlns:c16="http://schemas.microsoft.com/office/drawing/2014/chart" uri="{C3380CC4-5D6E-409C-BE32-E72D297353CC}">
              <c16:uniqueId val="{00000003-5324-4890-8164-634A92CD0D34}"/>
            </c:ext>
          </c:extLst>
        </c:ser>
        <c:dLbls>
          <c:showLegendKey val="0"/>
          <c:showVal val="0"/>
          <c:showCatName val="0"/>
          <c:showSerName val="0"/>
          <c:showPercent val="0"/>
          <c:showBubbleSize val="0"/>
        </c:dLbls>
        <c:gapWidth val="150"/>
        <c:axId val="460531248"/>
        <c:axId val="460531640"/>
      </c:barChart>
      <c:catAx>
        <c:axId val="460531248"/>
        <c:scaling>
          <c:orientation val="minMax"/>
        </c:scaling>
        <c:delete val="0"/>
        <c:axPos val="b"/>
        <c:numFmt formatCode="General" sourceLinked="0"/>
        <c:majorTickMark val="out"/>
        <c:minorTickMark val="none"/>
        <c:tickLblPos val="nextTo"/>
        <c:crossAx val="460531640"/>
        <c:crosses val="autoZero"/>
        <c:auto val="1"/>
        <c:lblAlgn val="ctr"/>
        <c:lblOffset val="100"/>
        <c:noMultiLvlLbl val="0"/>
      </c:catAx>
      <c:valAx>
        <c:axId val="46053164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8707349081364833E-2"/>
              <c:y val="0.38460742852247326"/>
            </c:manualLayout>
          </c:layout>
          <c:overlay val="0"/>
        </c:title>
        <c:numFmt formatCode="General" sourceLinked="1"/>
        <c:majorTickMark val="out"/>
        <c:minorTickMark val="none"/>
        <c:tickLblPos val="nextTo"/>
        <c:crossAx val="460531248"/>
        <c:crosses val="autoZero"/>
        <c:crossBetween val="between"/>
      </c:valAx>
    </c:plotArea>
    <c:legend>
      <c:legendPos val="r"/>
      <c:layout>
        <c:manualLayout>
          <c:xMode val="edge"/>
          <c:yMode val="edge"/>
          <c:x val="0.17104702537182853"/>
          <c:y val="0.122734020265271"/>
          <c:w val="0.23435476815398071"/>
          <c:h val="0.1117652281595364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2911198600175"/>
          <c:y val="6.1549285505978421E-2"/>
          <c:w val="0.8382263779527559"/>
          <c:h val="0.72521361913094196"/>
        </c:manualLayout>
      </c:layout>
      <c:barChart>
        <c:barDir val="col"/>
        <c:grouping val="clustered"/>
        <c:varyColors val="0"/>
        <c:ser>
          <c:idx val="0"/>
          <c:order val="0"/>
          <c:tx>
            <c:strRef>
              <c:f>Sheet1!$B$1</c:f>
              <c:strCache>
                <c:ptCount val="1"/>
                <c:pt idx="0">
                  <c:v>Ex-Serving </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40.299999999999997</c:v>
                </c:pt>
                <c:pt idx="1">
                  <c:v>30.7</c:v>
                </c:pt>
                <c:pt idx="2">
                  <c:v>13.1</c:v>
                </c:pt>
                <c:pt idx="3">
                  <c:v>3.8</c:v>
                </c:pt>
                <c:pt idx="4">
                  <c:v>31.5</c:v>
                </c:pt>
              </c:numCache>
            </c:numRef>
          </c:val>
          <c:extLst xmlns:c16r2="http://schemas.microsoft.com/office/drawing/2015/06/chart">
            <c:ext xmlns:c16="http://schemas.microsoft.com/office/drawing/2014/chart" uri="{C3380CC4-5D6E-409C-BE32-E72D297353CC}">
              <c16:uniqueId val="{00000000-8715-41C5-BFA7-D125EBB2F47B}"/>
            </c:ext>
          </c:extLst>
        </c:ser>
        <c:ser>
          <c:idx val="1"/>
          <c:order val="1"/>
          <c:tx>
            <c:strRef>
              <c:f>Sheet1!$C$1</c:f>
              <c:strCache>
                <c:ptCount val="1"/>
                <c:pt idx="0">
                  <c:v>Inactive Reservist </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21.7</c:v>
                </c:pt>
                <c:pt idx="1">
                  <c:v>15.2</c:v>
                </c:pt>
                <c:pt idx="2">
                  <c:v>4.7</c:v>
                </c:pt>
                <c:pt idx="3">
                  <c:v>1.1000000000000001</c:v>
                </c:pt>
                <c:pt idx="4">
                  <c:v>15.7</c:v>
                </c:pt>
              </c:numCache>
            </c:numRef>
          </c:val>
          <c:extLst xmlns:c16r2="http://schemas.microsoft.com/office/drawing/2015/06/chart">
            <c:ext xmlns:c16="http://schemas.microsoft.com/office/drawing/2014/chart" uri="{C3380CC4-5D6E-409C-BE32-E72D297353CC}">
              <c16:uniqueId val="{00000001-8715-41C5-BFA7-D125EBB2F47B}"/>
            </c:ext>
          </c:extLst>
        </c:ser>
        <c:ser>
          <c:idx val="2"/>
          <c:order val="2"/>
          <c:tx>
            <c:strRef>
              <c:f>Sheet1!$D$1</c:f>
              <c:strCache>
                <c:ptCount val="1"/>
                <c:pt idx="0">
                  <c:v>Active Reservist </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17.8</c:v>
                </c:pt>
                <c:pt idx="1">
                  <c:v>12.3</c:v>
                </c:pt>
                <c:pt idx="2">
                  <c:v>2.7</c:v>
                </c:pt>
                <c:pt idx="3">
                  <c:v>0.1</c:v>
                </c:pt>
                <c:pt idx="4">
                  <c:v>12.4</c:v>
                </c:pt>
              </c:numCache>
            </c:numRef>
          </c:val>
          <c:extLst xmlns:c16r2="http://schemas.microsoft.com/office/drawing/2015/06/chart">
            <c:ext xmlns:c16="http://schemas.microsoft.com/office/drawing/2014/chart" uri="{C3380CC4-5D6E-409C-BE32-E72D297353CC}">
              <c16:uniqueId val="{00000002-8715-41C5-BFA7-D125EBB2F47B}"/>
            </c:ext>
          </c:extLst>
        </c:ser>
        <c:dLbls>
          <c:showLegendKey val="0"/>
          <c:showVal val="0"/>
          <c:showCatName val="0"/>
          <c:showSerName val="0"/>
          <c:showPercent val="0"/>
          <c:showBubbleSize val="0"/>
        </c:dLbls>
        <c:gapWidth val="150"/>
        <c:axId val="460525368"/>
        <c:axId val="460510472"/>
      </c:barChart>
      <c:catAx>
        <c:axId val="460525368"/>
        <c:scaling>
          <c:orientation val="minMax"/>
        </c:scaling>
        <c:delete val="0"/>
        <c:axPos val="b"/>
        <c:numFmt formatCode="General" sourceLinked="0"/>
        <c:majorTickMark val="out"/>
        <c:minorTickMark val="none"/>
        <c:tickLblPos val="nextTo"/>
        <c:crossAx val="460510472"/>
        <c:crosses val="autoZero"/>
        <c:auto val="1"/>
        <c:lblAlgn val="ctr"/>
        <c:lblOffset val="100"/>
        <c:noMultiLvlLbl val="0"/>
      </c:catAx>
      <c:valAx>
        <c:axId val="46051047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0307305336832896E-2"/>
              <c:y val="0.3371902023218884"/>
            </c:manualLayout>
          </c:layout>
          <c:overlay val="0"/>
        </c:title>
        <c:numFmt formatCode="General" sourceLinked="1"/>
        <c:majorTickMark val="out"/>
        <c:minorTickMark val="none"/>
        <c:tickLblPos val="nextTo"/>
        <c:crossAx val="460525368"/>
        <c:crosses val="autoZero"/>
        <c:crossBetween val="between"/>
      </c:valAx>
    </c:plotArea>
    <c:legend>
      <c:legendPos val="r"/>
      <c:layout>
        <c:manualLayout>
          <c:xMode val="edge"/>
          <c:yMode val="edge"/>
          <c:x val="0.54394947506561675"/>
          <c:y val="5.4350619965607749E-2"/>
          <c:w val="0.25299300087489063"/>
          <c:h val="0.15223946717642955"/>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231130033589225"/>
          <c:y val="7.5703014867948643E-2"/>
          <c:w val="0.82848234784848129"/>
          <c:h val="0.75617162438028585"/>
        </c:manualLayout>
      </c:layout>
      <c:barChart>
        <c:barDir val="col"/>
        <c:grouping val="clustered"/>
        <c:varyColors val="0"/>
        <c:ser>
          <c:idx val="0"/>
          <c:order val="0"/>
          <c:tx>
            <c:strRef>
              <c:f>Sheet1!$B$1</c:f>
              <c:strCache>
                <c:ptCount val="1"/>
                <c:pt idx="0">
                  <c:v>Transitioned  males </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commiting suicide</c:v>
                </c:pt>
                <c:pt idx="2">
                  <c:v>Made a suicide plan</c:v>
                </c:pt>
                <c:pt idx="3">
                  <c:v>Attempted suicide</c:v>
                </c:pt>
                <c:pt idx="4">
                  <c:v>Any suicidality*</c:v>
                </c:pt>
              </c:strCache>
            </c:strRef>
          </c:cat>
          <c:val>
            <c:numRef>
              <c:f>Sheet1!$B$2:$B$6</c:f>
              <c:numCache>
                <c:formatCode>General</c:formatCode>
                <c:ptCount val="5"/>
                <c:pt idx="0">
                  <c:v>28.8</c:v>
                </c:pt>
                <c:pt idx="1">
                  <c:v>21.2</c:v>
                </c:pt>
                <c:pt idx="2">
                  <c:v>7.9</c:v>
                </c:pt>
                <c:pt idx="3">
                  <c:v>1.8</c:v>
                </c:pt>
                <c:pt idx="4">
                  <c:v>21.7</c:v>
                </c:pt>
              </c:numCache>
            </c:numRef>
          </c:val>
          <c:extLst xmlns:c16r2="http://schemas.microsoft.com/office/drawing/2015/06/chart">
            <c:ext xmlns:c16="http://schemas.microsoft.com/office/drawing/2014/chart" uri="{C3380CC4-5D6E-409C-BE32-E72D297353CC}">
              <c16:uniqueId val="{00000000-CA6E-43A4-9744-36D2D74B5F2A}"/>
            </c:ext>
          </c:extLst>
        </c:ser>
        <c:ser>
          <c:idx val="1"/>
          <c:order val="1"/>
          <c:tx>
            <c:strRef>
              <c:f>Sheet1!$C$1</c:f>
              <c:strCache>
                <c:ptCount val="1"/>
                <c:pt idx="0">
                  <c:v>Transitioned females </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commiting suicide</c:v>
                </c:pt>
                <c:pt idx="2">
                  <c:v>Made a suicide plan</c:v>
                </c:pt>
                <c:pt idx="3">
                  <c:v>Attempted suicide</c:v>
                </c:pt>
                <c:pt idx="4">
                  <c:v>Any suicidality*</c:v>
                </c:pt>
              </c:strCache>
            </c:strRef>
          </c:cat>
          <c:val>
            <c:numRef>
              <c:f>Sheet1!$C$2:$C$6</c:f>
              <c:numCache>
                <c:formatCode>General</c:formatCode>
                <c:ptCount val="5"/>
                <c:pt idx="0">
                  <c:v>29.4</c:v>
                </c:pt>
                <c:pt idx="1">
                  <c:v>21.2</c:v>
                </c:pt>
                <c:pt idx="2">
                  <c:v>7.7</c:v>
                </c:pt>
                <c:pt idx="3">
                  <c:v>3.2</c:v>
                </c:pt>
                <c:pt idx="4">
                  <c:v>21.7</c:v>
                </c:pt>
              </c:numCache>
            </c:numRef>
          </c:val>
          <c:extLst xmlns:c16r2="http://schemas.microsoft.com/office/drawing/2015/06/chart">
            <c:ext xmlns:c16="http://schemas.microsoft.com/office/drawing/2014/chart" uri="{C3380CC4-5D6E-409C-BE32-E72D297353CC}">
              <c16:uniqueId val="{00000001-CA6E-43A4-9744-36D2D74B5F2A}"/>
            </c:ext>
          </c:extLst>
        </c:ser>
        <c:dLbls>
          <c:showLegendKey val="0"/>
          <c:showVal val="0"/>
          <c:showCatName val="0"/>
          <c:showSerName val="0"/>
          <c:showPercent val="0"/>
          <c:showBubbleSize val="0"/>
        </c:dLbls>
        <c:gapWidth val="150"/>
        <c:axId val="460503416"/>
        <c:axId val="460503024"/>
      </c:barChart>
      <c:catAx>
        <c:axId val="460503416"/>
        <c:scaling>
          <c:orientation val="minMax"/>
        </c:scaling>
        <c:delete val="0"/>
        <c:axPos val="b"/>
        <c:numFmt formatCode="General" sourceLinked="0"/>
        <c:majorTickMark val="out"/>
        <c:minorTickMark val="none"/>
        <c:tickLblPos val="nextTo"/>
        <c:crossAx val="460503024"/>
        <c:crosses val="autoZero"/>
        <c:auto val="1"/>
        <c:lblAlgn val="ctr"/>
        <c:lblOffset val="100"/>
        <c:noMultiLvlLbl val="0"/>
      </c:catAx>
      <c:valAx>
        <c:axId val="46050302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139271937779176E-2"/>
              <c:y val="0.40979573024995369"/>
            </c:manualLayout>
          </c:layout>
          <c:overlay val="0"/>
        </c:title>
        <c:numFmt formatCode="General" sourceLinked="1"/>
        <c:majorTickMark val="out"/>
        <c:minorTickMark val="none"/>
        <c:tickLblPos val="nextTo"/>
        <c:crossAx val="460503416"/>
        <c:crosses val="autoZero"/>
        <c:crossBetween val="between"/>
      </c:valAx>
    </c:plotArea>
    <c:legend>
      <c:legendPos val="r"/>
      <c:layout>
        <c:manualLayout>
          <c:xMode val="edge"/>
          <c:yMode val="edge"/>
          <c:x val="0.48915533783746762"/>
          <c:y val="0.12656027788811264"/>
          <c:w val="0.32390993923254374"/>
          <c:h val="0.11573740782402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68036297957558"/>
          <c:y val="8.9272747156605436E-2"/>
          <c:w val="0.84433174543410749"/>
          <c:h val="0.69554170312044328"/>
        </c:manualLayout>
      </c:layout>
      <c:barChart>
        <c:barDir val="col"/>
        <c:grouping val="clustered"/>
        <c:varyColors val="0"/>
        <c:ser>
          <c:idx val="0"/>
          <c:order val="0"/>
          <c:tx>
            <c:strRef>
              <c:f>Sheet1!$B$1</c:f>
              <c:strCache>
                <c:ptCount val="1"/>
                <c:pt idx="0">
                  <c:v>18–27 </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29.6</c:v>
                </c:pt>
                <c:pt idx="1">
                  <c:v>23.5</c:v>
                </c:pt>
                <c:pt idx="2">
                  <c:v>8.3000000000000007</c:v>
                </c:pt>
                <c:pt idx="3">
                  <c:v>3.4</c:v>
                </c:pt>
                <c:pt idx="4">
                  <c:v>23.6</c:v>
                </c:pt>
              </c:numCache>
            </c:numRef>
          </c:val>
          <c:extLst xmlns:c16r2="http://schemas.microsoft.com/office/drawing/2015/06/chart">
            <c:ext xmlns:c16="http://schemas.microsoft.com/office/drawing/2014/chart" uri="{C3380CC4-5D6E-409C-BE32-E72D297353CC}">
              <c16:uniqueId val="{00000000-90B0-4474-AB57-E137EAE11E48}"/>
            </c:ext>
          </c:extLst>
        </c:ser>
        <c:ser>
          <c:idx val="1"/>
          <c:order val="1"/>
          <c:tx>
            <c:strRef>
              <c:f>Sheet1!$C$1</c:f>
              <c:strCache>
                <c:ptCount val="1"/>
                <c:pt idx="0">
                  <c:v>28–37 </c:v>
                </c:pt>
              </c:strCache>
            </c:strRef>
          </c:tx>
          <c:spPr>
            <a:solidFill>
              <a:srgbClr val="720829"/>
            </a:solidFill>
            <a:effectLst/>
          </c:spPr>
          <c:invertIfNegative val="0"/>
          <c:dLbls>
            <c:dLbl>
              <c:idx val="1"/>
              <c:layout/>
              <c:tx>
                <c:rich>
                  <a:bodyPr/>
                  <a:lstStyle/>
                  <a:p>
                    <a:r>
                      <a:rPr lang="en-US"/>
                      <a:t>21.0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B0-4474-AB57-E137EAE11E48}"/>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29.1</c:v>
                </c:pt>
                <c:pt idx="1">
                  <c:v>21</c:v>
                </c:pt>
                <c:pt idx="2">
                  <c:v>7.9</c:v>
                </c:pt>
                <c:pt idx="3">
                  <c:v>1.9</c:v>
                </c:pt>
                <c:pt idx="4">
                  <c:v>21.1</c:v>
                </c:pt>
              </c:numCache>
            </c:numRef>
          </c:val>
          <c:extLst xmlns:c16r2="http://schemas.microsoft.com/office/drawing/2015/06/chart">
            <c:ext xmlns:c16="http://schemas.microsoft.com/office/drawing/2014/chart" uri="{C3380CC4-5D6E-409C-BE32-E72D297353CC}">
              <c16:uniqueId val="{00000002-90B0-4474-AB57-E137EAE11E48}"/>
            </c:ext>
          </c:extLst>
        </c:ser>
        <c:ser>
          <c:idx val="2"/>
          <c:order val="2"/>
          <c:tx>
            <c:strRef>
              <c:f>Sheet1!$D$1</c:f>
              <c:strCache>
                <c:ptCount val="1"/>
                <c:pt idx="0">
                  <c:v>38–47 </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32.799999999999997</c:v>
                </c:pt>
                <c:pt idx="1">
                  <c:v>23.8</c:v>
                </c:pt>
                <c:pt idx="2">
                  <c:v>9.5</c:v>
                </c:pt>
                <c:pt idx="3">
                  <c:v>1.9</c:v>
                </c:pt>
                <c:pt idx="4">
                  <c:v>23.8</c:v>
                </c:pt>
              </c:numCache>
            </c:numRef>
          </c:val>
          <c:extLst xmlns:c16r2="http://schemas.microsoft.com/office/drawing/2015/06/chart">
            <c:ext xmlns:c16="http://schemas.microsoft.com/office/drawing/2014/chart" uri="{C3380CC4-5D6E-409C-BE32-E72D297353CC}">
              <c16:uniqueId val="{00000003-90B0-4474-AB57-E137EAE11E48}"/>
            </c:ext>
          </c:extLst>
        </c:ser>
        <c:ser>
          <c:idx val="3"/>
          <c:order val="3"/>
          <c:tx>
            <c:strRef>
              <c:f>Sheet1!$E$1</c:f>
              <c:strCache>
                <c:ptCount val="1"/>
                <c:pt idx="0">
                  <c:v>48–57 </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Sheet1!$E$2:$E$6</c:f>
              <c:numCache>
                <c:formatCode>General</c:formatCode>
                <c:ptCount val="5"/>
                <c:pt idx="0">
                  <c:v>26.9</c:v>
                </c:pt>
                <c:pt idx="1">
                  <c:v>18.3</c:v>
                </c:pt>
                <c:pt idx="2">
                  <c:v>6.9</c:v>
                </c:pt>
                <c:pt idx="3">
                  <c:v>1.3</c:v>
                </c:pt>
                <c:pt idx="4">
                  <c:v>19.100000000000001</c:v>
                </c:pt>
              </c:numCache>
            </c:numRef>
          </c:val>
          <c:extLst xmlns:c16r2="http://schemas.microsoft.com/office/drawing/2015/06/chart">
            <c:ext xmlns:c16="http://schemas.microsoft.com/office/drawing/2014/chart" uri="{C3380CC4-5D6E-409C-BE32-E72D297353CC}">
              <c16:uniqueId val="{00000004-90B0-4474-AB57-E137EAE11E48}"/>
            </c:ext>
          </c:extLst>
        </c:ser>
        <c:ser>
          <c:idx val="4"/>
          <c:order val="4"/>
          <c:tx>
            <c:strRef>
              <c:f>Sheet1!$F$1</c:f>
              <c:strCache>
                <c:ptCount val="1"/>
                <c:pt idx="0">
                  <c:v>58+ </c:v>
                </c:pt>
              </c:strCache>
            </c:strRef>
          </c:tx>
          <c:spPr>
            <a:solidFill>
              <a:srgbClr val="B3D0FF"/>
            </a:solidFill>
            <a:effectLst/>
          </c:spPr>
          <c:invertIfNegative val="0"/>
          <c:dLbls>
            <c:dLbl>
              <c:idx val="1"/>
              <c:layout/>
              <c:tx>
                <c:rich>
                  <a:bodyPr/>
                  <a:lstStyle/>
                  <a:p>
                    <a:r>
                      <a:rPr lang="en-US"/>
                      <a:t>14.0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B0-4474-AB57-E137EAE11E48}"/>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Sheet1!$F$2:$F$6</c:f>
              <c:numCache>
                <c:formatCode>General</c:formatCode>
                <c:ptCount val="5"/>
                <c:pt idx="0">
                  <c:v>19.5</c:v>
                </c:pt>
                <c:pt idx="1">
                  <c:v>14</c:v>
                </c:pt>
                <c:pt idx="2">
                  <c:v>3.8</c:v>
                </c:pt>
                <c:pt idx="3">
                  <c:v>0.2</c:v>
                </c:pt>
                <c:pt idx="4">
                  <c:v>14.4</c:v>
                </c:pt>
              </c:numCache>
            </c:numRef>
          </c:val>
          <c:extLst xmlns:c16r2="http://schemas.microsoft.com/office/drawing/2015/06/chart">
            <c:ext xmlns:c16="http://schemas.microsoft.com/office/drawing/2014/chart" uri="{C3380CC4-5D6E-409C-BE32-E72D297353CC}">
              <c16:uniqueId val="{00000006-90B0-4474-AB57-E137EAE11E48}"/>
            </c:ext>
          </c:extLst>
        </c:ser>
        <c:dLbls>
          <c:showLegendKey val="0"/>
          <c:showVal val="0"/>
          <c:showCatName val="0"/>
          <c:showSerName val="0"/>
          <c:showPercent val="0"/>
          <c:showBubbleSize val="0"/>
        </c:dLbls>
        <c:gapWidth val="150"/>
        <c:axId val="460500672"/>
        <c:axId val="460511648"/>
      </c:barChart>
      <c:catAx>
        <c:axId val="460500672"/>
        <c:scaling>
          <c:orientation val="minMax"/>
        </c:scaling>
        <c:delete val="0"/>
        <c:axPos val="b"/>
        <c:numFmt formatCode="General" sourceLinked="0"/>
        <c:majorTickMark val="out"/>
        <c:minorTickMark val="none"/>
        <c:tickLblPos val="nextTo"/>
        <c:crossAx val="460511648"/>
        <c:crosses val="autoZero"/>
        <c:auto val="1"/>
        <c:lblAlgn val="ctr"/>
        <c:lblOffset val="100"/>
        <c:noMultiLvlLbl val="0"/>
      </c:catAx>
      <c:valAx>
        <c:axId val="46051164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3.155281265517485E-3"/>
              <c:y val="0.34435695538057742"/>
            </c:manualLayout>
          </c:layout>
          <c:overlay val="0"/>
        </c:title>
        <c:numFmt formatCode="General" sourceLinked="1"/>
        <c:majorTickMark val="out"/>
        <c:minorTickMark val="none"/>
        <c:tickLblPos val="nextTo"/>
        <c:crossAx val="460500672"/>
        <c:crosses val="autoZero"/>
        <c:crossBetween val="between"/>
      </c:valAx>
    </c:plotArea>
    <c:legend>
      <c:legendPos val="r"/>
      <c:layout>
        <c:manualLayout>
          <c:xMode val="edge"/>
          <c:yMode val="edge"/>
          <c:x val="0.56233830438554844"/>
          <c:y val="0.10500693383476319"/>
          <c:w val="0.15566847283382718"/>
          <c:h val="0.22830988339572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47222222222221"/>
          <c:y val="7.6819772528433958E-2"/>
          <c:w val="0.85999737532808396"/>
          <c:h val="0.75072397200349961"/>
        </c:manualLayout>
      </c:layout>
      <c:barChart>
        <c:barDir val="col"/>
        <c:grouping val="clustered"/>
        <c:varyColors val="0"/>
        <c:ser>
          <c:idx val="0"/>
          <c:order val="0"/>
          <c:tx>
            <c:strRef>
              <c:f>Sheet1!$B$1</c:f>
              <c:strCache>
                <c:ptCount val="1"/>
                <c:pt idx="0">
                  <c:v>Army </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30.3</c:v>
                </c:pt>
                <c:pt idx="1">
                  <c:v>22.5</c:v>
                </c:pt>
                <c:pt idx="2">
                  <c:v>9.1</c:v>
                </c:pt>
                <c:pt idx="3">
                  <c:v>2.2000000000000002</c:v>
                </c:pt>
                <c:pt idx="4">
                  <c:v>22.7</c:v>
                </c:pt>
              </c:numCache>
            </c:numRef>
          </c:val>
          <c:extLst xmlns:c16r2="http://schemas.microsoft.com/office/drawing/2015/06/chart">
            <c:ext xmlns:c16="http://schemas.microsoft.com/office/drawing/2014/chart" uri="{C3380CC4-5D6E-409C-BE32-E72D297353CC}">
              <c16:uniqueId val="{00000000-9B89-489F-A95D-DE240C351F0B}"/>
            </c:ext>
          </c:extLst>
        </c:ser>
        <c:ser>
          <c:idx val="1"/>
          <c:order val="1"/>
          <c:tx>
            <c:strRef>
              <c:f>Sheet1!$C$1</c:f>
              <c:strCache>
                <c:ptCount val="1"/>
                <c:pt idx="0">
                  <c:v>Navy </c:v>
                </c:pt>
              </c:strCache>
            </c:strRef>
          </c:tx>
          <c:spPr>
            <a:solidFill>
              <a:srgbClr val="720829"/>
            </a:solidFill>
            <a:effectLst/>
          </c:spPr>
          <c:invertIfNegative val="0"/>
          <c:dLbls>
            <c:dLbl>
              <c:idx val="2"/>
              <c:layout/>
              <c:tx>
                <c:rich>
                  <a:bodyPr/>
                  <a:lstStyle/>
                  <a:p>
                    <a:r>
                      <a:rPr lang="en-US"/>
                      <a:t>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89-489F-A95D-DE240C351F0B}"/>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29.3</c:v>
                </c:pt>
                <c:pt idx="1">
                  <c:v>21.6</c:v>
                </c:pt>
                <c:pt idx="2">
                  <c:v>6</c:v>
                </c:pt>
                <c:pt idx="3">
                  <c:v>2.2999999999999998</c:v>
                </c:pt>
                <c:pt idx="4">
                  <c:v>21.7</c:v>
                </c:pt>
              </c:numCache>
            </c:numRef>
          </c:val>
          <c:extLst xmlns:c16r2="http://schemas.microsoft.com/office/drawing/2015/06/chart">
            <c:ext xmlns:c16="http://schemas.microsoft.com/office/drawing/2014/chart" uri="{C3380CC4-5D6E-409C-BE32-E72D297353CC}">
              <c16:uniqueId val="{00000002-9B89-489F-A95D-DE240C351F0B}"/>
            </c:ext>
          </c:extLst>
        </c:ser>
        <c:ser>
          <c:idx val="2"/>
          <c:order val="2"/>
          <c:tx>
            <c:strRef>
              <c:f>Sheet1!$D$1</c:f>
              <c:strCache>
                <c:ptCount val="1"/>
                <c:pt idx="0">
                  <c:v>Air Force </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25.9</c:v>
                </c:pt>
                <c:pt idx="1">
                  <c:v>18.2</c:v>
                </c:pt>
                <c:pt idx="2">
                  <c:v>6.7</c:v>
                </c:pt>
                <c:pt idx="3">
                  <c:v>1.2</c:v>
                </c:pt>
                <c:pt idx="4">
                  <c:v>18.399999999999999</c:v>
                </c:pt>
              </c:numCache>
            </c:numRef>
          </c:val>
          <c:extLst xmlns:c16r2="http://schemas.microsoft.com/office/drawing/2015/06/chart">
            <c:ext xmlns:c16="http://schemas.microsoft.com/office/drawing/2014/chart" uri="{C3380CC4-5D6E-409C-BE32-E72D297353CC}">
              <c16:uniqueId val="{00000003-9B89-489F-A95D-DE240C351F0B}"/>
            </c:ext>
          </c:extLst>
        </c:ser>
        <c:dLbls>
          <c:showLegendKey val="0"/>
          <c:showVal val="0"/>
          <c:showCatName val="0"/>
          <c:showSerName val="0"/>
          <c:showPercent val="0"/>
          <c:showBubbleSize val="0"/>
        </c:dLbls>
        <c:gapWidth val="150"/>
        <c:axId val="460504592"/>
        <c:axId val="460502632"/>
      </c:barChart>
      <c:catAx>
        <c:axId val="460504592"/>
        <c:scaling>
          <c:orientation val="minMax"/>
        </c:scaling>
        <c:delete val="0"/>
        <c:axPos val="b"/>
        <c:numFmt formatCode="General" sourceLinked="0"/>
        <c:majorTickMark val="out"/>
        <c:minorTickMark val="none"/>
        <c:tickLblPos val="nextTo"/>
        <c:crossAx val="460502632"/>
        <c:crosses val="autoZero"/>
        <c:auto val="1"/>
        <c:lblAlgn val="ctr"/>
        <c:lblOffset val="100"/>
        <c:noMultiLvlLbl val="0"/>
      </c:catAx>
      <c:valAx>
        <c:axId val="46050263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6.8217410323709532E-3"/>
              <c:y val="0.36407245012740752"/>
            </c:manualLayout>
          </c:layout>
          <c:overlay val="0"/>
        </c:title>
        <c:numFmt formatCode="General" sourceLinked="1"/>
        <c:majorTickMark val="out"/>
        <c:minorTickMark val="none"/>
        <c:tickLblPos val="nextTo"/>
        <c:crossAx val="460504592"/>
        <c:crosses val="autoZero"/>
        <c:crossBetween val="between"/>
      </c:valAx>
    </c:plotArea>
    <c:legend>
      <c:legendPos val="r"/>
      <c:layout>
        <c:manualLayout>
          <c:xMode val="edge"/>
          <c:yMode val="edge"/>
          <c:x val="0.57506649168853896"/>
          <c:y val="0.14515705944920151"/>
          <c:w val="0.18475262467191603"/>
          <c:h val="0.1591016429068815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01366902941706"/>
          <c:y val="8.7211126048268361E-2"/>
          <c:w val="0.85848205564740998"/>
          <c:h val="0.73396106736657929"/>
        </c:manualLayout>
      </c:layout>
      <c:barChart>
        <c:barDir val="col"/>
        <c:grouping val="clustered"/>
        <c:varyColors val="0"/>
        <c:ser>
          <c:idx val="0"/>
          <c:order val="0"/>
          <c:tx>
            <c:strRef>
              <c:f>Sheet1!$B$1</c:f>
              <c:strCache>
                <c:ptCount val="1"/>
                <c:pt idx="0">
                  <c:v>OFFR </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20.7</c:v>
                </c:pt>
                <c:pt idx="1">
                  <c:v>12.9</c:v>
                </c:pt>
                <c:pt idx="2">
                  <c:v>5.6</c:v>
                </c:pt>
                <c:pt idx="3">
                  <c:v>0.7</c:v>
                </c:pt>
                <c:pt idx="4">
                  <c:v>13.2</c:v>
                </c:pt>
              </c:numCache>
            </c:numRef>
          </c:val>
          <c:extLst xmlns:c16r2="http://schemas.microsoft.com/office/drawing/2015/06/chart">
            <c:ext xmlns:c16="http://schemas.microsoft.com/office/drawing/2014/chart" uri="{C3380CC4-5D6E-409C-BE32-E72D297353CC}">
              <c16:uniqueId val="{00000000-8609-4480-982B-2B2491197E6A}"/>
            </c:ext>
          </c:extLst>
        </c:ser>
        <c:ser>
          <c:idx val="1"/>
          <c:order val="1"/>
          <c:tx>
            <c:strRef>
              <c:f>Sheet1!$C$1</c:f>
              <c:strCache>
                <c:ptCount val="1"/>
                <c:pt idx="0">
                  <c:v>NCO </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28.6</c:v>
                </c:pt>
                <c:pt idx="1">
                  <c:v>21.5</c:v>
                </c:pt>
                <c:pt idx="2">
                  <c:v>8.3000000000000007</c:v>
                </c:pt>
                <c:pt idx="3">
                  <c:v>1.8</c:v>
                </c:pt>
                <c:pt idx="4">
                  <c:v>21.8</c:v>
                </c:pt>
              </c:numCache>
            </c:numRef>
          </c:val>
          <c:extLst xmlns:c16r2="http://schemas.microsoft.com/office/drawing/2015/06/chart">
            <c:ext xmlns:c16="http://schemas.microsoft.com/office/drawing/2014/chart" uri="{C3380CC4-5D6E-409C-BE32-E72D297353CC}">
              <c16:uniqueId val="{00000001-8609-4480-982B-2B2491197E6A}"/>
            </c:ext>
          </c:extLst>
        </c:ser>
        <c:ser>
          <c:idx val="2"/>
          <c:order val="2"/>
          <c:tx>
            <c:strRef>
              <c:f>Sheet1!$D$1</c:f>
              <c:strCache>
                <c:ptCount val="1"/>
                <c:pt idx="0">
                  <c:v>Other Ranks </c:v>
                </c:pt>
              </c:strCache>
            </c:strRef>
          </c:tx>
          <c:spPr>
            <a:solidFill>
              <a:srgbClr val="0194DF"/>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3-8609-4480-982B-2B2491197E6A}"/>
              </c:ext>
            </c:extLst>
          </c:dPt>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32.4</c:v>
                </c:pt>
                <c:pt idx="1">
                  <c:v>24.3</c:v>
                </c:pt>
                <c:pt idx="2">
                  <c:v>8.6</c:v>
                </c:pt>
                <c:pt idx="3">
                  <c:v>2.6</c:v>
                </c:pt>
                <c:pt idx="4">
                  <c:v>24.4</c:v>
                </c:pt>
              </c:numCache>
            </c:numRef>
          </c:val>
          <c:extLst xmlns:c16r2="http://schemas.microsoft.com/office/drawing/2015/06/chart">
            <c:ext xmlns:c16="http://schemas.microsoft.com/office/drawing/2014/chart" uri="{C3380CC4-5D6E-409C-BE32-E72D297353CC}">
              <c16:uniqueId val="{00000004-8609-4480-982B-2B2491197E6A}"/>
            </c:ext>
          </c:extLst>
        </c:ser>
        <c:dLbls>
          <c:dLblPos val="outEnd"/>
          <c:showLegendKey val="0"/>
          <c:showVal val="1"/>
          <c:showCatName val="0"/>
          <c:showSerName val="0"/>
          <c:showPercent val="0"/>
          <c:showBubbleSize val="0"/>
        </c:dLbls>
        <c:gapWidth val="150"/>
        <c:axId val="460502240"/>
        <c:axId val="460501456"/>
      </c:barChart>
      <c:catAx>
        <c:axId val="460502240"/>
        <c:scaling>
          <c:orientation val="minMax"/>
        </c:scaling>
        <c:delete val="0"/>
        <c:axPos val="b"/>
        <c:numFmt formatCode="General" sourceLinked="0"/>
        <c:majorTickMark val="out"/>
        <c:minorTickMark val="none"/>
        <c:tickLblPos val="nextTo"/>
        <c:crossAx val="460501456"/>
        <c:crosses val="autoZero"/>
        <c:auto val="1"/>
        <c:lblAlgn val="ctr"/>
        <c:lblOffset val="100"/>
        <c:noMultiLvlLbl val="0"/>
      </c:catAx>
      <c:valAx>
        <c:axId val="46050145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0325928593645125E-3"/>
              <c:y val="0.36045709198630871"/>
            </c:manualLayout>
          </c:layout>
          <c:overlay val="0"/>
        </c:title>
        <c:numFmt formatCode="General" sourceLinked="1"/>
        <c:majorTickMark val="out"/>
        <c:minorTickMark val="none"/>
        <c:tickLblPos val="nextTo"/>
        <c:crossAx val="460502240"/>
        <c:crosses val="autoZero"/>
        <c:crossBetween val="between"/>
      </c:valAx>
    </c:plotArea>
    <c:legend>
      <c:legendPos val="r"/>
      <c:layout>
        <c:manualLayout>
          <c:xMode val="edge"/>
          <c:yMode val="edge"/>
          <c:x val="0.56554335074020112"/>
          <c:y val="0.10979232859050514"/>
          <c:w val="0.21997020642689938"/>
          <c:h val="0.123850707186192"/>
        </c:manualLayout>
      </c:layout>
      <c:overlay val="0"/>
    </c:legend>
    <c:plotVisOnly val="1"/>
    <c:dispBlanksAs val="gap"/>
    <c:showDLblsOverMax val="0"/>
  </c:chart>
  <c:spPr>
    <a:ln>
      <a:noFill/>
    </a:ln>
  </c:spPr>
  <c:txPr>
    <a:bodyPr rot="-5400000" vert="horz"/>
    <a:lstStyle/>
    <a:p>
      <a:pPr>
        <a:defRPr sz="800">
          <a:latin typeface="+mj-lt"/>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963747746562994"/>
          <c:y val="7.4822332760812835E-2"/>
          <c:w val="0.85172061216773787"/>
          <c:h val="0.68116429890708108"/>
        </c:manualLayout>
      </c:layout>
      <c:barChart>
        <c:barDir val="col"/>
        <c:grouping val="clustered"/>
        <c:varyColors val="0"/>
        <c:ser>
          <c:idx val="0"/>
          <c:order val="0"/>
          <c:tx>
            <c:strRef>
              <c:f>Sheet1!$B$1</c:f>
              <c:strCache>
                <c:ptCount val="1"/>
                <c:pt idx="0">
                  <c:v>Ever deployed</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29.2</c:v>
                </c:pt>
                <c:pt idx="1">
                  <c:v>22.1</c:v>
                </c:pt>
                <c:pt idx="2">
                  <c:v>7.9</c:v>
                </c:pt>
                <c:pt idx="3">
                  <c:v>1.9</c:v>
                </c:pt>
                <c:pt idx="4">
                  <c:v>22.3</c:v>
                </c:pt>
              </c:numCache>
            </c:numRef>
          </c:val>
          <c:extLst xmlns:c16r2="http://schemas.microsoft.com/office/drawing/2015/06/chart">
            <c:ext xmlns:c16="http://schemas.microsoft.com/office/drawing/2014/chart" uri="{C3380CC4-5D6E-409C-BE32-E72D297353CC}">
              <c16:uniqueId val="{00000000-2B38-422D-8B69-E7B8D1A23942}"/>
            </c:ext>
          </c:extLst>
        </c:ser>
        <c:ser>
          <c:idx val="1"/>
          <c:order val="1"/>
          <c:tx>
            <c:strRef>
              <c:f>Sheet1!$C$1</c:f>
              <c:strCache>
                <c:ptCount val="1"/>
                <c:pt idx="0">
                  <c:v>Never deployed</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27.9</c:v>
                </c:pt>
                <c:pt idx="1">
                  <c:v>18.2</c:v>
                </c:pt>
                <c:pt idx="2">
                  <c:v>7.9</c:v>
                </c:pt>
                <c:pt idx="3">
                  <c:v>2.5</c:v>
                </c:pt>
                <c:pt idx="4">
                  <c:v>18.5</c:v>
                </c:pt>
              </c:numCache>
            </c:numRef>
          </c:val>
          <c:extLst xmlns:c16r2="http://schemas.microsoft.com/office/drawing/2015/06/chart">
            <c:ext xmlns:c16="http://schemas.microsoft.com/office/drawing/2014/chart" uri="{C3380CC4-5D6E-409C-BE32-E72D297353CC}">
              <c16:uniqueId val="{00000001-2B38-422D-8B69-E7B8D1A23942}"/>
            </c:ext>
          </c:extLst>
        </c:ser>
        <c:dLbls>
          <c:dLblPos val="outEnd"/>
          <c:showLegendKey val="0"/>
          <c:showVal val="1"/>
          <c:showCatName val="0"/>
          <c:showSerName val="0"/>
          <c:showPercent val="0"/>
          <c:showBubbleSize val="0"/>
        </c:dLbls>
        <c:gapWidth val="150"/>
        <c:axId val="460499888"/>
        <c:axId val="460501848"/>
      </c:barChart>
      <c:catAx>
        <c:axId val="460499888"/>
        <c:scaling>
          <c:orientation val="minMax"/>
        </c:scaling>
        <c:delete val="0"/>
        <c:axPos val="b"/>
        <c:numFmt formatCode="General" sourceLinked="0"/>
        <c:majorTickMark val="out"/>
        <c:minorTickMark val="none"/>
        <c:tickLblPos val="nextTo"/>
        <c:crossAx val="460501848"/>
        <c:crosses val="autoZero"/>
        <c:auto val="1"/>
        <c:lblAlgn val="ctr"/>
        <c:lblOffset val="100"/>
        <c:noMultiLvlLbl val="0"/>
      </c:catAx>
      <c:valAx>
        <c:axId val="46050184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2.8548101633433594E-3"/>
              <c:y val="0.32753850213167801"/>
            </c:manualLayout>
          </c:layout>
          <c:overlay val="0"/>
        </c:title>
        <c:numFmt formatCode="General" sourceLinked="1"/>
        <c:majorTickMark val="out"/>
        <c:minorTickMark val="none"/>
        <c:tickLblPos val="nextTo"/>
        <c:crossAx val="460499888"/>
        <c:crosses val="autoZero"/>
        <c:crossBetween val="between"/>
      </c:valAx>
      <c:spPr>
        <a:noFill/>
        <a:ln w="25400">
          <a:noFill/>
        </a:ln>
      </c:spPr>
    </c:plotArea>
    <c:legend>
      <c:legendPos val="r"/>
      <c:layout>
        <c:manualLayout>
          <c:xMode val="edge"/>
          <c:yMode val="edge"/>
          <c:x val="0.53889303503032893"/>
          <c:y val="9.267758196892055E-2"/>
          <c:w val="0.240546442111403"/>
          <c:h val="0.1077741324001166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60673665791778"/>
          <c:y val="7.0108996792067654E-2"/>
          <c:w val="0.85244828738787604"/>
          <c:h val="0.71537353920145452"/>
        </c:manualLayout>
      </c:layout>
      <c:barChart>
        <c:barDir val="col"/>
        <c:grouping val="clustered"/>
        <c:varyColors val="0"/>
        <c:ser>
          <c:idx val="0"/>
          <c:order val="0"/>
          <c:tx>
            <c:strRef>
              <c:f>Sheet1!$B$1</c:f>
              <c:strCache>
                <c:ptCount val="1"/>
                <c:pt idx="0">
                  <c:v>3 months – 3.9 years </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36.6</c:v>
                </c:pt>
                <c:pt idx="1">
                  <c:v>28.5</c:v>
                </c:pt>
                <c:pt idx="2">
                  <c:v>11.2</c:v>
                </c:pt>
                <c:pt idx="3">
                  <c:v>3.6</c:v>
                </c:pt>
                <c:pt idx="4">
                  <c:v>28.1</c:v>
                </c:pt>
              </c:numCache>
            </c:numRef>
          </c:val>
          <c:extLst xmlns:c16r2="http://schemas.microsoft.com/office/drawing/2015/06/chart">
            <c:ext xmlns:c16="http://schemas.microsoft.com/office/drawing/2014/chart" uri="{C3380CC4-5D6E-409C-BE32-E72D297353CC}">
              <c16:uniqueId val="{00000000-20E9-4EDA-8010-A3D4596DCAA3}"/>
            </c:ext>
          </c:extLst>
        </c:ser>
        <c:ser>
          <c:idx val="1"/>
          <c:order val="1"/>
          <c:tx>
            <c:strRef>
              <c:f>Sheet1!$C$1</c:f>
              <c:strCache>
                <c:ptCount val="1"/>
                <c:pt idx="0">
                  <c:v>4–7.9 years </c:v>
                </c:pt>
              </c:strCache>
            </c:strRef>
          </c:tx>
          <c:spPr>
            <a:solidFill>
              <a:srgbClr val="720829"/>
            </a:solidFill>
            <a:effectLst/>
          </c:spPr>
          <c:invertIfNegative val="0"/>
          <c:dLbls>
            <c:dLbl>
              <c:idx val="0"/>
              <c:layout/>
              <c:tx>
                <c:rich>
                  <a:bodyPr/>
                  <a:lstStyle/>
                  <a:p>
                    <a:r>
                      <a:rPr lang="en-US"/>
                      <a:t>30.9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E9-4EDA-8010-A3D4596DCAA3}"/>
                </c:ext>
                <c:ext xmlns:c15="http://schemas.microsoft.com/office/drawing/2012/chart" uri="{CE6537A1-D6FC-4f65-9D91-7224C49458BB}">
                  <c15:layout/>
                </c:ext>
              </c:extLst>
            </c:dLbl>
            <c:dLbl>
              <c:idx val="2"/>
              <c:layout/>
              <c:tx>
                <c:rich>
                  <a:bodyPr/>
                  <a:lstStyle/>
                  <a:p>
                    <a:r>
                      <a:rPr lang="en-US"/>
                      <a:t>8.4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E9-4EDA-8010-A3D4596DCAA3}"/>
                </c:ext>
                <c:ext xmlns:c15="http://schemas.microsoft.com/office/drawing/2012/chart" uri="{CE6537A1-D6FC-4f65-9D91-7224C49458BB}">
                  <c15:layout/>
                </c:ext>
              </c:extLst>
            </c:dLbl>
            <c:dLbl>
              <c:idx val="3"/>
              <c:layout/>
              <c:tx>
                <c:rich>
                  <a:bodyPr/>
                  <a:lstStyle/>
                  <a:p>
                    <a:r>
                      <a:rPr lang="en-US"/>
                      <a:t>2.8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E9-4EDA-8010-A3D4596DCAA3}"/>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30.87</c:v>
                </c:pt>
                <c:pt idx="1">
                  <c:v>23.7</c:v>
                </c:pt>
                <c:pt idx="2">
                  <c:v>8.42</c:v>
                </c:pt>
                <c:pt idx="3">
                  <c:v>2.75</c:v>
                </c:pt>
                <c:pt idx="4">
                  <c:v>23.7</c:v>
                </c:pt>
              </c:numCache>
            </c:numRef>
          </c:val>
          <c:extLst xmlns:c16r2="http://schemas.microsoft.com/office/drawing/2015/06/chart">
            <c:ext xmlns:c16="http://schemas.microsoft.com/office/drawing/2014/chart" uri="{C3380CC4-5D6E-409C-BE32-E72D297353CC}">
              <c16:uniqueId val="{00000004-20E9-4EDA-8010-A3D4596DCAA3}"/>
            </c:ext>
          </c:extLst>
        </c:ser>
        <c:ser>
          <c:idx val="2"/>
          <c:order val="2"/>
          <c:tx>
            <c:strRef>
              <c:f>Sheet1!$D$1</c:f>
              <c:strCache>
                <c:ptCount val="1"/>
                <c:pt idx="0">
                  <c:v>8–11.9 years </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26.2</c:v>
                </c:pt>
                <c:pt idx="1">
                  <c:v>20.2</c:v>
                </c:pt>
                <c:pt idx="2">
                  <c:v>8.1999999999999993</c:v>
                </c:pt>
                <c:pt idx="3">
                  <c:v>1.9</c:v>
                </c:pt>
                <c:pt idx="4">
                  <c:v>20.7</c:v>
                </c:pt>
              </c:numCache>
            </c:numRef>
          </c:val>
          <c:extLst xmlns:c16r2="http://schemas.microsoft.com/office/drawing/2015/06/chart">
            <c:ext xmlns:c16="http://schemas.microsoft.com/office/drawing/2014/chart" uri="{C3380CC4-5D6E-409C-BE32-E72D297353CC}">
              <c16:uniqueId val="{00000005-20E9-4EDA-8010-A3D4596DCAA3}"/>
            </c:ext>
          </c:extLst>
        </c:ser>
        <c:ser>
          <c:idx val="3"/>
          <c:order val="3"/>
          <c:tx>
            <c:strRef>
              <c:f>Sheet1!$E$1</c:f>
              <c:strCache>
                <c:ptCount val="1"/>
                <c:pt idx="0">
                  <c:v>12–15.9 years </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Sheet1!$E$2:$E$6</c:f>
              <c:numCache>
                <c:formatCode>General</c:formatCode>
                <c:ptCount val="5"/>
                <c:pt idx="0">
                  <c:v>27.4</c:v>
                </c:pt>
                <c:pt idx="1">
                  <c:v>19.5</c:v>
                </c:pt>
                <c:pt idx="2">
                  <c:v>8.3000000000000007</c:v>
                </c:pt>
                <c:pt idx="3">
                  <c:v>1.9</c:v>
                </c:pt>
                <c:pt idx="4">
                  <c:v>19.7</c:v>
                </c:pt>
              </c:numCache>
            </c:numRef>
          </c:val>
          <c:extLst xmlns:c16r2="http://schemas.microsoft.com/office/drawing/2015/06/chart">
            <c:ext xmlns:c16="http://schemas.microsoft.com/office/drawing/2014/chart" uri="{C3380CC4-5D6E-409C-BE32-E72D297353CC}">
              <c16:uniqueId val="{00000006-20E9-4EDA-8010-A3D4596DCAA3}"/>
            </c:ext>
          </c:extLst>
        </c:ser>
        <c:ser>
          <c:idx val="4"/>
          <c:order val="4"/>
          <c:tx>
            <c:strRef>
              <c:f>Sheet1!$F$1</c:f>
              <c:strCache>
                <c:ptCount val="1"/>
                <c:pt idx="0">
                  <c:v>16–19.9 years </c:v>
                </c:pt>
              </c:strCache>
            </c:strRef>
          </c:tx>
          <c:spPr>
            <a:solidFill>
              <a:srgbClr val="B3D0FF"/>
            </a:solidFill>
            <a:effectLst/>
          </c:spPr>
          <c:invertIfNegative val="0"/>
          <c:dLbls>
            <c:dLbl>
              <c:idx val="1"/>
              <c:layout>
                <c:manualLayout>
                  <c:x val="8.3594566353187797E-3"/>
                  <c:y val="0"/>
                </c:manualLayout>
              </c:layout>
              <c:tx>
                <c:rich>
                  <a:bodyPr/>
                  <a:lstStyle/>
                  <a:p>
                    <a:r>
                      <a:rPr lang="en-US"/>
                      <a:t>19.7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0E9-4EDA-8010-A3D4596DCAA3}"/>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Sheet1!$F$2:$F$6</c:f>
              <c:numCache>
                <c:formatCode>General</c:formatCode>
                <c:ptCount val="5"/>
                <c:pt idx="0">
                  <c:v>27.3</c:v>
                </c:pt>
                <c:pt idx="1">
                  <c:v>19.7</c:v>
                </c:pt>
                <c:pt idx="2">
                  <c:v>8.4</c:v>
                </c:pt>
                <c:pt idx="3">
                  <c:v>2.1</c:v>
                </c:pt>
                <c:pt idx="4">
                  <c:v>19.7</c:v>
                </c:pt>
              </c:numCache>
            </c:numRef>
          </c:val>
          <c:extLst xmlns:c16r2="http://schemas.microsoft.com/office/drawing/2015/06/chart">
            <c:ext xmlns:c16="http://schemas.microsoft.com/office/drawing/2014/chart" uri="{C3380CC4-5D6E-409C-BE32-E72D297353CC}">
              <c16:uniqueId val="{00000008-20E9-4EDA-8010-A3D4596DCAA3}"/>
            </c:ext>
          </c:extLst>
        </c:ser>
        <c:ser>
          <c:idx val="5"/>
          <c:order val="5"/>
          <c:tx>
            <c:strRef>
              <c:f>Sheet1!$G$1</c:f>
              <c:strCache>
                <c:ptCount val="1"/>
                <c:pt idx="0">
                  <c:v>&gt; 20 years </c:v>
                </c:pt>
              </c:strCache>
            </c:strRef>
          </c:tx>
          <c:spPr>
            <a:solidFill>
              <a:srgbClr val="FCD8E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Sheet1!$G$2:$G$6</c:f>
              <c:numCache>
                <c:formatCode>General</c:formatCode>
                <c:ptCount val="5"/>
                <c:pt idx="0">
                  <c:v>25.3</c:v>
                </c:pt>
                <c:pt idx="1">
                  <c:v>16.600000000000001</c:v>
                </c:pt>
                <c:pt idx="2">
                  <c:v>5.9</c:v>
                </c:pt>
                <c:pt idx="3">
                  <c:v>0.5</c:v>
                </c:pt>
                <c:pt idx="4">
                  <c:v>16.899999999999999</c:v>
                </c:pt>
              </c:numCache>
            </c:numRef>
          </c:val>
          <c:extLst xmlns:c16r2="http://schemas.microsoft.com/office/drawing/2015/06/chart">
            <c:ext xmlns:c16="http://schemas.microsoft.com/office/drawing/2014/chart" uri="{C3380CC4-5D6E-409C-BE32-E72D297353CC}">
              <c16:uniqueId val="{00000009-20E9-4EDA-8010-A3D4596DCAA3}"/>
            </c:ext>
          </c:extLst>
        </c:ser>
        <c:dLbls>
          <c:showLegendKey val="0"/>
          <c:showVal val="0"/>
          <c:showCatName val="0"/>
          <c:showSerName val="0"/>
          <c:showPercent val="0"/>
          <c:showBubbleSize val="0"/>
        </c:dLbls>
        <c:gapWidth val="150"/>
        <c:axId val="460510864"/>
        <c:axId val="460504984"/>
      </c:barChart>
      <c:catAx>
        <c:axId val="460510864"/>
        <c:scaling>
          <c:orientation val="minMax"/>
        </c:scaling>
        <c:delete val="0"/>
        <c:axPos val="b"/>
        <c:numFmt formatCode="General" sourceLinked="0"/>
        <c:majorTickMark val="out"/>
        <c:minorTickMark val="none"/>
        <c:tickLblPos val="nextTo"/>
        <c:crossAx val="460504984"/>
        <c:crosses val="autoZero"/>
        <c:auto val="1"/>
        <c:lblAlgn val="ctr"/>
        <c:lblOffset val="100"/>
        <c:noMultiLvlLbl val="0"/>
      </c:catAx>
      <c:valAx>
        <c:axId val="46050498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2.3912459794300234E-3"/>
              <c:y val="0.3325064620087046"/>
            </c:manualLayout>
          </c:layout>
          <c:overlay val="0"/>
        </c:title>
        <c:numFmt formatCode="General" sourceLinked="1"/>
        <c:majorTickMark val="out"/>
        <c:minorTickMark val="none"/>
        <c:tickLblPos val="nextTo"/>
        <c:crossAx val="460510864"/>
        <c:crosses val="autoZero"/>
        <c:crossBetween val="between"/>
      </c:valAx>
    </c:plotArea>
    <c:legend>
      <c:legendPos val="r"/>
      <c:layout>
        <c:manualLayout>
          <c:xMode val="edge"/>
          <c:yMode val="edge"/>
          <c:x val="0.48596237970253719"/>
          <c:y val="6.7279454651501897E-2"/>
          <c:w val="0.2803357826618228"/>
          <c:h val="0.2752023184601925"/>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771896160038818"/>
          <c:y val="6.8150502926264664E-2"/>
          <c:w val="0.84361807715212056"/>
          <c:h val="0.57116936469897783"/>
        </c:manualLayout>
      </c:layout>
      <c:barChart>
        <c:barDir val="col"/>
        <c:grouping val="clustered"/>
        <c:varyColors val="0"/>
        <c:ser>
          <c:idx val="0"/>
          <c:order val="0"/>
          <c:tx>
            <c:strRef>
              <c:f>Sheet1!$B$1</c:f>
              <c:strCache>
                <c:ptCount val="1"/>
                <c:pt idx="0">
                  <c:v>Navy</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15.1</c:v>
                </c:pt>
                <c:pt idx="1">
                  <c:v>6.2</c:v>
                </c:pt>
                <c:pt idx="2">
                  <c:v>11.7</c:v>
                </c:pt>
                <c:pt idx="3">
                  <c:v>10.5</c:v>
                </c:pt>
                <c:pt idx="4">
                  <c:v>8.1999999999999993</c:v>
                </c:pt>
                <c:pt idx="5">
                  <c:v>4.4000000000000004</c:v>
                </c:pt>
                <c:pt idx="6">
                  <c:v>2.7</c:v>
                </c:pt>
                <c:pt idx="7">
                  <c:v>9.4</c:v>
                </c:pt>
                <c:pt idx="8">
                  <c:v>32.700000000000003</c:v>
                </c:pt>
              </c:numCache>
            </c:numRef>
          </c:val>
          <c:extLst xmlns:c16r2="http://schemas.microsoft.com/office/drawing/2015/06/chart">
            <c:ext xmlns:c16="http://schemas.microsoft.com/office/drawing/2014/chart" uri="{C3380CC4-5D6E-409C-BE32-E72D297353CC}">
              <c16:uniqueId val="{00000000-FE3E-45CB-911F-8CE26CA0B22E}"/>
            </c:ext>
          </c:extLst>
        </c:ser>
        <c:ser>
          <c:idx val="1"/>
          <c:order val="1"/>
          <c:tx>
            <c:strRef>
              <c:f>Sheet1!$C$1</c:f>
              <c:strCache>
                <c:ptCount val="1"/>
                <c:pt idx="0">
                  <c:v>Army</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16.5</c:v>
                </c:pt>
                <c:pt idx="1">
                  <c:v>5.6</c:v>
                </c:pt>
                <c:pt idx="2">
                  <c:v>13.1</c:v>
                </c:pt>
                <c:pt idx="3">
                  <c:v>9.3000000000000007</c:v>
                </c:pt>
                <c:pt idx="4">
                  <c:v>7.7</c:v>
                </c:pt>
                <c:pt idx="5">
                  <c:v>3.2</c:v>
                </c:pt>
                <c:pt idx="6">
                  <c:v>4.5999999999999996</c:v>
                </c:pt>
                <c:pt idx="7">
                  <c:v>20.100000000000001</c:v>
                </c:pt>
                <c:pt idx="8">
                  <c:v>38.299999999999997</c:v>
                </c:pt>
              </c:numCache>
            </c:numRef>
          </c:val>
          <c:extLst xmlns:c16r2="http://schemas.microsoft.com/office/drawing/2015/06/chart">
            <c:ext xmlns:c16="http://schemas.microsoft.com/office/drawing/2014/chart" uri="{C3380CC4-5D6E-409C-BE32-E72D297353CC}">
              <c16:uniqueId val="{00000001-FE3E-45CB-911F-8CE26CA0B22E}"/>
            </c:ext>
          </c:extLst>
        </c:ser>
        <c:ser>
          <c:idx val="2"/>
          <c:order val="2"/>
          <c:tx>
            <c:strRef>
              <c:f>Sheet1!$D$1</c:f>
              <c:strCache>
                <c:ptCount val="1"/>
                <c:pt idx="0">
                  <c:v>Air Force </c:v>
                </c:pt>
              </c:strCache>
            </c:strRef>
          </c:tx>
          <c:spPr>
            <a:solidFill>
              <a:schemeClr val="accent3"/>
            </a:solidFill>
            <a:effectLst/>
          </c:spPr>
          <c:invertIfNegative val="0"/>
          <c:dLbls>
            <c:dLbl>
              <c:idx val="2"/>
              <c:layout/>
              <c:tx>
                <c:rich>
                  <a:bodyPr/>
                  <a:lstStyle/>
                  <a:p>
                    <a:r>
                      <a:rPr lang="en-US"/>
                      <a:t>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3E-45CB-911F-8CE26CA0B22E}"/>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Sheet1!$D$2:$D$10</c:f>
              <c:numCache>
                <c:formatCode>General</c:formatCode>
                <c:ptCount val="9"/>
                <c:pt idx="0">
                  <c:v>21.3</c:v>
                </c:pt>
                <c:pt idx="1">
                  <c:v>3.4</c:v>
                </c:pt>
                <c:pt idx="2">
                  <c:v>8</c:v>
                </c:pt>
                <c:pt idx="3">
                  <c:v>17.5</c:v>
                </c:pt>
                <c:pt idx="4">
                  <c:v>7.5</c:v>
                </c:pt>
                <c:pt idx="5">
                  <c:v>4.5</c:v>
                </c:pt>
                <c:pt idx="6">
                  <c:v>4.5</c:v>
                </c:pt>
                <c:pt idx="7">
                  <c:v>20.2</c:v>
                </c:pt>
                <c:pt idx="8">
                  <c:v>38.4</c:v>
                </c:pt>
              </c:numCache>
            </c:numRef>
          </c:val>
          <c:extLst xmlns:c16r2="http://schemas.microsoft.com/office/drawing/2015/06/chart">
            <c:ext xmlns:c16="http://schemas.microsoft.com/office/drawing/2014/chart" uri="{C3380CC4-5D6E-409C-BE32-E72D297353CC}">
              <c16:uniqueId val="{00000003-FE3E-45CB-911F-8CE26CA0B22E}"/>
            </c:ext>
          </c:extLst>
        </c:ser>
        <c:dLbls>
          <c:showLegendKey val="0"/>
          <c:showVal val="0"/>
          <c:showCatName val="0"/>
          <c:showSerName val="0"/>
          <c:showPercent val="0"/>
          <c:showBubbleSize val="0"/>
        </c:dLbls>
        <c:gapWidth val="150"/>
        <c:axId val="440849640"/>
        <c:axId val="440850816"/>
      </c:barChart>
      <c:catAx>
        <c:axId val="440849640"/>
        <c:scaling>
          <c:orientation val="minMax"/>
        </c:scaling>
        <c:delete val="0"/>
        <c:axPos val="b"/>
        <c:numFmt formatCode="General" sourceLinked="0"/>
        <c:majorTickMark val="out"/>
        <c:minorTickMark val="none"/>
        <c:tickLblPos val="nextTo"/>
        <c:crossAx val="440850816"/>
        <c:crosses val="autoZero"/>
        <c:auto val="1"/>
        <c:lblAlgn val="ctr"/>
        <c:lblOffset val="100"/>
        <c:noMultiLvlLbl val="0"/>
      </c:catAx>
      <c:valAx>
        <c:axId val="44085081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9.0467368049582039E-3"/>
              <c:y val="0.24487602093216609"/>
            </c:manualLayout>
          </c:layout>
          <c:overlay val="0"/>
        </c:title>
        <c:numFmt formatCode="General" sourceLinked="1"/>
        <c:majorTickMark val="out"/>
        <c:minorTickMark val="none"/>
        <c:tickLblPos val="nextTo"/>
        <c:crossAx val="440849640"/>
        <c:crosses val="autoZero"/>
        <c:crossBetween val="between"/>
      </c:valAx>
    </c:plotArea>
    <c:legend>
      <c:legendPos val="r"/>
      <c:layout>
        <c:manualLayout>
          <c:xMode val="edge"/>
          <c:yMode val="edge"/>
          <c:x val="0.65020776814662873"/>
          <c:y val="9.2437358373681555E-2"/>
          <c:w val="0.14205349212640001"/>
          <c:h val="0.13869324108128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25349956255468"/>
          <c:y val="8.4877879848352294E-2"/>
          <c:w val="0.84146106736657922"/>
          <c:h val="0.6944263967004124"/>
        </c:manualLayout>
      </c:layout>
      <c:barChart>
        <c:barDir val="col"/>
        <c:grouping val="clustered"/>
        <c:varyColors val="0"/>
        <c:ser>
          <c:idx val="0"/>
          <c:order val="0"/>
          <c:tx>
            <c:strRef>
              <c:f>Sheet1!$B$1</c:f>
              <c:strCache>
                <c:ptCount val="1"/>
                <c:pt idx="0">
                  <c:v>0 (&lt;1 year)</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18.899999999999999</c:v>
                </c:pt>
                <c:pt idx="1">
                  <c:v>12.9</c:v>
                </c:pt>
                <c:pt idx="2">
                  <c:v>4.9000000000000004</c:v>
                </c:pt>
                <c:pt idx="3">
                  <c:v>1.8</c:v>
                </c:pt>
                <c:pt idx="4">
                  <c:v>13.9</c:v>
                </c:pt>
              </c:numCache>
            </c:numRef>
          </c:val>
          <c:extLst xmlns:c16r2="http://schemas.microsoft.com/office/drawing/2015/06/chart">
            <c:ext xmlns:c16="http://schemas.microsoft.com/office/drawing/2014/chart" uri="{C3380CC4-5D6E-409C-BE32-E72D297353CC}">
              <c16:uniqueId val="{00000000-B0E3-4A11-9FA9-C9797170E2E8}"/>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30.2</c:v>
                </c:pt>
                <c:pt idx="1">
                  <c:v>20.9</c:v>
                </c:pt>
                <c:pt idx="2">
                  <c:v>8.4</c:v>
                </c:pt>
                <c:pt idx="3">
                  <c:v>3.2</c:v>
                </c:pt>
                <c:pt idx="4">
                  <c:v>21.3</c:v>
                </c:pt>
              </c:numCache>
            </c:numRef>
          </c:val>
          <c:extLst xmlns:c16r2="http://schemas.microsoft.com/office/drawing/2015/06/chart">
            <c:ext xmlns:c16="http://schemas.microsoft.com/office/drawing/2014/chart" uri="{C3380CC4-5D6E-409C-BE32-E72D297353CC}">
              <c16:uniqueId val="{00000001-B0E3-4A11-9FA9-C9797170E2E8}"/>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27.4</c:v>
                </c:pt>
                <c:pt idx="1">
                  <c:v>20.100000000000001</c:v>
                </c:pt>
                <c:pt idx="2">
                  <c:v>8.1</c:v>
                </c:pt>
                <c:pt idx="3">
                  <c:v>1.9</c:v>
                </c:pt>
                <c:pt idx="4">
                  <c:v>20.399999999999999</c:v>
                </c:pt>
              </c:numCache>
            </c:numRef>
          </c:val>
          <c:extLst xmlns:c16r2="http://schemas.microsoft.com/office/drawing/2015/06/chart">
            <c:ext xmlns:c16="http://schemas.microsoft.com/office/drawing/2014/chart" uri="{C3380CC4-5D6E-409C-BE32-E72D297353CC}">
              <c16:uniqueId val="{00000002-B0E3-4A11-9FA9-C9797170E2E8}"/>
            </c:ext>
          </c:extLst>
        </c:ser>
        <c:ser>
          <c:idx val="3"/>
          <c:order val="3"/>
          <c:tx>
            <c:strRef>
              <c:f>Sheet1!$E$1</c:f>
              <c:strCache>
                <c:ptCount val="1"/>
                <c:pt idx="0">
                  <c:v>3 years</c:v>
                </c:pt>
              </c:strCache>
            </c:strRef>
          </c:tx>
          <c:spPr>
            <a:solidFill>
              <a:schemeClr val="accent4"/>
            </a:solidFill>
            <a:effectLst/>
          </c:spPr>
          <c:invertIfNegative val="0"/>
          <c:dLbls>
            <c:dLbl>
              <c:idx val="2"/>
              <c:layout/>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E3-4A11-9FA9-C9797170E2E8}"/>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Sheet1!$E$2:$E$6</c:f>
              <c:numCache>
                <c:formatCode>General</c:formatCode>
                <c:ptCount val="5"/>
                <c:pt idx="0">
                  <c:v>33.6</c:v>
                </c:pt>
                <c:pt idx="1">
                  <c:v>26.4</c:v>
                </c:pt>
                <c:pt idx="2">
                  <c:v>10</c:v>
                </c:pt>
                <c:pt idx="3">
                  <c:v>1.7</c:v>
                </c:pt>
                <c:pt idx="4">
                  <c:v>26.8</c:v>
                </c:pt>
              </c:numCache>
            </c:numRef>
          </c:val>
          <c:extLst xmlns:c16r2="http://schemas.microsoft.com/office/drawing/2015/06/chart">
            <c:ext xmlns:c16="http://schemas.microsoft.com/office/drawing/2014/chart" uri="{C3380CC4-5D6E-409C-BE32-E72D297353CC}">
              <c16:uniqueId val="{00000004-B0E3-4A11-9FA9-C9797170E2E8}"/>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Sheet1!$F$2:$F$6</c:f>
              <c:numCache>
                <c:formatCode>General</c:formatCode>
                <c:ptCount val="5"/>
                <c:pt idx="0">
                  <c:v>29.5</c:v>
                </c:pt>
                <c:pt idx="1">
                  <c:v>22.6</c:v>
                </c:pt>
                <c:pt idx="2">
                  <c:v>6.7</c:v>
                </c:pt>
                <c:pt idx="3">
                  <c:v>1.8</c:v>
                </c:pt>
                <c:pt idx="4">
                  <c:v>23.3</c:v>
                </c:pt>
              </c:numCache>
            </c:numRef>
          </c:val>
          <c:extLst xmlns:c16r2="http://schemas.microsoft.com/office/drawing/2015/06/chart">
            <c:ext xmlns:c16="http://schemas.microsoft.com/office/drawing/2014/chart" uri="{C3380CC4-5D6E-409C-BE32-E72D297353CC}">
              <c16:uniqueId val="{00000005-B0E3-4A11-9FA9-C9797170E2E8}"/>
            </c:ext>
          </c:extLst>
        </c:ser>
        <c:ser>
          <c:idx val="5"/>
          <c:order val="5"/>
          <c:tx>
            <c:strRef>
              <c:f>Sheet1!$G$1</c:f>
              <c:strCache>
                <c:ptCount val="1"/>
                <c:pt idx="0">
                  <c:v>5 years</c:v>
                </c:pt>
              </c:strCache>
            </c:strRef>
          </c:tx>
          <c:spPr>
            <a:solidFill>
              <a:schemeClr val="accent6"/>
            </a:solidFill>
            <a:effectLst/>
          </c:spPr>
          <c:invertIfNegative val="0"/>
          <c:dLbls>
            <c:dLbl>
              <c:idx val="3"/>
              <c:layout/>
              <c:tx>
                <c:rich>
                  <a:bodyPr/>
                  <a:lstStyle/>
                  <a:p>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E3-4A11-9FA9-C9797170E2E8}"/>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Sheet1!$G$2:$G$6</c:f>
              <c:numCache>
                <c:formatCode>General</c:formatCode>
                <c:ptCount val="5"/>
                <c:pt idx="0">
                  <c:v>28.4</c:v>
                </c:pt>
                <c:pt idx="1">
                  <c:v>21.2</c:v>
                </c:pt>
                <c:pt idx="2">
                  <c:v>7.7</c:v>
                </c:pt>
                <c:pt idx="3">
                  <c:v>2.016</c:v>
                </c:pt>
                <c:pt idx="4">
                  <c:v>21.6</c:v>
                </c:pt>
              </c:numCache>
            </c:numRef>
          </c:val>
          <c:extLst xmlns:c16r2="http://schemas.microsoft.com/office/drawing/2015/06/chart">
            <c:ext xmlns:c16="http://schemas.microsoft.com/office/drawing/2014/chart" uri="{C3380CC4-5D6E-409C-BE32-E72D297353CC}">
              <c16:uniqueId val="{00000007-B0E3-4A11-9FA9-C9797170E2E8}"/>
            </c:ext>
          </c:extLst>
        </c:ser>
        <c:dLbls>
          <c:showLegendKey val="0"/>
          <c:showVal val="0"/>
          <c:showCatName val="0"/>
          <c:showSerName val="0"/>
          <c:showPercent val="0"/>
          <c:showBubbleSize val="0"/>
        </c:dLbls>
        <c:gapWidth val="150"/>
        <c:axId val="460508120"/>
        <c:axId val="460503808"/>
      </c:barChart>
      <c:catAx>
        <c:axId val="460508120"/>
        <c:scaling>
          <c:orientation val="minMax"/>
        </c:scaling>
        <c:delete val="0"/>
        <c:axPos val="b"/>
        <c:numFmt formatCode="General" sourceLinked="0"/>
        <c:majorTickMark val="out"/>
        <c:minorTickMark val="none"/>
        <c:tickLblPos val="nextTo"/>
        <c:crossAx val="460503808"/>
        <c:crosses val="autoZero"/>
        <c:auto val="1"/>
        <c:lblAlgn val="ctr"/>
        <c:lblOffset val="100"/>
        <c:noMultiLvlLbl val="0"/>
      </c:catAx>
      <c:valAx>
        <c:axId val="46050380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7141294838145229E-3"/>
              <c:y val="0.36900007499062615"/>
            </c:manualLayout>
          </c:layout>
          <c:overlay val="0"/>
        </c:title>
        <c:numFmt formatCode="General" sourceLinked="1"/>
        <c:majorTickMark val="out"/>
        <c:minorTickMark val="none"/>
        <c:tickLblPos val="nextTo"/>
        <c:crossAx val="460508120"/>
        <c:crosses val="autoZero"/>
        <c:crossBetween val="between"/>
      </c:valAx>
    </c:plotArea>
    <c:legend>
      <c:legendPos val="r"/>
      <c:layout>
        <c:manualLayout>
          <c:xMode val="edge"/>
          <c:yMode val="edge"/>
          <c:x val="0.58328630796150482"/>
          <c:y val="7.6766914552347618E-2"/>
          <c:w val="0.13241119860017497"/>
          <c:h val="0.2734004853087302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48403324584428"/>
          <c:y val="8.3327865266841661E-2"/>
          <c:w val="0.84688740267299234"/>
          <c:h val="0.70226560221638967"/>
        </c:manualLayout>
      </c:layout>
      <c:barChart>
        <c:barDir val="col"/>
        <c:grouping val="clustered"/>
        <c:varyColors val="0"/>
        <c:ser>
          <c:idx val="0"/>
          <c:order val="0"/>
          <c:tx>
            <c:strRef>
              <c:f>Sheet1!$B$1</c:f>
              <c:strCache>
                <c:ptCount val="1"/>
                <c:pt idx="0">
                  <c:v>Medical discharge</c:v>
                </c:pt>
              </c:strCache>
            </c:strRef>
          </c:tx>
          <c:spPr>
            <a:solidFill>
              <a:srgbClr val="00256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55.6</c:v>
                </c:pt>
                <c:pt idx="1">
                  <c:v>42.4</c:v>
                </c:pt>
                <c:pt idx="2">
                  <c:v>20.3</c:v>
                </c:pt>
                <c:pt idx="3">
                  <c:v>6.6</c:v>
                </c:pt>
                <c:pt idx="4">
                  <c:v>42.6</c:v>
                </c:pt>
              </c:numCache>
            </c:numRef>
          </c:val>
          <c:extLst xmlns:c16r2="http://schemas.microsoft.com/office/drawing/2015/06/chart">
            <c:ext xmlns:c16="http://schemas.microsoft.com/office/drawing/2014/chart" uri="{C3380CC4-5D6E-409C-BE32-E72D297353CC}">
              <c16:uniqueId val="{00000000-17E3-411F-AEEE-2C7C79F6E65C}"/>
            </c:ext>
          </c:extLst>
        </c:ser>
        <c:ser>
          <c:idx val="1"/>
          <c:order val="1"/>
          <c:tx>
            <c:strRef>
              <c:f>Sheet1!$C$1</c:f>
              <c:strCache>
                <c:ptCount val="1"/>
                <c:pt idx="0">
                  <c:v>Other reason for discharge</c:v>
                </c:pt>
              </c:strCache>
            </c:strRef>
          </c:tx>
          <c:spPr>
            <a:solidFill>
              <a:srgbClr val="720829"/>
            </a:solidFill>
            <a:effectLst/>
          </c:spPr>
          <c:invertIfNegative val="0"/>
          <c:dLbls>
            <c:dLbl>
              <c:idx val="4"/>
              <c:layout/>
              <c:tx>
                <c:rich>
                  <a:bodyPr/>
                  <a:lstStyle/>
                  <a:p>
                    <a:r>
                      <a:rPr lang="en-US"/>
                      <a:t>16.0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E3-411F-AEEE-2C7C79F6E65C}"/>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22.2</c:v>
                </c:pt>
                <c:pt idx="1">
                  <c:v>15.8</c:v>
                </c:pt>
                <c:pt idx="2">
                  <c:v>4.5999999999999996</c:v>
                </c:pt>
                <c:pt idx="3">
                  <c:v>0.9</c:v>
                </c:pt>
                <c:pt idx="4">
                  <c:v>16</c:v>
                </c:pt>
              </c:numCache>
            </c:numRef>
          </c:val>
          <c:extLst xmlns:c16r2="http://schemas.microsoft.com/office/drawing/2015/06/chart">
            <c:ext xmlns:c16="http://schemas.microsoft.com/office/drawing/2014/chart" uri="{C3380CC4-5D6E-409C-BE32-E72D297353CC}">
              <c16:uniqueId val="{00000002-17E3-411F-AEEE-2C7C79F6E65C}"/>
            </c:ext>
          </c:extLst>
        </c:ser>
        <c:dLbls>
          <c:showLegendKey val="0"/>
          <c:showVal val="0"/>
          <c:showCatName val="0"/>
          <c:showSerName val="0"/>
          <c:showPercent val="0"/>
          <c:showBubbleSize val="0"/>
        </c:dLbls>
        <c:gapWidth val="150"/>
        <c:axId val="460508904"/>
        <c:axId val="460504200"/>
      </c:barChart>
      <c:catAx>
        <c:axId val="460508904"/>
        <c:scaling>
          <c:orientation val="minMax"/>
        </c:scaling>
        <c:delete val="0"/>
        <c:axPos val="b"/>
        <c:numFmt formatCode="General" sourceLinked="0"/>
        <c:majorTickMark val="out"/>
        <c:minorTickMark val="none"/>
        <c:tickLblPos val="nextTo"/>
        <c:crossAx val="460504200"/>
        <c:crosses val="autoZero"/>
        <c:auto val="1"/>
        <c:lblAlgn val="ctr"/>
        <c:lblOffset val="100"/>
        <c:noMultiLvlLbl val="0"/>
      </c:catAx>
      <c:valAx>
        <c:axId val="46050420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2464446128334368E-3"/>
              <c:y val="0.34237264201623918"/>
            </c:manualLayout>
          </c:layout>
          <c:overlay val="0"/>
        </c:title>
        <c:numFmt formatCode="General" sourceLinked="1"/>
        <c:majorTickMark val="out"/>
        <c:minorTickMark val="none"/>
        <c:tickLblPos val="nextTo"/>
        <c:crossAx val="460508904"/>
        <c:crosses val="autoZero"/>
        <c:crossBetween val="between"/>
      </c:valAx>
    </c:plotArea>
    <c:legend>
      <c:legendPos val="r"/>
      <c:layout>
        <c:manualLayout>
          <c:xMode val="edge"/>
          <c:yMode val="edge"/>
          <c:x val="0.4533432170351091"/>
          <c:y val="9.0384068963856576E-2"/>
          <c:w val="0.36813516511272909"/>
          <c:h val="0.1001369127104725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85192475940507"/>
          <c:y val="8.2693205016039648E-2"/>
          <c:w val="0.83393586196735803"/>
          <c:h val="0.69468503937007886"/>
        </c:manualLayout>
      </c:layout>
      <c:barChart>
        <c:barDir val="col"/>
        <c:grouping val="clustered"/>
        <c:varyColors val="0"/>
        <c:ser>
          <c:idx val="0"/>
          <c:order val="0"/>
          <c:tx>
            <c:strRef>
              <c:f>Sheet1!$B$1</c:f>
              <c:strCache>
                <c:ptCount val="1"/>
                <c:pt idx="0">
                  <c:v> Not a DVA client</c:v>
                </c:pt>
              </c:strCache>
            </c:strRef>
          </c:tx>
          <c:spPr>
            <a:solidFill>
              <a:srgbClr val="002561"/>
            </a:solidFill>
            <a:effectLst/>
          </c:spPr>
          <c:invertIfNegative val="0"/>
          <c:dLbls>
            <c:dLbl>
              <c:idx val="4"/>
              <c:layout/>
              <c:tx>
                <c:rich>
                  <a:bodyPr/>
                  <a:lstStyle/>
                  <a:p>
                    <a:r>
                      <a:rPr lang="en-US"/>
                      <a:t>16.0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42-4861-B596-1C1633BA555E}"/>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21.8</c:v>
                </c:pt>
                <c:pt idx="1">
                  <c:v>15.9</c:v>
                </c:pt>
                <c:pt idx="2">
                  <c:v>4.5999999999999996</c:v>
                </c:pt>
                <c:pt idx="3">
                  <c:v>1.2</c:v>
                </c:pt>
                <c:pt idx="4">
                  <c:v>16</c:v>
                </c:pt>
              </c:numCache>
            </c:numRef>
          </c:val>
          <c:extLst xmlns:c16r2="http://schemas.microsoft.com/office/drawing/2015/06/chart">
            <c:ext xmlns:c16="http://schemas.microsoft.com/office/drawing/2014/chart" uri="{C3380CC4-5D6E-409C-BE32-E72D297353CC}">
              <c16:uniqueId val="{00000001-4942-4861-B596-1C1633BA555E}"/>
            </c:ext>
          </c:extLst>
        </c:ser>
        <c:ser>
          <c:idx val="1"/>
          <c:order val="1"/>
          <c:tx>
            <c:strRef>
              <c:f>Sheet1!$C$1</c:f>
              <c:strCache>
                <c:ptCount val="1"/>
                <c:pt idx="0">
                  <c:v>DVA client</c:v>
                </c:pt>
              </c:strCache>
            </c:strRef>
          </c:tx>
          <c:spPr>
            <a:solidFill>
              <a:srgbClr val="720829"/>
            </a:solidFill>
            <a:effectLst/>
          </c:spPr>
          <c:invertIfNegative val="0"/>
          <c:dLbls>
            <c:dLbl>
              <c:idx val="1"/>
              <c:layout/>
              <c:tx>
                <c:rich>
                  <a:bodyPr/>
                  <a:lstStyle/>
                  <a:p>
                    <a:r>
                      <a:rPr lang="en-US"/>
                      <a:t>27.0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42-4861-B596-1C1633BA555E}"/>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36.4</c:v>
                </c:pt>
                <c:pt idx="1">
                  <c:v>27</c:v>
                </c:pt>
                <c:pt idx="2">
                  <c:v>11.3</c:v>
                </c:pt>
                <c:pt idx="3">
                  <c:v>2.8</c:v>
                </c:pt>
                <c:pt idx="4">
                  <c:v>27.3</c:v>
                </c:pt>
              </c:numCache>
            </c:numRef>
          </c:val>
          <c:extLst xmlns:c16r2="http://schemas.microsoft.com/office/drawing/2015/06/chart">
            <c:ext xmlns:c16="http://schemas.microsoft.com/office/drawing/2014/chart" uri="{C3380CC4-5D6E-409C-BE32-E72D297353CC}">
              <c16:uniqueId val="{00000003-4942-4861-B596-1C1633BA555E}"/>
            </c:ext>
          </c:extLst>
        </c:ser>
        <c:dLbls>
          <c:showLegendKey val="0"/>
          <c:showVal val="0"/>
          <c:showCatName val="0"/>
          <c:showSerName val="0"/>
          <c:showPercent val="0"/>
          <c:showBubbleSize val="0"/>
        </c:dLbls>
        <c:gapWidth val="150"/>
        <c:axId val="460505376"/>
        <c:axId val="460505768"/>
      </c:barChart>
      <c:catAx>
        <c:axId val="460505376"/>
        <c:scaling>
          <c:orientation val="minMax"/>
        </c:scaling>
        <c:delete val="0"/>
        <c:axPos val="b"/>
        <c:numFmt formatCode="General" sourceLinked="0"/>
        <c:majorTickMark val="out"/>
        <c:minorTickMark val="none"/>
        <c:tickLblPos val="nextTo"/>
        <c:crossAx val="460505768"/>
        <c:crosses val="autoZero"/>
        <c:auto val="1"/>
        <c:lblAlgn val="ctr"/>
        <c:lblOffset val="100"/>
        <c:noMultiLvlLbl val="0"/>
      </c:catAx>
      <c:valAx>
        <c:axId val="46050576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4332563938863148E-2"/>
              <c:y val="0.2771372537540614"/>
            </c:manualLayout>
          </c:layout>
          <c:overlay val="0"/>
          <c:spPr>
            <a:ln>
              <a:noFill/>
            </a:ln>
          </c:spPr>
        </c:title>
        <c:numFmt formatCode="General" sourceLinked="1"/>
        <c:majorTickMark val="out"/>
        <c:minorTickMark val="none"/>
        <c:tickLblPos val="nextTo"/>
        <c:crossAx val="460505376"/>
        <c:crosses val="autoZero"/>
        <c:crossBetween val="between"/>
      </c:valAx>
    </c:plotArea>
    <c:legend>
      <c:legendPos val="r"/>
      <c:layout>
        <c:manualLayout>
          <c:xMode val="edge"/>
          <c:yMode val="edge"/>
          <c:x val="0.51660287786272041"/>
          <c:y val="0.10408921933085502"/>
          <c:w val="0.28381292255308005"/>
          <c:h val="0.11795476892822025"/>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50592738407699"/>
          <c:y val="9.0537693205016034E-2"/>
          <c:w val="0.83413433992492192"/>
          <c:h val="0.80556175269757946"/>
        </c:manualLayout>
      </c:layout>
      <c:barChart>
        <c:barDir val="col"/>
        <c:grouping val="clustered"/>
        <c:varyColors val="0"/>
        <c:ser>
          <c:idx val="0"/>
          <c:order val="0"/>
          <c:tx>
            <c:strRef>
              <c:f>Sheet1!$B$1</c:f>
              <c:strCache>
                <c:ptCount val="1"/>
                <c:pt idx="0">
                  <c:v>Transitioned ADF </c:v>
                </c:pt>
              </c:strCache>
            </c:strRef>
          </c:tx>
          <c:spPr>
            <a:solidFill>
              <a:schemeClr val="accent1"/>
            </a:solidFill>
            <a:ln w="63500">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CAB-48CD-A205-34BDB46E0A86}"/>
              </c:ext>
            </c:extLst>
          </c:dPt>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47.7</c:v>
                </c:pt>
                <c:pt idx="1">
                  <c:v>17.8</c:v>
                </c:pt>
                <c:pt idx="2">
                  <c:v>13.5</c:v>
                </c:pt>
                <c:pt idx="3">
                  <c:v>19.600000000000001</c:v>
                </c:pt>
              </c:numCache>
            </c:numRef>
          </c:val>
          <c:extLst xmlns:c16r2="http://schemas.microsoft.com/office/drawing/2015/06/chart">
            <c:ext xmlns:c16="http://schemas.microsoft.com/office/drawing/2014/chart" uri="{C3380CC4-5D6E-409C-BE32-E72D297353CC}">
              <c16:uniqueId val="{00000001-3CAB-48CD-A205-34BDB46E0A86}"/>
            </c:ext>
          </c:extLst>
        </c:ser>
        <c:ser>
          <c:idx val="1"/>
          <c:order val="1"/>
          <c:tx>
            <c:strRef>
              <c:f>Sheet1!$C$1</c:f>
              <c:strCache>
                <c:ptCount val="1"/>
                <c:pt idx="0">
                  <c:v>2015 Regular ADF </c:v>
                </c:pt>
              </c:strCache>
            </c:strRef>
          </c:tx>
          <c:spPr>
            <a:solidFill>
              <a:schemeClr val="accent2"/>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3-3CAB-48CD-A205-34BDB46E0A86}"/>
              </c:ext>
            </c:extLst>
          </c:dPt>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62.9</c:v>
                </c:pt>
                <c:pt idx="1">
                  <c:v>15.8</c:v>
                </c:pt>
                <c:pt idx="2">
                  <c:v>7.9</c:v>
                </c:pt>
                <c:pt idx="3">
                  <c:v>10.8</c:v>
                </c:pt>
              </c:numCache>
            </c:numRef>
          </c:val>
          <c:extLst xmlns:c16r2="http://schemas.microsoft.com/office/drawing/2015/06/chart">
            <c:ext xmlns:c16="http://schemas.microsoft.com/office/drawing/2014/chart" uri="{C3380CC4-5D6E-409C-BE32-E72D297353CC}">
              <c16:uniqueId val="{00000004-3CAB-48CD-A205-34BDB46E0A86}"/>
            </c:ext>
          </c:extLst>
        </c:ser>
        <c:ser>
          <c:idx val="2"/>
          <c:order val="2"/>
          <c:tx>
            <c:strRef>
              <c:f>Sheet1!$D$1</c:f>
              <c:strCache>
                <c:ptCount val="1"/>
                <c:pt idx="0">
                  <c:v>2010 Regular ADF </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Sheet1!$D$2:$D$5</c:f>
              <c:numCache>
                <c:formatCode>0.0</c:formatCode>
                <c:ptCount val="4"/>
                <c:pt idx="0">
                  <c:v>64.696142940155326</c:v>
                </c:pt>
                <c:pt idx="1">
                  <c:v>22.45183935202364</c:v>
                </c:pt>
                <c:pt idx="2">
                  <c:v>9.3008198081044799</c:v>
                </c:pt>
                <c:pt idx="3">
                  <c:v>3.5524935808399065</c:v>
                </c:pt>
              </c:numCache>
            </c:numRef>
          </c:val>
          <c:extLst xmlns:c16r2="http://schemas.microsoft.com/office/drawing/2015/06/chart">
            <c:ext xmlns:c16="http://schemas.microsoft.com/office/drawing/2014/chart" uri="{C3380CC4-5D6E-409C-BE32-E72D297353CC}">
              <c16:uniqueId val="{00000005-3CAB-48CD-A205-34BDB46E0A86}"/>
            </c:ext>
          </c:extLst>
        </c:ser>
        <c:dLbls>
          <c:showLegendKey val="0"/>
          <c:showVal val="0"/>
          <c:showCatName val="0"/>
          <c:showSerName val="0"/>
          <c:showPercent val="0"/>
          <c:showBubbleSize val="0"/>
        </c:dLbls>
        <c:gapWidth val="150"/>
        <c:axId val="460506944"/>
        <c:axId val="460507336"/>
      </c:barChart>
      <c:catAx>
        <c:axId val="460506944"/>
        <c:scaling>
          <c:orientation val="minMax"/>
        </c:scaling>
        <c:delete val="0"/>
        <c:axPos val="b"/>
        <c:numFmt formatCode="General" sourceLinked="0"/>
        <c:majorTickMark val="out"/>
        <c:minorTickMark val="none"/>
        <c:tickLblPos val="nextTo"/>
        <c:crossAx val="460507336"/>
        <c:crosses val="autoZero"/>
        <c:auto val="1"/>
        <c:lblAlgn val="ctr"/>
        <c:lblOffset val="100"/>
        <c:noMultiLvlLbl val="0"/>
      </c:catAx>
      <c:valAx>
        <c:axId val="4605073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891612469541847E-2"/>
              <c:y val="0.35094790197488657"/>
            </c:manualLayout>
          </c:layout>
          <c:overlay val="0"/>
        </c:title>
        <c:numFmt formatCode="General" sourceLinked="1"/>
        <c:majorTickMark val="out"/>
        <c:minorTickMark val="none"/>
        <c:tickLblPos val="nextTo"/>
        <c:crossAx val="460506944"/>
        <c:crosses val="autoZero"/>
        <c:crossBetween val="between"/>
      </c:valAx>
    </c:plotArea>
    <c:legend>
      <c:legendPos val="r"/>
      <c:layout>
        <c:manualLayout>
          <c:xMode val="edge"/>
          <c:yMode val="edge"/>
          <c:x val="0.66269368687339014"/>
          <c:y val="6.6395793052558827E-2"/>
          <c:w val="0.26774383885887287"/>
          <c:h val="0.17331616423169599"/>
        </c:manualLayout>
      </c:layout>
      <c:overlay val="0"/>
      <c:spPr>
        <a:noFill/>
      </c:spPr>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438079615048119"/>
          <c:y val="7.8042067658209383E-2"/>
          <c:w val="0.86204177602799648"/>
          <c:h val="0.81446485855934669"/>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0-2916-41D1-8744-8F0EF9C413FB}"/>
              </c:ext>
            </c:extLst>
          </c:dPt>
          <c:dPt>
            <c:idx val="1"/>
            <c:invertIfNegative val="0"/>
            <c:bubble3D val="0"/>
            <c:extLst xmlns:c16r2="http://schemas.microsoft.com/office/drawing/2015/06/chart">
              <c:ext xmlns:c16="http://schemas.microsoft.com/office/drawing/2014/chart" uri="{C3380CC4-5D6E-409C-BE32-E72D297353CC}">
                <c16:uniqueId val="{00000001-2916-41D1-8744-8F0EF9C413FB}"/>
              </c:ext>
            </c:extLst>
          </c:dPt>
          <c:dPt>
            <c:idx val="2"/>
            <c:invertIfNegative val="0"/>
            <c:bubble3D val="0"/>
            <c:extLst xmlns:c16r2="http://schemas.microsoft.com/office/drawing/2015/06/chart">
              <c:ext xmlns:c16="http://schemas.microsoft.com/office/drawing/2014/chart" uri="{C3380CC4-5D6E-409C-BE32-E72D297353CC}">
                <c16:uniqueId val="{00000002-2916-41D1-8744-8F0EF9C413FB}"/>
              </c:ext>
            </c:extLst>
          </c:dPt>
          <c:dPt>
            <c:idx val="3"/>
            <c:invertIfNegative val="0"/>
            <c:bubble3D val="0"/>
            <c:extLst xmlns:c16r2="http://schemas.microsoft.com/office/drawing/2015/06/chart">
              <c:ext xmlns:c16="http://schemas.microsoft.com/office/drawing/2014/chart" uri="{C3380CC4-5D6E-409C-BE32-E72D297353CC}">
                <c16:uniqueId val="{00000003-2916-41D1-8744-8F0EF9C413FB}"/>
              </c:ext>
            </c:extLst>
          </c:dPt>
          <c:dLbls>
            <c:dLbl>
              <c:idx val="2"/>
              <c:layout/>
              <c:tx>
                <c:rich>
                  <a:bodyPr/>
                  <a:lstStyle/>
                  <a:p>
                    <a:r>
                      <a:rPr lang="en-US"/>
                      <a:t>16.0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16-41D1-8744-8F0EF9C413FB}"/>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38.299999999999997</c:v>
                </c:pt>
                <c:pt idx="1">
                  <c:v>14.7</c:v>
                </c:pt>
                <c:pt idx="2">
                  <c:v>16</c:v>
                </c:pt>
                <c:pt idx="3">
                  <c:v>29.6</c:v>
                </c:pt>
              </c:numCache>
            </c:numRef>
          </c:val>
          <c:extLst xmlns:c16r2="http://schemas.microsoft.com/office/drawing/2015/06/chart">
            <c:ext xmlns:c16="http://schemas.microsoft.com/office/drawing/2014/chart" uri="{C3380CC4-5D6E-409C-BE32-E72D297353CC}">
              <c16:uniqueId val="{00000004-2916-41D1-8744-8F0EF9C413FB}"/>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53.5</c:v>
                </c:pt>
                <c:pt idx="1">
                  <c:v>20.6</c:v>
                </c:pt>
                <c:pt idx="2">
                  <c:v>12.3</c:v>
                </c:pt>
                <c:pt idx="3">
                  <c:v>11.9</c:v>
                </c:pt>
              </c:numCache>
            </c:numRef>
          </c:val>
          <c:extLst xmlns:c16r2="http://schemas.microsoft.com/office/drawing/2015/06/chart">
            <c:ext xmlns:c16="http://schemas.microsoft.com/office/drawing/2014/chart" uri="{C3380CC4-5D6E-409C-BE32-E72D297353CC}">
              <c16:uniqueId val="{00000005-2916-41D1-8744-8F0EF9C413FB}"/>
            </c:ext>
          </c:extLst>
        </c:ser>
        <c:ser>
          <c:idx val="2"/>
          <c:order val="2"/>
          <c:tx>
            <c:strRef>
              <c:f>Sheet1!$D$1</c:f>
              <c:strCache>
                <c:ptCount val="1"/>
                <c:pt idx="0">
                  <c:v>Active Reservist </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Sheet1!$D$2:$D$5</c:f>
              <c:numCache>
                <c:formatCode>General</c:formatCode>
                <c:ptCount val="4"/>
                <c:pt idx="0">
                  <c:v>57.4</c:v>
                </c:pt>
                <c:pt idx="1">
                  <c:v>19.8</c:v>
                </c:pt>
                <c:pt idx="2">
                  <c:v>10.4</c:v>
                </c:pt>
                <c:pt idx="3">
                  <c:v>11.6</c:v>
                </c:pt>
              </c:numCache>
            </c:numRef>
          </c:val>
          <c:extLst xmlns:c16r2="http://schemas.microsoft.com/office/drawing/2015/06/chart">
            <c:ext xmlns:c16="http://schemas.microsoft.com/office/drawing/2014/chart" uri="{C3380CC4-5D6E-409C-BE32-E72D297353CC}">
              <c16:uniqueId val="{00000006-2916-41D1-8744-8F0EF9C413FB}"/>
            </c:ext>
          </c:extLst>
        </c:ser>
        <c:dLbls>
          <c:showLegendKey val="0"/>
          <c:showVal val="0"/>
          <c:showCatName val="0"/>
          <c:showSerName val="0"/>
          <c:showPercent val="0"/>
          <c:showBubbleSize val="0"/>
        </c:dLbls>
        <c:gapWidth val="150"/>
        <c:axId val="460530856"/>
        <c:axId val="571599472"/>
      </c:barChart>
      <c:catAx>
        <c:axId val="460530856"/>
        <c:scaling>
          <c:orientation val="minMax"/>
        </c:scaling>
        <c:delete val="0"/>
        <c:axPos val="b"/>
        <c:numFmt formatCode="General" sourceLinked="0"/>
        <c:majorTickMark val="out"/>
        <c:minorTickMark val="none"/>
        <c:tickLblPos val="nextTo"/>
        <c:crossAx val="571599472"/>
        <c:crosses val="autoZero"/>
        <c:auto val="1"/>
        <c:lblAlgn val="ctr"/>
        <c:lblOffset val="100"/>
        <c:noMultiLvlLbl val="0"/>
      </c:catAx>
      <c:valAx>
        <c:axId val="57159947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8.9525371828521431E-3"/>
              <c:y val="0.35808170567666076"/>
            </c:manualLayout>
          </c:layout>
          <c:overlay val="0"/>
        </c:title>
        <c:numFmt formatCode="General" sourceLinked="1"/>
        <c:majorTickMark val="out"/>
        <c:minorTickMark val="none"/>
        <c:tickLblPos val="nextTo"/>
        <c:crossAx val="460530856"/>
        <c:crosses val="autoZero"/>
        <c:crossBetween val="between"/>
      </c:valAx>
    </c:plotArea>
    <c:legend>
      <c:legendPos val="r"/>
      <c:layout>
        <c:manualLayout>
          <c:xMode val="edge"/>
          <c:yMode val="edge"/>
          <c:x val="0.66043132108486446"/>
          <c:y val="0.1112164399859715"/>
          <c:w val="0.25561636434581603"/>
          <c:h val="0.1472621206025420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46303587051618"/>
          <c:y val="8.3821449402158063E-2"/>
          <c:w val="0.85081617006837207"/>
          <c:h val="0.82935367454068243"/>
        </c:manualLayout>
      </c:layout>
      <c:barChart>
        <c:barDir val="col"/>
        <c:grouping val="clustered"/>
        <c:varyColors val="0"/>
        <c:ser>
          <c:idx val="0"/>
          <c:order val="0"/>
          <c:tx>
            <c:strRef>
              <c:f>Sheet1!$B$1</c:f>
              <c:strCache>
                <c:ptCount val="1"/>
                <c:pt idx="0">
                  <c:v>0 (1–11 months)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54.9</c:v>
                </c:pt>
                <c:pt idx="1">
                  <c:v>20.9</c:v>
                </c:pt>
                <c:pt idx="2">
                  <c:v>13.3</c:v>
                </c:pt>
                <c:pt idx="3">
                  <c:v>9.4</c:v>
                </c:pt>
              </c:numCache>
            </c:numRef>
          </c:val>
          <c:extLst xmlns:c16r2="http://schemas.microsoft.com/office/drawing/2015/06/chart">
            <c:ext xmlns:c16="http://schemas.microsoft.com/office/drawing/2014/chart" uri="{C3380CC4-5D6E-409C-BE32-E72D297353CC}">
              <c16:uniqueId val="{00000000-8D55-40BF-A668-8CC3FD2B0440}"/>
            </c:ext>
          </c:extLst>
        </c:ser>
        <c:ser>
          <c:idx val="1"/>
          <c:order val="1"/>
          <c:tx>
            <c:strRef>
              <c:f>Sheet1!$C$1</c:f>
              <c:strCache>
                <c:ptCount val="1"/>
                <c:pt idx="0">
                  <c:v>1 years</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48.9</c:v>
                </c:pt>
                <c:pt idx="1">
                  <c:v>16.2</c:v>
                </c:pt>
                <c:pt idx="2">
                  <c:v>11.9</c:v>
                </c:pt>
                <c:pt idx="3">
                  <c:v>21.9</c:v>
                </c:pt>
              </c:numCache>
            </c:numRef>
          </c:val>
          <c:extLst xmlns:c16r2="http://schemas.microsoft.com/office/drawing/2015/06/chart">
            <c:ext xmlns:c16="http://schemas.microsoft.com/office/drawing/2014/chart" uri="{C3380CC4-5D6E-409C-BE32-E72D297353CC}">
              <c16:uniqueId val="{00000001-8D55-40BF-A668-8CC3FD2B0440}"/>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Sheet1!$D$2:$D$5</c:f>
              <c:numCache>
                <c:formatCode>General</c:formatCode>
                <c:ptCount val="4"/>
                <c:pt idx="0">
                  <c:v>48.8</c:v>
                </c:pt>
                <c:pt idx="1">
                  <c:v>17.899999999999999</c:v>
                </c:pt>
                <c:pt idx="2">
                  <c:v>11.2</c:v>
                </c:pt>
                <c:pt idx="3">
                  <c:v>21.2</c:v>
                </c:pt>
              </c:numCache>
            </c:numRef>
          </c:val>
          <c:extLst xmlns:c16r2="http://schemas.microsoft.com/office/drawing/2015/06/chart">
            <c:ext xmlns:c16="http://schemas.microsoft.com/office/drawing/2014/chart" uri="{C3380CC4-5D6E-409C-BE32-E72D297353CC}">
              <c16:uniqueId val="{00000002-8D55-40BF-A668-8CC3FD2B0440}"/>
            </c:ext>
          </c:extLst>
        </c:ser>
        <c:ser>
          <c:idx val="3"/>
          <c:order val="3"/>
          <c:tx>
            <c:strRef>
              <c:f>Sheet1!$E$1</c:f>
              <c:strCache>
                <c:ptCount val="1"/>
                <c:pt idx="0">
                  <c:v>3 years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Sheet1!$E$2:$E$5</c:f>
              <c:numCache>
                <c:formatCode>General</c:formatCode>
                <c:ptCount val="4"/>
                <c:pt idx="0">
                  <c:v>46.3</c:v>
                </c:pt>
                <c:pt idx="1">
                  <c:v>15.2</c:v>
                </c:pt>
                <c:pt idx="2">
                  <c:v>16.399999999999999</c:v>
                </c:pt>
                <c:pt idx="3">
                  <c:v>21.2</c:v>
                </c:pt>
              </c:numCache>
            </c:numRef>
          </c:val>
          <c:extLst xmlns:c16r2="http://schemas.microsoft.com/office/drawing/2015/06/chart">
            <c:ext xmlns:c16="http://schemas.microsoft.com/office/drawing/2014/chart" uri="{C3380CC4-5D6E-409C-BE32-E72D297353CC}">
              <c16:uniqueId val="{00000003-8D55-40BF-A668-8CC3FD2B0440}"/>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Sheet1!$F$2:$F$5</c:f>
              <c:numCache>
                <c:formatCode>General</c:formatCode>
                <c:ptCount val="4"/>
                <c:pt idx="0">
                  <c:v>45.1</c:v>
                </c:pt>
                <c:pt idx="1">
                  <c:v>20.3</c:v>
                </c:pt>
                <c:pt idx="2">
                  <c:v>14.4</c:v>
                </c:pt>
                <c:pt idx="3">
                  <c:v>18.5</c:v>
                </c:pt>
              </c:numCache>
            </c:numRef>
          </c:val>
          <c:extLst xmlns:c16r2="http://schemas.microsoft.com/office/drawing/2015/06/chart">
            <c:ext xmlns:c16="http://schemas.microsoft.com/office/drawing/2014/chart" uri="{C3380CC4-5D6E-409C-BE32-E72D297353CC}">
              <c16:uniqueId val="{00000004-8D55-40BF-A668-8CC3FD2B0440}"/>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Sheet1!$G$2:$G$5</c:f>
              <c:numCache>
                <c:formatCode>General</c:formatCode>
                <c:ptCount val="4"/>
                <c:pt idx="0">
                  <c:v>45.1</c:v>
                </c:pt>
                <c:pt idx="1">
                  <c:v>20.3</c:v>
                </c:pt>
                <c:pt idx="2">
                  <c:v>14.4</c:v>
                </c:pt>
                <c:pt idx="3">
                  <c:v>18.5</c:v>
                </c:pt>
              </c:numCache>
            </c:numRef>
          </c:val>
          <c:extLst xmlns:c16r2="http://schemas.microsoft.com/office/drawing/2015/06/chart">
            <c:ext xmlns:c16="http://schemas.microsoft.com/office/drawing/2014/chart" uri="{C3380CC4-5D6E-409C-BE32-E72D297353CC}">
              <c16:uniqueId val="{00000005-8D55-40BF-A668-8CC3FD2B0440}"/>
            </c:ext>
          </c:extLst>
        </c:ser>
        <c:dLbls>
          <c:showLegendKey val="0"/>
          <c:showVal val="0"/>
          <c:showCatName val="0"/>
          <c:showSerName val="0"/>
          <c:showPercent val="0"/>
          <c:showBubbleSize val="0"/>
        </c:dLbls>
        <c:gapWidth val="150"/>
        <c:axId val="855340488"/>
        <c:axId val="855345584"/>
      </c:barChart>
      <c:catAx>
        <c:axId val="855340488"/>
        <c:scaling>
          <c:orientation val="minMax"/>
        </c:scaling>
        <c:delete val="0"/>
        <c:axPos val="b"/>
        <c:numFmt formatCode="General" sourceLinked="0"/>
        <c:majorTickMark val="out"/>
        <c:minorTickMark val="none"/>
        <c:tickLblPos val="nextTo"/>
        <c:crossAx val="855345584"/>
        <c:crosses val="autoZero"/>
        <c:auto val="1"/>
        <c:lblAlgn val="ctr"/>
        <c:lblOffset val="100"/>
        <c:noMultiLvlLbl val="0"/>
      </c:catAx>
      <c:valAx>
        <c:axId val="85534558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5129177451665317E-3"/>
              <c:y val="0.35040272990787186"/>
            </c:manualLayout>
          </c:layout>
          <c:overlay val="0"/>
        </c:title>
        <c:numFmt formatCode="General" sourceLinked="1"/>
        <c:majorTickMark val="out"/>
        <c:minorTickMark val="none"/>
        <c:tickLblPos val="nextTo"/>
        <c:crossAx val="855340488"/>
        <c:crosses val="autoZero"/>
        <c:crossBetween val="between"/>
      </c:valAx>
    </c:plotArea>
    <c:legend>
      <c:legendPos val="r"/>
      <c:layout>
        <c:manualLayout>
          <c:xMode val="edge"/>
          <c:yMode val="edge"/>
          <c:x val="0.67664326334208236"/>
          <c:y val="7.3240376202974633E-2"/>
          <c:w val="0.226532258724677"/>
          <c:h val="0.3064999298016671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61317443348575"/>
          <c:y val="8.939523184601926E-2"/>
          <c:w val="0.83952997488859449"/>
          <c:h val="0.82105971128608923"/>
        </c:manualLayout>
      </c:layout>
      <c:barChart>
        <c:barDir val="col"/>
        <c:grouping val="clustered"/>
        <c:varyColors val="0"/>
        <c:ser>
          <c:idx val="0"/>
          <c:order val="0"/>
          <c:tx>
            <c:strRef>
              <c:f>Sheet1!$B$1</c:f>
              <c:strCache>
                <c:ptCount val="1"/>
                <c:pt idx="0">
                  <c:v>Transitioned ADF</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Sheet1!$B$2:$B$5</c:f>
              <c:numCache>
                <c:formatCode>General</c:formatCode>
                <c:ptCount val="4"/>
                <c:pt idx="0">
                  <c:v>59.7</c:v>
                </c:pt>
                <c:pt idx="1">
                  <c:v>13.7</c:v>
                </c:pt>
                <c:pt idx="2">
                  <c:v>8.1999999999999993</c:v>
                </c:pt>
                <c:pt idx="3">
                  <c:v>16.100000000000001</c:v>
                </c:pt>
              </c:numCache>
            </c:numRef>
          </c:val>
          <c:extLst xmlns:c16r2="http://schemas.microsoft.com/office/drawing/2015/06/chart">
            <c:ext xmlns:c16="http://schemas.microsoft.com/office/drawing/2014/chart" uri="{C3380CC4-5D6E-409C-BE32-E72D297353CC}">
              <c16:uniqueId val="{00000000-C36F-4CFC-8E71-88B4A44025E5}"/>
            </c:ext>
          </c:extLst>
        </c:ser>
        <c:ser>
          <c:idx val="1"/>
          <c:order val="1"/>
          <c:tx>
            <c:strRef>
              <c:f>Sheet1!$C$1</c:f>
              <c:strCache>
                <c:ptCount val="1"/>
                <c:pt idx="0">
                  <c:v>2015 Regular ADF</c:v>
                </c:pt>
              </c:strCache>
            </c:strRef>
          </c:tx>
          <c:spPr>
            <a:solidFill>
              <a:schemeClr val="accent2"/>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1-C36F-4CFC-8E71-88B4A44025E5}"/>
              </c:ext>
            </c:extLst>
          </c:dPt>
          <c:dLbls>
            <c:dLbl>
              <c:idx val="2"/>
              <c:layout/>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6F-4CFC-8E71-88B4A44025E5}"/>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Sheet1!$C$2:$C$5</c:f>
              <c:numCache>
                <c:formatCode>General</c:formatCode>
                <c:ptCount val="4"/>
                <c:pt idx="0">
                  <c:v>78.900000000000006</c:v>
                </c:pt>
                <c:pt idx="1">
                  <c:v>11.5</c:v>
                </c:pt>
                <c:pt idx="2">
                  <c:v>5</c:v>
                </c:pt>
                <c:pt idx="3">
                  <c:v>3.7</c:v>
                </c:pt>
              </c:numCache>
            </c:numRef>
          </c:val>
          <c:extLst xmlns:c16r2="http://schemas.microsoft.com/office/drawing/2015/06/chart">
            <c:ext xmlns:c16="http://schemas.microsoft.com/office/drawing/2014/chart" uri="{C3380CC4-5D6E-409C-BE32-E72D297353CC}">
              <c16:uniqueId val="{00000003-C36F-4CFC-8E71-88B4A44025E5}"/>
            </c:ext>
          </c:extLst>
        </c:ser>
        <c:ser>
          <c:idx val="2"/>
          <c:order val="2"/>
          <c:tx>
            <c:strRef>
              <c:f>Sheet1!$D$1</c:f>
              <c:strCache>
                <c:ptCount val="1"/>
                <c:pt idx="0">
                  <c:v>2010 Regular ADF</c:v>
                </c:pt>
              </c:strCache>
            </c:strRef>
          </c:tx>
          <c:spPr>
            <a:solidFill>
              <a:schemeClr val="accent3"/>
            </a:solidFill>
            <a:effectLst/>
          </c:spPr>
          <c:invertIfNegative val="0"/>
          <c:dLbls>
            <c:dLbl>
              <c:idx val="3"/>
              <c:layout/>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6F-4CFC-8E71-88B4A44025E5}"/>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Sheet1!$D$2:$D$5</c:f>
              <c:numCache>
                <c:formatCode>General</c:formatCode>
                <c:ptCount val="4"/>
                <c:pt idx="0">
                  <c:v>84.6</c:v>
                </c:pt>
                <c:pt idx="1">
                  <c:v>8.6999999999999993</c:v>
                </c:pt>
                <c:pt idx="2">
                  <c:v>3.7</c:v>
                </c:pt>
                <c:pt idx="3">
                  <c:v>3</c:v>
                </c:pt>
              </c:numCache>
            </c:numRef>
          </c:val>
          <c:extLst xmlns:c16r2="http://schemas.microsoft.com/office/drawing/2015/06/chart">
            <c:ext xmlns:c16="http://schemas.microsoft.com/office/drawing/2014/chart" uri="{C3380CC4-5D6E-409C-BE32-E72D297353CC}">
              <c16:uniqueId val="{00000005-C36F-4CFC-8E71-88B4A44025E5}"/>
            </c:ext>
          </c:extLst>
        </c:ser>
        <c:dLbls>
          <c:showLegendKey val="0"/>
          <c:showVal val="1"/>
          <c:showCatName val="0"/>
          <c:showSerName val="0"/>
          <c:showPercent val="0"/>
          <c:showBubbleSize val="0"/>
        </c:dLbls>
        <c:gapWidth val="150"/>
        <c:axId val="855339704"/>
        <c:axId val="855336960"/>
      </c:barChart>
      <c:catAx>
        <c:axId val="855339704"/>
        <c:scaling>
          <c:orientation val="minMax"/>
        </c:scaling>
        <c:delete val="0"/>
        <c:axPos val="b"/>
        <c:numFmt formatCode="General" sourceLinked="0"/>
        <c:majorTickMark val="out"/>
        <c:minorTickMark val="none"/>
        <c:tickLblPos val="nextTo"/>
        <c:crossAx val="855336960"/>
        <c:crosses val="autoZero"/>
        <c:auto val="1"/>
        <c:lblAlgn val="ctr"/>
        <c:lblOffset val="100"/>
        <c:noMultiLvlLbl val="0"/>
      </c:catAx>
      <c:valAx>
        <c:axId val="85533696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9729606283623875E-3"/>
              <c:y val="0.35619406367273199"/>
            </c:manualLayout>
          </c:layout>
          <c:overlay val="0"/>
        </c:title>
        <c:numFmt formatCode="General" sourceLinked="1"/>
        <c:majorTickMark val="out"/>
        <c:minorTickMark val="none"/>
        <c:tickLblPos val="nextTo"/>
        <c:crossAx val="855339704"/>
        <c:crosses val="autoZero"/>
        <c:crossBetween val="between"/>
      </c:valAx>
    </c:plotArea>
    <c:legend>
      <c:legendPos val="r"/>
      <c:layout>
        <c:manualLayout>
          <c:xMode val="edge"/>
          <c:yMode val="edge"/>
          <c:x val="0.66039550957760562"/>
          <c:y val="9.0521228164543568E-2"/>
          <c:w val="0.26824617228088699"/>
          <c:h val="0.1567763001286195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98643919510061"/>
          <c:y val="8.8624234470691177E-2"/>
          <c:w val="0.84888831625018191"/>
          <c:h val="0.81223972003499567"/>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Sheet1!$B$2:$B$5</c:f>
              <c:numCache>
                <c:formatCode>General</c:formatCode>
                <c:ptCount val="4"/>
                <c:pt idx="0">
                  <c:v>47.7</c:v>
                </c:pt>
                <c:pt idx="1">
                  <c:v>14.1</c:v>
                </c:pt>
                <c:pt idx="2">
                  <c:v>10.9</c:v>
                </c:pt>
                <c:pt idx="3">
                  <c:v>25.1</c:v>
                </c:pt>
              </c:numCache>
            </c:numRef>
          </c:val>
          <c:extLst xmlns:c16r2="http://schemas.microsoft.com/office/drawing/2015/06/chart">
            <c:ext xmlns:c16="http://schemas.microsoft.com/office/drawing/2014/chart" uri="{C3380CC4-5D6E-409C-BE32-E72D297353CC}">
              <c16:uniqueId val="{00000000-7477-40D7-83B4-6C9B14B2538A}"/>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Sheet1!$C$2:$C$5</c:f>
              <c:numCache>
                <c:formatCode>General</c:formatCode>
                <c:ptCount val="4"/>
                <c:pt idx="0">
                  <c:v>66.3</c:v>
                </c:pt>
                <c:pt idx="1">
                  <c:v>13.9</c:v>
                </c:pt>
                <c:pt idx="2">
                  <c:v>7.1</c:v>
                </c:pt>
                <c:pt idx="3">
                  <c:v>9.9</c:v>
                </c:pt>
              </c:numCache>
            </c:numRef>
          </c:val>
          <c:extLst xmlns:c16r2="http://schemas.microsoft.com/office/drawing/2015/06/chart">
            <c:ext xmlns:c16="http://schemas.microsoft.com/office/drawing/2014/chart" uri="{C3380CC4-5D6E-409C-BE32-E72D297353CC}">
              <c16:uniqueId val="{00000001-7477-40D7-83B4-6C9B14B2538A}"/>
            </c:ext>
          </c:extLst>
        </c:ser>
        <c:ser>
          <c:idx val="2"/>
          <c:order val="2"/>
          <c:tx>
            <c:strRef>
              <c:f>Sheet1!$D$1</c:f>
              <c:strCache>
                <c:ptCount val="1"/>
                <c:pt idx="0">
                  <c:v>Active Reservist</c:v>
                </c:pt>
              </c:strCache>
            </c:strRef>
          </c:tx>
          <c:spPr>
            <a:solidFill>
              <a:schemeClr val="accent3"/>
            </a:solidFill>
            <a:effectLst/>
          </c:spPr>
          <c:invertIfNegative val="0"/>
          <c:dLbls>
            <c:dLbl>
              <c:idx val="1"/>
              <c:layout/>
              <c:tx>
                <c:rich>
                  <a:bodyPr/>
                  <a:lstStyle/>
                  <a:p>
                    <a:r>
                      <a:rPr lang="en-US"/>
                      <a:t>13.0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77-40D7-83B4-6C9B14B2538A}"/>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Sheet1!$D$2:$D$5</c:f>
              <c:numCache>
                <c:formatCode>General</c:formatCode>
                <c:ptCount val="4"/>
                <c:pt idx="0">
                  <c:v>72.3</c:v>
                </c:pt>
                <c:pt idx="1">
                  <c:v>13</c:v>
                </c:pt>
                <c:pt idx="2">
                  <c:v>4.9000000000000004</c:v>
                </c:pt>
                <c:pt idx="3">
                  <c:v>7.8</c:v>
                </c:pt>
              </c:numCache>
            </c:numRef>
          </c:val>
          <c:extLst xmlns:c16r2="http://schemas.microsoft.com/office/drawing/2015/06/chart">
            <c:ext xmlns:c16="http://schemas.microsoft.com/office/drawing/2014/chart" uri="{C3380CC4-5D6E-409C-BE32-E72D297353CC}">
              <c16:uniqueId val="{00000003-7477-40D7-83B4-6C9B14B2538A}"/>
            </c:ext>
          </c:extLst>
        </c:ser>
        <c:dLbls>
          <c:showLegendKey val="0"/>
          <c:showVal val="1"/>
          <c:showCatName val="0"/>
          <c:showSerName val="0"/>
          <c:showPercent val="0"/>
          <c:showBubbleSize val="0"/>
        </c:dLbls>
        <c:gapWidth val="150"/>
        <c:axId val="855337352"/>
        <c:axId val="855337744"/>
      </c:barChart>
      <c:catAx>
        <c:axId val="855337352"/>
        <c:scaling>
          <c:orientation val="minMax"/>
        </c:scaling>
        <c:delete val="0"/>
        <c:axPos val="b"/>
        <c:numFmt formatCode="General" sourceLinked="0"/>
        <c:majorTickMark val="out"/>
        <c:minorTickMark val="none"/>
        <c:tickLblPos val="nextTo"/>
        <c:crossAx val="855337744"/>
        <c:crosses val="autoZero"/>
        <c:auto val="1"/>
        <c:lblAlgn val="ctr"/>
        <c:lblOffset val="100"/>
        <c:noMultiLvlLbl val="0"/>
      </c:catAx>
      <c:valAx>
        <c:axId val="85533774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0"/>
              <c:y val="0.33501797079573098"/>
            </c:manualLayout>
          </c:layout>
          <c:overlay val="0"/>
        </c:title>
        <c:numFmt formatCode="General" sourceLinked="1"/>
        <c:majorTickMark val="out"/>
        <c:minorTickMark val="none"/>
        <c:tickLblPos val="nextTo"/>
        <c:crossAx val="855337352"/>
        <c:crosses val="autoZero"/>
        <c:crossBetween val="between"/>
      </c:valAx>
    </c:plotArea>
    <c:legend>
      <c:legendPos val="r"/>
      <c:layout>
        <c:manualLayout>
          <c:xMode val="edge"/>
          <c:yMode val="edge"/>
          <c:x val="0.67192368055027252"/>
          <c:y val="9.307947596120085E-2"/>
          <c:w val="0.26114735658042698"/>
          <c:h val="0.1664732135359169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732164312890501"/>
          <c:y val="8.4398148148148153E-2"/>
          <c:w val="0.87869085961112903"/>
          <c:h val="0.82238116068824729"/>
        </c:manualLayout>
      </c:layout>
      <c:barChart>
        <c:barDir val="col"/>
        <c:grouping val="clustered"/>
        <c:varyColors val="0"/>
        <c:ser>
          <c:idx val="0"/>
          <c:order val="0"/>
          <c:tx>
            <c:strRef>
              <c:f>Sheet1!$B$1</c:f>
              <c:strCache>
                <c:ptCount val="1"/>
                <c:pt idx="0">
                  <c:v>0 (1–11 months)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Sheet1!$B$2:$B$5</c:f>
              <c:numCache>
                <c:formatCode>General</c:formatCode>
                <c:ptCount val="4"/>
                <c:pt idx="0">
                  <c:v>63.5</c:v>
                </c:pt>
                <c:pt idx="1">
                  <c:v>17.899999999999999</c:v>
                </c:pt>
                <c:pt idx="2">
                  <c:v>5.8</c:v>
                </c:pt>
                <c:pt idx="3">
                  <c:v>10.9</c:v>
                </c:pt>
              </c:numCache>
            </c:numRef>
          </c:val>
          <c:extLst xmlns:c16r2="http://schemas.microsoft.com/office/drawing/2015/06/chart">
            <c:ext xmlns:c16="http://schemas.microsoft.com/office/drawing/2014/chart" uri="{C3380CC4-5D6E-409C-BE32-E72D297353CC}">
              <c16:uniqueId val="{00000000-F008-4121-9491-9825275B0AF8}"/>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Sheet1!$C$2:$C$5</c:f>
              <c:numCache>
                <c:formatCode>General</c:formatCode>
                <c:ptCount val="4"/>
                <c:pt idx="0">
                  <c:v>64.099999999999994</c:v>
                </c:pt>
                <c:pt idx="1">
                  <c:v>11.7</c:v>
                </c:pt>
                <c:pt idx="2">
                  <c:v>4.9000000000000004</c:v>
                </c:pt>
                <c:pt idx="3">
                  <c:v>17.2</c:v>
                </c:pt>
              </c:numCache>
            </c:numRef>
          </c:val>
          <c:extLst xmlns:c16r2="http://schemas.microsoft.com/office/drawing/2015/06/chart">
            <c:ext xmlns:c16="http://schemas.microsoft.com/office/drawing/2014/chart" uri="{C3380CC4-5D6E-409C-BE32-E72D297353CC}">
              <c16:uniqueId val="{00000001-F008-4121-9491-9825275B0AF8}"/>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Sheet1!$D$2:$D$5</c:f>
              <c:numCache>
                <c:formatCode>General</c:formatCode>
                <c:ptCount val="4"/>
                <c:pt idx="0">
                  <c:v>61.9</c:v>
                </c:pt>
                <c:pt idx="1">
                  <c:v>11.5</c:v>
                </c:pt>
                <c:pt idx="2">
                  <c:v>9.1999999999999993</c:v>
                </c:pt>
                <c:pt idx="3">
                  <c:v>15.9</c:v>
                </c:pt>
              </c:numCache>
            </c:numRef>
          </c:val>
          <c:extLst xmlns:c16r2="http://schemas.microsoft.com/office/drawing/2015/06/chart">
            <c:ext xmlns:c16="http://schemas.microsoft.com/office/drawing/2014/chart" uri="{C3380CC4-5D6E-409C-BE32-E72D297353CC}">
              <c16:uniqueId val="{00000002-F008-4121-9491-9825275B0AF8}"/>
            </c:ext>
          </c:extLst>
        </c:ser>
        <c:ser>
          <c:idx val="3"/>
          <c:order val="3"/>
          <c:tx>
            <c:strRef>
              <c:f>Sheet1!$E$1</c:f>
              <c:strCache>
                <c:ptCount val="1"/>
                <c:pt idx="0">
                  <c:v>3 years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Sheet1!$E$2:$E$5</c:f>
              <c:numCache>
                <c:formatCode>General</c:formatCode>
                <c:ptCount val="4"/>
                <c:pt idx="0">
                  <c:v>53.9</c:v>
                </c:pt>
                <c:pt idx="1">
                  <c:v>14.9</c:v>
                </c:pt>
                <c:pt idx="2">
                  <c:v>10.3</c:v>
                </c:pt>
                <c:pt idx="3">
                  <c:v>17.8</c:v>
                </c:pt>
              </c:numCache>
            </c:numRef>
          </c:val>
          <c:extLst xmlns:c16r2="http://schemas.microsoft.com/office/drawing/2015/06/chart">
            <c:ext xmlns:c16="http://schemas.microsoft.com/office/drawing/2014/chart" uri="{C3380CC4-5D6E-409C-BE32-E72D297353CC}">
              <c16:uniqueId val="{00000003-F008-4121-9491-9825275B0AF8}"/>
            </c:ext>
          </c:extLst>
        </c:ser>
        <c:ser>
          <c:idx val="4"/>
          <c:order val="4"/>
          <c:tx>
            <c:strRef>
              <c:f>Sheet1!$F$1</c:f>
              <c:strCache>
                <c:ptCount val="1"/>
                <c:pt idx="0">
                  <c:v>4 years</c:v>
                </c:pt>
              </c:strCache>
            </c:strRef>
          </c:tx>
          <c:spPr>
            <a:solidFill>
              <a:schemeClr val="accent5"/>
            </a:solidFill>
            <a:effectLst/>
          </c:spPr>
          <c:invertIfNegative val="0"/>
          <c:dLbls>
            <c:dLbl>
              <c:idx val="2"/>
              <c:layout/>
              <c:tx>
                <c:rich>
                  <a:bodyPr/>
                  <a:lstStyle/>
                  <a:p>
                    <a:r>
                      <a:rPr lang="en-US"/>
                      <a:t>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008-4121-9491-9825275B0AF8}"/>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Sheet1!$F$2:$F$5</c:f>
              <c:numCache>
                <c:formatCode>General</c:formatCode>
                <c:ptCount val="4"/>
                <c:pt idx="0">
                  <c:v>58.3</c:v>
                </c:pt>
                <c:pt idx="1">
                  <c:v>15.6</c:v>
                </c:pt>
                <c:pt idx="2">
                  <c:v>9</c:v>
                </c:pt>
                <c:pt idx="3">
                  <c:v>14.6</c:v>
                </c:pt>
              </c:numCache>
            </c:numRef>
          </c:val>
          <c:extLst xmlns:c16r2="http://schemas.microsoft.com/office/drawing/2015/06/chart">
            <c:ext xmlns:c16="http://schemas.microsoft.com/office/drawing/2014/chart" uri="{C3380CC4-5D6E-409C-BE32-E72D297353CC}">
              <c16:uniqueId val="{00000005-F008-4121-9491-9825275B0AF8}"/>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(17–29)</c:v>
                </c:pt>
                <c:pt idx="1">
                  <c:v>Moderate (30–39)</c:v>
                </c:pt>
                <c:pt idx="2">
                  <c:v>High (40–49)</c:v>
                </c:pt>
                <c:pt idx="3">
                  <c:v>Very high (50–85)</c:v>
                </c:pt>
              </c:strCache>
            </c:strRef>
          </c:cat>
          <c:val>
            <c:numRef>
              <c:f>Sheet1!$G$2:$G$5</c:f>
              <c:numCache>
                <c:formatCode>General</c:formatCode>
                <c:ptCount val="4"/>
                <c:pt idx="0">
                  <c:v>56.4</c:v>
                </c:pt>
                <c:pt idx="1">
                  <c:v>14.8</c:v>
                </c:pt>
                <c:pt idx="2">
                  <c:v>9.4</c:v>
                </c:pt>
                <c:pt idx="3">
                  <c:v>16.399999999999999</c:v>
                </c:pt>
              </c:numCache>
            </c:numRef>
          </c:val>
          <c:extLst xmlns:c16r2="http://schemas.microsoft.com/office/drawing/2015/06/chart">
            <c:ext xmlns:c16="http://schemas.microsoft.com/office/drawing/2014/chart" uri="{C3380CC4-5D6E-409C-BE32-E72D297353CC}">
              <c16:uniqueId val="{00000006-F008-4121-9491-9825275B0AF8}"/>
            </c:ext>
          </c:extLst>
        </c:ser>
        <c:dLbls>
          <c:showLegendKey val="0"/>
          <c:showVal val="0"/>
          <c:showCatName val="0"/>
          <c:showSerName val="0"/>
          <c:showPercent val="0"/>
          <c:showBubbleSize val="0"/>
        </c:dLbls>
        <c:gapWidth val="150"/>
        <c:axId val="855335392"/>
        <c:axId val="855338136"/>
      </c:barChart>
      <c:catAx>
        <c:axId val="855335392"/>
        <c:scaling>
          <c:orientation val="minMax"/>
        </c:scaling>
        <c:delete val="0"/>
        <c:axPos val="b"/>
        <c:numFmt formatCode="General" sourceLinked="0"/>
        <c:majorTickMark val="out"/>
        <c:minorTickMark val="none"/>
        <c:tickLblPos val="nextTo"/>
        <c:crossAx val="855338136"/>
        <c:crosses val="autoZero"/>
        <c:auto val="1"/>
        <c:lblAlgn val="ctr"/>
        <c:lblOffset val="100"/>
        <c:noMultiLvlLbl val="0"/>
      </c:catAx>
      <c:valAx>
        <c:axId val="8553381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1003756065772961E-3"/>
              <c:y val="0.33836348748221418"/>
            </c:manualLayout>
          </c:layout>
          <c:overlay val="0"/>
        </c:title>
        <c:numFmt formatCode="General" sourceLinked="1"/>
        <c:majorTickMark val="out"/>
        <c:minorTickMark val="none"/>
        <c:tickLblPos val="nextTo"/>
        <c:crossAx val="855335392"/>
        <c:crosses val="autoZero"/>
        <c:crossBetween val="between"/>
      </c:valAx>
    </c:plotArea>
    <c:legend>
      <c:legendPos val="r"/>
      <c:layout>
        <c:manualLayout>
          <c:xMode val="edge"/>
          <c:yMode val="edge"/>
          <c:x val="0.66301509186351704"/>
          <c:y val="9.1846748323126282E-2"/>
          <c:w val="0.24732468104187699"/>
          <c:h val="0.28672129845742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6325241502489"/>
          <c:y val="4.76190327899738E-2"/>
          <c:w val="0.83974453193350829"/>
          <c:h val="0.84048519976669578"/>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Sheet1!$B$2:$B$5</c:f>
              <c:numCache>
                <c:formatCode>General</c:formatCode>
                <c:ptCount val="4"/>
                <c:pt idx="0">
                  <c:v>65.099999999999994</c:v>
                </c:pt>
                <c:pt idx="1">
                  <c:v>22.4</c:v>
                </c:pt>
                <c:pt idx="2">
                  <c:v>4.7</c:v>
                </c:pt>
                <c:pt idx="3">
                  <c:v>6.5</c:v>
                </c:pt>
              </c:numCache>
            </c:numRef>
          </c:val>
          <c:extLst xmlns:c16r2="http://schemas.microsoft.com/office/drawing/2015/06/chart">
            <c:ext xmlns:c16="http://schemas.microsoft.com/office/drawing/2014/chart" uri="{C3380CC4-5D6E-409C-BE32-E72D297353CC}">
              <c16:uniqueId val="{00000000-8068-49E6-A383-428047D91009}"/>
            </c:ext>
          </c:extLst>
        </c:ser>
        <c:ser>
          <c:idx val="1"/>
          <c:order val="1"/>
          <c:tx>
            <c:strRef>
              <c:f>Sheet1!$C$1</c:f>
              <c:strCache>
                <c:ptCount val="1"/>
                <c:pt idx="0">
                  <c:v>2015 Regular ADF</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Sheet1!$C$2:$C$5</c:f>
              <c:numCache>
                <c:formatCode>General</c:formatCode>
                <c:ptCount val="4"/>
                <c:pt idx="0">
                  <c:v>78.900000000000006</c:v>
                </c:pt>
                <c:pt idx="1">
                  <c:v>17.399999999999999</c:v>
                </c:pt>
                <c:pt idx="2">
                  <c:v>1.9</c:v>
                </c:pt>
                <c:pt idx="3">
                  <c:v>1.4</c:v>
                </c:pt>
              </c:numCache>
            </c:numRef>
          </c:val>
          <c:extLst xmlns:c16r2="http://schemas.microsoft.com/office/drawing/2015/06/chart">
            <c:ext xmlns:c16="http://schemas.microsoft.com/office/drawing/2014/chart" uri="{C3380CC4-5D6E-409C-BE32-E72D297353CC}">
              <c16:uniqueId val="{00000001-8068-49E6-A383-428047D91009}"/>
            </c:ext>
          </c:extLst>
        </c:ser>
        <c:ser>
          <c:idx val="2"/>
          <c:order val="2"/>
          <c:tx>
            <c:strRef>
              <c:f>Sheet1!$D$1</c:f>
              <c:strCache>
                <c:ptCount val="1"/>
                <c:pt idx="0">
                  <c:v>2010 Regular ADF</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Sheet1!$D$2:$D$5</c:f>
              <c:numCache>
                <c:formatCode>General</c:formatCode>
                <c:ptCount val="4"/>
                <c:pt idx="0">
                  <c:v>73.599999999999994</c:v>
                </c:pt>
                <c:pt idx="1">
                  <c:v>22.7</c:v>
                </c:pt>
                <c:pt idx="2">
                  <c:v>2.2999999999999998</c:v>
                </c:pt>
                <c:pt idx="3">
                  <c:v>1.4</c:v>
                </c:pt>
              </c:numCache>
            </c:numRef>
          </c:val>
          <c:extLst xmlns:c16r2="http://schemas.microsoft.com/office/drawing/2015/06/chart">
            <c:ext xmlns:c16="http://schemas.microsoft.com/office/drawing/2014/chart" uri="{C3380CC4-5D6E-409C-BE32-E72D297353CC}">
              <c16:uniqueId val="{00000002-8068-49E6-A383-428047D91009}"/>
            </c:ext>
          </c:extLst>
        </c:ser>
        <c:dLbls>
          <c:showLegendKey val="0"/>
          <c:showVal val="0"/>
          <c:showCatName val="0"/>
          <c:showSerName val="0"/>
          <c:showPercent val="0"/>
          <c:showBubbleSize val="0"/>
        </c:dLbls>
        <c:gapWidth val="150"/>
        <c:axId val="855342448"/>
        <c:axId val="855344016"/>
      </c:barChart>
      <c:catAx>
        <c:axId val="855342448"/>
        <c:scaling>
          <c:orientation val="minMax"/>
        </c:scaling>
        <c:delete val="0"/>
        <c:axPos val="b"/>
        <c:numFmt formatCode="General" sourceLinked="0"/>
        <c:majorTickMark val="out"/>
        <c:minorTickMark val="none"/>
        <c:tickLblPos val="nextTo"/>
        <c:crossAx val="855344016"/>
        <c:crosses val="autoZero"/>
        <c:auto val="1"/>
        <c:lblAlgn val="ctr"/>
        <c:lblOffset val="100"/>
        <c:noMultiLvlLbl val="0"/>
      </c:catAx>
      <c:valAx>
        <c:axId val="855344016"/>
        <c:scaling>
          <c:orientation val="minMax"/>
        </c:scaling>
        <c:delete val="0"/>
        <c:axPos val="l"/>
        <c:majorGridlines>
          <c:spPr>
            <a:ln>
              <a:solidFill>
                <a:sysClr val="window" lastClr="FFFFFF">
                  <a:lumMod val="75000"/>
                  <a:alpha val="26000"/>
                </a:sysClr>
              </a:solidFill>
            </a:ln>
          </c:spPr>
        </c:majorGridlines>
        <c:title>
          <c:tx>
            <c:rich>
              <a:bodyPr rot="-5400000" vert="horz"/>
              <a:lstStyle/>
              <a:p>
                <a:pPr algn="ctr" rtl="0">
                  <a:defRPr/>
                </a:pPr>
                <a:r>
                  <a:rPr lang="en-US"/>
                  <a:t>Percentage</a:t>
                </a:r>
              </a:p>
            </c:rich>
          </c:tx>
          <c:layout>
            <c:manualLayout>
              <c:xMode val="edge"/>
              <c:yMode val="edge"/>
              <c:x val="1.83253135024789E-3"/>
              <c:y val="0.40415354330708703"/>
            </c:manualLayout>
          </c:layout>
          <c:overlay val="0"/>
        </c:title>
        <c:numFmt formatCode="General" sourceLinked="1"/>
        <c:majorTickMark val="out"/>
        <c:minorTickMark val="none"/>
        <c:tickLblPos val="nextTo"/>
        <c:crossAx val="855342448"/>
        <c:crosses val="autoZero"/>
        <c:crossBetween val="between"/>
      </c:valAx>
    </c:plotArea>
    <c:legend>
      <c:legendPos val="r"/>
      <c:layout>
        <c:manualLayout>
          <c:xMode val="edge"/>
          <c:yMode val="edge"/>
          <c:x val="0.66193071301771922"/>
          <c:y val="9.4122136810050078E-2"/>
          <c:w val="0.25684644623303299"/>
          <c:h val="0.1559335812190142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37635608048994"/>
          <c:y val="8.513016061671537E-2"/>
          <c:w val="0.84220494313210847"/>
          <c:h val="0.55845524026477811"/>
        </c:manualLayout>
      </c:layout>
      <c:barChart>
        <c:barDir val="col"/>
        <c:grouping val="clustered"/>
        <c:varyColors val="0"/>
        <c:ser>
          <c:idx val="0"/>
          <c:order val="0"/>
          <c:tx>
            <c:strRef>
              <c:f>Sheet1!$B$1</c:f>
              <c:strCache>
                <c:ptCount val="1"/>
                <c:pt idx="0">
                  <c:v>OFFR </c:v>
                </c:pt>
              </c:strCache>
            </c:strRef>
          </c:tx>
          <c:spPr>
            <a:solidFill>
              <a:schemeClr val="accent1"/>
            </a:solidFill>
            <a:effectLst>
              <a:innerShdw blurRad="63500" dist="50800">
                <a:prstClr val="black">
                  <a:alpha val="50000"/>
                </a:prstClr>
              </a:innerShdw>
            </a:effectLst>
          </c:spPr>
          <c:invertIfNegative val="0"/>
          <c:dLbls>
            <c:dLbl>
              <c:idx val="7"/>
              <c:layout/>
              <c:tx>
                <c:rich>
                  <a:bodyPr/>
                  <a:lstStyle/>
                  <a:p>
                    <a:r>
                      <a:rPr lang="en-US"/>
                      <a:t>15.0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80-4BFD-8B24-28862C55B7DD}"/>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11.7</c:v>
                </c:pt>
                <c:pt idx="1">
                  <c:v>5.0999999999999996</c:v>
                </c:pt>
                <c:pt idx="2">
                  <c:v>5.8</c:v>
                </c:pt>
                <c:pt idx="3">
                  <c:v>5.5</c:v>
                </c:pt>
                <c:pt idx="4">
                  <c:v>8.9</c:v>
                </c:pt>
                <c:pt idx="5">
                  <c:v>2.7</c:v>
                </c:pt>
                <c:pt idx="6">
                  <c:v>2.1</c:v>
                </c:pt>
                <c:pt idx="7">
                  <c:v>15</c:v>
                </c:pt>
                <c:pt idx="8">
                  <c:v>29.6</c:v>
                </c:pt>
              </c:numCache>
            </c:numRef>
          </c:val>
          <c:extLst xmlns:c16r2="http://schemas.microsoft.com/office/drawing/2015/06/chart">
            <c:ext xmlns:c16="http://schemas.microsoft.com/office/drawing/2014/chart" uri="{C3380CC4-5D6E-409C-BE32-E72D297353CC}">
              <c16:uniqueId val="{00000001-D680-4BFD-8B24-28862C55B7DD}"/>
            </c:ext>
          </c:extLst>
        </c:ser>
        <c:ser>
          <c:idx val="1"/>
          <c:order val="1"/>
          <c:tx>
            <c:strRef>
              <c:f>Sheet1!$C$1</c:f>
              <c:strCache>
                <c:ptCount val="1"/>
                <c:pt idx="0">
                  <c:v>NCO </c:v>
                </c:pt>
              </c:strCache>
            </c:strRef>
          </c:tx>
          <c:spPr>
            <a:solidFill>
              <a:schemeClr val="accent2"/>
            </a:solidFill>
            <a:effectLst/>
          </c:spPr>
          <c:invertIfNegative val="0"/>
          <c:dLbls>
            <c:dLbl>
              <c:idx val="2"/>
              <c:layout/>
              <c:tx>
                <c:rich>
                  <a:bodyPr/>
                  <a:lstStyle/>
                  <a:p>
                    <a:r>
                      <a:rPr lang="en-US" b="0"/>
                      <a:t>14.4</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80-4BFD-8B24-28862C55B7DD}"/>
                </c:ext>
                <c:ext xmlns:c15="http://schemas.microsoft.com/office/drawing/2012/chart" uri="{CE6537A1-D6FC-4f65-9D91-7224C49458BB}">
                  <c15:layout/>
                </c:ext>
              </c:extLst>
            </c:dLbl>
            <c:dLbl>
              <c:idx val="4"/>
              <c:layout/>
              <c:tx>
                <c:rich>
                  <a:bodyPr/>
                  <a:lstStyle/>
                  <a:p>
                    <a:r>
                      <a:rPr lang="en-US"/>
                      <a:t>12.0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80-4BFD-8B24-28862C55B7DD}"/>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18.7</c:v>
                </c:pt>
                <c:pt idx="1">
                  <c:v>5.3</c:v>
                </c:pt>
                <c:pt idx="2">
                  <c:v>14.4</c:v>
                </c:pt>
                <c:pt idx="3">
                  <c:v>10.5</c:v>
                </c:pt>
                <c:pt idx="4">
                  <c:v>12</c:v>
                </c:pt>
                <c:pt idx="5">
                  <c:v>3.9</c:v>
                </c:pt>
                <c:pt idx="6">
                  <c:v>4.5</c:v>
                </c:pt>
                <c:pt idx="7">
                  <c:v>19.8</c:v>
                </c:pt>
                <c:pt idx="8">
                  <c:v>40.5</c:v>
                </c:pt>
              </c:numCache>
            </c:numRef>
          </c:val>
          <c:extLst xmlns:c16r2="http://schemas.microsoft.com/office/drawing/2015/06/chart">
            <c:ext xmlns:c16="http://schemas.microsoft.com/office/drawing/2014/chart" uri="{C3380CC4-5D6E-409C-BE32-E72D297353CC}">
              <c16:uniqueId val="{00000004-D680-4BFD-8B24-28862C55B7DD}"/>
            </c:ext>
          </c:extLst>
        </c:ser>
        <c:ser>
          <c:idx val="2"/>
          <c:order val="2"/>
          <c:tx>
            <c:strRef>
              <c:f>Sheet1!$D$1</c:f>
              <c:strCache>
                <c:ptCount val="1"/>
                <c:pt idx="0">
                  <c:v>Other Ranks </c:v>
                </c:pt>
              </c:strCache>
            </c:strRef>
          </c:tx>
          <c:spPr>
            <a:solidFill>
              <a:schemeClr val="accent3"/>
            </a:solidFill>
            <a:effectLst/>
          </c:spPr>
          <c:invertIfNegative val="0"/>
          <c:dLbls>
            <c:dLbl>
              <c:idx val="3"/>
              <c:layout/>
              <c:tx>
                <c:rich>
                  <a:bodyPr/>
                  <a:lstStyle/>
                  <a:p>
                    <a:r>
                      <a:rPr lang="en-US"/>
                      <a:t>13.0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80-4BFD-8B24-28862C55B7DD}"/>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Sheet1!$D$2:$D$10</c:f>
              <c:numCache>
                <c:formatCode>General</c:formatCode>
                <c:ptCount val="9"/>
                <c:pt idx="0">
                  <c:v>17.7</c:v>
                </c:pt>
                <c:pt idx="1">
                  <c:v>5.5</c:v>
                </c:pt>
                <c:pt idx="2">
                  <c:v>12.4</c:v>
                </c:pt>
                <c:pt idx="3">
                  <c:v>13</c:v>
                </c:pt>
                <c:pt idx="4">
                  <c:v>4.8</c:v>
                </c:pt>
                <c:pt idx="5">
                  <c:v>3.8</c:v>
                </c:pt>
                <c:pt idx="6">
                  <c:v>4.5</c:v>
                </c:pt>
                <c:pt idx="7">
                  <c:v>17.2</c:v>
                </c:pt>
                <c:pt idx="8">
                  <c:v>37.299999999999997</c:v>
                </c:pt>
              </c:numCache>
            </c:numRef>
          </c:val>
          <c:extLst xmlns:c16r2="http://schemas.microsoft.com/office/drawing/2015/06/chart">
            <c:ext xmlns:c16="http://schemas.microsoft.com/office/drawing/2014/chart" uri="{C3380CC4-5D6E-409C-BE32-E72D297353CC}">
              <c16:uniqueId val="{00000006-D680-4BFD-8B24-28862C55B7DD}"/>
            </c:ext>
          </c:extLst>
        </c:ser>
        <c:dLbls>
          <c:showLegendKey val="0"/>
          <c:showVal val="0"/>
          <c:showCatName val="0"/>
          <c:showSerName val="0"/>
          <c:showPercent val="0"/>
          <c:showBubbleSize val="0"/>
        </c:dLbls>
        <c:gapWidth val="150"/>
        <c:axId val="440859832"/>
        <c:axId val="440854344"/>
      </c:barChart>
      <c:catAx>
        <c:axId val="440859832"/>
        <c:scaling>
          <c:orientation val="minMax"/>
        </c:scaling>
        <c:delete val="0"/>
        <c:axPos val="b"/>
        <c:numFmt formatCode="General" sourceLinked="0"/>
        <c:majorTickMark val="out"/>
        <c:minorTickMark val="none"/>
        <c:tickLblPos val="nextTo"/>
        <c:crossAx val="440854344"/>
        <c:crosses val="autoZero"/>
        <c:auto val="1"/>
        <c:lblAlgn val="ctr"/>
        <c:lblOffset val="100"/>
        <c:noMultiLvlLbl val="0"/>
      </c:catAx>
      <c:valAx>
        <c:axId val="44085434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a:p>
                <a:pPr>
                  <a:defRPr/>
                </a:pPr>
                <a:endParaRPr lang="en-US"/>
              </a:p>
            </c:rich>
          </c:tx>
          <c:layout/>
          <c:overlay val="0"/>
        </c:title>
        <c:numFmt formatCode="General" sourceLinked="1"/>
        <c:majorTickMark val="out"/>
        <c:minorTickMark val="none"/>
        <c:tickLblPos val="nextTo"/>
        <c:crossAx val="440859832"/>
        <c:crosses val="autoZero"/>
        <c:crossBetween val="between"/>
      </c:valAx>
    </c:plotArea>
    <c:legend>
      <c:legendPos val="r"/>
      <c:layout>
        <c:manualLayout>
          <c:xMode val="edge"/>
          <c:yMode val="edge"/>
          <c:x val="0.65864588801399826"/>
          <c:y val="8.7613859588306184E-2"/>
          <c:w val="0.14363877438429901"/>
          <c:h val="0.14018976486602699"/>
        </c:manualLayout>
      </c:layout>
      <c:overlay val="0"/>
    </c:legend>
    <c:plotVisOnly val="1"/>
    <c:dispBlanksAs val="gap"/>
    <c:showDLblsOverMax val="0"/>
  </c:chart>
  <c:spPr>
    <a:ln>
      <a:noFill/>
    </a:ln>
    <a:effectLst/>
  </c:spPr>
  <c:txPr>
    <a:bodyPr/>
    <a:lstStyle/>
    <a:p>
      <a:pPr>
        <a:defRPr sz="800" baseline="0">
          <a:latin typeface="Calibri" panose="020F0502020204030204"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280675853018401"/>
          <c:y val="6.6666666666666666E-2"/>
          <c:w val="0.85350641980563235"/>
          <c:h val="0.79306904345290175"/>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dLbl>
              <c:idx val="0"/>
              <c:layout/>
              <c:tx>
                <c:rich>
                  <a:bodyPr/>
                  <a:lstStyle/>
                  <a:p>
                    <a:r>
                      <a:rPr lang="en-US"/>
                      <a:t>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69-4CF9-9282-CD991AAC68B5}"/>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Never</c:v>
                </c:pt>
                <c:pt idx="1">
                  <c:v>Monthly or less</c:v>
                </c:pt>
                <c:pt idx="2">
                  <c:v>2 to 4 times per month</c:v>
                </c:pt>
                <c:pt idx="3">
                  <c:v>2 to 3 times a week</c:v>
                </c:pt>
                <c:pt idx="4">
                  <c:v>4 or more times per week</c:v>
                </c:pt>
              </c:strCache>
            </c:strRef>
          </c:cat>
          <c:val>
            <c:numRef>
              <c:f>Sheet1!$B$2:$B$6</c:f>
              <c:numCache>
                <c:formatCode>General</c:formatCode>
                <c:ptCount val="5"/>
                <c:pt idx="0">
                  <c:v>8.4600000000000026</c:v>
                </c:pt>
                <c:pt idx="1">
                  <c:v>22.5</c:v>
                </c:pt>
                <c:pt idx="2">
                  <c:v>25.1</c:v>
                </c:pt>
                <c:pt idx="3">
                  <c:v>23.4</c:v>
                </c:pt>
                <c:pt idx="4">
                  <c:v>20.399999999999999</c:v>
                </c:pt>
              </c:numCache>
            </c:numRef>
          </c:val>
          <c:extLst xmlns:c16r2="http://schemas.microsoft.com/office/drawing/2015/06/chart">
            <c:ext xmlns:c16="http://schemas.microsoft.com/office/drawing/2014/chart" uri="{C3380CC4-5D6E-409C-BE32-E72D297353CC}">
              <c16:uniqueId val="{00000001-F569-4CF9-9282-CD991AAC68B5}"/>
            </c:ext>
          </c:extLst>
        </c:ser>
        <c:ser>
          <c:idx val="1"/>
          <c:order val="1"/>
          <c:tx>
            <c:strRef>
              <c:f>Sheet1!$C$1</c:f>
              <c:strCache>
                <c:ptCount val="1"/>
                <c:pt idx="0">
                  <c:v>2015 Regular ADF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Never</c:v>
                </c:pt>
                <c:pt idx="1">
                  <c:v>Monthly or less</c:v>
                </c:pt>
                <c:pt idx="2">
                  <c:v>2 to 4 times per month</c:v>
                </c:pt>
                <c:pt idx="3">
                  <c:v>2 to 3 times a week</c:v>
                </c:pt>
                <c:pt idx="4">
                  <c:v>4 or more times per week</c:v>
                </c:pt>
              </c:strCache>
            </c:strRef>
          </c:cat>
          <c:val>
            <c:numRef>
              <c:f>Sheet1!$C$2:$C$6</c:f>
              <c:numCache>
                <c:formatCode>General</c:formatCode>
                <c:ptCount val="5"/>
                <c:pt idx="0">
                  <c:v>8.8000000000000007</c:v>
                </c:pt>
                <c:pt idx="1">
                  <c:v>25.4</c:v>
                </c:pt>
                <c:pt idx="2">
                  <c:v>28.8</c:v>
                </c:pt>
                <c:pt idx="3">
                  <c:v>25.4</c:v>
                </c:pt>
                <c:pt idx="4">
                  <c:v>11.6</c:v>
                </c:pt>
              </c:numCache>
            </c:numRef>
          </c:val>
          <c:extLst xmlns:c16r2="http://schemas.microsoft.com/office/drawing/2015/06/chart">
            <c:ext xmlns:c16="http://schemas.microsoft.com/office/drawing/2014/chart" uri="{C3380CC4-5D6E-409C-BE32-E72D297353CC}">
              <c16:uniqueId val="{00000002-F569-4CF9-9282-CD991AAC68B5}"/>
            </c:ext>
          </c:extLst>
        </c:ser>
        <c:ser>
          <c:idx val="2"/>
          <c:order val="2"/>
          <c:tx>
            <c:strRef>
              <c:f>Sheet1!$D$1</c:f>
              <c:strCache>
                <c:ptCount val="1"/>
                <c:pt idx="0">
                  <c:v>2010 Regular ADF </c:v>
                </c:pt>
              </c:strCache>
            </c:strRef>
          </c:tx>
          <c:spPr>
            <a:solidFill>
              <a:schemeClr val="accent3"/>
            </a:solidFill>
            <a:effectLst/>
          </c:spPr>
          <c:invertIfNegative val="0"/>
          <c:dLbls>
            <c:dLbl>
              <c:idx val="4"/>
              <c:layout/>
              <c:tx>
                <c:rich>
                  <a:bodyPr/>
                  <a:lstStyle/>
                  <a:p>
                    <a:r>
                      <a:rPr lang="en-US"/>
                      <a:t>11.0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69-4CF9-9282-CD991AAC68B5}"/>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Never</c:v>
                </c:pt>
                <c:pt idx="1">
                  <c:v>Monthly or less</c:v>
                </c:pt>
                <c:pt idx="2">
                  <c:v>2 to 4 times per month</c:v>
                </c:pt>
                <c:pt idx="3">
                  <c:v>2 to 3 times a week</c:v>
                </c:pt>
                <c:pt idx="4">
                  <c:v>4 or more times per week</c:v>
                </c:pt>
              </c:strCache>
            </c:strRef>
          </c:cat>
          <c:val>
            <c:numRef>
              <c:f>Sheet1!$D$2:$D$6</c:f>
              <c:numCache>
                <c:formatCode>General</c:formatCode>
                <c:ptCount val="5"/>
                <c:pt idx="0">
                  <c:v>4.4000000000000004</c:v>
                </c:pt>
                <c:pt idx="1">
                  <c:v>21.3</c:v>
                </c:pt>
                <c:pt idx="2">
                  <c:v>34.4</c:v>
                </c:pt>
                <c:pt idx="3">
                  <c:v>28.9</c:v>
                </c:pt>
                <c:pt idx="4">
                  <c:v>11</c:v>
                </c:pt>
              </c:numCache>
            </c:numRef>
          </c:val>
          <c:extLst xmlns:c16r2="http://schemas.microsoft.com/office/drawing/2015/06/chart">
            <c:ext xmlns:c16="http://schemas.microsoft.com/office/drawing/2014/chart" uri="{C3380CC4-5D6E-409C-BE32-E72D297353CC}">
              <c16:uniqueId val="{00000004-F569-4CF9-9282-CD991AAC68B5}"/>
            </c:ext>
          </c:extLst>
        </c:ser>
        <c:dLbls>
          <c:showLegendKey val="0"/>
          <c:showVal val="0"/>
          <c:showCatName val="0"/>
          <c:showSerName val="0"/>
          <c:showPercent val="0"/>
          <c:showBubbleSize val="0"/>
        </c:dLbls>
        <c:gapWidth val="150"/>
        <c:axId val="855335784"/>
        <c:axId val="855341272"/>
      </c:barChart>
      <c:catAx>
        <c:axId val="855335784"/>
        <c:scaling>
          <c:orientation val="minMax"/>
        </c:scaling>
        <c:delete val="0"/>
        <c:axPos val="b"/>
        <c:numFmt formatCode="General" sourceLinked="0"/>
        <c:majorTickMark val="out"/>
        <c:minorTickMark val="none"/>
        <c:tickLblPos val="nextTo"/>
        <c:crossAx val="855341272"/>
        <c:crosses val="autoZero"/>
        <c:auto val="1"/>
        <c:lblAlgn val="ctr"/>
        <c:lblOffset val="100"/>
        <c:noMultiLvlLbl val="0"/>
      </c:catAx>
      <c:valAx>
        <c:axId val="85534127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8.0824616257687079E-4"/>
              <c:y val="0.35722654668166481"/>
            </c:manualLayout>
          </c:layout>
          <c:overlay val="0"/>
        </c:title>
        <c:numFmt formatCode="General" sourceLinked="1"/>
        <c:majorTickMark val="out"/>
        <c:minorTickMark val="none"/>
        <c:tickLblPos val="nextTo"/>
        <c:crossAx val="855335784"/>
        <c:crosses val="autoZero"/>
        <c:crossBetween val="between"/>
      </c:valAx>
    </c:plotArea>
    <c:legend>
      <c:legendPos val="r"/>
      <c:layout>
        <c:manualLayout>
          <c:xMode val="edge"/>
          <c:yMode val="edge"/>
          <c:x val="0.12004265091863517"/>
          <c:y val="8.6032370953630796E-2"/>
          <c:w val="0.240781285195897"/>
          <c:h val="0.14927744569299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280675853018401"/>
          <c:y val="7.7590040828229803E-2"/>
          <c:w val="0.86337259105923503"/>
          <c:h val="0.82511337124526096"/>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dLbl>
              <c:idx val="3"/>
              <c:layout/>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CB-4D76-B635-BA706A5F6983}"/>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1 or 2</c:v>
                </c:pt>
                <c:pt idx="1">
                  <c:v>3 or 4</c:v>
                </c:pt>
                <c:pt idx="2">
                  <c:v>5 or 6</c:v>
                </c:pt>
                <c:pt idx="3">
                  <c:v>7 to 9</c:v>
                </c:pt>
                <c:pt idx="4">
                  <c:v>10 or more</c:v>
                </c:pt>
                <c:pt idx="5">
                  <c:v>N/A</c:v>
                </c:pt>
              </c:strCache>
            </c:strRef>
          </c:cat>
          <c:val>
            <c:numRef>
              <c:f>Sheet1!$B$2:$B$7</c:f>
              <c:numCache>
                <c:formatCode>General</c:formatCode>
                <c:ptCount val="6"/>
                <c:pt idx="0">
                  <c:v>31.2</c:v>
                </c:pt>
                <c:pt idx="1">
                  <c:v>29.5</c:v>
                </c:pt>
                <c:pt idx="2">
                  <c:v>15.9</c:v>
                </c:pt>
                <c:pt idx="3">
                  <c:v>7</c:v>
                </c:pt>
                <c:pt idx="4">
                  <c:v>7.4</c:v>
                </c:pt>
                <c:pt idx="5">
                  <c:v>7.9</c:v>
                </c:pt>
              </c:numCache>
            </c:numRef>
          </c:val>
          <c:extLst xmlns:c16r2="http://schemas.microsoft.com/office/drawing/2015/06/chart">
            <c:ext xmlns:c16="http://schemas.microsoft.com/office/drawing/2014/chart" uri="{C3380CC4-5D6E-409C-BE32-E72D297353CC}">
              <c16:uniqueId val="{00000001-29CB-4D76-B635-BA706A5F6983}"/>
            </c:ext>
          </c:extLst>
        </c:ser>
        <c:ser>
          <c:idx val="1"/>
          <c:order val="1"/>
          <c:tx>
            <c:strRef>
              <c:f>Sheet1!$C$1</c:f>
              <c:strCache>
                <c:ptCount val="1"/>
                <c:pt idx="0">
                  <c:v>2015 Regular ADF</c:v>
                </c:pt>
              </c:strCache>
            </c:strRef>
          </c:tx>
          <c:spPr>
            <a:solidFill>
              <a:schemeClr val="accent2"/>
            </a:solidFill>
            <a:effectLst/>
          </c:spPr>
          <c:invertIfNegative val="0"/>
          <c:dLbls>
            <c:dLbl>
              <c:idx val="0"/>
              <c:layout/>
              <c:tx>
                <c:rich>
                  <a:bodyPr/>
                  <a:lstStyle/>
                  <a:p>
                    <a:r>
                      <a:rPr lang="en-US"/>
                      <a:t>36.8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CB-4D76-B635-BA706A5F6983}"/>
                </c:ext>
                <c:ext xmlns:c15="http://schemas.microsoft.com/office/drawing/2012/chart" uri="{CE6537A1-D6FC-4f65-9D91-7224C49458BB}">
                  <c15:layout/>
                </c:ext>
              </c:extLst>
            </c:dLbl>
            <c:dLbl>
              <c:idx val="1"/>
              <c:layout/>
              <c:tx>
                <c:rich>
                  <a:bodyPr/>
                  <a:lstStyle/>
                  <a:p>
                    <a:r>
                      <a:rPr lang="en-US"/>
                      <a:t>34.7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CB-4D76-B635-BA706A5F6983}"/>
                </c:ext>
                <c:ext xmlns:c15="http://schemas.microsoft.com/office/drawing/2012/chart" uri="{CE6537A1-D6FC-4f65-9D91-7224C49458BB}">
                  <c15:layout/>
                </c:ext>
              </c:extLst>
            </c:dLbl>
            <c:dLbl>
              <c:idx val="2"/>
              <c:layout/>
              <c:tx>
                <c:rich>
                  <a:bodyPr/>
                  <a:lstStyle/>
                  <a:p>
                    <a:r>
                      <a:rPr lang="en-US"/>
                      <a:t>12.1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CB-4D76-B635-BA706A5F6983}"/>
                </c:ext>
                <c:ext xmlns:c15="http://schemas.microsoft.com/office/drawing/2012/chart" uri="{CE6537A1-D6FC-4f65-9D91-7224C49458BB}">
                  <c15:layout/>
                </c:ext>
              </c:extLst>
            </c:dLbl>
            <c:dLbl>
              <c:idx val="3"/>
              <c:layout/>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CB-4D76-B635-BA706A5F6983}"/>
                </c:ext>
                <c:ext xmlns:c15="http://schemas.microsoft.com/office/drawing/2012/chart" uri="{CE6537A1-D6FC-4f65-9D91-7224C49458BB}">
                  <c15:layout/>
                </c:ext>
              </c:extLst>
            </c:dLbl>
            <c:dLbl>
              <c:idx val="4"/>
              <c:layout/>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CB-4D76-B635-BA706A5F6983}"/>
                </c:ext>
                <c:ext xmlns:c15="http://schemas.microsoft.com/office/drawing/2012/chart" uri="{CE6537A1-D6FC-4f65-9D91-7224C49458BB}">
                  <c15:layout/>
                </c:ext>
              </c:extLst>
            </c:dLbl>
            <c:dLbl>
              <c:idx val="5"/>
              <c:layout/>
              <c:tx>
                <c:rich>
                  <a:bodyPr/>
                  <a:lstStyle/>
                  <a:p>
                    <a:r>
                      <a:rPr lang="en-US"/>
                      <a:t>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9CB-4D76-B635-BA706A5F6983}"/>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1 or 2</c:v>
                </c:pt>
                <c:pt idx="1">
                  <c:v>3 or 4</c:v>
                </c:pt>
                <c:pt idx="2">
                  <c:v>5 or 6</c:v>
                </c:pt>
                <c:pt idx="3">
                  <c:v>7 to 9</c:v>
                </c:pt>
                <c:pt idx="4">
                  <c:v>10 or more</c:v>
                </c:pt>
                <c:pt idx="5">
                  <c:v>N/A</c:v>
                </c:pt>
              </c:strCache>
            </c:strRef>
          </c:cat>
          <c:val>
            <c:numRef>
              <c:f>Sheet1!$C$2:$C$7</c:f>
              <c:numCache>
                <c:formatCode>General</c:formatCode>
                <c:ptCount val="6"/>
                <c:pt idx="0">
                  <c:v>36.83</c:v>
                </c:pt>
                <c:pt idx="1">
                  <c:v>34.69</c:v>
                </c:pt>
                <c:pt idx="2">
                  <c:v>12.07</c:v>
                </c:pt>
                <c:pt idx="3">
                  <c:v>4.97</c:v>
                </c:pt>
                <c:pt idx="4">
                  <c:v>2.58</c:v>
                </c:pt>
                <c:pt idx="5">
                  <c:v>8.2900000000000009</c:v>
                </c:pt>
              </c:numCache>
            </c:numRef>
          </c:val>
          <c:extLst xmlns:c16r2="http://schemas.microsoft.com/office/drawing/2015/06/chart">
            <c:ext xmlns:c16="http://schemas.microsoft.com/office/drawing/2014/chart" uri="{C3380CC4-5D6E-409C-BE32-E72D297353CC}">
              <c16:uniqueId val="{00000008-29CB-4D76-B635-BA706A5F6983}"/>
            </c:ext>
          </c:extLst>
        </c:ser>
        <c:ser>
          <c:idx val="2"/>
          <c:order val="2"/>
          <c:tx>
            <c:strRef>
              <c:f>Sheet1!$D$1</c:f>
              <c:strCache>
                <c:ptCount val="1"/>
                <c:pt idx="0">
                  <c:v>2010 Regular ADF</c:v>
                </c:pt>
              </c:strCache>
            </c:strRef>
          </c:tx>
          <c:spPr>
            <a:solidFill>
              <a:schemeClr val="accent3"/>
            </a:solidFill>
            <a:effectLst/>
          </c:spPr>
          <c:invertIfNegative val="0"/>
          <c:dLbls>
            <c:dLbl>
              <c:idx val="0"/>
              <c:layout/>
              <c:tx>
                <c:rich>
                  <a:bodyPr/>
                  <a:lstStyle/>
                  <a:p>
                    <a:r>
                      <a:rPr lang="en-US"/>
                      <a:t>31.0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9CB-4D76-B635-BA706A5F6983}"/>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1 or 2</c:v>
                </c:pt>
                <c:pt idx="1">
                  <c:v>3 or 4</c:v>
                </c:pt>
                <c:pt idx="2">
                  <c:v>5 or 6</c:v>
                </c:pt>
                <c:pt idx="3">
                  <c:v>7 to 9</c:v>
                </c:pt>
                <c:pt idx="4">
                  <c:v>10 or more</c:v>
                </c:pt>
                <c:pt idx="5">
                  <c:v>N/A</c:v>
                </c:pt>
              </c:strCache>
            </c:strRef>
          </c:cat>
          <c:val>
            <c:numRef>
              <c:f>Sheet1!$D$2:$D$7</c:f>
              <c:numCache>
                <c:formatCode>General</c:formatCode>
                <c:ptCount val="6"/>
                <c:pt idx="0">
                  <c:v>31</c:v>
                </c:pt>
                <c:pt idx="1">
                  <c:v>34.200000000000003</c:v>
                </c:pt>
                <c:pt idx="2">
                  <c:v>17.399999999999999</c:v>
                </c:pt>
                <c:pt idx="3">
                  <c:v>6.9</c:v>
                </c:pt>
                <c:pt idx="4">
                  <c:v>4.8</c:v>
                </c:pt>
                <c:pt idx="5">
                  <c:v>5.7</c:v>
                </c:pt>
              </c:numCache>
            </c:numRef>
          </c:val>
          <c:extLst xmlns:c16r2="http://schemas.microsoft.com/office/drawing/2015/06/chart">
            <c:ext xmlns:c16="http://schemas.microsoft.com/office/drawing/2014/chart" uri="{C3380CC4-5D6E-409C-BE32-E72D297353CC}">
              <c16:uniqueId val="{0000000A-29CB-4D76-B635-BA706A5F6983}"/>
            </c:ext>
          </c:extLst>
        </c:ser>
        <c:dLbls>
          <c:showLegendKey val="0"/>
          <c:showVal val="0"/>
          <c:showCatName val="0"/>
          <c:showSerName val="0"/>
          <c:showPercent val="0"/>
          <c:showBubbleSize val="0"/>
        </c:dLbls>
        <c:gapWidth val="150"/>
        <c:axId val="855343624"/>
        <c:axId val="855338528"/>
      </c:barChart>
      <c:catAx>
        <c:axId val="855343624"/>
        <c:scaling>
          <c:orientation val="minMax"/>
        </c:scaling>
        <c:delete val="0"/>
        <c:axPos val="b"/>
        <c:numFmt formatCode="General" sourceLinked="0"/>
        <c:majorTickMark val="out"/>
        <c:minorTickMark val="none"/>
        <c:tickLblPos val="nextTo"/>
        <c:crossAx val="855338528"/>
        <c:crosses val="autoZero"/>
        <c:auto val="1"/>
        <c:lblAlgn val="ctr"/>
        <c:lblOffset val="100"/>
        <c:noMultiLvlLbl val="0"/>
      </c:catAx>
      <c:valAx>
        <c:axId val="85533852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8.1279377562352029E-4"/>
              <c:y val="0.35772589888375045"/>
            </c:manualLayout>
          </c:layout>
          <c:overlay val="0"/>
        </c:title>
        <c:numFmt formatCode="General" sourceLinked="1"/>
        <c:majorTickMark val="out"/>
        <c:minorTickMark val="none"/>
        <c:tickLblPos val="nextTo"/>
        <c:crossAx val="855343624"/>
        <c:crosses val="autoZero"/>
        <c:crossBetween val="between"/>
      </c:valAx>
    </c:plotArea>
    <c:legend>
      <c:legendPos val="r"/>
      <c:layout>
        <c:manualLayout>
          <c:xMode val="edge"/>
          <c:yMode val="edge"/>
          <c:x val="0.6843780337898715"/>
          <c:y val="9.9255583126550875E-2"/>
          <c:w val="0.240781285195897"/>
          <c:h val="0.15637215070483901"/>
        </c:manualLayout>
      </c:layout>
      <c:overlay val="0"/>
    </c:legend>
    <c:plotVisOnly val="1"/>
    <c:dispBlanksAs val="gap"/>
    <c:showDLblsOverMax val="0"/>
  </c:chart>
  <c:spPr>
    <a:ln>
      <a:noFill/>
    </a:ln>
    <a:effectLst/>
  </c:spPr>
  <c:txPr>
    <a:bodyPr/>
    <a:lstStyle/>
    <a:p>
      <a:pPr>
        <a:defRPr sz="800" baseline="0">
          <a:latin typeface="Calibri" panose="020F0502020204030204"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280675853018401"/>
          <c:y val="8.8330781568970548E-2"/>
          <c:w val="0.85890912773521255"/>
          <c:h val="0.80009004082822976"/>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No</c:v>
                </c:pt>
                <c:pt idx="1">
                  <c:v>Probably not</c:v>
                </c:pt>
                <c:pt idx="2">
                  <c:v>Unsure</c:v>
                </c:pt>
                <c:pt idx="3">
                  <c:v>Possibly</c:v>
                </c:pt>
                <c:pt idx="4">
                  <c:v>Definitely </c:v>
                </c:pt>
              </c:strCache>
            </c:strRef>
          </c:cat>
          <c:val>
            <c:numRef>
              <c:f>Sheet1!$B$2:$B$6</c:f>
              <c:numCache>
                <c:formatCode>General</c:formatCode>
                <c:ptCount val="5"/>
                <c:pt idx="0">
                  <c:v>76.099999999999994</c:v>
                </c:pt>
                <c:pt idx="1">
                  <c:v>9.7000000000000011</c:v>
                </c:pt>
                <c:pt idx="2">
                  <c:v>3.4</c:v>
                </c:pt>
                <c:pt idx="3">
                  <c:v>6.3</c:v>
                </c:pt>
                <c:pt idx="4">
                  <c:v>3.4</c:v>
                </c:pt>
              </c:numCache>
            </c:numRef>
          </c:val>
          <c:extLst xmlns:c16r2="http://schemas.microsoft.com/office/drawing/2015/06/chart">
            <c:ext xmlns:c16="http://schemas.microsoft.com/office/drawing/2014/chart" uri="{C3380CC4-5D6E-409C-BE32-E72D297353CC}">
              <c16:uniqueId val="{00000000-2ED5-4F78-A161-80F3370B2422}"/>
            </c:ext>
          </c:extLst>
        </c:ser>
        <c:ser>
          <c:idx val="1"/>
          <c:order val="1"/>
          <c:tx>
            <c:strRef>
              <c:f>Sheet1!$C$1</c:f>
              <c:strCache>
                <c:ptCount val="1"/>
                <c:pt idx="0">
                  <c:v>2015 Regular ADF </c:v>
                </c:pt>
              </c:strCache>
            </c:strRef>
          </c:tx>
          <c:spPr>
            <a:solidFill>
              <a:schemeClr val="accent2"/>
            </a:solidFill>
            <a:effectLst/>
          </c:spPr>
          <c:invertIfNegative val="0"/>
          <c:dLbls>
            <c:dLbl>
              <c:idx val="4"/>
              <c:layout/>
              <c:tx>
                <c:rich>
                  <a:bodyPr/>
                  <a:lstStyle/>
                  <a:p>
                    <a:r>
                      <a:rPr lang="en-US"/>
                      <a:t>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D5-4F78-A161-80F3370B2422}"/>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No</c:v>
                </c:pt>
                <c:pt idx="1">
                  <c:v>Probably not</c:v>
                </c:pt>
                <c:pt idx="2">
                  <c:v>Unsure</c:v>
                </c:pt>
                <c:pt idx="3">
                  <c:v>Possibly</c:v>
                </c:pt>
                <c:pt idx="4">
                  <c:v>Definitely </c:v>
                </c:pt>
              </c:strCache>
            </c:strRef>
          </c:cat>
          <c:val>
            <c:numRef>
              <c:f>Sheet1!$C$2:$C$6</c:f>
              <c:numCache>
                <c:formatCode>General</c:formatCode>
                <c:ptCount val="5"/>
                <c:pt idx="0">
                  <c:v>87.3</c:v>
                </c:pt>
                <c:pt idx="1">
                  <c:v>8.6</c:v>
                </c:pt>
                <c:pt idx="2">
                  <c:v>1.3</c:v>
                </c:pt>
                <c:pt idx="3">
                  <c:v>1.7</c:v>
                </c:pt>
                <c:pt idx="4">
                  <c:v>0.37</c:v>
                </c:pt>
              </c:numCache>
            </c:numRef>
          </c:val>
          <c:extLst xmlns:c16r2="http://schemas.microsoft.com/office/drawing/2015/06/chart">
            <c:ext xmlns:c16="http://schemas.microsoft.com/office/drawing/2014/chart" uri="{C3380CC4-5D6E-409C-BE32-E72D297353CC}">
              <c16:uniqueId val="{00000002-2ED5-4F78-A161-80F3370B2422}"/>
            </c:ext>
          </c:extLst>
        </c:ser>
        <c:ser>
          <c:idx val="2"/>
          <c:order val="2"/>
          <c:tx>
            <c:strRef>
              <c:f>Sheet1!$D$1</c:f>
              <c:strCache>
                <c:ptCount val="1"/>
                <c:pt idx="0">
                  <c:v>2010 Regular ADF </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No</c:v>
                </c:pt>
                <c:pt idx="1">
                  <c:v>Probably not</c:v>
                </c:pt>
                <c:pt idx="2">
                  <c:v>Unsure</c:v>
                </c:pt>
                <c:pt idx="3">
                  <c:v>Possibly</c:v>
                </c:pt>
                <c:pt idx="4">
                  <c:v>Definitely </c:v>
                </c:pt>
              </c:strCache>
            </c:strRef>
          </c:cat>
          <c:val>
            <c:numRef>
              <c:f>Sheet1!$D$2:$D$6</c:f>
              <c:numCache>
                <c:formatCode>General</c:formatCode>
                <c:ptCount val="5"/>
                <c:pt idx="0">
                  <c:v>91.5</c:v>
                </c:pt>
                <c:pt idx="1">
                  <c:v>5.0999999999999996</c:v>
                </c:pt>
                <c:pt idx="2">
                  <c:v>1.4</c:v>
                </c:pt>
                <c:pt idx="3">
                  <c:v>1.7</c:v>
                </c:pt>
                <c:pt idx="4">
                  <c:v>0.4</c:v>
                </c:pt>
              </c:numCache>
            </c:numRef>
          </c:val>
          <c:extLst xmlns:c16r2="http://schemas.microsoft.com/office/drawing/2015/06/chart">
            <c:ext xmlns:c16="http://schemas.microsoft.com/office/drawing/2014/chart" uri="{C3380CC4-5D6E-409C-BE32-E72D297353CC}">
              <c16:uniqueId val="{00000003-2ED5-4F78-A161-80F3370B2422}"/>
            </c:ext>
          </c:extLst>
        </c:ser>
        <c:dLbls>
          <c:showLegendKey val="0"/>
          <c:showVal val="0"/>
          <c:showCatName val="0"/>
          <c:showSerName val="0"/>
          <c:showPercent val="0"/>
          <c:showBubbleSize val="0"/>
        </c:dLbls>
        <c:gapWidth val="150"/>
        <c:axId val="855336176"/>
        <c:axId val="855336568"/>
      </c:barChart>
      <c:catAx>
        <c:axId val="855336176"/>
        <c:scaling>
          <c:orientation val="minMax"/>
        </c:scaling>
        <c:delete val="0"/>
        <c:axPos val="b"/>
        <c:numFmt formatCode="General" sourceLinked="0"/>
        <c:majorTickMark val="out"/>
        <c:minorTickMark val="none"/>
        <c:tickLblPos val="nextTo"/>
        <c:crossAx val="855336568"/>
        <c:crosses val="autoZero"/>
        <c:auto val="1"/>
        <c:lblAlgn val="ctr"/>
        <c:lblOffset val="100"/>
        <c:noMultiLvlLbl val="0"/>
      </c:catAx>
      <c:valAx>
        <c:axId val="85533656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2.0605762716599495E-3"/>
              <c:y val="0.37201877414666612"/>
            </c:manualLayout>
          </c:layout>
          <c:overlay val="0"/>
        </c:title>
        <c:numFmt formatCode="General" sourceLinked="1"/>
        <c:majorTickMark val="out"/>
        <c:minorTickMark val="none"/>
        <c:tickLblPos val="nextTo"/>
        <c:crossAx val="855336176"/>
        <c:crosses val="autoZero"/>
        <c:crossBetween val="between"/>
      </c:valAx>
    </c:plotArea>
    <c:legend>
      <c:legendPos val="r"/>
      <c:layout>
        <c:manualLayout>
          <c:xMode val="edge"/>
          <c:yMode val="edge"/>
          <c:x val="0.65611986001749778"/>
          <c:y val="0.12578703703703703"/>
          <c:w val="0.25517401731551997"/>
          <c:h val="0.1486417322834645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280675853018401"/>
          <c:y val="8.4213692038495172E-2"/>
          <c:w val="0.85228390201224846"/>
          <c:h val="0.77835593467483233"/>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Very easy</c:v>
                </c:pt>
                <c:pt idx="1">
                  <c:v>Fairly easy</c:v>
                </c:pt>
                <c:pt idx="2">
                  <c:v>Neither difficult or easy</c:v>
                </c:pt>
                <c:pt idx="3">
                  <c:v>Fairly difficult </c:v>
                </c:pt>
                <c:pt idx="4">
                  <c:v>Very difficult</c:v>
                </c:pt>
              </c:strCache>
            </c:strRef>
          </c:cat>
          <c:val>
            <c:numRef>
              <c:f>Sheet1!$B$2:$B$6</c:f>
              <c:numCache>
                <c:formatCode>General</c:formatCode>
                <c:ptCount val="5"/>
                <c:pt idx="0">
                  <c:v>50.9</c:v>
                </c:pt>
                <c:pt idx="1">
                  <c:v>16.899999999999999</c:v>
                </c:pt>
                <c:pt idx="2">
                  <c:v>9.6</c:v>
                </c:pt>
                <c:pt idx="3">
                  <c:v>5.5</c:v>
                </c:pt>
                <c:pt idx="4">
                  <c:v>2.9</c:v>
                </c:pt>
              </c:numCache>
            </c:numRef>
          </c:val>
          <c:extLst xmlns:c16r2="http://schemas.microsoft.com/office/drawing/2015/06/chart">
            <c:ext xmlns:c16="http://schemas.microsoft.com/office/drawing/2014/chart" uri="{C3380CC4-5D6E-409C-BE32-E72D297353CC}">
              <c16:uniqueId val="{00000000-FE58-4419-B995-5FB2D06E393A}"/>
            </c:ext>
          </c:extLst>
        </c:ser>
        <c:ser>
          <c:idx val="1"/>
          <c:order val="1"/>
          <c:tx>
            <c:strRef>
              <c:f>Sheet1!$C$1</c:f>
              <c:strCache>
                <c:ptCount val="1"/>
                <c:pt idx="0">
                  <c:v>2015 Regular ADF</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Very easy</c:v>
                </c:pt>
                <c:pt idx="1">
                  <c:v>Fairly easy</c:v>
                </c:pt>
                <c:pt idx="2">
                  <c:v>Neither difficult or easy</c:v>
                </c:pt>
                <c:pt idx="3">
                  <c:v>Fairly difficult </c:v>
                </c:pt>
                <c:pt idx="4">
                  <c:v>Very difficult</c:v>
                </c:pt>
              </c:strCache>
            </c:strRef>
          </c:cat>
          <c:val>
            <c:numRef>
              <c:f>Sheet1!$C$2:$C$6</c:f>
              <c:numCache>
                <c:formatCode>General</c:formatCode>
                <c:ptCount val="5"/>
                <c:pt idx="0">
                  <c:v>64.099999999999994</c:v>
                </c:pt>
                <c:pt idx="1">
                  <c:v>15.9</c:v>
                </c:pt>
                <c:pt idx="2">
                  <c:v>5.9</c:v>
                </c:pt>
                <c:pt idx="3">
                  <c:v>2.5</c:v>
                </c:pt>
                <c:pt idx="4">
                  <c:v>0.2</c:v>
                </c:pt>
              </c:numCache>
            </c:numRef>
          </c:val>
          <c:extLst xmlns:c16r2="http://schemas.microsoft.com/office/drawing/2015/06/chart">
            <c:ext xmlns:c16="http://schemas.microsoft.com/office/drawing/2014/chart" uri="{C3380CC4-5D6E-409C-BE32-E72D297353CC}">
              <c16:uniqueId val="{00000001-FE58-4419-B995-5FB2D06E393A}"/>
            </c:ext>
          </c:extLst>
        </c:ser>
        <c:ser>
          <c:idx val="2"/>
          <c:order val="2"/>
          <c:tx>
            <c:strRef>
              <c:f>Sheet1!$D$1</c:f>
              <c:strCache>
                <c:ptCount val="1"/>
                <c:pt idx="0">
                  <c:v>2010 Regular ADF </c:v>
                </c:pt>
              </c:strCache>
            </c:strRef>
          </c:tx>
          <c:spPr>
            <a:solidFill>
              <a:schemeClr val="accent3"/>
            </a:solidFill>
            <a:effectLst/>
          </c:spPr>
          <c:invertIfNegative val="0"/>
          <c:dLbls>
            <c:dLbl>
              <c:idx val="0"/>
              <c:layout/>
              <c:tx>
                <c:rich>
                  <a:bodyPr/>
                  <a:lstStyle/>
                  <a:p>
                    <a:r>
                      <a:rPr lang="en-US"/>
                      <a:t>65.0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58-4419-B995-5FB2D06E393A}"/>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Very easy</c:v>
                </c:pt>
                <c:pt idx="1">
                  <c:v>Fairly easy</c:v>
                </c:pt>
                <c:pt idx="2">
                  <c:v>Neither difficult or easy</c:v>
                </c:pt>
                <c:pt idx="3">
                  <c:v>Fairly difficult </c:v>
                </c:pt>
                <c:pt idx="4">
                  <c:v>Very difficult</c:v>
                </c:pt>
              </c:strCache>
            </c:strRef>
          </c:cat>
          <c:val>
            <c:numRef>
              <c:f>Sheet1!$D$2:$D$6</c:f>
              <c:numCache>
                <c:formatCode>General</c:formatCode>
                <c:ptCount val="5"/>
                <c:pt idx="0">
                  <c:v>65</c:v>
                </c:pt>
                <c:pt idx="1">
                  <c:v>16.600000000000001</c:v>
                </c:pt>
                <c:pt idx="2">
                  <c:v>6.4</c:v>
                </c:pt>
                <c:pt idx="3">
                  <c:v>2.1</c:v>
                </c:pt>
                <c:pt idx="4">
                  <c:v>0.4</c:v>
                </c:pt>
              </c:numCache>
            </c:numRef>
          </c:val>
          <c:extLst xmlns:c16r2="http://schemas.microsoft.com/office/drawing/2015/06/chart">
            <c:ext xmlns:c16="http://schemas.microsoft.com/office/drawing/2014/chart" uri="{C3380CC4-5D6E-409C-BE32-E72D297353CC}">
              <c16:uniqueId val="{00000003-FE58-4419-B995-5FB2D06E393A}"/>
            </c:ext>
          </c:extLst>
        </c:ser>
        <c:dLbls>
          <c:showLegendKey val="0"/>
          <c:showVal val="0"/>
          <c:showCatName val="0"/>
          <c:showSerName val="0"/>
          <c:showPercent val="0"/>
          <c:showBubbleSize val="0"/>
        </c:dLbls>
        <c:gapWidth val="150"/>
        <c:axId val="855338920"/>
        <c:axId val="855339312"/>
      </c:barChart>
      <c:catAx>
        <c:axId val="855338920"/>
        <c:scaling>
          <c:orientation val="minMax"/>
        </c:scaling>
        <c:delete val="0"/>
        <c:axPos val="b"/>
        <c:numFmt formatCode="General" sourceLinked="0"/>
        <c:majorTickMark val="out"/>
        <c:minorTickMark val="none"/>
        <c:tickLblPos val="nextTo"/>
        <c:crossAx val="855339312"/>
        <c:crosses val="autoZero"/>
        <c:auto val="1"/>
        <c:lblAlgn val="ctr"/>
        <c:lblOffset val="100"/>
        <c:noMultiLvlLbl val="0"/>
      </c:catAx>
      <c:valAx>
        <c:axId val="85533931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5.9580052493438302E-4"/>
              <c:y val="0.34409284932098722"/>
            </c:manualLayout>
          </c:layout>
          <c:overlay val="0"/>
        </c:title>
        <c:numFmt formatCode="General" sourceLinked="1"/>
        <c:majorTickMark val="out"/>
        <c:minorTickMark val="none"/>
        <c:tickLblPos val="nextTo"/>
        <c:crossAx val="855338920"/>
        <c:crosses val="autoZero"/>
        <c:crossBetween val="between"/>
      </c:valAx>
      <c:spPr>
        <a:noFill/>
        <a:ln w="25400">
          <a:noFill/>
        </a:ln>
      </c:spPr>
    </c:plotArea>
    <c:legend>
      <c:legendPos val="r"/>
      <c:layout>
        <c:manualLayout>
          <c:xMode val="edge"/>
          <c:yMode val="edge"/>
          <c:x val="0.67939326334208217"/>
          <c:y val="0.11349756777091603"/>
          <c:w val="0.24347331774952299"/>
          <c:h val="0.1403058471857684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97674249052199"/>
          <c:y val="6.3374377906025847E-2"/>
          <c:w val="0.85330444175307696"/>
          <c:h val="0.82663094196558762"/>
        </c:manualLayout>
      </c:layout>
      <c:barChart>
        <c:barDir val="col"/>
        <c:grouping val="clustered"/>
        <c:varyColors val="0"/>
        <c:ser>
          <c:idx val="0"/>
          <c:order val="0"/>
          <c:tx>
            <c:strRef>
              <c:f>Sheet1!$B$1</c:f>
              <c:strCache>
                <c:ptCount val="1"/>
                <c:pt idx="0">
                  <c:v>Ex-Serving</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Sheet1!$B$2:$B$5</c:f>
              <c:numCache>
                <c:formatCode>General</c:formatCode>
                <c:ptCount val="4"/>
                <c:pt idx="0">
                  <c:v>61.9</c:v>
                </c:pt>
                <c:pt idx="1">
                  <c:v>21.9</c:v>
                </c:pt>
                <c:pt idx="2">
                  <c:v>5.4</c:v>
                </c:pt>
                <c:pt idx="3">
                  <c:v>9.1</c:v>
                </c:pt>
              </c:numCache>
            </c:numRef>
          </c:val>
          <c:extLst xmlns:c16r2="http://schemas.microsoft.com/office/drawing/2015/06/chart">
            <c:ext xmlns:c16="http://schemas.microsoft.com/office/drawing/2014/chart" uri="{C3380CC4-5D6E-409C-BE32-E72D297353CC}">
              <c16:uniqueId val="{00000000-493C-447F-B04B-9C72817D85EB}"/>
            </c:ext>
          </c:extLst>
        </c:ser>
        <c:ser>
          <c:idx val="1"/>
          <c:order val="1"/>
          <c:tx>
            <c:strRef>
              <c:f>Sheet1!$C$1</c:f>
              <c:strCache>
                <c:ptCount val="1"/>
                <c:pt idx="0">
                  <c:v>Inactive Reservist</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Sheet1!$C$2:$C$5</c:f>
              <c:numCache>
                <c:formatCode>General</c:formatCode>
                <c:ptCount val="4"/>
                <c:pt idx="0">
                  <c:v>63.2</c:v>
                </c:pt>
                <c:pt idx="1">
                  <c:v>24.4</c:v>
                </c:pt>
                <c:pt idx="2">
                  <c:v>5.3</c:v>
                </c:pt>
                <c:pt idx="3">
                  <c:v>5.7</c:v>
                </c:pt>
              </c:numCache>
            </c:numRef>
          </c:val>
          <c:extLst xmlns:c16r2="http://schemas.microsoft.com/office/drawing/2015/06/chart">
            <c:ext xmlns:c16="http://schemas.microsoft.com/office/drawing/2014/chart" uri="{C3380CC4-5D6E-409C-BE32-E72D297353CC}">
              <c16:uniqueId val="{00000001-493C-447F-B04B-9C72817D85EB}"/>
            </c:ext>
          </c:extLst>
        </c:ser>
        <c:ser>
          <c:idx val="2"/>
          <c:order val="2"/>
          <c:tx>
            <c:strRef>
              <c:f>Sheet1!$D$1</c:f>
              <c:strCache>
                <c:ptCount val="1"/>
                <c:pt idx="0">
                  <c:v>Active Reservist</c:v>
                </c:pt>
              </c:strCache>
            </c:strRef>
          </c:tx>
          <c:spPr>
            <a:solidFill>
              <a:schemeClr val="accent3"/>
            </a:solidFill>
            <a:effectLst/>
          </c:spPr>
          <c:invertIfNegative val="0"/>
          <c:dLbls>
            <c:dLbl>
              <c:idx val="3"/>
              <c:layout/>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3C-447F-B04B-9C72817D85EB}"/>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Sheet1!$D$2:$D$5</c:f>
              <c:numCache>
                <c:formatCode>General</c:formatCode>
                <c:ptCount val="4"/>
                <c:pt idx="0">
                  <c:v>72.3</c:v>
                </c:pt>
                <c:pt idx="1">
                  <c:v>21.1</c:v>
                </c:pt>
                <c:pt idx="2">
                  <c:v>2.9</c:v>
                </c:pt>
                <c:pt idx="3">
                  <c:v>3</c:v>
                </c:pt>
              </c:numCache>
            </c:numRef>
          </c:val>
          <c:extLst xmlns:c16r2="http://schemas.microsoft.com/office/drawing/2015/06/chart">
            <c:ext xmlns:c16="http://schemas.microsoft.com/office/drawing/2014/chart" uri="{C3380CC4-5D6E-409C-BE32-E72D297353CC}">
              <c16:uniqueId val="{00000003-493C-447F-B04B-9C72817D85EB}"/>
            </c:ext>
          </c:extLst>
        </c:ser>
        <c:dLbls>
          <c:showLegendKey val="0"/>
          <c:showVal val="1"/>
          <c:showCatName val="0"/>
          <c:showSerName val="0"/>
          <c:showPercent val="0"/>
          <c:showBubbleSize val="0"/>
        </c:dLbls>
        <c:gapWidth val="150"/>
        <c:axId val="855341664"/>
        <c:axId val="855345192"/>
      </c:barChart>
      <c:catAx>
        <c:axId val="855341664"/>
        <c:scaling>
          <c:orientation val="minMax"/>
        </c:scaling>
        <c:delete val="0"/>
        <c:axPos val="b"/>
        <c:numFmt formatCode="General" sourceLinked="0"/>
        <c:majorTickMark val="out"/>
        <c:minorTickMark val="none"/>
        <c:tickLblPos val="nextTo"/>
        <c:crossAx val="855345192"/>
        <c:crosses val="autoZero"/>
        <c:auto val="1"/>
        <c:lblAlgn val="ctr"/>
        <c:lblOffset val="100"/>
        <c:noMultiLvlLbl val="0"/>
      </c:catAx>
      <c:valAx>
        <c:axId val="85534519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1438918119739563E-2"/>
              <c:y val="0.31440859210106153"/>
            </c:manualLayout>
          </c:layout>
          <c:overlay val="0"/>
        </c:title>
        <c:numFmt formatCode="General" sourceLinked="1"/>
        <c:majorTickMark val="out"/>
        <c:minorTickMark val="none"/>
        <c:tickLblPos val="nextTo"/>
        <c:crossAx val="855341664"/>
        <c:crosses val="autoZero"/>
        <c:crossBetween val="between"/>
      </c:valAx>
    </c:plotArea>
    <c:legend>
      <c:legendPos val="r"/>
      <c:layout>
        <c:manualLayout>
          <c:xMode val="edge"/>
          <c:yMode val="edge"/>
          <c:x val="0.70969483777623588"/>
          <c:y val="0.10641681659228798"/>
          <c:w val="0.229323864261683"/>
          <c:h val="0.1575251531058617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94218142161599"/>
          <c:y val="5.8374494836102402E-2"/>
          <c:w val="0.85184820647419079"/>
          <c:h val="0.83939668999708372"/>
        </c:manualLayout>
      </c:layout>
      <c:barChart>
        <c:barDir val="col"/>
        <c:grouping val="clustered"/>
        <c:varyColors val="0"/>
        <c:ser>
          <c:idx val="0"/>
          <c:order val="0"/>
          <c:tx>
            <c:strRef>
              <c:f>Sheet1!$B$1</c:f>
              <c:strCache>
                <c:ptCount val="1"/>
                <c:pt idx="0">
                  <c:v>0 (1–11 months)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Sheet1!$B$2:$B$5</c:f>
              <c:numCache>
                <c:formatCode>General</c:formatCode>
                <c:ptCount val="4"/>
                <c:pt idx="0">
                  <c:v>67.8</c:v>
                </c:pt>
                <c:pt idx="1">
                  <c:v>22.3</c:v>
                </c:pt>
                <c:pt idx="2">
                  <c:v>2.7</c:v>
                </c:pt>
                <c:pt idx="3">
                  <c:v>6</c:v>
                </c:pt>
              </c:numCache>
            </c:numRef>
          </c:val>
          <c:extLst xmlns:c16r2="http://schemas.microsoft.com/office/drawing/2015/06/chart">
            <c:ext xmlns:c16="http://schemas.microsoft.com/office/drawing/2014/chart" uri="{C3380CC4-5D6E-409C-BE32-E72D297353CC}">
              <c16:uniqueId val="{00000000-5E21-41AE-97C9-BEF9DFA154C2}"/>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Sheet1!$C$2:$C$5</c:f>
              <c:numCache>
                <c:formatCode>General</c:formatCode>
                <c:ptCount val="4"/>
                <c:pt idx="0">
                  <c:v>67.099999999999994</c:v>
                </c:pt>
                <c:pt idx="1">
                  <c:v>20.2</c:v>
                </c:pt>
                <c:pt idx="2">
                  <c:v>5.5</c:v>
                </c:pt>
                <c:pt idx="3">
                  <c:v>5.8</c:v>
                </c:pt>
              </c:numCache>
            </c:numRef>
          </c:val>
          <c:extLst xmlns:c16r2="http://schemas.microsoft.com/office/drawing/2015/06/chart">
            <c:ext xmlns:c16="http://schemas.microsoft.com/office/drawing/2014/chart" uri="{C3380CC4-5D6E-409C-BE32-E72D297353CC}">
              <c16:uniqueId val="{00000001-5E21-41AE-97C9-BEF9DFA154C2}"/>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Sheet1!$D$2:$D$5</c:f>
              <c:numCache>
                <c:formatCode>General</c:formatCode>
                <c:ptCount val="4"/>
                <c:pt idx="0">
                  <c:v>66.099999999999994</c:v>
                </c:pt>
                <c:pt idx="1">
                  <c:v>21.6</c:v>
                </c:pt>
                <c:pt idx="2">
                  <c:v>4.2</c:v>
                </c:pt>
                <c:pt idx="3">
                  <c:v>6.6</c:v>
                </c:pt>
              </c:numCache>
            </c:numRef>
          </c:val>
          <c:extLst xmlns:c16r2="http://schemas.microsoft.com/office/drawing/2015/06/chart">
            <c:ext xmlns:c16="http://schemas.microsoft.com/office/drawing/2014/chart" uri="{C3380CC4-5D6E-409C-BE32-E72D297353CC}">
              <c16:uniqueId val="{00000002-5E21-41AE-97C9-BEF9DFA154C2}"/>
            </c:ext>
          </c:extLst>
        </c:ser>
        <c:ser>
          <c:idx val="3"/>
          <c:order val="3"/>
          <c:tx>
            <c:strRef>
              <c:f>Sheet1!$E$1</c:f>
              <c:strCache>
                <c:ptCount val="1"/>
                <c:pt idx="0">
                  <c:v>3 years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Sheet1!$E$2:$E$5</c:f>
              <c:numCache>
                <c:formatCode>General</c:formatCode>
                <c:ptCount val="4"/>
                <c:pt idx="0">
                  <c:v>61.5</c:v>
                </c:pt>
                <c:pt idx="1">
                  <c:v>23.4</c:v>
                </c:pt>
                <c:pt idx="2">
                  <c:v>6.7</c:v>
                </c:pt>
                <c:pt idx="3">
                  <c:v>7.1</c:v>
                </c:pt>
              </c:numCache>
            </c:numRef>
          </c:val>
          <c:extLst xmlns:c16r2="http://schemas.microsoft.com/office/drawing/2015/06/chart">
            <c:ext xmlns:c16="http://schemas.microsoft.com/office/drawing/2014/chart" uri="{C3380CC4-5D6E-409C-BE32-E72D297353CC}">
              <c16:uniqueId val="{00000003-5E21-41AE-97C9-BEF9DFA154C2}"/>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Sheet1!$F$2:$F$5</c:f>
              <c:numCache>
                <c:formatCode>General</c:formatCode>
                <c:ptCount val="4"/>
                <c:pt idx="0">
                  <c:v>69.900000000000006</c:v>
                </c:pt>
                <c:pt idx="1">
                  <c:v>18.7</c:v>
                </c:pt>
                <c:pt idx="2">
                  <c:v>3.9</c:v>
                </c:pt>
                <c:pt idx="3">
                  <c:v>6.5</c:v>
                </c:pt>
              </c:numCache>
            </c:numRef>
          </c:val>
          <c:extLst xmlns:c16r2="http://schemas.microsoft.com/office/drawing/2015/06/chart">
            <c:ext xmlns:c16="http://schemas.microsoft.com/office/drawing/2014/chart" uri="{C3380CC4-5D6E-409C-BE32-E72D297353CC}">
              <c16:uniqueId val="{00000004-5E21-41AE-97C9-BEF9DFA154C2}"/>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Band 1 (0–7)</c:v>
                </c:pt>
                <c:pt idx="1">
                  <c:v>Band 2 (8–15)</c:v>
                </c:pt>
                <c:pt idx="2">
                  <c:v>Band 3 (16–19)</c:v>
                </c:pt>
                <c:pt idx="3">
                  <c:v>Band 4 (20–40)</c:v>
                </c:pt>
              </c:strCache>
            </c:strRef>
          </c:cat>
          <c:val>
            <c:numRef>
              <c:f>Sheet1!$G$2:$G$5</c:f>
              <c:numCache>
                <c:formatCode>General</c:formatCode>
                <c:ptCount val="4"/>
                <c:pt idx="0">
                  <c:v>61.4</c:v>
                </c:pt>
                <c:pt idx="1">
                  <c:v>29.5</c:v>
                </c:pt>
                <c:pt idx="2">
                  <c:v>2.2000000000000002</c:v>
                </c:pt>
                <c:pt idx="3">
                  <c:v>6.4</c:v>
                </c:pt>
              </c:numCache>
            </c:numRef>
          </c:val>
          <c:extLst xmlns:c16r2="http://schemas.microsoft.com/office/drawing/2015/06/chart">
            <c:ext xmlns:c16="http://schemas.microsoft.com/office/drawing/2014/chart" uri="{C3380CC4-5D6E-409C-BE32-E72D297353CC}">
              <c16:uniqueId val="{00000005-5E21-41AE-97C9-BEF9DFA154C2}"/>
            </c:ext>
          </c:extLst>
        </c:ser>
        <c:dLbls>
          <c:showLegendKey val="0"/>
          <c:showVal val="0"/>
          <c:showCatName val="0"/>
          <c:showSerName val="0"/>
          <c:showPercent val="0"/>
          <c:showBubbleSize val="0"/>
        </c:dLbls>
        <c:gapWidth val="150"/>
        <c:axId val="855347152"/>
        <c:axId val="855335000"/>
      </c:barChart>
      <c:catAx>
        <c:axId val="855347152"/>
        <c:scaling>
          <c:orientation val="minMax"/>
        </c:scaling>
        <c:delete val="0"/>
        <c:axPos val="b"/>
        <c:numFmt formatCode="General" sourceLinked="0"/>
        <c:majorTickMark val="out"/>
        <c:minorTickMark val="none"/>
        <c:tickLblPos val="nextTo"/>
        <c:crossAx val="855335000"/>
        <c:crosses val="autoZero"/>
        <c:auto val="1"/>
        <c:lblAlgn val="ctr"/>
        <c:lblOffset val="100"/>
        <c:noMultiLvlLbl val="0"/>
      </c:catAx>
      <c:valAx>
        <c:axId val="85533500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978565179352575E-3"/>
              <c:y val="0.33780107799211817"/>
            </c:manualLayout>
          </c:layout>
          <c:overlay val="0"/>
        </c:title>
        <c:numFmt formatCode="General" sourceLinked="1"/>
        <c:majorTickMark val="out"/>
        <c:minorTickMark val="none"/>
        <c:tickLblPos val="nextTo"/>
        <c:crossAx val="855347152"/>
        <c:crosses val="autoZero"/>
        <c:crossBetween val="between"/>
      </c:valAx>
    </c:plotArea>
    <c:legend>
      <c:legendPos val="r"/>
      <c:layout>
        <c:manualLayout>
          <c:xMode val="edge"/>
          <c:yMode val="edge"/>
          <c:x val="0.72118482064741896"/>
          <c:y val="0.106557497878987"/>
          <c:w val="0.226532258724677"/>
          <c:h val="0.2886780316726968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32418298086804"/>
          <c:y val="6.3556328349440999E-2"/>
          <c:w val="0.83842995311371615"/>
          <c:h val="0.74333311873164798"/>
        </c:manualLayout>
      </c:layout>
      <c:barChart>
        <c:barDir val="col"/>
        <c:grouping val="clustered"/>
        <c:varyColors val="0"/>
        <c:ser>
          <c:idx val="0"/>
          <c:order val="0"/>
          <c:tx>
            <c:strRef>
              <c:f>Sheet1!$B$1</c:f>
              <c:strCache>
                <c:ptCount val="1"/>
                <c:pt idx="0">
                  <c:v>Transitioned ADF</c:v>
                </c:pt>
              </c:strCache>
            </c:strRef>
          </c:tx>
          <c:spPr>
            <a:solidFill>
              <a:schemeClr val="accent1"/>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0-6D44-42D0-A903-4950663A40A4}"/>
              </c:ext>
            </c:extLst>
          </c:dPt>
          <c:dLbls>
            <c:dLbl>
              <c:idx val="3"/>
              <c:layout/>
              <c:tx>
                <c:rich>
                  <a:bodyPr/>
                  <a:lstStyle/>
                  <a:p>
                    <a:r>
                      <a:rPr lang="en-US"/>
                      <a:t>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44-42D0-A903-4950663A40A4}"/>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Sheet1!$B$2:$B$6</c:f>
              <c:numCache>
                <c:formatCode>General</c:formatCode>
                <c:ptCount val="5"/>
                <c:pt idx="0">
                  <c:v>45.5</c:v>
                </c:pt>
                <c:pt idx="1">
                  <c:v>23.2</c:v>
                </c:pt>
                <c:pt idx="2">
                  <c:v>11.1</c:v>
                </c:pt>
                <c:pt idx="3">
                  <c:v>9</c:v>
                </c:pt>
                <c:pt idx="4">
                  <c:v>10.5</c:v>
                </c:pt>
              </c:numCache>
            </c:numRef>
          </c:val>
          <c:extLst xmlns:c16r2="http://schemas.microsoft.com/office/drawing/2015/06/chart">
            <c:ext xmlns:c16="http://schemas.microsoft.com/office/drawing/2014/chart" uri="{C3380CC4-5D6E-409C-BE32-E72D297353CC}">
              <c16:uniqueId val="{00000002-6D44-42D0-A903-4950663A40A4}"/>
            </c:ext>
          </c:extLst>
        </c:ser>
        <c:ser>
          <c:idx val="1"/>
          <c:order val="1"/>
          <c:tx>
            <c:strRef>
              <c:f>Sheet1!$C$1</c:f>
              <c:strCache>
                <c:ptCount val="1"/>
                <c:pt idx="0">
                  <c:v>2015 Regular ADF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Sheet1!$C$2:$C$6</c:f>
              <c:numCache>
                <c:formatCode>General</c:formatCode>
                <c:ptCount val="5"/>
                <c:pt idx="0">
                  <c:v>56.2</c:v>
                </c:pt>
                <c:pt idx="1">
                  <c:v>25.5</c:v>
                </c:pt>
                <c:pt idx="2">
                  <c:v>9.9</c:v>
                </c:pt>
                <c:pt idx="3">
                  <c:v>4.5</c:v>
                </c:pt>
                <c:pt idx="4">
                  <c:v>2.9</c:v>
                </c:pt>
              </c:numCache>
            </c:numRef>
          </c:val>
          <c:extLst xmlns:c16r2="http://schemas.microsoft.com/office/drawing/2015/06/chart">
            <c:ext xmlns:c16="http://schemas.microsoft.com/office/drawing/2014/chart" uri="{C3380CC4-5D6E-409C-BE32-E72D297353CC}">
              <c16:uniqueId val="{00000003-6D44-42D0-A903-4950663A40A4}"/>
            </c:ext>
          </c:extLst>
        </c:ser>
        <c:ser>
          <c:idx val="2"/>
          <c:order val="2"/>
          <c:tx>
            <c:strRef>
              <c:f>Sheet1!$D$1</c:f>
              <c:strCache>
                <c:ptCount val="1"/>
                <c:pt idx="0">
                  <c:v>2010 Regular ADF</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Sheet1!$D$2:$D$6</c:f>
              <c:numCache>
                <c:formatCode>General</c:formatCode>
                <c:ptCount val="5"/>
                <c:pt idx="0">
                  <c:v>77.599999999999994</c:v>
                </c:pt>
                <c:pt idx="1">
                  <c:v>15.4</c:v>
                </c:pt>
                <c:pt idx="2">
                  <c:v>4.5</c:v>
                </c:pt>
                <c:pt idx="3">
                  <c:v>1.5</c:v>
                </c:pt>
                <c:pt idx="4">
                  <c:v>0.9</c:v>
                </c:pt>
              </c:numCache>
            </c:numRef>
          </c:val>
          <c:extLst xmlns:c16r2="http://schemas.microsoft.com/office/drawing/2015/06/chart">
            <c:ext xmlns:c16="http://schemas.microsoft.com/office/drawing/2014/chart" uri="{C3380CC4-5D6E-409C-BE32-E72D297353CC}">
              <c16:uniqueId val="{00000004-6D44-42D0-A903-4950663A40A4}"/>
            </c:ext>
          </c:extLst>
        </c:ser>
        <c:dLbls>
          <c:showLegendKey val="0"/>
          <c:showVal val="1"/>
          <c:showCatName val="0"/>
          <c:showSerName val="0"/>
          <c:showPercent val="0"/>
          <c:showBubbleSize val="0"/>
        </c:dLbls>
        <c:gapWidth val="150"/>
        <c:axId val="855350680"/>
        <c:axId val="855349896"/>
      </c:barChart>
      <c:catAx>
        <c:axId val="855350680"/>
        <c:scaling>
          <c:orientation val="minMax"/>
        </c:scaling>
        <c:delete val="0"/>
        <c:axPos val="b"/>
        <c:numFmt formatCode="General" sourceLinked="0"/>
        <c:majorTickMark val="out"/>
        <c:minorTickMark val="none"/>
        <c:tickLblPos val="nextTo"/>
        <c:crossAx val="855349896"/>
        <c:crosses val="autoZero"/>
        <c:auto val="1"/>
        <c:lblAlgn val="ctr"/>
        <c:lblOffset val="100"/>
        <c:noMultiLvlLbl val="0"/>
      </c:catAx>
      <c:valAx>
        <c:axId val="85534989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2.5418202626991213E-3"/>
              <c:y val="0.34117115018709482"/>
            </c:manualLayout>
          </c:layout>
          <c:overlay val="0"/>
        </c:title>
        <c:numFmt formatCode="General" sourceLinked="1"/>
        <c:majorTickMark val="out"/>
        <c:minorTickMark val="none"/>
        <c:tickLblPos val="nextTo"/>
        <c:crossAx val="855350680"/>
        <c:crosses val="autoZero"/>
        <c:crossBetween val="between"/>
      </c:valAx>
    </c:plotArea>
    <c:legend>
      <c:legendPos val="r"/>
      <c:layout>
        <c:manualLayout>
          <c:xMode val="edge"/>
          <c:yMode val="edge"/>
          <c:x val="0.6555446304237843"/>
          <c:y val="7.6283875963833375E-2"/>
          <c:w val="0.29458331424282685"/>
          <c:h val="0.1898833845345968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397748261265299"/>
          <c:y val="5.9985352975114939E-2"/>
          <c:w val="0.84990485564304463"/>
          <c:h val="0.74976510289155029"/>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Sheet1!$B$2:$B$6</c:f>
              <c:numCache>
                <c:formatCode>General</c:formatCode>
                <c:ptCount val="5"/>
                <c:pt idx="0">
                  <c:v>34.6</c:v>
                </c:pt>
                <c:pt idx="1">
                  <c:v>20.9</c:v>
                </c:pt>
                <c:pt idx="2">
                  <c:v>12.9</c:v>
                </c:pt>
                <c:pt idx="3">
                  <c:v>12.51</c:v>
                </c:pt>
                <c:pt idx="4">
                  <c:v>18.2</c:v>
                </c:pt>
              </c:numCache>
            </c:numRef>
          </c:val>
          <c:extLst xmlns:c16r2="http://schemas.microsoft.com/office/drawing/2015/06/chart">
            <c:ext xmlns:c16="http://schemas.microsoft.com/office/drawing/2014/chart" uri="{C3380CC4-5D6E-409C-BE32-E72D297353CC}">
              <c16:uniqueId val="{00000000-BFE3-4E5B-9CFA-905EEFE1BF4B}"/>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Sheet1!$C$2:$C$6</c:f>
              <c:numCache>
                <c:formatCode>General</c:formatCode>
                <c:ptCount val="5"/>
                <c:pt idx="0">
                  <c:v>51.4</c:v>
                </c:pt>
                <c:pt idx="1">
                  <c:v>25.1</c:v>
                </c:pt>
                <c:pt idx="2">
                  <c:v>10.7</c:v>
                </c:pt>
                <c:pt idx="3">
                  <c:v>6.8</c:v>
                </c:pt>
                <c:pt idx="4">
                  <c:v>5.4</c:v>
                </c:pt>
              </c:numCache>
            </c:numRef>
          </c:val>
          <c:extLst xmlns:c16r2="http://schemas.microsoft.com/office/drawing/2015/06/chart">
            <c:ext xmlns:c16="http://schemas.microsoft.com/office/drawing/2014/chart" uri="{C3380CC4-5D6E-409C-BE32-E72D297353CC}">
              <c16:uniqueId val="{00000001-BFE3-4E5B-9CFA-905EEFE1BF4B}"/>
            </c:ext>
          </c:extLst>
        </c:ser>
        <c:ser>
          <c:idx val="2"/>
          <c:order val="2"/>
          <c:tx>
            <c:strRef>
              <c:f>Sheet1!$D$1</c:f>
              <c:strCache>
                <c:ptCount val="1"/>
                <c:pt idx="0">
                  <c:v>Active Reservist </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Sheet1!$D$2:$D$6</c:f>
              <c:numCache>
                <c:formatCode>General</c:formatCode>
                <c:ptCount val="5"/>
                <c:pt idx="0">
                  <c:v>57.4</c:v>
                </c:pt>
                <c:pt idx="1">
                  <c:v>24.7</c:v>
                </c:pt>
                <c:pt idx="2">
                  <c:v>8.4</c:v>
                </c:pt>
                <c:pt idx="3">
                  <c:v>5.7</c:v>
                </c:pt>
                <c:pt idx="4">
                  <c:v>3.3</c:v>
                </c:pt>
              </c:numCache>
            </c:numRef>
          </c:val>
          <c:extLst xmlns:c16r2="http://schemas.microsoft.com/office/drawing/2015/06/chart">
            <c:ext xmlns:c16="http://schemas.microsoft.com/office/drawing/2014/chart" uri="{C3380CC4-5D6E-409C-BE32-E72D297353CC}">
              <c16:uniqueId val="{00000002-BFE3-4E5B-9CFA-905EEFE1BF4B}"/>
            </c:ext>
          </c:extLst>
        </c:ser>
        <c:dLbls>
          <c:showLegendKey val="0"/>
          <c:showVal val="1"/>
          <c:showCatName val="0"/>
          <c:showSerName val="0"/>
          <c:showPercent val="0"/>
          <c:showBubbleSize val="0"/>
        </c:dLbls>
        <c:gapWidth val="150"/>
        <c:axId val="855349504"/>
        <c:axId val="855348328"/>
      </c:barChart>
      <c:catAx>
        <c:axId val="855349504"/>
        <c:scaling>
          <c:orientation val="minMax"/>
        </c:scaling>
        <c:delete val="0"/>
        <c:axPos val="b"/>
        <c:numFmt formatCode="General" sourceLinked="0"/>
        <c:majorTickMark val="out"/>
        <c:minorTickMark val="none"/>
        <c:tickLblPos val="nextTo"/>
        <c:crossAx val="855348328"/>
        <c:crosses val="autoZero"/>
        <c:auto val="1"/>
        <c:lblAlgn val="ctr"/>
        <c:lblOffset val="100"/>
        <c:noMultiLvlLbl val="0"/>
      </c:catAx>
      <c:valAx>
        <c:axId val="85534832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7664041994750665E-3"/>
              <c:y val="0.35408802432133524"/>
            </c:manualLayout>
          </c:layout>
          <c:overlay val="0"/>
        </c:title>
        <c:numFmt formatCode="General" sourceLinked="1"/>
        <c:majorTickMark val="out"/>
        <c:minorTickMark val="none"/>
        <c:tickLblPos val="nextTo"/>
        <c:crossAx val="855349504"/>
        <c:crosses val="autoZero"/>
        <c:crossBetween val="between"/>
      </c:valAx>
    </c:plotArea>
    <c:legend>
      <c:legendPos val="r"/>
      <c:layout>
        <c:manualLayout>
          <c:xMode val="edge"/>
          <c:yMode val="edge"/>
          <c:x val="0.71849059492563416"/>
          <c:y val="0.10160274160565118"/>
          <c:w val="0.21632942940955899"/>
          <c:h val="0.16293160129177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732164312890501"/>
          <c:y val="7.1184651740596488E-2"/>
          <c:w val="0.85546443360560842"/>
          <c:h val="0.78060039370078738"/>
        </c:manualLayout>
      </c:layout>
      <c:barChart>
        <c:barDir val="col"/>
        <c:grouping val="clustered"/>
        <c:varyColors val="0"/>
        <c:ser>
          <c:idx val="0"/>
          <c:order val="0"/>
          <c:tx>
            <c:strRef>
              <c:f>Sheet1!$B$1</c:f>
              <c:strCache>
                <c:ptCount val="1"/>
                <c:pt idx="0">
                  <c:v>0 (1–11 months)</c:v>
                </c:pt>
              </c:strCache>
            </c:strRef>
          </c:tx>
          <c:spPr>
            <a:solidFill>
              <a:schemeClr val="accent1"/>
            </a:solidFill>
            <a:effectLst/>
          </c:spPr>
          <c:invertIfNegative val="0"/>
          <c:dLbls>
            <c:dLbl>
              <c:idx val="0"/>
              <c:layout/>
              <c:tx>
                <c:rich>
                  <a:bodyPr/>
                  <a:lstStyle/>
                  <a:p>
                    <a:r>
                      <a:rPr lang="en-US"/>
                      <a:t>53.0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34-4F21-8657-8F865352AF62}"/>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Sheet1!$B$2:$B$6</c:f>
              <c:numCache>
                <c:formatCode>General</c:formatCode>
                <c:ptCount val="5"/>
                <c:pt idx="0">
                  <c:v>53</c:v>
                </c:pt>
                <c:pt idx="1">
                  <c:v>24.3</c:v>
                </c:pt>
                <c:pt idx="2">
                  <c:v>9.9</c:v>
                </c:pt>
                <c:pt idx="3">
                  <c:v>6.9</c:v>
                </c:pt>
                <c:pt idx="4">
                  <c:v>5.9</c:v>
                </c:pt>
              </c:numCache>
            </c:numRef>
          </c:val>
          <c:extLst xmlns:c16r2="http://schemas.microsoft.com/office/drawing/2015/06/chart">
            <c:ext xmlns:c16="http://schemas.microsoft.com/office/drawing/2014/chart" uri="{C3380CC4-5D6E-409C-BE32-E72D297353CC}">
              <c16:uniqueId val="{00000001-7934-4F21-8657-8F865352AF62}"/>
            </c:ext>
          </c:extLst>
        </c:ser>
        <c:ser>
          <c:idx val="1"/>
          <c:order val="1"/>
          <c:tx>
            <c:strRef>
              <c:f>Sheet1!$C$1</c:f>
              <c:strCache>
                <c:ptCount val="1"/>
                <c:pt idx="0">
                  <c:v>1 years</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Sheet1!$C$2:$C$6</c:f>
              <c:numCache>
                <c:formatCode>General</c:formatCode>
                <c:ptCount val="5"/>
                <c:pt idx="0">
                  <c:v>46.7</c:v>
                </c:pt>
                <c:pt idx="1">
                  <c:v>20.8</c:v>
                </c:pt>
                <c:pt idx="2">
                  <c:v>9.6</c:v>
                </c:pt>
                <c:pt idx="3">
                  <c:v>9.4</c:v>
                </c:pt>
                <c:pt idx="4">
                  <c:v>13.5</c:v>
                </c:pt>
              </c:numCache>
            </c:numRef>
          </c:val>
          <c:extLst xmlns:c16r2="http://schemas.microsoft.com/office/drawing/2015/06/chart">
            <c:ext xmlns:c16="http://schemas.microsoft.com/office/drawing/2014/chart" uri="{C3380CC4-5D6E-409C-BE32-E72D297353CC}">
              <c16:uniqueId val="{00000002-7934-4F21-8657-8F865352AF62}"/>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Sheet1!$D$2:$D$6</c:f>
              <c:numCache>
                <c:formatCode>General</c:formatCode>
                <c:ptCount val="5"/>
                <c:pt idx="0">
                  <c:v>48.1</c:v>
                </c:pt>
                <c:pt idx="1">
                  <c:v>23.5</c:v>
                </c:pt>
                <c:pt idx="2">
                  <c:v>9.3000000000000007</c:v>
                </c:pt>
                <c:pt idx="3">
                  <c:v>9.3000000000000007</c:v>
                </c:pt>
                <c:pt idx="4">
                  <c:v>9.9</c:v>
                </c:pt>
              </c:numCache>
            </c:numRef>
          </c:val>
          <c:extLst xmlns:c16r2="http://schemas.microsoft.com/office/drawing/2015/06/chart">
            <c:ext xmlns:c16="http://schemas.microsoft.com/office/drawing/2014/chart" uri="{C3380CC4-5D6E-409C-BE32-E72D297353CC}">
              <c16:uniqueId val="{00000003-7934-4F21-8657-8F865352AF62}"/>
            </c:ext>
          </c:extLst>
        </c:ser>
        <c:ser>
          <c:idx val="3"/>
          <c:order val="3"/>
          <c:tx>
            <c:strRef>
              <c:f>Sheet1!$E$1</c:f>
              <c:strCache>
                <c:ptCount val="1"/>
                <c:pt idx="0">
                  <c:v>3 years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Sheet1!$E$2:$E$6</c:f>
              <c:numCache>
                <c:formatCode>General</c:formatCode>
                <c:ptCount val="5"/>
                <c:pt idx="0">
                  <c:v>42.1</c:v>
                </c:pt>
                <c:pt idx="1">
                  <c:v>24.2</c:v>
                </c:pt>
                <c:pt idx="2">
                  <c:v>13.9</c:v>
                </c:pt>
                <c:pt idx="3">
                  <c:v>8.1999999999999993</c:v>
                </c:pt>
                <c:pt idx="4">
                  <c:v>11.6</c:v>
                </c:pt>
              </c:numCache>
            </c:numRef>
          </c:val>
          <c:extLst xmlns:c16r2="http://schemas.microsoft.com/office/drawing/2015/06/chart">
            <c:ext xmlns:c16="http://schemas.microsoft.com/office/drawing/2014/chart" uri="{C3380CC4-5D6E-409C-BE32-E72D297353CC}">
              <c16:uniqueId val="{00000004-7934-4F21-8657-8F865352AF62}"/>
            </c:ext>
          </c:extLst>
        </c:ser>
        <c:ser>
          <c:idx val="4"/>
          <c:order val="4"/>
          <c:tx>
            <c:strRef>
              <c:f>Sheet1!$F$1</c:f>
              <c:strCache>
                <c:ptCount val="1"/>
                <c:pt idx="0">
                  <c:v>4 years</c:v>
                </c:pt>
              </c:strCache>
            </c:strRef>
          </c:tx>
          <c:spPr>
            <a:solidFill>
              <a:schemeClr val="accent5"/>
            </a:solidFill>
            <a:effectLst/>
          </c:spPr>
          <c:invertIfNegative val="0"/>
          <c:dLbls>
            <c:dLbl>
              <c:idx val="0"/>
              <c:layout/>
              <c:tx>
                <c:rich>
                  <a:bodyPr/>
                  <a:lstStyle/>
                  <a:p>
                    <a:r>
                      <a:rPr lang="en-US"/>
                      <a:t>41.3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34-4F21-8657-8F865352AF62}"/>
                </c:ext>
                <c:ext xmlns:c15="http://schemas.microsoft.com/office/drawing/2012/chart" uri="{CE6537A1-D6FC-4f65-9D91-7224C49458BB}">
                  <c15:layout/>
                </c:ext>
              </c:extLst>
            </c:dLbl>
            <c:dLbl>
              <c:idx val="2"/>
              <c:layout/>
              <c:tx>
                <c:rich>
                  <a:bodyPr/>
                  <a:lstStyle/>
                  <a:p>
                    <a:r>
                      <a:rPr lang="en-US"/>
                      <a:t>13.0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34-4F21-8657-8F865352AF62}"/>
                </c:ext>
                <c:ext xmlns:c15="http://schemas.microsoft.com/office/drawing/2012/chart" uri="{CE6537A1-D6FC-4f65-9D91-7224C49458BB}">
                  <c15:layout/>
                </c:ext>
              </c:extLst>
            </c:dLbl>
            <c:dLbl>
              <c:idx val="3"/>
              <c:layout/>
              <c:tx>
                <c:rich>
                  <a:bodyPr/>
                  <a:lstStyle/>
                  <a:p>
                    <a:r>
                      <a:rPr lang="en-US"/>
                      <a:t>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34-4F21-8657-8F865352AF62}"/>
                </c:ext>
                <c:ext xmlns:c15="http://schemas.microsoft.com/office/drawing/2012/chart" uri="{CE6537A1-D6FC-4f65-9D91-7224C49458BB}">
                  <c15:layout/>
                </c:ext>
              </c:extLst>
            </c:dLbl>
            <c:dLbl>
              <c:idx val="4"/>
              <c:layout/>
              <c:tx>
                <c:rich>
                  <a:bodyPr/>
                  <a:lstStyle/>
                  <a:p>
                    <a:r>
                      <a:rPr lang="en-US"/>
                      <a:t>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34-4F21-8657-8F865352AF62}"/>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Sheet1!$F$2:$F$6</c:f>
              <c:numCache>
                <c:formatCode>General</c:formatCode>
                <c:ptCount val="5"/>
                <c:pt idx="0">
                  <c:v>41.26</c:v>
                </c:pt>
                <c:pt idx="1">
                  <c:v>26.7</c:v>
                </c:pt>
                <c:pt idx="2">
                  <c:v>13.04</c:v>
                </c:pt>
                <c:pt idx="3">
                  <c:v>9.73</c:v>
                </c:pt>
                <c:pt idx="4">
                  <c:v>9.27</c:v>
                </c:pt>
              </c:numCache>
            </c:numRef>
          </c:val>
          <c:extLst xmlns:c16r2="http://schemas.microsoft.com/office/drawing/2015/06/chart">
            <c:ext xmlns:c16="http://schemas.microsoft.com/office/drawing/2014/chart" uri="{C3380CC4-5D6E-409C-BE32-E72D297353CC}">
              <c16:uniqueId val="{00000009-7934-4F21-8657-8F865352AF62}"/>
            </c:ext>
          </c:extLst>
        </c:ser>
        <c:ser>
          <c:idx val="5"/>
          <c:order val="5"/>
          <c:tx>
            <c:strRef>
              <c:f>Sheet1!$G$1</c:f>
              <c:strCache>
                <c:ptCount val="1"/>
                <c:pt idx="0">
                  <c:v>5 years</c:v>
                </c:pt>
              </c:strCache>
            </c:strRef>
          </c:tx>
          <c:spPr>
            <a:solidFill>
              <a:schemeClr val="accent6"/>
            </a:solidFill>
            <a:effectLst/>
          </c:spPr>
          <c:invertIfNegative val="0"/>
          <c:dLbls>
            <c:dLbl>
              <c:idx val="4"/>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934-4F21-8657-8F865352AF62}"/>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Minimal
(0–4)</c:v>
                </c:pt>
                <c:pt idx="1">
                  <c:v>Mild
(5–9)</c:v>
                </c:pt>
                <c:pt idx="2">
                  <c:v>Moderate
(10–14)</c:v>
                </c:pt>
                <c:pt idx="3">
                  <c:v>Moderately severe
(15–19)</c:v>
                </c:pt>
                <c:pt idx="4">
                  <c:v>Severe
(20–27)</c:v>
                </c:pt>
              </c:strCache>
            </c:strRef>
          </c:cat>
          <c:val>
            <c:numRef>
              <c:f>Sheet1!$G$2:$G$6</c:f>
              <c:numCache>
                <c:formatCode>General</c:formatCode>
                <c:ptCount val="5"/>
                <c:pt idx="0">
                  <c:v>47.8</c:v>
                </c:pt>
                <c:pt idx="1">
                  <c:v>20.2</c:v>
                </c:pt>
                <c:pt idx="2">
                  <c:v>10.6</c:v>
                </c:pt>
                <c:pt idx="3">
                  <c:v>11.4</c:v>
                </c:pt>
                <c:pt idx="4">
                  <c:v>10</c:v>
                </c:pt>
              </c:numCache>
            </c:numRef>
          </c:val>
          <c:extLst xmlns:c16r2="http://schemas.microsoft.com/office/drawing/2015/06/chart">
            <c:ext xmlns:c16="http://schemas.microsoft.com/office/drawing/2014/chart" uri="{C3380CC4-5D6E-409C-BE32-E72D297353CC}">
              <c16:uniqueId val="{0000000B-7934-4F21-8657-8F865352AF62}"/>
            </c:ext>
          </c:extLst>
        </c:ser>
        <c:dLbls>
          <c:showLegendKey val="0"/>
          <c:showVal val="0"/>
          <c:showCatName val="0"/>
          <c:showSerName val="0"/>
          <c:showPercent val="0"/>
          <c:showBubbleSize val="0"/>
        </c:dLbls>
        <c:gapWidth val="150"/>
        <c:axId val="855349112"/>
        <c:axId val="855350288"/>
      </c:barChart>
      <c:catAx>
        <c:axId val="855349112"/>
        <c:scaling>
          <c:orientation val="minMax"/>
        </c:scaling>
        <c:delete val="0"/>
        <c:axPos val="b"/>
        <c:numFmt formatCode="General" sourceLinked="0"/>
        <c:majorTickMark val="out"/>
        <c:minorTickMark val="none"/>
        <c:tickLblPos val="nextTo"/>
        <c:crossAx val="855350288"/>
        <c:crosses val="autoZero"/>
        <c:auto val="1"/>
        <c:lblAlgn val="ctr"/>
        <c:lblOffset val="100"/>
        <c:noMultiLvlLbl val="0"/>
      </c:catAx>
      <c:valAx>
        <c:axId val="85535028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2.6013788355011844E-3"/>
              <c:y val="0.33194502822378519"/>
            </c:manualLayout>
          </c:layout>
          <c:overlay val="0"/>
        </c:title>
        <c:numFmt formatCode="General" sourceLinked="1"/>
        <c:majorTickMark val="out"/>
        <c:minorTickMark val="none"/>
        <c:tickLblPos val="nextTo"/>
        <c:crossAx val="855349112"/>
        <c:crosses val="autoZero"/>
        <c:crossBetween val="between"/>
      </c:valAx>
    </c:plotArea>
    <c:legend>
      <c:legendPos val="r"/>
      <c:layout>
        <c:manualLayout>
          <c:xMode val="edge"/>
          <c:yMode val="edge"/>
          <c:x val="0.64307289074841556"/>
          <c:y val="9.5606554518763445E-2"/>
          <c:w val="0.26871777333712898"/>
          <c:h val="0.2827663844768070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58038517269658"/>
          <c:y val="6.4780183727034119E-2"/>
          <c:w val="0.86412894290481856"/>
          <c:h val="0.80623942840478269"/>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dLbl>
              <c:idx val="1"/>
              <c:layout/>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29-4BCC-8EAA-B7E6D024FA9C}"/>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AngeriIntensity</c:v>
                </c:pt>
                <c:pt idx="2">
                  <c:v>Anger duration</c:v>
                </c:pt>
                <c:pt idx="3">
                  <c:v>Antagonism towards others</c:v>
                </c:pt>
                <c:pt idx="4">
                  <c:v>Social relations</c:v>
                </c:pt>
              </c:strCache>
            </c:strRef>
          </c:cat>
          <c:val>
            <c:numRef>
              <c:f>Sheet1!$B$2:$B$6</c:f>
              <c:numCache>
                <c:formatCode>General</c:formatCode>
                <c:ptCount val="5"/>
                <c:pt idx="0">
                  <c:v>2.4</c:v>
                </c:pt>
                <c:pt idx="1">
                  <c:v>2</c:v>
                </c:pt>
                <c:pt idx="2">
                  <c:v>1.9</c:v>
                </c:pt>
                <c:pt idx="3">
                  <c:v>1.7</c:v>
                </c:pt>
                <c:pt idx="4">
                  <c:v>1.8</c:v>
                </c:pt>
              </c:numCache>
            </c:numRef>
          </c:val>
          <c:extLst xmlns:c16r2="http://schemas.microsoft.com/office/drawing/2015/06/chart">
            <c:ext xmlns:c16="http://schemas.microsoft.com/office/drawing/2014/chart" uri="{C3380CC4-5D6E-409C-BE32-E72D297353CC}">
              <c16:uniqueId val="{00000001-4329-4BCC-8EAA-B7E6D024FA9C}"/>
            </c:ext>
          </c:extLst>
        </c:ser>
        <c:ser>
          <c:idx val="1"/>
          <c:order val="1"/>
          <c:tx>
            <c:strRef>
              <c:f>Sheet1!$C$1</c:f>
              <c:strCache>
                <c:ptCount val="1"/>
                <c:pt idx="0">
                  <c:v>2015 Regular ADF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AngeriIntensity</c:v>
                </c:pt>
                <c:pt idx="2">
                  <c:v>Anger duration</c:v>
                </c:pt>
                <c:pt idx="3">
                  <c:v>Antagonism towards others</c:v>
                </c:pt>
                <c:pt idx="4">
                  <c:v>Social relations</c:v>
                </c:pt>
              </c:strCache>
            </c:strRef>
          </c:cat>
          <c:val>
            <c:numRef>
              <c:f>Sheet1!$C$2:$C$6</c:f>
              <c:numCache>
                <c:formatCode>General</c:formatCode>
                <c:ptCount val="5"/>
                <c:pt idx="0">
                  <c:v>2.2000000000000002</c:v>
                </c:pt>
                <c:pt idx="1">
                  <c:v>1.7</c:v>
                </c:pt>
                <c:pt idx="2">
                  <c:v>1.5</c:v>
                </c:pt>
                <c:pt idx="3">
                  <c:v>1.4</c:v>
                </c:pt>
                <c:pt idx="4">
                  <c:v>1.5</c:v>
                </c:pt>
              </c:numCache>
            </c:numRef>
          </c:val>
          <c:extLst xmlns:c16r2="http://schemas.microsoft.com/office/drawing/2015/06/chart">
            <c:ext xmlns:c16="http://schemas.microsoft.com/office/drawing/2014/chart" uri="{C3380CC4-5D6E-409C-BE32-E72D297353CC}">
              <c16:uniqueId val="{00000002-4329-4BCC-8EAA-B7E6D024FA9C}"/>
            </c:ext>
          </c:extLst>
        </c:ser>
        <c:ser>
          <c:idx val="2"/>
          <c:order val="2"/>
          <c:tx>
            <c:strRef>
              <c:f>Sheet1!$D$1</c:f>
              <c:strCache>
                <c:ptCount val="1"/>
                <c:pt idx="0">
                  <c:v>2010 Regular ADF </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AngeriIntensity</c:v>
                </c:pt>
                <c:pt idx="2">
                  <c:v>Anger duration</c:v>
                </c:pt>
                <c:pt idx="3">
                  <c:v>Antagonism towards others</c:v>
                </c:pt>
                <c:pt idx="4">
                  <c:v>Social relations</c:v>
                </c:pt>
              </c:strCache>
            </c:strRef>
          </c:cat>
          <c:val>
            <c:numRef>
              <c:f>Sheet1!$D$2:$D$6</c:f>
              <c:numCache>
                <c:formatCode>General</c:formatCode>
                <c:ptCount val="5"/>
                <c:pt idx="0">
                  <c:v>1.9</c:v>
                </c:pt>
                <c:pt idx="1">
                  <c:v>1.4</c:v>
                </c:pt>
                <c:pt idx="2">
                  <c:v>1.3</c:v>
                </c:pt>
                <c:pt idx="3">
                  <c:v>1.3</c:v>
                </c:pt>
                <c:pt idx="4">
                  <c:v>0.2</c:v>
                </c:pt>
              </c:numCache>
            </c:numRef>
          </c:val>
          <c:extLst xmlns:c16r2="http://schemas.microsoft.com/office/drawing/2015/06/chart">
            <c:ext xmlns:c16="http://schemas.microsoft.com/office/drawing/2014/chart" uri="{C3380CC4-5D6E-409C-BE32-E72D297353CC}">
              <c16:uniqueId val="{00000003-4329-4BCC-8EAA-B7E6D024FA9C}"/>
            </c:ext>
          </c:extLst>
        </c:ser>
        <c:dLbls>
          <c:showLegendKey val="0"/>
          <c:showVal val="0"/>
          <c:showCatName val="0"/>
          <c:showSerName val="0"/>
          <c:showPercent val="0"/>
          <c:showBubbleSize val="0"/>
        </c:dLbls>
        <c:gapWidth val="150"/>
        <c:axId val="660058992"/>
        <c:axId val="660058208"/>
      </c:barChart>
      <c:catAx>
        <c:axId val="660058992"/>
        <c:scaling>
          <c:orientation val="minMax"/>
        </c:scaling>
        <c:delete val="0"/>
        <c:axPos val="b"/>
        <c:numFmt formatCode="General" sourceLinked="0"/>
        <c:majorTickMark val="out"/>
        <c:minorTickMark val="none"/>
        <c:tickLblPos val="nextTo"/>
        <c:crossAx val="660058208"/>
        <c:crosses val="autoZero"/>
        <c:auto val="1"/>
        <c:lblAlgn val="ctr"/>
        <c:lblOffset val="100"/>
        <c:noMultiLvlLbl val="0"/>
      </c:catAx>
      <c:valAx>
        <c:axId val="66005820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Mean score</a:t>
                </a:r>
              </a:p>
            </c:rich>
          </c:tx>
          <c:layout>
            <c:manualLayout>
              <c:xMode val="edge"/>
              <c:yMode val="edge"/>
              <c:x val="6.9969424409764016E-4"/>
              <c:y val="0.34822220217336525"/>
            </c:manualLayout>
          </c:layout>
          <c:overlay val="0"/>
        </c:title>
        <c:numFmt formatCode="General" sourceLinked="1"/>
        <c:majorTickMark val="out"/>
        <c:minorTickMark val="none"/>
        <c:tickLblPos val="nextTo"/>
        <c:crossAx val="660058992"/>
        <c:crosses val="autoZero"/>
        <c:crossBetween val="between"/>
      </c:valAx>
    </c:plotArea>
    <c:legend>
      <c:legendPos val="r"/>
      <c:layout>
        <c:manualLayout>
          <c:xMode val="edge"/>
          <c:yMode val="edge"/>
          <c:x val="0.68805582179896985"/>
          <c:y val="8.2095091728705785E-2"/>
          <c:w val="0.24298937912881"/>
          <c:h val="0.1531137702943489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98096439177136"/>
          <c:y val="6.7447756713695239E-2"/>
          <c:w val="0.83791707761375822"/>
          <c:h val="0.59692613203408229"/>
        </c:manualLayout>
      </c:layout>
      <c:barChart>
        <c:barDir val="col"/>
        <c:grouping val="clustered"/>
        <c:varyColors val="0"/>
        <c:ser>
          <c:idx val="0"/>
          <c:order val="0"/>
          <c:tx>
            <c:strRef>
              <c:f>Sheet1!$B$1</c:f>
              <c:strCache>
                <c:ptCount val="1"/>
                <c:pt idx="0">
                  <c:v>Ever deployed</c:v>
                </c:pt>
              </c:strCache>
            </c:strRef>
          </c:tx>
          <c:spPr>
            <a:solidFill>
              <a:schemeClr val="accent1"/>
            </a:solidFill>
            <a:effectLst/>
          </c:spPr>
          <c:invertIfNegative val="0"/>
          <c:dLbls>
            <c:dLbl>
              <c:idx val="5"/>
              <c:layout/>
              <c:tx>
                <c:rich>
                  <a:bodyPr/>
                  <a:lstStyle/>
                  <a:p>
                    <a:r>
                      <a:rPr lang="en-US"/>
                      <a:t>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66-4767-8AAF-35FA33F0BF79}"/>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16.600000000000001</c:v>
                </c:pt>
                <c:pt idx="1">
                  <c:v>5.5</c:v>
                </c:pt>
                <c:pt idx="2">
                  <c:v>12.7</c:v>
                </c:pt>
                <c:pt idx="3">
                  <c:v>11.4</c:v>
                </c:pt>
                <c:pt idx="4">
                  <c:v>8.4</c:v>
                </c:pt>
                <c:pt idx="5">
                  <c:v>4</c:v>
                </c:pt>
                <c:pt idx="6">
                  <c:v>5.0999999999999996</c:v>
                </c:pt>
                <c:pt idx="7">
                  <c:v>20.100000000000001</c:v>
                </c:pt>
                <c:pt idx="8">
                  <c:v>39.1</c:v>
                </c:pt>
              </c:numCache>
            </c:numRef>
          </c:val>
          <c:extLst xmlns:c16r2="http://schemas.microsoft.com/office/drawing/2015/06/chart">
            <c:ext xmlns:c16="http://schemas.microsoft.com/office/drawing/2014/chart" uri="{C3380CC4-5D6E-409C-BE32-E72D297353CC}">
              <c16:uniqueId val="{00000001-CC66-4767-8AAF-35FA33F0BF79}"/>
            </c:ext>
          </c:extLst>
        </c:ser>
        <c:ser>
          <c:idx val="1"/>
          <c:order val="1"/>
          <c:tx>
            <c:strRef>
              <c:f>Sheet1!$C$1</c:f>
              <c:strCache>
                <c:ptCount val="1"/>
                <c:pt idx="0">
                  <c:v>Never deployed</c:v>
                </c:pt>
              </c:strCache>
            </c:strRef>
          </c:tx>
          <c:spPr>
            <a:solidFill>
              <a:schemeClr val="accent2"/>
            </a:solidFill>
            <a:effectLst/>
          </c:spPr>
          <c:invertIfNegative val="0"/>
          <c:dLbls>
            <c:dLbl>
              <c:idx val="5"/>
              <c:layout/>
              <c:tx>
                <c:rich>
                  <a:bodyPr/>
                  <a:lstStyle/>
                  <a:p>
                    <a:r>
                      <a:rPr lang="en-US"/>
                      <a:t>2.6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66-4767-8AAF-35FA33F0BF79}"/>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14.1</c:v>
                </c:pt>
                <c:pt idx="1">
                  <c:v>5.0999999999999996</c:v>
                </c:pt>
                <c:pt idx="2">
                  <c:v>9.3000000000000007</c:v>
                </c:pt>
                <c:pt idx="3">
                  <c:v>4.7</c:v>
                </c:pt>
                <c:pt idx="4">
                  <c:v>5.7</c:v>
                </c:pt>
                <c:pt idx="5">
                  <c:v>2.56</c:v>
                </c:pt>
                <c:pt idx="6">
                  <c:v>0.6</c:v>
                </c:pt>
                <c:pt idx="7">
                  <c:v>3.5</c:v>
                </c:pt>
                <c:pt idx="8">
                  <c:v>25.1</c:v>
                </c:pt>
              </c:numCache>
            </c:numRef>
          </c:val>
          <c:extLst xmlns:c16r2="http://schemas.microsoft.com/office/drawing/2015/06/chart">
            <c:ext xmlns:c16="http://schemas.microsoft.com/office/drawing/2014/chart" uri="{C3380CC4-5D6E-409C-BE32-E72D297353CC}">
              <c16:uniqueId val="{00000003-CC66-4767-8AAF-35FA33F0BF79}"/>
            </c:ext>
          </c:extLst>
        </c:ser>
        <c:dLbls>
          <c:showLegendKey val="0"/>
          <c:showVal val="0"/>
          <c:showCatName val="0"/>
          <c:showSerName val="0"/>
          <c:showPercent val="0"/>
          <c:showBubbleSize val="0"/>
        </c:dLbls>
        <c:gapWidth val="150"/>
        <c:axId val="440857480"/>
        <c:axId val="440855128"/>
      </c:barChart>
      <c:catAx>
        <c:axId val="440857480"/>
        <c:scaling>
          <c:orientation val="minMax"/>
        </c:scaling>
        <c:delete val="0"/>
        <c:axPos val="b"/>
        <c:numFmt formatCode="General" sourceLinked="0"/>
        <c:majorTickMark val="out"/>
        <c:minorTickMark val="none"/>
        <c:tickLblPos val="nextTo"/>
        <c:crossAx val="440855128"/>
        <c:crosses val="autoZero"/>
        <c:auto val="1"/>
        <c:lblAlgn val="ctr"/>
        <c:lblOffset val="100"/>
        <c:noMultiLvlLbl val="0"/>
      </c:catAx>
      <c:valAx>
        <c:axId val="440855128"/>
        <c:scaling>
          <c:orientation val="minMax"/>
        </c:scaling>
        <c:delete val="0"/>
        <c:axPos val="l"/>
        <c:majorGridlines>
          <c:spPr>
            <a:ln>
              <a:solidFill>
                <a:sysClr val="window" lastClr="FFFFFF">
                  <a:lumMod val="75000"/>
                  <a:alpha val="26000"/>
                </a:sysClr>
              </a:solidFill>
            </a:ln>
          </c:spPr>
        </c:majorGridlines>
        <c:title>
          <c:tx>
            <c:rich>
              <a:bodyPr/>
              <a:lstStyle/>
              <a:p>
                <a:pPr>
                  <a:defRPr/>
                </a:pPr>
                <a:r>
                  <a:rPr lang="en-GB"/>
                  <a:t>Percentage</a:t>
                </a:r>
              </a:p>
            </c:rich>
          </c:tx>
          <c:layout>
            <c:manualLayout>
              <c:xMode val="edge"/>
              <c:yMode val="edge"/>
              <c:x val="1.2599287512058939E-2"/>
              <c:y val="0.23427807449001847"/>
            </c:manualLayout>
          </c:layout>
          <c:overlay val="0"/>
        </c:title>
        <c:numFmt formatCode="General" sourceLinked="1"/>
        <c:majorTickMark val="out"/>
        <c:minorTickMark val="none"/>
        <c:tickLblPos val="nextTo"/>
        <c:crossAx val="440857480"/>
        <c:crosses val="autoZero"/>
        <c:crossBetween val="between"/>
      </c:valAx>
    </c:plotArea>
    <c:legend>
      <c:legendPos val="r"/>
      <c:layout>
        <c:manualLayout>
          <c:xMode val="edge"/>
          <c:yMode val="edge"/>
          <c:x val="0.58858639545056868"/>
          <c:y val="9.4598717682283853E-2"/>
          <c:w val="0.20519372450106985"/>
          <c:h val="0.1045059690119380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8906544361466883E-2"/>
          <c:y val="6.5372557596967043E-2"/>
          <c:w val="0.86456614261664244"/>
          <c:h val="0.8021959755030621"/>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Sheet1!$B$2:$B$6</c:f>
              <c:numCache>
                <c:formatCode>General</c:formatCode>
                <c:ptCount val="5"/>
                <c:pt idx="0">
                  <c:v>2.7</c:v>
                </c:pt>
                <c:pt idx="1">
                  <c:v>2.2999999999999998</c:v>
                </c:pt>
                <c:pt idx="2">
                  <c:v>2.2000000000000002</c:v>
                </c:pt>
                <c:pt idx="3">
                  <c:v>1.9</c:v>
                </c:pt>
                <c:pt idx="4">
                  <c:v>2.1</c:v>
                </c:pt>
              </c:numCache>
            </c:numRef>
          </c:val>
          <c:extLst xmlns:c16r2="http://schemas.microsoft.com/office/drawing/2015/06/chart">
            <c:ext xmlns:c16="http://schemas.microsoft.com/office/drawing/2014/chart" uri="{C3380CC4-5D6E-409C-BE32-E72D297353CC}">
              <c16:uniqueId val="{00000000-39A9-44F6-82A6-C1085FF84E71}"/>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Sheet1!$C$2:$C$6</c:f>
              <c:numCache>
                <c:formatCode>General</c:formatCode>
                <c:ptCount val="5"/>
                <c:pt idx="0">
                  <c:v>2.4</c:v>
                </c:pt>
                <c:pt idx="1">
                  <c:v>1.9</c:v>
                </c:pt>
                <c:pt idx="2">
                  <c:v>1.8</c:v>
                </c:pt>
                <c:pt idx="3">
                  <c:v>1.6</c:v>
                </c:pt>
                <c:pt idx="4">
                  <c:v>1.7</c:v>
                </c:pt>
              </c:numCache>
            </c:numRef>
          </c:val>
          <c:extLst xmlns:c16r2="http://schemas.microsoft.com/office/drawing/2015/06/chart">
            <c:ext xmlns:c16="http://schemas.microsoft.com/office/drawing/2014/chart" uri="{C3380CC4-5D6E-409C-BE32-E72D297353CC}">
              <c16:uniqueId val="{00000001-39A9-44F6-82A6-C1085FF84E71}"/>
            </c:ext>
          </c:extLst>
        </c:ser>
        <c:ser>
          <c:idx val="2"/>
          <c:order val="2"/>
          <c:tx>
            <c:strRef>
              <c:f>Sheet1!$D$1</c:f>
              <c:strCache>
                <c:ptCount val="1"/>
                <c:pt idx="0">
                  <c:v>Active Reservist </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Sheet1!$D$2:$D$6</c:f>
              <c:numCache>
                <c:formatCode>General</c:formatCode>
                <c:ptCount val="5"/>
                <c:pt idx="0">
                  <c:v>2.1</c:v>
                </c:pt>
                <c:pt idx="1">
                  <c:v>1.7</c:v>
                </c:pt>
                <c:pt idx="2">
                  <c:v>1.6</c:v>
                </c:pt>
                <c:pt idx="3">
                  <c:v>1.4</c:v>
                </c:pt>
                <c:pt idx="4">
                  <c:v>1.5</c:v>
                </c:pt>
              </c:numCache>
            </c:numRef>
          </c:val>
          <c:extLst xmlns:c16r2="http://schemas.microsoft.com/office/drawing/2015/06/chart">
            <c:ext xmlns:c16="http://schemas.microsoft.com/office/drawing/2014/chart" uri="{C3380CC4-5D6E-409C-BE32-E72D297353CC}">
              <c16:uniqueId val="{00000002-39A9-44F6-82A6-C1085FF84E71}"/>
            </c:ext>
          </c:extLst>
        </c:ser>
        <c:dLbls>
          <c:showLegendKey val="0"/>
          <c:showVal val="1"/>
          <c:showCatName val="0"/>
          <c:showSerName val="0"/>
          <c:showPercent val="0"/>
          <c:showBubbleSize val="0"/>
        </c:dLbls>
        <c:gapWidth val="150"/>
        <c:axId val="660051544"/>
        <c:axId val="660055072"/>
      </c:barChart>
      <c:catAx>
        <c:axId val="660051544"/>
        <c:scaling>
          <c:orientation val="minMax"/>
        </c:scaling>
        <c:delete val="0"/>
        <c:axPos val="b"/>
        <c:numFmt formatCode="General" sourceLinked="0"/>
        <c:majorTickMark val="out"/>
        <c:minorTickMark val="none"/>
        <c:tickLblPos val="nextTo"/>
        <c:crossAx val="660055072"/>
        <c:crosses val="autoZero"/>
        <c:auto val="1"/>
        <c:lblAlgn val="ctr"/>
        <c:lblOffset val="100"/>
        <c:noMultiLvlLbl val="0"/>
      </c:catAx>
      <c:valAx>
        <c:axId val="66005507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Mean score</a:t>
                </a:r>
              </a:p>
            </c:rich>
          </c:tx>
          <c:layout>
            <c:manualLayout>
              <c:xMode val="edge"/>
              <c:yMode val="edge"/>
              <c:x val="2.3462905613561313E-3"/>
              <c:y val="0.33937692300513006"/>
            </c:manualLayout>
          </c:layout>
          <c:overlay val="0"/>
        </c:title>
        <c:numFmt formatCode="General" sourceLinked="1"/>
        <c:majorTickMark val="out"/>
        <c:minorTickMark val="none"/>
        <c:tickLblPos val="nextTo"/>
        <c:crossAx val="660051544"/>
        <c:crosses val="autoZero"/>
        <c:crossBetween val="between"/>
      </c:valAx>
    </c:plotArea>
    <c:legend>
      <c:legendPos val="r"/>
      <c:layout>
        <c:manualLayout>
          <c:xMode val="edge"/>
          <c:yMode val="edge"/>
          <c:x val="0.57176049868766399"/>
          <c:y val="3.7919218431029453E-2"/>
          <c:w val="0.215535013766112"/>
          <c:h val="0.162522965879265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97930960396738"/>
          <c:y val="0.10972682199585609"/>
          <c:w val="0.84466318526115225"/>
          <c:h val="0.76285433070866149"/>
        </c:manualLayout>
      </c:layout>
      <c:barChart>
        <c:barDir val="col"/>
        <c:grouping val="clustered"/>
        <c:varyColors val="0"/>
        <c:ser>
          <c:idx val="0"/>
          <c:order val="0"/>
          <c:tx>
            <c:strRef>
              <c:f>Sheet1!$B$1</c:f>
              <c:strCache>
                <c:ptCount val="1"/>
                <c:pt idx="0">
                  <c:v>0 (1–11 months)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Sheet1!$B$2:$B$6</c:f>
              <c:numCache>
                <c:formatCode>General</c:formatCode>
                <c:ptCount val="5"/>
                <c:pt idx="0">
                  <c:v>2.2000000000000002</c:v>
                </c:pt>
                <c:pt idx="1">
                  <c:v>1.7</c:v>
                </c:pt>
                <c:pt idx="2">
                  <c:v>1.7</c:v>
                </c:pt>
                <c:pt idx="3">
                  <c:v>1.5</c:v>
                </c:pt>
                <c:pt idx="4">
                  <c:v>1.6</c:v>
                </c:pt>
              </c:numCache>
            </c:numRef>
          </c:val>
          <c:extLst xmlns:c16r2="http://schemas.microsoft.com/office/drawing/2015/06/chart">
            <c:ext xmlns:c16="http://schemas.microsoft.com/office/drawing/2014/chart" uri="{C3380CC4-5D6E-409C-BE32-E72D297353CC}">
              <c16:uniqueId val="{00000000-C6AE-4F48-90D9-6E9F00AB9122}"/>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Sheet1!$C$2:$C$6</c:f>
              <c:numCache>
                <c:formatCode>General</c:formatCode>
                <c:ptCount val="5"/>
                <c:pt idx="0">
                  <c:v>2.4</c:v>
                </c:pt>
                <c:pt idx="1">
                  <c:v>2</c:v>
                </c:pt>
                <c:pt idx="2">
                  <c:v>1.9</c:v>
                </c:pt>
                <c:pt idx="3">
                  <c:v>1.7</c:v>
                </c:pt>
                <c:pt idx="4">
                  <c:v>1.8</c:v>
                </c:pt>
              </c:numCache>
            </c:numRef>
          </c:val>
          <c:extLst xmlns:c16r2="http://schemas.microsoft.com/office/drawing/2015/06/chart">
            <c:ext xmlns:c16="http://schemas.microsoft.com/office/drawing/2014/chart" uri="{C3380CC4-5D6E-409C-BE32-E72D297353CC}">
              <c16:uniqueId val="{00000001-C6AE-4F48-90D9-6E9F00AB9122}"/>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Sheet1!$D$2:$D$6</c:f>
              <c:numCache>
                <c:formatCode>General</c:formatCode>
                <c:ptCount val="5"/>
                <c:pt idx="0">
                  <c:v>2.4</c:v>
                </c:pt>
                <c:pt idx="1">
                  <c:v>1.9</c:v>
                </c:pt>
                <c:pt idx="2">
                  <c:v>1.9</c:v>
                </c:pt>
                <c:pt idx="3">
                  <c:v>1.7</c:v>
                </c:pt>
                <c:pt idx="4">
                  <c:v>1.8</c:v>
                </c:pt>
              </c:numCache>
            </c:numRef>
          </c:val>
          <c:extLst xmlns:c16r2="http://schemas.microsoft.com/office/drawing/2015/06/chart">
            <c:ext xmlns:c16="http://schemas.microsoft.com/office/drawing/2014/chart" uri="{C3380CC4-5D6E-409C-BE32-E72D297353CC}">
              <c16:uniqueId val="{00000002-C6AE-4F48-90D9-6E9F00AB9122}"/>
            </c:ext>
          </c:extLst>
        </c:ser>
        <c:ser>
          <c:idx val="3"/>
          <c:order val="3"/>
          <c:tx>
            <c:strRef>
              <c:f>Sheet1!$E$1</c:f>
              <c:strCache>
                <c:ptCount val="1"/>
                <c:pt idx="0">
                  <c:v>3 years</c:v>
                </c:pt>
              </c:strCache>
            </c:strRef>
          </c:tx>
          <c:spPr>
            <a:solidFill>
              <a:schemeClr val="accent4"/>
            </a:solidFill>
            <a:effectLst/>
          </c:spPr>
          <c:invertIfNegative val="0"/>
          <c:dLbls>
            <c:dLbl>
              <c:idx val="1"/>
              <c:layout/>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AE-4F48-90D9-6E9F00AB9122}"/>
                </c:ext>
                <c:ext xmlns:c15="http://schemas.microsoft.com/office/drawing/2012/chart" uri="{CE6537A1-D6FC-4f65-9D91-7224C49458BB}">
                  <c15:layout/>
                </c:ext>
              </c:extLst>
            </c:dLbl>
            <c:dLbl>
              <c:idx val="2"/>
              <c:layout/>
              <c:tx>
                <c:rich>
                  <a:bodyPr/>
                  <a:lstStyle/>
                  <a:p>
                    <a:r>
                      <a:rPr lang="en-US"/>
                      <a:t>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AE-4F48-90D9-6E9F00AB9122}"/>
                </c:ext>
                <c:ext xmlns:c15="http://schemas.microsoft.com/office/drawing/2012/chart" uri="{CE6537A1-D6FC-4f65-9D91-7224C49458BB}">
                  <c15:layout/>
                </c:ext>
              </c:extLst>
            </c:dLbl>
            <c:dLbl>
              <c:idx val="3"/>
              <c:layout/>
              <c:tx>
                <c:rich>
                  <a:bodyPr/>
                  <a:lstStyle/>
                  <a:p>
                    <a:r>
                      <a:rPr lang="en-US"/>
                      <a:t>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AE-4F48-90D9-6E9F00AB9122}"/>
                </c:ext>
                <c:ext xmlns:c15="http://schemas.microsoft.com/office/drawing/2012/chart" uri="{CE6537A1-D6FC-4f65-9D91-7224C49458BB}">
                  <c15:layout/>
                </c:ext>
              </c:extLst>
            </c:dLbl>
            <c:dLbl>
              <c:idx val="4"/>
              <c:layout/>
              <c:tx>
                <c:rich>
                  <a:bodyPr/>
                  <a:lstStyle/>
                  <a:p>
                    <a:r>
                      <a:rPr lang="en-US"/>
                      <a:t>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AE-4F48-90D9-6E9F00AB9122}"/>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Sheet1!$E$2:$E$6</c:f>
              <c:numCache>
                <c:formatCode>General</c:formatCode>
                <c:ptCount val="5"/>
                <c:pt idx="0">
                  <c:v>2.5</c:v>
                </c:pt>
                <c:pt idx="1">
                  <c:v>2.08</c:v>
                </c:pt>
                <c:pt idx="2">
                  <c:v>1.94</c:v>
                </c:pt>
                <c:pt idx="3">
                  <c:v>1.77</c:v>
                </c:pt>
                <c:pt idx="4">
                  <c:v>1.88</c:v>
                </c:pt>
              </c:numCache>
            </c:numRef>
          </c:val>
          <c:extLst xmlns:c16r2="http://schemas.microsoft.com/office/drawing/2015/06/chart">
            <c:ext xmlns:c16="http://schemas.microsoft.com/office/drawing/2014/chart" uri="{C3380CC4-5D6E-409C-BE32-E72D297353CC}">
              <c16:uniqueId val="{00000007-C6AE-4F48-90D9-6E9F00AB9122}"/>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Sheet1!$F$2:$F$6</c:f>
              <c:numCache>
                <c:formatCode>General</c:formatCode>
                <c:ptCount val="5"/>
                <c:pt idx="0">
                  <c:v>2.5</c:v>
                </c:pt>
                <c:pt idx="1">
                  <c:v>2.1</c:v>
                </c:pt>
                <c:pt idx="2">
                  <c:v>1.9</c:v>
                </c:pt>
                <c:pt idx="3">
                  <c:v>1.7</c:v>
                </c:pt>
                <c:pt idx="4">
                  <c:v>1.8</c:v>
                </c:pt>
              </c:numCache>
            </c:numRef>
          </c:val>
          <c:extLst xmlns:c16r2="http://schemas.microsoft.com/office/drawing/2015/06/chart">
            <c:ext xmlns:c16="http://schemas.microsoft.com/office/drawing/2014/chart" uri="{C3380CC4-5D6E-409C-BE32-E72D297353CC}">
              <c16:uniqueId val="{00000008-C6AE-4F48-90D9-6E9F00AB9122}"/>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Anger frequency</c:v>
                </c:pt>
                <c:pt idx="1">
                  <c:v>Anger intensity</c:v>
                </c:pt>
                <c:pt idx="2">
                  <c:v>Anger duration</c:v>
                </c:pt>
                <c:pt idx="3">
                  <c:v>Antagonism towards others</c:v>
                </c:pt>
                <c:pt idx="4">
                  <c:v>Social relations</c:v>
                </c:pt>
              </c:strCache>
            </c:strRef>
          </c:cat>
          <c:val>
            <c:numRef>
              <c:f>Sheet1!$G$2:$G$6</c:f>
              <c:numCache>
                <c:formatCode>General</c:formatCode>
                <c:ptCount val="5"/>
                <c:pt idx="0">
                  <c:v>2.4</c:v>
                </c:pt>
                <c:pt idx="1">
                  <c:v>1.9</c:v>
                </c:pt>
                <c:pt idx="3">
                  <c:v>1.8</c:v>
                </c:pt>
                <c:pt idx="4">
                  <c:v>1.9</c:v>
                </c:pt>
              </c:numCache>
            </c:numRef>
          </c:val>
          <c:extLst xmlns:c16r2="http://schemas.microsoft.com/office/drawing/2015/06/chart">
            <c:ext xmlns:c16="http://schemas.microsoft.com/office/drawing/2014/chart" uri="{C3380CC4-5D6E-409C-BE32-E72D297353CC}">
              <c16:uniqueId val="{00000009-C6AE-4F48-90D9-6E9F00AB9122}"/>
            </c:ext>
          </c:extLst>
        </c:ser>
        <c:dLbls>
          <c:showLegendKey val="0"/>
          <c:showVal val="0"/>
          <c:showCatName val="0"/>
          <c:showSerName val="0"/>
          <c:showPercent val="0"/>
          <c:showBubbleSize val="0"/>
        </c:dLbls>
        <c:gapWidth val="150"/>
        <c:axId val="660052720"/>
        <c:axId val="660051936"/>
      </c:barChart>
      <c:catAx>
        <c:axId val="660052720"/>
        <c:scaling>
          <c:orientation val="minMax"/>
        </c:scaling>
        <c:delete val="0"/>
        <c:axPos val="b"/>
        <c:numFmt formatCode="General" sourceLinked="0"/>
        <c:majorTickMark val="out"/>
        <c:minorTickMark val="none"/>
        <c:tickLblPos val="nextTo"/>
        <c:crossAx val="660051936"/>
        <c:crosses val="autoZero"/>
        <c:auto val="1"/>
        <c:lblAlgn val="ctr"/>
        <c:lblOffset val="100"/>
        <c:noMultiLvlLbl val="0"/>
      </c:catAx>
      <c:valAx>
        <c:axId val="6600519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Mean score</a:t>
                </a:r>
              </a:p>
            </c:rich>
          </c:tx>
          <c:layout>
            <c:manualLayout>
              <c:xMode val="edge"/>
              <c:yMode val="edge"/>
              <c:x val="2.1581016914809792E-3"/>
              <c:y val="0.37437322326741029"/>
            </c:manualLayout>
          </c:layout>
          <c:overlay val="0"/>
        </c:title>
        <c:numFmt formatCode="General" sourceLinked="1"/>
        <c:majorTickMark val="out"/>
        <c:minorTickMark val="none"/>
        <c:tickLblPos val="nextTo"/>
        <c:crossAx val="660052720"/>
        <c:crosses val="autoZero"/>
        <c:crossBetween val="between"/>
      </c:valAx>
    </c:plotArea>
    <c:legend>
      <c:legendPos val="r"/>
      <c:layout>
        <c:manualLayout>
          <c:xMode val="edge"/>
          <c:yMode val="edge"/>
          <c:x val="0.61115763028905767"/>
          <c:y val="3.0356563995237652E-2"/>
          <c:w val="0.227132928702729"/>
          <c:h val="0.2508759524648103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7251093613298339E-2"/>
          <c:y val="5.95238095238095E-2"/>
          <c:w val="0.87386329833770782"/>
          <c:h val="0.77051910177894434"/>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dLbl>
              <c:idx val="3"/>
              <c:layout/>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B0-4465-BD76-8FABF0E31ABB}"/>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Sheet1!$B$2:$B$6</c:f>
              <c:numCache>
                <c:formatCode>General</c:formatCode>
                <c:ptCount val="5"/>
                <c:pt idx="0">
                  <c:v>28.9</c:v>
                </c:pt>
                <c:pt idx="1">
                  <c:v>21.2</c:v>
                </c:pt>
                <c:pt idx="2">
                  <c:v>7.9</c:v>
                </c:pt>
                <c:pt idx="3">
                  <c:v>2</c:v>
                </c:pt>
                <c:pt idx="4">
                  <c:v>21.7</c:v>
                </c:pt>
              </c:numCache>
            </c:numRef>
          </c:val>
          <c:extLst xmlns:c16r2="http://schemas.microsoft.com/office/drawing/2015/06/chart">
            <c:ext xmlns:c16="http://schemas.microsoft.com/office/drawing/2014/chart" uri="{C3380CC4-5D6E-409C-BE32-E72D297353CC}">
              <c16:uniqueId val="{00000001-39B0-4465-BD76-8FABF0E31ABB}"/>
            </c:ext>
          </c:extLst>
        </c:ser>
        <c:ser>
          <c:idx val="1"/>
          <c:order val="1"/>
          <c:tx>
            <c:strRef>
              <c:f>Sheet1!$C$1</c:f>
              <c:strCache>
                <c:ptCount val="1"/>
                <c:pt idx="0">
                  <c:v>2015 Regular ADF </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Sheet1!$C$2:$C$6</c:f>
              <c:numCache>
                <c:formatCode>General</c:formatCode>
                <c:ptCount val="5"/>
                <c:pt idx="0">
                  <c:v>13.2</c:v>
                </c:pt>
                <c:pt idx="1">
                  <c:v>8.6</c:v>
                </c:pt>
                <c:pt idx="2">
                  <c:v>1.8</c:v>
                </c:pt>
                <c:pt idx="3">
                  <c:v>0.6</c:v>
                </c:pt>
                <c:pt idx="4">
                  <c:v>8.8000000000000007</c:v>
                </c:pt>
              </c:numCache>
            </c:numRef>
          </c:val>
          <c:extLst xmlns:c16r2="http://schemas.microsoft.com/office/drawing/2015/06/chart">
            <c:ext xmlns:c16="http://schemas.microsoft.com/office/drawing/2014/chart" uri="{C3380CC4-5D6E-409C-BE32-E72D297353CC}">
              <c16:uniqueId val="{00000002-39B0-4465-BD76-8FABF0E31ABB}"/>
            </c:ext>
          </c:extLst>
        </c:ser>
        <c:ser>
          <c:idx val="2"/>
          <c:order val="2"/>
          <c:tx>
            <c:strRef>
              <c:f>Sheet1!$D$1</c:f>
              <c:strCache>
                <c:ptCount val="1"/>
                <c:pt idx="0">
                  <c:v>2010 Regular ADF*</c:v>
                </c:pt>
              </c:strCache>
            </c:strRef>
          </c:tx>
          <c:spPr>
            <a:solidFill>
              <a:schemeClr val="accent3"/>
            </a:solidFill>
            <a:effectLst/>
          </c:spPr>
          <c:invertIfNegative val="0"/>
          <c:dLbls>
            <c:dLbl>
              <c:idx val="4"/>
              <c:layout/>
              <c:tx>
                <c:rich>
                  <a:bodyPr/>
                  <a:lstStyle/>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B0-4465-BD76-8FABF0E31ABB}"/>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Felt life not worth living</c:v>
                </c:pt>
                <c:pt idx="1">
                  <c:v>Felt so low thought about committing suicide</c:v>
                </c:pt>
                <c:pt idx="2">
                  <c:v>Made a suicide plan</c:v>
                </c:pt>
                <c:pt idx="3">
                  <c:v>Attempted suicide</c:v>
                </c:pt>
                <c:pt idx="4">
                  <c:v>Any suicidality*</c:v>
                </c:pt>
              </c:strCache>
            </c:strRef>
          </c:cat>
          <c:val>
            <c:numRef>
              <c:f>Sheet1!$D$2:$D$6</c:f>
              <c:numCache>
                <c:formatCode>General</c:formatCode>
                <c:ptCount val="5"/>
                <c:pt idx="0">
                  <c:v>6.7</c:v>
                </c:pt>
                <c:pt idx="1">
                  <c:v>3.9</c:v>
                </c:pt>
                <c:pt idx="2">
                  <c:v>1.1000000000000001</c:v>
                </c:pt>
                <c:pt idx="3">
                  <c:v>0.4</c:v>
                </c:pt>
                <c:pt idx="4">
                  <c:v>4</c:v>
                </c:pt>
              </c:numCache>
            </c:numRef>
          </c:val>
          <c:extLst xmlns:c16r2="http://schemas.microsoft.com/office/drawing/2015/06/chart">
            <c:ext xmlns:c16="http://schemas.microsoft.com/office/drawing/2014/chart" uri="{C3380CC4-5D6E-409C-BE32-E72D297353CC}">
              <c16:uniqueId val="{00000004-39B0-4465-BD76-8FABF0E31ABB}"/>
            </c:ext>
          </c:extLst>
        </c:ser>
        <c:dLbls>
          <c:showLegendKey val="0"/>
          <c:showVal val="1"/>
          <c:showCatName val="0"/>
          <c:showSerName val="0"/>
          <c:showPercent val="0"/>
          <c:showBubbleSize val="0"/>
        </c:dLbls>
        <c:gapWidth val="150"/>
        <c:axId val="660058600"/>
        <c:axId val="660055856"/>
      </c:barChart>
      <c:catAx>
        <c:axId val="660058600"/>
        <c:scaling>
          <c:orientation val="minMax"/>
        </c:scaling>
        <c:delete val="0"/>
        <c:axPos val="b"/>
        <c:numFmt formatCode="General" sourceLinked="0"/>
        <c:majorTickMark val="out"/>
        <c:minorTickMark val="none"/>
        <c:tickLblPos val="nextTo"/>
        <c:crossAx val="660055856"/>
        <c:crosses val="autoZero"/>
        <c:auto val="1"/>
        <c:lblAlgn val="ctr"/>
        <c:lblOffset val="100"/>
        <c:noMultiLvlLbl val="0"/>
      </c:catAx>
      <c:valAx>
        <c:axId val="66005585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5.9558180227471517E-4"/>
              <c:y val="0.35746370895202245"/>
            </c:manualLayout>
          </c:layout>
          <c:overlay val="0"/>
        </c:title>
        <c:numFmt formatCode="General" sourceLinked="1"/>
        <c:majorTickMark val="out"/>
        <c:minorTickMark val="none"/>
        <c:tickLblPos val="nextTo"/>
        <c:crossAx val="660058600"/>
        <c:crosses val="autoZero"/>
        <c:crossBetween val="between"/>
      </c:valAx>
    </c:plotArea>
    <c:legend>
      <c:legendPos val="r"/>
      <c:layout>
        <c:manualLayout>
          <c:xMode val="edge"/>
          <c:yMode val="edge"/>
          <c:x val="0.55574249582438595"/>
          <c:y val="7.0053788730954095E-2"/>
          <c:w val="0.23796611787163"/>
          <c:h val="0.1533765552033269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907436570428696E-2"/>
          <c:y val="6.5476086322543009E-2"/>
          <c:w val="0.84316797900262463"/>
          <c:h val="0.74531751239428412"/>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Lifetime illicit drug use </c:v>
                </c:pt>
                <c:pt idx="1">
                  <c:v>12-month illicit drug use</c:v>
                </c:pt>
                <c:pt idx="2">
                  <c:v>Lifetime prescription drugs for non-medical purposes</c:v>
                </c:pt>
                <c:pt idx="3">
                  <c:v>12-month prescription drugs for non-medical purposes</c:v>
                </c:pt>
              </c:strCache>
            </c:strRef>
          </c:cat>
          <c:val>
            <c:numRef>
              <c:f>Sheet1!$B$2:$B$5</c:f>
              <c:numCache>
                <c:formatCode>General</c:formatCode>
                <c:ptCount val="4"/>
                <c:pt idx="0">
                  <c:v>39.299999999999997</c:v>
                </c:pt>
                <c:pt idx="1">
                  <c:v>16.399999999999999</c:v>
                </c:pt>
                <c:pt idx="2">
                  <c:v>11.3</c:v>
                </c:pt>
                <c:pt idx="3">
                  <c:v>6.7</c:v>
                </c:pt>
              </c:numCache>
            </c:numRef>
          </c:val>
          <c:extLst xmlns:c16r2="http://schemas.microsoft.com/office/drawing/2015/06/chart">
            <c:ext xmlns:c16="http://schemas.microsoft.com/office/drawing/2014/chart" uri="{C3380CC4-5D6E-409C-BE32-E72D297353CC}">
              <c16:uniqueId val="{00000000-C65E-446A-8A41-63FEBADA990A}"/>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Lifetime illicit drug use </c:v>
                </c:pt>
                <c:pt idx="1">
                  <c:v>12-month illicit drug use</c:v>
                </c:pt>
                <c:pt idx="2">
                  <c:v>Lifetime prescription drugs for non-medical purposes</c:v>
                </c:pt>
                <c:pt idx="3">
                  <c:v>12-month prescription drugs for non-medical purposes</c:v>
                </c:pt>
              </c:strCache>
            </c:strRef>
          </c:cat>
          <c:val>
            <c:numRef>
              <c:f>Sheet1!$C$2:$C$5</c:f>
              <c:numCache>
                <c:formatCode>General</c:formatCode>
                <c:ptCount val="4"/>
                <c:pt idx="0">
                  <c:v>37.799999999999997</c:v>
                </c:pt>
                <c:pt idx="1">
                  <c:v>12.8</c:v>
                </c:pt>
                <c:pt idx="2">
                  <c:v>8.5</c:v>
                </c:pt>
                <c:pt idx="3">
                  <c:v>3.8</c:v>
                </c:pt>
              </c:numCache>
            </c:numRef>
          </c:val>
          <c:extLst xmlns:c16r2="http://schemas.microsoft.com/office/drawing/2015/06/chart">
            <c:ext xmlns:c16="http://schemas.microsoft.com/office/drawing/2014/chart" uri="{C3380CC4-5D6E-409C-BE32-E72D297353CC}">
              <c16:uniqueId val="{00000001-C65E-446A-8A41-63FEBADA990A}"/>
            </c:ext>
          </c:extLst>
        </c:ser>
        <c:ser>
          <c:idx val="2"/>
          <c:order val="2"/>
          <c:tx>
            <c:strRef>
              <c:f>Sheet1!$D$1</c:f>
              <c:strCache>
                <c:ptCount val="1"/>
                <c:pt idx="0">
                  <c:v>Active Reservist 
</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Lifetime illicit drug use </c:v>
                </c:pt>
                <c:pt idx="1">
                  <c:v>12-month illicit drug use</c:v>
                </c:pt>
                <c:pt idx="2">
                  <c:v>Lifetime prescription drugs for non-medical purposes</c:v>
                </c:pt>
                <c:pt idx="3">
                  <c:v>12-month prescription drugs for non-medical purposes</c:v>
                </c:pt>
              </c:strCache>
            </c:strRef>
          </c:cat>
          <c:val>
            <c:numRef>
              <c:f>Sheet1!$D$2:$D$5</c:f>
              <c:numCache>
                <c:formatCode>General</c:formatCode>
                <c:ptCount val="4"/>
                <c:pt idx="0">
                  <c:v>23.2</c:v>
                </c:pt>
                <c:pt idx="1">
                  <c:v>3.3</c:v>
                </c:pt>
                <c:pt idx="2">
                  <c:v>2.8</c:v>
                </c:pt>
                <c:pt idx="3">
                  <c:v>1.2</c:v>
                </c:pt>
              </c:numCache>
            </c:numRef>
          </c:val>
          <c:extLst xmlns:c16r2="http://schemas.microsoft.com/office/drawing/2015/06/chart">
            <c:ext xmlns:c16="http://schemas.microsoft.com/office/drawing/2014/chart" uri="{C3380CC4-5D6E-409C-BE32-E72D297353CC}">
              <c16:uniqueId val="{00000002-C65E-446A-8A41-63FEBADA990A}"/>
            </c:ext>
          </c:extLst>
        </c:ser>
        <c:dLbls>
          <c:showLegendKey val="0"/>
          <c:showVal val="0"/>
          <c:showCatName val="0"/>
          <c:showSerName val="0"/>
          <c:showPercent val="0"/>
          <c:showBubbleSize val="0"/>
        </c:dLbls>
        <c:gapWidth val="150"/>
        <c:axId val="660053504"/>
        <c:axId val="660053896"/>
      </c:barChart>
      <c:catAx>
        <c:axId val="660053504"/>
        <c:scaling>
          <c:orientation val="minMax"/>
        </c:scaling>
        <c:delete val="0"/>
        <c:axPos val="b"/>
        <c:numFmt formatCode="General" sourceLinked="0"/>
        <c:majorTickMark val="out"/>
        <c:minorTickMark val="none"/>
        <c:tickLblPos val="nextTo"/>
        <c:crossAx val="660053896"/>
        <c:crosses val="autoZero"/>
        <c:auto val="1"/>
        <c:lblAlgn val="ctr"/>
        <c:lblOffset val="100"/>
        <c:noMultiLvlLbl val="0"/>
      </c:catAx>
      <c:valAx>
        <c:axId val="660053896"/>
        <c:scaling>
          <c:orientation val="minMax"/>
        </c:scaling>
        <c:delete val="0"/>
        <c:axPos val="l"/>
        <c:majorGridlines>
          <c:spPr>
            <a:ln>
              <a:solidFill>
                <a:sysClr val="window" lastClr="FFFFFF">
                  <a:lumMod val="75000"/>
                  <a:alpha val="26000"/>
                </a:sysClr>
              </a:solidFill>
            </a:ln>
          </c:spPr>
        </c:majorGridlines>
        <c:title>
          <c:tx>
            <c:rich>
              <a:bodyPr/>
              <a:lstStyle/>
              <a:p>
                <a:pPr>
                  <a:defRPr/>
                </a:pPr>
                <a:r>
                  <a:rPr lang="en-GB"/>
                  <a:t>Percentage</a:t>
                </a:r>
              </a:p>
            </c:rich>
          </c:tx>
          <c:layout>
            <c:manualLayout>
              <c:xMode val="edge"/>
              <c:yMode val="edge"/>
              <c:x val="2.4188538932633408E-3"/>
              <c:y val="0.34453938252449734"/>
            </c:manualLayout>
          </c:layout>
          <c:overlay val="0"/>
        </c:title>
        <c:numFmt formatCode="General" sourceLinked="1"/>
        <c:majorTickMark val="out"/>
        <c:minorTickMark val="none"/>
        <c:tickLblPos val="nextTo"/>
        <c:crossAx val="660053504"/>
        <c:crosses val="autoZero"/>
        <c:crossBetween val="between"/>
      </c:valAx>
    </c:plotArea>
    <c:legend>
      <c:legendPos val="r"/>
      <c:layout>
        <c:manualLayout>
          <c:xMode val="edge"/>
          <c:yMode val="edge"/>
          <c:x val="0.6972377515310586"/>
          <c:y val="0.10537407797681771"/>
          <c:w val="0.205539954564503"/>
          <c:h val="0.1588766718267024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04461942257218"/>
          <c:y val="8.8856080489938746E-2"/>
          <c:w val="0.86120341207349071"/>
          <c:h val="0.78638693007993643"/>
        </c:manualLayout>
      </c:layout>
      <c:barChart>
        <c:barDir val="col"/>
        <c:grouping val="clustered"/>
        <c:varyColors val="0"/>
        <c:ser>
          <c:idx val="0"/>
          <c:order val="0"/>
          <c:tx>
            <c:strRef>
              <c:f>Sheet1!$B$1</c:f>
              <c:strCache>
                <c:ptCount val="1"/>
                <c:pt idx="0">
                  <c:v>0 years (1–11 months)</c:v>
                </c:pt>
              </c:strCache>
            </c:strRef>
          </c:tx>
          <c:spPr>
            <a:solidFill>
              <a:schemeClr val="accent1"/>
            </a:solidFill>
            <a:effectLst/>
          </c:spPr>
          <c:invertIfNegative val="0"/>
          <c:dLbls>
            <c:dLbl>
              <c:idx val="0"/>
              <c:layout/>
              <c:tx>
                <c:rich>
                  <a:bodyPr/>
                  <a:lstStyle/>
                  <a:p>
                    <a:r>
                      <a:rPr lang="en-US"/>
                      <a:t>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F3-439C-A4EE-D178B7D4E50F}"/>
                </c:ext>
                <c:ext xmlns:c15="http://schemas.microsoft.com/office/drawing/2012/chart" uri="{CE6537A1-D6FC-4f65-9D91-7224C49458BB}">
                  <c15:layout/>
                </c:ext>
              </c:extLst>
            </c:dLbl>
            <c:dLbl>
              <c:idx val="1"/>
              <c:layout/>
              <c:tx>
                <c:rich>
                  <a:bodyPr/>
                  <a:lstStyle/>
                  <a:p>
                    <a:r>
                      <a:rPr lang="en-US"/>
                      <a:t>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F3-439C-A4EE-D178B7D4E50F}"/>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12-month illicit drug use</c:v>
                </c:pt>
                <c:pt idx="1">
                  <c:v>12-month prescription drugs for non-medical purposes</c:v>
                </c:pt>
              </c:strCache>
            </c:strRef>
          </c:cat>
          <c:val>
            <c:numRef>
              <c:f>Sheet1!$B$2:$B$3</c:f>
              <c:numCache>
                <c:formatCode>General</c:formatCode>
                <c:ptCount val="2"/>
                <c:pt idx="0">
                  <c:v>7.89</c:v>
                </c:pt>
                <c:pt idx="1">
                  <c:v>3.47</c:v>
                </c:pt>
              </c:numCache>
            </c:numRef>
          </c:val>
          <c:extLst xmlns:c16r2="http://schemas.microsoft.com/office/drawing/2015/06/chart">
            <c:ext xmlns:c16="http://schemas.microsoft.com/office/drawing/2014/chart" uri="{C3380CC4-5D6E-409C-BE32-E72D297353CC}">
              <c16:uniqueId val="{00000002-95F3-439C-A4EE-D178B7D4E50F}"/>
            </c:ext>
          </c:extLst>
        </c:ser>
        <c:ser>
          <c:idx val="1"/>
          <c:order val="1"/>
          <c:tx>
            <c:strRef>
              <c:f>Sheet1!$C$1</c:f>
              <c:strCache>
                <c:ptCount val="1"/>
                <c:pt idx="0">
                  <c:v>1 year</c:v>
                </c:pt>
              </c:strCache>
            </c:strRef>
          </c:tx>
          <c:spPr>
            <a:solidFill>
              <a:schemeClr val="accent2"/>
            </a:solidFill>
            <a:effectLst/>
          </c:spPr>
          <c:invertIfNegative val="0"/>
          <c:dLbls>
            <c:dLbl>
              <c:idx val="0"/>
              <c:layout/>
              <c:tx>
                <c:rich>
                  <a:bodyPr/>
                  <a:lstStyle/>
                  <a:p>
                    <a:r>
                      <a:rPr lang="en-US"/>
                      <a:t>11.9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F3-439C-A4EE-D178B7D4E50F}"/>
                </c:ext>
                <c:ext xmlns:c15="http://schemas.microsoft.com/office/drawing/2012/chart" uri="{CE6537A1-D6FC-4f65-9D91-7224C49458BB}">
                  <c15:layout/>
                </c:ext>
              </c:extLst>
            </c:dLbl>
            <c:dLbl>
              <c:idx val="1"/>
              <c:layout/>
              <c:tx>
                <c:rich>
                  <a:bodyPr/>
                  <a:lstStyle/>
                  <a:p>
                    <a:r>
                      <a:rPr lang="en-US"/>
                      <a:t>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5F3-439C-A4EE-D178B7D4E50F}"/>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12-month illicit drug use</c:v>
                </c:pt>
                <c:pt idx="1">
                  <c:v>12-month prescription drugs for non-medical purposes</c:v>
                </c:pt>
              </c:strCache>
            </c:strRef>
          </c:cat>
          <c:val>
            <c:numRef>
              <c:f>Sheet1!$C$2:$C$3</c:f>
              <c:numCache>
                <c:formatCode>General</c:formatCode>
                <c:ptCount val="2"/>
                <c:pt idx="0">
                  <c:v>11.85</c:v>
                </c:pt>
                <c:pt idx="1">
                  <c:v>3.55</c:v>
                </c:pt>
              </c:numCache>
            </c:numRef>
          </c:val>
          <c:extLst xmlns:c16r2="http://schemas.microsoft.com/office/drawing/2015/06/chart">
            <c:ext xmlns:c16="http://schemas.microsoft.com/office/drawing/2014/chart" uri="{C3380CC4-5D6E-409C-BE32-E72D297353CC}">
              <c16:uniqueId val="{00000005-95F3-439C-A4EE-D178B7D4E50F}"/>
            </c:ext>
          </c:extLst>
        </c:ser>
        <c:ser>
          <c:idx val="2"/>
          <c:order val="2"/>
          <c:tx>
            <c:strRef>
              <c:f>Sheet1!$D$1</c:f>
              <c:strCache>
                <c:ptCount val="1"/>
                <c:pt idx="0">
                  <c:v>2 years</c:v>
                </c:pt>
              </c:strCache>
            </c:strRef>
          </c:tx>
          <c:spPr>
            <a:solidFill>
              <a:schemeClr val="accent3"/>
            </a:solidFill>
            <a:effectLst/>
          </c:spPr>
          <c:invertIfNegative val="0"/>
          <c:dLbls>
            <c:dLbl>
              <c:idx val="0"/>
              <c:layout/>
              <c:tx>
                <c:rich>
                  <a:bodyPr/>
                  <a:lstStyle/>
                  <a:p>
                    <a:r>
                      <a:rPr lang="en-US"/>
                      <a:t>14.0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5F3-439C-A4EE-D178B7D4E50F}"/>
                </c:ext>
                <c:ext xmlns:c15="http://schemas.microsoft.com/office/drawing/2012/chart" uri="{CE6537A1-D6FC-4f65-9D91-7224C49458BB}">
                  <c15:layout/>
                </c:ext>
              </c:extLst>
            </c:dLbl>
            <c:dLbl>
              <c:idx val="1"/>
              <c:layout/>
              <c:tx>
                <c:rich>
                  <a:bodyPr/>
                  <a:lstStyle/>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5F3-439C-A4EE-D178B7D4E50F}"/>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12-month illicit drug use</c:v>
                </c:pt>
                <c:pt idx="1">
                  <c:v>12-month prescription drugs for non-medical purposes</c:v>
                </c:pt>
              </c:strCache>
            </c:strRef>
          </c:cat>
          <c:val>
            <c:numRef>
              <c:f>Sheet1!$D$2:$D$3</c:f>
              <c:numCache>
                <c:formatCode>General</c:formatCode>
                <c:ptCount val="2"/>
                <c:pt idx="0">
                  <c:v>14.03</c:v>
                </c:pt>
                <c:pt idx="1">
                  <c:v>4.49</c:v>
                </c:pt>
              </c:numCache>
            </c:numRef>
          </c:val>
          <c:extLst xmlns:c16r2="http://schemas.microsoft.com/office/drawing/2015/06/chart">
            <c:ext xmlns:c16="http://schemas.microsoft.com/office/drawing/2014/chart" uri="{C3380CC4-5D6E-409C-BE32-E72D297353CC}">
              <c16:uniqueId val="{00000008-95F3-439C-A4EE-D178B7D4E50F}"/>
            </c:ext>
          </c:extLst>
        </c:ser>
        <c:ser>
          <c:idx val="3"/>
          <c:order val="3"/>
          <c:tx>
            <c:strRef>
              <c:f>Sheet1!$E$1</c:f>
              <c:strCache>
                <c:ptCount val="1"/>
                <c:pt idx="0">
                  <c:v>3 years</c:v>
                </c:pt>
              </c:strCache>
            </c:strRef>
          </c:tx>
          <c:spPr>
            <a:solidFill>
              <a:schemeClr val="accent4"/>
            </a:solidFill>
            <a:effectLst/>
          </c:spPr>
          <c:invertIfNegative val="0"/>
          <c:dLbls>
            <c:dLbl>
              <c:idx val="0"/>
              <c:layout/>
              <c:tx>
                <c:rich>
                  <a:bodyPr/>
                  <a:lstStyle/>
                  <a:p>
                    <a:r>
                      <a:rPr lang="en-US"/>
                      <a:t>14.8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5F3-439C-A4EE-D178B7D4E50F}"/>
                </c:ext>
                <c:ext xmlns:c15="http://schemas.microsoft.com/office/drawing/2012/chart" uri="{CE6537A1-D6FC-4f65-9D91-7224C49458BB}">
                  <c15:layout/>
                </c:ext>
              </c:extLst>
            </c:dLbl>
            <c:dLbl>
              <c:idx val="1"/>
              <c:layout/>
              <c:tx>
                <c:rich>
                  <a:bodyPr/>
                  <a:lstStyle/>
                  <a:p>
                    <a:r>
                      <a:rPr lang="en-US"/>
                      <a:t>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5F3-439C-A4EE-D178B7D4E50F}"/>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12-month illicit drug use</c:v>
                </c:pt>
                <c:pt idx="1">
                  <c:v>12-month prescription drugs for non-medical purposes</c:v>
                </c:pt>
              </c:strCache>
            </c:strRef>
          </c:cat>
          <c:val>
            <c:numRef>
              <c:f>Sheet1!$E$2:$E$3</c:f>
              <c:numCache>
                <c:formatCode>General</c:formatCode>
                <c:ptCount val="2"/>
                <c:pt idx="0">
                  <c:v>14.81</c:v>
                </c:pt>
                <c:pt idx="1">
                  <c:v>6.45</c:v>
                </c:pt>
              </c:numCache>
            </c:numRef>
          </c:val>
          <c:extLst xmlns:c16r2="http://schemas.microsoft.com/office/drawing/2015/06/chart">
            <c:ext xmlns:c16="http://schemas.microsoft.com/office/drawing/2014/chart" uri="{C3380CC4-5D6E-409C-BE32-E72D297353CC}">
              <c16:uniqueId val="{0000000B-95F3-439C-A4EE-D178B7D4E50F}"/>
            </c:ext>
          </c:extLst>
        </c:ser>
        <c:ser>
          <c:idx val="4"/>
          <c:order val="4"/>
          <c:tx>
            <c:strRef>
              <c:f>Sheet1!$F$1</c:f>
              <c:strCache>
                <c:ptCount val="1"/>
                <c:pt idx="0">
                  <c:v>4 years</c:v>
                </c:pt>
              </c:strCache>
            </c:strRef>
          </c:tx>
          <c:spPr>
            <a:solidFill>
              <a:schemeClr val="accent5"/>
            </a:solidFill>
            <a:effectLst/>
          </c:spPr>
          <c:invertIfNegative val="0"/>
          <c:dLbls>
            <c:dLbl>
              <c:idx val="0"/>
              <c:layout/>
              <c:tx>
                <c:rich>
                  <a:bodyPr/>
                  <a:lstStyle/>
                  <a:p>
                    <a:r>
                      <a:rPr lang="en-US"/>
                      <a:t>10.7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5F3-439C-A4EE-D178B7D4E50F}"/>
                </c:ext>
                <c:ext xmlns:c15="http://schemas.microsoft.com/office/drawing/2012/chart" uri="{CE6537A1-D6FC-4f65-9D91-7224C49458BB}">
                  <c15:layout/>
                </c:ext>
              </c:extLst>
            </c:dLbl>
            <c:dLbl>
              <c:idx val="1"/>
              <c:layout/>
              <c:tx>
                <c:rich>
                  <a:bodyPr/>
                  <a:lstStyle/>
                  <a:p>
                    <a:r>
                      <a:rPr lang="en-US"/>
                      <a:t>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5F3-439C-A4EE-D178B7D4E50F}"/>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12-month illicit drug use</c:v>
                </c:pt>
                <c:pt idx="1">
                  <c:v>12-month prescription drugs for non-medical purposes</c:v>
                </c:pt>
              </c:strCache>
            </c:strRef>
          </c:cat>
          <c:val>
            <c:numRef>
              <c:f>Sheet1!$F$2:$F$3</c:f>
              <c:numCache>
                <c:formatCode>General</c:formatCode>
                <c:ptCount val="2"/>
                <c:pt idx="0">
                  <c:v>10.67</c:v>
                </c:pt>
                <c:pt idx="1">
                  <c:v>4.2300000000000004</c:v>
                </c:pt>
              </c:numCache>
            </c:numRef>
          </c:val>
          <c:extLst xmlns:c16r2="http://schemas.microsoft.com/office/drawing/2015/06/chart">
            <c:ext xmlns:c16="http://schemas.microsoft.com/office/drawing/2014/chart" uri="{C3380CC4-5D6E-409C-BE32-E72D297353CC}">
              <c16:uniqueId val="{0000000E-95F3-439C-A4EE-D178B7D4E50F}"/>
            </c:ext>
          </c:extLst>
        </c:ser>
        <c:ser>
          <c:idx val="5"/>
          <c:order val="5"/>
          <c:tx>
            <c:strRef>
              <c:f>Sheet1!$G$1</c:f>
              <c:strCache>
                <c:ptCount val="1"/>
                <c:pt idx="0">
                  <c:v>5 years</c:v>
                </c:pt>
              </c:strCache>
            </c:strRef>
          </c:tx>
          <c:spPr>
            <a:solidFill>
              <a:schemeClr val="accent6"/>
            </a:solidFill>
            <a:effectLst/>
          </c:spPr>
          <c:invertIfNegative val="0"/>
          <c:dLbls>
            <c:dLbl>
              <c:idx val="0"/>
              <c:layout/>
              <c:tx>
                <c:rich>
                  <a:bodyPr/>
                  <a:lstStyle/>
                  <a:p>
                    <a:r>
                      <a:rPr lang="en-US"/>
                      <a:t>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5F3-439C-A4EE-D178B7D4E50F}"/>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12-month illicit drug use</c:v>
                </c:pt>
                <c:pt idx="1">
                  <c:v>12-month prescription drugs for non-medical purposes</c:v>
                </c:pt>
              </c:strCache>
            </c:strRef>
          </c:cat>
          <c:val>
            <c:numRef>
              <c:f>Sheet1!$G$2:$G$3</c:f>
              <c:numCache>
                <c:formatCode>General</c:formatCode>
                <c:ptCount val="2"/>
                <c:pt idx="0">
                  <c:v>9.86</c:v>
                </c:pt>
                <c:pt idx="1">
                  <c:v>2.9</c:v>
                </c:pt>
              </c:numCache>
            </c:numRef>
          </c:val>
          <c:extLst xmlns:c16r2="http://schemas.microsoft.com/office/drawing/2015/06/chart">
            <c:ext xmlns:c16="http://schemas.microsoft.com/office/drawing/2014/chart" uri="{C3380CC4-5D6E-409C-BE32-E72D297353CC}">
              <c16:uniqueId val="{00000010-95F3-439C-A4EE-D178B7D4E50F}"/>
            </c:ext>
          </c:extLst>
        </c:ser>
        <c:dLbls>
          <c:showLegendKey val="0"/>
          <c:showVal val="0"/>
          <c:showCatName val="0"/>
          <c:showSerName val="0"/>
          <c:showPercent val="0"/>
          <c:showBubbleSize val="0"/>
        </c:dLbls>
        <c:gapWidth val="150"/>
        <c:axId val="660059776"/>
        <c:axId val="660056248"/>
      </c:barChart>
      <c:catAx>
        <c:axId val="660059776"/>
        <c:scaling>
          <c:orientation val="minMax"/>
        </c:scaling>
        <c:delete val="0"/>
        <c:axPos val="b"/>
        <c:numFmt formatCode="General" sourceLinked="1"/>
        <c:majorTickMark val="out"/>
        <c:minorTickMark val="none"/>
        <c:tickLblPos val="nextTo"/>
        <c:crossAx val="660056248"/>
        <c:crosses val="autoZero"/>
        <c:auto val="1"/>
        <c:lblAlgn val="ctr"/>
        <c:lblOffset val="100"/>
        <c:noMultiLvlLbl val="0"/>
      </c:catAx>
      <c:valAx>
        <c:axId val="66005624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2594348856937762E-3"/>
              <c:y val="0.36375647406092043"/>
            </c:manualLayout>
          </c:layout>
          <c:overlay val="0"/>
        </c:title>
        <c:numFmt formatCode="General" sourceLinked="1"/>
        <c:majorTickMark val="out"/>
        <c:minorTickMark val="none"/>
        <c:tickLblPos val="nextTo"/>
        <c:crossAx val="660059776"/>
        <c:crosses val="autoZero"/>
        <c:crossBetween val="between"/>
      </c:valAx>
    </c:plotArea>
    <c:legend>
      <c:legendPos val="r"/>
      <c:layout>
        <c:manualLayout>
          <c:xMode val="edge"/>
          <c:yMode val="edge"/>
          <c:x val="0.67678893263342077"/>
          <c:y val="0.10035570636865067"/>
          <c:w val="0.24650163819679899"/>
          <c:h val="0.2870297033872730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355796150481189"/>
          <c:y val="8.659667541557306E-2"/>
          <c:w val="0.84149125109361345"/>
          <c:h val="0.8073067949839603"/>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Sheet1!$B$2:$B$5</c:f>
              <c:numCache>
                <c:formatCode>0.0</c:formatCode>
                <c:ptCount val="4"/>
                <c:pt idx="0">
                  <c:v>54.33</c:v>
                </c:pt>
                <c:pt idx="1">
                  <c:v>22.15</c:v>
                </c:pt>
                <c:pt idx="2">
                  <c:v>10.97</c:v>
                </c:pt>
                <c:pt idx="3">
                  <c:v>11.43</c:v>
                </c:pt>
              </c:numCache>
            </c:numRef>
          </c:val>
          <c:extLst xmlns:c16r2="http://schemas.microsoft.com/office/drawing/2015/06/chart">
            <c:ext xmlns:c16="http://schemas.microsoft.com/office/drawing/2014/chart" uri="{C3380CC4-5D6E-409C-BE32-E72D297353CC}">
              <c16:uniqueId val="{00000000-E310-46C8-9C91-D4AD22F31490}"/>
            </c:ext>
          </c:extLst>
        </c:ser>
        <c:ser>
          <c:idx val="1"/>
          <c:order val="1"/>
          <c:tx>
            <c:strRef>
              <c:f>Sheet1!$C$1</c:f>
              <c:strCache>
                <c:ptCount val="1"/>
                <c:pt idx="0">
                  <c:v>2015 Regular ADF </c:v>
                </c:pt>
              </c:strCache>
            </c:strRef>
          </c:tx>
          <c:spPr>
            <a:solidFill>
              <a:schemeClr val="accent2"/>
            </a:solidFill>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Sheet1!$C$2:$C$5</c:f>
              <c:numCache>
                <c:formatCode>0.0</c:formatCode>
                <c:ptCount val="4"/>
                <c:pt idx="0">
                  <c:v>70.3</c:v>
                </c:pt>
                <c:pt idx="1">
                  <c:v>19.14</c:v>
                </c:pt>
                <c:pt idx="2">
                  <c:v>5.09</c:v>
                </c:pt>
                <c:pt idx="3">
                  <c:v>4.54</c:v>
                </c:pt>
              </c:numCache>
            </c:numRef>
          </c:val>
          <c:extLst xmlns:c16r2="http://schemas.microsoft.com/office/drawing/2015/06/chart">
            <c:ext xmlns:c16="http://schemas.microsoft.com/office/drawing/2014/chart" uri="{C3380CC4-5D6E-409C-BE32-E72D297353CC}">
              <c16:uniqueId val="{00000001-E310-46C8-9C91-D4AD22F31490}"/>
            </c:ext>
          </c:extLst>
        </c:ser>
        <c:dLbls>
          <c:showLegendKey val="0"/>
          <c:showVal val="0"/>
          <c:showCatName val="0"/>
          <c:showSerName val="0"/>
          <c:showPercent val="0"/>
          <c:showBubbleSize val="0"/>
        </c:dLbls>
        <c:gapWidth val="150"/>
        <c:axId val="660060168"/>
        <c:axId val="660054680"/>
      </c:barChart>
      <c:catAx>
        <c:axId val="660060168"/>
        <c:scaling>
          <c:orientation val="minMax"/>
        </c:scaling>
        <c:delete val="0"/>
        <c:axPos val="b"/>
        <c:numFmt formatCode="General" sourceLinked="1"/>
        <c:majorTickMark val="out"/>
        <c:minorTickMark val="none"/>
        <c:tickLblPos val="nextTo"/>
        <c:crossAx val="660054680"/>
        <c:crosses val="autoZero"/>
        <c:auto val="1"/>
        <c:lblAlgn val="ctr"/>
        <c:lblOffset val="100"/>
        <c:noMultiLvlLbl val="0"/>
      </c:catAx>
      <c:valAx>
        <c:axId val="66005468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2495625546806636E-3"/>
              <c:y val="0.35061051196741744"/>
            </c:manualLayout>
          </c:layout>
          <c:overlay val="0"/>
        </c:title>
        <c:numFmt formatCode="0.0" sourceLinked="1"/>
        <c:majorTickMark val="out"/>
        <c:minorTickMark val="none"/>
        <c:tickLblPos val="nextTo"/>
        <c:crossAx val="660060168"/>
        <c:crosses val="autoZero"/>
        <c:crossBetween val="between"/>
      </c:valAx>
    </c:plotArea>
    <c:legend>
      <c:legendPos val="r"/>
      <c:layout>
        <c:manualLayout>
          <c:xMode val="edge"/>
          <c:yMode val="edge"/>
          <c:x val="0.689990157480315"/>
          <c:y val="8.8825746039533054E-2"/>
          <c:w val="0.24295754471143899"/>
          <c:h val="0.111687701117864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9800160006737"/>
          <c:y val="9.5212890055409741E-2"/>
          <c:w val="0.81772696589269656"/>
          <c:h val="0.79699511519393407"/>
        </c:manualLayout>
      </c:layout>
      <c:barChart>
        <c:barDir val="col"/>
        <c:grouping val="clustered"/>
        <c:varyColors val="0"/>
        <c:ser>
          <c:idx val="0"/>
          <c:order val="0"/>
          <c:tx>
            <c:strRef>
              <c:f>Sheet1!$B$1</c:f>
              <c:strCache>
                <c:ptCount val="1"/>
                <c:pt idx="0">
                  <c:v>Ex-Serving 
</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Minimal (0–4)</c:v>
                </c:pt>
                <c:pt idx="1">
                  <c:v>Mild (5–9)</c:v>
                </c:pt>
                <c:pt idx="2">
                  <c:v>Moderate (10–14)</c:v>
                </c:pt>
                <c:pt idx="3">
                  <c:v>Severe (15–21)</c:v>
                </c:pt>
              </c:strCache>
            </c:strRef>
          </c:cat>
          <c:val>
            <c:numRef>
              <c:f>Sheet1!$B$2:$B$5</c:f>
              <c:numCache>
                <c:formatCode>0.0</c:formatCode>
                <c:ptCount val="4"/>
                <c:pt idx="0">
                  <c:v>43.15</c:v>
                </c:pt>
                <c:pt idx="1">
                  <c:v>22.12</c:v>
                </c:pt>
                <c:pt idx="2">
                  <c:v>14.48</c:v>
                </c:pt>
                <c:pt idx="3">
                  <c:v>18.79</c:v>
                </c:pt>
              </c:numCache>
            </c:numRef>
          </c:val>
          <c:extLst xmlns:c16r2="http://schemas.microsoft.com/office/drawing/2015/06/chart">
            <c:ext xmlns:c16="http://schemas.microsoft.com/office/drawing/2014/chart" uri="{C3380CC4-5D6E-409C-BE32-E72D297353CC}">
              <c16:uniqueId val="{00000000-CFEA-4358-BB17-21521314A82D}"/>
            </c:ext>
          </c:extLst>
        </c:ser>
        <c:ser>
          <c:idx val="1"/>
          <c:order val="1"/>
          <c:tx>
            <c:strRef>
              <c:f>Sheet1!$C$1</c:f>
              <c:strCache>
                <c:ptCount val="1"/>
                <c:pt idx="0">
                  <c:v>Inactive Reservist
</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Minimal (0–4)</c:v>
                </c:pt>
                <c:pt idx="1">
                  <c:v>Mild (5–9)</c:v>
                </c:pt>
                <c:pt idx="2">
                  <c:v>Moderate (10–14)</c:v>
                </c:pt>
                <c:pt idx="3">
                  <c:v>Severe (15–21)</c:v>
                </c:pt>
              </c:strCache>
            </c:strRef>
          </c:cat>
          <c:val>
            <c:numRef>
              <c:f>Sheet1!$C$2:$C$5</c:f>
              <c:numCache>
                <c:formatCode>0.0</c:formatCode>
                <c:ptCount val="4"/>
                <c:pt idx="0">
                  <c:v>60.73</c:v>
                </c:pt>
                <c:pt idx="1">
                  <c:v>22.86</c:v>
                </c:pt>
                <c:pt idx="2">
                  <c:v>9.58</c:v>
                </c:pt>
                <c:pt idx="3">
                  <c:v>5.97</c:v>
                </c:pt>
              </c:numCache>
            </c:numRef>
          </c:val>
          <c:extLst xmlns:c16r2="http://schemas.microsoft.com/office/drawing/2015/06/chart">
            <c:ext xmlns:c16="http://schemas.microsoft.com/office/drawing/2014/chart" uri="{C3380CC4-5D6E-409C-BE32-E72D297353CC}">
              <c16:uniqueId val="{00000001-CFEA-4358-BB17-21521314A82D}"/>
            </c:ext>
          </c:extLst>
        </c:ser>
        <c:ser>
          <c:idx val="2"/>
          <c:order val="2"/>
          <c:tx>
            <c:strRef>
              <c:f>Sheet1!$D$1</c:f>
              <c:strCache>
                <c:ptCount val="1"/>
                <c:pt idx="0">
                  <c:v>Active Reservist 
</c:v>
                </c:pt>
              </c:strCache>
            </c:strRef>
          </c:tx>
          <c:spPr>
            <a:solidFill>
              <a:schemeClr val="accent3"/>
            </a:solidFill>
            <a:ln>
              <a:solidFill>
                <a:srgbClr val="C0C0C0"/>
              </a:solid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Minimal (0–4)</c:v>
                </c:pt>
                <c:pt idx="1">
                  <c:v>Mild (5–9)</c:v>
                </c:pt>
                <c:pt idx="2">
                  <c:v>Moderate (10–14)</c:v>
                </c:pt>
                <c:pt idx="3">
                  <c:v>Severe (15–21)</c:v>
                </c:pt>
              </c:strCache>
            </c:strRef>
          </c:cat>
          <c:val>
            <c:numRef>
              <c:f>Sheet1!$D$2:$D$5</c:f>
              <c:numCache>
                <c:formatCode>0.0</c:formatCode>
                <c:ptCount val="4"/>
                <c:pt idx="0">
                  <c:v>65.95</c:v>
                </c:pt>
                <c:pt idx="1">
                  <c:v>21.4</c:v>
                </c:pt>
                <c:pt idx="2">
                  <c:v>6.81</c:v>
                </c:pt>
                <c:pt idx="3">
                  <c:v>4.97</c:v>
                </c:pt>
              </c:numCache>
            </c:numRef>
          </c:val>
          <c:extLst xmlns:c16r2="http://schemas.microsoft.com/office/drawing/2015/06/chart">
            <c:ext xmlns:c16="http://schemas.microsoft.com/office/drawing/2014/chart" uri="{C3380CC4-5D6E-409C-BE32-E72D297353CC}">
              <c16:uniqueId val="{00000002-CFEA-4358-BB17-21521314A82D}"/>
            </c:ext>
          </c:extLst>
        </c:ser>
        <c:dLbls>
          <c:showLegendKey val="0"/>
          <c:showVal val="0"/>
          <c:showCatName val="0"/>
          <c:showSerName val="0"/>
          <c:showPercent val="0"/>
          <c:showBubbleSize val="0"/>
        </c:dLbls>
        <c:gapWidth val="150"/>
        <c:axId val="660057424"/>
        <c:axId val="660060560"/>
      </c:barChart>
      <c:catAx>
        <c:axId val="660057424"/>
        <c:scaling>
          <c:orientation val="minMax"/>
        </c:scaling>
        <c:delete val="0"/>
        <c:axPos val="b"/>
        <c:numFmt formatCode="General" sourceLinked="0"/>
        <c:majorTickMark val="out"/>
        <c:minorTickMark val="none"/>
        <c:tickLblPos val="nextTo"/>
        <c:crossAx val="660060560"/>
        <c:crosses val="autoZero"/>
        <c:auto val="1"/>
        <c:lblAlgn val="ctr"/>
        <c:lblOffset val="100"/>
        <c:noMultiLvlLbl val="0"/>
      </c:catAx>
      <c:valAx>
        <c:axId val="66006056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6.672983277981246E-3"/>
              <c:y val="0.3167732591200102"/>
            </c:manualLayout>
          </c:layout>
          <c:overlay val="0"/>
        </c:title>
        <c:numFmt formatCode="0.0" sourceLinked="1"/>
        <c:majorTickMark val="out"/>
        <c:minorTickMark val="none"/>
        <c:tickLblPos val="nextTo"/>
        <c:crossAx val="660057424"/>
        <c:crosses val="autoZero"/>
        <c:crossBetween val="between"/>
      </c:valAx>
    </c:plotArea>
    <c:legend>
      <c:legendPos val="r"/>
      <c:layout>
        <c:manualLayout>
          <c:xMode val="edge"/>
          <c:yMode val="edge"/>
          <c:x val="0.67458270150872846"/>
          <c:y val="0.10502177563403554"/>
          <c:w val="0.22648982372013188"/>
          <c:h val="0.1687375614194113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76408573928259"/>
          <c:y val="7.1428571428571397E-2"/>
          <c:w val="0.84977230971128614"/>
          <c:h val="0.83047061825605129"/>
        </c:manualLayout>
      </c:layout>
      <c:barChart>
        <c:barDir val="col"/>
        <c:grouping val="clustered"/>
        <c:varyColors val="0"/>
        <c:ser>
          <c:idx val="0"/>
          <c:order val="0"/>
          <c:tx>
            <c:strRef>
              <c:f>Sheet1!$B$1</c:f>
              <c:strCache>
                <c:ptCount val="1"/>
                <c:pt idx="0">
                  <c:v>0 years (1–11 months)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Sheet1!$B$2:$B$5</c:f>
              <c:numCache>
                <c:formatCode>0.0</c:formatCode>
                <c:ptCount val="4"/>
                <c:pt idx="0">
                  <c:v>58.74</c:v>
                </c:pt>
                <c:pt idx="1">
                  <c:v>23.73</c:v>
                </c:pt>
                <c:pt idx="2">
                  <c:v>10.68</c:v>
                </c:pt>
                <c:pt idx="3">
                  <c:v>5.71</c:v>
                </c:pt>
              </c:numCache>
            </c:numRef>
          </c:val>
          <c:extLst xmlns:c16r2="http://schemas.microsoft.com/office/drawing/2015/06/chart">
            <c:ext xmlns:c16="http://schemas.microsoft.com/office/drawing/2014/chart" uri="{C3380CC4-5D6E-409C-BE32-E72D297353CC}">
              <c16:uniqueId val="{00000000-BC24-42BE-B09A-D82A20E3ABBB}"/>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Sheet1!$C$2:$C$5</c:f>
              <c:numCache>
                <c:formatCode>0.0</c:formatCode>
                <c:ptCount val="4"/>
                <c:pt idx="0">
                  <c:v>55.44</c:v>
                </c:pt>
                <c:pt idx="1">
                  <c:v>19.190000000000001</c:v>
                </c:pt>
                <c:pt idx="2">
                  <c:v>9.93</c:v>
                </c:pt>
                <c:pt idx="3">
                  <c:v>14.45</c:v>
                </c:pt>
              </c:numCache>
            </c:numRef>
          </c:val>
          <c:extLst xmlns:c16r2="http://schemas.microsoft.com/office/drawing/2015/06/chart">
            <c:ext xmlns:c16="http://schemas.microsoft.com/office/drawing/2014/chart" uri="{C3380CC4-5D6E-409C-BE32-E72D297353CC}">
              <c16:uniqueId val="{00000001-BC24-42BE-B09A-D82A20E3ABBB}"/>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Sheet1!$D$2:$D$5</c:f>
              <c:numCache>
                <c:formatCode>0.0</c:formatCode>
                <c:ptCount val="4"/>
                <c:pt idx="0">
                  <c:v>55.2</c:v>
                </c:pt>
                <c:pt idx="1">
                  <c:v>21.14</c:v>
                </c:pt>
                <c:pt idx="2">
                  <c:v>11.07</c:v>
                </c:pt>
                <c:pt idx="3">
                  <c:v>11.62</c:v>
                </c:pt>
              </c:numCache>
            </c:numRef>
          </c:val>
          <c:extLst xmlns:c16r2="http://schemas.microsoft.com/office/drawing/2015/06/chart">
            <c:ext xmlns:c16="http://schemas.microsoft.com/office/drawing/2014/chart" uri="{C3380CC4-5D6E-409C-BE32-E72D297353CC}">
              <c16:uniqueId val="{00000002-BC24-42BE-B09A-D82A20E3ABBB}"/>
            </c:ext>
          </c:extLst>
        </c:ser>
        <c:ser>
          <c:idx val="3"/>
          <c:order val="3"/>
          <c:tx>
            <c:strRef>
              <c:f>Sheet1!$E$1</c:f>
              <c:strCache>
                <c:ptCount val="1"/>
                <c:pt idx="0">
                  <c:v>3 years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Sheet1!$E$2:$E$5</c:f>
              <c:numCache>
                <c:formatCode>0.0</c:formatCode>
                <c:ptCount val="4"/>
                <c:pt idx="0">
                  <c:v>50.3</c:v>
                </c:pt>
                <c:pt idx="1">
                  <c:v>23.97</c:v>
                </c:pt>
                <c:pt idx="2">
                  <c:v>13.34</c:v>
                </c:pt>
                <c:pt idx="3">
                  <c:v>11.04</c:v>
                </c:pt>
              </c:numCache>
            </c:numRef>
          </c:val>
          <c:extLst xmlns:c16r2="http://schemas.microsoft.com/office/drawing/2015/06/chart">
            <c:ext xmlns:c16="http://schemas.microsoft.com/office/drawing/2014/chart" uri="{C3380CC4-5D6E-409C-BE32-E72D297353CC}">
              <c16:uniqueId val="{00000003-BC24-42BE-B09A-D82A20E3ABBB}"/>
            </c:ext>
          </c:extLst>
        </c:ser>
        <c:ser>
          <c:idx val="4"/>
          <c:order val="4"/>
          <c:tx>
            <c:strRef>
              <c:f>Sheet1!$F$1</c:f>
              <c:strCache>
                <c:ptCount val="1"/>
                <c:pt idx="0">
                  <c:v>4 years</c:v>
                </c:pt>
              </c:strCache>
            </c:strRef>
          </c:tx>
          <c:spPr>
            <a:solidFill>
              <a:schemeClr val="accent5"/>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Sheet1!$F$2:$F$5</c:f>
              <c:numCache>
                <c:formatCode>0.0</c:formatCode>
                <c:ptCount val="4"/>
                <c:pt idx="0">
                  <c:v>51.91</c:v>
                </c:pt>
                <c:pt idx="1">
                  <c:v>26.02</c:v>
                </c:pt>
                <c:pt idx="2">
                  <c:v>9.58</c:v>
                </c:pt>
                <c:pt idx="3">
                  <c:v>11.02</c:v>
                </c:pt>
              </c:numCache>
            </c:numRef>
          </c:val>
          <c:extLst xmlns:c16r2="http://schemas.microsoft.com/office/drawing/2015/06/chart">
            <c:ext xmlns:c16="http://schemas.microsoft.com/office/drawing/2014/chart" uri="{C3380CC4-5D6E-409C-BE32-E72D297353CC}">
              <c16:uniqueId val="{00000004-BC24-42BE-B09A-D82A20E3ABBB}"/>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Minimal (0–4)</c:v>
                </c:pt>
                <c:pt idx="1">
                  <c:v>Mild (5–9)</c:v>
                </c:pt>
                <c:pt idx="2">
                  <c:v>Moderate (10–14)</c:v>
                </c:pt>
                <c:pt idx="3">
                  <c:v>Severe (15–21)</c:v>
                </c:pt>
              </c:strCache>
            </c:strRef>
          </c:cat>
          <c:val>
            <c:numRef>
              <c:f>Sheet1!$G$2:$G$5</c:f>
              <c:numCache>
                <c:formatCode>0.0</c:formatCode>
                <c:ptCount val="4"/>
                <c:pt idx="0">
                  <c:v>55.42</c:v>
                </c:pt>
                <c:pt idx="1">
                  <c:v>21.73</c:v>
                </c:pt>
                <c:pt idx="2">
                  <c:v>11.62</c:v>
                </c:pt>
                <c:pt idx="3">
                  <c:v>10.88</c:v>
                </c:pt>
              </c:numCache>
            </c:numRef>
          </c:val>
          <c:extLst xmlns:c16r2="http://schemas.microsoft.com/office/drawing/2015/06/chart">
            <c:ext xmlns:c16="http://schemas.microsoft.com/office/drawing/2014/chart" uri="{C3380CC4-5D6E-409C-BE32-E72D297353CC}">
              <c16:uniqueId val="{00000005-BC24-42BE-B09A-D82A20E3ABBB}"/>
            </c:ext>
          </c:extLst>
        </c:ser>
        <c:dLbls>
          <c:showLegendKey val="0"/>
          <c:showVal val="0"/>
          <c:showCatName val="0"/>
          <c:showSerName val="0"/>
          <c:showPercent val="0"/>
          <c:showBubbleSize val="0"/>
        </c:dLbls>
        <c:gapWidth val="150"/>
        <c:axId val="660057032"/>
        <c:axId val="660061344"/>
      </c:barChart>
      <c:catAx>
        <c:axId val="660057032"/>
        <c:scaling>
          <c:orientation val="minMax"/>
        </c:scaling>
        <c:delete val="0"/>
        <c:axPos val="b"/>
        <c:numFmt formatCode="General" sourceLinked="1"/>
        <c:majorTickMark val="out"/>
        <c:minorTickMark val="none"/>
        <c:tickLblPos val="nextTo"/>
        <c:crossAx val="660061344"/>
        <c:crosses val="autoZero"/>
        <c:auto val="1"/>
        <c:lblAlgn val="ctr"/>
        <c:lblOffset val="100"/>
        <c:noMultiLvlLbl val="0"/>
      </c:catAx>
      <c:valAx>
        <c:axId val="660061344"/>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3324584426946632E-3"/>
              <c:y val="0.34731586286089239"/>
            </c:manualLayout>
          </c:layout>
          <c:overlay val="0"/>
        </c:title>
        <c:numFmt formatCode="0.0" sourceLinked="1"/>
        <c:majorTickMark val="out"/>
        <c:minorTickMark val="none"/>
        <c:tickLblPos val="nextTo"/>
        <c:crossAx val="660057032"/>
        <c:crosses val="autoZero"/>
        <c:crossBetween val="between"/>
      </c:valAx>
    </c:plotArea>
    <c:legend>
      <c:legendPos val="r"/>
      <c:layout>
        <c:manualLayout>
          <c:xMode val="edge"/>
          <c:yMode val="edge"/>
          <c:x val="0.64286592300962375"/>
          <c:y val="9.7926919291338579E-2"/>
          <c:w val="0.28961424872139302"/>
          <c:h val="0.3183606103023949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8095749394962"/>
          <c:y val="4.9407886514185727E-2"/>
          <c:w val="0.83091844845000828"/>
          <c:h val="0.50280398435555274"/>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cat>
            <c:strRef>
              <c:f>Sheet1!$A$2:$A$19</c:f>
              <c:strCache>
                <c:ptCount val="18"/>
                <c:pt idx="0">
                  <c:v>Seriously fear you would encounter IED</c:v>
                </c:pt>
                <c:pt idx="1">
                  <c:v>Go on combat patrols</c:v>
                </c:pt>
                <c:pt idx="2">
                  <c:v>Concern about unauthorised discharge of weapon</c:v>
                </c:pt>
                <c:pt idx="3">
                  <c:v>Clear/search buildings</c:v>
                </c:pt>
                <c:pt idx="4">
                  <c:v>Come under fire</c:v>
                </c:pt>
                <c:pt idx="5">
                  <c:v>In danger of being killed or injured</c:v>
                </c:pt>
                <c:pt idx="6">
                  <c:v>Have casualties among people close to you</c:v>
                </c:pt>
                <c:pt idx="7">
                  <c:v>Handle or see dead bodies</c:v>
                </c:pt>
                <c:pt idx="8">
                  <c:v>Experience threatening situation unable to respond</c:v>
                </c:pt>
                <c:pt idx="9">
                  <c:v>Witness human degradation</c:v>
                </c:pt>
                <c:pt idx="10">
                  <c:v>Discharge weapon in direct combat</c:v>
                </c:pt>
                <c:pt idx="11">
                  <c:v>Believe your action resulted in injury or death</c:v>
                </c:pt>
                <c:pt idx="12">
                  <c:v>Exposed to smoke</c:v>
                </c:pt>
                <c:pt idx="13">
                  <c:v>Exposed to fumes</c:v>
                </c:pt>
                <c:pt idx="14">
                  <c:v>Exposed to chemicals</c:v>
                </c:pt>
                <c:pt idx="15">
                  <c:v>Exposed to hazardous materials</c:v>
                </c:pt>
                <c:pt idx="16">
                  <c:v>Exposed to local food or water</c:v>
                </c:pt>
                <c:pt idx="17">
                  <c:v>Exposed to  loud noise</c:v>
                </c:pt>
              </c:strCache>
            </c:strRef>
          </c:cat>
          <c:val>
            <c:numRef>
              <c:f>Sheet1!$B$2:$B$19</c:f>
              <c:numCache>
                <c:formatCode>General</c:formatCode>
                <c:ptCount val="18"/>
                <c:pt idx="0">
                  <c:v>33.92</c:v>
                </c:pt>
                <c:pt idx="1">
                  <c:v>38.28</c:v>
                </c:pt>
                <c:pt idx="2">
                  <c:v>40.31</c:v>
                </c:pt>
                <c:pt idx="3">
                  <c:v>28.98</c:v>
                </c:pt>
                <c:pt idx="4">
                  <c:v>37.119999999999997</c:v>
                </c:pt>
                <c:pt idx="5">
                  <c:v>46.83</c:v>
                </c:pt>
                <c:pt idx="6">
                  <c:v>39.08</c:v>
                </c:pt>
                <c:pt idx="7">
                  <c:v>37.4</c:v>
                </c:pt>
                <c:pt idx="8">
                  <c:v>21.72</c:v>
                </c:pt>
                <c:pt idx="9">
                  <c:v>33.840000000000003</c:v>
                </c:pt>
                <c:pt idx="10">
                  <c:v>11.86</c:v>
                </c:pt>
                <c:pt idx="11">
                  <c:v>12.3</c:v>
                </c:pt>
                <c:pt idx="12">
                  <c:v>65.31</c:v>
                </c:pt>
                <c:pt idx="13">
                  <c:v>67.040000000000006</c:v>
                </c:pt>
                <c:pt idx="14">
                  <c:v>55.8</c:v>
                </c:pt>
                <c:pt idx="15">
                  <c:v>25.52</c:v>
                </c:pt>
                <c:pt idx="16">
                  <c:v>52.61</c:v>
                </c:pt>
                <c:pt idx="17">
                  <c:v>66.290000000000006</c:v>
                </c:pt>
              </c:numCache>
            </c:numRef>
          </c:val>
          <c:extLst xmlns:c16r2="http://schemas.microsoft.com/office/drawing/2015/06/chart">
            <c:ext xmlns:c16="http://schemas.microsoft.com/office/drawing/2014/chart" uri="{C3380CC4-5D6E-409C-BE32-E72D297353CC}">
              <c16:uniqueId val="{00000000-8ABB-4E94-A42A-26F0BEEE9897}"/>
            </c:ext>
          </c:extLst>
        </c:ser>
        <c:ser>
          <c:idx val="1"/>
          <c:order val="1"/>
          <c:tx>
            <c:strRef>
              <c:f>Sheet1!$C$1</c:f>
              <c:strCache>
                <c:ptCount val="1"/>
                <c:pt idx="0">
                  <c:v>2015 Regular ADF</c:v>
                </c:pt>
              </c:strCache>
            </c:strRef>
          </c:tx>
          <c:spPr>
            <a:solidFill>
              <a:schemeClr val="accent2"/>
            </a:solidFill>
          </c:spPr>
          <c:invertIfNegative val="0"/>
          <c:cat>
            <c:strRef>
              <c:f>Sheet1!$A$2:$A$19</c:f>
              <c:strCache>
                <c:ptCount val="18"/>
                <c:pt idx="0">
                  <c:v>Seriously fear you would encounter IED</c:v>
                </c:pt>
                <c:pt idx="1">
                  <c:v>Go on combat patrols</c:v>
                </c:pt>
                <c:pt idx="2">
                  <c:v>Concern about unauthorised discharge of weapon</c:v>
                </c:pt>
                <c:pt idx="3">
                  <c:v>Clear/search buildings</c:v>
                </c:pt>
                <c:pt idx="4">
                  <c:v>Come under fire</c:v>
                </c:pt>
                <c:pt idx="5">
                  <c:v>In danger of being killed or injured</c:v>
                </c:pt>
                <c:pt idx="6">
                  <c:v>Have casualties among people close to you</c:v>
                </c:pt>
                <c:pt idx="7">
                  <c:v>Handle or see dead bodies</c:v>
                </c:pt>
                <c:pt idx="8">
                  <c:v>Experience threatening situation unable to respond</c:v>
                </c:pt>
                <c:pt idx="9">
                  <c:v>Witness human degradation</c:v>
                </c:pt>
                <c:pt idx="10">
                  <c:v>Discharge weapon in direct combat</c:v>
                </c:pt>
                <c:pt idx="11">
                  <c:v>Believe your action resulted in injury or death</c:v>
                </c:pt>
                <c:pt idx="12">
                  <c:v>Exposed to smoke</c:v>
                </c:pt>
                <c:pt idx="13">
                  <c:v>Exposed to fumes</c:v>
                </c:pt>
                <c:pt idx="14">
                  <c:v>Exposed to chemicals</c:v>
                </c:pt>
                <c:pt idx="15">
                  <c:v>Exposed to hazardous materials</c:v>
                </c:pt>
                <c:pt idx="16">
                  <c:v>Exposed to local food or water</c:v>
                </c:pt>
                <c:pt idx="17">
                  <c:v>Exposed to  loud noise</c:v>
                </c:pt>
              </c:strCache>
            </c:strRef>
          </c:cat>
          <c:val>
            <c:numRef>
              <c:f>Sheet1!$C$2:$C$19</c:f>
              <c:numCache>
                <c:formatCode>General</c:formatCode>
                <c:ptCount val="18"/>
                <c:pt idx="0">
                  <c:v>29.46</c:v>
                </c:pt>
                <c:pt idx="1">
                  <c:v>29.88</c:v>
                </c:pt>
                <c:pt idx="2">
                  <c:v>34.15</c:v>
                </c:pt>
                <c:pt idx="3">
                  <c:v>20.190000000000001</c:v>
                </c:pt>
                <c:pt idx="4">
                  <c:v>32.35</c:v>
                </c:pt>
                <c:pt idx="5">
                  <c:v>39.43</c:v>
                </c:pt>
                <c:pt idx="6">
                  <c:v>27.34</c:v>
                </c:pt>
                <c:pt idx="7">
                  <c:v>30.15</c:v>
                </c:pt>
                <c:pt idx="8">
                  <c:v>13.24</c:v>
                </c:pt>
                <c:pt idx="9">
                  <c:v>27.54</c:v>
                </c:pt>
                <c:pt idx="10">
                  <c:v>6.85</c:v>
                </c:pt>
                <c:pt idx="11">
                  <c:v>7.53</c:v>
                </c:pt>
                <c:pt idx="12">
                  <c:v>62.66</c:v>
                </c:pt>
                <c:pt idx="13">
                  <c:v>64.8</c:v>
                </c:pt>
                <c:pt idx="14">
                  <c:v>50.48</c:v>
                </c:pt>
                <c:pt idx="15">
                  <c:v>20.75</c:v>
                </c:pt>
                <c:pt idx="16">
                  <c:v>49.79</c:v>
                </c:pt>
                <c:pt idx="17">
                  <c:v>61.14</c:v>
                </c:pt>
              </c:numCache>
            </c:numRef>
          </c:val>
          <c:extLst xmlns:c16r2="http://schemas.microsoft.com/office/drawing/2015/06/chart">
            <c:ext xmlns:c16="http://schemas.microsoft.com/office/drawing/2014/chart" uri="{C3380CC4-5D6E-409C-BE32-E72D297353CC}">
              <c16:uniqueId val="{00000001-8ABB-4E94-A42A-26F0BEEE9897}"/>
            </c:ext>
          </c:extLst>
        </c:ser>
        <c:dLbls>
          <c:showLegendKey val="0"/>
          <c:showVal val="0"/>
          <c:showCatName val="0"/>
          <c:showSerName val="0"/>
          <c:showPercent val="0"/>
          <c:showBubbleSize val="0"/>
        </c:dLbls>
        <c:gapWidth val="150"/>
        <c:axId val="660057816"/>
        <c:axId val="660061736"/>
      </c:barChart>
      <c:catAx>
        <c:axId val="660057816"/>
        <c:scaling>
          <c:orientation val="minMax"/>
        </c:scaling>
        <c:delete val="0"/>
        <c:axPos val="b"/>
        <c:numFmt formatCode="General" sourceLinked="0"/>
        <c:majorTickMark val="out"/>
        <c:minorTickMark val="none"/>
        <c:tickLblPos val="nextTo"/>
        <c:crossAx val="660061736"/>
        <c:crosses val="autoZero"/>
        <c:auto val="1"/>
        <c:lblAlgn val="ctr"/>
        <c:lblOffset val="100"/>
        <c:noMultiLvlLbl val="0"/>
      </c:catAx>
      <c:valAx>
        <c:axId val="660061736"/>
        <c:scaling>
          <c:orientation val="minMax"/>
        </c:scaling>
        <c:delete val="0"/>
        <c:axPos val="l"/>
        <c:majorGridlines>
          <c:spPr>
            <a:ln>
              <a:solidFill>
                <a:sysClr val="window" lastClr="FFFFFF">
                  <a:lumMod val="75000"/>
                  <a:alpha val="26000"/>
                </a:sysClr>
              </a:solidFill>
            </a:ln>
          </c:spPr>
        </c:majorGridlines>
        <c:title>
          <c:tx>
            <c:rich>
              <a:bodyPr/>
              <a:lstStyle/>
              <a:p>
                <a:pPr>
                  <a:defRPr/>
                </a:pPr>
                <a:r>
                  <a:rPr lang="en-GB"/>
                  <a:t>Percentage</a:t>
                </a:r>
              </a:p>
            </c:rich>
          </c:tx>
          <c:layout>
            <c:manualLayout>
              <c:xMode val="edge"/>
              <c:yMode val="edge"/>
              <c:x val="1.6612967449581618E-2"/>
              <c:y val="0.18159813356663751"/>
            </c:manualLayout>
          </c:layout>
          <c:overlay val="0"/>
        </c:title>
        <c:numFmt formatCode="General" sourceLinked="1"/>
        <c:majorTickMark val="out"/>
        <c:minorTickMark val="none"/>
        <c:tickLblPos val="nextTo"/>
        <c:crossAx val="660057816"/>
        <c:crosses val="autoZero"/>
        <c:crossBetween val="between"/>
      </c:valAx>
    </c:plotArea>
    <c:legend>
      <c:legendPos val="r"/>
      <c:layout>
        <c:manualLayout>
          <c:xMode val="edge"/>
          <c:yMode val="edge"/>
          <c:x val="0.17664948314924156"/>
          <c:y val="7.0747406574178232E-2"/>
          <c:w val="0.19212782093119452"/>
          <c:h val="8.7215517773072099E-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659385409178364"/>
          <c:y val="4.2748846735067209E-2"/>
          <c:w val="0.78590728299386681"/>
          <c:h val="0.4610721855601056"/>
        </c:manualLayout>
      </c:layout>
      <c:barChart>
        <c:barDir val="col"/>
        <c:grouping val="clustered"/>
        <c:varyColors val="0"/>
        <c:ser>
          <c:idx val="0"/>
          <c:order val="0"/>
          <c:tx>
            <c:strRef>
              <c:f>Sheet1!$B$1</c:f>
              <c:strCache>
                <c:ptCount val="1"/>
                <c:pt idx="0">
                  <c:v>Transitioned ADF </c:v>
                </c:pt>
              </c:strCache>
            </c:strRef>
          </c:tx>
          <c:spPr>
            <a:solidFill>
              <a:schemeClr val="accent1"/>
            </a:solidFill>
          </c:spPr>
          <c:invertIfNegative val="0"/>
          <c:cat>
            <c:strRef>
              <c:f>Sheet1!$A$2:$A$27</c:f>
              <c:strCache>
                <c:ptCount val="26"/>
                <c:pt idx="0">
                  <c:v>Combat (military or organised group)</c:v>
                </c:pt>
                <c:pt idx="1">
                  <c:v>Peacekeeper (in a war zone or place of ongoing terror)</c:v>
                </c:pt>
                <c:pt idx="2">
                  <c:v>Unarmed civilian (in a place or war, revolution, military coup or invasion)</c:v>
                </c:pt>
                <c:pt idx="3">
                  <c:v>Lived as a civilian (in a place of ongoing terror for political, ethnic, religious or other reason)</c:v>
                </c:pt>
                <c:pt idx="4">
                  <c:v>Refugee</c:v>
                </c:pt>
                <c:pt idx="5">
                  <c:v>Kidnapped or held captive</c:v>
                </c:pt>
                <c:pt idx="6">
                  <c:v>Exposed to a toxic chemical which could cause harm</c:v>
                </c:pt>
                <c:pt idx="7">
                  <c:v>Life-threatening automobile accident</c:v>
                </c:pt>
                <c:pt idx="8">
                  <c:v>Other life-threatening accident</c:v>
                </c:pt>
                <c:pt idx="9">
                  <c:v>Major natural disaster</c:v>
                </c:pt>
                <c:pt idx="10">
                  <c:v>Man-made disaster</c:v>
                </c:pt>
                <c:pt idx="11">
                  <c:v>Life-threatening illness</c:v>
                </c:pt>
                <c:pt idx="12">
                  <c:v>Beaten by spouse/romantic partner</c:v>
                </c:pt>
                <c:pt idx="13">
                  <c:v>Badly beaten by anyone else</c:v>
                </c:pt>
                <c:pt idx="14">
                  <c:v>Mugged, held up, threatened with a weapon</c:v>
                </c:pt>
                <c:pt idx="15">
                  <c:v>Rape</c:v>
                </c:pt>
                <c:pt idx="16">
                  <c:v>Sexual assault</c:v>
                </c:pt>
                <c:pt idx="17">
                  <c:v>Stalked</c:v>
                </c:pt>
                <c:pt idx="18">
                  <c:v>Some-one close died unexpectedly</c:v>
                </c:pt>
                <c:pt idx="19">
                  <c:v>Child had life-threatening illness/injury</c:v>
                </c:pt>
                <c:pt idx="20">
                  <c:v>Some-one close had traumatic experience</c:v>
                </c:pt>
                <c:pt idx="21">
                  <c:v>Saw someone badly injured/killed or unexpectedly saw a dead body</c:v>
                </c:pt>
                <c:pt idx="22">
                  <c:v>Accidently injured/killed someone</c:v>
                </c:pt>
                <c:pt idx="23">
                  <c:v>Purposely injured/tortured/killed someone</c:v>
                </c:pt>
                <c:pt idx="24">
                  <c:v>Saw atrocities or carnage such as mutilated bodies or mass killings</c:v>
                </c:pt>
                <c:pt idx="25">
                  <c:v>Other traumatic event.</c:v>
                </c:pt>
              </c:strCache>
            </c:strRef>
          </c:cat>
          <c:val>
            <c:numRef>
              <c:f>Sheet1!$B$2:$B$27</c:f>
              <c:numCache>
                <c:formatCode>General</c:formatCode>
                <c:ptCount val="26"/>
                <c:pt idx="0">
                  <c:v>26.75</c:v>
                </c:pt>
                <c:pt idx="1">
                  <c:v>25.77</c:v>
                </c:pt>
                <c:pt idx="2">
                  <c:v>3.04</c:v>
                </c:pt>
                <c:pt idx="3">
                  <c:v>3.07</c:v>
                </c:pt>
                <c:pt idx="4">
                  <c:v>0.48</c:v>
                </c:pt>
                <c:pt idx="5">
                  <c:v>0.78</c:v>
                </c:pt>
                <c:pt idx="6">
                  <c:v>25.59</c:v>
                </c:pt>
                <c:pt idx="7">
                  <c:v>13.37</c:v>
                </c:pt>
                <c:pt idx="8">
                  <c:v>14.69</c:v>
                </c:pt>
                <c:pt idx="9">
                  <c:v>15.7</c:v>
                </c:pt>
                <c:pt idx="10">
                  <c:v>10.62</c:v>
                </c:pt>
                <c:pt idx="11">
                  <c:v>7.28</c:v>
                </c:pt>
                <c:pt idx="12">
                  <c:v>2.41</c:v>
                </c:pt>
                <c:pt idx="13">
                  <c:v>8.7100000000000009</c:v>
                </c:pt>
                <c:pt idx="14">
                  <c:v>16.579999999999991</c:v>
                </c:pt>
                <c:pt idx="15">
                  <c:v>3.76</c:v>
                </c:pt>
                <c:pt idx="16">
                  <c:v>7.26</c:v>
                </c:pt>
                <c:pt idx="17">
                  <c:v>5.34</c:v>
                </c:pt>
                <c:pt idx="18">
                  <c:v>29.13</c:v>
                </c:pt>
                <c:pt idx="19">
                  <c:v>3.68</c:v>
                </c:pt>
                <c:pt idx="20">
                  <c:v>7.9</c:v>
                </c:pt>
                <c:pt idx="21">
                  <c:v>37.81</c:v>
                </c:pt>
                <c:pt idx="22">
                  <c:v>4.04</c:v>
                </c:pt>
                <c:pt idx="23">
                  <c:v>4.76</c:v>
                </c:pt>
                <c:pt idx="24">
                  <c:v>11.64</c:v>
                </c:pt>
                <c:pt idx="25">
                  <c:v>11.69</c:v>
                </c:pt>
              </c:numCache>
            </c:numRef>
          </c:val>
          <c:extLst xmlns:c16r2="http://schemas.microsoft.com/office/drawing/2015/06/chart">
            <c:ext xmlns:c16="http://schemas.microsoft.com/office/drawing/2014/chart" uri="{C3380CC4-5D6E-409C-BE32-E72D297353CC}">
              <c16:uniqueId val="{00000000-FAD9-4E27-8DFE-DB273314CFD1}"/>
            </c:ext>
          </c:extLst>
        </c:ser>
        <c:ser>
          <c:idx val="1"/>
          <c:order val="1"/>
          <c:tx>
            <c:strRef>
              <c:f>Sheet1!$C$1</c:f>
              <c:strCache>
                <c:ptCount val="1"/>
                <c:pt idx="0">
                  <c:v>2015 Regular ADF </c:v>
                </c:pt>
              </c:strCache>
            </c:strRef>
          </c:tx>
          <c:spPr>
            <a:solidFill>
              <a:schemeClr val="accent2"/>
            </a:solidFill>
          </c:spPr>
          <c:invertIfNegative val="0"/>
          <c:cat>
            <c:strRef>
              <c:f>Sheet1!$A$2:$A$27</c:f>
              <c:strCache>
                <c:ptCount val="26"/>
                <c:pt idx="0">
                  <c:v>Combat (military or organised group)</c:v>
                </c:pt>
                <c:pt idx="1">
                  <c:v>Peacekeeper (in a war zone or place of ongoing terror)</c:v>
                </c:pt>
                <c:pt idx="2">
                  <c:v>Unarmed civilian (in a place or war, revolution, military coup or invasion)</c:v>
                </c:pt>
                <c:pt idx="3">
                  <c:v>Lived as a civilian (in a place of ongoing terror for political, ethnic, religious or other reason)</c:v>
                </c:pt>
                <c:pt idx="4">
                  <c:v>Refugee</c:v>
                </c:pt>
                <c:pt idx="5">
                  <c:v>Kidnapped or held captive</c:v>
                </c:pt>
                <c:pt idx="6">
                  <c:v>Exposed to a toxic chemical which could cause harm</c:v>
                </c:pt>
                <c:pt idx="7">
                  <c:v>Life-threatening automobile accident</c:v>
                </c:pt>
                <c:pt idx="8">
                  <c:v>Other life-threatening accident</c:v>
                </c:pt>
                <c:pt idx="9">
                  <c:v>Major natural disaster</c:v>
                </c:pt>
                <c:pt idx="10">
                  <c:v>Man-made disaster</c:v>
                </c:pt>
                <c:pt idx="11">
                  <c:v>Life-threatening illness</c:v>
                </c:pt>
                <c:pt idx="12">
                  <c:v>Beaten by spouse/romantic partner</c:v>
                </c:pt>
                <c:pt idx="13">
                  <c:v>Badly beaten by anyone else</c:v>
                </c:pt>
                <c:pt idx="14">
                  <c:v>Mugged, held up, threatened with a weapon</c:v>
                </c:pt>
                <c:pt idx="15">
                  <c:v>Rape</c:v>
                </c:pt>
                <c:pt idx="16">
                  <c:v>Sexual assault</c:v>
                </c:pt>
                <c:pt idx="17">
                  <c:v>Stalked</c:v>
                </c:pt>
                <c:pt idx="18">
                  <c:v>Some-one close died unexpectedly</c:v>
                </c:pt>
                <c:pt idx="19">
                  <c:v>Child had life-threatening illness/injury</c:v>
                </c:pt>
                <c:pt idx="20">
                  <c:v>Some-one close had traumatic experience</c:v>
                </c:pt>
                <c:pt idx="21">
                  <c:v>Saw someone badly injured/killed or unexpectedly saw a dead body</c:v>
                </c:pt>
                <c:pt idx="22">
                  <c:v>Accidently injured/killed someone</c:v>
                </c:pt>
                <c:pt idx="23">
                  <c:v>Purposely injured/tortured/killed someone</c:v>
                </c:pt>
                <c:pt idx="24">
                  <c:v>Saw atrocities or carnage such as mutilated bodies or mass killings</c:v>
                </c:pt>
                <c:pt idx="25">
                  <c:v>Other traumatic event.</c:v>
                </c:pt>
              </c:strCache>
            </c:strRef>
          </c:cat>
          <c:val>
            <c:numRef>
              <c:f>Sheet1!$C$2:$C$27</c:f>
              <c:numCache>
                <c:formatCode>General</c:formatCode>
                <c:ptCount val="26"/>
                <c:pt idx="0">
                  <c:v>18.420000000000002</c:v>
                </c:pt>
                <c:pt idx="1">
                  <c:v>19.010000000000009</c:v>
                </c:pt>
                <c:pt idx="2">
                  <c:v>2.58</c:v>
                </c:pt>
                <c:pt idx="3">
                  <c:v>2.2000000000000002</c:v>
                </c:pt>
                <c:pt idx="4">
                  <c:v>0.38</c:v>
                </c:pt>
                <c:pt idx="5">
                  <c:v>0.41</c:v>
                </c:pt>
                <c:pt idx="6">
                  <c:v>18.79</c:v>
                </c:pt>
                <c:pt idx="7">
                  <c:v>11.25</c:v>
                </c:pt>
                <c:pt idx="8">
                  <c:v>9.76</c:v>
                </c:pt>
                <c:pt idx="9">
                  <c:v>12.05</c:v>
                </c:pt>
                <c:pt idx="10">
                  <c:v>5.76</c:v>
                </c:pt>
                <c:pt idx="11">
                  <c:v>3.94</c:v>
                </c:pt>
                <c:pt idx="12">
                  <c:v>1.17</c:v>
                </c:pt>
                <c:pt idx="13">
                  <c:v>8.01</c:v>
                </c:pt>
                <c:pt idx="14">
                  <c:v>13.46</c:v>
                </c:pt>
                <c:pt idx="15">
                  <c:v>2.4300000000000002</c:v>
                </c:pt>
                <c:pt idx="16">
                  <c:v>5.1899999999999986</c:v>
                </c:pt>
                <c:pt idx="17">
                  <c:v>3.16</c:v>
                </c:pt>
                <c:pt idx="18">
                  <c:v>24.43</c:v>
                </c:pt>
                <c:pt idx="19">
                  <c:v>4.1399999999999997</c:v>
                </c:pt>
                <c:pt idx="20">
                  <c:v>6.73</c:v>
                </c:pt>
                <c:pt idx="21">
                  <c:v>28.8</c:v>
                </c:pt>
                <c:pt idx="22">
                  <c:v>3.72</c:v>
                </c:pt>
                <c:pt idx="23">
                  <c:v>1.98</c:v>
                </c:pt>
                <c:pt idx="24">
                  <c:v>7.74</c:v>
                </c:pt>
                <c:pt idx="25">
                  <c:v>8.56</c:v>
                </c:pt>
              </c:numCache>
            </c:numRef>
          </c:val>
          <c:extLst xmlns:c16r2="http://schemas.microsoft.com/office/drawing/2015/06/chart">
            <c:ext xmlns:c16="http://schemas.microsoft.com/office/drawing/2014/chart" uri="{C3380CC4-5D6E-409C-BE32-E72D297353CC}">
              <c16:uniqueId val="{00000001-FAD9-4E27-8DFE-DB273314CFD1}"/>
            </c:ext>
          </c:extLst>
        </c:ser>
        <c:dLbls>
          <c:showLegendKey val="0"/>
          <c:showVal val="0"/>
          <c:showCatName val="0"/>
          <c:showSerName val="0"/>
          <c:showPercent val="0"/>
          <c:showBubbleSize val="0"/>
        </c:dLbls>
        <c:gapWidth val="150"/>
        <c:axId val="660050760"/>
        <c:axId val="660064088"/>
      </c:barChart>
      <c:catAx>
        <c:axId val="660050760"/>
        <c:scaling>
          <c:orientation val="minMax"/>
        </c:scaling>
        <c:delete val="0"/>
        <c:axPos val="b"/>
        <c:numFmt formatCode="General" sourceLinked="0"/>
        <c:majorTickMark val="out"/>
        <c:minorTickMark val="none"/>
        <c:tickLblPos val="nextTo"/>
        <c:crossAx val="660064088"/>
        <c:crosses val="autoZero"/>
        <c:auto val="1"/>
        <c:lblAlgn val="ctr"/>
        <c:lblOffset val="100"/>
        <c:noMultiLvlLbl val="0"/>
      </c:catAx>
      <c:valAx>
        <c:axId val="66006408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118538805004725E-3"/>
              <c:y val="0.19237378708343275"/>
            </c:manualLayout>
          </c:layout>
          <c:overlay val="0"/>
        </c:title>
        <c:numFmt formatCode="General" sourceLinked="1"/>
        <c:majorTickMark val="out"/>
        <c:minorTickMark val="none"/>
        <c:tickLblPos val="nextTo"/>
        <c:crossAx val="660050760"/>
        <c:crosses val="autoZero"/>
        <c:crossBetween val="between"/>
      </c:valAx>
    </c:plotArea>
    <c:legend>
      <c:legendPos val="r"/>
      <c:layout>
        <c:manualLayout>
          <c:xMode val="edge"/>
          <c:yMode val="edge"/>
          <c:x val="0.39481644259150694"/>
          <c:y val="6.6316710411198604E-2"/>
          <c:w val="0.18874903731571671"/>
          <c:h val="8.4597157810951992E-2"/>
        </c:manualLayout>
      </c:layout>
      <c:overlay val="0"/>
    </c:legend>
    <c:plotVisOnly val="1"/>
    <c:dispBlanksAs val="gap"/>
    <c:showDLblsOverMax val="0"/>
  </c:chart>
  <c:spPr>
    <a:solidFill>
      <a:schemeClr val="bg1"/>
    </a:solidFill>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4910588099564468E-2"/>
          <c:y val="4.82912332838039E-2"/>
          <c:w val="0.8813662715237518"/>
          <c:h val="0.84866899100299031"/>
        </c:manualLayout>
      </c:layout>
      <c:barChart>
        <c:barDir val="col"/>
        <c:grouping val="clustered"/>
        <c:varyColors val="0"/>
        <c:ser>
          <c:idx val="0"/>
          <c:order val="0"/>
          <c:tx>
            <c:strRef>
              <c:f>Sheet1!$B$1</c:f>
              <c:strCache>
                <c:ptCount val="1"/>
                <c:pt idx="0">
                  <c:v>3 months – 3.9 years </c:v>
                </c:pt>
              </c:strCache>
            </c:strRef>
          </c:tx>
          <c:spPr>
            <a:solidFill>
              <a:schemeClr val="accent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26.7</c:v>
                </c:pt>
                <c:pt idx="1">
                  <c:v>19.100000000000001</c:v>
                </c:pt>
                <c:pt idx="2">
                  <c:v>13.8</c:v>
                </c:pt>
                <c:pt idx="3">
                  <c:v>6.9</c:v>
                </c:pt>
                <c:pt idx="4">
                  <c:v>2.6</c:v>
                </c:pt>
                <c:pt idx="5">
                  <c:v>6.9</c:v>
                </c:pt>
                <c:pt idx="6">
                  <c:v>4.3</c:v>
                </c:pt>
                <c:pt idx="7">
                  <c:v>11.4</c:v>
                </c:pt>
                <c:pt idx="8">
                  <c:v>41.7</c:v>
                </c:pt>
              </c:numCache>
            </c:numRef>
          </c:val>
          <c:extLst xmlns:c16r2="http://schemas.microsoft.com/office/drawing/2015/06/chart">
            <c:ext xmlns:c16="http://schemas.microsoft.com/office/drawing/2014/chart" uri="{C3380CC4-5D6E-409C-BE32-E72D297353CC}">
              <c16:uniqueId val="{00000000-C34D-4544-871A-787C6EC08CCD}"/>
            </c:ext>
          </c:extLst>
        </c:ser>
        <c:ser>
          <c:idx val="1"/>
          <c:order val="1"/>
          <c:tx>
            <c:strRef>
              <c:f>Sheet1!$C$1</c:f>
              <c:strCache>
                <c:ptCount val="1"/>
                <c:pt idx="0">
                  <c:v>4–7.9 years </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16.399999999999999</c:v>
                </c:pt>
                <c:pt idx="1">
                  <c:v>4.8</c:v>
                </c:pt>
                <c:pt idx="2">
                  <c:v>14.6</c:v>
                </c:pt>
                <c:pt idx="3">
                  <c:v>12.7</c:v>
                </c:pt>
                <c:pt idx="4">
                  <c:v>6.4</c:v>
                </c:pt>
                <c:pt idx="5">
                  <c:v>2.6</c:v>
                </c:pt>
                <c:pt idx="6">
                  <c:v>6.4</c:v>
                </c:pt>
                <c:pt idx="7">
                  <c:v>21.2</c:v>
                </c:pt>
                <c:pt idx="8">
                  <c:v>37.200000000000003</c:v>
                </c:pt>
              </c:numCache>
            </c:numRef>
          </c:val>
          <c:extLst xmlns:c16r2="http://schemas.microsoft.com/office/drawing/2015/06/chart">
            <c:ext xmlns:c16="http://schemas.microsoft.com/office/drawing/2014/chart" uri="{C3380CC4-5D6E-409C-BE32-E72D297353CC}">
              <c16:uniqueId val="{00000001-C34D-4544-871A-787C6EC08CCD}"/>
            </c:ext>
          </c:extLst>
        </c:ser>
        <c:ser>
          <c:idx val="2"/>
          <c:order val="2"/>
          <c:tx>
            <c:strRef>
              <c:f>Sheet1!$D$1</c:f>
              <c:strCache>
                <c:ptCount val="1"/>
                <c:pt idx="0">
                  <c:v>8–11.9 years </c:v>
                </c:pt>
              </c:strCache>
            </c:strRef>
          </c:tx>
          <c:spPr>
            <a:solidFill>
              <a:schemeClr val="accent3"/>
            </a:solidFill>
            <a:effectLst/>
          </c:spPr>
          <c:invertIfNegative val="0"/>
          <c:dLbls>
            <c:dLbl>
              <c:idx val="2"/>
              <c:layout/>
              <c:tx>
                <c:rich>
                  <a:bodyPr/>
                  <a:lstStyle/>
                  <a:p>
                    <a:r>
                      <a:rPr lang="en-US"/>
                      <a:t>9.0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4D-4544-871A-787C6EC08CCD}"/>
                </c:ext>
                <c:ext xmlns:c15="http://schemas.microsoft.com/office/drawing/2012/chart" uri="{CE6537A1-D6FC-4f65-9D91-7224C49458BB}">
                  <c15:layout/>
                </c:ext>
              </c:extLst>
            </c:dLbl>
            <c:dLbl>
              <c:idx val="6"/>
              <c:layout/>
              <c:tx>
                <c:rich>
                  <a:bodyPr/>
                  <a:lstStyle/>
                  <a:p>
                    <a:r>
                      <a:rPr lang="en-US"/>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4D-4544-871A-787C6EC08CCD}"/>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Sheet1!$D$2:$D$10</c:f>
              <c:numCache>
                <c:formatCode>General</c:formatCode>
                <c:ptCount val="9"/>
                <c:pt idx="0">
                  <c:v>11.2</c:v>
                </c:pt>
                <c:pt idx="1">
                  <c:v>2.2000000000000002</c:v>
                </c:pt>
                <c:pt idx="2">
                  <c:v>9</c:v>
                </c:pt>
                <c:pt idx="3">
                  <c:v>13.1</c:v>
                </c:pt>
                <c:pt idx="4">
                  <c:v>9.5</c:v>
                </c:pt>
                <c:pt idx="5">
                  <c:v>2.8</c:v>
                </c:pt>
                <c:pt idx="6">
                  <c:v>1</c:v>
                </c:pt>
                <c:pt idx="7">
                  <c:v>13.5</c:v>
                </c:pt>
                <c:pt idx="8">
                  <c:v>41.2</c:v>
                </c:pt>
              </c:numCache>
            </c:numRef>
          </c:val>
          <c:extLst xmlns:c16r2="http://schemas.microsoft.com/office/drawing/2015/06/chart">
            <c:ext xmlns:c16="http://schemas.microsoft.com/office/drawing/2014/chart" uri="{C3380CC4-5D6E-409C-BE32-E72D297353CC}">
              <c16:uniqueId val="{00000004-C34D-4544-871A-787C6EC08CCD}"/>
            </c:ext>
          </c:extLst>
        </c:ser>
        <c:ser>
          <c:idx val="3"/>
          <c:order val="3"/>
          <c:tx>
            <c:strRef>
              <c:f>Sheet1!$E$1</c:f>
              <c:strCache>
                <c:ptCount val="1"/>
                <c:pt idx="0">
                  <c:v>12–15.9 years </c:v>
                </c:pt>
              </c:strCache>
            </c:strRef>
          </c:tx>
          <c:spPr>
            <a:solidFill>
              <a:schemeClr val="accent4"/>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Sheet1!$E$2:$E$10</c:f>
              <c:numCache>
                <c:formatCode>General</c:formatCode>
                <c:ptCount val="9"/>
                <c:pt idx="0">
                  <c:v>10.5</c:v>
                </c:pt>
                <c:pt idx="1">
                  <c:v>2.2000000000000002</c:v>
                </c:pt>
                <c:pt idx="2">
                  <c:v>9.3000000000000007</c:v>
                </c:pt>
                <c:pt idx="3">
                  <c:v>9.4</c:v>
                </c:pt>
                <c:pt idx="4">
                  <c:v>6.5</c:v>
                </c:pt>
                <c:pt idx="5">
                  <c:v>3.9</c:v>
                </c:pt>
                <c:pt idx="6">
                  <c:v>2.8</c:v>
                </c:pt>
                <c:pt idx="7">
                  <c:v>12.1</c:v>
                </c:pt>
                <c:pt idx="8">
                  <c:v>25.2</c:v>
                </c:pt>
              </c:numCache>
            </c:numRef>
          </c:val>
          <c:extLst xmlns:c16r2="http://schemas.microsoft.com/office/drawing/2015/06/chart">
            <c:ext xmlns:c16="http://schemas.microsoft.com/office/drawing/2014/chart" uri="{C3380CC4-5D6E-409C-BE32-E72D297353CC}">
              <c16:uniqueId val="{00000005-C34D-4544-871A-787C6EC08CCD}"/>
            </c:ext>
          </c:extLst>
        </c:ser>
        <c:ser>
          <c:idx val="4"/>
          <c:order val="4"/>
          <c:tx>
            <c:strRef>
              <c:f>Sheet1!$F$1</c:f>
              <c:strCache>
                <c:ptCount val="1"/>
                <c:pt idx="0">
                  <c:v>16–19.9 years </c:v>
                </c:pt>
              </c:strCache>
            </c:strRef>
          </c:tx>
          <c:spPr>
            <a:solidFill>
              <a:schemeClr val="accent5"/>
            </a:solidFill>
            <a:effectLst/>
          </c:spPr>
          <c:invertIfNegative val="0"/>
          <c:dLbls>
            <c:dLbl>
              <c:idx val="7"/>
              <c:layout/>
              <c:tx>
                <c:rich>
                  <a:bodyPr/>
                  <a:lstStyle/>
                  <a:p>
                    <a:r>
                      <a:rPr lang="en-US"/>
                      <a:t>15.0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4D-4544-871A-787C6EC08CCD}"/>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Sheet1!$F$2:$F$10</c:f>
              <c:numCache>
                <c:formatCode>General</c:formatCode>
                <c:ptCount val="9"/>
                <c:pt idx="0">
                  <c:v>20.3</c:v>
                </c:pt>
                <c:pt idx="1">
                  <c:v>5.8</c:v>
                </c:pt>
                <c:pt idx="2">
                  <c:v>14.3</c:v>
                </c:pt>
                <c:pt idx="3">
                  <c:v>11.7</c:v>
                </c:pt>
                <c:pt idx="4">
                  <c:v>15.4</c:v>
                </c:pt>
                <c:pt idx="5">
                  <c:v>2.4</c:v>
                </c:pt>
                <c:pt idx="6">
                  <c:v>2.8</c:v>
                </c:pt>
                <c:pt idx="7">
                  <c:v>15</c:v>
                </c:pt>
                <c:pt idx="8">
                  <c:v>37.4</c:v>
                </c:pt>
              </c:numCache>
            </c:numRef>
          </c:val>
          <c:extLst xmlns:c16r2="http://schemas.microsoft.com/office/drawing/2015/06/chart">
            <c:ext xmlns:c16="http://schemas.microsoft.com/office/drawing/2014/chart" uri="{C3380CC4-5D6E-409C-BE32-E72D297353CC}">
              <c16:uniqueId val="{00000007-C34D-4544-871A-787C6EC08CCD}"/>
            </c:ext>
          </c:extLst>
        </c:ser>
        <c:ser>
          <c:idx val="5"/>
          <c:order val="5"/>
          <c:tx>
            <c:strRef>
              <c:f>Sheet1!$G$1</c:f>
              <c:strCache>
                <c:ptCount val="1"/>
                <c:pt idx="0">
                  <c:v>&gt; 20 years </c:v>
                </c:pt>
              </c:strCache>
            </c:strRef>
          </c:tx>
          <c:spPr>
            <a:solidFill>
              <a:schemeClr val="accent6"/>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Sheet1!$G$2:$G$10</c:f>
              <c:numCache>
                <c:formatCode>General</c:formatCode>
                <c:ptCount val="9"/>
                <c:pt idx="0">
                  <c:v>14.6</c:v>
                </c:pt>
                <c:pt idx="1">
                  <c:v>5.6</c:v>
                </c:pt>
                <c:pt idx="2">
                  <c:v>11.5</c:v>
                </c:pt>
                <c:pt idx="3">
                  <c:v>7.4</c:v>
                </c:pt>
                <c:pt idx="4">
                  <c:v>10.3</c:v>
                </c:pt>
                <c:pt idx="5">
                  <c:v>5.2</c:v>
                </c:pt>
                <c:pt idx="6">
                  <c:v>3.8</c:v>
                </c:pt>
                <c:pt idx="7">
                  <c:v>17.3</c:v>
                </c:pt>
                <c:pt idx="8">
                  <c:v>35.5</c:v>
                </c:pt>
              </c:numCache>
            </c:numRef>
          </c:val>
          <c:extLst xmlns:c16r2="http://schemas.microsoft.com/office/drawing/2015/06/chart">
            <c:ext xmlns:c16="http://schemas.microsoft.com/office/drawing/2014/chart" uri="{C3380CC4-5D6E-409C-BE32-E72D297353CC}">
              <c16:uniqueId val="{00000008-C34D-4544-871A-787C6EC08CCD}"/>
            </c:ext>
          </c:extLst>
        </c:ser>
        <c:dLbls>
          <c:showLegendKey val="0"/>
          <c:showVal val="0"/>
          <c:showCatName val="0"/>
          <c:showSerName val="0"/>
          <c:showPercent val="0"/>
          <c:showBubbleSize val="0"/>
        </c:dLbls>
        <c:gapWidth val="150"/>
        <c:axId val="440861400"/>
        <c:axId val="440855520"/>
      </c:barChart>
      <c:catAx>
        <c:axId val="440861400"/>
        <c:scaling>
          <c:orientation val="minMax"/>
        </c:scaling>
        <c:delete val="0"/>
        <c:axPos val="b"/>
        <c:numFmt formatCode="General" sourceLinked="0"/>
        <c:majorTickMark val="out"/>
        <c:minorTickMark val="none"/>
        <c:tickLblPos val="nextTo"/>
        <c:txPr>
          <a:bodyPr rot="0"/>
          <a:lstStyle/>
          <a:p>
            <a:pPr>
              <a:defRPr/>
            </a:pPr>
            <a:endParaRPr lang="en-US"/>
          </a:p>
        </c:txPr>
        <c:crossAx val="440855520"/>
        <c:crosses val="autoZero"/>
        <c:auto val="1"/>
        <c:lblAlgn val="ctr"/>
        <c:lblOffset val="100"/>
        <c:noMultiLvlLbl val="0"/>
      </c:catAx>
      <c:valAx>
        <c:axId val="44085552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3788336048817857E-3"/>
              <c:y val="0.38622523642813344"/>
            </c:manualLayout>
          </c:layout>
          <c:overlay val="0"/>
        </c:title>
        <c:numFmt formatCode="General" sourceLinked="1"/>
        <c:majorTickMark val="out"/>
        <c:minorTickMark val="none"/>
        <c:tickLblPos val="nextTo"/>
        <c:crossAx val="440861400"/>
        <c:crosses val="autoZero"/>
        <c:crossBetween val="between"/>
      </c:valAx>
    </c:plotArea>
    <c:legend>
      <c:legendPos val="r"/>
      <c:layout>
        <c:manualLayout>
          <c:xMode val="edge"/>
          <c:yMode val="edge"/>
          <c:x val="0.61879683308817168"/>
          <c:y val="4.6816071068039575E-2"/>
          <c:w val="0.19729557843731071"/>
          <c:h val="0.2705042398546335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6097258675999"/>
          <c:y val="0.10887904636920386"/>
          <c:w val="0.83497120151647697"/>
          <c:h val="0.79475466608340628"/>
        </c:manualLayout>
      </c:layout>
      <c:barChart>
        <c:barDir val="col"/>
        <c:grouping val="clustered"/>
        <c:varyColors val="0"/>
        <c:ser>
          <c:idx val="0"/>
          <c:order val="0"/>
          <c:tx>
            <c:strRef>
              <c:f>Sheet1!$B$1</c:f>
              <c:strCache>
                <c:ptCount val="1"/>
                <c:pt idx="0">
                  <c:v>Transitioned ADF
</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47.7</c:v>
                </c:pt>
                <c:pt idx="1">
                  <c:v>17.8</c:v>
                </c:pt>
                <c:pt idx="2">
                  <c:v>13.5</c:v>
                </c:pt>
                <c:pt idx="3">
                  <c:v>19.600000000000001</c:v>
                </c:pt>
              </c:numCache>
            </c:numRef>
          </c:val>
          <c:extLst xmlns:c16r2="http://schemas.microsoft.com/office/drawing/2015/06/chart">
            <c:ext xmlns:c16="http://schemas.microsoft.com/office/drawing/2014/chart" uri="{C3380CC4-5D6E-409C-BE32-E72D297353CC}">
              <c16:uniqueId val="{00000001-20B9-475F-AD0B-EB731ACB87DB}"/>
            </c:ext>
          </c:extLst>
        </c:ser>
        <c:ser>
          <c:idx val="1"/>
          <c:order val="1"/>
          <c:tx>
            <c:strRef>
              <c:f>Sheet1!$C$1</c:f>
              <c:strCache>
                <c:ptCount val="1"/>
                <c:pt idx="0">
                  <c:v>Australian Community</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66.3</c:v>
                </c:pt>
                <c:pt idx="1">
                  <c:v>20.100000000000001</c:v>
                </c:pt>
                <c:pt idx="2">
                  <c:v>8.3000000000000007</c:v>
                </c:pt>
                <c:pt idx="3">
                  <c:v>4.5</c:v>
                </c:pt>
              </c:numCache>
            </c:numRef>
          </c:val>
          <c:extLst xmlns:c16r2="http://schemas.microsoft.com/office/drawing/2015/06/chart">
            <c:ext xmlns:c16="http://schemas.microsoft.com/office/drawing/2014/chart" uri="{C3380CC4-5D6E-409C-BE32-E72D297353CC}">
              <c16:uniqueId val="{00000002-20B9-475F-AD0B-EB731ACB87DB}"/>
            </c:ext>
          </c:extLst>
        </c:ser>
        <c:dLbls>
          <c:showLegendKey val="0"/>
          <c:showVal val="1"/>
          <c:showCatName val="0"/>
          <c:showSerName val="0"/>
          <c:showPercent val="0"/>
          <c:showBubbleSize val="0"/>
        </c:dLbls>
        <c:gapWidth val="150"/>
        <c:axId val="660071144"/>
        <c:axId val="660062520"/>
      </c:barChart>
      <c:catAx>
        <c:axId val="660071144"/>
        <c:scaling>
          <c:orientation val="minMax"/>
        </c:scaling>
        <c:delete val="0"/>
        <c:axPos val="b"/>
        <c:numFmt formatCode="General" sourceLinked="0"/>
        <c:majorTickMark val="out"/>
        <c:minorTickMark val="none"/>
        <c:tickLblPos val="nextTo"/>
        <c:crossAx val="660062520"/>
        <c:crosses val="autoZero"/>
        <c:auto val="1"/>
        <c:lblAlgn val="ctr"/>
        <c:lblOffset val="100"/>
        <c:noMultiLvlLbl val="0"/>
      </c:catAx>
      <c:valAx>
        <c:axId val="660062520"/>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664041994750656E-3"/>
              <c:y val="0.35084925907699033"/>
            </c:manualLayout>
          </c:layout>
          <c:overlay val="0"/>
        </c:title>
        <c:numFmt formatCode="General" sourceLinked="1"/>
        <c:majorTickMark val="out"/>
        <c:minorTickMark val="none"/>
        <c:tickLblPos val="nextTo"/>
        <c:crossAx val="660071144"/>
        <c:crosses val="autoZero"/>
        <c:crossBetween val="between"/>
      </c:valAx>
    </c:plotArea>
    <c:legend>
      <c:legendPos val="r"/>
      <c:layout>
        <c:manualLayout>
          <c:xMode val="edge"/>
          <c:yMode val="edge"/>
          <c:x val="0.68041732283464562"/>
          <c:y val="0.14255967027559052"/>
          <c:w val="0.24276708394008201"/>
          <c:h val="0.1244510061242344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776399825021873"/>
          <c:y val="6.5476086322543009E-2"/>
          <c:w val="0.83497112860892397"/>
          <c:h val="0.840223461650627"/>
        </c:manualLayout>
      </c:layout>
      <c:barChart>
        <c:barDir val="col"/>
        <c:grouping val="clustered"/>
        <c:varyColors val="0"/>
        <c:ser>
          <c:idx val="0"/>
          <c:order val="0"/>
          <c:tx>
            <c:strRef>
              <c:f>Sheet1!$B$1</c:f>
              <c:strCache>
                <c:ptCount val="1"/>
                <c:pt idx="0">
                  <c:v>Transitoned ADF males</c:v>
                </c:pt>
              </c:strCache>
            </c:strRef>
          </c:tx>
          <c:spPr>
            <a:solidFill>
              <a:schemeClr val="accent1"/>
            </a:solidFill>
            <a:effectLst/>
          </c:spPr>
          <c:invertIfNegative val="0"/>
          <c:dLbls>
            <c:dLbl>
              <c:idx val="0"/>
              <c:layout/>
              <c:tx>
                <c:rich>
                  <a:bodyPr/>
                  <a:lstStyle/>
                  <a:p>
                    <a:r>
                      <a:rPr lang="en-US"/>
                      <a:t>47.7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23-4AA2-984D-81127DF86ABD}"/>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47.8</c:v>
                </c:pt>
                <c:pt idx="1">
                  <c:v>17.8</c:v>
                </c:pt>
                <c:pt idx="2">
                  <c:v>13.5</c:v>
                </c:pt>
                <c:pt idx="3">
                  <c:v>19.5</c:v>
                </c:pt>
              </c:numCache>
            </c:numRef>
          </c:val>
          <c:extLst xmlns:c16r2="http://schemas.microsoft.com/office/drawing/2015/06/chart">
            <c:ext xmlns:c16="http://schemas.microsoft.com/office/drawing/2014/chart" uri="{C3380CC4-5D6E-409C-BE32-E72D297353CC}">
              <c16:uniqueId val="{00000001-CC23-4AA2-984D-81127DF86ABD}"/>
            </c:ext>
          </c:extLst>
        </c:ser>
        <c:ser>
          <c:idx val="1"/>
          <c:order val="1"/>
          <c:tx>
            <c:strRef>
              <c:f>Sheet1!$C$1</c:f>
              <c:strCache>
                <c:ptCount val="1"/>
                <c:pt idx="0">
                  <c:v>Transitioned ADF females</c:v>
                </c:pt>
              </c:strCache>
            </c:strRef>
          </c:tx>
          <c:spPr>
            <a:solidFill>
              <a:schemeClr val="accent2"/>
            </a:solidFill>
            <a:effectLst/>
          </c:spPr>
          <c:invertIfNegative val="0"/>
          <c:dLbls>
            <c:dLbl>
              <c:idx val="3"/>
              <c:layout/>
              <c:tx>
                <c:rich>
                  <a:bodyPr/>
                  <a:lstStyle/>
                  <a:p>
                    <a:r>
                      <a:rPr lang="en-US"/>
                      <a:t>20.0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23-4AA2-984D-81127DF86ABD}"/>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47.3</c:v>
                </c:pt>
                <c:pt idx="1">
                  <c:v>17.7</c:v>
                </c:pt>
                <c:pt idx="2">
                  <c:v>13.8</c:v>
                </c:pt>
                <c:pt idx="3">
                  <c:v>20</c:v>
                </c:pt>
              </c:numCache>
            </c:numRef>
          </c:val>
          <c:extLst xmlns:c16r2="http://schemas.microsoft.com/office/drawing/2015/06/chart">
            <c:ext xmlns:c16="http://schemas.microsoft.com/office/drawing/2014/chart" uri="{C3380CC4-5D6E-409C-BE32-E72D297353CC}">
              <c16:uniqueId val="{00000003-CC23-4AA2-984D-81127DF86ABD}"/>
            </c:ext>
          </c:extLst>
        </c:ser>
        <c:ser>
          <c:idx val="2"/>
          <c:order val="2"/>
          <c:tx>
            <c:strRef>
              <c:f>Sheet1!$D$1</c:f>
              <c:strCache>
                <c:ptCount val="1"/>
                <c:pt idx="0">
                  <c:v>Australian Community males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Sheet1!$D$2:$D$5</c:f>
              <c:numCache>
                <c:formatCode>General</c:formatCode>
                <c:ptCount val="4"/>
                <c:pt idx="0">
                  <c:v>67.099999999999994</c:v>
                </c:pt>
                <c:pt idx="1">
                  <c:v>19.7</c:v>
                </c:pt>
                <c:pt idx="2">
                  <c:v>8</c:v>
                </c:pt>
                <c:pt idx="3">
                  <c:v>4.5</c:v>
                </c:pt>
              </c:numCache>
            </c:numRef>
          </c:val>
          <c:extLst xmlns:c16r2="http://schemas.microsoft.com/office/drawing/2015/06/chart">
            <c:ext xmlns:c16="http://schemas.microsoft.com/office/drawing/2014/chart" uri="{C3380CC4-5D6E-409C-BE32-E72D297353CC}">
              <c16:uniqueId val="{00000005-CC23-4AA2-984D-81127DF86ABD}"/>
            </c:ext>
          </c:extLst>
        </c:ser>
        <c:ser>
          <c:idx val="3"/>
          <c:order val="3"/>
          <c:tx>
            <c:strRef>
              <c:f>Sheet1!$E$1</c:f>
              <c:strCache>
                <c:ptCount val="1"/>
                <c:pt idx="0">
                  <c:v>Australian Community females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Sheet1!$E$2:$E$5</c:f>
              <c:numCache>
                <c:formatCode>General</c:formatCode>
                <c:ptCount val="4"/>
                <c:pt idx="0">
                  <c:v>61.3</c:v>
                </c:pt>
                <c:pt idx="1">
                  <c:v>22.7</c:v>
                </c:pt>
                <c:pt idx="2">
                  <c:v>9.9</c:v>
                </c:pt>
                <c:pt idx="3">
                  <c:v>4.4000000000000004</c:v>
                </c:pt>
              </c:numCache>
            </c:numRef>
          </c:val>
          <c:extLst xmlns:c16r2="http://schemas.microsoft.com/office/drawing/2015/06/chart">
            <c:ext xmlns:c16="http://schemas.microsoft.com/office/drawing/2014/chart" uri="{C3380CC4-5D6E-409C-BE32-E72D297353CC}">
              <c16:uniqueId val="{00000006-CC23-4AA2-984D-81127DF86ABD}"/>
            </c:ext>
          </c:extLst>
        </c:ser>
        <c:dLbls>
          <c:showLegendKey val="0"/>
          <c:showVal val="1"/>
          <c:showCatName val="0"/>
          <c:showSerName val="0"/>
          <c:showPercent val="0"/>
          <c:showBubbleSize val="0"/>
        </c:dLbls>
        <c:gapWidth val="150"/>
        <c:axId val="660069968"/>
        <c:axId val="660072712"/>
      </c:barChart>
      <c:catAx>
        <c:axId val="660069968"/>
        <c:scaling>
          <c:orientation val="minMax"/>
        </c:scaling>
        <c:delete val="0"/>
        <c:axPos val="b"/>
        <c:numFmt formatCode="General" sourceLinked="0"/>
        <c:majorTickMark val="out"/>
        <c:minorTickMark val="none"/>
        <c:tickLblPos val="nextTo"/>
        <c:crossAx val="660072712"/>
        <c:crosses val="autoZero"/>
        <c:auto val="1"/>
        <c:lblAlgn val="ctr"/>
        <c:lblOffset val="100"/>
        <c:noMultiLvlLbl val="0"/>
      </c:catAx>
      <c:valAx>
        <c:axId val="66007271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4.4418197725284341E-3"/>
              <c:y val="0.35312773403324582"/>
            </c:manualLayout>
          </c:layout>
          <c:overlay val="0"/>
        </c:title>
        <c:numFmt formatCode="General" sourceLinked="1"/>
        <c:majorTickMark val="out"/>
        <c:minorTickMark val="none"/>
        <c:tickLblPos val="nextTo"/>
        <c:crossAx val="660069968"/>
        <c:crosses val="autoZero"/>
        <c:crossBetween val="between"/>
      </c:valAx>
    </c:plotArea>
    <c:legend>
      <c:legendPos val="r"/>
      <c:layout>
        <c:manualLayout>
          <c:xMode val="edge"/>
          <c:yMode val="edge"/>
          <c:x val="0.57744488188976373"/>
          <c:y val="8.9292531615366266E-2"/>
          <c:w val="0.3518444881889764"/>
          <c:h val="0.20186205890930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1611840107244963E-2"/>
          <c:y val="6.2795900745920674E-2"/>
          <c:w val="0.86946710288248874"/>
          <c:h val="0.85275499013973799"/>
        </c:manualLayout>
      </c:layout>
      <c:barChart>
        <c:barDir val="col"/>
        <c:grouping val="clustered"/>
        <c:varyColors val="0"/>
        <c:ser>
          <c:idx val="0"/>
          <c:order val="0"/>
          <c:tx>
            <c:strRef>
              <c:f>Sheet1!$B$1</c:f>
              <c:strCache>
                <c:ptCount val="1"/>
                <c:pt idx="0">
                  <c:v>Transitoned ADF 18–27</c:v>
                </c:pt>
              </c:strCache>
            </c:strRef>
          </c:tx>
          <c:spPr>
            <a:solidFill>
              <a:schemeClr val="accent1"/>
            </a:solidFill>
            <a:effectLst/>
          </c:spPr>
          <c:invertIfNegative val="0"/>
          <c:dLbls>
            <c:dLbl>
              <c:idx val="0"/>
              <c:layout/>
              <c:tx>
                <c:rich>
                  <a:bodyPr/>
                  <a:lstStyle/>
                  <a:p>
                    <a:r>
                      <a:rPr lang="en-US" sz="800" b="0" i="0" u="none" strike="noStrike" kern="1200" baseline="0">
                        <a:solidFill>
                          <a:sysClr val="windowText" lastClr="000000"/>
                        </a:solidFill>
                        <a:latin typeface="+mn-lt"/>
                        <a:ea typeface="+mn-ea"/>
                        <a:cs typeface="+mn-cs"/>
                      </a:rPr>
                      <a:t>scoring bands</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58-4C37-BF49-75EA34BB3053}"/>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50.2</c:v>
                </c:pt>
                <c:pt idx="1">
                  <c:v>14.8</c:v>
                </c:pt>
                <c:pt idx="2">
                  <c:v>12.4</c:v>
                </c:pt>
                <c:pt idx="3">
                  <c:v>20.5</c:v>
                </c:pt>
              </c:numCache>
            </c:numRef>
          </c:val>
          <c:extLst xmlns:c16r2="http://schemas.microsoft.com/office/drawing/2015/06/chart">
            <c:ext xmlns:c16="http://schemas.microsoft.com/office/drawing/2014/chart" uri="{C3380CC4-5D6E-409C-BE32-E72D297353CC}">
              <c16:uniqueId val="{00000001-F558-4C37-BF49-75EA34BB3053}"/>
            </c:ext>
          </c:extLst>
        </c:ser>
        <c:ser>
          <c:idx val="1"/>
          <c:order val="1"/>
          <c:tx>
            <c:strRef>
              <c:f>Sheet1!$C$1</c:f>
              <c:strCache>
                <c:ptCount val="1"/>
                <c:pt idx="0">
                  <c:v>Transitioned ADF 28–37</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44.1</c:v>
                </c:pt>
                <c:pt idx="1">
                  <c:v>20.9</c:v>
                </c:pt>
                <c:pt idx="2">
                  <c:v>13.6</c:v>
                </c:pt>
                <c:pt idx="3">
                  <c:v>19.899999999999999</c:v>
                </c:pt>
              </c:numCache>
            </c:numRef>
          </c:val>
          <c:extLst xmlns:c16r2="http://schemas.microsoft.com/office/drawing/2015/06/chart">
            <c:ext xmlns:c16="http://schemas.microsoft.com/office/drawing/2014/chart" uri="{C3380CC4-5D6E-409C-BE32-E72D297353CC}">
              <c16:uniqueId val="{00000002-F558-4C37-BF49-75EA34BB3053}"/>
            </c:ext>
          </c:extLst>
        </c:ser>
        <c:ser>
          <c:idx val="2"/>
          <c:order val="2"/>
          <c:tx>
            <c:strRef>
              <c:f>Sheet1!$D$1</c:f>
              <c:strCache>
                <c:ptCount val="1"/>
                <c:pt idx="0">
                  <c:v>Transitioned ADF 38–47</c:v>
                </c:pt>
              </c:strCache>
            </c:strRef>
          </c:tx>
          <c:spPr>
            <a:solidFill>
              <a:schemeClr val="accent3"/>
            </a:solidFill>
            <a:effectLst/>
          </c:spPr>
          <c:invertIfNegative val="0"/>
          <c:dPt>
            <c:idx val="0"/>
            <c:invertIfNegative val="0"/>
            <c:bubble3D val="0"/>
            <c:extLst xmlns:c16r2="http://schemas.microsoft.com/office/drawing/2015/06/chart">
              <c:ext xmlns:c16="http://schemas.microsoft.com/office/drawing/2014/chart" uri="{C3380CC4-5D6E-409C-BE32-E72D297353CC}">
                <c16:uniqueId val="{00000004-F558-4C37-BF49-75EA34BB3053}"/>
              </c:ext>
            </c:extLst>
          </c:dPt>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Sheet1!$D$2:$D$5</c:f>
              <c:numCache>
                <c:formatCode>General</c:formatCode>
                <c:ptCount val="4"/>
                <c:pt idx="0">
                  <c:v>44</c:v>
                </c:pt>
                <c:pt idx="1">
                  <c:v>17.3</c:v>
                </c:pt>
                <c:pt idx="2">
                  <c:v>13.6</c:v>
                </c:pt>
                <c:pt idx="3">
                  <c:v>23.2</c:v>
                </c:pt>
              </c:numCache>
            </c:numRef>
          </c:val>
          <c:extLst xmlns:c16r2="http://schemas.microsoft.com/office/drawing/2015/06/chart">
            <c:ext xmlns:c16="http://schemas.microsoft.com/office/drawing/2014/chart" uri="{C3380CC4-5D6E-409C-BE32-E72D297353CC}">
              <c16:uniqueId val="{00000005-F558-4C37-BF49-75EA34BB3053}"/>
            </c:ext>
          </c:extLst>
        </c:ser>
        <c:ser>
          <c:idx val="3"/>
          <c:order val="3"/>
          <c:tx>
            <c:strRef>
              <c:f>Sheet1!$E$1</c:f>
              <c:strCache>
                <c:ptCount val="1"/>
                <c:pt idx="0">
                  <c:v>Transitioned ADF 48–57</c:v>
                </c:pt>
              </c:strCache>
            </c:strRef>
          </c:tx>
          <c:spPr>
            <a:solidFill>
              <a:schemeClr val="accent4"/>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Sheet1!$E$2:$E$5</c:f>
              <c:numCache>
                <c:formatCode>General</c:formatCode>
                <c:ptCount val="4"/>
                <c:pt idx="0">
                  <c:v>52.3</c:v>
                </c:pt>
                <c:pt idx="1">
                  <c:v>18.100000000000001</c:v>
                </c:pt>
                <c:pt idx="2">
                  <c:v>13.4</c:v>
                </c:pt>
                <c:pt idx="3">
                  <c:v>15.3</c:v>
                </c:pt>
              </c:numCache>
            </c:numRef>
          </c:val>
          <c:extLst xmlns:c16r2="http://schemas.microsoft.com/office/drawing/2015/06/chart">
            <c:ext xmlns:c16="http://schemas.microsoft.com/office/drawing/2014/chart" uri="{C3380CC4-5D6E-409C-BE32-E72D297353CC}">
              <c16:uniqueId val="{00000006-F558-4C37-BF49-75EA34BB3053}"/>
            </c:ext>
          </c:extLst>
        </c:ser>
        <c:ser>
          <c:idx val="4"/>
          <c:order val="4"/>
          <c:tx>
            <c:strRef>
              <c:f>Sheet1!$F$1</c:f>
              <c:strCache>
                <c:ptCount val="1"/>
                <c:pt idx="0">
                  <c:v>Transitioned ADF 58+</c:v>
                </c:pt>
              </c:strCache>
            </c:strRef>
          </c:tx>
          <c:spPr>
            <a:solidFill>
              <a:schemeClr val="accent5"/>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Sheet1!$F$2:$F$5</c:f>
              <c:numCache>
                <c:formatCode>General</c:formatCode>
                <c:ptCount val="4"/>
                <c:pt idx="0">
                  <c:v>61.8</c:v>
                </c:pt>
                <c:pt idx="1">
                  <c:v>13.5</c:v>
                </c:pt>
                <c:pt idx="2">
                  <c:v>10.9</c:v>
                </c:pt>
                <c:pt idx="3">
                  <c:v>12.7</c:v>
                </c:pt>
              </c:numCache>
            </c:numRef>
          </c:val>
          <c:extLst xmlns:c16r2="http://schemas.microsoft.com/office/drawing/2015/06/chart">
            <c:ext xmlns:c16="http://schemas.microsoft.com/office/drawing/2014/chart" uri="{C3380CC4-5D6E-409C-BE32-E72D297353CC}">
              <c16:uniqueId val="{00000007-F558-4C37-BF49-75EA34BB3053}"/>
            </c:ext>
          </c:extLst>
        </c:ser>
        <c:ser>
          <c:idx val="5"/>
          <c:order val="5"/>
          <c:tx>
            <c:strRef>
              <c:f>Sheet1!$G$1</c:f>
              <c:strCache>
                <c:ptCount val="1"/>
                <c:pt idx="0">
                  <c:v>Aust Community 18–27</c:v>
                </c:pt>
              </c:strCache>
            </c:strRef>
          </c:tx>
          <c:spPr>
            <a:solidFill>
              <a:schemeClr val="accent6"/>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Sheet1!$G$2:$G$5</c:f>
              <c:numCache>
                <c:formatCode>General</c:formatCode>
                <c:ptCount val="4"/>
                <c:pt idx="0">
                  <c:v>63.6</c:v>
                </c:pt>
                <c:pt idx="1">
                  <c:v>22.3</c:v>
                </c:pt>
                <c:pt idx="2">
                  <c:v>9.5</c:v>
                </c:pt>
                <c:pt idx="3">
                  <c:v>3.8</c:v>
                </c:pt>
              </c:numCache>
            </c:numRef>
          </c:val>
          <c:extLst xmlns:c16r2="http://schemas.microsoft.com/office/drawing/2015/06/chart">
            <c:ext xmlns:c16="http://schemas.microsoft.com/office/drawing/2014/chart" uri="{C3380CC4-5D6E-409C-BE32-E72D297353CC}">
              <c16:uniqueId val="{00000008-F558-4C37-BF49-75EA34BB3053}"/>
            </c:ext>
          </c:extLst>
        </c:ser>
        <c:ser>
          <c:idx val="6"/>
          <c:order val="6"/>
          <c:tx>
            <c:strRef>
              <c:f>Sheet1!$H$1</c:f>
              <c:strCache>
                <c:ptCount val="1"/>
                <c:pt idx="0">
                  <c:v>Aust Community  28–37</c:v>
                </c:pt>
              </c:strCache>
            </c:strRef>
          </c:tx>
          <c:spPr>
            <a:solidFill>
              <a:srgbClr val="5F1C95"/>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Sheet1!$H$2:$H$5</c:f>
              <c:numCache>
                <c:formatCode>General</c:formatCode>
                <c:ptCount val="4"/>
                <c:pt idx="0">
                  <c:v>63.8</c:v>
                </c:pt>
                <c:pt idx="1">
                  <c:v>23.6</c:v>
                </c:pt>
                <c:pt idx="2">
                  <c:v>7.3</c:v>
                </c:pt>
                <c:pt idx="3">
                  <c:v>4.8</c:v>
                </c:pt>
              </c:numCache>
            </c:numRef>
          </c:val>
          <c:extLst xmlns:c16r2="http://schemas.microsoft.com/office/drawing/2015/06/chart">
            <c:ext xmlns:c16="http://schemas.microsoft.com/office/drawing/2014/chart" uri="{C3380CC4-5D6E-409C-BE32-E72D297353CC}">
              <c16:uniqueId val="{00000009-F558-4C37-BF49-75EA34BB3053}"/>
            </c:ext>
          </c:extLst>
        </c:ser>
        <c:ser>
          <c:idx val="7"/>
          <c:order val="7"/>
          <c:tx>
            <c:strRef>
              <c:f>Sheet1!$I$1</c:f>
              <c:strCache>
                <c:ptCount val="1"/>
                <c:pt idx="0">
                  <c:v>Aust Community  38–47</c:v>
                </c:pt>
              </c:strCache>
            </c:strRef>
          </c:tx>
          <c:spPr>
            <a:solidFill>
              <a:srgbClr val="929292"/>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Sheet1!$I$2:$I$5</c:f>
              <c:numCache>
                <c:formatCode>General</c:formatCode>
                <c:ptCount val="4"/>
                <c:pt idx="0">
                  <c:v>70.2</c:v>
                </c:pt>
                <c:pt idx="1">
                  <c:v>15.8</c:v>
                </c:pt>
                <c:pt idx="2">
                  <c:v>8.9</c:v>
                </c:pt>
                <c:pt idx="3">
                  <c:v>4.7</c:v>
                </c:pt>
              </c:numCache>
            </c:numRef>
          </c:val>
          <c:extLst xmlns:c16r2="http://schemas.microsoft.com/office/drawing/2015/06/chart">
            <c:ext xmlns:c16="http://schemas.microsoft.com/office/drawing/2014/chart" uri="{C3380CC4-5D6E-409C-BE32-E72D297353CC}">
              <c16:uniqueId val="{0000000A-F558-4C37-BF49-75EA34BB3053}"/>
            </c:ext>
          </c:extLst>
        </c:ser>
        <c:ser>
          <c:idx val="8"/>
          <c:order val="8"/>
          <c:tx>
            <c:strRef>
              <c:f>Sheet1!$J$1</c:f>
              <c:strCache>
                <c:ptCount val="1"/>
                <c:pt idx="0">
                  <c:v>Aust Community  48–57</c:v>
                </c:pt>
              </c:strCache>
            </c:strRef>
          </c:tx>
          <c:spPr>
            <a:solidFill>
              <a:srgbClr val="FF9300"/>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Sheet1!$J$2:$J$5</c:f>
              <c:numCache>
                <c:formatCode>General</c:formatCode>
                <c:ptCount val="4"/>
                <c:pt idx="0">
                  <c:v>66.400000000000006</c:v>
                </c:pt>
                <c:pt idx="1">
                  <c:v>17.600000000000001</c:v>
                </c:pt>
                <c:pt idx="2">
                  <c:v>9.1</c:v>
                </c:pt>
                <c:pt idx="3">
                  <c:v>5.5</c:v>
                </c:pt>
              </c:numCache>
            </c:numRef>
          </c:val>
          <c:extLst xmlns:c16r2="http://schemas.microsoft.com/office/drawing/2015/06/chart">
            <c:ext xmlns:c16="http://schemas.microsoft.com/office/drawing/2014/chart" uri="{C3380CC4-5D6E-409C-BE32-E72D297353CC}">
              <c16:uniqueId val="{0000000B-F558-4C37-BF49-75EA34BB3053}"/>
            </c:ext>
          </c:extLst>
        </c:ser>
        <c:ser>
          <c:idx val="9"/>
          <c:order val="9"/>
          <c:tx>
            <c:strRef>
              <c:f>Sheet1!$K$1</c:f>
              <c:strCache>
                <c:ptCount val="1"/>
                <c:pt idx="0">
                  <c:v>Aust Community 58+</c:v>
                </c:pt>
              </c:strCache>
            </c:strRef>
          </c:tx>
          <c:spPr>
            <a:solidFill>
              <a:srgbClr val="FF7E79"/>
            </a:solidFill>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Low (10–15)</c:v>
                </c:pt>
                <c:pt idx="1">
                  <c:v>Moderate (16–21)</c:v>
                </c:pt>
                <c:pt idx="2">
                  <c:v>High (22–29)</c:v>
                </c:pt>
                <c:pt idx="3">
                  <c:v>Very high (30–50)</c:v>
                </c:pt>
              </c:strCache>
            </c:strRef>
          </c:cat>
          <c:val>
            <c:numRef>
              <c:f>Sheet1!$K$2:$K$5</c:f>
              <c:numCache>
                <c:formatCode>General</c:formatCode>
                <c:ptCount val="4"/>
                <c:pt idx="0">
                  <c:v>74.400000000000006</c:v>
                </c:pt>
                <c:pt idx="1">
                  <c:v>14.6</c:v>
                </c:pt>
                <c:pt idx="2">
                  <c:v>5.9</c:v>
                </c:pt>
                <c:pt idx="3">
                  <c:v>2.7</c:v>
                </c:pt>
              </c:numCache>
            </c:numRef>
          </c:val>
          <c:extLst xmlns:c16r2="http://schemas.microsoft.com/office/drawing/2015/06/chart">
            <c:ext xmlns:c16="http://schemas.microsoft.com/office/drawing/2014/chart" uri="{C3380CC4-5D6E-409C-BE32-E72D297353CC}">
              <c16:uniqueId val="{0000000C-F558-4C37-BF49-75EA34BB3053}"/>
            </c:ext>
          </c:extLst>
        </c:ser>
        <c:dLbls>
          <c:showLegendKey val="0"/>
          <c:showVal val="1"/>
          <c:showCatName val="0"/>
          <c:showSerName val="0"/>
          <c:showPercent val="0"/>
          <c:showBubbleSize val="0"/>
        </c:dLbls>
        <c:gapWidth val="150"/>
        <c:axId val="660066440"/>
        <c:axId val="660067616"/>
      </c:barChart>
      <c:catAx>
        <c:axId val="660066440"/>
        <c:scaling>
          <c:orientation val="minMax"/>
        </c:scaling>
        <c:delete val="0"/>
        <c:axPos val="b"/>
        <c:numFmt formatCode="General" sourceLinked="0"/>
        <c:majorTickMark val="out"/>
        <c:minorTickMark val="none"/>
        <c:tickLblPos val="nextTo"/>
        <c:crossAx val="660067616"/>
        <c:crosses val="autoZero"/>
        <c:auto val="1"/>
        <c:lblAlgn val="ctr"/>
        <c:lblOffset val="100"/>
        <c:noMultiLvlLbl val="0"/>
      </c:catAx>
      <c:valAx>
        <c:axId val="66006761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8.2024391655644152E-3"/>
              <c:y val="0.35659686010199593"/>
            </c:manualLayout>
          </c:layout>
          <c:overlay val="0"/>
        </c:title>
        <c:numFmt formatCode="General" sourceLinked="1"/>
        <c:majorTickMark val="out"/>
        <c:minorTickMark val="none"/>
        <c:tickLblPos val="nextTo"/>
        <c:crossAx val="660066440"/>
        <c:crosses val="autoZero"/>
        <c:crossBetween val="between"/>
      </c:valAx>
    </c:plotArea>
    <c:legend>
      <c:legendPos val="r"/>
      <c:layout>
        <c:manualLayout>
          <c:xMode val="edge"/>
          <c:yMode val="edge"/>
          <c:x val="0.53446161207394782"/>
          <c:y val="9.6248920687641487E-2"/>
          <c:w val="0.40564255608142058"/>
          <c:h val="0.2727761347359056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0634295713036"/>
          <c:y val="7.6223753280839898E-2"/>
          <c:w val="0.86493613298337713"/>
          <c:h val="0.81744240303295423"/>
        </c:manualLayout>
      </c:layout>
      <c:barChart>
        <c:barDir val="col"/>
        <c:grouping val="clustered"/>
        <c:varyColors val="0"/>
        <c:ser>
          <c:idx val="0"/>
          <c:order val="0"/>
          <c:tx>
            <c:strRef>
              <c:f>Sheet1!$B$1</c:f>
              <c:strCache>
                <c:ptCount val="1"/>
                <c:pt idx="0">
                  <c:v>Transitioned ADF</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Less than monthly</c:v>
                </c:pt>
                <c:pt idx="1">
                  <c:v>Monthly</c:v>
                </c:pt>
                <c:pt idx="2">
                  <c:v>Weekly</c:v>
                </c:pt>
                <c:pt idx="3">
                  <c:v>Daily</c:v>
                </c:pt>
              </c:strCache>
            </c:strRef>
          </c:cat>
          <c:val>
            <c:numRef>
              <c:f>Sheet1!$B$2:$B$5</c:f>
              <c:numCache>
                <c:formatCode>General</c:formatCode>
                <c:ptCount val="4"/>
                <c:pt idx="0">
                  <c:v>13.1</c:v>
                </c:pt>
                <c:pt idx="1">
                  <c:v>26.1</c:v>
                </c:pt>
                <c:pt idx="2">
                  <c:v>47.6</c:v>
                </c:pt>
                <c:pt idx="3">
                  <c:v>4.3</c:v>
                </c:pt>
              </c:numCache>
            </c:numRef>
          </c:val>
          <c:extLst xmlns:c16r2="http://schemas.microsoft.com/office/drawing/2015/06/chart">
            <c:ext xmlns:c16="http://schemas.microsoft.com/office/drawing/2014/chart" uri="{C3380CC4-5D6E-409C-BE32-E72D297353CC}">
              <c16:uniqueId val="{00000000-D89C-43AB-BEB0-20596164A381}"/>
            </c:ext>
          </c:extLst>
        </c:ser>
        <c:ser>
          <c:idx val="1"/>
          <c:order val="1"/>
          <c:tx>
            <c:strRef>
              <c:f>Sheet1!$C$1</c:f>
              <c:strCache>
                <c:ptCount val="1"/>
                <c:pt idx="0">
                  <c:v>Australian Community</c:v>
                </c:pt>
              </c:strCache>
            </c:strRef>
          </c:tx>
          <c:spPr>
            <a:solidFill>
              <a:schemeClr val="accent2"/>
            </a:solidFill>
            <a:effectLst/>
          </c:spPr>
          <c:invertIfNegative val="0"/>
          <c:dLbls>
            <c:dLbl>
              <c:idx val="0"/>
              <c:layout/>
              <c:tx>
                <c:rich>
                  <a:bodyPr/>
                  <a:lstStyle/>
                  <a:p>
                    <a:r>
                      <a:rPr lang="en-US"/>
                      <a:t>13.0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9C-43AB-BEB0-20596164A381}"/>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Less than monthly</c:v>
                </c:pt>
                <c:pt idx="1">
                  <c:v>Monthly</c:v>
                </c:pt>
                <c:pt idx="2">
                  <c:v>Weekly</c:v>
                </c:pt>
                <c:pt idx="3">
                  <c:v>Daily</c:v>
                </c:pt>
              </c:strCache>
            </c:strRef>
          </c:cat>
          <c:val>
            <c:numRef>
              <c:f>Sheet1!$C$2:$C$5</c:f>
              <c:numCache>
                <c:formatCode>General</c:formatCode>
                <c:ptCount val="4"/>
                <c:pt idx="0">
                  <c:v>13</c:v>
                </c:pt>
                <c:pt idx="1">
                  <c:v>20.100000000000001</c:v>
                </c:pt>
                <c:pt idx="2">
                  <c:v>45.4</c:v>
                </c:pt>
                <c:pt idx="3">
                  <c:v>5.0999999999999996</c:v>
                </c:pt>
              </c:numCache>
            </c:numRef>
          </c:val>
          <c:extLst xmlns:c16r2="http://schemas.microsoft.com/office/drawing/2015/06/chart">
            <c:ext xmlns:c16="http://schemas.microsoft.com/office/drawing/2014/chart" uri="{C3380CC4-5D6E-409C-BE32-E72D297353CC}">
              <c16:uniqueId val="{00000002-D89C-43AB-BEB0-20596164A381}"/>
            </c:ext>
          </c:extLst>
        </c:ser>
        <c:dLbls>
          <c:showLegendKey val="0"/>
          <c:showVal val="1"/>
          <c:showCatName val="0"/>
          <c:showSerName val="0"/>
          <c:showPercent val="0"/>
          <c:showBubbleSize val="0"/>
        </c:dLbls>
        <c:gapWidth val="150"/>
        <c:axId val="660064872"/>
        <c:axId val="660073496"/>
      </c:barChart>
      <c:catAx>
        <c:axId val="660064872"/>
        <c:scaling>
          <c:orientation val="minMax"/>
        </c:scaling>
        <c:delete val="0"/>
        <c:axPos val="b"/>
        <c:numFmt formatCode="General" sourceLinked="1"/>
        <c:majorTickMark val="out"/>
        <c:minorTickMark val="none"/>
        <c:tickLblPos val="nextTo"/>
        <c:crossAx val="660073496"/>
        <c:crosses val="autoZero"/>
        <c:auto val="1"/>
        <c:lblAlgn val="ctr"/>
        <c:lblOffset val="100"/>
        <c:noMultiLvlLbl val="0"/>
      </c:catAx>
      <c:valAx>
        <c:axId val="660073496"/>
        <c:scaling>
          <c:orientation val="minMax"/>
          <c:max val="6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2010061242344703E-3"/>
              <c:y val="0.31587584755030623"/>
            </c:manualLayout>
          </c:layout>
          <c:overlay val="0"/>
        </c:title>
        <c:numFmt formatCode="General" sourceLinked="1"/>
        <c:majorTickMark val="out"/>
        <c:minorTickMark val="none"/>
        <c:tickLblPos val="nextTo"/>
        <c:crossAx val="660064872"/>
        <c:crosses val="autoZero"/>
        <c:crossBetween val="between"/>
      </c:valAx>
    </c:plotArea>
    <c:legend>
      <c:legendPos val="r"/>
      <c:layout>
        <c:manualLayout>
          <c:xMode val="edge"/>
          <c:yMode val="edge"/>
          <c:x val="0.14842957130358705"/>
          <c:y val="8.1913094196558761E-2"/>
          <c:w val="0.27107699037620298"/>
          <c:h val="0.11979673319248356"/>
        </c:manualLayout>
      </c:layout>
      <c:overlay val="0"/>
      <c:spPr>
        <a:effectLst>
          <a:innerShdw blurRad="63500" dist="50800">
            <a:prstClr val="black">
              <a:alpha val="50000"/>
            </a:prstClr>
          </a:innerShdw>
        </a:effectLst>
      </c:spPr>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286067366579177"/>
          <c:y val="7.0808385279965011E-2"/>
          <c:w val="0.83718635170603684"/>
          <c:h val="0.83637394284047828"/>
        </c:manualLayout>
      </c:layout>
      <c:barChart>
        <c:barDir val="col"/>
        <c:grouping val="clustered"/>
        <c:varyColors val="0"/>
        <c:ser>
          <c:idx val="0"/>
          <c:order val="0"/>
          <c:tx>
            <c:strRef>
              <c:f>Sheet1!$B$1</c:f>
              <c:strCache>
                <c:ptCount val="1"/>
                <c:pt idx="0">
                  <c:v>Transitioned ADF</c:v>
                </c:pt>
              </c:strCache>
            </c:strRef>
          </c:tx>
          <c:spPr>
            <a:solidFill>
              <a:schemeClr val="accent1"/>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 </c:v>
                </c:pt>
                <c:pt idx="4">
                  <c:v>11 +</c:v>
                </c:pt>
              </c:strCache>
            </c:strRef>
          </c:cat>
          <c:val>
            <c:numRef>
              <c:f>Sheet1!$B$2:$B$6</c:f>
              <c:numCache>
                <c:formatCode>General</c:formatCode>
                <c:ptCount val="5"/>
                <c:pt idx="0">
                  <c:v>10.7</c:v>
                </c:pt>
                <c:pt idx="1">
                  <c:v>11.3</c:v>
                </c:pt>
                <c:pt idx="2">
                  <c:v>12.8</c:v>
                </c:pt>
                <c:pt idx="3">
                  <c:v>11.6</c:v>
                </c:pt>
                <c:pt idx="4">
                  <c:v>21.6</c:v>
                </c:pt>
              </c:numCache>
            </c:numRef>
          </c:val>
          <c:extLst xmlns:c16r2="http://schemas.microsoft.com/office/drawing/2015/06/chart">
            <c:ext xmlns:c16="http://schemas.microsoft.com/office/drawing/2014/chart" uri="{C3380CC4-5D6E-409C-BE32-E72D297353CC}">
              <c16:uniqueId val="{00000000-2831-4928-B0C8-7796ABD68EBC}"/>
            </c:ext>
          </c:extLst>
        </c:ser>
        <c:ser>
          <c:idx val="1"/>
          <c:order val="1"/>
          <c:tx>
            <c:strRef>
              <c:f>Sheet1!$C$1</c:f>
              <c:strCache>
                <c:ptCount val="1"/>
                <c:pt idx="0">
                  <c:v>Australian Community</c:v>
                </c:pt>
              </c:strCache>
            </c:strRef>
          </c:tx>
          <c:spPr>
            <a:solidFill>
              <a:schemeClr val="accent2"/>
            </a:solidFill>
            <a:effectLst/>
          </c:spPr>
          <c:invertIfNegative val="0"/>
          <c:dLbls>
            <c:dLbl>
              <c:idx val="1"/>
              <c:layout/>
              <c:tx>
                <c:rich>
                  <a:bodyPr/>
                  <a:lstStyle/>
                  <a:p>
                    <a:r>
                      <a:rPr lang="en-US"/>
                      <a:t>12.0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31-4928-B0C8-7796ABD68EBC}"/>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 </c:v>
                </c:pt>
                <c:pt idx="4">
                  <c:v>11 +</c:v>
                </c:pt>
              </c:strCache>
            </c:strRef>
          </c:cat>
          <c:val>
            <c:numRef>
              <c:f>Sheet1!$C$2:$C$6</c:f>
              <c:numCache>
                <c:formatCode>General</c:formatCode>
                <c:ptCount val="5"/>
                <c:pt idx="0">
                  <c:v>13.7</c:v>
                </c:pt>
                <c:pt idx="1">
                  <c:v>12</c:v>
                </c:pt>
                <c:pt idx="2">
                  <c:v>10.5</c:v>
                </c:pt>
                <c:pt idx="3">
                  <c:v>14.1</c:v>
                </c:pt>
                <c:pt idx="4">
                  <c:v>34.200000000000003</c:v>
                </c:pt>
              </c:numCache>
            </c:numRef>
          </c:val>
          <c:extLst xmlns:c16r2="http://schemas.microsoft.com/office/drawing/2015/06/chart">
            <c:ext xmlns:c16="http://schemas.microsoft.com/office/drawing/2014/chart" uri="{C3380CC4-5D6E-409C-BE32-E72D297353CC}">
              <c16:uniqueId val="{00000002-2831-4928-B0C8-7796ABD68EBC}"/>
            </c:ext>
          </c:extLst>
        </c:ser>
        <c:dLbls>
          <c:dLblPos val="outEnd"/>
          <c:showLegendKey val="0"/>
          <c:showVal val="1"/>
          <c:showCatName val="0"/>
          <c:showSerName val="0"/>
          <c:showPercent val="0"/>
          <c:showBubbleSize val="0"/>
        </c:dLbls>
        <c:gapWidth val="150"/>
        <c:axId val="660066832"/>
        <c:axId val="660071536"/>
      </c:barChart>
      <c:catAx>
        <c:axId val="660066832"/>
        <c:scaling>
          <c:orientation val="minMax"/>
        </c:scaling>
        <c:delete val="0"/>
        <c:axPos val="b"/>
        <c:numFmt formatCode="General" sourceLinked="0"/>
        <c:majorTickMark val="out"/>
        <c:minorTickMark val="none"/>
        <c:tickLblPos val="nextTo"/>
        <c:crossAx val="660071536"/>
        <c:crosses val="autoZero"/>
        <c:auto val="1"/>
        <c:lblAlgn val="ctr"/>
        <c:lblOffset val="100"/>
        <c:noMultiLvlLbl val="0"/>
      </c:catAx>
      <c:valAx>
        <c:axId val="6600715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7.6574803149606196E-4"/>
              <c:y val="0.28146735564304465"/>
            </c:manualLayout>
          </c:layout>
          <c:overlay val="0"/>
        </c:title>
        <c:numFmt formatCode="General" sourceLinked="1"/>
        <c:majorTickMark val="out"/>
        <c:minorTickMark val="none"/>
        <c:tickLblPos val="nextTo"/>
        <c:crossAx val="660066832"/>
        <c:crosses val="autoZero"/>
        <c:crossBetween val="between"/>
      </c:valAx>
    </c:plotArea>
    <c:legend>
      <c:legendPos val="r"/>
      <c:layout>
        <c:manualLayout>
          <c:xMode val="edge"/>
          <c:yMode val="edge"/>
          <c:x val="0.22250153105861767"/>
          <c:y val="0.10810264927821522"/>
          <c:w val="0.33055731150159301"/>
          <c:h val="0.1179014500642645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0634295713036"/>
          <c:y val="5.7415723425196852E-2"/>
          <c:w val="0.86493613298337713"/>
          <c:h val="0.83509915427238257"/>
        </c:manualLayout>
      </c:layout>
      <c:barChart>
        <c:barDir val="col"/>
        <c:grouping val="clustered"/>
        <c:varyColors val="0"/>
        <c:ser>
          <c:idx val="0"/>
          <c:order val="0"/>
          <c:tx>
            <c:strRef>
              <c:f>Sheet1!$B$1</c:f>
              <c:strCache>
                <c:ptCount val="1"/>
                <c:pt idx="0">
                  <c:v>Transitioned ADF males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Less than monthly</c:v>
                </c:pt>
                <c:pt idx="1">
                  <c:v>Monthly</c:v>
                </c:pt>
                <c:pt idx="2">
                  <c:v>Weekly</c:v>
                </c:pt>
                <c:pt idx="3">
                  <c:v>Daily</c:v>
                </c:pt>
              </c:strCache>
            </c:strRef>
          </c:cat>
          <c:val>
            <c:numRef>
              <c:f>Sheet1!$B$2:$B$5</c:f>
              <c:numCache>
                <c:formatCode>General</c:formatCode>
                <c:ptCount val="4"/>
                <c:pt idx="0">
                  <c:v>13.1</c:v>
                </c:pt>
                <c:pt idx="1">
                  <c:v>25.9</c:v>
                </c:pt>
                <c:pt idx="2">
                  <c:v>48.9</c:v>
                </c:pt>
                <c:pt idx="3">
                  <c:v>4.5999999999999996</c:v>
                </c:pt>
              </c:numCache>
            </c:numRef>
          </c:val>
          <c:extLst xmlns:c16r2="http://schemas.microsoft.com/office/drawing/2015/06/chart">
            <c:ext xmlns:c16="http://schemas.microsoft.com/office/drawing/2014/chart" uri="{C3380CC4-5D6E-409C-BE32-E72D297353CC}">
              <c16:uniqueId val="{00000000-096B-4C42-9C46-17D937D95108}"/>
            </c:ext>
          </c:extLst>
        </c:ser>
        <c:ser>
          <c:idx val="1"/>
          <c:order val="1"/>
          <c:tx>
            <c:strRef>
              <c:f>Sheet1!$C$1</c:f>
              <c:strCache>
                <c:ptCount val="1"/>
                <c:pt idx="0">
                  <c:v>Transitioned ADF females</c:v>
                </c:pt>
              </c:strCache>
            </c:strRef>
          </c:tx>
          <c:spPr>
            <a:solidFill>
              <a:schemeClr val="accent2"/>
            </a:solidFill>
            <a:effectLst/>
          </c:spPr>
          <c:invertIfNegative val="0"/>
          <c:dLbls>
            <c:dLbl>
              <c:idx val="0"/>
              <c:layout/>
              <c:tx>
                <c:rich>
                  <a:bodyPr/>
                  <a:lstStyle/>
                  <a:p>
                    <a:r>
                      <a:rPr lang="en-US"/>
                      <a:t>21.0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6B-4C42-9C46-17D937D95108}"/>
                </c:ext>
                <c:ext xmlns:c15="http://schemas.microsoft.com/office/drawing/2012/chart" uri="{CE6537A1-D6FC-4f65-9D91-7224C49458BB}">
                  <c15:layout/>
                </c:ext>
              </c:extLst>
            </c:dLbl>
            <c:dLbl>
              <c:idx val="3"/>
              <c:layout/>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6B-4C42-9C46-17D937D95108}"/>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Less than monthly</c:v>
                </c:pt>
                <c:pt idx="1">
                  <c:v>Monthly</c:v>
                </c:pt>
                <c:pt idx="2">
                  <c:v>Weekly</c:v>
                </c:pt>
                <c:pt idx="3">
                  <c:v>Daily</c:v>
                </c:pt>
              </c:strCache>
            </c:strRef>
          </c:cat>
          <c:val>
            <c:numRef>
              <c:f>Sheet1!$C$2:$C$5</c:f>
              <c:numCache>
                <c:formatCode>General</c:formatCode>
                <c:ptCount val="4"/>
                <c:pt idx="0">
                  <c:v>21</c:v>
                </c:pt>
                <c:pt idx="1">
                  <c:v>27.5</c:v>
                </c:pt>
                <c:pt idx="2">
                  <c:v>38.700000000000003</c:v>
                </c:pt>
                <c:pt idx="3">
                  <c:v>2</c:v>
                </c:pt>
              </c:numCache>
            </c:numRef>
          </c:val>
          <c:extLst xmlns:c16r2="http://schemas.microsoft.com/office/drawing/2015/06/chart">
            <c:ext xmlns:c16="http://schemas.microsoft.com/office/drawing/2014/chart" uri="{C3380CC4-5D6E-409C-BE32-E72D297353CC}">
              <c16:uniqueId val="{00000003-096B-4C42-9C46-17D937D95108}"/>
            </c:ext>
          </c:extLst>
        </c:ser>
        <c:ser>
          <c:idx val="2"/>
          <c:order val="2"/>
          <c:tx>
            <c:strRef>
              <c:f>Sheet1!$D$1</c:f>
              <c:strCache>
                <c:ptCount val="1"/>
                <c:pt idx="0">
                  <c:v>Aust Community males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Sheet1!$D$2:$D$5</c:f>
              <c:numCache>
                <c:formatCode>General</c:formatCode>
                <c:ptCount val="4"/>
                <c:pt idx="0">
                  <c:v>11.8</c:v>
                </c:pt>
                <c:pt idx="1">
                  <c:v>19.8</c:v>
                </c:pt>
                <c:pt idx="2">
                  <c:v>47.6</c:v>
                </c:pt>
                <c:pt idx="3">
                  <c:v>5.8</c:v>
                </c:pt>
              </c:numCache>
            </c:numRef>
          </c:val>
          <c:extLst xmlns:c16r2="http://schemas.microsoft.com/office/drawing/2015/06/chart">
            <c:ext xmlns:c16="http://schemas.microsoft.com/office/drawing/2014/chart" uri="{C3380CC4-5D6E-409C-BE32-E72D297353CC}">
              <c16:uniqueId val="{00000004-096B-4C42-9C46-17D937D95108}"/>
            </c:ext>
          </c:extLst>
        </c:ser>
        <c:ser>
          <c:idx val="3"/>
          <c:order val="3"/>
          <c:tx>
            <c:strRef>
              <c:f>Sheet1!$E$1</c:f>
              <c:strCache>
                <c:ptCount val="1"/>
                <c:pt idx="0">
                  <c:v>Aust Community females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Sheet1!$E$2:$E$5</c:f>
              <c:numCache>
                <c:formatCode>General</c:formatCode>
                <c:ptCount val="4"/>
                <c:pt idx="0">
                  <c:v>21.1</c:v>
                </c:pt>
                <c:pt idx="1">
                  <c:v>21.6</c:v>
                </c:pt>
                <c:pt idx="2">
                  <c:v>30.8</c:v>
                </c:pt>
                <c:pt idx="3">
                  <c:v>0.7</c:v>
                </c:pt>
              </c:numCache>
            </c:numRef>
          </c:val>
          <c:extLst xmlns:c16r2="http://schemas.microsoft.com/office/drawing/2015/06/chart">
            <c:ext xmlns:c16="http://schemas.microsoft.com/office/drawing/2014/chart" uri="{C3380CC4-5D6E-409C-BE32-E72D297353CC}">
              <c16:uniqueId val="{00000005-096B-4C42-9C46-17D937D95108}"/>
            </c:ext>
          </c:extLst>
        </c:ser>
        <c:dLbls>
          <c:showLegendKey val="0"/>
          <c:showVal val="1"/>
          <c:showCatName val="0"/>
          <c:showSerName val="0"/>
          <c:showPercent val="0"/>
          <c:showBubbleSize val="0"/>
        </c:dLbls>
        <c:gapWidth val="150"/>
        <c:axId val="660073888"/>
        <c:axId val="660074672"/>
      </c:barChart>
      <c:catAx>
        <c:axId val="660073888"/>
        <c:scaling>
          <c:orientation val="minMax"/>
        </c:scaling>
        <c:delete val="0"/>
        <c:axPos val="b"/>
        <c:numFmt formatCode="General" sourceLinked="1"/>
        <c:majorTickMark val="out"/>
        <c:minorTickMark val="none"/>
        <c:tickLblPos val="nextTo"/>
        <c:crossAx val="660074672"/>
        <c:crosses val="autoZero"/>
        <c:auto val="1"/>
        <c:lblAlgn val="ctr"/>
        <c:lblOffset val="100"/>
        <c:noMultiLvlLbl val="0"/>
      </c:catAx>
      <c:valAx>
        <c:axId val="660074672"/>
        <c:scaling>
          <c:orientation val="minMax"/>
          <c:max val="6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2010061242344703E-3"/>
              <c:y val="0.32021612532808397"/>
            </c:manualLayout>
          </c:layout>
          <c:overlay val="0"/>
        </c:title>
        <c:numFmt formatCode="General" sourceLinked="1"/>
        <c:majorTickMark val="out"/>
        <c:minorTickMark val="none"/>
        <c:tickLblPos val="nextTo"/>
        <c:crossAx val="660073888"/>
        <c:crosses val="autoZero"/>
        <c:crossBetween val="between"/>
      </c:valAx>
    </c:plotArea>
    <c:legend>
      <c:legendPos val="r"/>
      <c:layout>
        <c:manualLayout>
          <c:xMode val="edge"/>
          <c:yMode val="edge"/>
          <c:x val="0.15933858267716536"/>
          <c:y val="6.9382245188101474E-2"/>
          <c:w val="0.28232808775517099"/>
          <c:h val="0.23646077909948199"/>
        </c:manualLayout>
      </c:layout>
      <c:overlay val="0"/>
      <c:spPr>
        <a:effectLst>
          <a:innerShdw blurRad="63500" dist="50800">
            <a:prstClr val="black">
              <a:alpha val="50000"/>
            </a:prstClr>
          </a:innerShdw>
        </a:effectLst>
      </c:spPr>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896762904636921"/>
          <c:y val="7.4434966462525523E-2"/>
          <c:w val="0.85938057742782148"/>
          <c:h val="0.82529454651501899"/>
        </c:manualLayout>
      </c:layout>
      <c:barChart>
        <c:barDir val="col"/>
        <c:grouping val="clustered"/>
        <c:varyColors val="0"/>
        <c:ser>
          <c:idx val="0"/>
          <c:order val="0"/>
          <c:tx>
            <c:strRef>
              <c:f>Sheet1!$B$1</c:f>
              <c:strCache>
                <c:ptCount val="1"/>
                <c:pt idx="0">
                  <c:v>Transitioned ADF males</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1 or 2</c:v>
                </c:pt>
                <c:pt idx="1">
                  <c:v>3 or 4</c:v>
                </c:pt>
                <c:pt idx="2">
                  <c:v>5 or 6</c:v>
                </c:pt>
                <c:pt idx="3">
                  <c:v>7 to 10</c:v>
                </c:pt>
                <c:pt idx="4">
                  <c:v>11 +</c:v>
                </c:pt>
              </c:strCache>
            </c:strRef>
          </c:cat>
          <c:val>
            <c:numRef>
              <c:f>Sheet1!$B$2:$B$6</c:f>
              <c:numCache>
                <c:formatCode>General</c:formatCode>
                <c:ptCount val="5"/>
                <c:pt idx="0">
                  <c:v>9.3000000000000007</c:v>
                </c:pt>
                <c:pt idx="1">
                  <c:v>10.4</c:v>
                </c:pt>
                <c:pt idx="2">
                  <c:v>12.9</c:v>
                </c:pt>
                <c:pt idx="3">
                  <c:v>11.6</c:v>
                </c:pt>
                <c:pt idx="4">
                  <c:v>23.6</c:v>
                </c:pt>
              </c:numCache>
            </c:numRef>
          </c:val>
          <c:extLst xmlns:c16r2="http://schemas.microsoft.com/office/drawing/2015/06/chart">
            <c:ext xmlns:c16="http://schemas.microsoft.com/office/drawing/2014/chart" uri="{C3380CC4-5D6E-409C-BE32-E72D297353CC}">
              <c16:uniqueId val="{00000000-377E-44AF-A4AA-74C19F18F490}"/>
            </c:ext>
          </c:extLst>
        </c:ser>
        <c:ser>
          <c:idx val="1"/>
          <c:order val="1"/>
          <c:tx>
            <c:strRef>
              <c:f>Sheet1!$C$1</c:f>
              <c:strCache>
                <c:ptCount val="1"/>
                <c:pt idx="0">
                  <c:v>Transitioned ADF females</c:v>
                </c:pt>
              </c:strCache>
            </c:strRef>
          </c:tx>
          <c:spPr>
            <a:solidFill>
              <a:schemeClr val="accent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1 or 2</c:v>
                </c:pt>
                <c:pt idx="1">
                  <c:v>3 or 4</c:v>
                </c:pt>
                <c:pt idx="2">
                  <c:v>5 or 6</c:v>
                </c:pt>
                <c:pt idx="3">
                  <c:v>7 to 10</c:v>
                </c:pt>
                <c:pt idx="4">
                  <c:v>11 +</c:v>
                </c:pt>
              </c:strCache>
            </c:strRef>
          </c:cat>
          <c:val>
            <c:numRef>
              <c:f>Sheet1!$C$2:$C$6</c:f>
              <c:numCache>
                <c:formatCode>General</c:formatCode>
                <c:ptCount val="5"/>
                <c:pt idx="0">
                  <c:v>20.2</c:v>
                </c:pt>
                <c:pt idx="1">
                  <c:v>14.9</c:v>
                </c:pt>
                <c:pt idx="2">
                  <c:v>12.3</c:v>
                </c:pt>
                <c:pt idx="3">
                  <c:v>11.6</c:v>
                </c:pt>
                <c:pt idx="4">
                  <c:v>8.1</c:v>
                </c:pt>
              </c:numCache>
            </c:numRef>
          </c:val>
          <c:extLst xmlns:c16r2="http://schemas.microsoft.com/office/drawing/2015/06/chart">
            <c:ext xmlns:c16="http://schemas.microsoft.com/office/drawing/2014/chart" uri="{C3380CC4-5D6E-409C-BE32-E72D297353CC}">
              <c16:uniqueId val="{00000001-377E-44AF-A4AA-74C19F18F490}"/>
            </c:ext>
          </c:extLst>
        </c:ser>
        <c:ser>
          <c:idx val="2"/>
          <c:order val="2"/>
          <c:tx>
            <c:strRef>
              <c:f>Sheet1!$D$1</c:f>
              <c:strCache>
                <c:ptCount val="1"/>
                <c:pt idx="0">
                  <c:v>Aust Community males</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c:v>
                </c:pt>
                <c:pt idx="1">
                  <c:v>3 or 4</c:v>
                </c:pt>
                <c:pt idx="2">
                  <c:v>5 or 6</c:v>
                </c:pt>
                <c:pt idx="3">
                  <c:v>7 to 10</c:v>
                </c:pt>
                <c:pt idx="4">
                  <c:v>11 +</c:v>
                </c:pt>
              </c:strCache>
            </c:strRef>
          </c:cat>
          <c:val>
            <c:numRef>
              <c:f>Sheet1!$D$2:$D$6</c:f>
              <c:numCache>
                <c:formatCode>General</c:formatCode>
                <c:ptCount val="5"/>
                <c:pt idx="0">
                  <c:v>12.2</c:v>
                </c:pt>
                <c:pt idx="1">
                  <c:v>11.6</c:v>
                </c:pt>
                <c:pt idx="2">
                  <c:v>10.4</c:v>
                </c:pt>
                <c:pt idx="3">
                  <c:v>14.2</c:v>
                </c:pt>
                <c:pt idx="4">
                  <c:v>37.200000000000003</c:v>
                </c:pt>
              </c:numCache>
            </c:numRef>
          </c:val>
          <c:extLst xmlns:c16r2="http://schemas.microsoft.com/office/drawing/2015/06/chart">
            <c:ext xmlns:c16="http://schemas.microsoft.com/office/drawing/2014/chart" uri="{C3380CC4-5D6E-409C-BE32-E72D297353CC}">
              <c16:uniqueId val="{00000002-377E-44AF-A4AA-74C19F18F490}"/>
            </c:ext>
          </c:extLst>
        </c:ser>
        <c:ser>
          <c:idx val="3"/>
          <c:order val="3"/>
          <c:tx>
            <c:strRef>
              <c:f>Sheet1!$E$1</c:f>
              <c:strCache>
                <c:ptCount val="1"/>
                <c:pt idx="0">
                  <c:v>Aust Community females</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c:v>
                </c:pt>
                <c:pt idx="1">
                  <c:v>3 or 4</c:v>
                </c:pt>
                <c:pt idx="2">
                  <c:v>5 or 6</c:v>
                </c:pt>
                <c:pt idx="3">
                  <c:v>7 to 10</c:v>
                </c:pt>
                <c:pt idx="4">
                  <c:v>11 +</c:v>
                </c:pt>
              </c:strCache>
            </c:strRef>
          </c:cat>
          <c:val>
            <c:numRef>
              <c:f>Sheet1!$E$2:$E$6</c:f>
              <c:numCache>
                <c:formatCode>General</c:formatCode>
                <c:ptCount val="5"/>
                <c:pt idx="0">
                  <c:v>23.9</c:v>
                </c:pt>
                <c:pt idx="1">
                  <c:v>17.2</c:v>
                </c:pt>
                <c:pt idx="2">
                  <c:v>11.6</c:v>
                </c:pt>
                <c:pt idx="3">
                  <c:v>12.9</c:v>
                </c:pt>
                <c:pt idx="4">
                  <c:v>14.6</c:v>
                </c:pt>
              </c:numCache>
            </c:numRef>
          </c:val>
          <c:extLst xmlns:c16r2="http://schemas.microsoft.com/office/drawing/2015/06/chart">
            <c:ext xmlns:c16="http://schemas.microsoft.com/office/drawing/2014/chart" uri="{C3380CC4-5D6E-409C-BE32-E72D297353CC}">
              <c16:uniqueId val="{00000003-377E-44AF-A4AA-74C19F18F490}"/>
            </c:ext>
          </c:extLst>
        </c:ser>
        <c:dLbls>
          <c:showLegendKey val="0"/>
          <c:showVal val="1"/>
          <c:showCatName val="0"/>
          <c:showSerName val="0"/>
          <c:showPercent val="0"/>
          <c:showBubbleSize val="0"/>
        </c:dLbls>
        <c:gapWidth val="150"/>
        <c:axId val="660071928"/>
        <c:axId val="660062912"/>
      </c:barChart>
      <c:catAx>
        <c:axId val="660071928"/>
        <c:scaling>
          <c:orientation val="minMax"/>
        </c:scaling>
        <c:delete val="0"/>
        <c:axPos val="b"/>
        <c:numFmt formatCode="General" sourceLinked="1"/>
        <c:majorTickMark val="out"/>
        <c:minorTickMark val="none"/>
        <c:tickLblPos val="nextTo"/>
        <c:crossAx val="660062912"/>
        <c:crosses val="autoZero"/>
        <c:auto val="1"/>
        <c:lblAlgn val="ctr"/>
        <c:lblOffset val="100"/>
        <c:noMultiLvlLbl val="0"/>
      </c:catAx>
      <c:valAx>
        <c:axId val="660062912"/>
        <c:scaling>
          <c:orientation val="minMax"/>
          <c:max val="5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2010061242344703E-3"/>
              <c:y val="0.32353389538428906"/>
            </c:manualLayout>
          </c:layout>
          <c:overlay val="0"/>
        </c:title>
        <c:numFmt formatCode="General" sourceLinked="1"/>
        <c:majorTickMark val="out"/>
        <c:minorTickMark val="none"/>
        <c:tickLblPos val="nextTo"/>
        <c:crossAx val="660071928"/>
        <c:crosses val="autoZero"/>
        <c:crossBetween val="between"/>
      </c:valAx>
    </c:plotArea>
    <c:legend>
      <c:legendPos val="r"/>
      <c:layout>
        <c:manualLayout>
          <c:xMode val="edge"/>
          <c:yMode val="edge"/>
          <c:x val="0.47373206474190727"/>
          <c:y val="0.11872232826957237"/>
          <c:w val="0.28232808775517099"/>
          <c:h val="0.21122432251173651"/>
        </c:manualLayout>
      </c:layout>
      <c:overlay val="0"/>
      <c:spPr>
        <a:effectLst>
          <a:innerShdw blurRad="63500" dist="50800">
            <a:prstClr val="black">
              <a:alpha val="50000"/>
            </a:prstClr>
          </a:innerShdw>
        </a:effectLst>
      </c:spPr>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8290465060429595E-2"/>
          <c:y val="5.764406916240733E-2"/>
          <c:w val="0.88944324659548013"/>
          <c:h val="0.83682296042376503"/>
        </c:manualLayout>
      </c:layout>
      <c:barChart>
        <c:barDir val="col"/>
        <c:grouping val="clustered"/>
        <c:varyColors val="0"/>
        <c:ser>
          <c:idx val="0"/>
          <c:order val="0"/>
          <c:tx>
            <c:strRef>
              <c:f>Sheet1!$B$1</c:f>
              <c:strCache>
                <c:ptCount val="1"/>
                <c:pt idx="0">
                  <c:v>Transitioned ADF 18–27</c:v>
                </c:pt>
              </c:strCache>
            </c:strRef>
          </c:tx>
          <c:spPr>
            <a:solidFill>
              <a:schemeClr val="accent1"/>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Less than monthly</c:v>
                </c:pt>
                <c:pt idx="1">
                  <c:v>Monthly</c:v>
                </c:pt>
                <c:pt idx="2">
                  <c:v>Weekly</c:v>
                </c:pt>
                <c:pt idx="3">
                  <c:v>Daily</c:v>
                </c:pt>
              </c:strCache>
            </c:strRef>
          </c:cat>
          <c:val>
            <c:numRef>
              <c:f>Sheet1!$B$2:$B$5</c:f>
              <c:numCache>
                <c:formatCode>General</c:formatCode>
                <c:ptCount val="4"/>
                <c:pt idx="0">
                  <c:v>18.399999999999999</c:v>
                </c:pt>
                <c:pt idx="1">
                  <c:v>31.7</c:v>
                </c:pt>
                <c:pt idx="2">
                  <c:v>39.9</c:v>
                </c:pt>
                <c:pt idx="3">
                  <c:v>1.8</c:v>
                </c:pt>
              </c:numCache>
            </c:numRef>
          </c:val>
          <c:extLst xmlns:c16r2="http://schemas.microsoft.com/office/drawing/2015/06/chart">
            <c:ext xmlns:c16="http://schemas.microsoft.com/office/drawing/2014/chart" uri="{C3380CC4-5D6E-409C-BE32-E72D297353CC}">
              <c16:uniqueId val="{00000000-0CD3-4D35-8D4E-E1A346732B16}"/>
            </c:ext>
          </c:extLst>
        </c:ser>
        <c:ser>
          <c:idx val="1"/>
          <c:order val="1"/>
          <c:tx>
            <c:strRef>
              <c:f>Sheet1!$C$1</c:f>
              <c:strCache>
                <c:ptCount val="1"/>
                <c:pt idx="0">
                  <c:v>Transitioned ADF 28–37</c:v>
                </c:pt>
              </c:strCache>
            </c:strRef>
          </c:tx>
          <c:spPr>
            <a:solidFill>
              <a:schemeClr val="accent2"/>
            </a:solidFill>
            <a:effectLst/>
          </c:spPr>
          <c:invertIfNegative val="0"/>
          <c:dLbls>
            <c:dLbl>
              <c:idx val="0"/>
              <c:layout/>
              <c:tx>
                <c:rich>
                  <a:bodyPr/>
                  <a:lstStyle/>
                  <a:p>
                    <a:r>
                      <a:rPr lang="en-US"/>
                      <a:t>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D3-4D35-8D4E-E1A346732B16}"/>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Less than monthly</c:v>
                </c:pt>
                <c:pt idx="1">
                  <c:v>Monthly</c:v>
                </c:pt>
                <c:pt idx="2">
                  <c:v>Weekly</c:v>
                </c:pt>
                <c:pt idx="3">
                  <c:v>Daily</c:v>
                </c:pt>
              </c:strCache>
            </c:strRef>
          </c:cat>
          <c:val>
            <c:numRef>
              <c:f>Sheet1!$C$2:$C$5</c:f>
              <c:numCache>
                <c:formatCode>General</c:formatCode>
                <c:ptCount val="4"/>
                <c:pt idx="0">
                  <c:v>15</c:v>
                </c:pt>
                <c:pt idx="1">
                  <c:v>28.8</c:v>
                </c:pt>
                <c:pt idx="2">
                  <c:v>46.9</c:v>
                </c:pt>
                <c:pt idx="3">
                  <c:v>2.9</c:v>
                </c:pt>
              </c:numCache>
            </c:numRef>
          </c:val>
          <c:extLst xmlns:c16r2="http://schemas.microsoft.com/office/drawing/2015/06/chart">
            <c:ext xmlns:c16="http://schemas.microsoft.com/office/drawing/2014/chart" uri="{C3380CC4-5D6E-409C-BE32-E72D297353CC}">
              <c16:uniqueId val="{00000002-0CD3-4D35-8D4E-E1A346732B16}"/>
            </c:ext>
          </c:extLst>
        </c:ser>
        <c:ser>
          <c:idx val="2"/>
          <c:order val="2"/>
          <c:tx>
            <c:strRef>
              <c:f>Sheet1!$D$1</c:f>
              <c:strCache>
                <c:ptCount val="1"/>
                <c:pt idx="0">
                  <c:v>Transitioned ADF 38–47</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Sheet1!$D$2:$D$5</c:f>
              <c:numCache>
                <c:formatCode>General</c:formatCode>
                <c:ptCount val="4"/>
                <c:pt idx="0">
                  <c:v>13.5</c:v>
                </c:pt>
                <c:pt idx="1">
                  <c:v>20.9</c:v>
                </c:pt>
                <c:pt idx="2">
                  <c:v>51.3</c:v>
                </c:pt>
                <c:pt idx="3">
                  <c:v>5.9</c:v>
                </c:pt>
              </c:numCache>
            </c:numRef>
          </c:val>
          <c:extLst xmlns:c16r2="http://schemas.microsoft.com/office/drawing/2015/06/chart">
            <c:ext xmlns:c16="http://schemas.microsoft.com/office/drawing/2014/chart" uri="{C3380CC4-5D6E-409C-BE32-E72D297353CC}">
              <c16:uniqueId val="{00000003-0CD3-4D35-8D4E-E1A346732B16}"/>
            </c:ext>
          </c:extLst>
        </c:ser>
        <c:ser>
          <c:idx val="3"/>
          <c:order val="3"/>
          <c:tx>
            <c:strRef>
              <c:f>Sheet1!$E$1</c:f>
              <c:strCache>
                <c:ptCount val="1"/>
                <c:pt idx="0">
                  <c:v>Transitioned ADF 48–57</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Sheet1!$E$2:$E$5</c:f>
              <c:numCache>
                <c:formatCode>General</c:formatCode>
                <c:ptCount val="4"/>
                <c:pt idx="0">
                  <c:v>13.5</c:v>
                </c:pt>
                <c:pt idx="1">
                  <c:v>20.9</c:v>
                </c:pt>
                <c:pt idx="2">
                  <c:v>51.3</c:v>
                </c:pt>
                <c:pt idx="3">
                  <c:v>5.9</c:v>
                </c:pt>
              </c:numCache>
            </c:numRef>
          </c:val>
          <c:extLst xmlns:c16r2="http://schemas.microsoft.com/office/drawing/2015/06/chart">
            <c:ext xmlns:c16="http://schemas.microsoft.com/office/drawing/2014/chart" uri="{C3380CC4-5D6E-409C-BE32-E72D297353CC}">
              <c16:uniqueId val="{00000004-0CD3-4D35-8D4E-E1A346732B16}"/>
            </c:ext>
          </c:extLst>
        </c:ser>
        <c:ser>
          <c:idx val="4"/>
          <c:order val="4"/>
          <c:tx>
            <c:strRef>
              <c:f>Sheet1!$F$1</c:f>
              <c:strCache>
                <c:ptCount val="1"/>
                <c:pt idx="0">
                  <c:v>Transitioned ADF 58+</c:v>
                </c:pt>
              </c:strCache>
            </c:strRef>
          </c:tx>
          <c:spPr>
            <a:solidFill>
              <a:schemeClr val="accent5"/>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Sheet1!$F$2:$F$5</c:f>
              <c:numCache>
                <c:formatCode>General</c:formatCode>
                <c:ptCount val="4"/>
                <c:pt idx="0">
                  <c:v>9.4</c:v>
                </c:pt>
                <c:pt idx="1">
                  <c:v>18.3</c:v>
                </c:pt>
                <c:pt idx="2">
                  <c:v>55.6</c:v>
                </c:pt>
                <c:pt idx="3">
                  <c:v>8.5</c:v>
                </c:pt>
              </c:numCache>
            </c:numRef>
          </c:val>
          <c:extLst xmlns:c16r2="http://schemas.microsoft.com/office/drawing/2015/06/chart">
            <c:ext xmlns:c16="http://schemas.microsoft.com/office/drawing/2014/chart" uri="{C3380CC4-5D6E-409C-BE32-E72D297353CC}">
              <c16:uniqueId val="{00000005-0CD3-4D35-8D4E-E1A346732B16}"/>
            </c:ext>
          </c:extLst>
        </c:ser>
        <c:ser>
          <c:idx val="5"/>
          <c:order val="5"/>
          <c:tx>
            <c:strRef>
              <c:f>Sheet1!$G$1</c:f>
              <c:strCache>
                <c:ptCount val="1"/>
                <c:pt idx="0">
                  <c:v>Aust Community 18–27</c:v>
                </c:pt>
              </c:strCache>
            </c:strRef>
          </c:tx>
          <c:spPr>
            <a:solidFill>
              <a:schemeClr val="accent6"/>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Sheet1!$G$2:$G$5</c:f>
              <c:numCache>
                <c:formatCode>General</c:formatCode>
                <c:ptCount val="4"/>
                <c:pt idx="0">
                  <c:v>14.9</c:v>
                </c:pt>
                <c:pt idx="1">
                  <c:v>28.5</c:v>
                </c:pt>
                <c:pt idx="2">
                  <c:v>40.299999999999997</c:v>
                </c:pt>
                <c:pt idx="3">
                  <c:v>0.7</c:v>
                </c:pt>
              </c:numCache>
            </c:numRef>
          </c:val>
          <c:extLst xmlns:c16r2="http://schemas.microsoft.com/office/drawing/2015/06/chart">
            <c:ext xmlns:c16="http://schemas.microsoft.com/office/drawing/2014/chart" uri="{C3380CC4-5D6E-409C-BE32-E72D297353CC}">
              <c16:uniqueId val="{00000006-0CD3-4D35-8D4E-E1A346732B16}"/>
            </c:ext>
          </c:extLst>
        </c:ser>
        <c:ser>
          <c:idx val="6"/>
          <c:order val="6"/>
          <c:tx>
            <c:strRef>
              <c:f>Sheet1!$H$1</c:f>
              <c:strCache>
                <c:ptCount val="1"/>
                <c:pt idx="0">
                  <c:v>Aust Community 28–37</c:v>
                </c:pt>
              </c:strCache>
            </c:strRef>
          </c:tx>
          <c:spPr>
            <a:solidFill>
              <a:srgbClr val="5F1C95"/>
            </a:solidFill>
            <a:effectLst/>
          </c:spPr>
          <c:invertIfNegative val="0"/>
          <c:dLbls>
            <c:dLbl>
              <c:idx val="3"/>
              <c:layout/>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CD3-4D35-8D4E-E1A346732B16}"/>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Sheet1!$H$2:$H$5</c:f>
              <c:numCache>
                <c:formatCode>General</c:formatCode>
                <c:ptCount val="4"/>
                <c:pt idx="0">
                  <c:v>12.5</c:v>
                </c:pt>
                <c:pt idx="1">
                  <c:v>19.7</c:v>
                </c:pt>
                <c:pt idx="2">
                  <c:v>47.3</c:v>
                </c:pt>
                <c:pt idx="3">
                  <c:v>3</c:v>
                </c:pt>
              </c:numCache>
            </c:numRef>
          </c:val>
          <c:extLst xmlns:c16r2="http://schemas.microsoft.com/office/drawing/2015/06/chart">
            <c:ext xmlns:c16="http://schemas.microsoft.com/office/drawing/2014/chart" uri="{C3380CC4-5D6E-409C-BE32-E72D297353CC}">
              <c16:uniqueId val="{00000008-0CD3-4D35-8D4E-E1A346732B16}"/>
            </c:ext>
          </c:extLst>
        </c:ser>
        <c:ser>
          <c:idx val="7"/>
          <c:order val="7"/>
          <c:tx>
            <c:strRef>
              <c:f>Sheet1!$I$1</c:f>
              <c:strCache>
                <c:ptCount val="1"/>
                <c:pt idx="0">
                  <c:v>Aust Community 38–47</c:v>
                </c:pt>
              </c:strCache>
            </c:strRef>
          </c:tx>
          <c:spPr>
            <a:solidFill>
              <a:srgbClr val="929292"/>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Sheet1!$I$2:$I$5</c:f>
              <c:numCache>
                <c:formatCode>General</c:formatCode>
                <c:ptCount val="4"/>
                <c:pt idx="0">
                  <c:v>15.6</c:v>
                </c:pt>
                <c:pt idx="1">
                  <c:v>17.899999999999999</c:v>
                </c:pt>
                <c:pt idx="2">
                  <c:v>45.5</c:v>
                </c:pt>
                <c:pt idx="3">
                  <c:v>5.9</c:v>
                </c:pt>
              </c:numCache>
            </c:numRef>
          </c:val>
          <c:extLst xmlns:c16r2="http://schemas.microsoft.com/office/drawing/2015/06/chart">
            <c:ext xmlns:c16="http://schemas.microsoft.com/office/drawing/2014/chart" uri="{C3380CC4-5D6E-409C-BE32-E72D297353CC}">
              <c16:uniqueId val="{00000009-0CD3-4D35-8D4E-E1A346732B16}"/>
            </c:ext>
          </c:extLst>
        </c:ser>
        <c:ser>
          <c:idx val="8"/>
          <c:order val="8"/>
          <c:tx>
            <c:strRef>
              <c:f>Sheet1!$J$1</c:f>
              <c:strCache>
                <c:ptCount val="1"/>
                <c:pt idx="0">
                  <c:v>Aust Community 48–57</c:v>
                </c:pt>
              </c:strCache>
            </c:strRef>
          </c:tx>
          <c:spPr>
            <a:solidFill>
              <a:srgbClr val="FF9300"/>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Sheet1!$J$2:$J$5</c:f>
              <c:numCache>
                <c:formatCode>General</c:formatCode>
                <c:ptCount val="4"/>
                <c:pt idx="0">
                  <c:v>9.6999999999999993</c:v>
                </c:pt>
                <c:pt idx="1">
                  <c:v>14.9</c:v>
                </c:pt>
                <c:pt idx="2">
                  <c:v>48.4</c:v>
                </c:pt>
                <c:pt idx="3">
                  <c:v>10.6</c:v>
                </c:pt>
              </c:numCache>
            </c:numRef>
          </c:val>
          <c:extLst xmlns:c16r2="http://schemas.microsoft.com/office/drawing/2015/06/chart">
            <c:ext xmlns:c16="http://schemas.microsoft.com/office/drawing/2014/chart" uri="{C3380CC4-5D6E-409C-BE32-E72D297353CC}">
              <c16:uniqueId val="{0000000A-0CD3-4D35-8D4E-E1A346732B16}"/>
            </c:ext>
          </c:extLst>
        </c:ser>
        <c:ser>
          <c:idx val="9"/>
          <c:order val="9"/>
          <c:tx>
            <c:strRef>
              <c:f>Sheet1!$K$1</c:f>
              <c:strCache>
                <c:ptCount val="1"/>
                <c:pt idx="0">
                  <c:v>Aust Community 58+</c:v>
                </c:pt>
              </c:strCache>
            </c:strRef>
          </c:tx>
          <c:spPr>
            <a:solidFill>
              <a:srgbClr val="FF7E79"/>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Less than monthly</c:v>
                </c:pt>
                <c:pt idx="1">
                  <c:v>Monthly</c:v>
                </c:pt>
                <c:pt idx="2">
                  <c:v>Weekly</c:v>
                </c:pt>
                <c:pt idx="3">
                  <c:v>Daily</c:v>
                </c:pt>
              </c:strCache>
            </c:strRef>
          </c:cat>
          <c:val>
            <c:numRef>
              <c:f>Sheet1!$K$2:$K$5</c:f>
              <c:numCache>
                <c:formatCode>General</c:formatCode>
                <c:ptCount val="4"/>
                <c:pt idx="0">
                  <c:v>9.4</c:v>
                </c:pt>
                <c:pt idx="1">
                  <c:v>13.4</c:v>
                </c:pt>
                <c:pt idx="2">
                  <c:v>45.3</c:v>
                </c:pt>
                <c:pt idx="3">
                  <c:v>14.5</c:v>
                </c:pt>
              </c:numCache>
            </c:numRef>
          </c:val>
          <c:extLst xmlns:c16r2="http://schemas.microsoft.com/office/drawing/2015/06/chart">
            <c:ext xmlns:c16="http://schemas.microsoft.com/office/drawing/2014/chart" uri="{C3380CC4-5D6E-409C-BE32-E72D297353CC}">
              <c16:uniqueId val="{0000000B-0CD3-4D35-8D4E-E1A346732B16}"/>
            </c:ext>
          </c:extLst>
        </c:ser>
        <c:dLbls>
          <c:showLegendKey val="0"/>
          <c:showVal val="1"/>
          <c:showCatName val="0"/>
          <c:showSerName val="0"/>
          <c:showPercent val="0"/>
          <c:showBubbleSize val="0"/>
        </c:dLbls>
        <c:gapWidth val="150"/>
        <c:axId val="660063696"/>
        <c:axId val="660065656"/>
      </c:barChart>
      <c:catAx>
        <c:axId val="660063696"/>
        <c:scaling>
          <c:orientation val="minMax"/>
        </c:scaling>
        <c:delete val="0"/>
        <c:axPos val="b"/>
        <c:numFmt formatCode="General" sourceLinked="1"/>
        <c:majorTickMark val="out"/>
        <c:minorTickMark val="none"/>
        <c:tickLblPos val="nextTo"/>
        <c:crossAx val="660065656"/>
        <c:crosses val="autoZero"/>
        <c:auto val="1"/>
        <c:lblAlgn val="ctr"/>
        <c:lblOffset val="100"/>
        <c:noMultiLvlLbl val="0"/>
      </c:catAx>
      <c:valAx>
        <c:axId val="660065656"/>
        <c:scaling>
          <c:orientation val="minMax"/>
          <c:max val="6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3.5653108799061578E-3"/>
              <c:y val="0.33325131233595801"/>
            </c:manualLayout>
          </c:layout>
          <c:overlay val="0"/>
        </c:title>
        <c:numFmt formatCode="General" sourceLinked="1"/>
        <c:majorTickMark val="out"/>
        <c:minorTickMark val="none"/>
        <c:tickLblPos val="nextTo"/>
        <c:crossAx val="660063696"/>
        <c:crosses val="autoZero"/>
        <c:crossBetween val="between"/>
      </c:valAx>
    </c:plotArea>
    <c:legend>
      <c:legendPos val="r"/>
      <c:layout>
        <c:manualLayout>
          <c:xMode val="edge"/>
          <c:yMode val="edge"/>
          <c:x val="0.75843090418539061"/>
          <c:y val="1.9197518073398721E-2"/>
          <c:w val="0.234444437923057"/>
          <c:h val="0.49011532125205898"/>
        </c:manualLayout>
      </c:layout>
      <c:overlay val="0"/>
      <c:spPr>
        <a:effectLst>
          <a:innerShdw blurRad="63500" dist="50800">
            <a:prstClr val="black">
              <a:alpha val="50000"/>
            </a:prstClr>
          </a:innerShdw>
        </a:effectLst>
      </c:spPr>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043508450332598E-2"/>
          <c:y val="7.1270366288960649E-2"/>
          <c:w val="0.8878756822063909"/>
          <c:h val="0.8151362774581119"/>
        </c:manualLayout>
      </c:layout>
      <c:barChart>
        <c:barDir val="col"/>
        <c:grouping val="clustered"/>
        <c:varyColors val="0"/>
        <c:ser>
          <c:idx val="0"/>
          <c:order val="0"/>
          <c:tx>
            <c:strRef>
              <c:f>Sheet1!$B$1</c:f>
              <c:strCache>
                <c:ptCount val="1"/>
                <c:pt idx="0">
                  <c:v>Transitioned ADF 18–27</c:v>
                </c:pt>
              </c:strCache>
            </c:strRef>
          </c:tx>
          <c:spPr>
            <a:solidFill>
              <a:schemeClr val="accent1"/>
            </a:solidFill>
            <a:effectLst/>
          </c:spPr>
          <c:invertIfNegative val="0"/>
          <c:dLbls>
            <c:dLbl>
              <c:idx val="2"/>
              <c:layout/>
              <c:tx>
                <c:rich>
                  <a:bodyPr/>
                  <a:lstStyle/>
                  <a:p>
                    <a:r>
                      <a:rPr lang="en-US"/>
                      <a:t>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4C-4A25-BD97-95C2A1E81BF0}"/>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1 or 2 </c:v>
                </c:pt>
                <c:pt idx="1">
                  <c:v>3 or 4 </c:v>
                </c:pt>
                <c:pt idx="2">
                  <c:v>5 or 6 </c:v>
                </c:pt>
                <c:pt idx="3">
                  <c:v>7 to 10</c:v>
                </c:pt>
                <c:pt idx="4">
                  <c:v>11 +</c:v>
                </c:pt>
              </c:strCache>
            </c:strRef>
          </c:cat>
          <c:val>
            <c:numRef>
              <c:f>Sheet1!$B$2:$B$6</c:f>
              <c:numCache>
                <c:formatCode>General</c:formatCode>
                <c:ptCount val="5"/>
                <c:pt idx="0">
                  <c:v>7.2</c:v>
                </c:pt>
                <c:pt idx="1">
                  <c:v>10.1</c:v>
                </c:pt>
                <c:pt idx="2">
                  <c:v>8.43</c:v>
                </c:pt>
                <c:pt idx="3">
                  <c:v>10.9</c:v>
                </c:pt>
                <c:pt idx="4">
                  <c:v>25.8</c:v>
                </c:pt>
              </c:numCache>
            </c:numRef>
          </c:val>
          <c:extLst xmlns:c16r2="http://schemas.microsoft.com/office/drawing/2015/06/chart">
            <c:ext xmlns:c16="http://schemas.microsoft.com/office/drawing/2014/chart" uri="{C3380CC4-5D6E-409C-BE32-E72D297353CC}">
              <c16:uniqueId val="{00000001-E14C-4A25-BD97-95C2A1E81BF0}"/>
            </c:ext>
          </c:extLst>
        </c:ser>
        <c:ser>
          <c:idx val="1"/>
          <c:order val="1"/>
          <c:tx>
            <c:strRef>
              <c:f>Sheet1!$C$1</c:f>
              <c:strCache>
                <c:ptCount val="1"/>
                <c:pt idx="0">
                  <c:v>Transitioned ADF 28–37</c:v>
                </c:pt>
              </c:strCache>
            </c:strRef>
          </c:tx>
          <c:spPr>
            <a:solidFill>
              <a:schemeClr val="accent2"/>
            </a:solidFill>
            <a:effectLst/>
          </c:spPr>
          <c:invertIfNegative val="0"/>
          <c:dLbls>
            <c:dLbl>
              <c:idx val="2"/>
              <c:layout/>
              <c:tx>
                <c:rich>
                  <a:bodyPr/>
                  <a:lstStyle/>
                  <a:p>
                    <a:r>
                      <a:rPr lang="en-US"/>
                      <a:t>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4C-4A25-BD97-95C2A1E81BF0}"/>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1 or 2 </c:v>
                </c:pt>
                <c:pt idx="1">
                  <c:v>3 or 4 </c:v>
                </c:pt>
                <c:pt idx="2">
                  <c:v>5 or 6 </c:v>
                </c:pt>
                <c:pt idx="3">
                  <c:v>7 to 10</c:v>
                </c:pt>
                <c:pt idx="4">
                  <c:v>11 +</c:v>
                </c:pt>
              </c:strCache>
            </c:strRef>
          </c:cat>
          <c:val>
            <c:numRef>
              <c:f>Sheet1!$C$2:$C$6</c:f>
              <c:numCache>
                <c:formatCode>General</c:formatCode>
                <c:ptCount val="5"/>
                <c:pt idx="0">
                  <c:v>7.2</c:v>
                </c:pt>
                <c:pt idx="1">
                  <c:v>10.1</c:v>
                </c:pt>
                <c:pt idx="2">
                  <c:v>8.43</c:v>
                </c:pt>
                <c:pt idx="3">
                  <c:v>10.9</c:v>
                </c:pt>
                <c:pt idx="4">
                  <c:v>25.8</c:v>
                </c:pt>
              </c:numCache>
            </c:numRef>
          </c:val>
          <c:extLst xmlns:c16r2="http://schemas.microsoft.com/office/drawing/2015/06/chart">
            <c:ext xmlns:c16="http://schemas.microsoft.com/office/drawing/2014/chart" uri="{C3380CC4-5D6E-409C-BE32-E72D297353CC}">
              <c16:uniqueId val="{00000003-E14C-4A25-BD97-95C2A1E81BF0}"/>
            </c:ext>
          </c:extLst>
        </c:ser>
        <c:ser>
          <c:idx val="2"/>
          <c:order val="2"/>
          <c:tx>
            <c:strRef>
              <c:f>Sheet1!$D$1</c:f>
              <c:strCache>
                <c:ptCount val="1"/>
                <c:pt idx="0">
                  <c:v>Transitioned ADF 38–47</c:v>
                </c:pt>
              </c:strCache>
            </c:strRef>
          </c:tx>
          <c:spPr>
            <a:solidFill>
              <a:schemeClr val="accent3"/>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Sheet1!$D$2:$D$6</c:f>
              <c:numCache>
                <c:formatCode>General</c:formatCode>
                <c:ptCount val="5"/>
                <c:pt idx="0">
                  <c:v>12.4</c:v>
                </c:pt>
                <c:pt idx="1">
                  <c:v>10.4</c:v>
                </c:pt>
                <c:pt idx="2">
                  <c:v>13.3</c:v>
                </c:pt>
                <c:pt idx="3">
                  <c:v>13.5</c:v>
                </c:pt>
                <c:pt idx="4">
                  <c:v>19.3</c:v>
                </c:pt>
              </c:numCache>
            </c:numRef>
          </c:val>
          <c:extLst xmlns:c16r2="http://schemas.microsoft.com/office/drawing/2015/06/chart">
            <c:ext xmlns:c16="http://schemas.microsoft.com/office/drawing/2014/chart" uri="{C3380CC4-5D6E-409C-BE32-E72D297353CC}">
              <c16:uniqueId val="{00000004-E14C-4A25-BD97-95C2A1E81BF0}"/>
            </c:ext>
          </c:extLst>
        </c:ser>
        <c:ser>
          <c:idx val="3"/>
          <c:order val="3"/>
          <c:tx>
            <c:strRef>
              <c:f>Sheet1!$E$1</c:f>
              <c:strCache>
                <c:ptCount val="1"/>
                <c:pt idx="0">
                  <c:v>Transitioned ADF 48–57</c:v>
                </c:pt>
              </c:strCache>
            </c:strRef>
          </c:tx>
          <c:spPr>
            <a:solidFill>
              <a:schemeClr val="accent4"/>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Sheet1!$E$2:$E$6</c:f>
              <c:numCache>
                <c:formatCode>General</c:formatCode>
                <c:ptCount val="5"/>
                <c:pt idx="0">
                  <c:v>14.5</c:v>
                </c:pt>
                <c:pt idx="1">
                  <c:v>17.100000000000001</c:v>
                </c:pt>
                <c:pt idx="2">
                  <c:v>17.3</c:v>
                </c:pt>
                <c:pt idx="3">
                  <c:v>10.1</c:v>
                </c:pt>
                <c:pt idx="4">
                  <c:v>13.6</c:v>
                </c:pt>
              </c:numCache>
            </c:numRef>
          </c:val>
          <c:extLst xmlns:c16r2="http://schemas.microsoft.com/office/drawing/2015/06/chart">
            <c:ext xmlns:c16="http://schemas.microsoft.com/office/drawing/2014/chart" uri="{C3380CC4-5D6E-409C-BE32-E72D297353CC}">
              <c16:uniqueId val="{00000005-E14C-4A25-BD97-95C2A1E81BF0}"/>
            </c:ext>
          </c:extLst>
        </c:ser>
        <c:ser>
          <c:idx val="4"/>
          <c:order val="4"/>
          <c:tx>
            <c:strRef>
              <c:f>Sheet1!$F$1</c:f>
              <c:strCache>
                <c:ptCount val="1"/>
                <c:pt idx="0">
                  <c:v>Transitioned ADF 58+</c:v>
                </c:pt>
              </c:strCache>
            </c:strRef>
          </c:tx>
          <c:spPr>
            <a:solidFill>
              <a:schemeClr val="accent5"/>
            </a:solidFill>
            <a:effectLst/>
          </c:spPr>
          <c:invertIfNegative val="0"/>
          <c:dLbls>
            <c:dLbl>
              <c:idx val="1"/>
              <c:layout/>
              <c:tx>
                <c:rich>
                  <a:bodyPr/>
                  <a:lstStyle/>
                  <a:p>
                    <a:r>
                      <a:rPr lang="en-US"/>
                      <a:t>17.0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4C-4A25-BD97-95C2A1E81BF0}"/>
                </c:ext>
                <c:ext xmlns:c15="http://schemas.microsoft.com/office/drawing/2012/chart" uri="{CE6537A1-D6FC-4f65-9D91-7224C49458BB}">
                  <c15:layout/>
                </c:ext>
              </c:extLst>
            </c:dLbl>
            <c:dLbl>
              <c:idx val="2"/>
              <c:layout/>
              <c:tx>
                <c:rich>
                  <a:bodyPr/>
                  <a:lstStyle/>
                  <a:p>
                    <a:r>
                      <a:rPr lang="en-US"/>
                      <a:t>17.1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4C-4A25-BD97-95C2A1E81BF0}"/>
                </c:ext>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Sheet1!$F$2:$F$6</c:f>
              <c:numCache>
                <c:formatCode>General</c:formatCode>
                <c:ptCount val="5"/>
                <c:pt idx="0">
                  <c:v>21.8</c:v>
                </c:pt>
                <c:pt idx="1">
                  <c:v>17</c:v>
                </c:pt>
                <c:pt idx="2">
                  <c:v>17.12</c:v>
                </c:pt>
                <c:pt idx="3">
                  <c:v>10.5</c:v>
                </c:pt>
                <c:pt idx="4">
                  <c:v>5.9</c:v>
                </c:pt>
              </c:numCache>
            </c:numRef>
          </c:val>
          <c:extLst xmlns:c16r2="http://schemas.microsoft.com/office/drawing/2015/06/chart">
            <c:ext xmlns:c16="http://schemas.microsoft.com/office/drawing/2014/chart" uri="{C3380CC4-5D6E-409C-BE32-E72D297353CC}">
              <c16:uniqueId val="{00000008-E14C-4A25-BD97-95C2A1E81BF0}"/>
            </c:ext>
          </c:extLst>
        </c:ser>
        <c:ser>
          <c:idx val="5"/>
          <c:order val="5"/>
          <c:tx>
            <c:strRef>
              <c:f>Sheet1!$G$1</c:f>
              <c:strCache>
                <c:ptCount val="1"/>
                <c:pt idx="0">
                  <c:v>Aust Community 18–27</c:v>
                </c:pt>
              </c:strCache>
            </c:strRef>
          </c:tx>
          <c:spPr>
            <a:solidFill>
              <a:schemeClr val="accent6"/>
            </a:solidFill>
            <a:effectLst/>
          </c:spPr>
          <c:invertIfNegative val="0"/>
          <c:dLbls>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Sheet1!$G$2:$G$6</c:f>
              <c:numCache>
                <c:formatCode>General</c:formatCode>
                <c:ptCount val="5"/>
                <c:pt idx="0">
                  <c:v>10.8</c:v>
                </c:pt>
                <c:pt idx="1">
                  <c:v>8.1</c:v>
                </c:pt>
                <c:pt idx="2">
                  <c:v>9.8000000000000007</c:v>
                </c:pt>
                <c:pt idx="3">
                  <c:v>13.2</c:v>
                </c:pt>
                <c:pt idx="4">
                  <c:v>43.2</c:v>
                </c:pt>
              </c:numCache>
            </c:numRef>
          </c:val>
          <c:extLst xmlns:c16r2="http://schemas.microsoft.com/office/drawing/2015/06/chart">
            <c:ext xmlns:c16="http://schemas.microsoft.com/office/drawing/2014/chart" uri="{C3380CC4-5D6E-409C-BE32-E72D297353CC}">
              <c16:uniqueId val="{00000009-E14C-4A25-BD97-95C2A1E81BF0}"/>
            </c:ext>
          </c:extLst>
        </c:ser>
        <c:ser>
          <c:idx val="6"/>
          <c:order val="6"/>
          <c:tx>
            <c:strRef>
              <c:f>Sheet1!$H$1</c:f>
              <c:strCache>
                <c:ptCount val="1"/>
                <c:pt idx="0">
                  <c:v>Aust Community 28–37</c:v>
                </c:pt>
              </c:strCache>
            </c:strRef>
          </c:tx>
          <c:spPr>
            <a:solidFill>
              <a:srgbClr val="5F1C95"/>
            </a:solidFill>
            <a:effectLst/>
          </c:spPr>
          <c:invertIfNegative val="0"/>
          <c:dLbls>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Sheet1!$H$2:$H$6</c:f>
              <c:numCache>
                <c:formatCode>General</c:formatCode>
                <c:ptCount val="5"/>
                <c:pt idx="0">
                  <c:v>11.4</c:v>
                </c:pt>
                <c:pt idx="1">
                  <c:v>11.4</c:v>
                </c:pt>
                <c:pt idx="2">
                  <c:v>9.1999999999999993</c:v>
                </c:pt>
                <c:pt idx="3">
                  <c:v>11.6</c:v>
                </c:pt>
                <c:pt idx="4">
                  <c:v>39.6</c:v>
                </c:pt>
              </c:numCache>
            </c:numRef>
          </c:val>
          <c:extLst xmlns:c16r2="http://schemas.microsoft.com/office/drawing/2015/06/chart">
            <c:ext xmlns:c16="http://schemas.microsoft.com/office/drawing/2014/chart" uri="{C3380CC4-5D6E-409C-BE32-E72D297353CC}">
              <c16:uniqueId val="{0000000A-E14C-4A25-BD97-95C2A1E81BF0}"/>
            </c:ext>
          </c:extLst>
        </c:ser>
        <c:ser>
          <c:idx val="7"/>
          <c:order val="7"/>
          <c:tx>
            <c:strRef>
              <c:f>Sheet1!$I$1</c:f>
              <c:strCache>
                <c:ptCount val="1"/>
                <c:pt idx="0">
                  <c:v>Aust Community 38–47</c:v>
                </c:pt>
              </c:strCache>
            </c:strRef>
          </c:tx>
          <c:spPr>
            <a:solidFill>
              <a:srgbClr val="929292"/>
            </a:solidFill>
            <a:effectLst/>
          </c:spPr>
          <c:invertIfNegative val="0"/>
          <c:dLbls>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Sheet1!$I$2:$I$6</c:f>
              <c:numCache>
                <c:formatCode>General</c:formatCode>
                <c:ptCount val="5"/>
                <c:pt idx="0">
                  <c:v>15.1</c:v>
                </c:pt>
                <c:pt idx="1">
                  <c:v>13.4</c:v>
                </c:pt>
                <c:pt idx="2">
                  <c:v>10.6</c:v>
                </c:pt>
                <c:pt idx="3">
                  <c:v>16.8</c:v>
                </c:pt>
                <c:pt idx="4">
                  <c:v>29.6</c:v>
                </c:pt>
              </c:numCache>
            </c:numRef>
          </c:val>
          <c:extLst xmlns:c16r2="http://schemas.microsoft.com/office/drawing/2015/06/chart">
            <c:ext xmlns:c16="http://schemas.microsoft.com/office/drawing/2014/chart" uri="{C3380CC4-5D6E-409C-BE32-E72D297353CC}">
              <c16:uniqueId val="{0000000B-E14C-4A25-BD97-95C2A1E81BF0}"/>
            </c:ext>
          </c:extLst>
        </c:ser>
        <c:ser>
          <c:idx val="8"/>
          <c:order val="8"/>
          <c:tx>
            <c:strRef>
              <c:f>Sheet1!$J$1</c:f>
              <c:strCache>
                <c:ptCount val="1"/>
                <c:pt idx="0">
                  <c:v>Aust Community 48–57</c:v>
                </c:pt>
              </c:strCache>
            </c:strRef>
          </c:tx>
          <c:spPr>
            <a:solidFill>
              <a:srgbClr val="FF9300"/>
            </a:solidFill>
            <a:effectLst/>
          </c:spPr>
          <c:invertIfNegative val="0"/>
          <c:dLbls>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Sheet1!$J$2:$J$6</c:f>
              <c:numCache>
                <c:formatCode>General</c:formatCode>
                <c:ptCount val="5"/>
                <c:pt idx="0">
                  <c:v>16.399999999999999</c:v>
                </c:pt>
                <c:pt idx="1">
                  <c:v>13.6</c:v>
                </c:pt>
                <c:pt idx="2">
                  <c:v>11.9</c:v>
                </c:pt>
                <c:pt idx="3">
                  <c:v>18.2</c:v>
                </c:pt>
                <c:pt idx="4">
                  <c:v>25.3</c:v>
                </c:pt>
              </c:numCache>
            </c:numRef>
          </c:val>
          <c:extLst xmlns:c16r2="http://schemas.microsoft.com/office/drawing/2015/06/chart">
            <c:ext xmlns:c16="http://schemas.microsoft.com/office/drawing/2014/chart" uri="{C3380CC4-5D6E-409C-BE32-E72D297353CC}">
              <c16:uniqueId val="{0000000C-E14C-4A25-BD97-95C2A1E81BF0}"/>
            </c:ext>
          </c:extLst>
        </c:ser>
        <c:ser>
          <c:idx val="9"/>
          <c:order val="9"/>
          <c:tx>
            <c:strRef>
              <c:f>Sheet1!$K$1</c:f>
              <c:strCache>
                <c:ptCount val="1"/>
                <c:pt idx="0">
                  <c:v>Aust Community 58+</c:v>
                </c:pt>
              </c:strCache>
            </c:strRef>
          </c:tx>
          <c:spPr>
            <a:solidFill>
              <a:srgbClr val="FF7E79"/>
            </a:solidFill>
            <a:effectLst/>
          </c:spPr>
          <c:invertIfNegative val="0"/>
          <c:dLbls>
            <c:spPr>
              <a:noFill/>
              <a:ln>
                <a:noFill/>
              </a:ln>
              <a:effectLst/>
            </c:spPr>
            <c:txPr>
              <a:bodyPr rot="-5400000" vert="horz"/>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c:f>
              <c:strCache>
                <c:ptCount val="5"/>
                <c:pt idx="0">
                  <c:v>1 or 2 </c:v>
                </c:pt>
                <c:pt idx="1">
                  <c:v>3 or 4 </c:v>
                </c:pt>
                <c:pt idx="2">
                  <c:v>5 or 6 </c:v>
                </c:pt>
                <c:pt idx="3">
                  <c:v>7 to 10</c:v>
                </c:pt>
                <c:pt idx="4">
                  <c:v>11 +</c:v>
                </c:pt>
              </c:strCache>
            </c:strRef>
          </c:cat>
          <c:val>
            <c:numRef>
              <c:f>Sheet1!$K$2:$K$6</c:f>
              <c:numCache>
                <c:formatCode>General</c:formatCode>
                <c:ptCount val="5"/>
                <c:pt idx="0">
                  <c:v>23.9</c:v>
                </c:pt>
                <c:pt idx="1">
                  <c:v>18.8</c:v>
                </c:pt>
                <c:pt idx="2">
                  <c:v>15.9</c:v>
                </c:pt>
                <c:pt idx="3">
                  <c:v>13.1</c:v>
                </c:pt>
                <c:pt idx="4">
                  <c:v>13.4</c:v>
                </c:pt>
              </c:numCache>
            </c:numRef>
          </c:val>
          <c:extLst xmlns:c16r2="http://schemas.microsoft.com/office/drawing/2015/06/chart">
            <c:ext xmlns:c16="http://schemas.microsoft.com/office/drawing/2014/chart" uri="{C3380CC4-5D6E-409C-BE32-E72D297353CC}">
              <c16:uniqueId val="{0000000D-E14C-4A25-BD97-95C2A1E81BF0}"/>
            </c:ext>
          </c:extLst>
        </c:ser>
        <c:dLbls>
          <c:showLegendKey val="0"/>
          <c:showVal val="1"/>
          <c:showCatName val="0"/>
          <c:showSerName val="0"/>
          <c:showPercent val="0"/>
          <c:showBubbleSize val="0"/>
        </c:dLbls>
        <c:gapWidth val="150"/>
        <c:axId val="660068008"/>
        <c:axId val="660068792"/>
      </c:barChart>
      <c:catAx>
        <c:axId val="660068008"/>
        <c:scaling>
          <c:orientation val="minMax"/>
        </c:scaling>
        <c:delete val="0"/>
        <c:axPos val="b"/>
        <c:numFmt formatCode="General" sourceLinked="1"/>
        <c:majorTickMark val="out"/>
        <c:minorTickMark val="none"/>
        <c:tickLblPos val="nextTo"/>
        <c:crossAx val="660068792"/>
        <c:crosses val="autoZero"/>
        <c:auto val="1"/>
        <c:lblAlgn val="ctr"/>
        <c:lblOffset val="100"/>
        <c:noMultiLvlLbl val="0"/>
      </c:catAx>
      <c:valAx>
        <c:axId val="660068792"/>
        <c:scaling>
          <c:orientation val="minMax"/>
          <c:max val="6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1.0793963254593175E-3"/>
              <c:y val="0.40147464690026202"/>
            </c:manualLayout>
          </c:layout>
          <c:overlay val="0"/>
        </c:title>
        <c:numFmt formatCode="General" sourceLinked="1"/>
        <c:majorTickMark val="out"/>
        <c:minorTickMark val="none"/>
        <c:tickLblPos val="nextTo"/>
        <c:crossAx val="660068008"/>
        <c:crosses val="autoZero"/>
        <c:crossBetween val="between"/>
      </c:valAx>
    </c:plotArea>
    <c:legend>
      <c:legendPos val="r"/>
      <c:layout>
        <c:manualLayout>
          <c:xMode val="edge"/>
          <c:yMode val="edge"/>
          <c:x val="0.48257322974815059"/>
          <c:y val="6.7920181210225444E-2"/>
          <c:w val="0.23323065925170572"/>
          <c:h val="0.44394569922180782"/>
        </c:manualLayout>
      </c:layout>
      <c:overlay val="0"/>
      <c:spPr>
        <a:effectLst>
          <a:innerShdw blurRad="63500" dist="50800">
            <a:prstClr val="black">
              <a:alpha val="50000"/>
            </a:prstClr>
          </a:innerShdw>
        </a:effectLst>
      </c:spPr>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64526070125137E-2"/>
          <c:y val="5.2719766412177203E-2"/>
          <c:w val="0.88953785781615013"/>
          <c:h val="0.80320770345061299"/>
        </c:manualLayout>
      </c:layout>
      <c:barChart>
        <c:barDir val="col"/>
        <c:grouping val="clustered"/>
        <c:varyColors val="0"/>
        <c:ser>
          <c:idx val="0"/>
          <c:order val="0"/>
          <c:tx>
            <c:strRef>
              <c:f>Sheet1!$B$1</c:f>
              <c:strCache>
                <c:ptCount val="1"/>
                <c:pt idx="0">
                  <c:v>0 (&lt; 1 year)</c:v>
                </c:pt>
              </c:strCache>
            </c:strRef>
          </c:tx>
          <c:spPr>
            <a:solidFill>
              <a:schemeClr val="accent1"/>
            </a:solidFill>
            <a:effectLst/>
          </c:spPr>
          <c:invertIfNegative val="0"/>
          <c:dLbls>
            <c:dLbl>
              <c:idx val="0"/>
              <c:layout/>
              <c:tx>
                <c:rich>
                  <a:bodyPr/>
                  <a:lstStyle/>
                  <a:p>
                    <a:r>
                      <a:rPr lang="en-US"/>
                      <a:t>13.0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A5-41C8-AAF3-0536372D6B40}"/>
                </c:ext>
                <c:ext xmlns:c15="http://schemas.microsoft.com/office/drawing/2012/chart" uri="{CE6537A1-D6FC-4f65-9D91-7224C49458BB}">
                  <c15:layout/>
                </c:ext>
              </c:extLst>
            </c:dLbl>
            <c:dLbl>
              <c:idx val="5"/>
              <c:layout/>
              <c:tx>
                <c:rich>
                  <a:bodyPr/>
                  <a:lstStyle/>
                  <a:p>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A5-41C8-AAF3-0536372D6B4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13</c:v>
                </c:pt>
                <c:pt idx="1">
                  <c:v>5.8</c:v>
                </c:pt>
                <c:pt idx="2">
                  <c:v>5.0999999999999996</c:v>
                </c:pt>
                <c:pt idx="3">
                  <c:v>13</c:v>
                </c:pt>
                <c:pt idx="4">
                  <c:v>5.3</c:v>
                </c:pt>
                <c:pt idx="5">
                  <c:v>2</c:v>
                </c:pt>
                <c:pt idx="6">
                  <c:v>7.5</c:v>
                </c:pt>
                <c:pt idx="7">
                  <c:v>11.4</c:v>
                </c:pt>
                <c:pt idx="8">
                  <c:v>34.4</c:v>
                </c:pt>
              </c:numCache>
            </c:numRef>
          </c:val>
          <c:extLst xmlns:c16r2="http://schemas.microsoft.com/office/drawing/2015/06/chart">
            <c:ext xmlns:c16="http://schemas.microsoft.com/office/drawing/2014/chart" uri="{C3380CC4-5D6E-409C-BE32-E72D297353CC}">
              <c16:uniqueId val="{00000002-9EA5-41C8-AAF3-0536372D6B40}"/>
            </c:ext>
          </c:extLst>
        </c:ser>
        <c:ser>
          <c:idx val="1"/>
          <c:order val="1"/>
          <c:tx>
            <c:strRef>
              <c:f>Sheet1!$C$1</c:f>
              <c:strCache>
                <c:ptCount val="1"/>
                <c:pt idx="0">
                  <c:v>1 year</c:v>
                </c:pt>
              </c:strCache>
            </c:strRef>
          </c:tx>
          <c:spPr>
            <a:solidFill>
              <a:schemeClr val="accent2"/>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23.2</c:v>
                </c:pt>
                <c:pt idx="1">
                  <c:v>6.6</c:v>
                </c:pt>
                <c:pt idx="2">
                  <c:v>17.5</c:v>
                </c:pt>
                <c:pt idx="3">
                  <c:v>17.100000000000001</c:v>
                </c:pt>
                <c:pt idx="4">
                  <c:v>12.1</c:v>
                </c:pt>
                <c:pt idx="5">
                  <c:v>7.5</c:v>
                </c:pt>
                <c:pt idx="6">
                  <c:v>2.9</c:v>
                </c:pt>
                <c:pt idx="7">
                  <c:v>19.2</c:v>
                </c:pt>
                <c:pt idx="8">
                  <c:v>44.2</c:v>
                </c:pt>
              </c:numCache>
            </c:numRef>
          </c:val>
          <c:extLst xmlns:c16r2="http://schemas.microsoft.com/office/drawing/2015/06/chart">
            <c:ext xmlns:c16="http://schemas.microsoft.com/office/drawing/2014/chart" uri="{C3380CC4-5D6E-409C-BE32-E72D297353CC}">
              <c16:uniqueId val="{00000004-9EA5-41C8-AAF3-0536372D6B40}"/>
            </c:ext>
          </c:extLst>
        </c:ser>
        <c:ser>
          <c:idx val="2"/>
          <c:order val="2"/>
          <c:tx>
            <c:strRef>
              <c:f>Sheet1!$D$1</c:f>
              <c:strCache>
                <c:ptCount val="1"/>
                <c:pt idx="0">
                  <c:v>2 years</c:v>
                </c:pt>
              </c:strCache>
            </c:strRef>
          </c:tx>
          <c:spPr>
            <a:solidFill>
              <a:schemeClr val="accent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Sheet1!$D$2:$D$10</c:f>
              <c:numCache>
                <c:formatCode>General</c:formatCode>
                <c:ptCount val="9"/>
                <c:pt idx="0">
                  <c:v>18.899999999999999</c:v>
                </c:pt>
                <c:pt idx="1">
                  <c:v>5.7</c:v>
                </c:pt>
                <c:pt idx="2">
                  <c:v>14.5</c:v>
                </c:pt>
                <c:pt idx="3">
                  <c:v>10.1</c:v>
                </c:pt>
                <c:pt idx="4">
                  <c:v>10.1</c:v>
                </c:pt>
                <c:pt idx="5">
                  <c:v>2.9</c:v>
                </c:pt>
                <c:pt idx="6">
                  <c:v>5.7</c:v>
                </c:pt>
                <c:pt idx="7">
                  <c:v>20.7</c:v>
                </c:pt>
                <c:pt idx="8">
                  <c:v>39.700000000000003</c:v>
                </c:pt>
              </c:numCache>
            </c:numRef>
          </c:val>
          <c:extLst xmlns:c16r2="http://schemas.microsoft.com/office/drawing/2015/06/chart">
            <c:ext xmlns:c16="http://schemas.microsoft.com/office/drawing/2014/chart" uri="{C3380CC4-5D6E-409C-BE32-E72D297353CC}">
              <c16:uniqueId val="{00000009-9EA5-41C8-AAF3-0536372D6B40}"/>
            </c:ext>
          </c:extLst>
        </c:ser>
        <c:ser>
          <c:idx val="3"/>
          <c:order val="3"/>
          <c:tx>
            <c:strRef>
              <c:f>Sheet1!$E$1</c:f>
              <c:strCache>
                <c:ptCount val="1"/>
                <c:pt idx="0">
                  <c:v>3 years</c:v>
                </c:pt>
              </c:strCache>
            </c:strRef>
          </c:tx>
          <c:spPr>
            <a:solidFill>
              <a:schemeClr val="accent4"/>
            </a:solidFill>
            <a:effectLst/>
          </c:spPr>
          <c:invertIfNegative val="0"/>
          <c:dLbls>
            <c:dLbl>
              <c:idx val="7"/>
              <c:layout/>
              <c:tx>
                <c:rich>
                  <a:bodyPr/>
                  <a:lstStyle/>
                  <a:p>
                    <a:r>
                      <a:rPr lang="en-US"/>
                      <a:t>15.0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EA5-41C8-AAF3-0536372D6B40}"/>
                </c:ext>
                <c:ext xmlns:c15="http://schemas.microsoft.com/office/drawing/2012/chart" uri="{CE6537A1-D6FC-4f65-9D91-7224C49458BB}">
                  <c15:layout/>
                </c:ext>
              </c:extLst>
            </c:dLbl>
            <c:dLbl>
              <c:idx val="8"/>
              <c:layout/>
              <c:tx>
                <c:rich>
                  <a:bodyPr/>
                  <a:lstStyle/>
                  <a:p>
                    <a:r>
                      <a:rPr lang="en-US"/>
                      <a:t>31.0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EA5-41C8-AAF3-0536372D6B4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Sheet1!$E$2:$E$10</c:f>
              <c:numCache>
                <c:formatCode>General</c:formatCode>
                <c:ptCount val="9"/>
                <c:pt idx="0">
                  <c:v>12.1</c:v>
                </c:pt>
                <c:pt idx="1">
                  <c:v>3.4</c:v>
                </c:pt>
                <c:pt idx="2">
                  <c:v>8.6999999999999993</c:v>
                </c:pt>
                <c:pt idx="3">
                  <c:v>8.5</c:v>
                </c:pt>
                <c:pt idx="4">
                  <c:v>3.8</c:v>
                </c:pt>
                <c:pt idx="5">
                  <c:v>1.1000000000000001</c:v>
                </c:pt>
                <c:pt idx="6">
                  <c:v>5.3</c:v>
                </c:pt>
                <c:pt idx="7">
                  <c:v>15</c:v>
                </c:pt>
                <c:pt idx="8">
                  <c:v>31</c:v>
                </c:pt>
              </c:numCache>
            </c:numRef>
          </c:val>
          <c:extLst xmlns:c16r2="http://schemas.microsoft.com/office/drawing/2015/06/chart">
            <c:ext xmlns:c16="http://schemas.microsoft.com/office/drawing/2014/chart" uri="{C3380CC4-5D6E-409C-BE32-E72D297353CC}">
              <c16:uniqueId val="{0000000C-9EA5-41C8-AAF3-0536372D6B40}"/>
            </c:ext>
          </c:extLst>
        </c:ser>
        <c:ser>
          <c:idx val="4"/>
          <c:order val="4"/>
          <c:tx>
            <c:strRef>
              <c:f>Sheet1!$F$1</c:f>
              <c:strCache>
                <c:ptCount val="1"/>
                <c:pt idx="0">
                  <c:v>4 years</c:v>
                </c:pt>
              </c:strCache>
            </c:strRef>
          </c:tx>
          <c:spPr>
            <a:solidFill>
              <a:schemeClr val="accent5"/>
            </a:solidFill>
            <a:effectLst/>
          </c:spPr>
          <c:invertIfNegative val="0"/>
          <c:dLbls>
            <c:dLbl>
              <c:idx val="1"/>
              <c:layout/>
              <c:tx>
                <c:rich>
                  <a:bodyPr/>
                  <a:lstStyle/>
                  <a:p>
                    <a:r>
                      <a:rPr lang="en-US"/>
                      <a:t>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EA5-41C8-AAF3-0536372D6B40}"/>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Sheet1!$F$2:$F$10</c:f>
              <c:numCache>
                <c:formatCode>General</c:formatCode>
                <c:ptCount val="9"/>
                <c:pt idx="0">
                  <c:v>15.7</c:v>
                </c:pt>
                <c:pt idx="1">
                  <c:v>8</c:v>
                </c:pt>
                <c:pt idx="2">
                  <c:v>11.2</c:v>
                </c:pt>
                <c:pt idx="3">
                  <c:v>4.2</c:v>
                </c:pt>
                <c:pt idx="4">
                  <c:v>9.4</c:v>
                </c:pt>
                <c:pt idx="5">
                  <c:v>8.6</c:v>
                </c:pt>
                <c:pt idx="6">
                  <c:v>2.4</c:v>
                </c:pt>
                <c:pt idx="7">
                  <c:v>15.1</c:v>
                </c:pt>
                <c:pt idx="8">
                  <c:v>37.299999999999997</c:v>
                </c:pt>
              </c:numCache>
            </c:numRef>
          </c:val>
          <c:extLst xmlns:c16r2="http://schemas.microsoft.com/office/drawing/2015/06/chart">
            <c:ext xmlns:c16="http://schemas.microsoft.com/office/drawing/2014/chart" uri="{C3380CC4-5D6E-409C-BE32-E72D297353CC}">
              <c16:uniqueId val="{0000000F-9EA5-41C8-AAF3-0536372D6B40}"/>
            </c:ext>
          </c:extLst>
        </c:ser>
        <c:ser>
          <c:idx val="5"/>
          <c:order val="5"/>
          <c:tx>
            <c:strRef>
              <c:f>Sheet1!$G$1</c:f>
              <c:strCache>
                <c:ptCount val="1"/>
                <c:pt idx="0">
                  <c:v>5 years</c:v>
                </c:pt>
              </c:strCache>
            </c:strRef>
          </c:tx>
          <c:spPr>
            <a:solidFill>
              <a:schemeClr val="accent6"/>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Sheet1!$G$2:$G$10</c:f>
              <c:numCache>
                <c:formatCode>General</c:formatCode>
                <c:ptCount val="9"/>
                <c:pt idx="0">
                  <c:v>19.100000000000001</c:v>
                </c:pt>
                <c:pt idx="1">
                  <c:v>2.5</c:v>
                </c:pt>
                <c:pt idx="2">
                  <c:v>9.3000000000000007</c:v>
                </c:pt>
                <c:pt idx="3">
                  <c:v>13.8</c:v>
                </c:pt>
                <c:pt idx="4">
                  <c:v>5.6</c:v>
                </c:pt>
                <c:pt idx="5">
                  <c:v>0.9</c:v>
                </c:pt>
                <c:pt idx="6">
                  <c:v>1.8</c:v>
                </c:pt>
                <c:pt idx="7">
                  <c:v>23.9</c:v>
                </c:pt>
                <c:pt idx="8">
                  <c:v>36.700000000000003</c:v>
                </c:pt>
              </c:numCache>
            </c:numRef>
          </c:val>
          <c:extLst xmlns:c16r2="http://schemas.microsoft.com/office/drawing/2015/06/chart">
            <c:ext xmlns:c16="http://schemas.microsoft.com/office/drawing/2014/chart" uri="{C3380CC4-5D6E-409C-BE32-E72D297353CC}">
              <c16:uniqueId val="{00000011-9EA5-41C8-AAF3-0536372D6B40}"/>
            </c:ext>
          </c:extLst>
        </c:ser>
        <c:dLbls>
          <c:showLegendKey val="0"/>
          <c:showVal val="0"/>
          <c:showCatName val="0"/>
          <c:showSerName val="0"/>
          <c:showPercent val="0"/>
          <c:showBubbleSize val="0"/>
        </c:dLbls>
        <c:gapWidth val="150"/>
        <c:axId val="440861792"/>
        <c:axId val="440851600"/>
      </c:barChart>
      <c:catAx>
        <c:axId val="440861792"/>
        <c:scaling>
          <c:orientation val="minMax"/>
        </c:scaling>
        <c:delete val="0"/>
        <c:axPos val="b"/>
        <c:numFmt formatCode="General" sourceLinked="0"/>
        <c:majorTickMark val="out"/>
        <c:minorTickMark val="none"/>
        <c:tickLblPos val="nextTo"/>
        <c:txPr>
          <a:bodyPr rot="0"/>
          <a:lstStyle/>
          <a:p>
            <a:pPr>
              <a:defRPr/>
            </a:pPr>
            <a:endParaRPr lang="en-US"/>
          </a:p>
        </c:txPr>
        <c:crossAx val="440851600"/>
        <c:crosses val="autoZero"/>
        <c:auto val="1"/>
        <c:lblAlgn val="ctr"/>
        <c:lblOffset val="100"/>
        <c:tickLblSkip val="1"/>
        <c:noMultiLvlLbl val="0"/>
      </c:catAx>
      <c:valAx>
        <c:axId val="440851600"/>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8.7956144373847137E-3"/>
              <c:y val="0.39818873704616708"/>
            </c:manualLayout>
          </c:layout>
          <c:overlay val="0"/>
        </c:title>
        <c:numFmt formatCode="General" sourceLinked="1"/>
        <c:majorTickMark val="out"/>
        <c:minorTickMark val="none"/>
        <c:tickLblPos val="nextTo"/>
        <c:crossAx val="440861792"/>
        <c:crosses val="autoZero"/>
        <c:crossBetween val="between"/>
      </c:valAx>
    </c:plotArea>
    <c:legend>
      <c:legendPos val="r"/>
      <c:layout>
        <c:manualLayout>
          <c:xMode val="edge"/>
          <c:yMode val="edge"/>
          <c:x val="0.60523357065794103"/>
          <c:y val="9.062761958075341E-2"/>
          <c:w val="0.11845403615162935"/>
          <c:h val="0.2756261374935833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982211163313526"/>
          <c:y val="6.1122362531139229E-2"/>
          <c:w val="0.8409732567212882"/>
          <c:h val="0.60654121624627433"/>
        </c:manualLayout>
      </c:layout>
      <c:barChart>
        <c:barDir val="col"/>
        <c:grouping val="clustered"/>
        <c:varyColors val="0"/>
        <c:ser>
          <c:idx val="0"/>
          <c:order val="0"/>
          <c:tx>
            <c:strRef>
              <c:f>Sheet1!$B$1</c:f>
              <c:strCache>
                <c:ptCount val="1"/>
                <c:pt idx="0">
                  <c:v>Medical discharge</c:v>
                </c:pt>
              </c:strCache>
            </c:strRef>
          </c:tx>
          <c:spPr>
            <a:solidFill>
              <a:schemeClr val="accent1"/>
            </a:solidFill>
            <a:effectLst/>
          </c:spPr>
          <c:invertIfNegative val="0"/>
          <c:dLbls>
            <c:dLbl>
              <c:idx val="2"/>
              <c:layout/>
              <c:tx>
                <c:rich>
                  <a:bodyPr/>
                  <a:lstStyle/>
                  <a:p>
                    <a:r>
                      <a:rPr lang="en-US"/>
                      <a:t>22.0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E4-4B33-BD15-A7357D824B88}"/>
                </c:ext>
                <c:ext xmlns:c15="http://schemas.microsoft.com/office/drawing/2012/chart" uri="{CE6537A1-D6FC-4f65-9D91-7224C49458BB}">
                  <c15:layout/>
                </c:ext>
              </c:extLst>
            </c:dLbl>
            <c:dLbl>
              <c:idx val="6"/>
              <c:layout/>
              <c:tx>
                <c:rich>
                  <a:bodyPr/>
                  <a:lstStyle/>
                  <a:p>
                    <a:r>
                      <a:rPr lang="en-US"/>
                      <a:t>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E4-4B33-BD15-A7357D824B88}"/>
                </c:ext>
                <c:ext xmlns:c15="http://schemas.microsoft.com/office/drawing/2012/chart" uri="{CE6537A1-D6FC-4f65-9D91-7224C49458BB}">
                  <c15:layout/>
                </c:ext>
              </c:extLst>
            </c:dLbl>
            <c:dLbl>
              <c:idx val="7"/>
              <c:layout/>
              <c:tx>
                <c:rich>
                  <a:bodyPr/>
                  <a:lstStyle/>
                  <a:p>
                    <a:r>
                      <a:rPr lang="en-US"/>
                      <a:t>23.0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E4-4B33-BD15-A7357D824B88}"/>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Sheet1!$B$2:$B$10</c:f>
              <c:numCache>
                <c:formatCode>General</c:formatCode>
                <c:ptCount val="9"/>
                <c:pt idx="0">
                  <c:v>25.3</c:v>
                </c:pt>
                <c:pt idx="1">
                  <c:v>9.6999999999999993</c:v>
                </c:pt>
                <c:pt idx="2">
                  <c:v>22</c:v>
                </c:pt>
                <c:pt idx="3">
                  <c:v>22.1</c:v>
                </c:pt>
                <c:pt idx="4">
                  <c:v>18.7</c:v>
                </c:pt>
                <c:pt idx="5">
                  <c:v>8.5</c:v>
                </c:pt>
                <c:pt idx="6">
                  <c:v>4</c:v>
                </c:pt>
                <c:pt idx="7">
                  <c:v>23</c:v>
                </c:pt>
                <c:pt idx="8">
                  <c:v>51.3</c:v>
                </c:pt>
              </c:numCache>
            </c:numRef>
          </c:val>
          <c:extLst xmlns:c16r2="http://schemas.microsoft.com/office/drawing/2015/06/chart">
            <c:ext xmlns:c16="http://schemas.microsoft.com/office/drawing/2014/chart" uri="{C3380CC4-5D6E-409C-BE32-E72D297353CC}">
              <c16:uniqueId val="{00000003-2CE4-4B33-BD15-A7357D824B88}"/>
            </c:ext>
          </c:extLst>
        </c:ser>
        <c:ser>
          <c:idx val="1"/>
          <c:order val="1"/>
          <c:tx>
            <c:strRef>
              <c:f>Sheet1!$C$1</c:f>
              <c:strCache>
                <c:ptCount val="1"/>
                <c:pt idx="0">
                  <c:v>Other discharge</c:v>
                </c:pt>
              </c:strCache>
            </c:strRef>
          </c:tx>
          <c:spPr>
            <a:solidFill>
              <a:schemeClr val="accent2"/>
            </a:solidFill>
            <a:effectLst/>
          </c:spPr>
          <c:invertIfNegative val="0"/>
          <c:dLbls>
            <c:dLbl>
              <c:idx val="3"/>
              <c:layout/>
              <c:tx>
                <c:rich>
                  <a:bodyPr/>
                  <a:lstStyle/>
                  <a:p>
                    <a:r>
                      <a:rPr lang="en-US"/>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E4-4B33-BD15-A7357D824B88}"/>
                </c:ext>
                <c:ext xmlns:c15="http://schemas.microsoft.com/office/drawing/2012/chart" uri="{CE6537A1-D6FC-4f65-9D91-7224C49458BB}">
                  <c15:layout/>
                </c:ext>
              </c:extLst>
            </c:dLbl>
            <c:dLbl>
              <c:idx val="5"/>
              <c:layout/>
              <c:tx>
                <c:rich>
                  <a:bodyPr/>
                  <a:lstStyle/>
                  <a:p>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E4-4B33-BD15-A7357D824B88}"/>
                </c:ext>
                <c:ext xmlns:c15="http://schemas.microsoft.com/office/drawing/2012/chart" uri="{CE6537A1-D6FC-4f65-9D91-7224C49458BB}">
                  <c15:layout/>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Sheet1!$A$2:$A$10</c:f>
              <c:strCache>
                <c:ptCount val="9"/>
                <c:pt idx="0">
                  <c:v>Panic attack</c:v>
                </c:pt>
                <c:pt idx="1">
                  <c:v>Panic disorder</c:v>
                </c:pt>
                <c:pt idx="2">
                  <c:v>Agoraphobia</c:v>
                </c:pt>
                <c:pt idx="3">
                  <c:v>Social phobia</c:v>
                </c:pt>
                <c:pt idx="4">
                  <c:v>Specific phobia</c:v>
                </c:pt>
                <c:pt idx="5">
                  <c:v>Generalised anxiety disorder</c:v>
                </c:pt>
                <c:pt idx="6">
                  <c:v>Obsessive-compulsive disorder</c:v>
                </c:pt>
                <c:pt idx="7">
                  <c:v>Posttraumatic stress disorder</c:v>
                </c:pt>
                <c:pt idx="8">
                  <c:v>Any anxiety disorder</c:v>
                </c:pt>
              </c:strCache>
            </c:strRef>
          </c:cat>
          <c:val>
            <c:numRef>
              <c:f>Sheet1!$C$2:$C$10</c:f>
              <c:numCache>
                <c:formatCode>General</c:formatCode>
                <c:ptCount val="9"/>
                <c:pt idx="0">
                  <c:v>12.8</c:v>
                </c:pt>
                <c:pt idx="1">
                  <c:v>3.9</c:v>
                </c:pt>
                <c:pt idx="2">
                  <c:v>7.8</c:v>
                </c:pt>
                <c:pt idx="3">
                  <c:v>5</c:v>
                </c:pt>
                <c:pt idx="4">
                  <c:v>3.8</c:v>
                </c:pt>
                <c:pt idx="5">
                  <c:v>2</c:v>
                </c:pt>
                <c:pt idx="6">
                  <c:v>4.3</c:v>
                </c:pt>
                <c:pt idx="7">
                  <c:v>14.6</c:v>
                </c:pt>
                <c:pt idx="8">
                  <c:v>30.3</c:v>
                </c:pt>
              </c:numCache>
            </c:numRef>
          </c:val>
          <c:extLst xmlns:c16r2="http://schemas.microsoft.com/office/drawing/2015/06/chart">
            <c:ext xmlns:c16="http://schemas.microsoft.com/office/drawing/2014/chart" uri="{C3380CC4-5D6E-409C-BE32-E72D297353CC}">
              <c16:uniqueId val="{00000006-2CE4-4B33-BD15-A7357D824B88}"/>
            </c:ext>
          </c:extLst>
        </c:ser>
        <c:dLbls>
          <c:showLegendKey val="0"/>
          <c:showVal val="0"/>
          <c:showCatName val="0"/>
          <c:showSerName val="0"/>
          <c:showPercent val="0"/>
          <c:showBubbleSize val="0"/>
        </c:dLbls>
        <c:gapWidth val="150"/>
        <c:axId val="571604568"/>
        <c:axId val="571601432"/>
      </c:barChart>
      <c:catAx>
        <c:axId val="571604568"/>
        <c:scaling>
          <c:orientation val="minMax"/>
        </c:scaling>
        <c:delete val="0"/>
        <c:axPos val="b"/>
        <c:numFmt formatCode="General" sourceLinked="0"/>
        <c:majorTickMark val="out"/>
        <c:minorTickMark val="none"/>
        <c:tickLblPos val="nextTo"/>
        <c:crossAx val="571601432"/>
        <c:crosses val="autoZero"/>
        <c:auto val="1"/>
        <c:lblAlgn val="ctr"/>
        <c:lblOffset val="100"/>
        <c:noMultiLvlLbl val="0"/>
      </c:catAx>
      <c:valAx>
        <c:axId val="57160143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Percentage</a:t>
                </a:r>
              </a:p>
            </c:rich>
          </c:tx>
          <c:layout>
            <c:manualLayout>
              <c:xMode val="edge"/>
              <c:yMode val="edge"/>
              <c:x val="6.2976847228815736E-3"/>
              <c:y val="0.29684757466368145"/>
            </c:manualLayout>
          </c:layout>
          <c:overlay val="0"/>
        </c:title>
        <c:numFmt formatCode="General" sourceLinked="1"/>
        <c:majorTickMark val="out"/>
        <c:minorTickMark val="none"/>
        <c:tickLblPos val="nextTo"/>
        <c:crossAx val="571604568"/>
        <c:crosses val="autoZero"/>
        <c:crossBetween val="between"/>
      </c:valAx>
    </c:plotArea>
    <c:legend>
      <c:legendPos val="r"/>
      <c:layout>
        <c:manualLayout>
          <c:xMode val="edge"/>
          <c:yMode val="edge"/>
          <c:x val="0.53758279175602008"/>
          <c:y val="9.3991148223487322E-2"/>
          <c:w val="0.28059150610331712"/>
          <c:h val="0.1118290300921687"/>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14</Pages>
  <Words>169212</Words>
  <Characters>964512</Characters>
  <Application>Microsoft Office Word</Application>
  <DocSecurity>0</DocSecurity>
  <Lines>8037</Lines>
  <Paragraphs>2262</Paragraphs>
  <ScaleCrop>false</ScaleCrop>
  <HeadingPairs>
    <vt:vector size="2" baseType="variant">
      <vt:variant>
        <vt:lpstr>Title</vt:lpstr>
      </vt:variant>
      <vt:variant>
        <vt:i4>1</vt:i4>
      </vt:variant>
    </vt:vector>
  </HeadingPairs>
  <TitlesOfParts>
    <vt:vector size="1" baseType="lpstr">
      <vt:lpstr>Mental Health Prevalence Final Report</vt:lpstr>
    </vt:vector>
  </TitlesOfParts>
  <Company/>
  <LinksUpToDate>false</LinksUpToDate>
  <CharactersWithSpaces>1131462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Prevalence Final Report</dc:title>
  <dc:subject/>
  <dc:creator/>
  <cp:keywords/>
  <cp:lastModifiedBy/>
  <cp:revision>1</cp:revision>
  <dcterms:created xsi:type="dcterms:W3CDTF">2018-12-04T04:53:00Z</dcterms:created>
  <dcterms:modified xsi:type="dcterms:W3CDTF">2018-12-04T04:59:00Z</dcterms:modified>
</cp:coreProperties>
</file>